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B63B9">
      <w:pPr>
        <w:spacing w:line="360" w:lineRule="auto"/>
        <w:rPr>
          <w:rFonts w:hint="eastAsia" w:ascii="宋体" w:hAnsi="宋体" w:eastAsia="宋体" w:cs="宋体"/>
          <w:sz w:val="44"/>
          <w:szCs w:val="44"/>
        </w:rPr>
      </w:pPr>
    </w:p>
    <w:p w14:paraId="649E88A8">
      <w:pPr>
        <w:spacing w:line="360" w:lineRule="auto"/>
        <w:jc w:val="center"/>
        <w:outlineLvl w:val="0"/>
        <w:rPr>
          <w:rFonts w:hint="eastAsia" w:ascii="宋体" w:hAnsi="宋体" w:cs="宋体"/>
          <w:b/>
          <w:bCs/>
          <w:sz w:val="48"/>
          <w:szCs w:val="48"/>
          <w:lang w:eastAsia="zh-CN"/>
        </w:rPr>
      </w:pPr>
      <w:bookmarkStart w:id="0" w:name="_Toc25499"/>
      <w:r>
        <w:rPr>
          <w:rFonts w:hint="eastAsia" w:ascii="宋体" w:hAnsi="宋体" w:cs="宋体"/>
          <w:b/>
          <w:bCs/>
          <w:sz w:val="48"/>
          <w:szCs w:val="48"/>
          <w:lang w:eastAsia="zh-CN"/>
        </w:rPr>
        <w:t>中华人民共和国新疆出入境边防检查总站</w:t>
      </w:r>
      <w:r>
        <w:rPr>
          <w:rFonts w:hint="eastAsia" w:ascii="宋体" w:hAnsi="宋体" w:cs="宋体"/>
          <w:b/>
          <w:bCs/>
          <w:sz w:val="48"/>
          <w:szCs w:val="48"/>
          <w:lang w:val="en-US" w:eastAsia="zh-CN"/>
        </w:rPr>
        <w:t>网络安全技术服务采购项目</w:t>
      </w:r>
    </w:p>
    <w:p w14:paraId="27F43B5B">
      <w:pPr>
        <w:spacing w:line="360" w:lineRule="auto"/>
        <w:jc w:val="center"/>
        <w:outlineLvl w:val="0"/>
        <w:rPr>
          <w:rFonts w:hint="eastAsia" w:ascii="宋体" w:hAnsi="宋体" w:eastAsia="宋体" w:cs="宋体"/>
          <w:b/>
          <w:bCs/>
          <w:sz w:val="48"/>
          <w:szCs w:val="48"/>
          <w:lang w:eastAsia="zh-CN"/>
        </w:rPr>
      </w:pPr>
    </w:p>
    <w:p w14:paraId="1CF4E955">
      <w:pPr>
        <w:rPr>
          <w:rFonts w:hint="eastAsia" w:ascii="宋体" w:hAnsi="宋体" w:eastAsia="宋体" w:cs="宋体"/>
        </w:rPr>
      </w:pPr>
    </w:p>
    <w:bookmarkEnd w:id="0"/>
    <w:p w14:paraId="34C466C6">
      <w:pPr>
        <w:spacing w:line="360" w:lineRule="auto"/>
        <w:ind w:right="17"/>
        <w:jc w:val="center"/>
        <w:rPr>
          <w:rFonts w:hint="eastAsia" w:ascii="宋体" w:hAnsi="宋体" w:eastAsia="宋体" w:cs="宋体"/>
          <w:b/>
          <w:spacing w:val="60"/>
          <w:sz w:val="44"/>
          <w:szCs w:val="44"/>
        </w:rPr>
      </w:pPr>
      <w:r>
        <w:rPr>
          <w:rFonts w:hint="eastAsia" w:ascii="宋体" w:hAnsi="宋体" w:eastAsia="宋体" w:cs="宋体"/>
          <w:b/>
          <w:spacing w:val="60"/>
          <w:sz w:val="44"/>
          <w:szCs w:val="44"/>
        </w:rPr>
        <w:t>竞争性谈判文件</w:t>
      </w:r>
    </w:p>
    <w:p w14:paraId="454F37E3">
      <w:pPr>
        <w:spacing w:line="360" w:lineRule="auto"/>
        <w:ind w:right="17"/>
        <w:jc w:val="center"/>
        <w:rPr>
          <w:rFonts w:hint="eastAsia" w:ascii="宋体" w:hAnsi="宋体" w:eastAsia="宋体" w:cs="宋体"/>
          <w:b/>
          <w:spacing w:val="60"/>
          <w:sz w:val="28"/>
          <w:szCs w:val="28"/>
        </w:rPr>
      </w:pPr>
    </w:p>
    <w:p w14:paraId="11BF38E0">
      <w:pPr>
        <w:spacing w:line="360" w:lineRule="auto"/>
        <w:jc w:val="center"/>
        <w:rPr>
          <w:rFonts w:hint="eastAsia" w:ascii="宋体" w:hAnsi="宋体" w:eastAsia="宋体" w:cs="宋体"/>
          <w:sz w:val="32"/>
          <w:szCs w:val="32"/>
        </w:rPr>
      </w:pPr>
    </w:p>
    <w:p w14:paraId="49C53536">
      <w:pPr>
        <w:spacing w:line="360" w:lineRule="auto"/>
        <w:jc w:val="center"/>
        <w:rPr>
          <w:rFonts w:hint="eastAsia" w:ascii="宋体" w:hAnsi="宋体" w:eastAsia="宋体" w:cs="宋体"/>
          <w:sz w:val="32"/>
          <w:szCs w:val="32"/>
        </w:rPr>
      </w:pPr>
    </w:p>
    <w:p w14:paraId="7C39AFDC">
      <w:pPr>
        <w:spacing w:line="360" w:lineRule="auto"/>
        <w:ind w:right="17"/>
        <w:jc w:val="center"/>
        <w:rPr>
          <w:rFonts w:hint="eastAsia" w:ascii="宋体" w:hAnsi="宋体" w:eastAsia="宋体" w:cs="宋体"/>
          <w:lang w:val="en-US" w:eastAsia="zh-CN"/>
        </w:rPr>
      </w:pPr>
      <w:r>
        <w:rPr>
          <w:rFonts w:hint="eastAsia" w:ascii="宋体" w:hAnsi="宋体" w:eastAsia="宋体" w:cs="宋体"/>
          <w:sz w:val="32"/>
          <w:szCs w:val="32"/>
        </w:rPr>
        <w:t>项目编号：</w:t>
      </w:r>
      <w:r>
        <w:rPr>
          <w:rFonts w:hint="eastAsia" w:ascii="宋体" w:hAnsi="宋体" w:cs="宋体"/>
          <w:sz w:val="32"/>
          <w:szCs w:val="32"/>
          <w:highlight w:val="none"/>
          <w:lang w:eastAsia="zh-CN"/>
        </w:rPr>
        <w:t>hcxjczt-2025-330</w:t>
      </w:r>
    </w:p>
    <w:p w14:paraId="7222390A">
      <w:pPr>
        <w:spacing w:line="360" w:lineRule="auto"/>
        <w:ind w:right="17"/>
        <w:rPr>
          <w:rFonts w:hint="eastAsia" w:ascii="宋体" w:hAnsi="宋体" w:eastAsia="宋体" w:cs="宋体"/>
        </w:rPr>
      </w:pPr>
    </w:p>
    <w:p w14:paraId="5E94D5AA">
      <w:pPr>
        <w:pStyle w:val="5"/>
        <w:rPr>
          <w:rFonts w:hint="eastAsia" w:ascii="宋体" w:hAnsi="宋体" w:eastAsia="宋体" w:cs="宋体"/>
        </w:rPr>
      </w:pPr>
    </w:p>
    <w:p w14:paraId="0F439937">
      <w:pPr>
        <w:rPr>
          <w:rFonts w:hint="eastAsia" w:ascii="宋体" w:hAnsi="宋体" w:eastAsia="宋体" w:cs="宋体"/>
        </w:rPr>
      </w:pPr>
    </w:p>
    <w:p w14:paraId="75E6A4C6">
      <w:pPr>
        <w:spacing w:line="360" w:lineRule="auto"/>
        <w:ind w:right="17"/>
        <w:rPr>
          <w:rFonts w:hint="eastAsia" w:ascii="宋体" w:hAnsi="宋体" w:eastAsia="宋体" w:cs="宋体"/>
        </w:rPr>
      </w:pPr>
    </w:p>
    <w:p w14:paraId="0092B26F">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采购人：中华人民共和国新疆出入境边防检查总站</w:t>
      </w:r>
    </w:p>
    <w:p w14:paraId="5178E7DE">
      <w:pPr>
        <w:spacing w:line="360" w:lineRule="auto"/>
        <w:ind w:firstLine="640" w:firstLineChars="200"/>
        <w:rPr>
          <w:rFonts w:hint="eastAsia" w:ascii="宋体" w:hAnsi="宋体" w:eastAsia="宋体" w:cs="宋体"/>
          <w:sz w:val="32"/>
          <w:szCs w:val="32"/>
        </w:rPr>
      </w:pPr>
    </w:p>
    <w:p w14:paraId="2C388842">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采购代理机构：华春建设工程项目管理有限责任公司</w:t>
      </w:r>
    </w:p>
    <w:p w14:paraId="6D2A0345">
      <w:pPr>
        <w:spacing w:line="360" w:lineRule="auto"/>
        <w:ind w:right="17"/>
        <w:jc w:val="center"/>
        <w:rPr>
          <w:rFonts w:hint="eastAsia" w:ascii="宋体" w:hAnsi="宋体" w:eastAsia="宋体" w:cs="宋体"/>
          <w:sz w:val="32"/>
          <w:szCs w:val="32"/>
        </w:rPr>
      </w:pPr>
    </w:p>
    <w:p w14:paraId="69A1E85C">
      <w:pPr>
        <w:spacing w:line="360" w:lineRule="auto"/>
        <w:ind w:right="17"/>
        <w:jc w:val="center"/>
        <w:rPr>
          <w:rFonts w:hint="eastAsia" w:ascii="宋体" w:hAnsi="宋体" w:eastAsia="宋体" w:cs="宋体"/>
          <w:sz w:val="32"/>
          <w:szCs w:val="32"/>
        </w:rPr>
      </w:pPr>
      <w:r>
        <w:rPr>
          <w:rFonts w:hint="eastAsia" w:ascii="宋体" w:hAnsi="宋体" w:eastAsia="宋体" w:cs="宋体"/>
          <w:sz w:val="32"/>
          <w:szCs w:val="32"/>
        </w:rPr>
        <w:t>二〇二</w:t>
      </w:r>
      <w:r>
        <w:rPr>
          <w:rFonts w:hint="eastAsia" w:ascii="宋体" w:hAnsi="宋体" w:cs="宋体"/>
          <w:sz w:val="32"/>
          <w:szCs w:val="32"/>
          <w:lang w:val="en-US" w:eastAsia="zh-CN"/>
        </w:rPr>
        <w:t>五</w:t>
      </w:r>
      <w:r>
        <w:rPr>
          <w:rFonts w:hint="eastAsia" w:ascii="宋体" w:hAnsi="宋体" w:eastAsia="宋体" w:cs="宋体"/>
          <w:sz w:val="32"/>
          <w:szCs w:val="32"/>
        </w:rPr>
        <w:t>年</w:t>
      </w:r>
      <w:r>
        <w:rPr>
          <w:rFonts w:hint="eastAsia" w:ascii="宋体" w:hAnsi="宋体" w:cs="宋体"/>
          <w:sz w:val="32"/>
          <w:szCs w:val="32"/>
          <w:lang w:val="en-US" w:eastAsia="zh-CN"/>
        </w:rPr>
        <w:t>七</w:t>
      </w:r>
      <w:r>
        <w:rPr>
          <w:rFonts w:hint="eastAsia" w:ascii="宋体" w:hAnsi="宋体" w:eastAsia="宋体" w:cs="宋体"/>
          <w:sz w:val="32"/>
          <w:szCs w:val="32"/>
        </w:rPr>
        <w:t>月</w:t>
      </w:r>
    </w:p>
    <w:p w14:paraId="2495EDB1">
      <w:pPr>
        <w:spacing w:line="360" w:lineRule="auto"/>
        <w:ind w:right="17"/>
        <w:rPr>
          <w:rFonts w:hint="eastAsia" w:ascii="宋体" w:hAnsi="宋体" w:eastAsia="宋体" w:cs="宋体"/>
        </w:rPr>
      </w:pPr>
    </w:p>
    <w:p w14:paraId="6B264A5E">
      <w:pPr>
        <w:spacing w:line="360" w:lineRule="auto"/>
        <w:rPr>
          <w:rFonts w:hint="eastAsia" w:ascii="宋体" w:hAnsi="宋体" w:eastAsia="宋体" w:cs="宋体"/>
        </w:rPr>
      </w:pPr>
    </w:p>
    <w:p w14:paraId="1DB4AB9C">
      <w:pPr>
        <w:spacing w:line="360" w:lineRule="auto"/>
        <w:rPr>
          <w:rFonts w:hint="eastAsia" w:ascii="宋体" w:hAnsi="宋体" w:eastAsia="宋体" w:cs="宋体"/>
          <w:b/>
          <w:bCs/>
          <w:sz w:val="24"/>
        </w:rPr>
        <w:sectPr>
          <w:headerReference r:id="rId3" w:type="default"/>
          <w:footerReference r:id="rId4" w:type="default"/>
          <w:pgSz w:w="11906" w:h="16838"/>
          <w:pgMar w:top="1440" w:right="1080" w:bottom="1440" w:left="1080" w:header="851" w:footer="992" w:gutter="0"/>
          <w:pgNumType w:start="1"/>
          <w:cols w:space="720" w:num="1"/>
          <w:docGrid w:linePitch="312" w:charSpace="0"/>
        </w:sectPr>
      </w:pPr>
    </w:p>
    <w:p w14:paraId="136EB1DF">
      <w:pPr>
        <w:jc w:val="center"/>
        <w:rPr>
          <w:rFonts w:hint="eastAsia" w:ascii="宋体" w:hAnsi="宋体" w:eastAsia="宋体" w:cs="宋体"/>
          <w:b/>
          <w:bCs/>
          <w:sz w:val="32"/>
          <w:szCs w:val="40"/>
        </w:rPr>
      </w:pPr>
    </w:p>
    <w:p w14:paraId="102F6C38">
      <w:pPr>
        <w:jc w:val="center"/>
        <w:rPr>
          <w:rFonts w:hint="eastAsia" w:ascii="宋体" w:hAnsi="宋体" w:eastAsia="宋体" w:cs="宋体"/>
          <w:b/>
          <w:bCs/>
          <w:sz w:val="32"/>
          <w:szCs w:val="40"/>
        </w:rPr>
      </w:pPr>
    </w:p>
    <w:p w14:paraId="551C9ABA">
      <w:pPr>
        <w:jc w:val="center"/>
        <w:rPr>
          <w:rFonts w:hint="eastAsia" w:ascii="宋体" w:hAnsi="宋体" w:eastAsia="宋体" w:cs="宋体"/>
          <w:b/>
          <w:bCs/>
          <w:sz w:val="32"/>
          <w:szCs w:val="40"/>
        </w:rPr>
      </w:pPr>
    </w:p>
    <w:p w14:paraId="295B5673">
      <w:pPr>
        <w:jc w:val="center"/>
        <w:rPr>
          <w:rFonts w:hint="eastAsia" w:ascii="宋体" w:hAnsi="宋体" w:eastAsia="宋体" w:cs="宋体"/>
          <w:b/>
          <w:bCs/>
          <w:sz w:val="32"/>
          <w:szCs w:val="40"/>
        </w:rPr>
      </w:pPr>
    </w:p>
    <w:p w14:paraId="7793C708">
      <w:pPr>
        <w:jc w:val="center"/>
        <w:rPr>
          <w:rFonts w:hint="eastAsia" w:ascii="宋体" w:hAnsi="宋体" w:eastAsia="宋体" w:cs="宋体"/>
          <w:b/>
          <w:bCs/>
          <w:sz w:val="32"/>
          <w:szCs w:val="40"/>
        </w:rPr>
      </w:pPr>
    </w:p>
    <w:p w14:paraId="2EAC87C6">
      <w:pPr>
        <w:jc w:val="center"/>
        <w:rPr>
          <w:rFonts w:hint="eastAsia" w:ascii="宋体" w:hAnsi="宋体" w:eastAsia="宋体" w:cs="宋体"/>
          <w:b/>
          <w:bCs/>
          <w:sz w:val="32"/>
          <w:szCs w:val="40"/>
        </w:rPr>
      </w:pPr>
    </w:p>
    <w:p w14:paraId="184205F2">
      <w:pPr>
        <w:jc w:val="center"/>
        <w:rPr>
          <w:rFonts w:hint="eastAsia" w:ascii="宋体" w:hAnsi="宋体" w:eastAsia="宋体" w:cs="宋体"/>
          <w:b/>
          <w:bCs/>
          <w:sz w:val="32"/>
          <w:szCs w:val="40"/>
        </w:rPr>
      </w:pPr>
    </w:p>
    <w:p w14:paraId="480EA4F7">
      <w:pPr>
        <w:jc w:val="center"/>
        <w:rPr>
          <w:rFonts w:hint="eastAsia" w:ascii="宋体" w:hAnsi="宋体" w:eastAsia="宋体" w:cs="宋体"/>
          <w:b/>
          <w:bCs/>
          <w:sz w:val="32"/>
          <w:szCs w:val="40"/>
        </w:rPr>
      </w:pPr>
    </w:p>
    <w:p w14:paraId="3569DE6D">
      <w:pPr>
        <w:jc w:val="center"/>
        <w:rPr>
          <w:rFonts w:hint="eastAsia" w:ascii="宋体" w:hAnsi="宋体" w:eastAsia="宋体" w:cs="宋体"/>
          <w:b/>
          <w:bCs/>
          <w:sz w:val="32"/>
          <w:szCs w:val="40"/>
        </w:rPr>
      </w:pPr>
    </w:p>
    <w:p w14:paraId="28538E69">
      <w:pPr>
        <w:jc w:val="center"/>
        <w:rPr>
          <w:rFonts w:hint="eastAsia" w:ascii="宋体" w:hAnsi="宋体" w:eastAsia="宋体" w:cs="宋体"/>
          <w:b/>
          <w:bCs/>
          <w:sz w:val="32"/>
          <w:szCs w:val="40"/>
        </w:rPr>
      </w:pPr>
    </w:p>
    <w:p w14:paraId="4F3D638D">
      <w:pPr>
        <w:jc w:val="center"/>
        <w:rPr>
          <w:rFonts w:hint="eastAsia" w:ascii="宋体" w:hAnsi="宋体" w:eastAsia="宋体" w:cs="宋体"/>
          <w:b/>
          <w:bCs/>
          <w:sz w:val="32"/>
          <w:szCs w:val="40"/>
        </w:rPr>
      </w:pPr>
    </w:p>
    <w:p w14:paraId="2C1CAEDF">
      <w:pPr>
        <w:jc w:val="center"/>
        <w:rPr>
          <w:rFonts w:hint="eastAsia" w:ascii="宋体" w:hAnsi="宋体" w:eastAsia="宋体" w:cs="宋体"/>
          <w:b/>
          <w:bCs/>
          <w:sz w:val="32"/>
          <w:szCs w:val="40"/>
        </w:rPr>
      </w:pPr>
    </w:p>
    <w:p w14:paraId="17C415B1">
      <w:pPr>
        <w:jc w:val="center"/>
        <w:rPr>
          <w:rFonts w:hint="eastAsia" w:ascii="宋体" w:hAnsi="宋体" w:eastAsia="宋体" w:cs="宋体"/>
          <w:b/>
          <w:bCs/>
          <w:sz w:val="32"/>
          <w:szCs w:val="40"/>
        </w:rPr>
      </w:pPr>
    </w:p>
    <w:p w14:paraId="0BE9E4C3">
      <w:pPr>
        <w:jc w:val="center"/>
        <w:rPr>
          <w:rFonts w:hint="eastAsia" w:ascii="宋体" w:hAnsi="宋体" w:eastAsia="宋体" w:cs="宋体"/>
          <w:b/>
          <w:bCs/>
          <w:sz w:val="32"/>
          <w:szCs w:val="40"/>
        </w:rPr>
      </w:pPr>
    </w:p>
    <w:p w14:paraId="32C8D244">
      <w:pPr>
        <w:jc w:val="center"/>
        <w:rPr>
          <w:rFonts w:hint="eastAsia" w:ascii="宋体" w:hAnsi="宋体" w:eastAsia="宋体" w:cs="宋体"/>
          <w:b/>
          <w:bCs/>
          <w:sz w:val="32"/>
          <w:szCs w:val="40"/>
        </w:rPr>
      </w:pPr>
    </w:p>
    <w:p w14:paraId="4A9F0B57">
      <w:pPr>
        <w:jc w:val="center"/>
        <w:rPr>
          <w:rFonts w:hint="eastAsia" w:ascii="宋体" w:hAnsi="宋体" w:eastAsia="宋体" w:cs="宋体"/>
          <w:b/>
          <w:bCs/>
          <w:sz w:val="32"/>
          <w:szCs w:val="40"/>
        </w:rPr>
      </w:pPr>
    </w:p>
    <w:p w14:paraId="4ED0DEFF">
      <w:pPr>
        <w:jc w:val="center"/>
        <w:rPr>
          <w:rFonts w:hint="eastAsia" w:ascii="宋体" w:hAnsi="宋体" w:eastAsia="宋体" w:cs="宋体"/>
          <w:b/>
          <w:bCs/>
          <w:sz w:val="32"/>
          <w:szCs w:val="40"/>
        </w:rPr>
      </w:pPr>
    </w:p>
    <w:p w14:paraId="4F701F8E">
      <w:pPr>
        <w:jc w:val="center"/>
        <w:rPr>
          <w:rFonts w:hint="eastAsia" w:ascii="宋体" w:hAnsi="宋体" w:eastAsia="宋体" w:cs="宋体"/>
          <w:b/>
          <w:bCs/>
          <w:sz w:val="32"/>
          <w:szCs w:val="40"/>
        </w:rPr>
      </w:pPr>
    </w:p>
    <w:p w14:paraId="453BAD15">
      <w:pPr>
        <w:jc w:val="center"/>
        <w:rPr>
          <w:rFonts w:hint="eastAsia" w:ascii="宋体" w:hAnsi="宋体" w:eastAsia="宋体" w:cs="宋体"/>
          <w:b/>
          <w:bCs/>
          <w:sz w:val="32"/>
          <w:szCs w:val="40"/>
        </w:rPr>
      </w:pPr>
    </w:p>
    <w:p w14:paraId="6E769E53">
      <w:pPr>
        <w:jc w:val="center"/>
        <w:rPr>
          <w:rFonts w:hint="eastAsia" w:ascii="宋体" w:hAnsi="宋体" w:eastAsia="宋体" w:cs="宋体"/>
          <w:b/>
          <w:bCs/>
          <w:sz w:val="32"/>
          <w:szCs w:val="40"/>
        </w:rPr>
      </w:pPr>
    </w:p>
    <w:p w14:paraId="03711CD4">
      <w:pPr>
        <w:jc w:val="center"/>
        <w:rPr>
          <w:rFonts w:hint="eastAsia" w:ascii="宋体" w:hAnsi="宋体" w:eastAsia="宋体" w:cs="宋体"/>
          <w:b/>
          <w:bCs/>
          <w:sz w:val="32"/>
          <w:szCs w:val="40"/>
        </w:rPr>
      </w:pPr>
    </w:p>
    <w:p w14:paraId="735F2D32">
      <w:pPr>
        <w:jc w:val="center"/>
        <w:rPr>
          <w:rFonts w:hint="eastAsia" w:ascii="宋体" w:hAnsi="宋体" w:eastAsia="宋体" w:cs="宋体"/>
          <w:b/>
          <w:bCs/>
          <w:sz w:val="32"/>
          <w:szCs w:val="40"/>
        </w:rPr>
      </w:pPr>
    </w:p>
    <w:p w14:paraId="79EFC4BE">
      <w:pPr>
        <w:jc w:val="center"/>
        <w:rPr>
          <w:rFonts w:hint="eastAsia" w:ascii="宋体" w:hAnsi="宋体" w:eastAsia="宋体" w:cs="宋体"/>
          <w:b/>
          <w:bCs/>
          <w:sz w:val="32"/>
          <w:szCs w:val="40"/>
        </w:rPr>
      </w:pPr>
    </w:p>
    <w:p w14:paraId="0C5E69C2">
      <w:pPr>
        <w:jc w:val="center"/>
        <w:rPr>
          <w:rFonts w:hint="eastAsia" w:ascii="宋体" w:hAnsi="宋体" w:eastAsia="宋体" w:cs="宋体"/>
          <w:b/>
          <w:bCs/>
          <w:sz w:val="32"/>
          <w:szCs w:val="40"/>
        </w:rPr>
      </w:pPr>
    </w:p>
    <w:p w14:paraId="347E5060">
      <w:pPr>
        <w:jc w:val="center"/>
        <w:rPr>
          <w:rFonts w:hint="eastAsia" w:ascii="宋体" w:hAnsi="宋体" w:eastAsia="宋体" w:cs="宋体"/>
          <w:b/>
          <w:bCs/>
          <w:sz w:val="32"/>
          <w:szCs w:val="40"/>
        </w:rPr>
      </w:pPr>
    </w:p>
    <w:p w14:paraId="059062BF">
      <w:pPr>
        <w:jc w:val="center"/>
        <w:rPr>
          <w:rFonts w:hint="eastAsia" w:ascii="宋体" w:hAnsi="宋体" w:eastAsia="宋体" w:cs="宋体"/>
          <w:b/>
          <w:bCs/>
          <w:sz w:val="32"/>
          <w:szCs w:val="40"/>
        </w:rPr>
      </w:pPr>
    </w:p>
    <w:p w14:paraId="2CF6D051">
      <w:pPr>
        <w:jc w:val="center"/>
        <w:rPr>
          <w:rFonts w:hint="eastAsia" w:ascii="宋体" w:hAnsi="宋体" w:eastAsia="宋体" w:cs="宋体"/>
          <w:b/>
          <w:bCs/>
          <w:sz w:val="32"/>
          <w:szCs w:val="40"/>
        </w:rPr>
      </w:pPr>
    </w:p>
    <w:p w14:paraId="35131574">
      <w:pPr>
        <w:jc w:val="center"/>
        <w:rPr>
          <w:rFonts w:hint="eastAsia" w:ascii="宋体" w:hAnsi="宋体" w:eastAsia="宋体" w:cs="宋体"/>
          <w:b/>
          <w:bCs/>
          <w:sz w:val="32"/>
          <w:szCs w:val="40"/>
        </w:rPr>
      </w:pPr>
    </w:p>
    <w:p w14:paraId="12125C6C">
      <w:pPr>
        <w:jc w:val="center"/>
        <w:rPr>
          <w:rFonts w:hint="eastAsia" w:ascii="宋体" w:hAnsi="宋体" w:eastAsia="宋体" w:cs="宋体"/>
          <w:b/>
          <w:bCs/>
          <w:sz w:val="32"/>
          <w:szCs w:val="40"/>
        </w:rPr>
      </w:pPr>
    </w:p>
    <w:p w14:paraId="5591A18C">
      <w:pPr>
        <w:jc w:val="center"/>
        <w:rPr>
          <w:rFonts w:hint="eastAsia" w:ascii="宋体" w:hAnsi="宋体" w:eastAsia="宋体" w:cs="宋体"/>
          <w:b/>
          <w:bCs/>
          <w:sz w:val="32"/>
          <w:szCs w:val="40"/>
        </w:rPr>
      </w:pPr>
    </w:p>
    <w:p w14:paraId="6F9F07C1">
      <w:pPr>
        <w:jc w:val="center"/>
        <w:rPr>
          <w:rFonts w:hint="eastAsia" w:ascii="宋体" w:hAnsi="宋体" w:eastAsia="宋体" w:cs="宋体"/>
          <w:b/>
          <w:bCs/>
          <w:sz w:val="32"/>
          <w:szCs w:val="40"/>
        </w:rPr>
      </w:pPr>
    </w:p>
    <w:p w14:paraId="6F2613E8">
      <w:pPr>
        <w:jc w:val="center"/>
        <w:rPr>
          <w:rFonts w:hint="eastAsia" w:ascii="宋体" w:hAnsi="宋体" w:eastAsia="宋体" w:cs="宋体"/>
          <w:b/>
          <w:bCs/>
          <w:sz w:val="32"/>
          <w:szCs w:val="40"/>
        </w:rPr>
      </w:pPr>
    </w:p>
    <w:p w14:paraId="371269A9">
      <w:pPr>
        <w:jc w:val="center"/>
        <w:rPr>
          <w:rFonts w:hint="eastAsia" w:ascii="宋体" w:hAnsi="宋体" w:eastAsia="宋体" w:cs="宋体"/>
          <w:b/>
          <w:bCs/>
          <w:sz w:val="32"/>
          <w:szCs w:val="40"/>
        </w:rPr>
      </w:pPr>
    </w:p>
    <w:p w14:paraId="41366D18">
      <w:pPr>
        <w:jc w:val="center"/>
        <w:rPr>
          <w:rFonts w:hint="eastAsia" w:ascii="宋体" w:hAnsi="宋体" w:eastAsia="宋体" w:cs="宋体"/>
          <w:b/>
          <w:bCs/>
          <w:sz w:val="32"/>
          <w:szCs w:val="40"/>
        </w:rPr>
      </w:pPr>
      <w:r>
        <w:rPr>
          <w:rFonts w:hint="eastAsia" w:ascii="宋体" w:hAnsi="宋体" w:eastAsia="宋体" w:cs="宋体"/>
          <w:b/>
          <w:bCs/>
          <w:sz w:val="32"/>
          <w:szCs w:val="40"/>
        </w:rPr>
        <w:t>目录</w:t>
      </w:r>
    </w:p>
    <w:p w14:paraId="5C4B239E">
      <w:pPr>
        <w:jc w:val="center"/>
        <w:rPr>
          <w:rFonts w:hint="eastAsia" w:ascii="宋体" w:hAnsi="宋体" w:eastAsia="宋体" w:cs="宋体"/>
          <w:b w:val="0"/>
          <w:bCs w:val="0"/>
          <w:sz w:val="24"/>
          <w:szCs w:val="24"/>
        </w:rPr>
      </w:pPr>
    </w:p>
    <w:p w14:paraId="2367956E">
      <w:pPr>
        <w:pStyle w:val="17"/>
        <w:tabs>
          <w:tab w:val="right" w:leader="dot" w:pos="9746"/>
        </w:tabs>
        <w:rPr>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TOC \o "1-1" \h \u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_Toc20611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第一部分  竞争性谈判公告</w:t>
      </w:r>
      <w:r>
        <w:rPr>
          <w:b w:val="0"/>
          <w:bCs w:val="0"/>
          <w:sz w:val="24"/>
          <w:szCs w:val="24"/>
        </w:rPr>
        <w:tab/>
      </w:r>
      <w:r>
        <w:rPr>
          <w:b w:val="0"/>
          <w:bCs w:val="0"/>
          <w:sz w:val="24"/>
          <w:szCs w:val="24"/>
        </w:rPr>
        <w:fldChar w:fldCharType="begin"/>
      </w:r>
      <w:r>
        <w:rPr>
          <w:b w:val="0"/>
          <w:bCs w:val="0"/>
          <w:sz w:val="24"/>
          <w:szCs w:val="24"/>
        </w:rPr>
        <w:instrText xml:space="preserve"> PAGEREF _Toc20611 \h </w:instrText>
      </w:r>
      <w:r>
        <w:rPr>
          <w:b w:val="0"/>
          <w:bCs w:val="0"/>
          <w:sz w:val="24"/>
          <w:szCs w:val="24"/>
        </w:rPr>
        <w:fldChar w:fldCharType="separate"/>
      </w:r>
      <w:r>
        <w:rPr>
          <w:b w:val="0"/>
          <w:bCs w:val="0"/>
          <w:sz w:val="24"/>
          <w:szCs w:val="24"/>
        </w:rPr>
        <w:t>4</w:t>
      </w:r>
      <w:r>
        <w:rPr>
          <w:b w:val="0"/>
          <w:bCs w:val="0"/>
          <w:sz w:val="24"/>
          <w:szCs w:val="24"/>
        </w:rPr>
        <w:fldChar w:fldCharType="end"/>
      </w:r>
      <w:r>
        <w:rPr>
          <w:rFonts w:hint="eastAsia" w:ascii="宋体" w:hAnsi="宋体" w:eastAsia="宋体" w:cs="宋体"/>
          <w:b w:val="0"/>
          <w:bCs w:val="0"/>
          <w:sz w:val="24"/>
          <w:szCs w:val="24"/>
        </w:rPr>
        <w:fldChar w:fldCharType="end"/>
      </w:r>
    </w:p>
    <w:p w14:paraId="61BF751F">
      <w:pPr>
        <w:pStyle w:val="17"/>
        <w:tabs>
          <w:tab w:val="right" w:leader="dot" w:pos="9746"/>
        </w:tabs>
        <w:rPr>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_Toc14959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第二部分  供应商须知</w:t>
      </w:r>
      <w:r>
        <w:rPr>
          <w:rFonts w:hint="eastAsia" w:ascii="宋体" w:hAnsi="宋体" w:eastAsia="宋体" w:cs="宋体"/>
          <w:b w:val="0"/>
          <w:bCs w:val="0"/>
          <w:sz w:val="24"/>
          <w:szCs w:val="24"/>
          <w:lang w:eastAsia="zh-CN"/>
        </w:rPr>
        <w:t>前附表</w:t>
      </w:r>
      <w:r>
        <w:rPr>
          <w:b w:val="0"/>
          <w:bCs w:val="0"/>
          <w:sz w:val="24"/>
          <w:szCs w:val="24"/>
        </w:rPr>
        <w:tab/>
      </w:r>
      <w:r>
        <w:rPr>
          <w:b w:val="0"/>
          <w:bCs w:val="0"/>
          <w:sz w:val="24"/>
          <w:szCs w:val="24"/>
        </w:rPr>
        <w:fldChar w:fldCharType="begin"/>
      </w:r>
      <w:r>
        <w:rPr>
          <w:b w:val="0"/>
          <w:bCs w:val="0"/>
          <w:sz w:val="24"/>
          <w:szCs w:val="24"/>
        </w:rPr>
        <w:instrText xml:space="preserve"> PAGEREF _Toc14959 \h </w:instrText>
      </w:r>
      <w:r>
        <w:rPr>
          <w:b w:val="0"/>
          <w:bCs w:val="0"/>
          <w:sz w:val="24"/>
          <w:szCs w:val="24"/>
        </w:rPr>
        <w:fldChar w:fldCharType="separate"/>
      </w:r>
      <w:r>
        <w:rPr>
          <w:b w:val="0"/>
          <w:bCs w:val="0"/>
          <w:sz w:val="24"/>
          <w:szCs w:val="24"/>
        </w:rPr>
        <w:t>8</w:t>
      </w:r>
      <w:r>
        <w:rPr>
          <w:b w:val="0"/>
          <w:bCs w:val="0"/>
          <w:sz w:val="24"/>
          <w:szCs w:val="24"/>
        </w:rPr>
        <w:fldChar w:fldCharType="end"/>
      </w:r>
      <w:r>
        <w:rPr>
          <w:rFonts w:hint="eastAsia" w:ascii="宋体" w:hAnsi="宋体" w:eastAsia="宋体" w:cs="宋体"/>
          <w:b w:val="0"/>
          <w:bCs w:val="0"/>
          <w:sz w:val="24"/>
          <w:szCs w:val="24"/>
        </w:rPr>
        <w:fldChar w:fldCharType="end"/>
      </w:r>
    </w:p>
    <w:p w14:paraId="16FA5B60">
      <w:pPr>
        <w:pStyle w:val="17"/>
        <w:tabs>
          <w:tab w:val="right" w:leader="dot" w:pos="9746"/>
        </w:tabs>
        <w:rPr>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_Toc11996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en-US" w:eastAsia="zh-CN"/>
        </w:rPr>
        <w:t>第三部分  采购需求</w:t>
      </w:r>
      <w:r>
        <w:rPr>
          <w:b w:val="0"/>
          <w:bCs w:val="0"/>
          <w:sz w:val="24"/>
          <w:szCs w:val="24"/>
        </w:rPr>
        <w:tab/>
      </w:r>
      <w:r>
        <w:rPr>
          <w:b w:val="0"/>
          <w:bCs w:val="0"/>
          <w:sz w:val="24"/>
          <w:szCs w:val="24"/>
        </w:rPr>
        <w:fldChar w:fldCharType="begin"/>
      </w:r>
      <w:r>
        <w:rPr>
          <w:b w:val="0"/>
          <w:bCs w:val="0"/>
          <w:sz w:val="24"/>
          <w:szCs w:val="24"/>
        </w:rPr>
        <w:instrText xml:space="preserve"> PAGEREF _Toc11996 \h </w:instrText>
      </w:r>
      <w:r>
        <w:rPr>
          <w:b w:val="0"/>
          <w:bCs w:val="0"/>
          <w:sz w:val="24"/>
          <w:szCs w:val="24"/>
        </w:rPr>
        <w:fldChar w:fldCharType="separate"/>
      </w:r>
      <w:r>
        <w:rPr>
          <w:b w:val="0"/>
          <w:bCs w:val="0"/>
          <w:sz w:val="24"/>
          <w:szCs w:val="24"/>
        </w:rPr>
        <w:t>40</w:t>
      </w:r>
      <w:r>
        <w:rPr>
          <w:b w:val="0"/>
          <w:bCs w:val="0"/>
          <w:sz w:val="24"/>
          <w:szCs w:val="24"/>
        </w:rPr>
        <w:fldChar w:fldCharType="end"/>
      </w:r>
      <w:r>
        <w:rPr>
          <w:rFonts w:hint="eastAsia" w:ascii="宋体" w:hAnsi="宋体" w:eastAsia="宋体" w:cs="宋体"/>
          <w:b w:val="0"/>
          <w:bCs w:val="0"/>
          <w:sz w:val="24"/>
          <w:szCs w:val="24"/>
        </w:rPr>
        <w:fldChar w:fldCharType="end"/>
      </w:r>
    </w:p>
    <w:p w14:paraId="1D52E1C6">
      <w:pPr>
        <w:pStyle w:val="17"/>
        <w:tabs>
          <w:tab w:val="right" w:leader="dot" w:pos="9746"/>
        </w:tabs>
        <w:rPr>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_Toc26583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eastAsia="zh-CN"/>
        </w:rPr>
        <w:t>第四部分</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合同</w:t>
      </w:r>
      <w:r>
        <w:rPr>
          <w:b w:val="0"/>
          <w:bCs w:val="0"/>
          <w:sz w:val="24"/>
          <w:szCs w:val="24"/>
        </w:rPr>
        <w:tab/>
      </w:r>
      <w:r>
        <w:rPr>
          <w:b w:val="0"/>
          <w:bCs w:val="0"/>
          <w:sz w:val="24"/>
          <w:szCs w:val="24"/>
        </w:rPr>
        <w:fldChar w:fldCharType="begin"/>
      </w:r>
      <w:r>
        <w:rPr>
          <w:b w:val="0"/>
          <w:bCs w:val="0"/>
          <w:sz w:val="24"/>
          <w:szCs w:val="24"/>
        </w:rPr>
        <w:instrText xml:space="preserve"> PAGEREF _Toc26583 \h </w:instrText>
      </w:r>
      <w:r>
        <w:rPr>
          <w:b w:val="0"/>
          <w:bCs w:val="0"/>
          <w:sz w:val="24"/>
          <w:szCs w:val="24"/>
        </w:rPr>
        <w:fldChar w:fldCharType="separate"/>
      </w:r>
      <w:r>
        <w:rPr>
          <w:b w:val="0"/>
          <w:bCs w:val="0"/>
          <w:sz w:val="24"/>
          <w:szCs w:val="24"/>
        </w:rPr>
        <w:t>50</w:t>
      </w:r>
      <w:r>
        <w:rPr>
          <w:b w:val="0"/>
          <w:bCs w:val="0"/>
          <w:sz w:val="24"/>
          <w:szCs w:val="24"/>
        </w:rPr>
        <w:fldChar w:fldCharType="end"/>
      </w:r>
      <w:r>
        <w:rPr>
          <w:rFonts w:hint="eastAsia" w:ascii="宋体" w:hAnsi="宋体" w:eastAsia="宋体" w:cs="宋体"/>
          <w:b w:val="0"/>
          <w:bCs w:val="0"/>
          <w:sz w:val="24"/>
          <w:szCs w:val="24"/>
        </w:rPr>
        <w:fldChar w:fldCharType="end"/>
      </w:r>
    </w:p>
    <w:p w14:paraId="09CD1C27">
      <w:pPr>
        <w:pStyle w:val="17"/>
        <w:tabs>
          <w:tab w:val="right" w:leader="dot" w:pos="9746"/>
        </w:tabs>
        <w:rPr>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_Toc8828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 xml:space="preserve">第五部分 </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响应文件格式</w:t>
      </w:r>
      <w:r>
        <w:rPr>
          <w:b w:val="0"/>
          <w:bCs w:val="0"/>
          <w:sz w:val="24"/>
          <w:szCs w:val="24"/>
        </w:rPr>
        <w:tab/>
      </w:r>
      <w:r>
        <w:rPr>
          <w:b w:val="0"/>
          <w:bCs w:val="0"/>
          <w:sz w:val="24"/>
          <w:szCs w:val="24"/>
        </w:rPr>
        <w:fldChar w:fldCharType="begin"/>
      </w:r>
      <w:r>
        <w:rPr>
          <w:b w:val="0"/>
          <w:bCs w:val="0"/>
          <w:sz w:val="24"/>
          <w:szCs w:val="24"/>
        </w:rPr>
        <w:instrText xml:space="preserve"> PAGEREF _Toc8828 \h </w:instrText>
      </w:r>
      <w:r>
        <w:rPr>
          <w:b w:val="0"/>
          <w:bCs w:val="0"/>
          <w:sz w:val="24"/>
          <w:szCs w:val="24"/>
        </w:rPr>
        <w:fldChar w:fldCharType="separate"/>
      </w:r>
      <w:r>
        <w:rPr>
          <w:b w:val="0"/>
          <w:bCs w:val="0"/>
          <w:sz w:val="24"/>
          <w:szCs w:val="24"/>
        </w:rPr>
        <w:t>150</w:t>
      </w:r>
      <w:r>
        <w:rPr>
          <w:b w:val="0"/>
          <w:bCs w:val="0"/>
          <w:sz w:val="24"/>
          <w:szCs w:val="24"/>
        </w:rPr>
        <w:fldChar w:fldCharType="end"/>
      </w:r>
      <w:r>
        <w:rPr>
          <w:rFonts w:hint="eastAsia" w:ascii="宋体" w:hAnsi="宋体" w:eastAsia="宋体" w:cs="宋体"/>
          <w:b w:val="0"/>
          <w:bCs w:val="0"/>
          <w:sz w:val="24"/>
          <w:szCs w:val="24"/>
        </w:rPr>
        <w:fldChar w:fldCharType="end"/>
      </w:r>
    </w:p>
    <w:p w14:paraId="688BEB25">
      <w:pPr>
        <w:rPr>
          <w:rFonts w:hint="eastAsia" w:ascii="宋体" w:hAnsi="宋体" w:eastAsia="宋体" w:cs="宋体"/>
        </w:rPr>
      </w:pPr>
      <w:r>
        <w:rPr>
          <w:rFonts w:hint="eastAsia" w:ascii="宋体" w:hAnsi="宋体" w:eastAsia="宋体" w:cs="宋体"/>
          <w:b w:val="0"/>
          <w:bCs w:val="0"/>
          <w:sz w:val="24"/>
          <w:szCs w:val="24"/>
        </w:rPr>
        <w:fldChar w:fldCharType="end"/>
      </w:r>
    </w:p>
    <w:p w14:paraId="261440CE">
      <w:pPr>
        <w:pStyle w:val="21"/>
        <w:outlineLvl w:val="9"/>
        <w:rPr>
          <w:rFonts w:hint="eastAsia" w:ascii="宋体" w:hAnsi="宋体" w:eastAsia="宋体" w:cs="宋体"/>
          <w:color w:val="auto"/>
          <w:sz w:val="24"/>
        </w:rPr>
      </w:pPr>
    </w:p>
    <w:p w14:paraId="5314798D">
      <w:pPr>
        <w:spacing w:line="360" w:lineRule="auto"/>
        <w:jc w:val="distribute"/>
        <w:rPr>
          <w:rFonts w:hint="eastAsia" w:ascii="宋体" w:hAnsi="宋体" w:eastAsia="宋体" w:cs="宋体"/>
          <w:bCs/>
          <w:sz w:val="24"/>
        </w:rPr>
      </w:pPr>
    </w:p>
    <w:p w14:paraId="3D5B59EA">
      <w:pPr>
        <w:spacing w:line="360" w:lineRule="auto"/>
        <w:jc w:val="distribute"/>
        <w:rPr>
          <w:rFonts w:hint="eastAsia" w:ascii="宋体" w:hAnsi="宋体" w:eastAsia="宋体" w:cs="宋体"/>
          <w:bCs/>
          <w:sz w:val="24"/>
        </w:rPr>
      </w:pPr>
    </w:p>
    <w:p w14:paraId="42B85F03">
      <w:pPr>
        <w:spacing w:line="360" w:lineRule="auto"/>
        <w:jc w:val="distribute"/>
        <w:rPr>
          <w:rFonts w:hint="eastAsia" w:ascii="宋体" w:hAnsi="宋体" w:eastAsia="宋体" w:cs="宋体"/>
          <w:bCs/>
          <w:sz w:val="24"/>
        </w:rPr>
      </w:pPr>
    </w:p>
    <w:p w14:paraId="28342BD5">
      <w:pPr>
        <w:spacing w:line="360" w:lineRule="auto"/>
        <w:jc w:val="distribute"/>
        <w:rPr>
          <w:rFonts w:hint="eastAsia" w:ascii="宋体" w:hAnsi="宋体" w:eastAsia="宋体" w:cs="宋体"/>
          <w:bCs/>
          <w:sz w:val="24"/>
        </w:rPr>
      </w:pPr>
    </w:p>
    <w:p w14:paraId="0F18B336">
      <w:pPr>
        <w:spacing w:line="360" w:lineRule="auto"/>
        <w:jc w:val="distribute"/>
        <w:rPr>
          <w:rFonts w:hint="eastAsia" w:ascii="宋体" w:hAnsi="宋体" w:eastAsia="宋体" w:cs="宋体"/>
          <w:bCs/>
          <w:sz w:val="24"/>
        </w:rPr>
      </w:pPr>
    </w:p>
    <w:p w14:paraId="2F711CA2">
      <w:pPr>
        <w:spacing w:line="360" w:lineRule="auto"/>
        <w:jc w:val="distribute"/>
        <w:rPr>
          <w:rFonts w:hint="eastAsia" w:ascii="宋体" w:hAnsi="宋体" w:eastAsia="宋体" w:cs="宋体"/>
          <w:bCs/>
          <w:sz w:val="24"/>
        </w:rPr>
      </w:pPr>
    </w:p>
    <w:p w14:paraId="0103554F">
      <w:pPr>
        <w:spacing w:line="360" w:lineRule="auto"/>
        <w:jc w:val="center"/>
        <w:rPr>
          <w:rFonts w:hint="eastAsia" w:ascii="宋体" w:hAnsi="宋体" w:eastAsia="宋体" w:cs="宋体"/>
          <w:b/>
          <w:bCs/>
          <w:sz w:val="36"/>
          <w:szCs w:val="36"/>
        </w:rPr>
        <w:sectPr>
          <w:footerReference r:id="rId5" w:type="default"/>
          <w:pgSz w:w="11906" w:h="16838"/>
          <w:pgMar w:top="1440" w:right="1080" w:bottom="1440" w:left="1080" w:header="851" w:footer="992" w:gutter="0"/>
          <w:pgNumType w:start="1"/>
          <w:cols w:space="720" w:num="1"/>
          <w:docGrid w:linePitch="312" w:charSpace="0"/>
        </w:sectPr>
      </w:pPr>
    </w:p>
    <w:p w14:paraId="04F6FF9E">
      <w:pPr>
        <w:pStyle w:val="2"/>
        <w:outlineLvl w:val="0"/>
        <w:rPr>
          <w:rFonts w:hint="eastAsia" w:ascii="宋体" w:hAnsi="宋体" w:eastAsia="宋体" w:cs="宋体"/>
        </w:rPr>
      </w:pPr>
      <w:bookmarkStart w:id="1" w:name="_Toc24078"/>
      <w:bookmarkStart w:id="2" w:name="_Toc10142"/>
      <w:bookmarkStart w:id="3" w:name="_Toc8983595"/>
      <w:bookmarkStart w:id="4" w:name="_Toc20611"/>
      <w:r>
        <w:rPr>
          <w:rFonts w:hint="eastAsia" w:ascii="宋体" w:hAnsi="宋体" w:eastAsia="宋体" w:cs="宋体"/>
        </w:rPr>
        <w:t>第一部分  竞争性谈判公告</w:t>
      </w:r>
      <w:bookmarkEnd w:id="1"/>
      <w:bookmarkEnd w:id="2"/>
      <w:bookmarkEnd w:id="3"/>
      <w:bookmarkEnd w:id="4"/>
    </w:p>
    <w:p w14:paraId="1A3E2907">
      <w:pPr>
        <w:pStyle w:val="20"/>
        <w:pBdr>
          <w:top w:val="single" w:color="auto" w:sz="4" w:space="1"/>
          <w:left w:val="single" w:color="auto" w:sz="4" w:space="4"/>
          <w:bottom w:val="single" w:color="auto" w:sz="4" w:space="1"/>
          <w:right w:val="single" w:color="auto" w:sz="4" w:space="4"/>
        </w:pBdr>
        <w:spacing w:before="0" w:beforeAutospacing="0" w:after="0" w:afterAutospacing="0" w:line="360" w:lineRule="auto"/>
        <w:rPr>
          <w:rFonts w:hint="eastAsia" w:ascii="宋体" w:hAnsi="宋体" w:eastAsia="宋体" w:cs="宋体"/>
        </w:rPr>
      </w:pPr>
      <w:r>
        <w:rPr>
          <w:rFonts w:hint="eastAsia" w:ascii="宋体" w:hAnsi="宋体" w:eastAsia="宋体" w:cs="宋体"/>
        </w:rPr>
        <w:t>项目概况：</w:t>
      </w:r>
    </w:p>
    <w:p w14:paraId="416A4F9A">
      <w:pPr>
        <w:pStyle w:val="20"/>
        <w:pBdr>
          <w:top w:val="single" w:color="auto" w:sz="4" w:space="1"/>
          <w:left w:val="single" w:color="auto" w:sz="4" w:space="4"/>
          <w:bottom w:val="single" w:color="auto" w:sz="4" w:space="1"/>
          <w:right w:val="single" w:color="auto" w:sz="4" w:space="4"/>
        </w:pBdr>
        <w:spacing w:before="0" w:beforeAutospacing="0" w:after="0" w:afterAutospacing="0" w:line="360" w:lineRule="auto"/>
        <w:rPr>
          <w:rFonts w:hint="eastAsia" w:ascii="宋体" w:hAnsi="宋体" w:eastAsia="宋体" w:cs="宋体"/>
        </w:rPr>
      </w:pPr>
      <w:r>
        <w:rPr>
          <w:rFonts w:hint="eastAsia" w:cs="宋体"/>
          <w:lang w:eastAsia="zh-CN"/>
        </w:rPr>
        <w:t>中华人民共和国新疆出入境边防检查总站网络安全技术服务采购项目</w:t>
      </w:r>
      <w:r>
        <w:rPr>
          <w:rFonts w:hint="eastAsia" w:ascii="宋体" w:hAnsi="宋体" w:eastAsia="宋体" w:cs="宋体"/>
        </w:rPr>
        <w:t>的潜在供应商应在政采云平台线上（https://www.zcygov.cn/）获取竞争性谈判文件，并于 202</w:t>
      </w:r>
      <w:r>
        <w:rPr>
          <w:rFonts w:hint="eastAsia" w:cs="宋体"/>
          <w:lang w:val="en-US" w:eastAsia="zh-CN"/>
        </w:rPr>
        <w:t>5</w:t>
      </w:r>
      <w:r>
        <w:rPr>
          <w:rFonts w:hint="eastAsia" w:ascii="宋体" w:hAnsi="宋体" w:eastAsia="宋体" w:cs="宋体"/>
        </w:rPr>
        <w:t>年</w:t>
      </w:r>
      <w:r>
        <w:rPr>
          <w:rFonts w:hint="eastAsia" w:cs="宋体"/>
          <w:lang w:val="en-US" w:eastAsia="zh-CN"/>
        </w:rPr>
        <w:t>07</w:t>
      </w:r>
      <w:r>
        <w:rPr>
          <w:rFonts w:hint="eastAsia" w:ascii="宋体" w:hAnsi="宋体" w:eastAsia="宋体" w:cs="宋体"/>
        </w:rPr>
        <w:t>月</w:t>
      </w:r>
      <w:r>
        <w:rPr>
          <w:rFonts w:hint="eastAsia" w:cs="宋体"/>
          <w:lang w:val="en-US" w:eastAsia="zh-CN"/>
        </w:rPr>
        <w:t>10</w:t>
      </w:r>
      <w:r>
        <w:rPr>
          <w:rFonts w:hint="eastAsia" w:ascii="宋体" w:hAnsi="宋体" w:eastAsia="宋体" w:cs="宋体"/>
        </w:rPr>
        <w:t>日</w:t>
      </w:r>
      <w:r>
        <w:rPr>
          <w:rFonts w:hint="eastAsia" w:cs="宋体"/>
          <w:lang w:val="en-US" w:eastAsia="zh-CN"/>
        </w:rPr>
        <w:t>11：00</w:t>
      </w:r>
      <w:r>
        <w:rPr>
          <w:rFonts w:hint="eastAsia" w:ascii="宋体" w:hAnsi="宋体" w:eastAsia="宋体" w:cs="宋体"/>
        </w:rPr>
        <w:t>（北京时间）前递交响应文件。</w:t>
      </w:r>
    </w:p>
    <w:p w14:paraId="2D204075">
      <w:pPr>
        <w:pStyle w:val="20"/>
        <w:adjustRightInd w:val="0"/>
        <w:snapToGrid w:val="0"/>
        <w:spacing w:before="0" w:beforeAutospacing="0" w:after="0" w:afterAutospacing="0" w:line="360" w:lineRule="auto"/>
        <w:ind w:firstLine="482" w:firstLineChars="200"/>
        <w:jc w:val="both"/>
        <w:rPr>
          <w:rFonts w:hint="eastAsia" w:ascii="宋体" w:hAnsi="宋体" w:eastAsia="宋体" w:cs="宋体"/>
        </w:rPr>
      </w:pPr>
      <w:r>
        <w:rPr>
          <w:rStyle w:val="27"/>
          <w:rFonts w:hint="eastAsia" w:ascii="宋体" w:hAnsi="宋体" w:eastAsia="宋体" w:cs="宋体"/>
        </w:rPr>
        <w:t>一、项目基本情况</w:t>
      </w:r>
    </w:p>
    <w:p w14:paraId="7EB93FC4">
      <w:pPr>
        <w:pStyle w:val="20"/>
        <w:adjustRightInd w:val="0"/>
        <w:snapToGrid w:val="0"/>
        <w:spacing w:before="0" w:beforeAutospacing="0" w:after="0" w:afterAutospacing="0" w:line="360" w:lineRule="auto"/>
        <w:rPr>
          <w:rFonts w:hint="eastAsia" w:ascii="宋体" w:hAnsi="宋体" w:eastAsia="宋体" w:cs="宋体"/>
          <w:lang w:eastAsia="zh-CN"/>
        </w:rPr>
      </w:pPr>
      <w:r>
        <w:rPr>
          <w:rFonts w:hint="eastAsia" w:ascii="宋体" w:hAnsi="宋体" w:eastAsia="宋体" w:cs="宋体"/>
        </w:rPr>
        <w:t>   项目编号：</w:t>
      </w:r>
      <w:r>
        <w:rPr>
          <w:rFonts w:hint="eastAsia" w:cs="宋体"/>
          <w:lang w:eastAsia="zh-CN"/>
        </w:rPr>
        <w:t>hcxjczt-2025-330</w:t>
      </w:r>
    </w:p>
    <w:p w14:paraId="2FB7E645">
      <w:pPr>
        <w:pStyle w:val="20"/>
        <w:adjustRightInd w:val="0"/>
        <w:snapToGrid w:val="0"/>
        <w:spacing w:before="0" w:beforeAutospacing="0" w:after="0" w:afterAutospacing="0" w:line="360" w:lineRule="auto"/>
        <w:rPr>
          <w:rFonts w:hint="eastAsia" w:ascii="宋体" w:hAnsi="宋体" w:eastAsia="宋体" w:cs="宋体"/>
          <w:lang w:eastAsia="zh-CN"/>
        </w:rPr>
      </w:pPr>
      <w:r>
        <w:rPr>
          <w:rFonts w:hint="eastAsia" w:ascii="宋体" w:hAnsi="宋体" w:eastAsia="宋体" w:cs="宋体"/>
        </w:rPr>
        <w:t>   项目名称：</w:t>
      </w:r>
      <w:r>
        <w:rPr>
          <w:rFonts w:hint="eastAsia" w:cs="宋体"/>
          <w:lang w:eastAsia="zh-CN"/>
        </w:rPr>
        <w:t>中华人民共和国新疆出入境边防检查总站网络安全技术服务采购项目</w:t>
      </w:r>
    </w:p>
    <w:p w14:paraId="37B2C8A4">
      <w:pPr>
        <w:pStyle w:val="20"/>
        <w:adjustRightInd w:val="0"/>
        <w:snapToGrid w:val="0"/>
        <w:spacing w:before="0" w:beforeAutospacing="0" w:after="0" w:afterAutospacing="0" w:line="360" w:lineRule="auto"/>
        <w:rPr>
          <w:rFonts w:hint="eastAsia" w:ascii="宋体" w:hAnsi="宋体" w:eastAsia="宋体" w:cs="宋体"/>
        </w:rPr>
      </w:pPr>
      <w:r>
        <w:rPr>
          <w:rFonts w:hint="eastAsia" w:ascii="宋体" w:hAnsi="宋体" w:eastAsia="宋体" w:cs="宋体"/>
        </w:rPr>
        <w:t>   采购方式：竞争性谈判 </w:t>
      </w:r>
    </w:p>
    <w:p w14:paraId="5E594508">
      <w:pPr>
        <w:pStyle w:val="20"/>
        <w:adjustRightInd w:val="0"/>
        <w:snapToGrid w:val="0"/>
        <w:spacing w:before="0" w:beforeAutospacing="0" w:after="0" w:afterAutospacing="0" w:line="360" w:lineRule="auto"/>
        <w:rPr>
          <w:rFonts w:hint="eastAsia" w:ascii="宋体" w:hAnsi="宋体" w:eastAsia="宋体" w:cs="宋体"/>
          <w:highlight w:val="red"/>
        </w:rPr>
      </w:pPr>
      <w:r>
        <w:rPr>
          <w:rFonts w:hint="eastAsia" w:ascii="宋体" w:hAnsi="宋体" w:eastAsia="宋体" w:cs="宋体"/>
        </w:rPr>
        <w:t>   预算金额：</w:t>
      </w:r>
      <w:r>
        <w:rPr>
          <w:rFonts w:hint="eastAsia" w:cs="宋体"/>
          <w:lang w:val="en-US" w:eastAsia="zh-CN"/>
        </w:rPr>
        <w:t>600000</w:t>
      </w:r>
      <w:r>
        <w:rPr>
          <w:rFonts w:hint="eastAsia" w:ascii="宋体" w:hAnsi="宋体" w:eastAsia="宋体" w:cs="宋体"/>
        </w:rPr>
        <w:t>.00元</w:t>
      </w:r>
    </w:p>
    <w:p w14:paraId="2BC71B71">
      <w:pPr>
        <w:pStyle w:val="20"/>
        <w:adjustRightInd w:val="0"/>
        <w:snapToGrid w:val="0"/>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最高限价：</w:t>
      </w:r>
      <w:r>
        <w:rPr>
          <w:rFonts w:hint="eastAsia" w:cs="宋体"/>
          <w:lang w:val="en-US" w:eastAsia="zh-CN"/>
        </w:rPr>
        <w:t>580000.00</w:t>
      </w:r>
      <w:r>
        <w:rPr>
          <w:rFonts w:hint="eastAsia" w:ascii="宋体" w:hAnsi="宋体" w:eastAsia="宋体" w:cs="宋体"/>
        </w:rPr>
        <w:t>元  </w:t>
      </w:r>
    </w:p>
    <w:p w14:paraId="2F70EA98">
      <w:pPr>
        <w:pStyle w:val="20"/>
        <w:adjustRightInd w:val="0"/>
        <w:snapToGrid w:val="0"/>
        <w:spacing w:before="0" w:beforeAutospacing="0" w:after="0" w:afterAutospacing="0" w:line="360" w:lineRule="auto"/>
        <w:rPr>
          <w:rFonts w:hint="default" w:ascii="宋体" w:hAnsi="宋体" w:eastAsia="宋体" w:cs="宋体"/>
          <w:lang w:val="en-US"/>
        </w:rPr>
      </w:pPr>
      <w:r>
        <w:rPr>
          <w:rFonts w:hint="eastAsia" w:ascii="宋体" w:hAnsi="宋体" w:eastAsia="宋体" w:cs="宋体"/>
        </w:rPr>
        <w:t xml:space="preserve">   </w:t>
      </w:r>
      <w:r>
        <w:rPr>
          <w:rFonts w:hint="eastAsia" w:ascii="宋体" w:hAnsi="宋体" w:eastAsia="宋体" w:cs="宋体"/>
          <w:lang w:eastAsia="zh-CN"/>
        </w:rPr>
        <w:t>采购需求：</w:t>
      </w:r>
      <w:r>
        <w:rPr>
          <w:rFonts w:hint="eastAsia" w:cs="宋体"/>
          <w:lang w:val="en-US" w:eastAsia="zh-CN"/>
        </w:rPr>
        <w:t>采购安全运维和系统加固等相关服务具体详见谈判文件。</w:t>
      </w:r>
    </w:p>
    <w:p w14:paraId="6C8B00B4">
      <w:pPr>
        <w:pStyle w:val="20"/>
        <w:adjustRightInd w:val="0"/>
        <w:snapToGrid w:val="0"/>
        <w:spacing w:before="0" w:beforeAutospacing="0" w:after="0" w:afterAutospacing="0" w:line="360" w:lineRule="auto"/>
        <w:ind w:firstLine="513" w:firstLineChars="214"/>
        <w:rPr>
          <w:rFonts w:hint="eastAsia" w:ascii="宋体" w:hAnsi="宋体" w:eastAsia="宋体" w:cs="宋体"/>
        </w:rPr>
      </w:pPr>
      <w:r>
        <w:rPr>
          <w:rFonts w:hint="eastAsia" w:ascii="宋体" w:hAnsi="宋体" w:eastAsia="宋体" w:cs="宋体"/>
          <w:color w:val="000000"/>
        </w:rPr>
        <w:t>合同履约期限：合同签订后</w:t>
      </w:r>
      <w:r>
        <w:rPr>
          <w:rFonts w:hint="eastAsia" w:ascii="宋体" w:hAnsi="宋体" w:eastAsia="宋体" w:cs="宋体"/>
          <w:color w:val="000000"/>
          <w:lang w:val="en-US" w:eastAsia="zh-CN"/>
        </w:rPr>
        <w:t>12个月</w:t>
      </w:r>
      <w:r>
        <w:rPr>
          <w:rFonts w:hint="eastAsia" w:ascii="宋体" w:hAnsi="宋体" w:eastAsia="宋体" w:cs="宋体"/>
        </w:rPr>
        <w:t>。  </w:t>
      </w:r>
    </w:p>
    <w:p w14:paraId="45F64644">
      <w:pPr>
        <w:pStyle w:val="20"/>
        <w:adjustRightInd w:val="0"/>
        <w:snapToGrid w:val="0"/>
        <w:spacing w:before="0" w:beforeAutospacing="0" w:after="0" w:afterAutospacing="0" w:line="360" w:lineRule="auto"/>
        <w:ind w:firstLine="482" w:firstLineChars="200"/>
        <w:jc w:val="both"/>
        <w:rPr>
          <w:rFonts w:hint="eastAsia" w:ascii="宋体" w:hAnsi="宋体" w:eastAsia="宋体" w:cs="宋体"/>
        </w:rPr>
      </w:pPr>
      <w:r>
        <w:rPr>
          <w:rStyle w:val="27"/>
          <w:rFonts w:hint="eastAsia" w:ascii="宋体" w:hAnsi="宋体" w:eastAsia="宋体" w:cs="宋体"/>
        </w:rPr>
        <w:t>二、申请人的资格要求：</w:t>
      </w:r>
    </w:p>
    <w:p w14:paraId="1148E7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1.满足《中华人民共和国政府采购法》第二十二条规定；</w:t>
      </w:r>
    </w:p>
    <w:p w14:paraId="332A3A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2.落实政府采购政策需满足的资格要求：本项目为专门面向中小企业（含中型、小型、微型企业）采购项目，根据《政府采购促进中小企业发展管理办法》（财库﹝2020﹞46 号）的规定（200 万元以下的货物、服务采购项目、400 万元以下的工程采购项目）原则上全部预留给中小企业。</w:t>
      </w:r>
    </w:p>
    <w:p w14:paraId="6CF86A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（1）财政部《关于进一步加大政府采购支持中小企业力度的通知》（财库〔2022〕19号）、《政府采购促进中小企业发展管理办法》（财库﹝2020﹞46 号）；</w:t>
      </w:r>
    </w:p>
    <w:p w14:paraId="4C1E89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（2）《关于政府采购支持监狱企业发展有关问题的通知》（财库[2014]68号）；</w:t>
      </w:r>
    </w:p>
    <w:p w14:paraId="6FC947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（3）《三部门联合发布关于促进残疾人就业政府采购政策的通知》（财库[2017]141 号）。</w:t>
      </w:r>
    </w:p>
    <w:p w14:paraId="63D881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（4）《关于调整优化节能产品、环境标志产品政府采购执行机制的通知》（财库[2019]9号）</w:t>
      </w:r>
    </w:p>
    <w:p w14:paraId="41A86D94">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3.本项目的特定资格要求</w:t>
      </w:r>
      <w:r>
        <w:rPr>
          <w:rFonts w:hint="eastAsia" w:ascii="宋体" w:hAnsi="宋体" w:cs="宋体"/>
          <w:color w:val="auto"/>
          <w:sz w:val="24"/>
          <w:szCs w:val="24"/>
          <w:highlight w:val="none"/>
          <w:lang w:val="en-US" w:eastAsia="zh-CN"/>
        </w:rPr>
        <w:t>：1）</w:t>
      </w:r>
      <w:r>
        <w:rPr>
          <w:rFonts w:hint="eastAsia" w:ascii="宋体" w:hAnsi="宋体" w:eastAsia="宋体" w:cs="宋体"/>
          <w:sz w:val="24"/>
          <w:szCs w:val="24"/>
        </w:rPr>
        <w:t>供应商未被列入“信用中国”网站(www.creditchina.gov.cn)证记录失信被执行人或重大税收违法案件当事人名单或政府采购严重违法失信行为”记录名单；未处于中国政府采购 网(www.ccgp.gov.cn)当政府采购严重违法失信行为信息记录”中；</w:t>
      </w:r>
    </w:p>
    <w:p w14:paraId="240AC5CB">
      <w:pPr>
        <w:pStyle w:val="20"/>
        <w:adjustRightInd w:val="0"/>
        <w:snapToGrid w:val="0"/>
        <w:spacing w:before="0" w:beforeAutospacing="0" w:after="0" w:afterAutospacing="0" w:line="360" w:lineRule="auto"/>
        <w:ind w:firstLine="480" w:firstLineChars="200"/>
        <w:rPr>
          <w:rFonts w:hint="eastAsia" w:ascii="宋体" w:hAnsi="宋体" w:eastAsia="宋体" w:cs="宋体"/>
          <w:sz w:val="24"/>
          <w:szCs w:val="24"/>
        </w:rPr>
      </w:pPr>
      <w:r>
        <w:rPr>
          <w:rFonts w:hint="eastAsia" w:cs="宋体"/>
          <w:sz w:val="24"/>
          <w:szCs w:val="24"/>
          <w:lang w:val="en-US" w:eastAsia="zh-CN"/>
        </w:rPr>
        <w:t>2）</w:t>
      </w:r>
      <w:r>
        <w:rPr>
          <w:rFonts w:hint="eastAsia" w:ascii="宋体" w:hAnsi="宋体" w:eastAsia="宋体" w:cs="宋体"/>
          <w:sz w:val="24"/>
          <w:szCs w:val="24"/>
        </w:rPr>
        <w:t>单位负责人为同一人或者存在控股、管理关系的不同单位，不得同时参加本项目的</w:t>
      </w:r>
      <w:r>
        <w:rPr>
          <w:rFonts w:hint="eastAsia" w:cs="宋体"/>
          <w:sz w:val="24"/>
          <w:szCs w:val="24"/>
          <w:lang w:val="en-US" w:eastAsia="zh-CN"/>
        </w:rPr>
        <w:t>谈判响应</w:t>
      </w:r>
      <w:r>
        <w:rPr>
          <w:rFonts w:hint="eastAsia" w:ascii="宋体" w:hAnsi="宋体" w:eastAsia="宋体" w:cs="宋体"/>
          <w:sz w:val="24"/>
          <w:szCs w:val="24"/>
        </w:rPr>
        <w:t>。为本项目提供整体设计、规范编制或者项目管理、监理、检测等服务的</w:t>
      </w:r>
      <w:r>
        <w:rPr>
          <w:rFonts w:hint="eastAsia" w:cs="宋体"/>
          <w:sz w:val="24"/>
          <w:szCs w:val="24"/>
          <w:lang w:val="en-US" w:eastAsia="zh-CN"/>
        </w:rPr>
        <w:t>供应商</w:t>
      </w:r>
      <w:r>
        <w:rPr>
          <w:rFonts w:hint="eastAsia" w:ascii="宋体" w:hAnsi="宋体" w:eastAsia="宋体" w:cs="宋体"/>
          <w:sz w:val="24"/>
          <w:szCs w:val="24"/>
        </w:rPr>
        <w:t>，不得再参加本项目</w:t>
      </w:r>
      <w:r>
        <w:rPr>
          <w:rFonts w:hint="eastAsia" w:cs="宋体"/>
          <w:sz w:val="24"/>
          <w:szCs w:val="24"/>
          <w:lang w:val="en-US" w:eastAsia="zh-CN"/>
        </w:rPr>
        <w:t>谈判响应</w:t>
      </w:r>
      <w:r>
        <w:rPr>
          <w:rFonts w:hint="eastAsia" w:ascii="宋体" w:hAnsi="宋体" w:eastAsia="宋体" w:cs="宋体"/>
          <w:sz w:val="24"/>
          <w:szCs w:val="24"/>
        </w:rPr>
        <w:t>；</w:t>
      </w:r>
    </w:p>
    <w:p w14:paraId="49A068CD">
      <w:pPr>
        <w:pStyle w:val="20"/>
        <w:adjustRightInd w:val="0"/>
        <w:snapToGrid w:val="0"/>
        <w:spacing w:before="0" w:beforeAutospacing="0" w:after="0" w:afterAutospacing="0" w:line="360" w:lineRule="auto"/>
        <w:ind w:firstLine="480" w:firstLineChars="200"/>
        <w:rPr>
          <w:rFonts w:hint="eastAsia" w:ascii="宋体" w:hAnsi="宋体" w:eastAsia="宋体" w:cs="宋体"/>
        </w:rPr>
      </w:pPr>
      <w:r>
        <w:rPr>
          <w:rFonts w:hint="eastAsia" w:cs="宋体"/>
          <w:sz w:val="24"/>
          <w:szCs w:val="24"/>
          <w:lang w:val="en-US" w:eastAsia="zh-CN"/>
        </w:rPr>
        <w:t>4</w:t>
      </w:r>
      <w:r>
        <w:rPr>
          <w:rFonts w:hint="eastAsia" w:ascii="宋体" w:hAnsi="宋体" w:eastAsia="宋体" w:cs="宋体"/>
          <w:sz w:val="24"/>
          <w:szCs w:val="24"/>
          <w:lang w:val="en-US" w:eastAsia="zh-CN"/>
        </w:rPr>
        <w:t>.</w:t>
      </w:r>
      <w:r>
        <w:rPr>
          <w:rFonts w:hint="eastAsia" w:ascii="宋体" w:hAnsi="宋体" w:eastAsia="宋体" w:cs="宋体"/>
          <w:sz w:val="24"/>
          <w:szCs w:val="24"/>
        </w:rPr>
        <w:t>本项目不接受联合体投标。</w:t>
      </w: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r>
        <w:rPr>
          <w:rFonts w:hint="eastAsia" w:ascii="宋体" w:hAnsi="宋体" w:eastAsia="宋体" w:cs="宋体"/>
        </w:rPr>
        <w:t xml:space="preserve">               </w:t>
      </w:r>
    </w:p>
    <w:p w14:paraId="33527D07">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 xml:space="preserve">三、获取谈判文件 </w:t>
      </w:r>
    </w:p>
    <w:p w14:paraId="23D0FC2F">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时间：202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07</w:t>
      </w:r>
      <w:r>
        <w:rPr>
          <w:rFonts w:hint="eastAsia" w:ascii="宋体" w:hAnsi="宋体" w:eastAsia="宋体" w:cs="宋体"/>
          <w:sz w:val="24"/>
        </w:rPr>
        <w:t>月</w:t>
      </w:r>
      <w:r>
        <w:rPr>
          <w:rFonts w:hint="eastAsia" w:ascii="宋体" w:hAnsi="宋体" w:cs="宋体"/>
          <w:sz w:val="24"/>
          <w:lang w:val="en-US" w:eastAsia="zh-CN"/>
        </w:rPr>
        <w:t>05</w:t>
      </w:r>
      <w:r>
        <w:rPr>
          <w:rFonts w:hint="eastAsia" w:ascii="宋体" w:hAnsi="宋体" w:eastAsia="宋体" w:cs="宋体"/>
          <w:sz w:val="24"/>
        </w:rPr>
        <w:t>日至202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07</w:t>
      </w:r>
      <w:r>
        <w:rPr>
          <w:rFonts w:hint="eastAsia" w:ascii="宋体" w:hAnsi="宋体" w:eastAsia="宋体" w:cs="宋体"/>
          <w:sz w:val="24"/>
        </w:rPr>
        <w:t>月</w:t>
      </w:r>
      <w:r>
        <w:rPr>
          <w:rFonts w:hint="eastAsia" w:ascii="宋体" w:hAnsi="宋体" w:cs="宋体"/>
          <w:sz w:val="24"/>
          <w:lang w:val="en-US" w:eastAsia="zh-CN"/>
        </w:rPr>
        <w:t>09</w:t>
      </w:r>
      <w:r>
        <w:rPr>
          <w:rFonts w:hint="eastAsia" w:ascii="宋体" w:hAnsi="宋体" w:eastAsia="宋体" w:cs="宋体"/>
          <w:sz w:val="24"/>
        </w:rPr>
        <w:t>日 ，每天上午</w:t>
      </w:r>
      <w:r>
        <w:rPr>
          <w:rFonts w:hint="eastAsia" w:ascii="宋体" w:hAnsi="宋体" w:eastAsia="宋体" w:cs="宋体"/>
          <w:sz w:val="24"/>
          <w:lang w:val="en-US" w:eastAsia="zh-CN"/>
        </w:rPr>
        <w:t>00</w:t>
      </w:r>
      <w:r>
        <w:rPr>
          <w:rFonts w:hint="eastAsia" w:ascii="宋体" w:hAnsi="宋体" w:eastAsia="宋体" w:cs="宋体"/>
          <w:sz w:val="24"/>
        </w:rPr>
        <w:t>:00至14:00 ，下午14:00至23:59（北京时间，法定节假日除外）</w:t>
      </w:r>
    </w:p>
    <w:p w14:paraId="3B3E6B8A">
      <w:pPr>
        <w:spacing w:line="360" w:lineRule="auto"/>
        <w:ind w:firstLine="480" w:firstLineChars="200"/>
        <w:rPr>
          <w:rFonts w:hint="eastAsia" w:ascii="宋体" w:hAnsi="宋体" w:eastAsia="宋体" w:cs="宋体"/>
        </w:rPr>
      </w:pPr>
      <w:r>
        <w:rPr>
          <w:rFonts w:hint="eastAsia" w:ascii="宋体" w:hAnsi="宋体" w:eastAsia="宋体" w:cs="宋体"/>
          <w:sz w:val="24"/>
        </w:rPr>
        <w:t xml:space="preserve">    地点：</w:t>
      </w:r>
      <w:r>
        <w:rPr>
          <w:rFonts w:hint="eastAsia" w:ascii="宋体" w:hAnsi="宋体" w:eastAsia="宋体" w:cs="宋体"/>
          <w:color w:val="auto"/>
          <w:sz w:val="24"/>
          <w:szCs w:val="24"/>
          <w:highlight w:val="none"/>
          <w:lang w:val="en-US" w:eastAsia="zh-CN"/>
        </w:rPr>
        <w:t>新疆政府采购网政采云平台</w:t>
      </w:r>
      <w:r>
        <w:rPr>
          <w:rFonts w:hint="eastAsia" w:ascii="宋体" w:hAnsi="宋体" w:eastAsia="宋体" w:cs="宋体"/>
          <w:sz w:val="24"/>
        </w:rPr>
        <w:t>（</w:t>
      </w:r>
      <w:r>
        <w:rPr>
          <w:rFonts w:hint="eastAsia" w:ascii="宋体" w:hAnsi="宋体" w:eastAsia="宋体" w:cs="宋体"/>
          <w:kern w:val="0"/>
          <w:sz w:val="24"/>
        </w:rPr>
        <w:t>https://www.zcygov.cn/</w:t>
      </w:r>
      <w:r>
        <w:rPr>
          <w:rFonts w:hint="eastAsia" w:ascii="宋体" w:hAnsi="宋体" w:eastAsia="宋体" w:cs="宋体"/>
          <w:sz w:val="24"/>
        </w:rPr>
        <w:t xml:space="preserve">） </w:t>
      </w:r>
    </w:p>
    <w:p w14:paraId="3A53356A">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方式：供应商登录政采云平台</w:t>
      </w:r>
      <w:r>
        <w:rPr>
          <w:rFonts w:hint="eastAsia" w:ascii="宋体" w:hAnsi="宋体" w:eastAsia="宋体" w:cs="宋体"/>
          <w:kern w:val="0"/>
          <w:sz w:val="24"/>
        </w:rPr>
        <w:t>https://www.zcygov.cn/</w:t>
      </w:r>
      <w:r>
        <w:rPr>
          <w:rFonts w:hint="eastAsia" w:ascii="宋体" w:hAnsi="宋体" w:eastAsia="宋体" w:cs="宋体"/>
          <w:sz w:val="24"/>
        </w:rPr>
        <w:t xml:space="preserve">在线申请获取采购文件（进入“项目采购”应用，在获取采购文件菜单中选择项目，申请获取采购文件） </w:t>
      </w:r>
    </w:p>
    <w:p w14:paraId="6A0FC08E">
      <w:pPr>
        <w:spacing w:line="360" w:lineRule="auto"/>
        <w:ind w:firstLine="480" w:firstLineChars="200"/>
        <w:rPr>
          <w:rFonts w:hint="eastAsia" w:ascii="宋体" w:hAnsi="宋体" w:eastAsia="宋体" w:cs="宋体"/>
        </w:rPr>
      </w:pPr>
      <w:r>
        <w:rPr>
          <w:rFonts w:hint="eastAsia" w:ascii="宋体" w:hAnsi="宋体" w:eastAsia="宋体" w:cs="宋体"/>
          <w:sz w:val="24"/>
        </w:rPr>
        <w:t xml:space="preserve">    售价（元）：0  </w:t>
      </w:r>
    </w:p>
    <w:p w14:paraId="413491C1">
      <w:pPr>
        <w:pStyle w:val="20"/>
        <w:adjustRightInd w:val="0"/>
        <w:snapToGrid w:val="0"/>
        <w:spacing w:before="0" w:beforeAutospacing="0" w:after="0" w:afterAutospacing="0" w:line="360" w:lineRule="auto"/>
        <w:ind w:firstLine="482" w:firstLineChars="200"/>
        <w:jc w:val="both"/>
        <w:rPr>
          <w:rFonts w:hint="eastAsia" w:ascii="宋体" w:hAnsi="宋体" w:eastAsia="宋体" w:cs="宋体"/>
        </w:rPr>
      </w:pPr>
      <w:r>
        <w:rPr>
          <w:rStyle w:val="27"/>
          <w:rFonts w:hint="eastAsia" w:ascii="宋体" w:hAnsi="宋体" w:eastAsia="宋体" w:cs="宋体"/>
        </w:rPr>
        <w:t>四、提交响应文件截止时间、开标时间和地点</w:t>
      </w:r>
      <w:r>
        <w:rPr>
          <w:rFonts w:hint="eastAsia" w:ascii="宋体" w:hAnsi="宋体" w:eastAsia="宋体" w:cs="宋体"/>
        </w:rPr>
        <w:t> </w:t>
      </w:r>
    </w:p>
    <w:p w14:paraId="6CB7846D">
      <w:pPr>
        <w:pStyle w:val="20"/>
        <w:adjustRightInd w:val="0"/>
        <w:snapToGrid w:val="0"/>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提交响应文件截止时间：202</w:t>
      </w:r>
      <w:r>
        <w:rPr>
          <w:rFonts w:hint="eastAsia" w:cs="宋体"/>
          <w:lang w:val="en-US" w:eastAsia="zh-CN"/>
        </w:rPr>
        <w:t>5</w:t>
      </w:r>
      <w:r>
        <w:rPr>
          <w:rFonts w:hint="eastAsia" w:ascii="宋体" w:hAnsi="宋体" w:eastAsia="宋体" w:cs="宋体"/>
        </w:rPr>
        <w:t>年</w:t>
      </w:r>
      <w:r>
        <w:rPr>
          <w:rFonts w:hint="eastAsia" w:cs="宋体"/>
          <w:lang w:val="en-US" w:eastAsia="zh-CN"/>
        </w:rPr>
        <w:t>07</w:t>
      </w:r>
      <w:r>
        <w:rPr>
          <w:rFonts w:hint="eastAsia" w:ascii="宋体" w:hAnsi="宋体" w:eastAsia="宋体" w:cs="宋体"/>
        </w:rPr>
        <w:t xml:space="preserve">月 </w:t>
      </w:r>
      <w:r>
        <w:rPr>
          <w:rFonts w:hint="eastAsia" w:cs="宋体"/>
          <w:lang w:val="en-US" w:eastAsia="zh-CN"/>
        </w:rPr>
        <w:t>10</w:t>
      </w:r>
      <w:r>
        <w:rPr>
          <w:rFonts w:hint="eastAsia" w:ascii="宋体" w:hAnsi="宋体" w:eastAsia="宋体" w:cs="宋体"/>
        </w:rPr>
        <w:t xml:space="preserve">日 </w:t>
      </w:r>
      <w:r>
        <w:rPr>
          <w:rFonts w:hint="eastAsia" w:cs="宋体"/>
          <w:lang w:val="en-US" w:eastAsia="zh-CN"/>
        </w:rPr>
        <w:t>11：00分</w:t>
      </w:r>
      <w:r>
        <w:rPr>
          <w:rFonts w:hint="eastAsia" w:ascii="宋体" w:hAnsi="宋体" w:eastAsia="宋体" w:cs="宋体"/>
        </w:rPr>
        <w:t>（北京时间）</w:t>
      </w:r>
    </w:p>
    <w:p w14:paraId="2600E284">
      <w:pPr>
        <w:pStyle w:val="20"/>
        <w:adjustRightInd w:val="0"/>
        <w:snapToGrid w:val="0"/>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 xml:space="preserve">投标地点（网址）：供应商应在此之前将加密的响应文件上传至政采云https://www.zcygov.cn/(逾期未上传的或不符合规定的响应文件将被拒绝接收)。 </w:t>
      </w:r>
    </w:p>
    <w:p w14:paraId="43099219">
      <w:pPr>
        <w:pStyle w:val="20"/>
        <w:adjustRightInd w:val="0"/>
        <w:snapToGrid w:val="0"/>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开标时间：202</w:t>
      </w:r>
      <w:r>
        <w:rPr>
          <w:rFonts w:hint="eastAsia" w:cs="宋体"/>
          <w:lang w:val="en-US" w:eastAsia="zh-CN"/>
        </w:rPr>
        <w:t>5</w:t>
      </w:r>
      <w:r>
        <w:rPr>
          <w:rFonts w:hint="eastAsia" w:ascii="宋体" w:hAnsi="宋体" w:eastAsia="宋体" w:cs="宋体"/>
        </w:rPr>
        <w:t>年</w:t>
      </w:r>
      <w:r>
        <w:rPr>
          <w:rFonts w:hint="eastAsia" w:cs="宋体"/>
          <w:lang w:val="en-US" w:eastAsia="zh-CN"/>
        </w:rPr>
        <w:t>07</w:t>
      </w:r>
      <w:r>
        <w:rPr>
          <w:rFonts w:hint="eastAsia" w:ascii="宋体" w:hAnsi="宋体" w:eastAsia="宋体" w:cs="宋体"/>
        </w:rPr>
        <w:t xml:space="preserve">月 </w:t>
      </w:r>
      <w:r>
        <w:rPr>
          <w:rFonts w:hint="eastAsia" w:cs="宋体"/>
          <w:lang w:val="en-US" w:eastAsia="zh-CN"/>
        </w:rPr>
        <w:t>10</w:t>
      </w:r>
      <w:r>
        <w:rPr>
          <w:rFonts w:hint="eastAsia" w:ascii="宋体" w:hAnsi="宋体" w:eastAsia="宋体" w:cs="宋体"/>
        </w:rPr>
        <w:t xml:space="preserve">日 </w:t>
      </w:r>
      <w:r>
        <w:rPr>
          <w:rFonts w:hint="eastAsia" w:cs="宋体"/>
          <w:lang w:val="en-US" w:eastAsia="zh-CN"/>
        </w:rPr>
        <w:t>11：00分</w:t>
      </w:r>
      <w:r>
        <w:rPr>
          <w:rFonts w:hint="eastAsia" w:ascii="宋体" w:hAnsi="宋体" w:eastAsia="宋体" w:cs="宋体"/>
        </w:rPr>
        <w:t xml:space="preserve"> （北京时间）</w:t>
      </w:r>
    </w:p>
    <w:p w14:paraId="2A95D27E">
      <w:pPr>
        <w:pStyle w:val="20"/>
        <w:adjustRightInd w:val="0"/>
        <w:snapToGrid w:val="0"/>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开标地点：</w:t>
      </w: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登录政采云平台https://www.zcygov.cn/，进入“项目采购-开标评标-右边选择对应项目点击“进入项目”进入开标大厅。</w:t>
      </w:r>
    </w:p>
    <w:p w14:paraId="4D869852">
      <w:pPr>
        <w:pStyle w:val="20"/>
        <w:adjustRightInd w:val="0"/>
        <w:snapToGrid w:val="0"/>
        <w:spacing w:before="0" w:beforeAutospacing="0" w:after="0" w:afterAutospacing="0" w:line="360" w:lineRule="auto"/>
        <w:ind w:firstLine="482" w:firstLineChars="200"/>
        <w:rPr>
          <w:rFonts w:hint="eastAsia" w:ascii="宋体" w:hAnsi="宋体" w:eastAsia="宋体" w:cs="宋体"/>
        </w:rPr>
      </w:pPr>
      <w:r>
        <w:rPr>
          <w:rFonts w:hint="eastAsia" w:ascii="宋体" w:hAnsi="宋体" w:eastAsia="宋体" w:cs="宋体"/>
          <w:b/>
          <w:bCs/>
        </w:rPr>
        <w:t>五、公告期限</w:t>
      </w:r>
      <w:r>
        <w:rPr>
          <w:rFonts w:hint="eastAsia" w:ascii="宋体" w:hAnsi="宋体" w:eastAsia="宋体" w:cs="宋体"/>
        </w:rPr>
        <w:t xml:space="preserve"> </w:t>
      </w:r>
    </w:p>
    <w:p w14:paraId="12398E88">
      <w:pPr>
        <w:pStyle w:val="20"/>
        <w:adjustRightInd w:val="0"/>
        <w:snapToGrid w:val="0"/>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 xml:space="preserve">    自本公告发布之日起3个工作日 </w:t>
      </w:r>
    </w:p>
    <w:p w14:paraId="50EAFB8C">
      <w:pPr>
        <w:pStyle w:val="20"/>
        <w:adjustRightInd w:val="0"/>
        <w:snapToGrid w:val="0"/>
        <w:spacing w:before="0" w:beforeAutospacing="0" w:after="0" w:afterAutospacing="0" w:line="360" w:lineRule="auto"/>
        <w:ind w:firstLine="482" w:firstLineChars="200"/>
        <w:rPr>
          <w:rFonts w:hint="eastAsia" w:ascii="宋体" w:hAnsi="宋体" w:eastAsia="宋体" w:cs="宋体"/>
          <w:b/>
          <w:bCs/>
        </w:rPr>
      </w:pPr>
      <w:r>
        <w:rPr>
          <w:rFonts w:hint="eastAsia" w:ascii="宋体" w:hAnsi="宋体" w:eastAsia="宋体" w:cs="宋体"/>
          <w:b/>
          <w:bCs/>
        </w:rPr>
        <w:t>六、其他补充事宜</w:t>
      </w:r>
    </w:p>
    <w:p w14:paraId="7B69ED33">
      <w:pPr>
        <w:pStyle w:val="20"/>
        <w:adjustRightInd w:val="0"/>
        <w:snapToGrid w:val="0"/>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rPr>
        <w:t>本公告在</w:t>
      </w:r>
      <w:r>
        <w:rPr>
          <w:rFonts w:hint="eastAsia" w:ascii="宋体" w:hAnsi="宋体" w:eastAsia="宋体" w:cs="宋体"/>
          <w:highlight w:val="none"/>
        </w:rPr>
        <w:t>新疆政府采购网</w:t>
      </w:r>
      <w:r>
        <w:rPr>
          <w:rFonts w:hint="eastAsia" w:ascii="宋体" w:hAnsi="宋体" w:eastAsia="宋体" w:cs="宋体"/>
          <w:highlight w:val="none"/>
          <w:lang w:eastAsia="zh-CN"/>
        </w:rPr>
        <w:t>、</w:t>
      </w:r>
      <w:r>
        <w:rPr>
          <w:rFonts w:hint="eastAsia" w:ascii="宋体" w:hAnsi="宋体" w:eastAsia="宋体" w:cs="宋体"/>
          <w:highlight w:val="none"/>
          <w:lang w:val="en-US" w:eastAsia="zh-CN"/>
        </w:rPr>
        <w:t>中国政府采购网</w:t>
      </w:r>
      <w:r>
        <w:rPr>
          <w:rFonts w:hint="eastAsia" w:ascii="宋体" w:hAnsi="宋体" w:eastAsia="宋体" w:cs="宋体"/>
          <w:highlight w:val="none"/>
        </w:rPr>
        <w:t>发布。</w:t>
      </w:r>
    </w:p>
    <w:p w14:paraId="36771C08">
      <w:pPr>
        <w:pStyle w:val="20"/>
        <w:adjustRightInd w:val="0"/>
        <w:snapToGrid w:val="0"/>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请各供应商随时关注本项目的变更、答疑、澄清文件。</w:t>
      </w:r>
    </w:p>
    <w:p w14:paraId="4FFC6C12">
      <w:pPr>
        <w:pStyle w:val="20"/>
        <w:adjustRightInd w:val="0"/>
        <w:snapToGrid w:val="0"/>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本项目实行电子招投标，供应商须登录政采云平台申请获取谈判文件，并通过政采云电子投标客户端制作响应文件，同时自行承担与投标有关的一切费用。　</w:t>
      </w:r>
    </w:p>
    <w:p w14:paraId="325FEAD3">
      <w:pPr>
        <w:pStyle w:val="20"/>
        <w:adjustRightInd w:val="0"/>
        <w:snapToGrid w:val="0"/>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各供应商应在开标前确保成为新疆维吾尔自治区政府采购网正式注册入库供应商，并完成CA数字证书申领。因未注册入库、未办理CA数字证书等原因造成无法投标或投标失败等后果由供应商自行承担。　</w:t>
      </w:r>
    </w:p>
    <w:p w14:paraId="25396717">
      <w:pPr>
        <w:pStyle w:val="20"/>
        <w:adjustRightInd w:val="0"/>
        <w:snapToGrid w:val="0"/>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进行咨询。</w:t>
      </w:r>
    </w:p>
    <w:p w14:paraId="2141BDC1">
      <w:pPr>
        <w:pStyle w:val="20"/>
        <w:adjustRightInd w:val="0"/>
        <w:snapToGrid w:val="0"/>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本项目采用不见面开标，供应商须在投标截止时间前通过CA在政采云平台上传加密的电子响应文件。</w:t>
      </w:r>
    </w:p>
    <w:p w14:paraId="4C4AE8B3">
      <w:pPr>
        <w:pStyle w:val="20"/>
        <w:adjustRightInd w:val="0"/>
        <w:snapToGrid w:val="0"/>
        <w:spacing w:before="0" w:beforeAutospacing="0" w:after="0" w:afterAutospacing="0" w:line="360" w:lineRule="auto"/>
        <w:ind w:firstLine="480" w:firstLineChars="200"/>
        <w:rPr>
          <w:rFonts w:hint="eastAsia" w:ascii="宋体" w:hAnsi="宋体" w:eastAsia="宋体" w:cs="宋体"/>
          <w:b/>
          <w:bCs/>
        </w:rPr>
      </w:pPr>
      <w:r>
        <w:rPr>
          <w:rFonts w:hint="eastAsia" w:ascii="宋体" w:hAnsi="宋体" w:eastAsia="宋体" w:cs="宋体"/>
        </w:rPr>
        <w:t>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r>
        <w:rPr>
          <w:rFonts w:hint="eastAsia" w:ascii="宋体" w:hAnsi="宋体" w:eastAsia="宋体" w:cs="宋体"/>
          <w:b/>
          <w:bCs/>
        </w:rPr>
        <w:t>七、对本次采购提出询问，请按以下方式联系</w:t>
      </w:r>
    </w:p>
    <w:p w14:paraId="7A3ECFD8">
      <w:pPr>
        <w:spacing w:before="75" w:after="75" w:line="360" w:lineRule="auto"/>
        <w:rPr>
          <w:rFonts w:hint="eastAsia" w:ascii="宋体" w:hAnsi="宋体" w:eastAsia="宋体" w:cs="宋体"/>
          <w:color w:val="000000"/>
          <w:sz w:val="24"/>
        </w:rPr>
      </w:pPr>
      <w:r>
        <w:rPr>
          <w:rFonts w:hint="eastAsia" w:ascii="宋体" w:hAnsi="宋体" w:eastAsia="宋体" w:cs="宋体"/>
          <w:color w:val="000000"/>
        </w:rPr>
        <w:t> </w:t>
      </w:r>
      <w:r>
        <w:rPr>
          <w:rFonts w:hint="eastAsia" w:ascii="宋体" w:hAnsi="宋体" w:eastAsia="宋体" w:cs="宋体"/>
          <w:color w:val="000000"/>
          <w:sz w:val="24"/>
        </w:rPr>
        <w:t xml:space="preserve"> 1.采购人信息</w:t>
      </w:r>
    </w:p>
    <w:p w14:paraId="3D3D28DF">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名 称：</w:t>
      </w:r>
      <w:r>
        <w:rPr>
          <w:rFonts w:hint="eastAsia" w:ascii="宋体" w:hAnsi="宋体" w:eastAsia="宋体" w:cs="宋体"/>
          <w:sz w:val="24"/>
        </w:rPr>
        <w:t>中华人民共和国新疆出入境边防检查总站</w:t>
      </w:r>
    </w:p>
    <w:p w14:paraId="75ED8449">
      <w:pPr>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地 址：新疆乌市天山区团结路1551号</w:t>
      </w:r>
    </w:p>
    <w:p w14:paraId="31C366FC">
      <w:pPr>
        <w:spacing w:before="75" w:after="75" w:line="360" w:lineRule="auto"/>
        <w:ind w:firstLine="240" w:firstLineChars="100"/>
        <w:rPr>
          <w:rFonts w:hint="eastAsia" w:ascii="宋体" w:hAnsi="宋体" w:eastAsia="宋体" w:cs="宋体"/>
          <w:color w:val="000000"/>
          <w:sz w:val="24"/>
          <w:lang w:eastAsia="zh-CN"/>
        </w:rPr>
      </w:pPr>
      <w:r>
        <w:rPr>
          <w:rFonts w:hint="eastAsia" w:ascii="宋体" w:hAnsi="宋体" w:eastAsia="宋体" w:cs="宋体"/>
          <w:color w:val="000000"/>
          <w:sz w:val="24"/>
        </w:rPr>
        <w:t>项目联系人：李</w:t>
      </w:r>
      <w:r>
        <w:rPr>
          <w:rFonts w:hint="eastAsia" w:ascii="宋体" w:hAnsi="宋体" w:cs="宋体"/>
          <w:color w:val="000000"/>
          <w:sz w:val="24"/>
          <w:lang w:val="en-US" w:eastAsia="zh-CN"/>
        </w:rPr>
        <w:t>警官</w:t>
      </w:r>
    </w:p>
    <w:p w14:paraId="3F67D81A">
      <w:pPr>
        <w:spacing w:before="75" w:after="75" w:line="360" w:lineRule="auto"/>
        <w:ind w:firstLine="240" w:firstLineChars="100"/>
        <w:rPr>
          <w:rFonts w:hint="eastAsia" w:ascii="宋体" w:hAnsi="宋体" w:eastAsia="宋体" w:cs="宋体"/>
          <w:color w:val="000000"/>
          <w:sz w:val="24"/>
          <w:lang w:eastAsia="zh-CN"/>
        </w:rPr>
      </w:pPr>
      <w:r>
        <w:rPr>
          <w:rFonts w:hint="eastAsia" w:ascii="宋体" w:hAnsi="宋体" w:eastAsia="宋体" w:cs="宋体"/>
          <w:color w:val="000000"/>
          <w:sz w:val="24"/>
        </w:rPr>
        <w:t>项目联系方式：0991-</w:t>
      </w:r>
      <w:r>
        <w:rPr>
          <w:rFonts w:hint="eastAsia" w:ascii="宋体" w:hAnsi="宋体" w:cs="宋体"/>
          <w:color w:val="000000"/>
          <w:sz w:val="24"/>
          <w:lang w:eastAsia="zh-CN"/>
        </w:rPr>
        <w:t>8512143</w:t>
      </w:r>
    </w:p>
    <w:p w14:paraId="2EBCEBFF">
      <w:pPr>
        <w:spacing w:before="75" w:after="75"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2.采购代理机构信息</w:t>
      </w:r>
    </w:p>
    <w:p w14:paraId="6C447E1F">
      <w:pPr>
        <w:adjustRightInd w:val="0"/>
        <w:snapToGrid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名 称：华春建设工程项目管理有限责任公司</w:t>
      </w:r>
    </w:p>
    <w:p w14:paraId="43706382">
      <w:pPr>
        <w:adjustRightInd w:val="0"/>
        <w:snapToGrid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地 址：新疆乌鲁木齐市水磨沟区浙商大厦15楼1505室</w:t>
      </w:r>
    </w:p>
    <w:p w14:paraId="1DEBD1D1">
      <w:pPr>
        <w:adjustRightInd w:val="0"/>
        <w:snapToGrid w:val="0"/>
        <w:spacing w:line="360" w:lineRule="auto"/>
        <w:ind w:firstLine="240" w:firstLineChars="100"/>
        <w:rPr>
          <w:rFonts w:hint="default" w:ascii="宋体" w:hAnsi="宋体" w:eastAsia="宋体" w:cs="宋体"/>
          <w:color w:val="000000"/>
          <w:sz w:val="24"/>
          <w:lang w:val="en-US" w:eastAsia="zh-CN"/>
        </w:rPr>
      </w:pPr>
      <w:r>
        <w:rPr>
          <w:rFonts w:hint="eastAsia" w:ascii="宋体" w:hAnsi="宋体" w:eastAsia="宋体" w:cs="宋体"/>
          <w:color w:val="000000"/>
          <w:sz w:val="24"/>
        </w:rPr>
        <w:t>电 话：0991-2629781、</w:t>
      </w:r>
      <w:r>
        <w:rPr>
          <w:rFonts w:hint="eastAsia" w:ascii="宋体" w:hAnsi="宋体" w:cs="宋体"/>
          <w:color w:val="000000"/>
          <w:sz w:val="24"/>
          <w:lang w:val="en-US" w:eastAsia="zh-CN"/>
        </w:rPr>
        <w:t>13565159649</w:t>
      </w:r>
    </w:p>
    <w:p w14:paraId="472A0A88">
      <w:pPr>
        <w:adjustRightInd w:val="0"/>
        <w:snapToGrid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3.项目联系方式</w:t>
      </w:r>
    </w:p>
    <w:p w14:paraId="38632B5F">
      <w:pPr>
        <w:adjustRightInd w:val="0"/>
        <w:snapToGrid w:val="0"/>
        <w:spacing w:line="360" w:lineRule="auto"/>
        <w:ind w:firstLine="240" w:firstLineChars="100"/>
        <w:rPr>
          <w:rFonts w:hint="default" w:ascii="宋体" w:hAnsi="宋体" w:eastAsia="宋体" w:cs="宋体"/>
          <w:color w:val="000000"/>
          <w:sz w:val="24"/>
          <w:lang w:val="en-US" w:eastAsia="zh-CN"/>
        </w:rPr>
      </w:pPr>
      <w:r>
        <w:rPr>
          <w:rFonts w:hint="eastAsia" w:ascii="宋体" w:hAnsi="宋体" w:eastAsia="宋体" w:cs="宋体"/>
          <w:color w:val="000000"/>
          <w:sz w:val="24"/>
        </w:rPr>
        <w:t>项目联系人：</w:t>
      </w:r>
      <w:r>
        <w:rPr>
          <w:rFonts w:hint="eastAsia" w:ascii="宋体" w:hAnsi="宋体" w:eastAsia="宋体" w:cs="宋体"/>
          <w:color w:val="000000"/>
          <w:sz w:val="24"/>
          <w:lang w:val="en-US" w:eastAsia="zh-CN"/>
        </w:rPr>
        <w:t>苏</w:t>
      </w:r>
      <w:r>
        <w:rPr>
          <w:rFonts w:hint="eastAsia" w:ascii="宋体" w:hAnsi="宋体" w:cs="宋体"/>
          <w:color w:val="000000"/>
          <w:sz w:val="24"/>
          <w:lang w:val="en-US" w:eastAsia="zh-CN"/>
        </w:rPr>
        <w:t>仁娥</w:t>
      </w:r>
    </w:p>
    <w:p w14:paraId="55FAD6FB">
      <w:pPr>
        <w:adjustRightInd w:val="0"/>
        <w:snapToGrid w:val="0"/>
        <w:spacing w:line="360" w:lineRule="auto"/>
        <w:ind w:firstLine="240" w:firstLineChars="100"/>
        <w:rPr>
          <w:rFonts w:hint="eastAsia" w:ascii="宋体" w:hAnsi="宋体" w:eastAsia="宋体" w:cs="宋体"/>
        </w:rPr>
      </w:pPr>
      <w:r>
        <w:rPr>
          <w:rFonts w:hint="eastAsia" w:ascii="宋体" w:hAnsi="宋体" w:eastAsia="宋体" w:cs="宋体"/>
          <w:color w:val="000000"/>
          <w:sz w:val="24"/>
        </w:rPr>
        <w:t>电 话： 0991-2629781、</w:t>
      </w:r>
      <w:bookmarkStart w:id="5" w:name="_Toc8983596"/>
      <w:bookmarkStart w:id="6" w:name="_Toc13984"/>
      <w:bookmarkStart w:id="7" w:name="_Toc16163"/>
      <w:r>
        <w:rPr>
          <w:rFonts w:hint="eastAsia" w:ascii="宋体" w:hAnsi="宋体" w:cs="宋体"/>
          <w:color w:val="000000"/>
          <w:sz w:val="24"/>
          <w:lang w:val="en-US" w:eastAsia="zh-CN"/>
        </w:rPr>
        <w:t>13565159649</w:t>
      </w:r>
    </w:p>
    <w:p w14:paraId="7ECA94CC">
      <w:pPr>
        <w:rPr>
          <w:rFonts w:hint="eastAsia" w:ascii="宋体" w:hAnsi="宋体" w:eastAsia="宋体" w:cs="宋体"/>
        </w:rPr>
      </w:pPr>
    </w:p>
    <w:p w14:paraId="7B189789">
      <w:pPr>
        <w:pStyle w:val="2"/>
        <w:rPr>
          <w:rFonts w:hint="eastAsia" w:ascii="宋体" w:hAnsi="宋体" w:eastAsia="宋体" w:cs="宋体"/>
        </w:rPr>
      </w:pPr>
    </w:p>
    <w:p w14:paraId="52CE3594">
      <w:pPr>
        <w:pStyle w:val="2"/>
        <w:rPr>
          <w:rFonts w:hint="eastAsia" w:ascii="宋体" w:hAnsi="宋体" w:eastAsia="宋体" w:cs="宋体"/>
        </w:rPr>
      </w:pPr>
    </w:p>
    <w:p w14:paraId="2FEB5AE6">
      <w:pPr>
        <w:pStyle w:val="2"/>
        <w:rPr>
          <w:rFonts w:hint="eastAsia" w:ascii="宋体" w:hAnsi="宋体" w:eastAsia="宋体" w:cs="宋体"/>
        </w:rPr>
      </w:pPr>
    </w:p>
    <w:p w14:paraId="7E6C42F1">
      <w:pPr>
        <w:pStyle w:val="2"/>
        <w:rPr>
          <w:rFonts w:hint="eastAsia" w:ascii="宋体" w:hAnsi="宋体" w:eastAsia="宋体" w:cs="宋体"/>
        </w:rPr>
      </w:pPr>
    </w:p>
    <w:p w14:paraId="2751858D">
      <w:pPr>
        <w:rPr>
          <w:rFonts w:hint="eastAsia" w:ascii="宋体" w:hAnsi="宋体" w:eastAsia="宋体" w:cs="宋体"/>
        </w:rPr>
      </w:pPr>
      <w:r>
        <w:rPr>
          <w:rFonts w:hint="eastAsia" w:ascii="宋体" w:hAnsi="宋体" w:eastAsia="宋体" w:cs="宋体"/>
        </w:rPr>
        <w:br w:type="page"/>
      </w:r>
    </w:p>
    <w:p w14:paraId="78FCD728">
      <w:pPr>
        <w:rPr>
          <w:rFonts w:hint="eastAsia" w:ascii="宋体" w:hAnsi="宋体" w:eastAsia="宋体" w:cs="宋体"/>
        </w:rPr>
      </w:pPr>
    </w:p>
    <w:p w14:paraId="1C9C48E3">
      <w:pPr>
        <w:pStyle w:val="2"/>
        <w:rPr>
          <w:rFonts w:hint="eastAsia" w:ascii="宋体" w:hAnsi="宋体" w:eastAsia="宋体" w:cs="宋体"/>
          <w:lang w:eastAsia="zh-CN"/>
        </w:rPr>
      </w:pPr>
      <w:bookmarkStart w:id="8" w:name="_Toc14959"/>
      <w:r>
        <w:rPr>
          <w:rFonts w:hint="eastAsia" w:ascii="宋体" w:hAnsi="宋体" w:eastAsia="宋体" w:cs="宋体"/>
        </w:rPr>
        <w:t>第二部分  供</w:t>
      </w:r>
      <w:r>
        <w:rPr>
          <w:rFonts w:hint="eastAsia" w:ascii="宋体" w:hAnsi="宋体" w:eastAsia="宋体" w:cs="宋体"/>
          <w:lang w:val="en-US" w:eastAsia="zh-CN"/>
        </w:rPr>
        <w:t xml:space="preserve"> </w:t>
      </w:r>
      <w:r>
        <w:rPr>
          <w:rFonts w:hint="eastAsia" w:ascii="宋体" w:hAnsi="宋体" w:eastAsia="宋体" w:cs="宋体"/>
        </w:rPr>
        <w:t>应商须知</w:t>
      </w:r>
      <w:bookmarkEnd w:id="5"/>
      <w:bookmarkEnd w:id="6"/>
      <w:bookmarkEnd w:id="7"/>
      <w:bookmarkStart w:id="9" w:name="_Toc256000002"/>
      <w:bookmarkStart w:id="10" w:name="_Toc256000016"/>
      <w:r>
        <w:rPr>
          <w:rFonts w:hint="eastAsia" w:ascii="宋体" w:hAnsi="宋体" w:eastAsia="宋体" w:cs="宋体"/>
          <w:lang w:eastAsia="zh-CN"/>
        </w:rPr>
        <w:t>前附表</w:t>
      </w:r>
      <w:bookmarkEnd w:id="8"/>
    </w:p>
    <w:bookmarkEnd w:id="9"/>
    <w:bookmarkEnd w:id="10"/>
    <w:tbl>
      <w:tblPr>
        <w:tblStyle w:val="24"/>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664"/>
        <w:gridCol w:w="6518"/>
      </w:tblGrid>
      <w:tr w14:paraId="505C4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69B717E0">
            <w:pPr>
              <w:pStyle w:val="32"/>
              <w:spacing w:line="360" w:lineRule="auto"/>
              <w:jc w:val="center"/>
              <w:rPr>
                <w:rFonts w:hint="eastAsia" w:ascii="宋体" w:hAnsi="宋体" w:eastAsia="宋体" w:cs="宋体"/>
                <w:b/>
                <w:kern w:val="0"/>
                <w:sz w:val="24"/>
              </w:rPr>
            </w:pPr>
            <w:r>
              <w:rPr>
                <w:rFonts w:hint="eastAsia" w:ascii="宋体" w:hAnsi="宋体" w:eastAsia="宋体" w:cs="宋体"/>
                <w:b/>
                <w:kern w:val="0"/>
                <w:sz w:val="24"/>
                <w:highlight w:val="white"/>
              </w:rPr>
              <w:t>序号</w:t>
            </w:r>
          </w:p>
        </w:tc>
        <w:tc>
          <w:tcPr>
            <w:tcW w:w="2664" w:type="dxa"/>
            <w:tcBorders>
              <w:top w:val="single" w:color="auto" w:sz="4" w:space="0"/>
              <w:left w:val="single" w:color="auto" w:sz="4" w:space="0"/>
              <w:bottom w:val="single" w:color="auto" w:sz="4" w:space="0"/>
              <w:right w:val="single" w:color="auto" w:sz="4" w:space="0"/>
            </w:tcBorders>
            <w:vAlign w:val="center"/>
          </w:tcPr>
          <w:p w14:paraId="00359381">
            <w:pPr>
              <w:pStyle w:val="32"/>
              <w:spacing w:line="360" w:lineRule="auto"/>
              <w:jc w:val="center"/>
              <w:rPr>
                <w:rFonts w:hint="eastAsia" w:ascii="宋体" w:hAnsi="宋体" w:eastAsia="宋体" w:cs="宋体"/>
                <w:b/>
                <w:kern w:val="0"/>
                <w:sz w:val="24"/>
              </w:rPr>
            </w:pPr>
            <w:r>
              <w:rPr>
                <w:rFonts w:hint="eastAsia" w:ascii="宋体" w:hAnsi="宋体" w:eastAsia="宋体" w:cs="宋体"/>
                <w:b/>
                <w:kern w:val="0"/>
                <w:sz w:val="24"/>
                <w:highlight w:val="white"/>
              </w:rPr>
              <w:t>内容</w:t>
            </w:r>
          </w:p>
        </w:tc>
        <w:tc>
          <w:tcPr>
            <w:tcW w:w="6518" w:type="dxa"/>
            <w:tcBorders>
              <w:top w:val="single" w:color="auto" w:sz="4" w:space="0"/>
              <w:left w:val="single" w:color="auto" w:sz="4" w:space="0"/>
              <w:bottom w:val="single" w:color="auto" w:sz="4" w:space="0"/>
              <w:right w:val="single" w:color="auto" w:sz="4" w:space="0"/>
            </w:tcBorders>
            <w:vAlign w:val="center"/>
          </w:tcPr>
          <w:p w14:paraId="6D2BC3D5">
            <w:pPr>
              <w:pStyle w:val="32"/>
              <w:adjustRightInd w:val="0"/>
              <w:spacing w:line="360" w:lineRule="auto"/>
              <w:jc w:val="center"/>
              <w:outlineLvl w:val="3"/>
              <w:rPr>
                <w:rFonts w:hint="eastAsia" w:ascii="宋体" w:hAnsi="宋体" w:eastAsia="宋体" w:cs="宋体"/>
                <w:b/>
                <w:kern w:val="0"/>
                <w:sz w:val="24"/>
              </w:rPr>
            </w:pPr>
            <w:r>
              <w:rPr>
                <w:rFonts w:hint="eastAsia" w:ascii="宋体" w:hAnsi="宋体" w:eastAsia="宋体" w:cs="宋体"/>
                <w:b/>
                <w:kern w:val="0"/>
                <w:sz w:val="24"/>
                <w:highlight w:val="white"/>
              </w:rPr>
              <w:t>说明与要求</w:t>
            </w:r>
          </w:p>
        </w:tc>
      </w:tr>
      <w:tr w14:paraId="5790C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5E84DE39">
            <w:pPr>
              <w:pStyle w:val="32"/>
              <w:spacing w:line="360" w:lineRule="auto"/>
              <w:jc w:val="center"/>
              <w:rPr>
                <w:rFonts w:hint="eastAsia" w:ascii="宋体" w:hAnsi="宋体" w:eastAsia="宋体" w:cs="宋体"/>
                <w:b/>
                <w:kern w:val="0"/>
                <w:sz w:val="24"/>
              </w:rPr>
            </w:pPr>
            <w:r>
              <w:rPr>
                <w:rFonts w:hint="eastAsia" w:ascii="宋体" w:hAnsi="宋体" w:eastAsia="宋体" w:cs="宋体"/>
                <w:b/>
                <w:kern w:val="0"/>
                <w:sz w:val="24"/>
                <w:highlight w:val="white"/>
              </w:rPr>
              <w:t>1</w:t>
            </w:r>
          </w:p>
        </w:tc>
        <w:tc>
          <w:tcPr>
            <w:tcW w:w="2664" w:type="dxa"/>
            <w:tcBorders>
              <w:top w:val="single" w:color="auto" w:sz="4" w:space="0"/>
              <w:left w:val="single" w:color="auto" w:sz="4" w:space="0"/>
              <w:bottom w:val="single" w:color="auto" w:sz="4" w:space="0"/>
              <w:right w:val="single" w:color="auto" w:sz="4" w:space="0"/>
            </w:tcBorders>
            <w:vAlign w:val="center"/>
          </w:tcPr>
          <w:p w14:paraId="58666FE3">
            <w:pPr>
              <w:pStyle w:val="32"/>
              <w:adjustRightInd w:val="0"/>
              <w:spacing w:line="360" w:lineRule="auto"/>
              <w:jc w:val="center"/>
              <w:outlineLvl w:val="3"/>
              <w:rPr>
                <w:rFonts w:hint="eastAsia" w:ascii="宋体" w:hAnsi="宋体" w:eastAsia="宋体" w:cs="宋体"/>
                <w:b/>
                <w:kern w:val="0"/>
                <w:sz w:val="24"/>
              </w:rPr>
            </w:pPr>
            <w:r>
              <w:rPr>
                <w:rFonts w:hint="eastAsia" w:ascii="宋体" w:hAnsi="宋体" w:eastAsia="宋体" w:cs="宋体"/>
                <w:b/>
                <w:kern w:val="0"/>
                <w:sz w:val="24"/>
                <w:highlight w:val="white"/>
              </w:rPr>
              <w:t>项目名称及编号</w:t>
            </w:r>
          </w:p>
        </w:tc>
        <w:tc>
          <w:tcPr>
            <w:tcW w:w="6518" w:type="dxa"/>
            <w:tcBorders>
              <w:top w:val="single" w:color="auto" w:sz="4" w:space="0"/>
              <w:left w:val="single" w:color="auto" w:sz="4" w:space="0"/>
              <w:bottom w:val="single" w:color="auto" w:sz="4" w:space="0"/>
              <w:right w:val="single" w:color="auto" w:sz="4" w:space="0"/>
            </w:tcBorders>
            <w:vAlign w:val="center"/>
          </w:tcPr>
          <w:p w14:paraId="1F6ACD5F">
            <w:pPr>
              <w:pStyle w:val="33"/>
              <w:widowControl/>
              <w:spacing w:line="360" w:lineRule="auto"/>
              <w:jc w:val="left"/>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eastAsia="宋体" w:cs="宋体"/>
                <w:sz w:val="24"/>
                <w:lang w:eastAsia="zh-CN"/>
              </w:rPr>
              <w:t>中华人民共和国新疆出入境边防检查总站网络安全技术服务采购项目</w:t>
            </w:r>
          </w:p>
          <w:p w14:paraId="301B2002">
            <w:pPr>
              <w:pStyle w:val="33"/>
              <w:widowControl/>
              <w:spacing w:line="360" w:lineRule="auto"/>
              <w:jc w:val="left"/>
              <w:rPr>
                <w:rFonts w:hint="eastAsia" w:ascii="宋体" w:hAnsi="宋体" w:eastAsia="宋体" w:cs="宋体"/>
                <w:color w:val="000000"/>
                <w:sz w:val="24"/>
                <w:szCs w:val="24"/>
                <w:lang w:eastAsia="zh-CN"/>
              </w:rPr>
            </w:pPr>
            <w:r>
              <w:rPr>
                <w:rFonts w:hint="eastAsia" w:ascii="宋体" w:hAnsi="宋体" w:eastAsia="宋体" w:cs="宋体"/>
                <w:sz w:val="24"/>
              </w:rPr>
              <w:t>项目编号：</w:t>
            </w:r>
            <w:r>
              <w:rPr>
                <w:rFonts w:hint="eastAsia" w:ascii="宋体" w:hAnsi="宋体" w:eastAsia="宋体" w:cs="宋体"/>
                <w:sz w:val="24"/>
                <w:lang w:eastAsia="zh-CN"/>
              </w:rPr>
              <w:t>hcxjczt-2025-330</w:t>
            </w:r>
          </w:p>
        </w:tc>
      </w:tr>
      <w:tr w14:paraId="487D1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296EC5DE">
            <w:pPr>
              <w:pStyle w:val="32"/>
              <w:spacing w:line="360" w:lineRule="auto"/>
              <w:jc w:val="center"/>
              <w:rPr>
                <w:rFonts w:hint="eastAsia" w:ascii="宋体" w:hAnsi="宋体" w:eastAsia="宋体" w:cs="宋体"/>
                <w:b/>
                <w:kern w:val="0"/>
                <w:sz w:val="24"/>
              </w:rPr>
            </w:pPr>
            <w:r>
              <w:rPr>
                <w:rFonts w:hint="eastAsia" w:ascii="宋体" w:hAnsi="宋体" w:eastAsia="宋体" w:cs="宋体"/>
                <w:b/>
                <w:kern w:val="0"/>
                <w:sz w:val="24"/>
                <w:highlight w:val="white"/>
              </w:rPr>
              <w:t>2</w:t>
            </w:r>
          </w:p>
        </w:tc>
        <w:tc>
          <w:tcPr>
            <w:tcW w:w="2664" w:type="dxa"/>
            <w:tcBorders>
              <w:top w:val="single" w:color="auto" w:sz="4" w:space="0"/>
              <w:left w:val="single" w:color="auto" w:sz="4" w:space="0"/>
              <w:bottom w:val="single" w:color="auto" w:sz="4" w:space="0"/>
              <w:right w:val="single" w:color="auto" w:sz="4" w:space="0"/>
            </w:tcBorders>
            <w:vAlign w:val="center"/>
          </w:tcPr>
          <w:p w14:paraId="66276838">
            <w:pPr>
              <w:pStyle w:val="32"/>
              <w:adjustRightInd w:val="0"/>
              <w:spacing w:line="360" w:lineRule="auto"/>
              <w:jc w:val="center"/>
              <w:outlineLvl w:val="3"/>
              <w:rPr>
                <w:rFonts w:hint="eastAsia" w:ascii="宋体" w:hAnsi="宋体" w:eastAsia="宋体" w:cs="宋体"/>
                <w:b/>
                <w:kern w:val="0"/>
                <w:sz w:val="24"/>
              </w:rPr>
            </w:pPr>
            <w:r>
              <w:rPr>
                <w:rFonts w:hint="eastAsia" w:ascii="宋体" w:hAnsi="宋体" w:eastAsia="宋体" w:cs="宋体"/>
                <w:b/>
                <w:kern w:val="0"/>
                <w:sz w:val="24"/>
                <w:highlight w:val="white"/>
              </w:rPr>
              <w:t>采购人</w:t>
            </w:r>
          </w:p>
        </w:tc>
        <w:tc>
          <w:tcPr>
            <w:tcW w:w="6518" w:type="dxa"/>
            <w:tcBorders>
              <w:top w:val="single" w:color="auto" w:sz="4" w:space="0"/>
              <w:left w:val="single" w:color="auto" w:sz="4" w:space="0"/>
              <w:bottom w:val="single" w:color="auto" w:sz="4" w:space="0"/>
              <w:right w:val="single" w:color="auto" w:sz="4" w:space="0"/>
            </w:tcBorders>
            <w:vAlign w:val="center"/>
          </w:tcPr>
          <w:p w14:paraId="247A141E">
            <w:pPr>
              <w:pStyle w:val="33"/>
              <w:spacing w:before="75" w:after="75" w:line="360" w:lineRule="auto"/>
              <w:rPr>
                <w:rFonts w:hint="eastAsia" w:ascii="宋体" w:hAnsi="宋体" w:eastAsia="宋体" w:cs="宋体"/>
                <w:sz w:val="24"/>
              </w:rPr>
            </w:pPr>
            <w:r>
              <w:rPr>
                <w:rFonts w:hint="eastAsia" w:ascii="宋体" w:hAnsi="宋体" w:eastAsia="宋体" w:cs="宋体"/>
                <w:sz w:val="24"/>
              </w:rPr>
              <w:t>采购人名称：中华人民共和国新疆出入境边防检查总站</w:t>
            </w:r>
          </w:p>
          <w:p w14:paraId="6AA8DFFB">
            <w:pPr>
              <w:pStyle w:val="33"/>
              <w:spacing w:before="75" w:after="75" w:line="360" w:lineRule="auto"/>
              <w:rPr>
                <w:rFonts w:hint="eastAsia" w:ascii="宋体" w:hAnsi="宋体" w:eastAsia="宋体" w:cs="宋体"/>
                <w:color w:val="000000"/>
                <w:sz w:val="24"/>
              </w:rPr>
            </w:pPr>
            <w:r>
              <w:rPr>
                <w:rFonts w:hint="eastAsia" w:ascii="宋体" w:hAnsi="宋体" w:eastAsia="宋体" w:cs="宋体"/>
                <w:color w:val="000000"/>
                <w:sz w:val="24"/>
              </w:rPr>
              <w:t>联系人：李楠</w:t>
            </w:r>
          </w:p>
          <w:p w14:paraId="0AF055C3">
            <w:pPr>
              <w:pStyle w:val="33"/>
              <w:spacing w:before="75" w:after="75"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rPr>
              <w:t>项目联系方式：0991-</w:t>
            </w:r>
            <w:r>
              <w:rPr>
                <w:rFonts w:hint="eastAsia" w:ascii="宋体" w:hAnsi="宋体" w:eastAsia="宋体" w:cs="宋体"/>
                <w:color w:val="000000"/>
                <w:sz w:val="24"/>
                <w:lang w:eastAsia="zh-CN"/>
              </w:rPr>
              <w:t>8512143</w:t>
            </w:r>
          </w:p>
        </w:tc>
      </w:tr>
      <w:tr w14:paraId="3088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270DD70C">
            <w:pPr>
              <w:pStyle w:val="32"/>
              <w:spacing w:line="360" w:lineRule="auto"/>
              <w:jc w:val="center"/>
              <w:rPr>
                <w:rFonts w:hint="eastAsia" w:ascii="宋体" w:hAnsi="宋体" w:eastAsia="宋体" w:cs="宋体"/>
                <w:b/>
                <w:kern w:val="0"/>
                <w:sz w:val="24"/>
              </w:rPr>
            </w:pPr>
            <w:r>
              <w:rPr>
                <w:rFonts w:hint="eastAsia" w:ascii="宋体" w:hAnsi="宋体" w:eastAsia="宋体" w:cs="宋体"/>
                <w:b/>
                <w:kern w:val="0"/>
                <w:sz w:val="24"/>
                <w:highlight w:val="white"/>
              </w:rPr>
              <w:t>3</w:t>
            </w:r>
          </w:p>
        </w:tc>
        <w:tc>
          <w:tcPr>
            <w:tcW w:w="2664" w:type="dxa"/>
            <w:tcBorders>
              <w:top w:val="single" w:color="auto" w:sz="4" w:space="0"/>
              <w:left w:val="single" w:color="auto" w:sz="4" w:space="0"/>
              <w:bottom w:val="single" w:color="auto" w:sz="4" w:space="0"/>
              <w:right w:val="single" w:color="auto" w:sz="4" w:space="0"/>
            </w:tcBorders>
            <w:vAlign w:val="center"/>
          </w:tcPr>
          <w:p w14:paraId="26D7571E">
            <w:pPr>
              <w:pStyle w:val="32"/>
              <w:spacing w:line="360" w:lineRule="auto"/>
              <w:jc w:val="center"/>
              <w:rPr>
                <w:rFonts w:hint="eastAsia" w:ascii="宋体" w:hAnsi="宋体" w:eastAsia="宋体" w:cs="宋体"/>
                <w:b/>
                <w:kern w:val="0"/>
                <w:sz w:val="24"/>
              </w:rPr>
            </w:pPr>
            <w:r>
              <w:rPr>
                <w:rFonts w:hint="eastAsia" w:ascii="宋体" w:hAnsi="宋体" w:eastAsia="宋体" w:cs="宋体"/>
                <w:b/>
                <w:kern w:val="0"/>
                <w:sz w:val="24"/>
                <w:highlight w:val="white"/>
              </w:rPr>
              <w:t>采购代理机构</w:t>
            </w:r>
          </w:p>
        </w:tc>
        <w:tc>
          <w:tcPr>
            <w:tcW w:w="6518" w:type="dxa"/>
            <w:tcBorders>
              <w:top w:val="single" w:color="auto" w:sz="4" w:space="0"/>
              <w:left w:val="single" w:color="auto" w:sz="4" w:space="0"/>
              <w:bottom w:val="single" w:color="auto" w:sz="4" w:space="0"/>
              <w:right w:val="single" w:color="auto" w:sz="4" w:space="0"/>
            </w:tcBorders>
            <w:vAlign w:val="center"/>
          </w:tcPr>
          <w:p w14:paraId="2EA6D0D0">
            <w:pPr>
              <w:pStyle w:val="35"/>
              <w:spacing w:line="360" w:lineRule="auto"/>
              <w:rPr>
                <w:rFonts w:hint="eastAsia" w:ascii="宋体" w:hAnsi="宋体" w:eastAsia="宋体" w:cs="宋体"/>
                <w:sz w:val="24"/>
              </w:rPr>
            </w:pPr>
            <w:r>
              <w:rPr>
                <w:rFonts w:hint="eastAsia" w:ascii="宋体" w:hAnsi="宋体" w:eastAsia="宋体" w:cs="宋体"/>
                <w:sz w:val="24"/>
              </w:rPr>
              <w:t>采购代理机构名称：华春建设工程项目管理有限责任公司</w:t>
            </w:r>
          </w:p>
          <w:p w14:paraId="2F30FF37">
            <w:pPr>
              <w:adjustRightInd w:val="0"/>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联系人：</w:t>
            </w:r>
            <w:r>
              <w:rPr>
                <w:rFonts w:hint="eastAsia" w:ascii="宋体" w:hAnsi="宋体" w:eastAsia="宋体" w:cs="宋体"/>
                <w:color w:val="000000"/>
                <w:sz w:val="24"/>
                <w:lang w:val="en-US" w:eastAsia="zh-CN"/>
              </w:rPr>
              <w:t>苏仁娥</w:t>
            </w:r>
            <w:r>
              <w:rPr>
                <w:rFonts w:hint="eastAsia" w:ascii="宋体" w:hAnsi="宋体" w:eastAsia="宋体" w:cs="宋体"/>
                <w:color w:val="000000"/>
                <w:sz w:val="24"/>
              </w:rPr>
              <w:t>、李斌</w:t>
            </w:r>
          </w:p>
          <w:p w14:paraId="1D9767F3">
            <w:pPr>
              <w:adjustRightInd w:val="0"/>
              <w:snapToGrid w:val="0"/>
              <w:spacing w:line="360" w:lineRule="auto"/>
              <w:rPr>
                <w:rFonts w:hint="default" w:ascii="宋体" w:hAnsi="宋体" w:eastAsia="宋体" w:cs="宋体"/>
                <w:lang w:val="en-US" w:eastAsia="zh-CN"/>
              </w:rPr>
            </w:pPr>
            <w:r>
              <w:rPr>
                <w:rFonts w:hint="eastAsia" w:ascii="宋体" w:hAnsi="宋体" w:eastAsia="宋体" w:cs="宋体"/>
                <w:color w:val="000000"/>
                <w:sz w:val="24"/>
              </w:rPr>
              <w:t>电 话： 0991-2629781、</w:t>
            </w:r>
            <w:r>
              <w:rPr>
                <w:rFonts w:hint="eastAsia" w:ascii="宋体" w:hAnsi="宋体" w:cs="宋体"/>
                <w:color w:val="000000"/>
                <w:sz w:val="24"/>
                <w:lang w:val="en-US" w:eastAsia="zh-CN"/>
              </w:rPr>
              <w:t>13565159649</w:t>
            </w:r>
          </w:p>
          <w:p w14:paraId="64C9988A">
            <w:pPr>
              <w:pStyle w:val="35"/>
              <w:spacing w:line="360" w:lineRule="auto"/>
              <w:rPr>
                <w:rFonts w:hint="eastAsia" w:ascii="宋体" w:hAnsi="宋体" w:eastAsia="宋体" w:cs="宋体"/>
                <w:sz w:val="24"/>
              </w:rPr>
            </w:pPr>
            <w:r>
              <w:rPr>
                <w:rFonts w:hint="eastAsia" w:ascii="宋体" w:hAnsi="宋体" w:eastAsia="宋体" w:cs="宋体"/>
                <w:sz w:val="24"/>
              </w:rPr>
              <w:t>地址：新疆乌鲁木齐市水磨沟区浙商大厦15楼1505室</w:t>
            </w:r>
          </w:p>
        </w:tc>
      </w:tr>
      <w:tr w14:paraId="21A10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5BB40FB9">
            <w:pPr>
              <w:pStyle w:val="32"/>
              <w:spacing w:line="360" w:lineRule="auto"/>
              <w:jc w:val="center"/>
              <w:rPr>
                <w:rFonts w:hint="eastAsia" w:ascii="宋体" w:hAnsi="宋体" w:eastAsia="宋体" w:cs="宋体"/>
                <w:b/>
                <w:kern w:val="0"/>
                <w:sz w:val="24"/>
              </w:rPr>
            </w:pPr>
            <w:r>
              <w:rPr>
                <w:rFonts w:hint="eastAsia" w:ascii="宋体" w:hAnsi="宋体" w:eastAsia="宋体" w:cs="宋体"/>
                <w:b/>
                <w:kern w:val="0"/>
                <w:sz w:val="24"/>
                <w:highlight w:val="white"/>
              </w:rPr>
              <w:t>4</w:t>
            </w:r>
          </w:p>
        </w:tc>
        <w:tc>
          <w:tcPr>
            <w:tcW w:w="2664" w:type="dxa"/>
            <w:tcBorders>
              <w:top w:val="single" w:color="auto" w:sz="4" w:space="0"/>
              <w:left w:val="single" w:color="auto" w:sz="4" w:space="0"/>
              <w:bottom w:val="single" w:color="auto" w:sz="4" w:space="0"/>
              <w:right w:val="single" w:color="auto" w:sz="4" w:space="0"/>
            </w:tcBorders>
            <w:vAlign w:val="center"/>
          </w:tcPr>
          <w:p w14:paraId="6AC128C9">
            <w:pPr>
              <w:pStyle w:val="32"/>
              <w:spacing w:line="360" w:lineRule="auto"/>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采购内容</w:t>
            </w:r>
          </w:p>
        </w:tc>
        <w:tc>
          <w:tcPr>
            <w:tcW w:w="6518" w:type="dxa"/>
            <w:tcBorders>
              <w:top w:val="single" w:color="auto" w:sz="4" w:space="0"/>
              <w:left w:val="single" w:color="auto" w:sz="4" w:space="0"/>
              <w:bottom w:val="single" w:color="auto" w:sz="4" w:space="0"/>
              <w:right w:val="single" w:color="auto" w:sz="4" w:space="0"/>
            </w:tcBorders>
            <w:vAlign w:val="center"/>
          </w:tcPr>
          <w:p w14:paraId="5BA39232">
            <w:pPr>
              <w:pStyle w:val="32"/>
              <w:widowControl/>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详见谈判文件第</w:t>
            </w:r>
            <w:r>
              <w:rPr>
                <w:rFonts w:hint="eastAsia" w:ascii="宋体" w:hAnsi="宋体" w:eastAsia="宋体" w:cs="宋体"/>
                <w:sz w:val="24"/>
                <w:highlight w:val="none"/>
                <w:lang w:eastAsia="zh-CN"/>
              </w:rPr>
              <w:t>三</w:t>
            </w:r>
            <w:r>
              <w:rPr>
                <w:rFonts w:hint="eastAsia" w:ascii="宋体" w:hAnsi="宋体" w:eastAsia="宋体" w:cs="宋体"/>
                <w:sz w:val="24"/>
                <w:highlight w:val="none"/>
              </w:rPr>
              <w:t>部分采购需求</w:t>
            </w:r>
          </w:p>
        </w:tc>
      </w:tr>
      <w:tr w14:paraId="327E5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5C7B48DA">
            <w:pPr>
              <w:pStyle w:val="32"/>
              <w:spacing w:line="360" w:lineRule="auto"/>
              <w:jc w:val="center"/>
              <w:rPr>
                <w:rFonts w:hint="eastAsia" w:ascii="宋体" w:hAnsi="宋体" w:eastAsia="宋体" w:cs="宋体"/>
                <w:b/>
                <w:kern w:val="0"/>
                <w:sz w:val="24"/>
              </w:rPr>
            </w:pPr>
            <w:r>
              <w:rPr>
                <w:rFonts w:hint="eastAsia" w:ascii="宋体" w:hAnsi="宋体" w:eastAsia="宋体" w:cs="宋体"/>
                <w:b/>
                <w:kern w:val="0"/>
                <w:sz w:val="24"/>
                <w:highlight w:val="white"/>
              </w:rPr>
              <w:t>5</w:t>
            </w:r>
          </w:p>
        </w:tc>
        <w:tc>
          <w:tcPr>
            <w:tcW w:w="2664" w:type="dxa"/>
            <w:tcBorders>
              <w:top w:val="single" w:color="auto" w:sz="4" w:space="0"/>
              <w:left w:val="single" w:color="auto" w:sz="4" w:space="0"/>
              <w:bottom w:val="single" w:color="auto" w:sz="4" w:space="0"/>
              <w:right w:val="single" w:color="auto" w:sz="4" w:space="0"/>
            </w:tcBorders>
            <w:vAlign w:val="center"/>
          </w:tcPr>
          <w:p w14:paraId="16F15CC2">
            <w:pPr>
              <w:pStyle w:val="32"/>
              <w:spacing w:line="360" w:lineRule="auto"/>
              <w:jc w:val="center"/>
              <w:rPr>
                <w:rFonts w:hint="eastAsia" w:ascii="宋体" w:hAnsi="宋体" w:eastAsia="宋体" w:cs="宋体"/>
                <w:b/>
                <w:kern w:val="0"/>
                <w:sz w:val="24"/>
              </w:rPr>
            </w:pPr>
            <w:r>
              <w:rPr>
                <w:rFonts w:hint="eastAsia" w:ascii="宋体" w:hAnsi="宋体" w:eastAsia="宋体" w:cs="宋体"/>
                <w:b/>
                <w:kern w:val="0"/>
                <w:sz w:val="24"/>
                <w:highlight w:val="white"/>
              </w:rPr>
              <w:t>供应商资格要求</w:t>
            </w:r>
          </w:p>
        </w:tc>
        <w:tc>
          <w:tcPr>
            <w:tcW w:w="6518" w:type="dxa"/>
            <w:tcBorders>
              <w:top w:val="single" w:color="auto" w:sz="4" w:space="0"/>
              <w:left w:val="single" w:color="auto" w:sz="4" w:space="0"/>
              <w:bottom w:val="single" w:color="auto" w:sz="4" w:space="0"/>
              <w:right w:val="single" w:color="auto" w:sz="4" w:space="0"/>
            </w:tcBorders>
            <w:vAlign w:val="center"/>
          </w:tcPr>
          <w:p w14:paraId="08160E6B">
            <w:pPr>
              <w:adjustRightInd w:val="0"/>
              <w:snapToGrid w:val="0"/>
              <w:spacing w:line="360" w:lineRule="auto"/>
              <w:rPr>
                <w:rFonts w:hint="eastAsia" w:ascii="宋体" w:hAnsi="宋体" w:eastAsia="宋体" w:cs="宋体"/>
                <w:color w:val="000000"/>
                <w:kern w:val="0"/>
                <w:sz w:val="24"/>
                <w:szCs w:val="20"/>
                <w:lang w:val="en-US" w:eastAsia="zh-CN" w:bidi="ar-SA"/>
              </w:rPr>
            </w:pPr>
            <w:bookmarkStart w:id="11" w:name="EBd77b448698ab48f2a21fe1279362a7db"/>
            <w:bookmarkEnd w:id="11"/>
            <w:r>
              <w:rPr>
                <w:rFonts w:hint="eastAsia" w:ascii="宋体" w:hAnsi="宋体" w:eastAsia="宋体" w:cs="宋体"/>
                <w:color w:val="000000"/>
                <w:kern w:val="0"/>
                <w:sz w:val="24"/>
                <w:szCs w:val="20"/>
                <w:lang w:val="en-US" w:eastAsia="zh-CN" w:bidi="ar-SA"/>
              </w:rPr>
              <w:t>1.满足《中华人民共和国政府采购法》第二十二条规定；</w:t>
            </w:r>
          </w:p>
          <w:p w14:paraId="30819AF3">
            <w:pPr>
              <w:pStyle w:val="33"/>
              <w:spacing w:before="75" w:after="75" w:line="360" w:lineRule="auto"/>
              <w:rPr>
                <w:rFonts w:hint="eastAsia" w:ascii="宋体" w:hAnsi="宋体" w:eastAsia="宋体" w:cs="宋体"/>
                <w:color w:val="000000"/>
                <w:sz w:val="24"/>
                <w:lang w:val="en-US" w:eastAsia="zh-CN"/>
              </w:rPr>
            </w:pPr>
            <w:r>
              <w:rPr>
                <w:rFonts w:hint="eastAsia" w:ascii="宋体" w:hAnsi="宋体" w:eastAsia="宋体" w:cs="宋体"/>
                <w:color w:val="000000"/>
                <w:kern w:val="0"/>
                <w:sz w:val="24"/>
                <w:szCs w:val="20"/>
                <w:lang w:val="en-US" w:eastAsia="zh-CN" w:bidi="ar-SA"/>
              </w:rPr>
              <w:t>2.落实政府采购政策需满足的资格要求：</w:t>
            </w:r>
            <w:r>
              <w:rPr>
                <w:rFonts w:hint="eastAsia" w:ascii="宋体" w:hAnsi="宋体" w:eastAsia="宋体" w:cs="宋体"/>
                <w:color w:val="000000"/>
                <w:sz w:val="24"/>
                <w:lang w:val="en-US" w:eastAsia="zh-CN"/>
              </w:rPr>
              <w:t>本项目为专门面向中小企业（含中型、小型、微型企业）采购项目，根据《政府采购促进中小企业发展管理办法》（财库﹝2020﹞46 号）的规定（200 万元以下的货物、服务采购项目、400 万元以下的工程采购项目）原则上全部预留给中小企业。</w:t>
            </w:r>
          </w:p>
          <w:p w14:paraId="297BE657">
            <w:pPr>
              <w:pStyle w:val="33"/>
              <w:spacing w:before="75" w:after="75"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（1）财政部《关于进一步加大政府采购支持中小企业力度的通知》（财库〔2022〕19号）、《政府采购促进中小企业发展管理办法》（财库﹝2020﹞46 号）；</w:t>
            </w:r>
          </w:p>
          <w:p w14:paraId="19DCBEA5">
            <w:pPr>
              <w:pStyle w:val="33"/>
              <w:spacing w:before="75" w:after="75"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（2）《关于政府采购支持监狱企业发展有关问题的通知》（财库[2014]68号）；</w:t>
            </w:r>
          </w:p>
          <w:p w14:paraId="2E191404">
            <w:pPr>
              <w:pStyle w:val="33"/>
              <w:spacing w:before="75" w:after="75"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（3）《三部门联合发布关于促进残疾人就业政府采购政策的通知》（财库[2017]141 号）。</w:t>
            </w:r>
          </w:p>
          <w:p w14:paraId="2B5F4BC4">
            <w:pPr>
              <w:pStyle w:val="33"/>
              <w:spacing w:before="75" w:after="75"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（4）《关于调整优化节能产品、环境标志产品政府采购执行机制的通知》（财库[2019]9号）</w:t>
            </w:r>
          </w:p>
          <w:p w14:paraId="71BC4E4E">
            <w:pPr>
              <w:pStyle w:val="33"/>
              <w:spacing w:before="75" w:after="75" w:line="360" w:lineRule="auto"/>
              <w:rPr>
                <w:rFonts w:hint="eastAsia" w:ascii="宋体" w:hAnsi="宋体" w:eastAsia="宋体" w:cs="宋体"/>
                <w:color w:val="000000"/>
                <w:sz w:val="24"/>
              </w:rPr>
            </w:pPr>
            <w:r>
              <w:rPr>
                <w:rFonts w:hint="eastAsia" w:ascii="宋体" w:hAnsi="宋体" w:eastAsia="宋体" w:cs="宋体"/>
                <w:color w:val="000000"/>
                <w:sz w:val="24"/>
                <w:lang w:val="en-US" w:eastAsia="zh-CN"/>
              </w:rPr>
              <w:t>3.</w:t>
            </w:r>
            <w:r>
              <w:rPr>
                <w:rFonts w:hint="eastAsia" w:ascii="宋体" w:hAnsi="宋体" w:eastAsia="宋体" w:cs="宋体"/>
                <w:color w:val="000000"/>
                <w:sz w:val="24"/>
              </w:rPr>
              <w:t>供应商未被列入“信用中国”网站(www.creditchina.gov.cn)证记录失信被执行人或重大税收违法案件当事人名单或政府采购严重违法失信行为”记录名单；未处于中国政府采购网(www.ccgp.gov.cn)当政府采购严重违法失信行为信息记录”中；</w:t>
            </w:r>
          </w:p>
          <w:p w14:paraId="08624716">
            <w:pPr>
              <w:pStyle w:val="33"/>
              <w:spacing w:before="75" w:after="75" w:line="360" w:lineRule="auto"/>
              <w:rPr>
                <w:rFonts w:hint="eastAsia" w:ascii="宋体" w:hAnsi="宋体" w:eastAsia="宋体" w:cs="宋体"/>
                <w:color w:val="000000"/>
                <w:sz w:val="24"/>
              </w:rPr>
            </w:pPr>
            <w:r>
              <w:rPr>
                <w:rFonts w:hint="eastAsia" w:ascii="宋体" w:hAnsi="宋体" w:eastAsia="宋体" w:cs="宋体"/>
                <w:color w:val="000000"/>
                <w:sz w:val="24"/>
                <w:lang w:val="en-US" w:eastAsia="zh-CN"/>
              </w:rPr>
              <w:t>4.</w:t>
            </w:r>
            <w:r>
              <w:rPr>
                <w:rFonts w:hint="eastAsia" w:ascii="宋体" w:hAnsi="宋体" w:eastAsia="宋体" w:cs="宋体"/>
                <w:color w:val="000000"/>
                <w:sz w:val="24"/>
              </w:rPr>
              <w:t>单位负责人为同一人或者存在控股、管理关系的不同单位，不得同时参加本项目的</w:t>
            </w:r>
            <w:r>
              <w:rPr>
                <w:rFonts w:hint="eastAsia" w:ascii="宋体" w:hAnsi="宋体" w:eastAsia="宋体" w:cs="宋体"/>
                <w:color w:val="000000"/>
                <w:sz w:val="24"/>
                <w:lang w:val="en-US" w:eastAsia="zh-CN"/>
              </w:rPr>
              <w:t>谈判响应</w:t>
            </w:r>
            <w:r>
              <w:rPr>
                <w:rFonts w:hint="eastAsia" w:ascii="宋体" w:hAnsi="宋体" w:eastAsia="宋体" w:cs="宋体"/>
                <w:color w:val="000000"/>
                <w:sz w:val="24"/>
              </w:rPr>
              <w:t>。为本项目提供整体设计、规范编制或者项目管理、监理、检测等服务的</w:t>
            </w:r>
            <w:r>
              <w:rPr>
                <w:rFonts w:hint="eastAsia" w:ascii="宋体" w:hAnsi="宋体" w:eastAsia="宋体" w:cs="宋体"/>
                <w:color w:val="000000"/>
                <w:sz w:val="24"/>
                <w:lang w:val="en-US" w:eastAsia="zh-CN"/>
              </w:rPr>
              <w:t>供应商</w:t>
            </w:r>
            <w:r>
              <w:rPr>
                <w:rFonts w:hint="eastAsia" w:ascii="宋体" w:hAnsi="宋体" w:eastAsia="宋体" w:cs="宋体"/>
                <w:color w:val="000000"/>
                <w:sz w:val="24"/>
              </w:rPr>
              <w:t>，不得再参加本项目</w:t>
            </w:r>
            <w:r>
              <w:rPr>
                <w:rFonts w:hint="eastAsia" w:cs="宋体"/>
                <w:sz w:val="24"/>
                <w:szCs w:val="24"/>
                <w:lang w:val="en-US" w:eastAsia="zh-CN"/>
              </w:rPr>
              <w:t>谈判响应</w:t>
            </w:r>
            <w:r>
              <w:rPr>
                <w:rFonts w:hint="eastAsia" w:ascii="宋体" w:hAnsi="宋体" w:eastAsia="宋体" w:cs="宋体"/>
                <w:color w:val="000000"/>
                <w:sz w:val="24"/>
              </w:rPr>
              <w:t>；</w:t>
            </w:r>
          </w:p>
          <w:p w14:paraId="30F6BE78">
            <w:pPr>
              <w:pStyle w:val="33"/>
              <w:spacing w:before="75" w:after="75" w:line="360" w:lineRule="auto"/>
              <w:rPr>
                <w:rFonts w:hint="eastAsia" w:ascii="宋体" w:hAnsi="宋体" w:eastAsia="宋体" w:cs="宋体"/>
                <w:color w:val="000000"/>
                <w:sz w:val="24"/>
              </w:rPr>
            </w:pPr>
            <w:r>
              <w:rPr>
                <w:rFonts w:hint="eastAsia" w:ascii="宋体" w:hAnsi="宋体" w:eastAsia="宋体" w:cs="宋体"/>
                <w:color w:val="000000"/>
                <w:sz w:val="24"/>
                <w:lang w:val="en-US" w:eastAsia="zh-CN"/>
              </w:rPr>
              <w:t>5.</w:t>
            </w:r>
            <w:r>
              <w:rPr>
                <w:rFonts w:hint="eastAsia" w:ascii="宋体" w:hAnsi="宋体" w:eastAsia="宋体" w:cs="宋体"/>
                <w:color w:val="000000"/>
                <w:sz w:val="24"/>
              </w:rPr>
              <w:t xml:space="preserve">本项目不接受联合体投标。  </w:t>
            </w:r>
            <w:r>
              <w:rPr>
                <w:rFonts w:hint="eastAsia" w:ascii="宋体" w:hAnsi="宋体" w:eastAsia="宋体" w:cs="宋体"/>
                <w:b/>
                <w:bCs/>
                <w:sz w:val="24"/>
                <w:szCs w:val="24"/>
              </w:rPr>
              <w:t xml:space="preserve">  </w:t>
            </w:r>
          </w:p>
        </w:tc>
      </w:tr>
      <w:tr w14:paraId="2EAB0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18AE7913">
            <w:pPr>
              <w:pStyle w:val="32"/>
              <w:spacing w:line="360" w:lineRule="auto"/>
              <w:jc w:val="center"/>
              <w:rPr>
                <w:rFonts w:hint="eastAsia" w:ascii="宋体" w:hAnsi="宋体" w:eastAsia="宋体" w:cs="宋体"/>
                <w:b/>
                <w:color w:val="000000"/>
                <w:kern w:val="0"/>
                <w:sz w:val="24"/>
              </w:rPr>
            </w:pPr>
            <w:r>
              <w:rPr>
                <w:rFonts w:hint="eastAsia" w:ascii="宋体" w:hAnsi="宋体" w:eastAsia="宋体" w:cs="宋体"/>
                <w:b/>
                <w:color w:val="000000"/>
                <w:kern w:val="0"/>
                <w:sz w:val="24"/>
                <w:highlight w:val="white"/>
              </w:rPr>
              <w:t>6</w:t>
            </w:r>
          </w:p>
        </w:tc>
        <w:tc>
          <w:tcPr>
            <w:tcW w:w="2664" w:type="dxa"/>
            <w:tcBorders>
              <w:top w:val="single" w:color="auto" w:sz="4" w:space="0"/>
              <w:left w:val="single" w:color="auto" w:sz="4" w:space="0"/>
              <w:bottom w:val="single" w:color="auto" w:sz="4" w:space="0"/>
              <w:right w:val="single" w:color="auto" w:sz="4" w:space="0"/>
            </w:tcBorders>
            <w:vAlign w:val="center"/>
          </w:tcPr>
          <w:p w14:paraId="25652D26">
            <w:pPr>
              <w:pStyle w:val="32"/>
              <w:spacing w:line="360" w:lineRule="auto"/>
              <w:jc w:val="center"/>
              <w:rPr>
                <w:rFonts w:hint="eastAsia" w:ascii="宋体" w:hAnsi="宋体" w:eastAsia="宋体" w:cs="宋体"/>
                <w:b/>
                <w:color w:val="000000"/>
                <w:kern w:val="0"/>
                <w:sz w:val="24"/>
              </w:rPr>
            </w:pPr>
            <w:r>
              <w:rPr>
                <w:rFonts w:hint="eastAsia" w:ascii="宋体" w:hAnsi="宋体" w:eastAsia="宋体" w:cs="宋体"/>
                <w:b/>
                <w:color w:val="000000"/>
                <w:kern w:val="0"/>
                <w:sz w:val="24"/>
                <w:highlight w:val="white"/>
              </w:rPr>
              <w:t>谈判响应文件的组成部分</w:t>
            </w:r>
          </w:p>
        </w:tc>
        <w:tc>
          <w:tcPr>
            <w:tcW w:w="6518" w:type="dxa"/>
            <w:tcBorders>
              <w:top w:val="single" w:color="auto" w:sz="4" w:space="0"/>
              <w:left w:val="single" w:color="auto" w:sz="4" w:space="0"/>
              <w:bottom w:val="single" w:color="auto" w:sz="4" w:space="0"/>
              <w:right w:val="single" w:color="auto" w:sz="4" w:space="0"/>
            </w:tcBorders>
            <w:vAlign w:val="center"/>
          </w:tcPr>
          <w:p w14:paraId="3D12E876">
            <w:pPr>
              <w:spacing w:before="28" w:line="239" w:lineRule="auto"/>
              <w:ind w:left="18"/>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价格文件、</w:t>
            </w:r>
            <w:r>
              <w:rPr>
                <w:rFonts w:hint="eastAsia" w:ascii="宋体" w:hAnsi="宋体" w:eastAsia="宋体" w:cs="宋体"/>
                <w:color w:val="000000"/>
                <w:kern w:val="0"/>
                <w:sz w:val="24"/>
              </w:rPr>
              <w:t>资格审查资料</w:t>
            </w:r>
            <w:r>
              <w:rPr>
                <w:rFonts w:hint="eastAsia" w:ascii="宋体" w:hAnsi="宋体" w:cs="宋体"/>
                <w:color w:val="000000"/>
                <w:kern w:val="0"/>
                <w:sz w:val="24"/>
                <w:lang w:eastAsia="zh-CN"/>
              </w:rPr>
              <w:t>、</w:t>
            </w:r>
            <w:r>
              <w:rPr>
                <w:rFonts w:hint="eastAsia" w:ascii="宋体" w:hAnsi="宋体" w:eastAsia="宋体" w:cs="宋体"/>
                <w:color w:val="000000"/>
                <w:kern w:val="0"/>
                <w:sz w:val="24"/>
                <w:lang w:val="en-US" w:eastAsia="zh-CN"/>
              </w:rPr>
              <w:t>商务技术文件</w:t>
            </w:r>
            <w:r>
              <w:rPr>
                <w:rFonts w:hint="eastAsia" w:ascii="宋体" w:hAnsi="宋体" w:eastAsia="宋体" w:cs="宋体"/>
                <w:color w:val="000000"/>
                <w:kern w:val="0"/>
                <w:sz w:val="24"/>
              </w:rPr>
              <w:t>供应商认为需要说明的其他部分。具体详见“响应文件的编制”。</w:t>
            </w:r>
          </w:p>
        </w:tc>
      </w:tr>
      <w:tr w14:paraId="6338A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23DCEE3C">
            <w:pPr>
              <w:pStyle w:val="32"/>
              <w:spacing w:line="360" w:lineRule="auto"/>
              <w:jc w:val="center"/>
              <w:rPr>
                <w:rFonts w:hint="eastAsia" w:ascii="宋体" w:hAnsi="宋体" w:eastAsia="宋体" w:cs="宋体"/>
                <w:b/>
                <w:kern w:val="0"/>
                <w:sz w:val="24"/>
                <w:highlight w:val="white"/>
              </w:rPr>
            </w:pPr>
            <w:r>
              <w:rPr>
                <w:rFonts w:hint="eastAsia" w:ascii="宋体" w:hAnsi="宋体" w:eastAsia="宋体" w:cs="宋体"/>
                <w:b/>
                <w:kern w:val="0"/>
                <w:sz w:val="24"/>
                <w:highlight w:val="white"/>
              </w:rPr>
              <w:t>7</w:t>
            </w:r>
          </w:p>
        </w:tc>
        <w:tc>
          <w:tcPr>
            <w:tcW w:w="2664" w:type="dxa"/>
            <w:tcBorders>
              <w:top w:val="single" w:color="auto" w:sz="4" w:space="0"/>
              <w:left w:val="single" w:color="auto" w:sz="4" w:space="0"/>
              <w:bottom w:val="single" w:color="auto" w:sz="4" w:space="0"/>
              <w:right w:val="single" w:color="auto" w:sz="4" w:space="0"/>
            </w:tcBorders>
            <w:vAlign w:val="center"/>
          </w:tcPr>
          <w:p w14:paraId="63E9293C">
            <w:pPr>
              <w:adjustRightInd w:val="0"/>
              <w:jc w:val="center"/>
              <w:rPr>
                <w:rFonts w:hint="eastAsia" w:ascii="宋体" w:hAnsi="宋体" w:eastAsia="宋体" w:cs="宋体"/>
                <w:color w:val="000000"/>
                <w:kern w:val="0"/>
                <w:sz w:val="24"/>
              </w:rPr>
            </w:pPr>
            <w:r>
              <w:rPr>
                <w:rFonts w:hint="eastAsia" w:ascii="宋体" w:hAnsi="宋体" w:cs="宋体"/>
                <w:b/>
                <w:bCs/>
                <w:color w:val="000000"/>
                <w:kern w:val="0"/>
                <w:sz w:val="24"/>
                <w:lang w:val="en-US" w:eastAsia="zh-CN"/>
              </w:rPr>
              <w:t>响应</w:t>
            </w:r>
            <w:r>
              <w:rPr>
                <w:rFonts w:hint="eastAsia" w:ascii="宋体" w:hAnsi="宋体" w:eastAsia="宋体" w:cs="宋体"/>
                <w:b/>
                <w:bCs/>
                <w:color w:val="000000"/>
                <w:kern w:val="0"/>
                <w:sz w:val="24"/>
              </w:rPr>
              <w:t>报价</w:t>
            </w:r>
          </w:p>
        </w:tc>
        <w:tc>
          <w:tcPr>
            <w:tcW w:w="6518" w:type="dxa"/>
            <w:tcBorders>
              <w:top w:val="single" w:color="auto" w:sz="4" w:space="0"/>
              <w:left w:val="single" w:color="auto" w:sz="4" w:space="0"/>
              <w:bottom w:val="single" w:color="auto" w:sz="4" w:space="0"/>
              <w:right w:val="single" w:color="auto" w:sz="4" w:space="0"/>
            </w:tcBorders>
            <w:vAlign w:val="center"/>
          </w:tcPr>
          <w:p w14:paraId="42272B21">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1.本次谈判只进行两次报价。谈判小组认为响应人的最终报价（即第二次报价）明显低于其他通过符合性审查响应人的报价，有可能影响</w:t>
            </w:r>
            <w:r>
              <w:rPr>
                <w:rFonts w:hint="eastAsia" w:ascii="宋体" w:hAnsi="宋体" w:cs="宋体"/>
                <w:color w:val="000000"/>
                <w:kern w:val="0"/>
                <w:sz w:val="24"/>
                <w:szCs w:val="24"/>
                <w:lang w:val="en-US" w:eastAsia="zh-CN" w:bidi="ar-SA"/>
              </w:rPr>
              <w:t>服务</w:t>
            </w:r>
            <w:r>
              <w:rPr>
                <w:rFonts w:hint="eastAsia" w:ascii="宋体" w:hAnsi="宋体" w:eastAsia="宋体" w:cs="宋体"/>
                <w:color w:val="000000"/>
                <w:kern w:val="0"/>
                <w:sz w:val="24"/>
                <w:szCs w:val="24"/>
                <w:lang w:val="en-US" w:eastAsia="zh-CN" w:bidi="ar-SA"/>
              </w:rPr>
              <w:t>质量或者不能诚信履约的，应当要求其在合理的时间内提供书面说明，必要时提交相关证明材料；响应人不能证明其报价合理性的，其谈判响应无效。</w:t>
            </w:r>
          </w:p>
          <w:p w14:paraId="3A3BC135">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b/>
                <w:bCs/>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2.最终报价（第二次报价）的报价方式：</w:t>
            </w:r>
            <w:r>
              <w:rPr>
                <w:rFonts w:hint="eastAsia" w:ascii="宋体" w:hAnsi="宋体" w:eastAsia="宋体" w:cs="宋体"/>
                <w:b/>
                <w:bCs/>
                <w:color w:val="000000"/>
                <w:kern w:val="0"/>
                <w:sz w:val="24"/>
                <w:szCs w:val="24"/>
                <w:highlight w:val="none"/>
                <w:lang w:val="en-US" w:eastAsia="zh-CN" w:bidi="ar-SA"/>
              </w:rPr>
              <w:t>响应人在谈判小组规定的时间内提交最终报价的总价金额。</w:t>
            </w:r>
          </w:p>
          <w:p w14:paraId="0DA2A1CF">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b/>
                <w:bCs/>
                <w:color w:val="000000"/>
                <w:kern w:val="0"/>
                <w:sz w:val="24"/>
                <w:szCs w:val="24"/>
                <w:highlight w:val="none"/>
                <w:lang w:val="en-US" w:eastAsia="zh-CN" w:bidi="ar-SA"/>
              </w:rPr>
            </w:pPr>
            <w:r>
              <w:rPr>
                <w:rFonts w:hint="eastAsia" w:ascii="宋体" w:hAnsi="宋体" w:cs="宋体"/>
                <w:b w:val="0"/>
                <w:bCs w:val="0"/>
                <w:color w:val="000000" w:themeColor="text1"/>
                <w:sz w:val="24"/>
                <w:highlight w:val="none"/>
                <w:lang w:val="en-US" w:eastAsia="zh-CN"/>
                <w14:textFill>
                  <w14:solidFill>
                    <w14:schemeClr w14:val="tx1"/>
                  </w14:solidFill>
                </w14:textFill>
              </w:rPr>
              <w:t>备注：在合同签订前成交单位需以首次响应文件中的报价清单为基础，计算出总价的折扣率，然后将该折扣率分摊到报价清单的单价上，提供最终已标价的清单。</w:t>
            </w:r>
          </w:p>
        </w:tc>
      </w:tr>
      <w:tr w14:paraId="0F612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44C585C9">
            <w:pPr>
              <w:pStyle w:val="32"/>
              <w:spacing w:line="360" w:lineRule="auto"/>
              <w:jc w:val="center"/>
              <w:rPr>
                <w:rFonts w:hint="eastAsia" w:ascii="宋体" w:hAnsi="宋体" w:eastAsia="宋体" w:cs="宋体"/>
                <w:b/>
                <w:kern w:val="0"/>
                <w:sz w:val="24"/>
                <w:highlight w:val="white"/>
              </w:rPr>
            </w:pPr>
            <w:r>
              <w:rPr>
                <w:rFonts w:hint="eastAsia" w:ascii="宋体" w:hAnsi="宋体" w:eastAsia="宋体" w:cs="宋体"/>
                <w:b/>
                <w:kern w:val="0"/>
                <w:sz w:val="24"/>
                <w:highlight w:val="white"/>
              </w:rPr>
              <w:t>8</w:t>
            </w:r>
          </w:p>
        </w:tc>
        <w:tc>
          <w:tcPr>
            <w:tcW w:w="2664" w:type="dxa"/>
            <w:tcBorders>
              <w:top w:val="single" w:color="auto" w:sz="4" w:space="0"/>
              <w:left w:val="single" w:color="auto" w:sz="4" w:space="0"/>
              <w:bottom w:val="single" w:color="auto" w:sz="4" w:space="0"/>
              <w:right w:val="single" w:color="auto" w:sz="4" w:space="0"/>
            </w:tcBorders>
            <w:vAlign w:val="center"/>
          </w:tcPr>
          <w:p w14:paraId="2013127F">
            <w:pPr>
              <w:adjustRightInd w:val="0"/>
              <w:jc w:val="center"/>
              <w:rPr>
                <w:rFonts w:hint="eastAsia" w:ascii="宋体" w:hAnsi="宋体" w:eastAsia="宋体" w:cs="宋体"/>
                <w:b/>
                <w:sz w:val="24"/>
                <w:highlight w:val="white"/>
              </w:rPr>
            </w:pPr>
            <w:r>
              <w:rPr>
                <w:rFonts w:hint="eastAsia" w:ascii="宋体" w:hAnsi="宋体" w:eastAsia="宋体" w:cs="宋体"/>
                <w:b/>
                <w:sz w:val="24"/>
              </w:rPr>
              <w:t>资金来源</w:t>
            </w:r>
          </w:p>
        </w:tc>
        <w:tc>
          <w:tcPr>
            <w:tcW w:w="6518" w:type="dxa"/>
            <w:tcBorders>
              <w:top w:val="single" w:color="auto" w:sz="4" w:space="0"/>
              <w:left w:val="single" w:color="auto" w:sz="4" w:space="0"/>
              <w:bottom w:val="single" w:color="auto" w:sz="4" w:space="0"/>
              <w:right w:val="single" w:color="auto" w:sz="4" w:space="0"/>
            </w:tcBorders>
            <w:vAlign w:val="center"/>
          </w:tcPr>
          <w:p w14:paraId="1D12EC91">
            <w:pPr>
              <w:adjustRightInd w:val="0"/>
              <w:jc w:val="left"/>
              <w:rPr>
                <w:rFonts w:hint="eastAsia" w:ascii="宋体" w:hAnsi="宋体" w:eastAsia="宋体" w:cs="宋体"/>
                <w:color w:val="000000"/>
                <w:kern w:val="0"/>
                <w:sz w:val="24"/>
              </w:rPr>
            </w:pPr>
            <w:r>
              <w:rPr>
                <w:rFonts w:hint="eastAsia" w:ascii="宋体" w:hAnsi="宋体" w:eastAsia="宋体" w:cs="宋体"/>
                <w:b/>
                <w:sz w:val="24"/>
              </w:rPr>
              <w:t>财政资金</w:t>
            </w:r>
          </w:p>
        </w:tc>
      </w:tr>
      <w:tr w14:paraId="2A9E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678BF4F2">
            <w:pPr>
              <w:pStyle w:val="32"/>
              <w:spacing w:line="360" w:lineRule="auto"/>
              <w:jc w:val="center"/>
              <w:rPr>
                <w:rFonts w:hint="eastAsia" w:ascii="宋体" w:hAnsi="宋体" w:eastAsia="宋体" w:cs="宋体"/>
                <w:b/>
                <w:kern w:val="0"/>
                <w:sz w:val="24"/>
              </w:rPr>
            </w:pPr>
            <w:r>
              <w:rPr>
                <w:rFonts w:hint="eastAsia" w:ascii="宋体" w:hAnsi="宋体" w:eastAsia="宋体" w:cs="宋体"/>
                <w:b/>
                <w:kern w:val="0"/>
                <w:sz w:val="24"/>
                <w:highlight w:val="white"/>
              </w:rPr>
              <w:t>9</w:t>
            </w:r>
          </w:p>
        </w:tc>
        <w:tc>
          <w:tcPr>
            <w:tcW w:w="2664" w:type="dxa"/>
            <w:tcBorders>
              <w:top w:val="single" w:color="auto" w:sz="4" w:space="0"/>
              <w:left w:val="single" w:color="auto" w:sz="4" w:space="0"/>
              <w:bottom w:val="single" w:color="auto" w:sz="4" w:space="0"/>
              <w:right w:val="single" w:color="auto" w:sz="4" w:space="0"/>
            </w:tcBorders>
            <w:vAlign w:val="center"/>
          </w:tcPr>
          <w:p w14:paraId="1ED1EC61">
            <w:pPr>
              <w:pStyle w:val="32"/>
              <w:spacing w:line="360" w:lineRule="auto"/>
              <w:jc w:val="center"/>
              <w:rPr>
                <w:rFonts w:hint="eastAsia" w:ascii="宋体" w:hAnsi="宋体" w:eastAsia="宋体" w:cs="宋体"/>
                <w:b/>
                <w:sz w:val="24"/>
              </w:rPr>
            </w:pPr>
            <w:r>
              <w:rPr>
                <w:rFonts w:hint="eastAsia" w:ascii="宋体" w:hAnsi="宋体" w:eastAsia="宋体" w:cs="宋体"/>
                <w:b/>
                <w:sz w:val="24"/>
                <w:highlight w:val="white"/>
              </w:rPr>
              <w:t>是否允许联合体投标</w:t>
            </w:r>
          </w:p>
        </w:tc>
        <w:tc>
          <w:tcPr>
            <w:tcW w:w="6518" w:type="dxa"/>
            <w:tcBorders>
              <w:top w:val="single" w:color="auto" w:sz="4" w:space="0"/>
              <w:left w:val="single" w:color="auto" w:sz="4" w:space="0"/>
              <w:bottom w:val="single" w:color="auto" w:sz="4" w:space="0"/>
              <w:right w:val="single" w:color="auto" w:sz="4" w:space="0"/>
            </w:tcBorders>
            <w:vAlign w:val="center"/>
          </w:tcPr>
          <w:p w14:paraId="66A81588">
            <w:pPr>
              <w:pStyle w:val="32"/>
              <w:autoSpaceDE w:val="0"/>
              <w:autoSpaceDN w:val="0"/>
              <w:adjustRightInd w:val="0"/>
              <w:spacing w:line="360" w:lineRule="auto"/>
              <w:rPr>
                <w:rFonts w:hint="eastAsia" w:ascii="宋体" w:hAnsi="宋体" w:eastAsia="宋体" w:cs="宋体"/>
                <w:color w:val="000000"/>
                <w:kern w:val="0"/>
                <w:sz w:val="24"/>
              </w:rPr>
            </w:pPr>
            <w:bookmarkStart w:id="12" w:name="EB0f86f5f9a6b44b37825cf035703cfc15"/>
            <w:bookmarkEnd w:id="12"/>
            <w:r>
              <w:rPr>
                <w:rFonts w:hint="eastAsia" w:ascii="宋体" w:hAnsi="宋体" w:eastAsia="宋体" w:cs="宋体"/>
                <w:color w:val="000000"/>
                <w:kern w:val="0"/>
                <w:sz w:val="24"/>
              </w:rPr>
              <w:t>☐是。</w:t>
            </w:r>
          </w:p>
          <w:p w14:paraId="4039AFB9">
            <w:pPr>
              <w:pStyle w:val="32"/>
              <w:autoSpaceDE w:val="0"/>
              <w:autoSpaceDN w:val="0"/>
              <w:adjustRightInd w:val="0"/>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应满足要求：</w:t>
            </w:r>
            <w:bookmarkStart w:id="13" w:name="EB9d99000cce4c4ff692a082ab0ad4b727"/>
            <w:bookmarkEnd w:id="13"/>
            <w:r>
              <w:rPr>
                <w:rFonts w:hint="eastAsia" w:ascii="宋体" w:hAnsi="宋体" w:eastAsia="宋体" w:cs="宋体"/>
                <w:color w:val="000000"/>
                <w:kern w:val="0"/>
                <w:sz w:val="24"/>
              </w:rPr>
              <w:t xml:space="preserve">                     </w:t>
            </w:r>
          </w:p>
          <w:p w14:paraId="19B77094">
            <w:pPr>
              <w:pStyle w:val="32"/>
              <w:autoSpaceDE w:val="0"/>
              <w:autoSpaceDN w:val="0"/>
              <w:adjustRightInd w:val="0"/>
              <w:spacing w:line="360" w:lineRule="auto"/>
              <w:rPr>
                <w:rFonts w:hint="eastAsia" w:ascii="宋体" w:hAnsi="宋体" w:eastAsia="宋体" w:cs="宋体"/>
                <w:color w:val="000000"/>
                <w:kern w:val="0"/>
                <w:sz w:val="24"/>
              </w:rPr>
            </w:pPr>
            <w:bookmarkStart w:id="14" w:name="EBbabddb5118a847b6bdf4b49ae8647b6b"/>
            <w:bookmarkEnd w:id="14"/>
            <w:r>
              <w:rPr>
                <w:rFonts w:hint="eastAsia" w:ascii="宋体" w:hAnsi="宋体" w:eastAsia="宋体" w:cs="宋体"/>
                <w:color w:val="000000"/>
                <w:kern w:val="0"/>
                <w:sz w:val="24"/>
              </w:rPr>
              <w:t>☑否。</w:t>
            </w:r>
          </w:p>
        </w:tc>
      </w:tr>
      <w:tr w14:paraId="35672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27C1064A">
            <w:pPr>
              <w:pStyle w:val="32"/>
              <w:spacing w:line="360" w:lineRule="auto"/>
              <w:jc w:val="center"/>
              <w:rPr>
                <w:rFonts w:hint="default" w:ascii="宋体" w:hAnsi="宋体" w:eastAsia="宋体" w:cs="宋体"/>
                <w:b/>
                <w:kern w:val="0"/>
                <w:sz w:val="24"/>
                <w:highlight w:val="white"/>
                <w:lang w:val="en-US" w:eastAsia="zh-CN"/>
              </w:rPr>
            </w:pPr>
            <w:r>
              <w:rPr>
                <w:rFonts w:hint="eastAsia" w:ascii="宋体" w:hAnsi="宋体" w:eastAsia="宋体" w:cs="宋体"/>
                <w:b/>
                <w:kern w:val="0"/>
                <w:sz w:val="24"/>
                <w:highlight w:val="white"/>
                <w:lang w:val="en-US" w:eastAsia="zh-CN"/>
              </w:rPr>
              <w:t>10</w:t>
            </w:r>
          </w:p>
        </w:tc>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14:paraId="377D1A42">
            <w:pPr>
              <w:overflowPunct w:val="0"/>
              <w:jc w:val="center"/>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b/>
                <w:kern w:val="2"/>
                <w:sz w:val="24"/>
                <w:szCs w:val="24"/>
                <w:highlight w:val="white"/>
                <w:lang w:val="en-US" w:eastAsia="zh-CN" w:bidi="ar-SA"/>
              </w:rPr>
              <w:t>是否为专门面向中小企业采购</w:t>
            </w:r>
          </w:p>
        </w:tc>
        <w:tc>
          <w:tcPr>
            <w:tcW w:w="6518" w:type="dxa"/>
            <w:tcBorders>
              <w:top w:val="single" w:color="auto" w:sz="4" w:space="0"/>
              <w:left w:val="single" w:color="auto" w:sz="4" w:space="0"/>
              <w:bottom w:val="single" w:color="auto" w:sz="4" w:space="0"/>
              <w:right w:val="single" w:color="auto" w:sz="4" w:space="0"/>
            </w:tcBorders>
            <w:shd w:val="clear" w:color="auto" w:fill="auto"/>
            <w:vAlign w:val="center"/>
          </w:tcPr>
          <w:p w14:paraId="6C647A0D">
            <w:pPr>
              <w:pStyle w:val="32"/>
              <w:autoSpaceDE w:val="0"/>
              <w:autoSpaceDN w:val="0"/>
              <w:adjustRightInd w:val="0"/>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 xml:space="preserve">☑是。                </w:t>
            </w:r>
          </w:p>
          <w:p w14:paraId="38C215F0">
            <w:pPr>
              <w:overflowPunct w:val="0"/>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否。</w:t>
            </w:r>
          </w:p>
        </w:tc>
      </w:tr>
      <w:tr w14:paraId="0731C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714D3CE4">
            <w:pPr>
              <w:pStyle w:val="32"/>
              <w:spacing w:line="360" w:lineRule="auto"/>
              <w:jc w:val="center"/>
              <w:rPr>
                <w:rFonts w:hint="default" w:ascii="宋体" w:hAnsi="宋体" w:eastAsia="宋体" w:cs="宋体"/>
                <w:b/>
                <w:kern w:val="0"/>
                <w:sz w:val="24"/>
                <w:highlight w:val="white"/>
                <w:lang w:val="en-US" w:eastAsia="zh-CN"/>
              </w:rPr>
            </w:pPr>
            <w:r>
              <w:rPr>
                <w:rFonts w:hint="eastAsia" w:ascii="宋体" w:hAnsi="宋体" w:eastAsia="宋体" w:cs="宋体"/>
                <w:b/>
                <w:kern w:val="0"/>
                <w:sz w:val="24"/>
                <w:highlight w:val="white"/>
                <w:lang w:val="en-US" w:eastAsia="zh-CN"/>
              </w:rPr>
              <w:t>11</w:t>
            </w:r>
          </w:p>
        </w:tc>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14:paraId="52F19843">
            <w:pPr>
              <w:pStyle w:val="32"/>
              <w:spacing w:line="360" w:lineRule="auto"/>
              <w:jc w:val="center"/>
              <w:rPr>
                <w:rFonts w:hint="eastAsia" w:ascii="宋体" w:hAnsi="宋体" w:eastAsia="宋体" w:cs="宋体"/>
                <w:b/>
                <w:sz w:val="24"/>
                <w:highlight w:val="white"/>
                <w:lang w:val="en-US" w:eastAsia="zh-CN"/>
              </w:rPr>
            </w:pPr>
            <w:r>
              <w:rPr>
                <w:rFonts w:hint="eastAsia" w:ascii="宋体" w:hAnsi="宋体" w:eastAsia="宋体" w:cs="宋体"/>
                <w:b/>
                <w:sz w:val="24"/>
                <w:highlight w:val="white"/>
                <w:lang w:val="en-US" w:eastAsia="zh-CN"/>
              </w:rPr>
              <w:t>本项目采购标的对应的中小企业划分标准所属行业</w:t>
            </w:r>
          </w:p>
        </w:tc>
        <w:tc>
          <w:tcPr>
            <w:tcW w:w="6518" w:type="dxa"/>
            <w:tcBorders>
              <w:top w:val="single" w:color="auto" w:sz="4" w:space="0"/>
              <w:left w:val="single" w:color="auto" w:sz="4" w:space="0"/>
              <w:bottom w:val="single" w:color="auto" w:sz="4" w:space="0"/>
              <w:right w:val="single" w:color="auto" w:sz="4" w:space="0"/>
            </w:tcBorders>
            <w:shd w:val="clear" w:color="auto" w:fill="auto"/>
            <w:vAlign w:val="center"/>
          </w:tcPr>
          <w:p w14:paraId="644E000E">
            <w:pPr>
              <w:pStyle w:val="32"/>
              <w:spacing w:line="360" w:lineRule="auto"/>
              <w:rPr>
                <w:rFonts w:hint="eastAsia" w:ascii="宋体" w:hAnsi="宋体" w:eastAsia="宋体" w:cs="宋体"/>
                <w:color w:val="000000"/>
                <w:kern w:val="0"/>
                <w:sz w:val="24"/>
                <w:lang w:val="en-US" w:eastAsia="zh-CN"/>
              </w:rPr>
            </w:pPr>
            <w:r>
              <w:rPr>
                <w:rFonts w:hint="eastAsia" w:ascii="Times New Roman" w:hAnsi="Times New Roman" w:eastAsia="宋体" w:cs="Times New Roman"/>
                <w:b/>
                <w:bCs/>
                <w:kern w:val="2"/>
                <w:sz w:val="24"/>
                <w:szCs w:val="20"/>
                <w:highlight w:val="none"/>
                <w:lang w:val="zh-CN" w:eastAsia="zh-CN" w:bidi="ar-SA"/>
              </w:rPr>
              <w:t>软件和信息技术服务业</w:t>
            </w:r>
          </w:p>
        </w:tc>
      </w:tr>
      <w:tr w14:paraId="56AFD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04EC2C91">
            <w:pPr>
              <w:pStyle w:val="32"/>
              <w:spacing w:line="360" w:lineRule="auto"/>
              <w:jc w:val="center"/>
              <w:rPr>
                <w:rFonts w:hint="default" w:ascii="宋体" w:hAnsi="宋体" w:eastAsia="宋体" w:cs="宋体"/>
                <w:b/>
                <w:kern w:val="0"/>
                <w:sz w:val="24"/>
                <w:highlight w:val="white"/>
                <w:lang w:val="en-US" w:eastAsia="zh-CN"/>
              </w:rPr>
            </w:pPr>
            <w:r>
              <w:rPr>
                <w:rFonts w:hint="eastAsia" w:ascii="宋体" w:hAnsi="宋体" w:eastAsia="宋体" w:cs="宋体"/>
                <w:b/>
                <w:kern w:val="0"/>
                <w:sz w:val="24"/>
                <w:highlight w:val="white"/>
                <w:lang w:val="en-US" w:eastAsia="zh-CN"/>
              </w:rPr>
              <w:t>12</w:t>
            </w:r>
          </w:p>
        </w:tc>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14:paraId="772E696F">
            <w:pPr>
              <w:pStyle w:val="32"/>
              <w:spacing w:line="360" w:lineRule="auto"/>
              <w:jc w:val="cente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履约验收</w:t>
            </w:r>
          </w:p>
        </w:tc>
        <w:tc>
          <w:tcPr>
            <w:tcW w:w="6518" w:type="dxa"/>
            <w:tcBorders>
              <w:top w:val="single" w:color="auto" w:sz="4" w:space="0"/>
              <w:left w:val="single" w:color="auto" w:sz="4" w:space="0"/>
              <w:bottom w:val="single" w:color="auto" w:sz="4" w:space="0"/>
              <w:right w:val="single" w:color="auto" w:sz="4" w:space="0"/>
            </w:tcBorders>
            <w:shd w:val="clear" w:color="auto" w:fill="auto"/>
            <w:vAlign w:val="center"/>
          </w:tcPr>
          <w:p w14:paraId="047E356E">
            <w:pPr>
              <w:pStyle w:val="32"/>
              <w:spacing w:line="360" w:lineRule="auto"/>
              <w:rPr>
                <w:rFonts w:hint="default" w:ascii="宋体" w:hAnsi="宋体" w:eastAsia="宋体" w:cs="宋体"/>
                <w:color w:val="000000"/>
                <w:kern w:val="0"/>
                <w:sz w:val="24"/>
                <w:highlight w:val="none"/>
                <w:lang w:val="en-US" w:eastAsia="zh-CN"/>
              </w:rPr>
            </w:pPr>
            <w:r>
              <w:rPr>
                <w:rFonts w:hint="default" w:ascii="宋体" w:hAnsi="宋体" w:eastAsia="宋体" w:cs="宋体"/>
                <w:color w:val="000000"/>
                <w:kern w:val="0"/>
                <w:sz w:val="24"/>
                <w:highlight w:val="none"/>
                <w:lang w:val="en-US" w:eastAsia="zh-CN"/>
              </w:rPr>
              <w:t>合同服务期截止后在</w:t>
            </w:r>
            <w:r>
              <w:rPr>
                <w:rFonts w:hint="eastAsia" w:ascii="宋体" w:hAnsi="宋体" w:eastAsia="宋体" w:cs="宋体"/>
                <w:color w:val="000000"/>
                <w:kern w:val="0"/>
                <w:sz w:val="24"/>
                <w:highlight w:val="none"/>
                <w:lang w:val="en-US" w:eastAsia="zh-CN"/>
              </w:rPr>
              <w:t>新疆出入境边防检查总站开展验收工作。</w:t>
            </w:r>
          </w:p>
        </w:tc>
      </w:tr>
      <w:tr w14:paraId="0094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1209A161">
            <w:pPr>
              <w:pStyle w:val="32"/>
              <w:spacing w:line="360" w:lineRule="auto"/>
              <w:jc w:val="center"/>
              <w:rPr>
                <w:rFonts w:hint="default" w:ascii="宋体" w:hAnsi="宋体" w:eastAsia="宋体" w:cs="宋体"/>
                <w:b/>
                <w:kern w:val="0"/>
                <w:sz w:val="24"/>
                <w:lang w:val="en-US" w:eastAsia="zh-CN"/>
              </w:rPr>
            </w:pPr>
            <w:r>
              <w:rPr>
                <w:rFonts w:hint="eastAsia" w:ascii="宋体" w:hAnsi="宋体" w:eastAsia="宋体" w:cs="宋体"/>
                <w:b/>
                <w:kern w:val="0"/>
                <w:sz w:val="24"/>
                <w:lang w:val="en-US" w:eastAsia="zh-CN"/>
              </w:rPr>
              <w:t>13</w:t>
            </w:r>
          </w:p>
        </w:tc>
        <w:tc>
          <w:tcPr>
            <w:tcW w:w="2664" w:type="dxa"/>
            <w:tcBorders>
              <w:top w:val="single" w:color="auto" w:sz="4" w:space="0"/>
              <w:left w:val="single" w:color="auto" w:sz="4" w:space="0"/>
              <w:bottom w:val="single" w:color="auto" w:sz="4" w:space="0"/>
              <w:right w:val="single" w:color="auto" w:sz="4" w:space="0"/>
            </w:tcBorders>
            <w:vAlign w:val="center"/>
          </w:tcPr>
          <w:p w14:paraId="2239D5C9">
            <w:pPr>
              <w:pStyle w:val="32"/>
              <w:spacing w:line="360" w:lineRule="auto"/>
              <w:jc w:val="center"/>
              <w:rPr>
                <w:rFonts w:hint="eastAsia" w:ascii="宋体" w:hAnsi="宋体" w:eastAsia="宋体" w:cs="宋体"/>
                <w:b/>
                <w:sz w:val="24"/>
              </w:rPr>
            </w:pPr>
            <w:r>
              <w:rPr>
                <w:rFonts w:hint="eastAsia" w:ascii="宋体" w:hAnsi="宋体" w:eastAsia="宋体" w:cs="宋体"/>
                <w:b/>
                <w:sz w:val="24"/>
                <w:highlight w:val="white"/>
              </w:rPr>
              <w:t>是否允许供应商将项目非主体、非关键性工作交由他人完成</w:t>
            </w:r>
          </w:p>
        </w:tc>
        <w:tc>
          <w:tcPr>
            <w:tcW w:w="6518" w:type="dxa"/>
            <w:tcBorders>
              <w:top w:val="single" w:color="auto" w:sz="4" w:space="0"/>
              <w:left w:val="single" w:color="auto" w:sz="4" w:space="0"/>
              <w:bottom w:val="single" w:color="auto" w:sz="4" w:space="0"/>
              <w:right w:val="single" w:color="auto" w:sz="4" w:space="0"/>
            </w:tcBorders>
            <w:vAlign w:val="center"/>
          </w:tcPr>
          <w:p w14:paraId="674066CB">
            <w:pPr>
              <w:pStyle w:val="32"/>
              <w:spacing w:line="360" w:lineRule="auto"/>
              <w:rPr>
                <w:rFonts w:hint="eastAsia" w:ascii="宋体" w:hAnsi="宋体" w:eastAsia="宋体" w:cs="宋体"/>
                <w:color w:val="000000"/>
                <w:kern w:val="0"/>
                <w:sz w:val="24"/>
              </w:rPr>
            </w:pPr>
            <w:bookmarkStart w:id="15" w:name="EB46de3bf2b5e44d249096c9a68bd8cf71"/>
            <w:bookmarkEnd w:id="15"/>
            <w:r>
              <w:rPr>
                <w:rFonts w:hint="eastAsia" w:ascii="宋体" w:hAnsi="宋体" w:eastAsia="宋体" w:cs="宋体"/>
                <w:color w:val="000000"/>
                <w:kern w:val="0"/>
                <w:sz w:val="24"/>
              </w:rPr>
              <w:t>☑否。</w:t>
            </w:r>
          </w:p>
          <w:p w14:paraId="08E9F8FC">
            <w:pPr>
              <w:pStyle w:val="32"/>
              <w:spacing w:line="360" w:lineRule="auto"/>
              <w:rPr>
                <w:rFonts w:hint="eastAsia" w:ascii="宋体" w:hAnsi="宋体" w:eastAsia="宋体" w:cs="宋体"/>
                <w:color w:val="000000"/>
                <w:kern w:val="0"/>
                <w:sz w:val="24"/>
              </w:rPr>
            </w:pPr>
            <w:bookmarkStart w:id="16" w:name="EB65a901bb2d1e4b94a96b402959e5078f"/>
            <w:bookmarkEnd w:id="16"/>
            <w:r>
              <w:rPr>
                <w:rFonts w:hint="eastAsia" w:ascii="宋体" w:hAnsi="宋体" w:eastAsia="宋体" w:cs="宋体"/>
                <w:color w:val="000000"/>
                <w:kern w:val="0"/>
                <w:sz w:val="24"/>
              </w:rPr>
              <w:t>☐是。成交人按照合同约定或者经采购人同意，可以将项目非主体、非关键性工作分包交由他人完成。此时，接受分包的人应当具备相应的资格条件，并不得再次分包。</w:t>
            </w:r>
          </w:p>
          <w:p w14:paraId="655EE1C7">
            <w:pPr>
              <w:pStyle w:val="32"/>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分包内容要求：</w:t>
            </w:r>
            <w:bookmarkStart w:id="17" w:name="EBa69c75a77835476bbdcb8c909a4a812c"/>
            <w:bookmarkEnd w:id="17"/>
            <w:r>
              <w:rPr>
                <w:rFonts w:hint="eastAsia" w:ascii="宋体" w:hAnsi="宋体" w:eastAsia="宋体" w:cs="宋体"/>
                <w:color w:val="000000"/>
                <w:kern w:val="0"/>
                <w:sz w:val="24"/>
                <w:u w:val="single"/>
              </w:rPr>
              <w:t xml:space="preserve">                     </w:t>
            </w:r>
          </w:p>
          <w:p w14:paraId="4BBF83CD">
            <w:pPr>
              <w:pStyle w:val="32"/>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分包金额要求：</w:t>
            </w:r>
            <w:bookmarkStart w:id="18" w:name="EBd3f56592b2054e50ad44ad4ca7d3f5c2"/>
            <w:bookmarkEnd w:id="18"/>
            <w:r>
              <w:rPr>
                <w:rFonts w:hint="eastAsia" w:ascii="宋体" w:hAnsi="宋体" w:eastAsia="宋体" w:cs="宋体"/>
                <w:color w:val="000000"/>
                <w:kern w:val="0"/>
                <w:sz w:val="24"/>
                <w:u w:val="single"/>
              </w:rPr>
              <w:t xml:space="preserve">                     </w:t>
            </w:r>
          </w:p>
          <w:p w14:paraId="0BD3D72D">
            <w:pPr>
              <w:pStyle w:val="32"/>
              <w:autoSpaceDE w:val="0"/>
              <w:autoSpaceDN w:val="0"/>
              <w:adjustRightInd w:val="0"/>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接受分包的第三人资质要求：</w:t>
            </w:r>
            <w:bookmarkStart w:id="19" w:name="EB5f6d947066154c69b5501788367db129"/>
            <w:bookmarkEnd w:id="19"/>
            <w:r>
              <w:rPr>
                <w:rFonts w:hint="eastAsia" w:ascii="宋体" w:hAnsi="宋体" w:eastAsia="宋体" w:cs="宋体"/>
                <w:color w:val="000000"/>
                <w:kern w:val="0"/>
                <w:sz w:val="24"/>
                <w:u w:val="single"/>
              </w:rPr>
              <w:t xml:space="preserve">             </w:t>
            </w:r>
          </w:p>
        </w:tc>
      </w:tr>
      <w:tr w14:paraId="1CB1A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085C82A6">
            <w:pPr>
              <w:pStyle w:val="32"/>
              <w:spacing w:line="360" w:lineRule="auto"/>
              <w:jc w:val="center"/>
              <w:rPr>
                <w:rFonts w:hint="default" w:ascii="宋体" w:hAnsi="宋体" w:eastAsia="宋体" w:cs="宋体"/>
                <w:b/>
                <w:kern w:val="0"/>
                <w:sz w:val="24"/>
                <w:lang w:val="en-US" w:eastAsia="zh-CN"/>
              </w:rPr>
            </w:pPr>
            <w:r>
              <w:rPr>
                <w:rFonts w:hint="eastAsia" w:ascii="宋体" w:hAnsi="宋体" w:eastAsia="宋体" w:cs="宋体"/>
                <w:b/>
                <w:kern w:val="0"/>
                <w:sz w:val="24"/>
                <w:highlight w:val="white"/>
                <w:lang w:val="en-US" w:eastAsia="zh-CN"/>
              </w:rPr>
              <w:t>14</w:t>
            </w:r>
          </w:p>
        </w:tc>
        <w:tc>
          <w:tcPr>
            <w:tcW w:w="2664" w:type="dxa"/>
            <w:tcBorders>
              <w:top w:val="single" w:color="auto" w:sz="4" w:space="0"/>
              <w:left w:val="single" w:color="auto" w:sz="4" w:space="0"/>
              <w:bottom w:val="single" w:color="auto" w:sz="4" w:space="0"/>
              <w:right w:val="single" w:color="auto" w:sz="4" w:space="0"/>
            </w:tcBorders>
            <w:vAlign w:val="center"/>
          </w:tcPr>
          <w:p w14:paraId="263DB996">
            <w:pPr>
              <w:pStyle w:val="32"/>
              <w:spacing w:line="360" w:lineRule="auto"/>
              <w:jc w:val="center"/>
              <w:rPr>
                <w:rFonts w:hint="eastAsia" w:ascii="宋体" w:hAnsi="宋体" w:eastAsia="宋体" w:cs="宋体"/>
                <w:b/>
                <w:sz w:val="24"/>
              </w:rPr>
            </w:pPr>
            <w:r>
              <w:rPr>
                <w:rFonts w:hint="eastAsia" w:ascii="宋体" w:hAnsi="宋体" w:eastAsia="宋体" w:cs="宋体"/>
                <w:b/>
                <w:sz w:val="24"/>
                <w:highlight w:val="white"/>
              </w:rPr>
              <w:t>踏勘现场</w:t>
            </w:r>
          </w:p>
        </w:tc>
        <w:tc>
          <w:tcPr>
            <w:tcW w:w="6518" w:type="dxa"/>
            <w:tcBorders>
              <w:top w:val="single" w:color="auto" w:sz="4" w:space="0"/>
              <w:left w:val="single" w:color="auto" w:sz="4" w:space="0"/>
              <w:bottom w:val="single" w:color="auto" w:sz="4" w:space="0"/>
              <w:right w:val="single" w:color="auto" w:sz="4" w:space="0"/>
            </w:tcBorders>
            <w:vAlign w:val="center"/>
          </w:tcPr>
          <w:p w14:paraId="7F2C2D35">
            <w:pPr>
              <w:pStyle w:val="32"/>
              <w:autoSpaceDE w:val="0"/>
              <w:autoSpaceDN w:val="0"/>
              <w:adjustRightInd w:val="0"/>
              <w:spacing w:line="360" w:lineRule="auto"/>
              <w:rPr>
                <w:rFonts w:hint="eastAsia" w:ascii="宋体" w:hAnsi="宋体" w:eastAsia="宋体" w:cs="宋体"/>
                <w:kern w:val="0"/>
                <w:sz w:val="24"/>
              </w:rPr>
            </w:pPr>
            <w:bookmarkStart w:id="20" w:name="EB3654e13cae20475eac84fa83364d7833"/>
            <w:bookmarkEnd w:id="20"/>
            <w:r>
              <w:rPr>
                <w:rFonts w:hint="eastAsia" w:ascii="宋体" w:hAnsi="宋体" w:eastAsia="宋体" w:cs="宋体"/>
                <w:kern w:val="0"/>
                <w:sz w:val="24"/>
              </w:rPr>
              <w:t>☐是</w:t>
            </w:r>
          </w:p>
          <w:p w14:paraId="24C80B76">
            <w:pPr>
              <w:pStyle w:val="32"/>
              <w:autoSpaceDE w:val="0"/>
              <w:autoSpaceDN w:val="0"/>
              <w:adjustRightInd w:val="0"/>
              <w:spacing w:line="360" w:lineRule="auto"/>
              <w:rPr>
                <w:rFonts w:hint="eastAsia" w:ascii="宋体" w:hAnsi="宋体" w:eastAsia="宋体" w:cs="宋体"/>
                <w:kern w:val="0"/>
                <w:sz w:val="24"/>
              </w:rPr>
            </w:pPr>
            <w:bookmarkStart w:id="21" w:name="EB3d7345a577da4ac491525e314b60b5e8"/>
            <w:bookmarkEnd w:id="21"/>
            <w:bookmarkStart w:id="22" w:name="EB642e2c6bf7f7421793376e830f8ca504"/>
            <w:bookmarkEnd w:id="22"/>
            <w:bookmarkStart w:id="23" w:name="EBb49a8cdbac9d413c8a35f73ae703b18f"/>
            <w:bookmarkEnd w:id="23"/>
            <w:bookmarkStart w:id="24" w:name="EBbbb56eccde2746b583514c7e0b747330"/>
            <w:bookmarkEnd w:id="24"/>
            <w:r>
              <w:rPr>
                <w:rFonts w:hint="eastAsia" w:ascii="宋体" w:hAnsi="宋体" w:eastAsia="宋体" w:cs="宋体"/>
                <w:kern w:val="0"/>
                <w:sz w:val="24"/>
              </w:rPr>
              <w:t xml:space="preserve">☑否 </w:t>
            </w:r>
          </w:p>
        </w:tc>
      </w:tr>
      <w:tr w14:paraId="0451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584F12F4">
            <w:pPr>
              <w:pStyle w:val="32"/>
              <w:spacing w:line="360" w:lineRule="auto"/>
              <w:jc w:val="center"/>
              <w:rPr>
                <w:rFonts w:hint="default" w:ascii="宋体" w:hAnsi="宋体" w:eastAsia="宋体" w:cs="宋体"/>
                <w:b/>
                <w:kern w:val="0"/>
                <w:sz w:val="24"/>
                <w:lang w:val="en-US" w:eastAsia="zh-CN"/>
              </w:rPr>
            </w:pPr>
            <w:r>
              <w:rPr>
                <w:rFonts w:hint="eastAsia" w:ascii="宋体" w:hAnsi="宋体" w:eastAsia="宋体" w:cs="宋体"/>
                <w:b/>
                <w:kern w:val="0"/>
                <w:sz w:val="24"/>
                <w:highlight w:val="white"/>
                <w:lang w:val="en-US" w:eastAsia="zh-CN"/>
              </w:rPr>
              <w:t>15</w:t>
            </w:r>
          </w:p>
        </w:tc>
        <w:tc>
          <w:tcPr>
            <w:tcW w:w="2664" w:type="dxa"/>
            <w:tcBorders>
              <w:top w:val="single" w:color="auto" w:sz="4" w:space="0"/>
              <w:left w:val="single" w:color="auto" w:sz="4" w:space="0"/>
              <w:bottom w:val="single" w:color="auto" w:sz="4" w:space="0"/>
              <w:right w:val="single" w:color="auto" w:sz="4" w:space="0"/>
            </w:tcBorders>
            <w:vAlign w:val="center"/>
          </w:tcPr>
          <w:p w14:paraId="766C4873">
            <w:pPr>
              <w:pStyle w:val="32"/>
              <w:spacing w:line="360" w:lineRule="auto"/>
              <w:jc w:val="center"/>
              <w:rPr>
                <w:rFonts w:hint="eastAsia" w:ascii="宋体" w:hAnsi="宋体" w:eastAsia="宋体" w:cs="宋体"/>
                <w:b/>
                <w:sz w:val="24"/>
              </w:rPr>
            </w:pPr>
            <w:r>
              <w:rPr>
                <w:rFonts w:hint="eastAsia" w:ascii="宋体" w:hAnsi="宋体" w:eastAsia="宋体" w:cs="宋体"/>
                <w:b/>
                <w:sz w:val="24"/>
                <w:highlight w:val="white"/>
              </w:rPr>
              <w:t>答疑接受时间</w:t>
            </w:r>
          </w:p>
        </w:tc>
        <w:tc>
          <w:tcPr>
            <w:tcW w:w="6518" w:type="dxa"/>
            <w:tcBorders>
              <w:top w:val="single" w:color="auto" w:sz="4" w:space="0"/>
              <w:left w:val="single" w:color="auto" w:sz="4" w:space="0"/>
              <w:bottom w:val="single" w:color="auto" w:sz="4" w:space="0"/>
              <w:right w:val="single" w:color="auto" w:sz="4" w:space="0"/>
            </w:tcBorders>
            <w:vAlign w:val="center"/>
          </w:tcPr>
          <w:p w14:paraId="15EA1B64">
            <w:pPr>
              <w:pStyle w:val="32"/>
              <w:spacing w:line="360" w:lineRule="auto"/>
              <w:rPr>
                <w:rFonts w:hint="eastAsia" w:ascii="宋体" w:hAnsi="宋体" w:eastAsia="宋体" w:cs="宋体"/>
                <w:bCs/>
                <w:sz w:val="24"/>
              </w:rPr>
            </w:pPr>
            <w:bookmarkStart w:id="25" w:name="EB17a0b1178f4e475ebd3db773a983cd6b"/>
            <w:bookmarkEnd w:id="25"/>
            <w:r>
              <w:rPr>
                <w:rFonts w:hint="eastAsia" w:ascii="宋体" w:hAnsi="宋体" w:eastAsia="宋体" w:cs="宋体"/>
                <w:sz w:val="24"/>
                <w:u w:val="single"/>
                <w:lang w:val="en-US" w:eastAsia="zh-CN"/>
              </w:rPr>
              <w:t>谈判响应</w:t>
            </w:r>
            <w:r>
              <w:rPr>
                <w:rFonts w:hint="eastAsia" w:ascii="宋体" w:hAnsi="宋体" w:eastAsia="宋体" w:cs="宋体"/>
                <w:sz w:val="24"/>
                <w:u w:val="single"/>
              </w:rPr>
              <w:t>截止时间3天</w:t>
            </w:r>
            <w:r>
              <w:rPr>
                <w:rFonts w:hint="eastAsia" w:ascii="宋体" w:hAnsi="宋体" w:eastAsia="宋体" w:cs="宋体"/>
                <w:bCs/>
                <w:sz w:val="24"/>
              </w:rPr>
              <w:t>前接受供应商疑问或澄清要求（逾期不予受理）。</w:t>
            </w:r>
          </w:p>
          <w:p w14:paraId="0D96FEEB">
            <w:pPr>
              <w:pStyle w:val="35"/>
              <w:spacing w:line="360" w:lineRule="auto"/>
              <w:rPr>
                <w:rFonts w:hint="eastAsia" w:ascii="宋体" w:hAnsi="宋体" w:eastAsia="宋体" w:cs="宋体"/>
                <w:kern w:val="0"/>
                <w:sz w:val="24"/>
              </w:rPr>
            </w:pPr>
            <w:r>
              <w:rPr>
                <w:rFonts w:hint="eastAsia" w:ascii="宋体" w:hAnsi="宋体" w:eastAsia="宋体" w:cs="宋体"/>
                <w:kern w:val="0"/>
                <w:sz w:val="24"/>
              </w:rPr>
              <w:t>联系人：</w:t>
            </w:r>
            <w:bookmarkStart w:id="26" w:name="EB0c188acceba94be79a83f193a1d4aa98"/>
            <w:bookmarkEnd w:id="26"/>
            <w:r>
              <w:rPr>
                <w:rFonts w:hint="eastAsia" w:ascii="宋体" w:hAnsi="宋体" w:eastAsia="宋体" w:cs="宋体"/>
                <w:kern w:val="0"/>
                <w:sz w:val="24"/>
                <w:lang w:val="en-US" w:eastAsia="zh-CN"/>
              </w:rPr>
              <w:t>苏仁娥</w:t>
            </w:r>
            <w:r>
              <w:rPr>
                <w:rFonts w:hint="eastAsia" w:ascii="宋体" w:hAnsi="宋体" w:eastAsia="宋体" w:cs="宋体"/>
                <w:kern w:val="0"/>
                <w:sz w:val="24"/>
              </w:rPr>
              <w:t>、李斌</w:t>
            </w:r>
          </w:p>
          <w:p w14:paraId="342C4D93">
            <w:pPr>
              <w:pStyle w:val="35"/>
              <w:spacing w:line="360" w:lineRule="auto"/>
              <w:rPr>
                <w:rFonts w:hint="default" w:ascii="宋体" w:hAnsi="宋体" w:eastAsia="宋体" w:cs="宋体"/>
                <w:sz w:val="24"/>
                <w:lang w:val="en-US" w:eastAsia="zh-CN"/>
              </w:rPr>
            </w:pPr>
            <w:r>
              <w:rPr>
                <w:rFonts w:hint="eastAsia" w:ascii="宋体" w:hAnsi="宋体" w:eastAsia="宋体" w:cs="宋体"/>
                <w:kern w:val="0"/>
                <w:sz w:val="24"/>
              </w:rPr>
              <w:t>联系电话：</w:t>
            </w:r>
            <w:bookmarkStart w:id="27" w:name="EB901134491a6b4a88af871252f3f61d52"/>
            <w:bookmarkEnd w:id="27"/>
            <w:r>
              <w:rPr>
                <w:rFonts w:hint="eastAsia" w:ascii="宋体" w:hAnsi="宋体" w:eastAsia="宋体" w:cs="宋体"/>
                <w:kern w:val="0"/>
                <w:sz w:val="24"/>
              </w:rPr>
              <w:t>0991-2629781、</w:t>
            </w:r>
            <w:r>
              <w:rPr>
                <w:rFonts w:hint="eastAsia" w:ascii="宋体" w:hAnsi="宋体" w:cs="宋体"/>
                <w:kern w:val="0"/>
                <w:sz w:val="24"/>
                <w:lang w:val="en-US" w:eastAsia="zh-CN"/>
              </w:rPr>
              <w:t>13565159649</w:t>
            </w:r>
          </w:p>
          <w:p w14:paraId="5669834B">
            <w:pPr>
              <w:pStyle w:val="32"/>
              <w:autoSpaceDE w:val="0"/>
              <w:autoSpaceDN w:val="0"/>
              <w:adjustRightInd w:val="0"/>
              <w:spacing w:line="360" w:lineRule="auto"/>
              <w:rPr>
                <w:rFonts w:hint="eastAsia" w:ascii="宋体" w:hAnsi="宋体" w:eastAsia="宋体" w:cs="宋体"/>
                <w:sz w:val="24"/>
              </w:rPr>
            </w:pPr>
            <w:r>
              <w:rPr>
                <w:rFonts w:hint="eastAsia" w:ascii="宋体" w:hAnsi="宋体" w:eastAsia="宋体" w:cs="宋体"/>
                <w:kern w:val="0"/>
                <w:sz w:val="24"/>
              </w:rPr>
              <w:t>提交方式：</w:t>
            </w:r>
            <w:bookmarkStart w:id="28" w:name="EB6348f50b28d34fc2ae74793c8bd0070b"/>
            <w:bookmarkEnd w:id="28"/>
            <w:r>
              <w:rPr>
                <w:rFonts w:hint="eastAsia" w:ascii="宋体" w:hAnsi="宋体" w:eastAsia="宋体" w:cs="宋体"/>
                <w:sz w:val="24"/>
              </w:rPr>
              <w:t>网上提交后，电话通知。</w:t>
            </w:r>
          </w:p>
          <w:p w14:paraId="04E16793">
            <w:pPr>
              <w:pStyle w:val="32"/>
              <w:autoSpaceDE w:val="0"/>
              <w:autoSpaceDN w:val="0"/>
              <w:adjustRightInd w:val="0"/>
              <w:spacing w:line="360" w:lineRule="auto"/>
              <w:rPr>
                <w:rFonts w:hint="eastAsia" w:ascii="宋体" w:hAnsi="宋体" w:eastAsia="宋体" w:cs="宋体"/>
                <w:kern w:val="0"/>
                <w:sz w:val="24"/>
              </w:rPr>
            </w:pPr>
            <w:r>
              <w:rPr>
                <w:rFonts w:hint="eastAsia" w:ascii="宋体" w:hAnsi="宋体" w:eastAsia="宋体" w:cs="宋体"/>
                <w:bCs/>
                <w:sz w:val="24"/>
              </w:rPr>
              <w:t>注：澄清、修改文件发出后，供应商必须使用最新的澄清文件制作电子响应文件，否则将无法完成上传。</w:t>
            </w:r>
          </w:p>
        </w:tc>
      </w:tr>
      <w:tr w14:paraId="697D7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2974F2D7">
            <w:pPr>
              <w:pStyle w:val="32"/>
              <w:spacing w:line="360" w:lineRule="auto"/>
              <w:jc w:val="center"/>
              <w:rPr>
                <w:rFonts w:hint="default" w:ascii="宋体" w:hAnsi="宋体" w:eastAsia="宋体" w:cs="宋体"/>
                <w:b/>
                <w:kern w:val="0"/>
                <w:sz w:val="24"/>
                <w:lang w:val="en-US" w:eastAsia="zh-CN"/>
              </w:rPr>
            </w:pPr>
            <w:r>
              <w:rPr>
                <w:rFonts w:hint="eastAsia" w:ascii="宋体" w:hAnsi="宋体" w:eastAsia="宋体" w:cs="宋体"/>
                <w:b/>
                <w:kern w:val="0"/>
                <w:sz w:val="24"/>
                <w:lang w:val="en-US" w:eastAsia="zh-CN"/>
              </w:rPr>
              <w:t>16</w:t>
            </w:r>
          </w:p>
        </w:tc>
        <w:tc>
          <w:tcPr>
            <w:tcW w:w="2664" w:type="dxa"/>
            <w:tcBorders>
              <w:top w:val="single" w:color="auto" w:sz="4" w:space="0"/>
              <w:left w:val="single" w:color="auto" w:sz="4" w:space="0"/>
              <w:bottom w:val="single" w:color="auto" w:sz="4" w:space="0"/>
              <w:right w:val="single" w:color="auto" w:sz="4" w:space="0"/>
            </w:tcBorders>
            <w:vAlign w:val="center"/>
          </w:tcPr>
          <w:p w14:paraId="01CCC19E">
            <w:pPr>
              <w:pStyle w:val="32"/>
              <w:spacing w:line="360" w:lineRule="auto"/>
              <w:jc w:val="center"/>
              <w:rPr>
                <w:rFonts w:hint="eastAsia" w:ascii="宋体" w:hAnsi="宋体" w:eastAsia="宋体" w:cs="宋体"/>
                <w:b/>
                <w:sz w:val="24"/>
              </w:rPr>
            </w:pPr>
            <w:r>
              <w:rPr>
                <w:rFonts w:hint="eastAsia" w:ascii="宋体" w:hAnsi="宋体" w:eastAsia="宋体" w:cs="宋体"/>
                <w:b/>
                <w:sz w:val="24"/>
                <w:highlight w:val="white"/>
                <w:lang w:val="en-US" w:eastAsia="zh-CN"/>
              </w:rPr>
              <w:t>谈判</w:t>
            </w:r>
            <w:r>
              <w:rPr>
                <w:rFonts w:hint="eastAsia" w:ascii="宋体" w:hAnsi="宋体" w:eastAsia="宋体" w:cs="宋体"/>
                <w:b/>
                <w:sz w:val="24"/>
                <w:highlight w:val="white"/>
              </w:rPr>
              <w:t>有效期</w:t>
            </w:r>
          </w:p>
        </w:tc>
        <w:tc>
          <w:tcPr>
            <w:tcW w:w="6518" w:type="dxa"/>
            <w:tcBorders>
              <w:top w:val="single" w:color="auto" w:sz="4" w:space="0"/>
              <w:left w:val="single" w:color="auto" w:sz="4" w:space="0"/>
              <w:bottom w:val="single" w:color="auto" w:sz="4" w:space="0"/>
              <w:right w:val="single" w:color="auto" w:sz="4" w:space="0"/>
            </w:tcBorders>
            <w:vAlign w:val="center"/>
          </w:tcPr>
          <w:p w14:paraId="47D83C10">
            <w:pPr>
              <w:pStyle w:val="32"/>
              <w:spacing w:line="360" w:lineRule="auto"/>
              <w:rPr>
                <w:rFonts w:hint="eastAsia" w:ascii="宋体" w:hAnsi="宋体" w:eastAsia="宋体" w:cs="宋体"/>
                <w:b/>
                <w:bCs/>
                <w:sz w:val="24"/>
              </w:rPr>
            </w:pPr>
            <w:r>
              <w:rPr>
                <w:rFonts w:hint="eastAsia" w:ascii="宋体" w:hAnsi="宋体" w:eastAsia="宋体" w:cs="宋体"/>
                <w:sz w:val="24"/>
                <w:lang w:val="zh-CN"/>
              </w:rPr>
              <w:t>自</w:t>
            </w:r>
            <w:r>
              <w:rPr>
                <w:rFonts w:hint="eastAsia" w:ascii="宋体" w:hAnsi="宋体" w:eastAsia="宋体" w:cs="宋体"/>
                <w:sz w:val="24"/>
                <w:u w:val="single"/>
                <w:lang w:val="en-US" w:eastAsia="zh-CN"/>
              </w:rPr>
              <w:t>谈判响应</w:t>
            </w:r>
            <w:r>
              <w:rPr>
                <w:rFonts w:hint="eastAsia" w:ascii="宋体" w:hAnsi="宋体" w:eastAsia="宋体" w:cs="宋体"/>
                <w:sz w:val="24"/>
                <w:lang w:val="zh-CN"/>
              </w:rPr>
              <w:t>截止之日起</w:t>
            </w:r>
            <w:bookmarkStart w:id="29" w:name="EB8c89669a7b2d4e7d97b13873e077b2f7"/>
            <w:bookmarkEnd w:id="29"/>
            <w:r>
              <w:rPr>
                <w:rFonts w:hint="eastAsia" w:ascii="宋体" w:hAnsi="宋体" w:eastAsia="宋体" w:cs="宋体"/>
                <w:kern w:val="0"/>
                <w:sz w:val="24"/>
                <w:u w:val="single"/>
              </w:rPr>
              <w:t xml:space="preserve"> 90</w:t>
            </w:r>
            <w:r>
              <w:rPr>
                <w:rFonts w:hint="eastAsia" w:ascii="宋体" w:hAnsi="宋体" w:eastAsia="宋体" w:cs="宋体"/>
                <w:sz w:val="24"/>
                <w:lang w:val="zh-CN"/>
              </w:rPr>
              <w:t>日历天。</w:t>
            </w:r>
          </w:p>
        </w:tc>
      </w:tr>
      <w:tr w14:paraId="1F089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05D94BBA">
            <w:pPr>
              <w:pStyle w:val="32"/>
              <w:spacing w:line="360" w:lineRule="auto"/>
              <w:jc w:val="center"/>
              <w:rPr>
                <w:rFonts w:hint="eastAsia" w:ascii="宋体" w:hAnsi="宋体" w:eastAsia="宋体" w:cs="宋体"/>
                <w:b/>
                <w:kern w:val="0"/>
                <w:sz w:val="24"/>
                <w:lang w:eastAsia="zh-CN"/>
              </w:rPr>
            </w:pPr>
            <w:r>
              <w:rPr>
                <w:rFonts w:hint="eastAsia" w:ascii="宋体" w:hAnsi="宋体" w:eastAsia="宋体" w:cs="宋体"/>
                <w:b/>
                <w:kern w:val="0"/>
                <w:sz w:val="24"/>
                <w:highlight w:val="white"/>
              </w:rPr>
              <w:t>1</w:t>
            </w:r>
            <w:r>
              <w:rPr>
                <w:rFonts w:hint="eastAsia" w:ascii="宋体" w:hAnsi="宋体" w:eastAsia="宋体" w:cs="宋体"/>
                <w:b/>
                <w:kern w:val="0"/>
                <w:sz w:val="24"/>
                <w:highlight w:val="white"/>
                <w:lang w:val="en-US" w:eastAsia="zh-CN"/>
              </w:rPr>
              <w:t>7</w:t>
            </w:r>
          </w:p>
        </w:tc>
        <w:tc>
          <w:tcPr>
            <w:tcW w:w="2664" w:type="dxa"/>
            <w:tcBorders>
              <w:top w:val="single" w:color="auto" w:sz="4" w:space="0"/>
              <w:left w:val="single" w:color="auto" w:sz="4" w:space="0"/>
              <w:bottom w:val="single" w:color="auto" w:sz="4" w:space="0"/>
              <w:right w:val="single" w:color="auto" w:sz="4" w:space="0"/>
            </w:tcBorders>
            <w:vAlign w:val="center"/>
          </w:tcPr>
          <w:p w14:paraId="6D05B301">
            <w:pPr>
              <w:pStyle w:val="32"/>
              <w:spacing w:line="360" w:lineRule="auto"/>
              <w:jc w:val="center"/>
              <w:rPr>
                <w:rFonts w:hint="eastAsia" w:ascii="宋体" w:hAnsi="宋体" w:eastAsia="宋体" w:cs="宋体"/>
                <w:b/>
                <w:sz w:val="24"/>
              </w:rPr>
            </w:pPr>
            <w:r>
              <w:rPr>
                <w:rFonts w:hint="eastAsia" w:ascii="宋体" w:hAnsi="宋体" w:eastAsia="宋体" w:cs="宋体"/>
                <w:b/>
                <w:kern w:val="0"/>
                <w:sz w:val="24"/>
                <w:highlight w:val="white"/>
                <w:lang w:val="en-US" w:eastAsia="zh-CN"/>
              </w:rPr>
              <w:t>谈判响应</w:t>
            </w:r>
            <w:r>
              <w:rPr>
                <w:rFonts w:hint="eastAsia" w:ascii="宋体" w:hAnsi="宋体" w:eastAsia="宋体" w:cs="宋体"/>
                <w:b/>
                <w:kern w:val="0"/>
                <w:sz w:val="24"/>
                <w:highlight w:val="white"/>
              </w:rPr>
              <w:t>截止时间（开标时间）</w:t>
            </w:r>
          </w:p>
        </w:tc>
        <w:tc>
          <w:tcPr>
            <w:tcW w:w="6518" w:type="dxa"/>
            <w:tcBorders>
              <w:top w:val="single" w:color="auto" w:sz="4" w:space="0"/>
              <w:left w:val="single" w:color="auto" w:sz="4" w:space="0"/>
              <w:bottom w:val="single" w:color="auto" w:sz="4" w:space="0"/>
              <w:right w:val="single" w:color="auto" w:sz="4" w:space="0"/>
            </w:tcBorders>
            <w:vAlign w:val="center"/>
          </w:tcPr>
          <w:p w14:paraId="350C6F2D">
            <w:pPr>
              <w:pStyle w:val="32"/>
              <w:spacing w:line="360" w:lineRule="auto"/>
              <w:rPr>
                <w:rFonts w:hint="eastAsia" w:ascii="宋体" w:hAnsi="宋体" w:eastAsia="宋体" w:cs="宋体"/>
                <w:sz w:val="24"/>
              </w:rPr>
            </w:pPr>
            <w:r>
              <w:rPr>
                <w:rFonts w:hint="eastAsia" w:ascii="宋体" w:hAnsi="宋体" w:eastAsia="宋体" w:cs="宋体"/>
                <w:sz w:val="24"/>
              </w:rPr>
              <w:t>截止时间：</w:t>
            </w:r>
            <w:bookmarkStart w:id="30" w:name="EB63b5c568556649b2bb3803aea9efb797"/>
            <w:bookmarkEnd w:id="30"/>
            <w:r>
              <w:rPr>
                <w:rFonts w:hint="eastAsia" w:ascii="宋体" w:hAnsi="宋体" w:eastAsia="宋体" w:cs="宋体"/>
                <w:sz w:val="24"/>
              </w:rPr>
              <w:t>202</w:t>
            </w:r>
            <w:r>
              <w:rPr>
                <w:rFonts w:hint="eastAsia" w:ascii="宋体" w:hAnsi="宋体" w:eastAsia="宋体" w:cs="宋体"/>
                <w:sz w:val="24"/>
                <w:lang w:val="en-US" w:eastAsia="zh-CN"/>
              </w:rPr>
              <w:t>5</w:t>
            </w:r>
            <w:r>
              <w:rPr>
                <w:rFonts w:hint="eastAsia" w:ascii="宋体" w:hAnsi="宋体" w:eastAsia="宋体" w:cs="宋体"/>
                <w:sz w:val="24"/>
              </w:rPr>
              <w:t>年</w:t>
            </w:r>
            <w:r>
              <w:rPr>
                <w:rFonts w:hint="eastAsia" w:ascii="宋体" w:hAnsi="宋体" w:eastAsia="宋体" w:cs="宋体"/>
                <w:sz w:val="24"/>
                <w:lang w:val="en-US" w:eastAsia="zh-CN"/>
              </w:rPr>
              <w:t>07</w:t>
            </w:r>
            <w:r>
              <w:rPr>
                <w:rFonts w:hint="eastAsia" w:ascii="宋体" w:hAnsi="宋体" w:eastAsia="宋体" w:cs="宋体"/>
                <w:sz w:val="24"/>
              </w:rPr>
              <w:t xml:space="preserve">月 </w:t>
            </w:r>
            <w:r>
              <w:rPr>
                <w:rFonts w:hint="eastAsia" w:ascii="宋体" w:hAnsi="宋体" w:eastAsia="宋体" w:cs="宋体"/>
                <w:sz w:val="24"/>
                <w:lang w:val="en-US" w:eastAsia="zh-CN"/>
              </w:rPr>
              <w:t>10</w:t>
            </w:r>
            <w:r>
              <w:rPr>
                <w:rFonts w:hint="eastAsia" w:ascii="宋体" w:hAnsi="宋体" w:eastAsia="宋体" w:cs="宋体"/>
                <w:sz w:val="24"/>
              </w:rPr>
              <w:t xml:space="preserve">日 </w:t>
            </w:r>
            <w:r>
              <w:rPr>
                <w:rFonts w:hint="eastAsia" w:ascii="宋体" w:hAnsi="宋体" w:eastAsia="宋体" w:cs="宋体"/>
                <w:sz w:val="24"/>
                <w:lang w:val="en-US" w:eastAsia="zh-CN"/>
              </w:rPr>
              <w:t>11：00分</w:t>
            </w:r>
            <w:r>
              <w:rPr>
                <w:rFonts w:hint="eastAsia" w:ascii="宋体" w:hAnsi="宋体" w:eastAsia="宋体" w:cs="宋体"/>
                <w:sz w:val="24"/>
              </w:rPr>
              <w:t>（北京时间）</w:t>
            </w:r>
          </w:p>
        </w:tc>
      </w:tr>
      <w:tr w14:paraId="1D73F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0D6D8FAC">
            <w:pPr>
              <w:pStyle w:val="32"/>
              <w:spacing w:line="360" w:lineRule="auto"/>
              <w:jc w:val="center"/>
              <w:rPr>
                <w:rFonts w:hint="eastAsia" w:ascii="宋体" w:hAnsi="宋体" w:eastAsia="宋体" w:cs="宋体"/>
                <w:b/>
                <w:kern w:val="0"/>
                <w:sz w:val="24"/>
                <w:lang w:eastAsia="zh-CN"/>
              </w:rPr>
            </w:pPr>
            <w:r>
              <w:rPr>
                <w:rFonts w:hint="eastAsia" w:ascii="宋体" w:hAnsi="宋体" w:eastAsia="宋体" w:cs="宋体"/>
                <w:b/>
                <w:kern w:val="0"/>
                <w:sz w:val="24"/>
                <w:highlight w:val="white"/>
              </w:rPr>
              <w:t>1</w:t>
            </w:r>
            <w:r>
              <w:rPr>
                <w:rFonts w:hint="eastAsia" w:ascii="宋体" w:hAnsi="宋体" w:eastAsia="宋体" w:cs="宋体"/>
                <w:b/>
                <w:kern w:val="0"/>
                <w:sz w:val="24"/>
                <w:highlight w:val="white"/>
                <w:lang w:val="en-US" w:eastAsia="zh-CN"/>
              </w:rPr>
              <w:t>8</w:t>
            </w:r>
          </w:p>
        </w:tc>
        <w:tc>
          <w:tcPr>
            <w:tcW w:w="2664" w:type="dxa"/>
            <w:tcBorders>
              <w:top w:val="single" w:color="auto" w:sz="4" w:space="0"/>
              <w:left w:val="single" w:color="auto" w:sz="4" w:space="0"/>
              <w:bottom w:val="single" w:color="auto" w:sz="4" w:space="0"/>
              <w:right w:val="single" w:color="auto" w:sz="4" w:space="0"/>
            </w:tcBorders>
            <w:vAlign w:val="center"/>
          </w:tcPr>
          <w:p w14:paraId="33DE6B26">
            <w:pPr>
              <w:pStyle w:val="32"/>
              <w:spacing w:line="360" w:lineRule="auto"/>
              <w:jc w:val="center"/>
              <w:rPr>
                <w:rFonts w:hint="eastAsia" w:ascii="宋体" w:hAnsi="宋体" w:eastAsia="宋体" w:cs="宋体"/>
                <w:b/>
                <w:kern w:val="0"/>
                <w:sz w:val="24"/>
              </w:rPr>
            </w:pPr>
            <w:r>
              <w:rPr>
                <w:rFonts w:hint="eastAsia" w:ascii="宋体" w:hAnsi="宋体" w:eastAsia="宋体" w:cs="宋体"/>
                <w:b/>
                <w:kern w:val="0"/>
                <w:sz w:val="24"/>
                <w:highlight w:val="white"/>
              </w:rPr>
              <w:t>供应商在</w:t>
            </w:r>
            <w:r>
              <w:rPr>
                <w:rFonts w:hint="eastAsia" w:ascii="宋体" w:hAnsi="宋体" w:eastAsia="宋体" w:cs="宋体"/>
                <w:b/>
                <w:sz w:val="24"/>
                <w:highlight w:val="white"/>
                <w:lang w:val="en-US" w:eastAsia="zh-CN"/>
              </w:rPr>
              <w:t>谈判响应</w:t>
            </w:r>
            <w:r>
              <w:rPr>
                <w:rFonts w:hint="eastAsia" w:ascii="宋体" w:hAnsi="宋体" w:eastAsia="宋体" w:cs="宋体"/>
                <w:b/>
                <w:sz w:val="24"/>
                <w:highlight w:val="white"/>
              </w:rPr>
              <w:t>截</w:t>
            </w:r>
            <w:r>
              <w:rPr>
                <w:rFonts w:hint="eastAsia" w:ascii="宋体" w:hAnsi="宋体" w:eastAsia="宋体" w:cs="宋体"/>
                <w:b/>
                <w:kern w:val="0"/>
                <w:sz w:val="24"/>
                <w:highlight w:val="white"/>
              </w:rPr>
              <w:t>止</w:t>
            </w:r>
          </w:p>
          <w:p w14:paraId="6F0A82EF">
            <w:pPr>
              <w:pStyle w:val="32"/>
              <w:spacing w:line="360" w:lineRule="auto"/>
              <w:jc w:val="center"/>
              <w:rPr>
                <w:rFonts w:hint="eastAsia" w:ascii="宋体" w:hAnsi="宋体" w:eastAsia="宋体" w:cs="宋体"/>
                <w:b/>
                <w:kern w:val="0"/>
                <w:sz w:val="24"/>
              </w:rPr>
            </w:pPr>
            <w:r>
              <w:rPr>
                <w:rFonts w:hint="eastAsia" w:ascii="宋体" w:hAnsi="宋体" w:eastAsia="宋体" w:cs="宋体"/>
                <w:b/>
                <w:kern w:val="0"/>
                <w:sz w:val="24"/>
                <w:highlight w:val="white"/>
              </w:rPr>
              <w:t>时间前提交的响应文件</w:t>
            </w:r>
          </w:p>
        </w:tc>
        <w:tc>
          <w:tcPr>
            <w:tcW w:w="6518" w:type="dxa"/>
            <w:tcBorders>
              <w:top w:val="single" w:color="auto" w:sz="4" w:space="0"/>
              <w:left w:val="single" w:color="auto" w:sz="4" w:space="0"/>
              <w:bottom w:val="single" w:color="auto" w:sz="4" w:space="0"/>
              <w:right w:val="single" w:color="auto" w:sz="4" w:space="0"/>
            </w:tcBorders>
            <w:vAlign w:val="center"/>
          </w:tcPr>
          <w:p w14:paraId="062DAA03">
            <w:pPr>
              <w:pStyle w:val="32"/>
              <w:spacing w:line="360" w:lineRule="auto"/>
              <w:rPr>
                <w:rFonts w:hint="eastAsia" w:ascii="宋体" w:hAnsi="宋体" w:eastAsia="宋体" w:cs="宋体"/>
                <w:sz w:val="24"/>
              </w:rPr>
            </w:pPr>
            <w:r>
              <w:rPr>
                <w:rFonts w:hint="eastAsia" w:ascii="宋体" w:hAnsi="宋体" w:eastAsia="宋体" w:cs="宋体"/>
                <w:sz w:val="24"/>
              </w:rPr>
              <w:t>响应文件（具体要求见本表第14项）</w:t>
            </w:r>
          </w:p>
        </w:tc>
      </w:tr>
      <w:tr w14:paraId="159C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07DA7AB5">
            <w:pPr>
              <w:pStyle w:val="32"/>
              <w:spacing w:line="360" w:lineRule="auto"/>
              <w:jc w:val="center"/>
              <w:rPr>
                <w:rFonts w:hint="eastAsia" w:ascii="宋体" w:hAnsi="宋体" w:eastAsia="宋体" w:cs="宋体"/>
                <w:b/>
                <w:kern w:val="0"/>
                <w:sz w:val="24"/>
                <w:lang w:eastAsia="zh-CN"/>
              </w:rPr>
            </w:pPr>
            <w:r>
              <w:rPr>
                <w:rFonts w:hint="eastAsia" w:ascii="宋体" w:hAnsi="宋体" w:eastAsia="宋体" w:cs="宋体"/>
                <w:b/>
                <w:kern w:val="0"/>
                <w:sz w:val="24"/>
                <w:highlight w:val="white"/>
              </w:rPr>
              <w:t>1</w:t>
            </w:r>
            <w:r>
              <w:rPr>
                <w:rFonts w:hint="eastAsia" w:ascii="宋体" w:hAnsi="宋体" w:eastAsia="宋体" w:cs="宋体"/>
                <w:b/>
                <w:kern w:val="0"/>
                <w:sz w:val="24"/>
                <w:highlight w:val="white"/>
                <w:lang w:val="en-US" w:eastAsia="zh-CN"/>
              </w:rPr>
              <w:t>9</w:t>
            </w:r>
          </w:p>
        </w:tc>
        <w:tc>
          <w:tcPr>
            <w:tcW w:w="2664" w:type="dxa"/>
            <w:tcBorders>
              <w:top w:val="single" w:color="auto" w:sz="4" w:space="0"/>
              <w:left w:val="single" w:color="auto" w:sz="4" w:space="0"/>
              <w:bottom w:val="single" w:color="auto" w:sz="4" w:space="0"/>
              <w:right w:val="single" w:color="auto" w:sz="4" w:space="0"/>
            </w:tcBorders>
            <w:vAlign w:val="center"/>
          </w:tcPr>
          <w:p w14:paraId="7C91989C">
            <w:pPr>
              <w:pStyle w:val="32"/>
              <w:spacing w:line="360" w:lineRule="auto"/>
              <w:jc w:val="center"/>
              <w:rPr>
                <w:rFonts w:hint="eastAsia" w:ascii="宋体" w:hAnsi="宋体" w:eastAsia="宋体" w:cs="宋体"/>
                <w:b/>
                <w:kern w:val="0"/>
                <w:sz w:val="24"/>
              </w:rPr>
            </w:pPr>
            <w:r>
              <w:rPr>
                <w:rFonts w:hint="eastAsia" w:ascii="宋体" w:hAnsi="宋体" w:eastAsia="宋体" w:cs="宋体"/>
                <w:b/>
                <w:kern w:val="0"/>
                <w:sz w:val="24"/>
                <w:highlight w:val="white"/>
                <w:lang w:val="en-US" w:eastAsia="zh-CN"/>
              </w:rPr>
              <w:t>谈判响应</w:t>
            </w:r>
            <w:r>
              <w:rPr>
                <w:rFonts w:hint="eastAsia" w:ascii="宋体" w:hAnsi="宋体" w:eastAsia="宋体" w:cs="宋体"/>
                <w:b/>
                <w:kern w:val="0"/>
                <w:sz w:val="24"/>
                <w:highlight w:val="white"/>
              </w:rPr>
              <w:t>要求</w:t>
            </w:r>
          </w:p>
        </w:tc>
        <w:tc>
          <w:tcPr>
            <w:tcW w:w="6518" w:type="dxa"/>
            <w:tcBorders>
              <w:top w:val="single" w:color="auto" w:sz="4" w:space="0"/>
              <w:left w:val="single" w:color="auto" w:sz="4" w:space="0"/>
              <w:bottom w:val="single" w:color="auto" w:sz="4" w:space="0"/>
              <w:right w:val="single" w:color="auto" w:sz="4" w:space="0"/>
            </w:tcBorders>
            <w:vAlign w:val="center"/>
          </w:tcPr>
          <w:p w14:paraId="76492323">
            <w:pPr>
              <w:pStyle w:val="32"/>
              <w:spacing w:line="360" w:lineRule="auto"/>
              <w:ind w:left="2" w:hanging="2" w:hangingChars="1"/>
              <w:rPr>
                <w:rFonts w:hint="eastAsia" w:ascii="宋体" w:hAnsi="宋体" w:eastAsia="宋体" w:cs="宋体"/>
                <w:sz w:val="24"/>
              </w:rPr>
            </w:pPr>
            <w:r>
              <w:rPr>
                <w:rFonts w:hint="eastAsia" w:ascii="宋体" w:hAnsi="宋体" w:eastAsia="宋体" w:cs="宋体"/>
                <w:sz w:val="24"/>
              </w:rPr>
              <w:t>□采用见面开标：</w:t>
            </w:r>
          </w:p>
          <w:p w14:paraId="483694B7">
            <w:pPr>
              <w:pStyle w:val="32"/>
              <w:spacing w:line="360" w:lineRule="auto"/>
              <w:rPr>
                <w:rFonts w:hint="eastAsia" w:ascii="宋体" w:hAnsi="宋体" w:eastAsia="宋体" w:cs="宋体"/>
                <w:sz w:val="24"/>
              </w:rPr>
            </w:pPr>
            <w:r>
              <w:rPr>
                <w:rFonts w:hint="eastAsia" w:ascii="宋体" w:hAnsi="宋体" w:eastAsia="宋体" w:cs="宋体"/>
                <w:sz w:val="24"/>
              </w:rPr>
              <w:t>响应文件包括：</w:t>
            </w:r>
          </w:p>
          <w:p w14:paraId="6DE42292">
            <w:pPr>
              <w:pStyle w:val="20"/>
              <w:spacing w:line="240" w:lineRule="atLeast"/>
              <w:rPr>
                <w:rFonts w:hint="eastAsia" w:ascii="宋体" w:hAnsi="宋体" w:eastAsia="宋体" w:cs="宋体"/>
              </w:rPr>
            </w:pPr>
            <w:r>
              <w:rPr>
                <w:rFonts w:hint="eastAsia" w:ascii="宋体" w:hAnsi="宋体" w:eastAsia="宋体" w:cs="宋体"/>
              </w:rPr>
              <w:t>1、加密的电子响应文件（文件格式为.PDF），在</w:t>
            </w:r>
            <w:r>
              <w:rPr>
                <w:rFonts w:hint="eastAsia" w:ascii="宋体" w:hAnsi="宋体" w:eastAsia="宋体" w:cs="宋体"/>
                <w:sz w:val="24"/>
                <w:u w:val="single"/>
                <w:lang w:val="en-US" w:eastAsia="zh-CN"/>
              </w:rPr>
              <w:t>谈判响应</w:t>
            </w:r>
            <w:r>
              <w:rPr>
                <w:rFonts w:hint="eastAsia" w:ascii="宋体" w:hAnsi="宋体" w:eastAsia="宋体" w:cs="宋体"/>
              </w:rPr>
              <w:t>截止时间前上传政采云（https://www.zcygov.cn/）；</w:t>
            </w:r>
          </w:p>
          <w:p w14:paraId="0963059D">
            <w:pPr>
              <w:pStyle w:val="32"/>
              <w:spacing w:line="360" w:lineRule="auto"/>
              <w:rPr>
                <w:rFonts w:hint="eastAsia" w:ascii="宋体" w:hAnsi="宋体" w:eastAsia="宋体" w:cs="宋体"/>
                <w:sz w:val="24"/>
              </w:rPr>
            </w:pPr>
            <w:r>
              <w:rPr>
                <w:rFonts w:hint="eastAsia" w:ascii="宋体" w:hAnsi="宋体" w:eastAsia="宋体" w:cs="宋体"/>
                <w:sz w:val="24"/>
              </w:rPr>
              <w:t>2、未加密的电子响应文件（文件格式为.PDF）3份（光盘介质），做好标示，密封提交；</w:t>
            </w:r>
          </w:p>
          <w:p w14:paraId="25226AC3">
            <w:pPr>
              <w:pStyle w:val="32"/>
              <w:spacing w:line="360" w:lineRule="auto"/>
              <w:rPr>
                <w:rFonts w:hint="eastAsia" w:ascii="宋体" w:hAnsi="宋体" w:eastAsia="宋体" w:cs="宋体"/>
                <w:sz w:val="24"/>
              </w:rPr>
            </w:pPr>
            <w:r>
              <w:rPr>
                <w:rFonts w:hint="eastAsia" w:ascii="宋体" w:hAnsi="宋体" w:eastAsia="宋体" w:cs="宋体"/>
                <w:sz w:val="24"/>
              </w:rPr>
              <w:t>其中，未加密的电子响应文件光盘应密封。供应商应在密封袋上注明项目名称和供应商名称。</w:t>
            </w:r>
          </w:p>
          <w:p w14:paraId="53A4D86F">
            <w:pPr>
              <w:pStyle w:val="32"/>
              <w:spacing w:line="360" w:lineRule="auto"/>
              <w:rPr>
                <w:rFonts w:hint="eastAsia" w:ascii="宋体" w:hAnsi="宋体" w:eastAsia="宋体" w:cs="宋体"/>
                <w:sz w:val="24"/>
              </w:rPr>
            </w:pPr>
            <w:r>
              <w:rPr>
                <w:rFonts w:hint="eastAsia" w:ascii="宋体" w:hAnsi="宋体" w:eastAsia="宋体" w:cs="宋体"/>
                <w:sz w:val="24"/>
              </w:rPr>
              <w:t>备注：因供应商自身原因导致解密失败的，将导致其</w:t>
            </w:r>
            <w:r>
              <w:rPr>
                <w:rFonts w:hint="eastAsia" w:ascii="宋体" w:hAnsi="宋体" w:eastAsia="宋体" w:cs="宋体"/>
                <w:sz w:val="24"/>
                <w:u w:val="single"/>
                <w:lang w:val="en-US" w:eastAsia="zh-CN"/>
              </w:rPr>
              <w:t>谈判响应</w:t>
            </w:r>
            <w:r>
              <w:rPr>
                <w:rFonts w:hint="eastAsia" w:ascii="宋体" w:hAnsi="宋体" w:eastAsia="宋体" w:cs="宋体"/>
                <w:sz w:val="24"/>
              </w:rPr>
              <w:t>被拒绝且响应文件被退回；但因网上招标系统故障导致所有供应商均解密失败时，允许供应商使用未加密的电子响应文件进行开评标。未递交加密的电子响应文件、未加密的电子响应文件（光盘3份），将导致</w:t>
            </w:r>
            <w:r>
              <w:rPr>
                <w:rFonts w:hint="eastAsia" w:ascii="宋体" w:hAnsi="宋体" w:eastAsia="宋体" w:cs="宋体"/>
                <w:sz w:val="24"/>
                <w:u w:val="single"/>
                <w:lang w:val="en-US" w:eastAsia="zh-CN"/>
              </w:rPr>
              <w:t>谈判响应</w:t>
            </w:r>
            <w:r>
              <w:rPr>
                <w:rFonts w:hint="eastAsia" w:ascii="宋体" w:hAnsi="宋体" w:eastAsia="宋体" w:cs="宋体"/>
                <w:sz w:val="24"/>
              </w:rPr>
              <w:t>被拒绝。</w:t>
            </w:r>
          </w:p>
          <w:p w14:paraId="06D991DC">
            <w:pPr>
              <w:pStyle w:val="32"/>
              <w:widowControl/>
              <w:autoSpaceDE w:val="0"/>
              <w:autoSpaceDN w:val="0"/>
              <w:spacing w:line="360" w:lineRule="exact"/>
              <w:rPr>
                <w:rFonts w:hint="eastAsia" w:ascii="宋体" w:hAnsi="宋体" w:eastAsia="宋体" w:cs="宋体"/>
                <w:sz w:val="24"/>
              </w:rPr>
            </w:pPr>
            <w:r>
              <w:rPr>
                <w:rFonts w:hint="eastAsia" w:ascii="宋体" w:hAnsi="宋体" w:eastAsia="宋体" w:cs="宋体"/>
                <w:kern w:val="0"/>
                <w:sz w:val="24"/>
              </w:rPr>
              <w:t>☑</w:t>
            </w:r>
            <w:r>
              <w:rPr>
                <w:rFonts w:hint="eastAsia" w:ascii="宋体" w:hAnsi="宋体" w:eastAsia="宋体" w:cs="宋体"/>
                <w:sz w:val="24"/>
              </w:rPr>
              <w:t>采用不见面开标：</w:t>
            </w:r>
          </w:p>
          <w:p w14:paraId="34B7980A">
            <w:pPr>
              <w:pStyle w:val="36"/>
              <w:spacing w:line="500" w:lineRule="exact"/>
              <w:rPr>
                <w:rFonts w:hint="eastAsia" w:ascii="宋体" w:hAnsi="宋体" w:eastAsia="宋体" w:cs="宋体"/>
                <w:kern w:val="0"/>
                <w:sz w:val="24"/>
                <w:szCs w:val="24"/>
              </w:rPr>
            </w:pPr>
            <w:r>
              <w:rPr>
                <w:rFonts w:hint="eastAsia" w:ascii="宋体" w:hAnsi="宋体" w:eastAsia="宋体" w:cs="宋体"/>
                <w:sz w:val="24"/>
                <w:szCs w:val="24"/>
              </w:rPr>
              <w:t>1．本项目采用不见面开标、供应商需要递交电子响应文件，</w:t>
            </w:r>
            <w:r>
              <w:rPr>
                <w:rFonts w:hint="eastAsia" w:ascii="宋体" w:hAnsi="宋体" w:eastAsia="宋体" w:cs="宋体"/>
                <w:kern w:val="0"/>
                <w:sz w:val="24"/>
                <w:szCs w:val="24"/>
              </w:rPr>
              <w:t>加密的电子响应文件（格式为.PDF），在</w:t>
            </w:r>
            <w:r>
              <w:rPr>
                <w:rFonts w:hint="eastAsia" w:ascii="宋体" w:hAnsi="宋体" w:eastAsia="宋体" w:cs="宋体"/>
                <w:sz w:val="24"/>
                <w:u w:val="single"/>
                <w:lang w:val="en-US" w:eastAsia="zh-CN"/>
              </w:rPr>
              <w:t>谈判响应</w:t>
            </w:r>
            <w:r>
              <w:rPr>
                <w:rFonts w:hint="eastAsia" w:ascii="宋体" w:hAnsi="宋体" w:eastAsia="宋体" w:cs="宋体"/>
                <w:kern w:val="0"/>
                <w:sz w:val="24"/>
                <w:szCs w:val="24"/>
              </w:rPr>
              <w:t>截止时间前通过</w:t>
            </w:r>
            <w:r>
              <w:rPr>
                <w:rFonts w:hint="eastAsia" w:ascii="宋体" w:hAnsi="宋体" w:eastAsia="宋体" w:cs="宋体"/>
                <w:sz w:val="24"/>
                <w:szCs w:val="24"/>
              </w:rPr>
              <w:t>政采云（</w:t>
            </w:r>
            <w:r>
              <w:rPr>
                <w:rFonts w:hint="eastAsia" w:ascii="宋体" w:hAnsi="宋体" w:eastAsia="宋体" w:cs="宋体"/>
                <w:sz w:val="24"/>
              </w:rPr>
              <w:t>https://www.zcygov.cn/</w:t>
            </w:r>
            <w:r>
              <w:rPr>
                <w:rFonts w:hint="eastAsia" w:ascii="宋体" w:hAnsi="宋体" w:eastAsia="宋体" w:cs="宋体"/>
                <w:sz w:val="24"/>
                <w:szCs w:val="24"/>
              </w:rPr>
              <w:t>）</w:t>
            </w:r>
            <w:r>
              <w:rPr>
                <w:rFonts w:hint="eastAsia" w:ascii="宋体" w:hAnsi="宋体" w:eastAsia="宋体" w:cs="宋体"/>
                <w:kern w:val="0"/>
                <w:sz w:val="24"/>
                <w:szCs w:val="24"/>
              </w:rPr>
              <w:t>上传到指定位置。</w:t>
            </w:r>
          </w:p>
          <w:p w14:paraId="2B378C1F">
            <w:pPr>
              <w:pStyle w:val="32"/>
              <w:spacing w:line="360" w:lineRule="auto"/>
              <w:rPr>
                <w:rFonts w:hint="eastAsia" w:ascii="宋体" w:hAnsi="宋体" w:eastAsia="宋体" w:cs="宋体"/>
                <w:sz w:val="24"/>
              </w:rPr>
            </w:pPr>
            <w:r>
              <w:rPr>
                <w:rFonts w:hint="eastAsia" w:ascii="宋体" w:hAnsi="宋体" w:eastAsia="宋体" w:cs="宋体"/>
                <w:sz w:val="24"/>
              </w:rPr>
              <w:t>2.本项目采用远程不见面交易的模式。开标当日，供应商无需到达开标现场，仅需在任意地点通过政采云（https://www.zcygov.cn/）平台完成远程解密、提疑澄清、开标唱标、结果公布等交互环节。供应商必须使用能正确解密响应文件的“清、锁”在规定的时间内完成远程解密，因供应商原因未能解密、解密失败或解密超时，视为供应商撤销其响应文件，系统内响应文件将被退回；因采购人原因或网上招投标平台发生故障，导致无法按时完成响应文件解密或开、评标工作无法进行的，可根据实际情况相应延迟解密时间或调整开、评标时间（友情提示：若供应商已领取副锁（含多把副锁）请注意正副锁的使用差别，务必使用生成响应文件的那把锁解密）。</w:t>
            </w:r>
          </w:p>
          <w:p w14:paraId="416FE565">
            <w:pPr>
              <w:pStyle w:val="32"/>
              <w:spacing w:line="360" w:lineRule="auto"/>
              <w:jc w:val="left"/>
              <w:rPr>
                <w:rFonts w:hint="eastAsia" w:ascii="宋体" w:hAnsi="宋体" w:eastAsia="宋体" w:cs="宋体"/>
                <w:kern w:val="0"/>
                <w:sz w:val="24"/>
              </w:rPr>
            </w:pPr>
            <w:r>
              <w:rPr>
                <w:rFonts w:hint="eastAsia" w:ascii="宋体" w:hAnsi="宋体" w:eastAsia="宋体" w:cs="宋体"/>
                <w:sz w:val="24"/>
              </w:rPr>
              <w:t>3.远程开标前，供应商务必在政采云（https://www.zcygov.cn/）；响应文件上传模块中使用“模拟解密”功能，验证本机远程自助解密环境。</w:t>
            </w:r>
          </w:p>
        </w:tc>
      </w:tr>
      <w:tr w14:paraId="65F40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3"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21F36DFD">
            <w:pPr>
              <w:pStyle w:val="32"/>
              <w:spacing w:line="360" w:lineRule="auto"/>
              <w:jc w:val="center"/>
              <w:rPr>
                <w:rFonts w:hint="default" w:ascii="宋体" w:hAnsi="宋体" w:eastAsia="宋体" w:cs="宋体"/>
                <w:b/>
                <w:kern w:val="0"/>
                <w:sz w:val="24"/>
                <w:lang w:val="en-US" w:eastAsia="zh-CN"/>
              </w:rPr>
            </w:pPr>
            <w:r>
              <w:rPr>
                <w:rFonts w:hint="eastAsia" w:ascii="宋体" w:hAnsi="宋体" w:eastAsia="宋体" w:cs="宋体"/>
                <w:b/>
                <w:kern w:val="0"/>
                <w:sz w:val="24"/>
                <w:highlight w:val="white"/>
                <w:lang w:val="en-US" w:eastAsia="zh-CN"/>
              </w:rPr>
              <w:t>20</w:t>
            </w:r>
          </w:p>
        </w:tc>
        <w:tc>
          <w:tcPr>
            <w:tcW w:w="2664" w:type="dxa"/>
            <w:tcBorders>
              <w:top w:val="single" w:color="auto" w:sz="4" w:space="0"/>
              <w:left w:val="single" w:color="auto" w:sz="4" w:space="0"/>
              <w:bottom w:val="single" w:color="auto" w:sz="4" w:space="0"/>
              <w:right w:val="single" w:color="auto" w:sz="4" w:space="0"/>
            </w:tcBorders>
            <w:vAlign w:val="center"/>
          </w:tcPr>
          <w:p w14:paraId="2F6ED079">
            <w:pPr>
              <w:pStyle w:val="32"/>
              <w:spacing w:line="360" w:lineRule="auto"/>
              <w:jc w:val="center"/>
              <w:rPr>
                <w:rFonts w:hint="eastAsia" w:ascii="宋体" w:hAnsi="宋体" w:eastAsia="宋体" w:cs="宋体"/>
                <w:b/>
                <w:kern w:val="0"/>
                <w:sz w:val="24"/>
              </w:rPr>
            </w:pPr>
            <w:r>
              <w:rPr>
                <w:rFonts w:hint="eastAsia" w:ascii="宋体" w:hAnsi="宋体" w:eastAsia="宋体" w:cs="宋体"/>
                <w:b/>
                <w:kern w:val="0"/>
                <w:sz w:val="24"/>
                <w:highlight w:val="white"/>
                <w:lang w:val="en-US" w:eastAsia="zh-CN"/>
              </w:rPr>
              <w:t>谈判响应</w:t>
            </w:r>
            <w:r>
              <w:rPr>
                <w:rFonts w:hint="eastAsia" w:ascii="宋体" w:hAnsi="宋体" w:eastAsia="宋体" w:cs="宋体"/>
                <w:b/>
                <w:kern w:val="0"/>
                <w:sz w:val="24"/>
                <w:highlight w:val="white"/>
              </w:rPr>
              <w:t>时间及地点</w:t>
            </w:r>
          </w:p>
        </w:tc>
        <w:tc>
          <w:tcPr>
            <w:tcW w:w="6518" w:type="dxa"/>
            <w:tcBorders>
              <w:top w:val="single" w:color="auto" w:sz="4" w:space="0"/>
              <w:left w:val="single" w:color="auto" w:sz="4" w:space="0"/>
              <w:bottom w:val="single" w:color="auto" w:sz="4" w:space="0"/>
              <w:right w:val="single" w:color="auto" w:sz="4" w:space="0"/>
            </w:tcBorders>
            <w:vAlign w:val="center"/>
          </w:tcPr>
          <w:p w14:paraId="1E3E3D39">
            <w:pPr>
              <w:pStyle w:val="32"/>
              <w:spacing w:line="360" w:lineRule="auto"/>
              <w:ind w:left="2" w:hanging="2" w:hangingChars="1"/>
              <w:rPr>
                <w:rFonts w:hint="eastAsia" w:ascii="宋体" w:hAnsi="宋体" w:eastAsia="宋体" w:cs="宋体"/>
                <w:sz w:val="24"/>
              </w:rPr>
            </w:pPr>
            <w:r>
              <w:rPr>
                <w:rFonts w:hint="eastAsia" w:ascii="宋体" w:hAnsi="宋体" w:eastAsia="宋体" w:cs="宋体"/>
                <w:sz w:val="24"/>
                <w:highlight w:val="white"/>
              </w:rPr>
              <w:t>□采用见面开标：</w:t>
            </w:r>
          </w:p>
          <w:p w14:paraId="67B9ADAF">
            <w:pPr>
              <w:pStyle w:val="32"/>
              <w:spacing w:line="360" w:lineRule="auto"/>
              <w:rPr>
                <w:rFonts w:hint="eastAsia" w:ascii="宋体" w:hAnsi="宋体" w:eastAsia="宋体" w:cs="宋体"/>
                <w:sz w:val="24"/>
              </w:rPr>
            </w:pPr>
            <w:r>
              <w:rPr>
                <w:rFonts w:hint="eastAsia" w:ascii="宋体" w:hAnsi="宋体" w:eastAsia="宋体" w:cs="宋体"/>
                <w:sz w:val="24"/>
                <w:u w:val="single"/>
                <w:lang w:val="en-US" w:eastAsia="zh-CN"/>
              </w:rPr>
              <w:t>谈判响应</w:t>
            </w:r>
            <w:r>
              <w:rPr>
                <w:rFonts w:hint="eastAsia" w:ascii="宋体" w:hAnsi="宋体" w:eastAsia="宋体" w:cs="宋体"/>
                <w:sz w:val="24"/>
                <w:highlight w:val="white"/>
              </w:rPr>
              <w:t>时间：同</w:t>
            </w:r>
            <w:r>
              <w:rPr>
                <w:rFonts w:hint="eastAsia" w:ascii="宋体" w:hAnsi="宋体" w:eastAsia="宋体" w:cs="宋体"/>
                <w:sz w:val="24"/>
                <w:u w:val="single"/>
                <w:lang w:val="en-US" w:eastAsia="zh-CN"/>
              </w:rPr>
              <w:t>谈判响应</w:t>
            </w:r>
            <w:r>
              <w:rPr>
                <w:rFonts w:hint="eastAsia" w:ascii="宋体" w:hAnsi="宋体" w:eastAsia="宋体" w:cs="宋体"/>
                <w:sz w:val="24"/>
                <w:highlight w:val="white"/>
              </w:rPr>
              <w:t>截止时间</w:t>
            </w:r>
          </w:p>
          <w:p w14:paraId="19C524B4">
            <w:pPr>
              <w:pStyle w:val="32"/>
              <w:spacing w:line="360" w:lineRule="auto"/>
              <w:rPr>
                <w:rFonts w:hint="eastAsia" w:ascii="宋体" w:hAnsi="宋体" w:eastAsia="宋体" w:cs="宋体"/>
                <w:kern w:val="0"/>
                <w:sz w:val="24"/>
                <w:u w:val="single"/>
              </w:rPr>
            </w:pPr>
            <w:r>
              <w:rPr>
                <w:rFonts w:hint="eastAsia" w:ascii="宋体" w:hAnsi="宋体" w:eastAsia="宋体" w:cs="宋体"/>
                <w:sz w:val="24"/>
                <w:u w:val="single"/>
                <w:lang w:val="en-US" w:eastAsia="zh-CN"/>
              </w:rPr>
              <w:t>谈判响应</w:t>
            </w:r>
            <w:r>
              <w:rPr>
                <w:rFonts w:hint="eastAsia" w:ascii="宋体" w:hAnsi="宋体" w:eastAsia="宋体" w:cs="宋体"/>
                <w:sz w:val="24"/>
                <w:highlight w:val="white"/>
              </w:rPr>
              <w:t>地点：</w:t>
            </w:r>
            <w:bookmarkStart w:id="31" w:name="EBb9cb93a09e6f423386ef27e1ab12b20b"/>
            <w:bookmarkEnd w:id="31"/>
            <w:r>
              <w:rPr>
                <w:rFonts w:hint="eastAsia" w:ascii="宋体" w:hAnsi="宋体" w:eastAsia="宋体" w:cs="宋体"/>
                <w:kern w:val="0"/>
                <w:sz w:val="24"/>
                <w:highlight w:val="white"/>
                <w:u w:val="single"/>
              </w:rPr>
              <w:t xml:space="preserve">                    </w:t>
            </w:r>
          </w:p>
          <w:p w14:paraId="21276097">
            <w:pPr>
              <w:pStyle w:val="32"/>
              <w:widowControl/>
              <w:spacing w:line="320" w:lineRule="exact"/>
              <w:rPr>
                <w:rFonts w:hint="eastAsia" w:ascii="宋体" w:hAnsi="宋体" w:eastAsia="宋体" w:cs="宋体"/>
                <w:sz w:val="24"/>
              </w:rPr>
            </w:pPr>
            <w:r>
              <w:rPr>
                <w:rFonts w:hint="eastAsia" w:ascii="宋体" w:hAnsi="宋体" w:eastAsia="宋体" w:cs="宋体"/>
                <w:kern w:val="0"/>
                <w:sz w:val="24"/>
                <w:highlight w:val="white"/>
              </w:rPr>
              <w:t>☑</w:t>
            </w:r>
            <w:r>
              <w:rPr>
                <w:rFonts w:hint="eastAsia" w:ascii="宋体" w:hAnsi="宋体" w:eastAsia="宋体" w:cs="宋体"/>
                <w:sz w:val="24"/>
                <w:highlight w:val="white"/>
              </w:rPr>
              <w:t>采用不见面开标：</w:t>
            </w:r>
          </w:p>
          <w:p w14:paraId="1228CD48">
            <w:pPr>
              <w:pStyle w:val="32"/>
              <w:spacing w:line="360" w:lineRule="auto"/>
              <w:rPr>
                <w:rFonts w:hint="eastAsia" w:ascii="宋体" w:hAnsi="宋体" w:eastAsia="宋体" w:cs="宋体"/>
                <w:kern w:val="0"/>
                <w:sz w:val="24"/>
                <w:u w:val="single"/>
              </w:rPr>
            </w:pPr>
            <w:r>
              <w:rPr>
                <w:rFonts w:hint="eastAsia" w:ascii="宋体" w:hAnsi="宋体" w:eastAsia="宋体" w:cs="宋体"/>
                <w:sz w:val="24"/>
                <w:u w:val="single"/>
                <w:lang w:val="en-US" w:eastAsia="zh-CN"/>
              </w:rPr>
              <w:t>谈判响应</w:t>
            </w:r>
            <w:r>
              <w:rPr>
                <w:rFonts w:hint="eastAsia" w:ascii="宋体" w:hAnsi="宋体" w:eastAsia="宋体" w:cs="宋体"/>
                <w:sz w:val="24"/>
                <w:highlight w:val="white"/>
              </w:rPr>
              <w:t>时间：202</w:t>
            </w:r>
            <w:r>
              <w:rPr>
                <w:rFonts w:hint="eastAsia" w:ascii="宋体" w:hAnsi="宋体" w:eastAsia="宋体" w:cs="宋体"/>
                <w:sz w:val="24"/>
                <w:highlight w:val="white"/>
                <w:lang w:val="en-US" w:eastAsia="zh-CN"/>
              </w:rPr>
              <w:t>5</w:t>
            </w:r>
            <w:r>
              <w:rPr>
                <w:rFonts w:hint="eastAsia" w:ascii="宋体" w:hAnsi="宋体" w:eastAsia="宋体" w:cs="宋体"/>
                <w:sz w:val="24"/>
                <w:highlight w:val="white"/>
              </w:rPr>
              <w:t>年</w:t>
            </w:r>
            <w:r>
              <w:rPr>
                <w:rFonts w:hint="eastAsia" w:ascii="宋体" w:hAnsi="宋体" w:eastAsia="宋体" w:cs="宋体"/>
                <w:sz w:val="24"/>
                <w:highlight w:val="white"/>
                <w:lang w:val="en-US" w:eastAsia="zh-CN"/>
              </w:rPr>
              <w:t>07</w:t>
            </w:r>
            <w:r>
              <w:rPr>
                <w:rFonts w:hint="eastAsia" w:ascii="宋体" w:hAnsi="宋体" w:eastAsia="宋体" w:cs="宋体"/>
                <w:sz w:val="24"/>
                <w:highlight w:val="white"/>
              </w:rPr>
              <w:t xml:space="preserve">月 </w:t>
            </w:r>
            <w:r>
              <w:rPr>
                <w:rFonts w:hint="eastAsia" w:ascii="宋体" w:hAnsi="宋体" w:eastAsia="宋体" w:cs="宋体"/>
                <w:sz w:val="24"/>
                <w:highlight w:val="white"/>
                <w:lang w:val="en-US" w:eastAsia="zh-CN"/>
              </w:rPr>
              <w:t>10</w:t>
            </w:r>
            <w:r>
              <w:rPr>
                <w:rFonts w:hint="eastAsia" w:ascii="宋体" w:hAnsi="宋体" w:eastAsia="宋体" w:cs="宋体"/>
                <w:sz w:val="24"/>
                <w:highlight w:val="white"/>
              </w:rPr>
              <w:t xml:space="preserve">日 </w:t>
            </w:r>
            <w:r>
              <w:rPr>
                <w:rFonts w:hint="eastAsia" w:ascii="宋体" w:hAnsi="宋体" w:eastAsia="宋体" w:cs="宋体"/>
                <w:sz w:val="24"/>
                <w:highlight w:val="white"/>
                <w:lang w:val="en-US" w:eastAsia="zh-CN"/>
              </w:rPr>
              <w:t>11：00分</w:t>
            </w:r>
            <w:r>
              <w:rPr>
                <w:rFonts w:hint="eastAsia" w:ascii="宋体" w:hAnsi="宋体" w:eastAsia="宋体" w:cs="宋体"/>
                <w:sz w:val="24"/>
                <w:highlight w:val="white"/>
              </w:rPr>
              <w:t>(北京时间)</w:t>
            </w:r>
          </w:p>
          <w:p w14:paraId="174E8EBB">
            <w:pPr>
              <w:pStyle w:val="32"/>
              <w:spacing w:line="360" w:lineRule="auto"/>
              <w:rPr>
                <w:rFonts w:hint="eastAsia" w:ascii="宋体" w:hAnsi="宋体" w:eastAsia="宋体" w:cs="宋体"/>
                <w:sz w:val="24"/>
              </w:rPr>
            </w:pPr>
            <w:r>
              <w:rPr>
                <w:rFonts w:hint="eastAsia" w:ascii="宋体" w:hAnsi="宋体" w:eastAsia="宋体" w:cs="宋体"/>
                <w:sz w:val="24"/>
                <w:u w:val="single"/>
                <w:lang w:val="en-US" w:eastAsia="zh-CN"/>
              </w:rPr>
              <w:t>谈判响应</w:t>
            </w:r>
            <w:r>
              <w:rPr>
                <w:rFonts w:hint="eastAsia" w:ascii="宋体" w:hAnsi="宋体" w:eastAsia="宋体" w:cs="宋体"/>
                <w:sz w:val="24"/>
                <w:highlight w:val="white"/>
              </w:rPr>
              <w:t>地点：远程不见面开标大厅</w:t>
            </w:r>
          </w:p>
          <w:p w14:paraId="4BA14A12">
            <w:pPr>
              <w:pStyle w:val="32"/>
              <w:spacing w:line="360" w:lineRule="auto"/>
              <w:rPr>
                <w:rFonts w:hint="eastAsia" w:ascii="宋体" w:hAnsi="宋体" w:eastAsia="宋体" w:cs="宋体"/>
                <w:sz w:val="24"/>
              </w:rPr>
            </w:pPr>
            <w:r>
              <w:rPr>
                <w:rFonts w:hint="eastAsia" w:ascii="宋体" w:hAnsi="宋体" w:eastAsia="宋体" w:cs="宋体"/>
                <w:sz w:val="24"/>
                <w:highlight w:val="white"/>
              </w:rPr>
              <w:t>不见面开标默认解密时长：</w:t>
            </w:r>
            <w:r>
              <w:rPr>
                <w:rFonts w:hint="eastAsia" w:ascii="宋体" w:hAnsi="宋体" w:eastAsia="宋体" w:cs="宋体"/>
                <w:kern w:val="0"/>
                <w:sz w:val="24"/>
                <w:highlight w:val="white"/>
                <w:u w:val="single"/>
              </w:rPr>
              <w:t xml:space="preserve"> 30分钟  </w:t>
            </w:r>
          </w:p>
        </w:tc>
      </w:tr>
      <w:tr w14:paraId="1108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05AB2687">
            <w:pPr>
              <w:pStyle w:val="32"/>
              <w:spacing w:line="360" w:lineRule="auto"/>
              <w:jc w:val="center"/>
              <w:rPr>
                <w:rFonts w:hint="default" w:ascii="宋体" w:hAnsi="宋体" w:eastAsia="宋体" w:cs="宋体"/>
                <w:b/>
                <w:kern w:val="0"/>
                <w:sz w:val="24"/>
                <w:lang w:val="en-US" w:eastAsia="zh-CN"/>
              </w:rPr>
            </w:pPr>
            <w:r>
              <w:rPr>
                <w:rFonts w:hint="eastAsia" w:ascii="宋体" w:hAnsi="宋体" w:eastAsia="宋体" w:cs="宋体"/>
                <w:b/>
                <w:kern w:val="0"/>
                <w:sz w:val="24"/>
                <w:highlight w:val="white"/>
                <w:lang w:val="en-US" w:eastAsia="zh-CN"/>
              </w:rPr>
              <w:t>21</w:t>
            </w:r>
          </w:p>
        </w:tc>
        <w:tc>
          <w:tcPr>
            <w:tcW w:w="2664" w:type="dxa"/>
            <w:tcBorders>
              <w:top w:val="single" w:color="auto" w:sz="4" w:space="0"/>
              <w:left w:val="single" w:color="auto" w:sz="4" w:space="0"/>
              <w:bottom w:val="single" w:color="auto" w:sz="4" w:space="0"/>
              <w:right w:val="single" w:color="auto" w:sz="4" w:space="0"/>
            </w:tcBorders>
            <w:vAlign w:val="center"/>
          </w:tcPr>
          <w:p w14:paraId="6EA94C46">
            <w:pPr>
              <w:pStyle w:val="32"/>
              <w:spacing w:line="360" w:lineRule="auto"/>
              <w:jc w:val="center"/>
              <w:rPr>
                <w:rFonts w:hint="eastAsia" w:ascii="宋体" w:hAnsi="宋体" w:eastAsia="宋体" w:cs="宋体"/>
                <w:b/>
                <w:kern w:val="0"/>
                <w:sz w:val="24"/>
              </w:rPr>
            </w:pPr>
            <w:r>
              <w:rPr>
                <w:rFonts w:hint="eastAsia" w:ascii="宋体" w:hAnsi="宋体" w:eastAsia="宋体" w:cs="宋体"/>
                <w:b/>
                <w:kern w:val="0"/>
                <w:sz w:val="24"/>
                <w:highlight w:val="white"/>
                <w:lang w:val="en-US" w:eastAsia="zh-CN"/>
              </w:rPr>
              <w:t>谈判小组</w:t>
            </w:r>
            <w:r>
              <w:rPr>
                <w:rFonts w:hint="eastAsia" w:ascii="宋体" w:hAnsi="宋体" w:eastAsia="宋体" w:cs="宋体"/>
                <w:b/>
                <w:kern w:val="0"/>
                <w:sz w:val="24"/>
                <w:highlight w:val="white"/>
              </w:rPr>
              <w:t>的组成</w:t>
            </w:r>
          </w:p>
        </w:tc>
        <w:tc>
          <w:tcPr>
            <w:tcW w:w="6518" w:type="dxa"/>
            <w:tcBorders>
              <w:top w:val="single" w:color="auto" w:sz="4" w:space="0"/>
              <w:left w:val="single" w:color="auto" w:sz="4" w:space="0"/>
              <w:bottom w:val="single" w:color="auto" w:sz="4" w:space="0"/>
              <w:right w:val="single" w:color="auto" w:sz="4" w:space="0"/>
            </w:tcBorders>
            <w:vAlign w:val="center"/>
          </w:tcPr>
          <w:p w14:paraId="36EF1F3B">
            <w:pPr>
              <w:pStyle w:val="32"/>
              <w:spacing w:line="360" w:lineRule="auto"/>
              <w:rPr>
                <w:rFonts w:hint="eastAsia" w:ascii="宋体" w:hAnsi="宋体" w:eastAsia="宋体" w:cs="宋体"/>
                <w:sz w:val="24"/>
                <w:highlight w:val="yellow"/>
              </w:rPr>
            </w:pPr>
            <w:r>
              <w:rPr>
                <w:rFonts w:hint="eastAsia" w:ascii="宋体" w:hAnsi="宋体" w:eastAsia="宋体" w:cs="宋体"/>
                <w:b/>
                <w:kern w:val="0"/>
                <w:sz w:val="24"/>
                <w:highlight w:val="white"/>
                <w:lang w:val="en-US" w:eastAsia="zh-CN"/>
              </w:rPr>
              <w:t>谈</w:t>
            </w:r>
            <w:r>
              <w:rPr>
                <w:rFonts w:hint="eastAsia" w:ascii="宋体" w:hAnsi="宋体" w:eastAsia="宋体" w:cs="宋体"/>
                <w:b/>
                <w:kern w:val="0"/>
                <w:sz w:val="24"/>
                <w:highlight w:val="none"/>
                <w:lang w:val="en-US" w:eastAsia="zh-CN"/>
              </w:rPr>
              <w:t>判小组</w:t>
            </w:r>
            <w:r>
              <w:rPr>
                <w:rFonts w:hint="eastAsia" w:ascii="宋体" w:hAnsi="宋体" w:eastAsia="宋体" w:cs="宋体"/>
                <w:sz w:val="24"/>
                <w:highlight w:val="none"/>
              </w:rPr>
              <w:t>构成：</w:t>
            </w:r>
            <w:bookmarkStart w:id="32" w:name="EB3f0c29cb8f8242048d3ab4e38d30f235"/>
            <w:bookmarkEnd w:id="32"/>
            <w:r>
              <w:rPr>
                <w:rFonts w:hint="eastAsia" w:ascii="宋体" w:hAnsi="宋体" w:eastAsia="宋体" w:cs="宋体"/>
                <w:kern w:val="0"/>
                <w:sz w:val="24"/>
                <w:highlight w:val="none"/>
                <w:u w:val="single"/>
              </w:rPr>
              <w:t xml:space="preserve"> 3 </w:t>
            </w:r>
            <w:r>
              <w:rPr>
                <w:rFonts w:hint="eastAsia" w:ascii="宋体" w:hAnsi="宋体" w:eastAsia="宋体" w:cs="宋体"/>
                <w:sz w:val="24"/>
                <w:highlight w:val="none"/>
              </w:rPr>
              <w:t>人，其中</w:t>
            </w:r>
            <w:bookmarkStart w:id="33" w:name="EB1dccf8155053468b961a92163090aec3"/>
            <w:bookmarkEnd w:id="33"/>
            <w:r>
              <w:rPr>
                <w:rFonts w:hint="eastAsia" w:ascii="宋体" w:hAnsi="宋体" w:eastAsia="宋体" w:cs="宋体"/>
                <w:sz w:val="24"/>
                <w:highlight w:val="none"/>
              </w:rPr>
              <w:t>业主专家</w:t>
            </w:r>
            <w:r>
              <w:rPr>
                <w:rFonts w:hint="eastAsia" w:ascii="宋体" w:hAnsi="宋体" w:eastAsia="宋体" w:cs="宋体"/>
                <w:kern w:val="0"/>
                <w:sz w:val="24"/>
                <w:highlight w:val="none"/>
                <w:u w:val="single"/>
              </w:rPr>
              <w:t>1</w:t>
            </w:r>
            <w:r>
              <w:rPr>
                <w:rFonts w:hint="eastAsia" w:ascii="宋体" w:hAnsi="宋体" w:eastAsia="宋体" w:cs="宋体"/>
                <w:sz w:val="24"/>
                <w:highlight w:val="none"/>
              </w:rPr>
              <w:t>人</w:t>
            </w:r>
          </w:p>
          <w:p w14:paraId="71249CFD">
            <w:pPr>
              <w:pStyle w:val="32"/>
              <w:spacing w:line="360" w:lineRule="auto"/>
              <w:rPr>
                <w:rFonts w:hint="eastAsia" w:ascii="宋体" w:hAnsi="宋体" w:eastAsia="宋体" w:cs="宋体"/>
                <w:sz w:val="24"/>
              </w:rPr>
            </w:pPr>
            <w:r>
              <w:rPr>
                <w:rFonts w:hint="eastAsia" w:ascii="宋体" w:hAnsi="宋体" w:eastAsia="宋体" w:cs="宋体"/>
                <w:b/>
                <w:kern w:val="0"/>
                <w:sz w:val="24"/>
                <w:highlight w:val="white"/>
                <w:lang w:val="en-US" w:eastAsia="zh-CN"/>
              </w:rPr>
              <w:t>谈判小组</w:t>
            </w:r>
            <w:r>
              <w:rPr>
                <w:rFonts w:hint="eastAsia" w:ascii="宋体" w:hAnsi="宋体" w:eastAsia="宋体" w:cs="宋体"/>
                <w:sz w:val="24"/>
                <w:highlight w:val="none"/>
              </w:rPr>
              <w:t>确定方式：</w:t>
            </w:r>
            <w:bookmarkStart w:id="34" w:name="EBa6c2783a0e5147c8b3ec5246f7ef3cfa"/>
            <w:bookmarkEnd w:id="34"/>
            <w:r>
              <w:rPr>
                <w:rFonts w:hint="eastAsia" w:ascii="宋体" w:hAnsi="宋体" w:eastAsia="宋体" w:cs="宋体"/>
                <w:kern w:val="0"/>
                <w:sz w:val="24"/>
                <w:highlight w:val="none"/>
                <w:u w:val="single"/>
              </w:rPr>
              <w:t>在政采云专家库中抽取</w:t>
            </w:r>
          </w:p>
        </w:tc>
      </w:tr>
      <w:tr w14:paraId="3EF07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06BD93EE">
            <w:pPr>
              <w:pStyle w:val="32"/>
              <w:spacing w:line="360" w:lineRule="auto"/>
              <w:jc w:val="center"/>
              <w:rPr>
                <w:rFonts w:hint="default" w:ascii="宋体" w:hAnsi="宋体" w:eastAsia="宋体" w:cs="宋体"/>
                <w:b/>
                <w:kern w:val="0"/>
                <w:sz w:val="24"/>
                <w:lang w:val="en-US" w:eastAsia="zh-CN"/>
              </w:rPr>
            </w:pPr>
            <w:r>
              <w:rPr>
                <w:rFonts w:hint="eastAsia" w:ascii="宋体" w:hAnsi="宋体" w:eastAsia="宋体" w:cs="宋体"/>
                <w:b/>
                <w:kern w:val="0"/>
                <w:sz w:val="24"/>
                <w:highlight w:val="white"/>
                <w:lang w:val="en-US" w:eastAsia="zh-CN"/>
              </w:rPr>
              <w:t>22</w:t>
            </w:r>
          </w:p>
        </w:tc>
        <w:tc>
          <w:tcPr>
            <w:tcW w:w="2664" w:type="dxa"/>
            <w:tcBorders>
              <w:top w:val="single" w:color="auto" w:sz="4" w:space="0"/>
              <w:left w:val="single" w:color="auto" w:sz="4" w:space="0"/>
              <w:bottom w:val="single" w:color="auto" w:sz="4" w:space="0"/>
              <w:right w:val="single" w:color="auto" w:sz="4" w:space="0"/>
            </w:tcBorders>
            <w:vAlign w:val="center"/>
          </w:tcPr>
          <w:p w14:paraId="18733977">
            <w:pPr>
              <w:pStyle w:val="32"/>
              <w:spacing w:line="360" w:lineRule="auto"/>
              <w:jc w:val="center"/>
              <w:rPr>
                <w:rFonts w:hint="eastAsia" w:ascii="宋体" w:hAnsi="宋体" w:eastAsia="宋体" w:cs="宋体"/>
                <w:b/>
                <w:kern w:val="0"/>
                <w:sz w:val="24"/>
              </w:rPr>
            </w:pPr>
            <w:r>
              <w:rPr>
                <w:rFonts w:hint="eastAsia" w:ascii="宋体" w:hAnsi="宋体" w:eastAsia="宋体" w:cs="宋体"/>
                <w:b/>
                <w:kern w:val="0"/>
                <w:sz w:val="24"/>
                <w:highlight w:val="white"/>
                <w:lang w:val="en-US" w:eastAsia="zh-CN"/>
              </w:rPr>
              <w:t>谈判</w:t>
            </w:r>
            <w:r>
              <w:rPr>
                <w:rFonts w:hint="eastAsia" w:ascii="宋体" w:hAnsi="宋体" w:eastAsia="宋体" w:cs="宋体"/>
                <w:b/>
                <w:kern w:val="0"/>
                <w:sz w:val="24"/>
              </w:rPr>
              <w:t>保证金</w:t>
            </w:r>
          </w:p>
        </w:tc>
        <w:tc>
          <w:tcPr>
            <w:tcW w:w="6518" w:type="dxa"/>
            <w:tcBorders>
              <w:top w:val="single" w:color="auto" w:sz="4" w:space="0"/>
              <w:left w:val="single" w:color="auto" w:sz="4" w:space="0"/>
              <w:bottom w:val="single" w:color="auto" w:sz="4" w:space="0"/>
              <w:right w:val="single" w:color="auto" w:sz="4" w:space="0"/>
            </w:tcBorders>
            <w:vAlign w:val="center"/>
          </w:tcPr>
          <w:p w14:paraId="2C70345A">
            <w:pPr>
              <w:pStyle w:val="66"/>
              <w:spacing w:line="364" w:lineRule="auto"/>
              <w:ind w:left="112" w:right="76"/>
              <w:jc w:val="left"/>
              <w:rPr>
                <w:rFonts w:hint="eastAsia" w:ascii="宋体" w:hAnsi="宋体" w:eastAsia="宋体" w:cs="宋体"/>
                <w:kern w:val="0"/>
                <w:sz w:val="24"/>
              </w:rPr>
            </w:pPr>
            <w:r>
              <w:rPr>
                <w:rFonts w:hint="eastAsia" w:ascii="宋体" w:hAnsi="宋体" w:eastAsia="宋体" w:cs="宋体"/>
                <w:kern w:val="0"/>
                <w:sz w:val="24"/>
              </w:rPr>
              <w:t>到账截止时间</w:t>
            </w:r>
            <w:r>
              <w:rPr>
                <w:rFonts w:hint="eastAsia" w:ascii="宋体" w:hAnsi="宋体" w:eastAsia="宋体" w:cs="宋体"/>
                <w:bCs/>
                <w:sz w:val="24"/>
              </w:rPr>
              <w:t>：</w:t>
            </w:r>
            <w:bookmarkStart w:id="35" w:name="EB961a54d590dd4901836fe4678f9cafb9"/>
            <w:bookmarkEnd w:id="35"/>
            <w:r>
              <w:rPr>
                <w:rFonts w:hint="eastAsia" w:ascii="宋体" w:hAnsi="宋体" w:eastAsia="宋体" w:cs="宋体"/>
              </w:rPr>
              <w:t>202</w:t>
            </w:r>
            <w:r>
              <w:rPr>
                <w:rFonts w:hint="eastAsia" w:cs="宋体"/>
                <w:lang w:val="en-US" w:eastAsia="zh-CN"/>
              </w:rPr>
              <w:t>5</w:t>
            </w:r>
            <w:r>
              <w:rPr>
                <w:rFonts w:hint="eastAsia" w:ascii="宋体" w:hAnsi="宋体" w:eastAsia="宋体" w:cs="宋体"/>
              </w:rPr>
              <w:t>年</w:t>
            </w:r>
            <w:r>
              <w:rPr>
                <w:rFonts w:hint="eastAsia" w:cs="宋体"/>
                <w:lang w:val="en-US" w:eastAsia="zh-CN"/>
              </w:rPr>
              <w:t>07</w:t>
            </w:r>
            <w:r>
              <w:rPr>
                <w:rFonts w:hint="eastAsia" w:ascii="宋体" w:hAnsi="宋体" w:eastAsia="宋体" w:cs="宋体"/>
              </w:rPr>
              <w:t xml:space="preserve">月 </w:t>
            </w:r>
            <w:r>
              <w:rPr>
                <w:rFonts w:hint="eastAsia" w:cs="宋体"/>
                <w:lang w:val="en-US" w:eastAsia="zh-CN"/>
              </w:rPr>
              <w:t>10</w:t>
            </w:r>
            <w:r>
              <w:rPr>
                <w:rFonts w:hint="eastAsia" w:ascii="宋体" w:hAnsi="宋体" w:eastAsia="宋体" w:cs="宋体"/>
              </w:rPr>
              <w:t xml:space="preserve">日 </w:t>
            </w:r>
            <w:r>
              <w:rPr>
                <w:rFonts w:hint="eastAsia" w:cs="宋体"/>
                <w:lang w:val="en-US" w:eastAsia="zh-CN"/>
              </w:rPr>
              <w:t>11：00分</w:t>
            </w:r>
            <w:r>
              <w:rPr>
                <w:rFonts w:hint="eastAsia" w:ascii="宋体" w:hAnsi="宋体" w:eastAsia="宋体" w:cs="宋体"/>
                <w:bCs/>
                <w:sz w:val="24"/>
              </w:rPr>
              <w:t>(北</w:t>
            </w:r>
            <w:r>
              <w:rPr>
                <w:rFonts w:hint="eastAsia" w:ascii="宋体" w:hAnsi="宋体" w:eastAsia="宋体" w:cs="宋体"/>
                <w:sz w:val="24"/>
                <w:highlight w:val="white"/>
              </w:rPr>
              <w:t>京时间)</w:t>
            </w:r>
          </w:p>
          <w:p w14:paraId="12806671">
            <w:pPr>
              <w:pStyle w:val="66"/>
              <w:spacing w:line="364" w:lineRule="auto"/>
              <w:ind w:left="112" w:right="76"/>
              <w:jc w:val="left"/>
              <w:rPr>
                <w:rFonts w:hint="eastAsia" w:ascii="宋体" w:hAnsi="宋体" w:eastAsia="宋体" w:cs="宋体"/>
                <w:bCs/>
                <w:sz w:val="24"/>
              </w:rPr>
            </w:pPr>
            <w:r>
              <w:rPr>
                <w:rFonts w:hint="eastAsia" w:ascii="宋体" w:hAnsi="宋体" w:eastAsia="宋体" w:cs="宋体"/>
                <w:sz w:val="24"/>
                <w:u w:val="single"/>
                <w:lang w:val="en-US" w:eastAsia="zh-CN"/>
              </w:rPr>
              <w:t>谈判</w:t>
            </w:r>
            <w:r>
              <w:rPr>
                <w:rFonts w:hint="eastAsia" w:ascii="宋体" w:hAnsi="宋体" w:eastAsia="宋体" w:cs="宋体"/>
                <w:bCs/>
                <w:sz w:val="24"/>
              </w:rPr>
              <w:t>保证金：银行汇票、银行电汇、转账、本票</w:t>
            </w:r>
            <w:r>
              <w:rPr>
                <w:rFonts w:hint="eastAsia" w:cs="宋体"/>
                <w:bCs/>
                <w:sz w:val="24"/>
                <w:lang w:eastAsia="zh-CN"/>
              </w:rPr>
              <w:t>、</w:t>
            </w:r>
            <w:r>
              <w:rPr>
                <w:rFonts w:hint="eastAsia" w:cs="宋体"/>
                <w:bCs/>
                <w:sz w:val="24"/>
                <w:lang w:val="en-US" w:eastAsia="zh-CN"/>
              </w:rPr>
              <w:t>保函</w:t>
            </w:r>
            <w:r>
              <w:rPr>
                <w:rFonts w:hint="eastAsia" w:ascii="宋体" w:hAnsi="宋体" w:eastAsia="宋体" w:cs="宋体"/>
                <w:bCs/>
                <w:sz w:val="24"/>
              </w:rPr>
              <w:t>等非现金形式提交（必须由供应商的基本账户转出）</w:t>
            </w:r>
          </w:p>
          <w:p w14:paraId="7B1C20C5">
            <w:pPr>
              <w:pStyle w:val="66"/>
              <w:spacing w:line="364" w:lineRule="auto"/>
              <w:ind w:left="112" w:right="76"/>
              <w:jc w:val="left"/>
              <w:rPr>
                <w:rFonts w:hint="eastAsia" w:ascii="宋体" w:hAnsi="宋体" w:eastAsia="宋体" w:cs="宋体"/>
                <w:bCs/>
                <w:sz w:val="24"/>
              </w:rPr>
            </w:pPr>
            <w:r>
              <w:rPr>
                <w:rFonts w:hint="eastAsia" w:ascii="宋体" w:hAnsi="宋体" w:eastAsia="宋体" w:cs="宋体"/>
                <w:bCs/>
                <w:sz w:val="24"/>
              </w:rPr>
              <w:t>户名：华春建设工程项目管理有限责任公司乌鲁木齐分公司</w:t>
            </w:r>
          </w:p>
          <w:p w14:paraId="3B382E70">
            <w:pPr>
              <w:pStyle w:val="66"/>
              <w:spacing w:line="364" w:lineRule="auto"/>
              <w:ind w:left="112" w:right="76"/>
              <w:jc w:val="left"/>
              <w:rPr>
                <w:rFonts w:hint="eastAsia" w:ascii="宋体" w:hAnsi="宋体" w:eastAsia="宋体" w:cs="宋体"/>
                <w:bCs/>
                <w:sz w:val="24"/>
              </w:rPr>
            </w:pPr>
            <w:r>
              <w:rPr>
                <w:rFonts w:hint="eastAsia" w:ascii="宋体" w:hAnsi="宋体" w:eastAsia="宋体" w:cs="宋体"/>
                <w:bCs/>
                <w:sz w:val="24"/>
              </w:rPr>
              <w:t>开户行：中国农业银行股份有限公司乌鲁木齐北门支行</w:t>
            </w:r>
          </w:p>
          <w:p w14:paraId="406BAB13">
            <w:pPr>
              <w:pStyle w:val="66"/>
              <w:spacing w:line="364" w:lineRule="auto"/>
              <w:ind w:left="112" w:right="76"/>
              <w:jc w:val="left"/>
              <w:rPr>
                <w:rFonts w:hint="eastAsia" w:ascii="宋体" w:hAnsi="宋体" w:eastAsia="宋体" w:cs="宋体"/>
                <w:bCs/>
                <w:sz w:val="24"/>
              </w:rPr>
            </w:pPr>
            <w:r>
              <w:rPr>
                <w:rFonts w:hint="eastAsia" w:ascii="宋体" w:hAnsi="宋体" w:eastAsia="宋体" w:cs="宋体"/>
                <w:bCs/>
                <w:sz w:val="24"/>
              </w:rPr>
              <w:t>银行账号：30000601040004017</w:t>
            </w:r>
          </w:p>
          <w:p w14:paraId="24D3ED37">
            <w:pPr>
              <w:pStyle w:val="66"/>
              <w:spacing w:line="364" w:lineRule="auto"/>
              <w:ind w:left="112" w:right="76"/>
              <w:jc w:val="left"/>
              <w:rPr>
                <w:rFonts w:hint="eastAsia" w:ascii="宋体" w:hAnsi="宋体" w:eastAsia="宋体" w:cs="宋体"/>
                <w:bCs/>
                <w:sz w:val="24"/>
              </w:rPr>
            </w:pPr>
            <w:r>
              <w:rPr>
                <w:rFonts w:hint="eastAsia" w:ascii="宋体" w:hAnsi="宋体" w:eastAsia="宋体" w:cs="宋体"/>
                <w:bCs/>
                <w:sz w:val="24"/>
              </w:rPr>
              <w:t>行号：103881000068</w:t>
            </w:r>
          </w:p>
          <w:p w14:paraId="2FC585FC">
            <w:pPr>
              <w:pStyle w:val="66"/>
              <w:spacing w:line="364" w:lineRule="auto"/>
              <w:ind w:left="112" w:right="76"/>
              <w:jc w:val="left"/>
              <w:rPr>
                <w:rFonts w:hint="eastAsia" w:ascii="宋体" w:hAnsi="宋体" w:eastAsia="宋体" w:cs="宋体"/>
                <w:bCs/>
                <w:sz w:val="24"/>
              </w:rPr>
            </w:pPr>
            <w:r>
              <w:rPr>
                <w:rFonts w:hint="eastAsia" w:ascii="宋体" w:hAnsi="宋体" w:eastAsia="宋体" w:cs="宋体"/>
                <w:bCs/>
                <w:sz w:val="24"/>
              </w:rPr>
              <w:t>金额：</w:t>
            </w:r>
            <w:r>
              <w:rPr>
                <w:rFonts w:hint="eastAsia" w:cs="宋体"/>
                <w:bCs/>
                <w:sz w:val="24"/>
                <w:lang w:val="en-US" w:eastAsia="zh-CN"/>
              </w:rPr>
              <w:t>10000</w:t>
            </w:r>
            <w:r>
              <w:rPr>
                <w:rFonts w:hint="eastAsia" w:ascii="宋体" w:hAnsi="宋体" w:eastAsia="宋体" w:cs="宋体"/>
                <w:bCs/>
                <w:sz w:val="24"/>
              </w:rPr>
              <w:t>.00元（</w:t>
            </w:r>
            <w:r>
              <w:rPr>
                <w:rFonts w:hint="eastAsia" w:cs="宋体"/>
                <w:bCs/>
                <w:sz w:val="24"/>
                <w:lang w:val="en-US" w:eastAsia="zh-CN"/>
              </w:rPr>
              <w:t>壹万</w:t>
            </w:r>
            <w:r>
              <w:rPr>
                <w:rFonts w:hint="eastAsia" w:ascii="宋体" w:hAnsi="宋体" w:eastAsia="宋体" w:cs="宋体"/>
                <w:bCs/>
                <w:sz w:val="24"/>
              </w:rPr>
              <w:t xml:space="preserve">元整）   </w:t>
            </w:r>
          </w:p>
          <w:p w14:paraId="03955833">
            <w:pPr>
              <w:pStyle w:val="66"/>
              <w:spacing w:line="364" w:lineRule="auto"/>
              <w:ind w:left="112" w:right="76"/>
              <w:jc w:val="left"/>
              <w:rPr>
                <w:rFonts w:hint="eastAsia" w:ascii="宋体" w:hAnsi="宋体" w:eastAsia="宋体" w:cs="宋体"/>
                <w:bCs/>
                <w:sz w:val="24"/>
              </w:rPr>
            </w:pPr>
            <w:r>
              <w:rPr>
                <w:rFonts w:hint="eastAsia" w:ascii="宋体" w:hAnsi="宋体" w:eastAsia="宋体" w:cs="宋体"/>
                <w:bCs/>
                <w:sz w:val="24"/>
              </w:rPr>
              <w:t>1.供应商提交</w:t>
            </w:r>
            <w:r>
              <w:rPr>
                <w:rFonts w:hint="eastAsia" w:ascii="宋体" w:hAnsi="宋体" w:eastAsia="宋体" w:cs="宋体"/>
                <w:bCs/>
                <w:sz w:val="24"/>
                <w:lang w:val="en-US" w:eastAsia="zh-CN"/>
              </w:rPr>
              <w:t>谈判</w:t>
            </w:r>
            <w:r>
              <w:rPr>
                <w:rFonts w:hint="eastAsia" w:ascii="宋体" w:hAnsi="宋体" w:eastAsia="宋体" w:cs="宋体"/>
                <w:bCs/>
                <w:sz w:val="24"/>
              </w:rPr>
              <w:t>保证金应充分考虑资金在途时间。各</w:t>
            </w:r>
            <w:r>
              <w:rPr>
                <w:rFonts w:hint="eastAsia" w:ascii="宋体" w:hAnsi="宋体" w:eastAsia="宋体" w:cs="宋体"/>
                <w:bCs/>
                <w:sz w:val="24"/>
                <w:lang w:val="en-US" w:eastAsia="zh-CN"/>
              </w:rPr>
              <w:t>供应商</w:t>
            </w:r>
            <w:r>
              <w:rPr>
                <w:rFonts w:hint="eastAsia" w:ascii="宋体" w:hAnsi="宋体" w:eastAsia="宋体" w:cs="宋体"/>
                <w:bCs/>
                <w:sz w:val="24"/>
              </w:rPr>
              <w:t>缴纳</w:t>
            </w:r>
            <w:r>
              <w:rPr>
                <w:rFonts w:hint="eastAsia" w:ascii="宋体" w:hAnsi="宋体" w:eastAsia="宋体" w:cs="宋体"/>
                <w:bCs/>
                <w:sz w:val="24"/>
                <w:lang w:val="en-US" w:eastAsia="zh-CN"/>
              </w:rPr>
              <w:t>谈判</w:t>
            </w:r>
            <w:r>
              <w:rPr>
                <w:rFonts w:hint="eastAsia" w:ascii="宋体" w:hAnsi="宋体" w:eastAsia="宋体" w:cs="宋体"/>
                <w:bCs/>
                <w:sz w:val="24"/>
              </w:rPr>
              <w:t>保证金时须在附加信息及用途栏内注明“</w:t>
            </w:r>
            <w:r>
              <w:rPr>
                <w:rFonts w:hint="eastAsia" w:cs="宋体"/>
                <w:bCs/>
                <w:sz w:val="24"/>
                <w:lang w:val="en-US" w:eastAsia="zh-CN"/>
              </w:rPr>
              <w:t>供</w:t>
            </w:r>
            <w:r>
              <w:rPr>
                <w:rFonts w:hint="eastAsia" w:ascii="宋体" w:hAnsi="宋体" w:eastAsia="宋体" w:cs="宋体"/>
                <w:bCs/>
                <w:sz w:val="24"/>
              </w:rPr>
              <w:t>应商提</w:t>
            </w:r>
            <w:r>
              <w:rPr>
                <w:rFonts w:hint="eastAsia" w:cs="宋体"/>
                <w:bCs/>
                <w:sz w:val="24"/>
                <w:lang w:val="en-US" w:eastAsia="zh-CN"/>
              </w:rPr>
              <w:t>交</w:t>
            </w:r>
            <w:r>
              <w:rPr>
                <w:rFonts w:hint="eastAsia" w:ascii="宋体" w:hAnsi="宋体" w:eastAsia="宋体" w:cs="宋体"/>
                <w:bCs/>
                <w:sz w:val="24"/>
              </w:rPr>
              <w:t>项目</w:t>
            </w:r>
            <w:r>
              <w:rPr>
                <w:rFonts w:hint="eastAsia" w:ascii="宋体" w:hAnsi="宋体" w:eastAsia="宋体" w:cs="宋体"/>
                <w:bCs/>
                <w:sz w:val="24"/>
                <w:lang w:val="en-US" w:eastAsia="zh-CN"/>
              </w:rPr>
              <w:t>谈判</w:t>
            </w:r>
            <w:r>
              <w:rPr>
                <w:rFonts w:hint="eastAsia" w:ascii="宋体" w:hAnsi="宋体" w:eastAsia="宋体" w:cs="宋体"/>
                <w:bCs/>
                <w:sz w:val="24"/>
              </w:rPr>
              <w:t>保证金（以</w:t>
            </w:r>
            <w:r>
              <w:rPr>
                <w:rFonts w:hint="eastAsia" w:ascii="宋体" w:hAnsi="宋体" w:eastAsia="宋体" w:cs="宋体"/>
                <w:bCs/>
                <w:sz w:val="24"/>
                <w:lang w:val="en-US" w:eastAsia="zh-CN"/>
              </w:rPr>
              <w:t>谈判</w:t>
            </w:r>
            <w:r>
              <w:rPr>
                <w:rFonts w:hint="eastAsia" w:ascii="宋体" w:hAnsi="宋体" w:eastAsia="宋体" w:cs="宋体"/>
                <w:bCs/>
                <w:sz w:val="24"/>
              </w:rPr>
              <w:t>保证金接收方银行到账信息为准）。</w:t>
            </w:r>
          </w:p>
          <w:p w14:paraId="0C44F132">
            <w:pPr>
              <w:pStyle w:val="66"/>
              <w:spacing w:line="364" w:lineRule="auto"/>
              <w:ind w:left="112" w:right="76"/>
              <w:jc w:val="left"/>
              <w:rPr>
                <w:rFonts w:hint="eastAsia" w:ascii="宋体" w:hAnsi="宋体" w:eastAsia="宋体" w:cs="宋体"/>
                <w:bCs/>
                <w:sz w:val="24"/>
              </w:rPr>
            </w:pPr>
            <w:r>
              <w:rPr>
                <w:rFonts w:hint="eastAsia" w:ascii="宋体" w:hAnsi="宋体" w:eastAsia="宋体" w:cs="宋体"/>
                <w:bCs/>
                <w:sz w:val="24"/>
              </w:rPr>
              <w:t>2. 若供应商未按照上述规定缴纳</w:t>
            </w:r>
            <w:r>
              <w:rPr>
                <w:rFonts w:hint="eastAsia" w:ascii="宋体" w:hAnsi="宋体" w:eastAsia="宋体" w:cs="宋体"/>
                <w:bCs/>
                <w:sz w:val="24"/>
                <w:lang w:val="en-US" w:eastAsia="zh-CN"/>
              </w:rPr>
              <w:t>谈判</w:t>
            </w:r>
            <w:r>
              <w:rPr>
                <w:rFonts w:hint="eastAsia" w:ascii="宋体" w:hAnsi="宋体" w:eastAsia="宋体" w:cs="宋体"/>
                <w:bCs/>
                <w:sz w:val="24"/>
              </w:rPr>
              <w:t>保证金,响应文件将被拒绝评审。</w:t>
            </w:r>
          </w:p>
          <w:p w14:paraId="7E7579D1">
            <w:pPr>
              <w:pStyle w:val="66"/>
              <w:spacing w:line="364" w:lineRule="auto"/>
              <w:ind w:left="112" w:right="76"/>
              <w:jc w:val="left"/>
              <w:rPr>
                <w:rFonts w:hint="eastAsia" w:ascii="宋体" w:hAnsi="宋体" w:eastAsia="宋体" w:cs="宋体"/>
                <w:bCs/>
                <w:sz w:val="24"/>
              </w:rPr>
            </w:pPr>
            <w:r>
              <w:rPr>
                <w:rFonts w:hint="eastAsia" w:ascii="宋体" w:hAnsi="宋体" w:eastAsia="宋体" w:cs="宋体"/>
                <w:bCs/>
                <w:sz w:val="24"/>
              </w:rPr>
              <w:t>3. 文件中需提供开户行许可证，以备后续退保证金使用。</w:t>
            </w:r>
          </w:p>
          <w:p w14:paraId="3C97B02F">
            <w:pPr>
              <w:pStyle w:val="66"/>
              <w:spacing w:line="364" w:lineRule="auto"/>
              <w:ind w:left="112" w:right="76"/>
              <w:jc w:val="left"/>
              <w:rPr>
                <w:rFonts w:hint="eastAsia" w:ascii="宋体" w:hAnsi="宋体" w:eastAsia="宋体" w:cs="宋体"/>
                <w:b/>
                <w:sz w:val="24"/>
              </w:rPr>
            </w:pPr>
            <w:r>
              <w:rPr>
                <w:rFonts w:hint="eastAsia" w:ascii="宋体" w:hAnsi="宋体" w:eastAsia="宋体" w:cs="宋体"/>
                <w:bCs/>
                <w:sz w:val="24"/>
              </w:rPr>
              <w:t>4.保证金事宜请联系财务室：</w:t>
            </w:r>
            <w:r>
              <w:rPr>
                <w:rFonts w:hint="eastAsia" w:ascii="宋体" w:hAnsi="宋体" w:eastAsia="宋体" w:cs="宋体"/>
                <w:b/>
                <w:sz w:val="24"/>
              </w:rPr>
              <w:t>肖芳 0991-4181809</w:t>
            </w:r>
          </w:p>
          <w:p w14:paraId="28D242EC">
            <w:pPr>
              <w:pStyle w:val="66"/>
              <w:spacing w:line="364" w:lineRule="auto"/>
              <w:ind w:left="112" w:right="76"/>
              <w:jc w:val="left"/>
              <w:rPr>
                <w:rFonts w:hint="eastAsia" w:ascii="宋体" w:hAnsi="宋体" w:eastAsia="宋体" w:cs="宋体"/>
                <w:bCs/>
                <w:sz w:val="24"/>
              </w:rPr>
            </w:pPr>
            <w:r>
              <w:rPr>
                <w:rFonts w:hint="eastAsia" w:ascii="宋体" w:hAnsi="宋体" w:eastAsia="宋体" w:cs="宋体"/>
                <w:b/>
                <w:sz w:val="24"/>
              </w:rPr>
              <w:t>注：</w:t>
            </w:r>
            <w:r>
              <w:rPr>
                <w:rFonts w:hint="eastAsia" w:ascii="宋体" w:hAnsi="宋体" w:eastAsia="宋体" w:cs="宋体"/>
                <w:bCs/>
                <w:sz w:val="24"/>
              </w:rPr>
              <w:t>供应商以支票、汇票、本票或者电汇、网银转账等非现金形式提交谈判保证金的注意事项如下：</w:t>
            </w:r>
          </w:p>
          <w:p w14:paraId="4B7F0B19">
            <w:pPr>
              <w:pStyle w:val="66"/>
              <w:spacing w:line="364" w:lineRule="auto"/>
              <w:ind w:left="112" w:right="76"/>
              <w:jc w:val="left"/>
              <w:rPr>
                <w:rFonts w:hint="eastAsia" w:ascii="宋体" w:hAnsi="宋体" w:eastAsia="宋体" w:cs="宋体"/>
                <w:bCs/>
                <w:sz w:val="24"/>
              </w:rPr>
            </w:pPr>
            <w:r>
              <w:rPr>
                <w:rFonts w:hint="eastAsia" w:ascii="宋体" w:hAnsi="宋体" w:eastAsia="宋体" w:cs="宋体"/>
                <w:bCs/>
                <w:sz w:val="24"/>
              </w:rPr>
              <w:t>（1）谈判保证金单位名称必须与供应商登记的单位名称一致，否则其</w:t>
            </w:r>
            <w:r>
              <w:rPr>
                <w:rFonts w:hint="eastAsia" w:ascii="宋体" w:hAnsi="宋体" w:eastAsia="宋体" w:cs="宋体"/>
                <w:bCs/>
                <w:sz w:val="24"/>
                <w:lang w:val="en-US" w:eastAsia="zh-CN"/>
              </w:rPr>
              <w:t>谈判响应</w:t>
            </w:r>
            <w:r>
              <w:rPr>
                <w:rFonts w:hint="eastAsia" w:ascii="宋体" w:hAnsi="宋体" w:eastAsia="宋体" w:cs="宋体"/>
                <w:bCs/>
                <w:sz w:val="24"/>
              </w:rPr>
              <w:t>将被拒绝。</w:t>
            </w:r>
          </w:p>
          <w:p w14:paraId="5ACCE680">
            <w:pPr>
              <w:pStyle w:val="66"/>
              <w:spacing w:line="364" w:lineRule="auto"/>
              <w:ind w:left="112" w:right="76"/>
              <w:jc w:val="left"/>
              <w:rPr>
                <w:rFonts w:hint="eastAsia" w:ascii="宋体" w:hAnsi="宋体" w:eastAsia="宋体" w:cs="宋体"/>
                <w:bCs/>
                <w:sz w:val="24"/>
              </w:rPr>
            </w:pPr>
            <w:r>
              <w:rPr>
                <w:rFonts w:hint="eastAsia" w:ascii="宋体" w:hAnsi="宋体" w:eastAsia="宋体" w:cs="宋体"/>
                <w:bCs/>
                <w:sz w:val="24"/>
              </w:rPr>
              <w:t>(2）供应商须在</w:t>
            </w:r>
            <w:r>
              <w:rPr>
                <w:rFonts w:hint="eastAsia" w:ascii="宋体" w:hAnsi="宋体" w:eastAsia="宋体" w:cs="宋体"/>
                <w:bCs/>
                <w:sz w:val="24"/>
                <w:lang w:val="en-US" w:eastAsia="zh-CN"/>
              </w:rPr>
              <w:t>谈判响应</w:t>
            </w:r>
            <w:r>
              <w:rPr>
                <w:rFonts w:hint="eastAsia" w:ascii="宋体" w:hAnsi="宋体" w:eastAsia="宋体" w:cs="宋体"/>
                <w:bCs/>
                <w:sz w:val="24"/>
              </w:rPr>
              <w:t>截止时间前由</w:t>
            </w:r>
            <w:r>
              <w:rPr>
                <w:rFonts w:hint="eastAsia" w:ascii="宋体" w:hAnsi="宋体" w:eastAsia="宋体" w:cs="宋体"/>
                <w:bCs/>
                <w:sz w:val="24"/>
                <w:lang w:val="en-US" w:eastAsia="zh-CN"/>
              </w:rPr>
              <w:t>供应商</w:t>
            </w:r>
            <w:r>
              <w:rPr>
                <w:rFonts w:hint="eastAsia" w:ascii="宋体" w:hAnsi="宋体" w:eastAsia="宋体" w:cs="宋体"/>
                <w:bCs/>
                <w:sz w:val="24"/>
              </w:rPr>
              <w:t>账户一次性汇入采购文件指定账号（以华春建设工程项目管理有限责任公司乌鲁木齐分公司保证金账户到账时间为准），供应商须自行评估因异地、跨行、公休日等因素造成的谈判保证金到账延迟风险，并承担相应责任。</w:t>
            </w:r>
          </w:p>
          <w:p w14:paraId="3F8CE44D">
            <w:pPr>
              <w:pStyle w:val="66"/>
              <w:spacing w:line="364" w:lineRule="auto"/>
              <w:ind w:left="112" w:right="76"/>
              <w:jc w:val="left"/>
              <w:rPr>
                <w:rFonts w:hint="eastAsia" w:ascii="宋体" w:hAnsi="宋体" w:eastAsia="宋体" w:cs="宋体"/>
                <w:bCs/>
                <w:sz w:val="24"/>
              </w:rPr>
            </w:pPr>
            <w:r>
              <w:rPr>
                <w:rFonts w:hint="eastAsia" w:ascii="宋体" w:hAnsi="宋体" w:eastAsia="宋体" w:cs="宋体"/>
                <w:bCs/>
                <w:sz w:val="24"/>
              </w:rPr>
              <w:t>（3）供应商请自行查询是否到账，供应商以网银转账、电汇汇款方式缴纳谈判商保证金的须从供应商基本账户转出，请备注项目名称或项目编号并提供银行汇款凭证及供应商基本账户开户许可证或基本存款账户信息。</w:t>
            </w:r>
          </w:p>
          <w:p w14:paraId="7DCBB68E">
            <w:pPr>
              <w:pStyle w:val="66"/>
              <w:spacing w:line="364" w:lineRule="auto"/>
              <w:ind w:left="112" w:right="76"/>
              <w:jc w:val="left"/>
              <w:rPr>
                <w:rFonts w:hint="eastAsia" w:ascii="宋体" w:hAnsi="宋体" w:eastAsia="宋体" w:cs="宋体"/>
                <w:bCs/>
                <w:sz w:val="24"/>
              </w:rPr>
            </w:pPr>
            <w:r>
              <w:rPr>
                <w:rFonts w:hint="eastAsia" w:ascii="宋体" w:hAnsi="宋体" w:eastAsia="宋体" w:cs="宋体"/>
                <w:bCs/>
                <w:sz w:val="24"/>
              </w:rPr>
              <w:t xml:space="preserve">(4)谈判保证金缴纳截止时间同开标时间一致。 </w:t>
            </w:r>
          </w:p>
          <w:p w14:paraId="1622251A">
            <w:pPr>
              <w:pStyle w:val="66"/>
              <w:spacing w:line="364" w:lineRule="auto"/>
              <w:ind w:left="112" w:right="76"/>
              <w:jc w:val="left"/>
              <w:rPr>
                <w:rFonts w:hint="eastAsia" w:ascii="宋体" w:hAnsi="宋体" w:eastAsia="宋体" w:cs="宋体"/>
                <w:b/>
                <w:sz w:val="24"/>
              </w:rPr>
            </w:pPr>
            <w:r>
              <w:rPr>
                <w:rFonts w:hint="eastAsia" w:ascii="宋体" w:hAnsi="宋体" w:eastAsia="宋体" w:cs="宋体"/>
                <w:bCs/>
                <w:sz w:val="24"/>
              </w:rPr>
              <w:t>★注：供应商未按照采购文件上述要求提交谈判保证金的，</w:t>
            </w:r>
            <w:r>
              <w:rPr>
                <w:rFonts w:hint="eastAsia" w:ascii="宋体" w:hAnsi="宋体" w:eastAsia="宋体" w:cs="宋体"/>
                <w:bCs/>
                <w:sz w:val="24"/>
                <w:lang w:val="en-US" w:eastAsia="zh-CN"/>
              </w:rPr>
              <w:t>谈判响应</w:t>
            </w:r>
            <w:r>
              <w:rPr>
                <w:rFonts w:hint="eastAsia" w:ascii="宋体" w:hAnsi="宋体" w:eastAsia="宋体" w:cs="宋体"/>
                <w:bCs/>
                <w:sz w:val="24"/>
              </w:rPr>
              <w:t>将被否决。</w:t>
            </w:r>
          </w:p>
        </w:tc>
      </w:tr>
      <w:tr w14:paraId="4C4C5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05D6946B">
            <w:pPr>
              <w:pStyle w:val="32"/>
              <w:spacing w:line="360" w:lineRule="auto"/>
              <w:jc w:val="center"/>
              <w:rPr>
                <w:rFonts w:hint="eastAsia" w:ascii="宋体" w:hAnsi="宋体" w:eastAsia="宋体" w:cs="宋体"/>
                <w:b/>
                <w:kern w:val="0"/>
                <w:sz w:val="24"/>
                <w:lang w:eastAsia="zh-CN"/>
              </w:rPr>
            </w:pPr>
            <w:r>
              <w:rPr>
                <w:rFonts w:hint="eastAsia" w:ascii="宋体" w:hAnsi="宋体" w:eastAsia="宋体" w:cs="宋体"/>
                <w:b/>
                <w:kern w:val="0"/>
                <w:sz w:val="24"/>
                <w:highlight w:val="white"/>
              </w:rPr>
              <w:t>2</w:t>
            </w:r>
            <w:r>
              <w:rPr>
                <w:rFonts w:hint="eastAsia" w:ascii="宋体" w:hAnsi="宋体" w:eastAsia="宋体" w:cs="宋体"/>
                <w:b/>
                <w:kern w:val="0"/>
                <w:sz w:val="24"/>
                <w:highlight w:val="white"/>
                <w:lang w:val="en-US" w:eastAsia="zh-CN"/>
              </w:rPr>
              <w:t>3</w:t>
            </w:r>
          </w:p>
        </w:tc>
        <w:tc>
          <w:tcPr>
            <w:tcW w:w="2664" w:type="dxa"/>
            <w:tcBorders>
              <w:top w:val="single" w:color="auto" w:sz="4" w:space="0"/>
              <w:left w:val="single" w:color="auto" w:sz="4" w:space="0"/>
              <w:bottom w:val="single" w:color="auto" w:sz="4" w:space="0"/>
              <w:right w:val="single" w:color="auto" w:sz="4" w:space="0"/>
            </w:tcBorders>
            <w:vAlign w:val="center"/>
          </w:tcPr>
          <w:p w14:paraId="6CBBB628">
            <w:pPr>
              <w:pStyle w:val="32"/>
              <w:spacing w:line="360" w:lineRule="auto"/>
              <w:jc w:val="center"/>
              <w:rPr>
                <w:rFonts w:hint="eastAsia" w:ascii="宋体" w:hAnsi="宋体" w:eastAsia="宋体" w:cs="宋体"/>
                <w:b/>
                <w:kern w:val="0"/>
                <w:sz w:val="24"/>
              </w:rPr>
            </w:pPr>
            <w:r>
              <w:rPr>
                <w:rFonts w:hint="eastAsia" w:ascii="宋体" w:hAnsi="宋体" w:eastAsia="宋体" w:cs="宋体"/>
                <w:b/>
                <w:kern w:val="0"/>
                <w:sz w:val="24"/>
                <w:highlight w:val="white"/>
              </w:rPr>
              <w:t>评审方法</w:t>
            </w:r>
          </w:p>
        </w:tc>
        <w:tc>
          <w:tcPr>
            <w:tcW w:w="6518" w:type="dxa"/>
            <w:tcBorders>
              <w:top w:val="single" w:color="auto" w:sz="4" w:space="0"/>
              <w:left w:val="single" w:color="auto" w:sz="4" w:space="0"/>
              <w:bottom w:val="single" w:color="auto" w:sz="4" w:space="0"/>
              <w:right w:val="single" w:color="auto" w:sz="4" w:space="0"/>
            </w:tcBorders>
            <w:vAlign w:val="center"/>
          </w:tcPr>
          <w:p w14:paraId="328BC422">
            <w:pPr>
              <w:pStyle w:val="32"/>
              <w:spacing w:line="360" w:lineRule="auto"/>
              <w:rPr>
                <w:rFonts w:hint="eastAsia" w:ascii="宋体" w:hAnsi="宋体" w:eastAsia="宋体" w:cs="宋体"/>
                <w:kern w:val="0"/>
                <w:sz w:val="24"/>
              </w:rPr>
            </w:pPr>
            <w:bookmarkStart w:id="36" w:name="EB2e2814636ed449638e31aec0b86a9c79"/>
            <w:bookmarkEnd w:id="36"/>
            <w:r>
              <w:rPr>
                <w:rFonts w:hint="eastAsia" w:ascii="宋体" w:hAnsi="宋体" w:eastAsia="宋体" w:cs="宋体"/>
                <w:kern w:val="0"/>
                <w:sz w:val="24"/>
                <w:highlight w:val="white"/>
              </w:rPr>
              <w:t xml:space="preserve">☑资格后审         </w:t>
            </w:r>
            <w:bookmarkStart w:id="37" w:name="EB5195853e4e84408dabe7b38250913457"/>
            <w:bookmarkEnd w:id="37"/>
            <w:r>
              <w:rPr>
                <w:rFonts w:hint="eastAsia" w:ascii="宋体" w:hAnsi="宋体" w:eastAsia="宋体" w:cs="宋体"/>
                <w:kern w:val="0"/>
                <w:sz w:val="24"/>
                <w:highlight w:val="white"/>
              </w:rPr>
              <w:t>☐资格预审</w:t>
            </w:r>
          </w:p>
          <w:p w14:paraId="0DD56D72">
            <w:pPr>
              <w:pStyle w:val="32"/>
              <w:spacing w:line="360" w:lineRule="auto"/>
              <w:rPr>
                <w:rFonts w:hint="eastAsia" w:ascii="宋体" w:hAnsi="宋体" w:eastAsia="宋体" w:cs="宋体"/>
                <w:kern w:val="0"/>
                <w:sz w:val="24"/>
              </w:rPr>
            </w:pPr>
            <w:bookmarkStart w:id="38" w:name="EB5c39ed08c4e342aeacec8cbe6387f2ef"/>
            <w:bookmarkEnd w:id="38"/>
            <w:r>
              <w:rPr>
                <w:rFonts w:hint="eastAsia" w:ascii="宋体" w:hAnsi="宋体" w:eastAsia="宋体" w:cs="宋体"/>
                <w:kern w:val="0"/>
                <w:sz w:val="24"/>
                <w:highlight w:val="white"/>
              </w:rPr>
              <w:t xml:space="preserve">☐综合评分法       </w:t>
            </w:r>
            <w:bookmarkStart w:id="39" w:name="EB133c7794490f47f2984bbb8eeafc51a9"/>
            <w:bookmarkEnd w:id="39"/>
            <w:r>
              <w:rPr>
                <w:rFonts w:hint="eastAsia" w:ascii="宋体" w:hAnsi="宋体" w:eastAsia="宋体" w:cs="宋体"/>
                <w:kern w:val="0"/>
                <w:sz w:val="24"/>
                <w:highlight w:val="white"/>
              </w:rPr>
              <w:t>☑最低评标价法</w:t>
            </w:r>
          </w:p>
          <w:p w14:paraId="04AF80DC">
            <w:pPr>
              <w:pStyle w:val="32"/>
              <w:spacing w:line="360" w:lineRule="auto"/>
              <w:rPr>
                <w:rFonts w:hint="eastAsia" w:ascii="宋体" w:hAnsi="宋体" w:eastAsia="宋体" w:cs="宋体"/>
                <w:kern w:val="0"/>
                <w:sz w:val="24"/>
              </w:rPr>
            </w:pPr>
            <w:r>
              <w:rPr>
                <w:rFonts w:hint="eastAsia" w:ascii="宋体" w:hAnsi="宋体" w:eastAsia="宋体" w:cs="宋体"/>
                <w:kern w:val="0"/>
                <w:sz w:val="24"/>
                <w:highlight w:val="white"/>
              </w:rPr>
              <w:t>注：</w:t>
            </w:r>
          </w:p>
          <w:p w14:paraId="3FD985B5">
            <w:pPr>
              <w:pStyle w:val="32"/>
              <w:spacing w:line="360" w:lineRule="auto"/>
              <w:rPr>
                <w:rFonts w:hint="eastAsia" w:ascii="宋体" w:hAnsi="宋体" w:eastAsia="宋体" w:cs="宋体"/>
                <w:kern w:val="0"/>
                <w:sz w:val="24"/>
              </w:rPr>
            </w:pPr>
            <w:r>
              <w:rPr>
                <w:rFonts w:hint="eastAsia" w:ascii="宋体" w:hAnsi="宋体" w:eastAsia="宋体" w:cs="宋体"/>
                <w:sz w:val="24"/>
                <w:highlight w:val="white"/>
              </w:rPr>
              <w:t>1、最低评标价法，是指以价格为主要因素确定</w:t>
            </w:r>
            <w:r>
              <w:rPr>
                <w:rFonts w:hint="eastAsia" w:ascii="宋体" w:hAnsi="宋体" w:eastAsia="宋体" w:cs="宋体"/>
                <w:sz w:val="24"/>
                <w:highlight w:val="white"/>
                <w:lang w:val="en-US" w:eastAsia="zh-CN"/>
              </w:rPr>
              <w:t>成交</w:t>
            </w:r>
            <w:r>
              <w:rPr>
                <w:rFonts w:hint="eastAsia" w:ascii="宋体" w:hAnsi="宋体" w:eastAsia="宋体" w:cs="宋体"/>
                <w:sz w:val="24"/>
                <w:highlight w:val="white"/>
              </w:rPr>
              <w:t>供应商的评标方法，即在全部满足谈判文件实质性要求前提下，依据统一的价格要素评定最低报价，以提出最低报价的</w:t>
            </w:r>
            <w:r>
              <w:rPr>
                <w:rFonts w:hint="eastAsia" w:ascii="宋体" w:hAnsi="宋体" w:eastAsia="宋体" w:cs="宋体"/>
                <w:bCs/>
                <w:sz w:val="24"/>
              </w:rPr>
              <w:t>供应商</w:t>
            </w:r>
            <w:r>
              <w:rPr>
                <w:rFonts w:hint="eastAsia" w:ascii="宋体" w:hAnsi="宋体" w:eastAsia="宋体" w:cs="宋体"/>
                <w:sz w:val="24"/>
                <w:highlight w:val="white"/>
              </w:rPr>
              <w:t>作为</w:t>
            </w:r>
            <w:r>
              <w:rPr>
                <w:rFonts w:hint="eastAsia" w:ascii="宋体" w:hAnsi="宋体" w:eastAsia="宋体" w:cs="宋体"/>
                <w:sz w:val="24"/>
                <w:highlight w:val="white"/>
                <w:lang w:eastAsia="zh-CN"/>
              </w:rPr>
              <w:t>成交</w:t>
            </w:r>
            <w:r>
              <w:rPr>
                <w:rFonts w:hint="eastAsia" w:ascii="宋体" w:hAnsi="宋体" w:eastAsia="宋体" w:cs="宋体"/>
                <w:sz w:val="24"/>
                <w:highlight w:val="white"/>
              </w:rPr>
              <w:t>候选供应商或者</w:t>
            </w:r>
            <w:r>
              <w:rPr>
                <w:rFonts w:hint="eastAsia" w:ascii="宋体" w:hAnsi="宋体" w:eastAsia="宋体" w:cs="宋体"/>
                <w:sz w:val="24"/>
                <w:highlight w:val="white"/>
                <w:lang w:eastAsia="zh-CN"/>
              </w:rPr>
              <w:t>成交</w:t>
            </w:r>
            <w:r>
              <w:rPr>
                <w:rFonts w:hint="eastAsia" w:ascii="宋体" w:hAnsi="宋体" w:eastAsia="宋体" w:cs="宋体"/>
                <w:sz w:val="24"/>
                <w:highlight w:val="white"/>
              </w:rPr>
              <w:t>供应商的评标方法</w:t>
            </w:r>
            <w:r>
              <w:rPr>
                <w:rFonts w:hint="eastAsia" w:ascii="宋体" w:hAnsi="宋体" w:eastAsia="宋体" w:cs="宋体"/>
                <w:sz w:val="24"/>
                <w:highlight w:val="white"/>
                <w:lang w:eastAsia="zh-CN"/>
              </w:rPr>
              <w:t>，</w:t>
            </w:r>
            <w:r>
              <w:rPr>
                <w:rFonts w:hint="eastAsia" w:ascii="宋体" w:hAnsi="宋体" w:eastAsia="宋体" w:cs="宋体"/>
                <w:b/>
                <w:bCs/>
                <w:color w:val="auto"/>
                <w:spacing w:val="10"/>
                <w:sz w:val="24"/>
                <w:szCs w:val="24"/>
                <w:highlight w:val="none"/>
              </w:rPr>
              <w:t>落实政府采购政策进行价格调整的，以调整后的价格</w:t>
            </w:r>
            <w:r>
              <w:rPr>
                <w:rFonts w:hint="eastAsia" w:ascii="宋体" w:hAnsi="宋体" w:eastAsia="宋体" w:cs="宋体"/>
                <w:b/>
                <w:bCs/>
                <w:color w:val="auto"/>
                <w:spacing w:val="10"/>
                <w:sz w:val="24"/>
                <w:szCs w:val="24"/>
                <w:highlight w:val="none"/>
                <w:lang w:eastAsia="zh-CN"/>
              </w:rPr>
              <w:t>作为最终评审报价</w:t>
            </w:r>
            <w:r>
              <w:rPr>
                <w:rFonts w:hint="eastAsia" w:ascii="宋体" w:hAnsi="宋体" w:eastAsia="宋体" w:cs="宋体"/>
                <w:color w:val="auto"/>
                <w:spacing w:val="10"/>
                <w:sz w:val="24"/>
                <w:szCs w:val="24"/>
                <w:highlight w:val="none"/>
                <w:lang w:eastAsia="zh-CN"/>
              </w:rPr>
              <w:t>，</w:t>
            </w:r>
            <w:r>
              <w:rPr>
                <w:rFonts w:hint="eastAsia" w:ascii="宋体" w:hAnsi="宋体" w:eastAsia="宋体" w:cs="宋体"/>
                <w:color w:val="auto"/>
                <w:spacing w:val="10"/>
                <w:sz w:val="24"/>
                <w:szCs w:val="24"/>
                <w:highlight w:val="none"/>
                <w:lang w:val="en-US" w:eastAsia="zh-CN"/>
              </w:rPr>
              <w:t>谈判响应</w:t>
            </w:r>
            <w:r>
              <w:rPr>
                <w:rFonts w:hint="eastAsia" w:ascii="宋体" w:hAnsi="宋体" w:eastAsia="宋体" w:cs="宋体"/>
                <w:sz w:val="24"/>
                <w:highlight w:val="white"/>
              </w:rPr>
              <w:t>报价相同的，按技术指标优劣顺序排列，技术指标较优的一方为成交人。</w:t>
            </w:r>
          </w:p>
        </w:tc>
      </w:tr>
      <w:tr w14:paraId="75D0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525C05F9">
            <w:pPr>
              <w:pStyle w:val="32"/>
              <w:spacing w:line="360" w:lineRule="auto"/>
              <w:jc w:val="center"/>
              <w:rPr>
                <w:rFonts w:hint="eastAsia" w:ascii="宋体" w:hAnsi="宋体" w:eastAsia="宋体" w:cs="宋体"/>
                <w:b/>
                <w:kern w:val="0"/>
                <w:sz w:val="24"/>
                <w:lang w:eastAsia="zh-CN"/>
              </w:rPr>
            </w:pPr>
            <w:r>
              <w:rPr>
                <w:rFonts w:hint="eastAsia" w:ascii="宋体" w:hAnsi="宋体" w:eastAsia="宋体" w:cs="宋体"/>
                <w:b/>
                <w:kern w:val="0"/>
                <w:sz w:val="24"/>
                <w:highlight w:val="white"/>
              </w:rPr>
              <w:t>2</w:t>
            </w:r>
            <w:r>
              <w:rPr>
                <w:rFonts w:hint="eastAsia" w:ascii="宋体" w:hAnsi="宋体" w:eastAsia="宋体" w:cs="宋体"/>
                <w:b/>
                <w:kern w:val="0"/>
                <w:sz w:val="24"/>
                <w:highlight w:val="white"/>
                <w:lang w:val="en-US" w:eastAsia="zh-CN"/>
              </w:rPr>
              <w:t>4</w:t>
            </w:r>
          </w:p>
        </w:tc>
        <w:tc>
          <w:tcPr>
            <w:tcW w:w="2664" w:type="dxa"/>
            <w:tcBorders>
              <w:top w:val="single" w:color="auto" w:sz="4" w:space="0"/>
              <w:left w:val="single" w:color="auto" w:sz="4" w:space="0"/>
              <w:bottom w:val="single" w:color="auto" w:sz="4" w:space="0"/>
              <w:right w:val="single" w:color="auto" w:sz="4" w:space="0"/>
            </w:tcBorders>
            <w:vAlign w:val="center"/>
          </w:tcPr>
          <w:p w14:paraId="3D24F62C">
            <w:pPr>
              <w:pStyle w:val="32"/>
              <w:spacing w:line="360" w:lineRule="auto"/>
              <w:jc w:val="center"/>
              <w:rPr>
                <w:rFonts w:hint="eastAsia" w:ascii="宋体" w:hAnsi="宋体" w:eastAsia="宋体" w:cs="宋体"/>
                <w:b/>
                <w:kern w:val="0"/>
                <w:sz w:val="24"/>
              </w:rPr>
            </w:pPr>
            <w:r>
              <w:rPr>
                <w:rFonts w:hint="eastAsia" w:ascii="宋体" w:hAnsi="宋体" w:eastAsia="宋体" w:cs="宋体"/>
                <w:b/>
                <w:kern w:val="0"/>
                <w:sz w:val="24"/>
                <w:highlight w:val="white"/>
              </w:rPr>
              <w:t>代理服务费</w:t>
            </w:r>
          </w:p>
        </w:tc>
        <w:tc>
          <w:tcPr>
            <w:tcW w:w="6518" w:type="dxa"/>
            <w:tcBorders>
              <w:top w:val="single" w:color="auto" w:sz="4" w:space="0"/>
              <w:left w:val="single" w:color="auto" w:sz="4" w:space="0"/>
              <w:bottom w:val="single" w:color="auto" w:sz="4" w:space="0"/>
              <w:right w:val="single" w:color="auto" w:sz="4" w:space="0"/>
            </w:tcBorders>
            <w:vAlign w:val="center"/>
          </w:tcPr>
          <w:p w14:paraId="0342C182">
            <w:pPr>
              <w:pStyle w:val="32"/>
              <w:spacing w:line="360" w:lineRule="auto"/>
              <w:rPr>
                <w:rFonts w:hint="eastAsia" w:ascii="宋体" w:hAnsi="宋体" w:eastAsia="宋体" w:cs="宋体"/>
                <w:sz w:val="24"/>
              </w:rPr>
            </w:pPr>
            <w:bookmarkStart w:id="40" w:name="EBab54cac318db41e28e6dac8386188fc3"/>
            <w:bookmarkEnd w:id="40"/>
            <w:r>
              <w:rPr>
                <w:rFonts w:hint="eastAsia" w:ascii="宋体" w:hAnsi="宋体" w:eastAsia="宋体" w:cs="宋体"/>
                <w:sz w:val="24"/>
                <w:highlight w:val="white"/>
              </w:rPr>
              <w:t>☐不缴纳</w:t>
            </w:r>
          </w:p>
          <w:p w14:paraId="16B7C3A8">
            <w:pPr>
              <w:pStyle w:val="32"/>
              <w:spacing w:line="360" w:lineRule="auto"/>
              <w:rPr>
                <w:rFonts w:hint="eastAsia" w:ascii="宋体" w:hAnsi="宋体" w:eastAsia="宋体" w:cs="宋体"/>
                <w:sz w:val="24"/>
              </w:rPr>
            </w:pPr>
            <w:r>
              <w:rPr>
                <w:rFonts w:hint="eastAsia" w:ascii="宋体" w:hAnsi="宋体" w:eastAsia="宋体" w:cs="宋体"/>
                <w:kern w:val="0"/>
                <w:sz w:val="24"/>
                <w:highlight w:val="white"/>
              </w:rPr>
              <w:t>☑</w:t>
            </w:r>
            <w:r>
              <w:rPr>
                <w:rFonts w:hint="eastAsia" w:ascii="宋体" w:hAnsi="宋体" w:eastAsia="宋体" w:cs="宋体"/>
                <w:sz w:val="24"/>
                <w:highlight w:val="white"/>
              </w:rPr>
              <w:t>缴纳</w:t>
            </w:r>
          </w:p>
          <w:p w14:paraId="5540D7BB">
            <w:pPr>
              <w:pStyle w:val="35"/>
              <w:spacing w:line="360" w:lineRule="auto"/>
              <w:rPr>
                <w:rFonts w:hint="eastAsia" w:ascii="宋体" w:hAnsi="宋体" w:eastAsia="宋体" w:cs="宋体"/>
                <w:kern w:val="0"/>
                <w:sz w:val="24"/>
              </w:rPr>
            </w:pPr>
            <w:r>
              <w:rPr>
                <w:rFonts w:hint="eastAsia" w:ascii="宋体" w:hAnsi="宋体" w:eastAsia="宋体" w:cs="宋体"/>
                <w:sz w:val="24"/>
                <w:highlight w:val="white"/>
              </w:rPr>
              <w:t>交纳时间：</w:t>
            </w:r>
            <w:bookmarkStart w:id="41" w:name="EB80018a400e2944cca35737b83cee6afa"/>
            <w:r>
              <w:rPr>
                <w:rFonts w:hint="eastAsia" w:ascii="宋体" w:hAnsi="宋体" w:eastAsia="宋体" w:cs="宋体"/>
                <w:sz w:val="24"/>
                <w:highlight w:val="white"/>
              </w:rPr>
              <w:t>成交通知书发出时</w:t>
            </w:r>
            <w:bookmarkEnd w:id="41"/>
          </w:p>
          <w:p w14:paraId="6058DFED">
            <w:pPr>
              <w:pStyle w:val="35"/>
              <w:spacing w:line="360" w:lineRule="auto"/>
              <w:rPr>
                <w:rFonts w:hint="default" w:ascii="宋体" w:hAnsi="宋体" w:eastAsia="宋体" w:cs="宋体"/>
                <w:sz w:val="24"/>
                <w:lang w:val="en-US" w:eastAsia="zh-CN"/>
              </w:rPr>
            </w:pPr>
            <w:r>
              <w:rPr>
                <w:rFonts w:hint="eastAsia" w:ascii="宋体" w:hAnsi="宋体" w:eastAsia="宋体" w:cs="宋体"/>
                <w:kern w:val="0"/>
                <w:sz w:val="24"/>
                <w:highlight w:val="white"/>
              </w:rPr>
              <w:t>交纳金额：根据本公司与采购人的代理协议约定，采购代理服务费由成交人向代理机构支付，采购代理服务费以成交金额作为收费的计算基数，收取标准为</w:t>
            </w:r>
            <w:r>
              <w:rPr>
                <w:rFonts w:hint="eastAsia" w:ascii="宋体" w:hAnsi="宋体" w:cs="宋体"/>
                <w:kern w:val="0"/>
                <w:sz w:val="24"/>
                <w:highlight w:val="white"/>
                <w:lang w:val="en-US" w:eastAsia="zh-CN"/>
              </w:rPr>
              <w:t>1.5</w:t>
            </w:r>
            <w:r>
              <w:rPr>
                <w:rFonts w:hint="eastAsia" w:ascii="宋体" w:hAnsi="宋体" w:eastAsia="宋体" w:cs="宋体"/>
                <w:kern w:val="0"/>
                <w:sz w:val="24"/>
                <w:highlight w:val="white"/>
              </w:rPr>
              <w:t>%</w:t>
            </w:r>
            <w:r>
              <w:rPr>
                <w:rFonts w:hint="eastAsia" w:ascii="宋体" w:hAnsi="宋体" w:cs="宋体"/>
                <w:kern w:val="0"/>
                <w:sz w:val="24"/>
                <w:highlight w:val="white"/>
                <w:lang w:eastAsia="zh-CN"/>
              </w:rPr>
              <w:t>（</w:t>
            </w:r>
            <w:r>
              <w:rPr>
                <w:rFonts w:hint="eastAsia" w:ascii="宋体" w:hAnsi="宋体" w:cs="宋体"/>
                <w:kern w:val="0"/>
                <w:sz w:val="24"/>
                <w:highlight w:val="white"/>
                <w:lang w:val="en-US" w:eastAsia="zh-CN"/>
              </w:rPr>
              <w:t>代理服务费不足3000元按照3000元收取）</w:t>
            </w:r>
          </w:p>
        </w:tc>
      </w:tr>
      <w:tr w14:paraId="58096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5C85946A">
            <w:pPr>
              <w:pStyle w:val="32"/>
              <w:spacing w:line="360" w:lineRule="auto"/>
              <w:jc w:val="center"/>
              <w:rPr>
                <w:rFonts w:hint="eastAsia" w:ascii="宋体" w:hAnsi="宋体" w:eastAsia="宋体" w:cs="宋体"/>
                <w:b/>
                <w:kern w:val="0"/>
                <w:sz w:val="24"/>
                <w:lang w:eastAsia="zh-CN"/>
              </w:rPr>
            </w:pPr>
            <w:r>
              <w:rPr>
                <w:rFonts w:hint="eastAsia" w:ascii="宋体" w:hAnsi="宋体" w:eastAsia="宋体" w:cs="宋体"/>
                <w:b/>
                <w:kern w:val="0"/>
                <w:sz w:val="24"/>
                <w:highlight w:val="white"/>
              </w:rPr>
              <w:t>2</w:t>
            </w:r>
            <w:r>
              <w:rPr>
                <w:rFonts w:hint="eastAsia" w:ascii="宋体" w:hAnsi="宋体" w:eastAsia="宋体" w:cs="宋体"/>
                <w:b/>
                <w:kern w:val="0"/>
                <w:sz w:val="24"/>
                <w:highlight w:val="white"/>
                <w:lang w:val="en-US" w:eastAsia="zh-CN"/>
              </w:rPr>
              <w:t>5</w:t>
            </w:r>
          </w:p>
        </w:tc>
        <w:tc>
          <w:tcPr>
            <w:tcW w:w="2664" w:type="dxa"/>
            <w:tcBorders>
              <w:top w:val="single" w:color="auto" w:sz="4" w:space="0"/>
              <w:left w:val="single" w:color="auto" w:sz="4" w:space="0"/>
              <w:bottom w:val="single" w:color="auto" w:sz="4" w:space="0"/>
              <w:right w:val="single" w:color="auto" w:sz="4" w:space="0"/>
            </w:tcBorders>
            <w:vAlign w:val="center"/>
          </w:tcPr>
          <w:p w14:paraId="4DF502DC">
            <w:pPr>
              <w:pStyle w:val="32"/>
              <w:spacing w:line="360" w:lineRule="auto"/>
              <w:jc w:val="center"/>
              <w:rPr>
                <w:rFonts w:hint="eastAsia" w:ascii="宋体" w:hAnsi="宋体" w:eastAsia="宋体" w:cs="宋体"/>
                <w:b/>
                <w:kern w:val="0"/>
                <w:sz w:val="24"/>
              </w:rPr>
            </w:pPr>
            <w:r>
              <w:rPr>
                <w:rFonts w:hint="eastAsia" w:ascii="宋体" w:hAnsi="宋体" w:eastAsia="宋体" w:cs="宋体"/>
                <w:b/>
                <w:kern w:val="0"/>
                <w:sz w:val="24"/>
                <w:highlight w:val="white"/>
              </w:rPr>
              <w:t>场地服务费</w:t>
            </w:r>
          </w:p>
        </w:tc>
        <w:tc>
          <w:tcPr>
            <w:tcW w:w="6518" w:type="dxa"/>
            <w:tcBorders>
              <w:top w:val="single" w:color="auto" w:sz="4" w:space="0"/>
              <w:left w:val="single" w:color="auto" w:sz="4" w:space="0"/>
              <w:bottom w:val="single" w:color="auto" w:sz="4" w:space="0"/>
              <w:right w:val="single" w:color="auto" w:sz="4" w:space="0"/>
            </w:tcBorders>
            <w:vAlign w:val="center"/>
          </w:tcPr>
          <w:p w14:paraId="367BBE1C">
            <w:pPr>
              <w:pStyle w:val="32"/>
              <w:spacing w:line="360" w:lineRule="auto"/>
              <w:rPr>
                <w:rFonts w:hint="eastAsia" w:ascii="宋体" w:hAnsi="宋体" w:eastAsia="宋体" w:cs="宋体"/>
                <w:sz w:val="24"/>
              </w:rPr>
            </w:pPr>
            <w:bookmarkStart w:id="42" w:name="EB7dfe3b1190d64d418e01d0e21f4920d5"/>
            <w:bookmarkEnd w:id="42"/>
            <w:r>
              <w:rPr>
                <w:rFonts w:hint="eastAsia" w:ascii="宋体" w:hAnsi="宋体" w:eastAsia="宋体" w:cs="宋体"/>
                <w:kern w:val="0"/>
                <w:sz w:val="24"/>
                <w:highlight w:val="white"/>
              </w:rPr>
              <w:t>☑</w:t>
            </w:r>
            <w:r>
              <w:rPr>
                <w:rFonts w:hint="eastAsia" w:ascii="宋体" w:hAnsi="宋体" w:eastAsia="宋体" w:cs="宋体"/>
                <w:sz w:val="24"/>
                <w:highlight w:val="white"/>
              </w:rPr>
              <w:t>不缴纳</w:t>
            </w:r>
          </w:p>
          <w:p w14:paraId="366EB360">
            <w:pPr>
              <w:pStyle w:val="32"/>
              <w:spacing w:line="360" w:lineRule="auto"/>
              <w:rPr>
                <w:rFonts w:hint="eastAsia" w:ascii="宋体" w:hAnsi="宋体" w:eastAsia="宋体" w:cs="宋体"/>
                <w:sz w:val="24"/>
              </w:rPr>
            </w:pPr>
            <w:bookmarkStart w:id="43" w:name="EBd65399319f7a40bbb8fb3e004ca97d66"/>
            <w:bookmarkEnd w:id="43"/>
            <w:r>
              <w:rPr>
                <w:rFonts w:hint="eastAsia" w:ascii="宋体" w:hAnsi="宋体" w:eastAsia="宋体" w:cs="宋体"/>
                <w:sz w:val="24"/>
                <w:highlight w:val="white"/>
              </w:rPr>
              <w:t>☐缴纳</w:t>
            </w:r>
          </w:p>
        </w:tc>
      </w:tr>
      <w:tr w14:paraId="18BB3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2F0C82C3">
            <w:pPr>
              <w:pStyle w:val="32"/>
              <w:spacing w:line="360" w:lineRule="auto"/>
              <w:jc w:val="center"/>
              <w:rPr>
                <w:rFonts w:hint="default" w:ascii="宋体" w:hAnsi="宋体" w:eastAsia="宋体" w:cs="宋体"/>
                <w:b/>
                <w:kern w:val="0"/>
                <w:sz w:val="24"/>
                <w:lang w:val="en-US" w:eastAsia="zh-CN"/>
              </w:rPr>
            </w:pPr>
            <w:r>
              <w:rPr>
                <w:rFonts w:hint="eastAsia" w:ascii="宋体" w:hAnsi="宋体" w:eastAsia="宋体" w:cs="宋体"/>
                <w:b/>
                <w:kern w:val="0"/>
                <w:sz w:val="24"/>
                <w:highlight w:val="white"/>
                <w:lang w:val="en-US" w:eastAsia="zh-CN"/>
              </w:rPr>
              <w:t>26</w:t>
            </w:r>
          </w:p>
        </w:tc>
        <w:tc>
          <w:tcPr>
            <w:tcW w:w="2664" w:type="dxa"/>
            <w:tcBorders>
              <w:top w:val="single" w:color="auto" w:sz="4" w:space="0"/>
              <w:left w:val="single" w:color="auto" w:sz="4" w:space="0"/>
              <w:bottom w:val="single" w:color="auto" w:sz="4" w:space="0"/>
              <w:right w:val="single" w:color="auto" w:sz="4" w:space="0"/>
            </w:tcBorders>
            <w:vAlign w:val="center"/>
          </w:tcPr>
          <w:p w14:paraId="1A33843F">
            <w:pPr>
              <w:pStyle w:val="32"/>
              <w:spacing w:line="360" w:lineRule="auto"/>
              <w:jc w:val="center"/>
              <w:rPr>
                <w:rFonts w:hint="eastAsia" w:ascii="宋体" w:hAnsi="宋体" w:eastAsia="宋体" w:cs="宋体"/>
                <w:b/>
                <w:kern w:val="0"/>
                <w:sz w:val="24"/>
              </w:rPr>
            </w:pPr>
            <w:r>
              <w:rPr>
                <w:rFonts w:hint="eastAsia" w:ascii="宋体" w:hAnsi="宋体" w:eastAsia="宋体" w:cs="宋体"/>
                <w:b/>
                <w:kern w:val="0"/>
                <w:sz w:val="24"/>
                <w:highlight w:val="white"/>
              </w:rPr>
              <w:t>合同公证费</w:t>
            </w:r>
          </w:p>
        </w:tc>
        <w:tc>
          <w:tcPr>
            <w:tcW w:w="6518" w:type="dxa"/>
            <w:tcBorders>
              <w:top w:val="single" w:color="auto" w:sz="4" w:space="0"/>
              <w:left w:val="single" w:color="auto" w:sz="4" w:space="0"/>
              <w:bottom w:val="single" w:color="auto" w:sz="4" w:space="0"/>
              <w:right w:val="single" w:color="auto" w:sz="4" w:space="0"/>
            </w:tcBorders>
            <w:vAlign w:val="center"/>
          </w:tcPr>
          <w:p w14:paraId="0F57A342">
            <w:pPr>
              <w:pStyle w:val="32"/>
              <w:spacing w:line="360" w:lineRule="auto"/>
              <w:rPr>
                <w:rFonts w:hint="eastAsia" w:ascii="宋体" w:hAnsi="宋体" w:eastAsia="宋体" w:cs="宋体"/>
                <w:sz w:val="24"/>
              </w:rPr>
            </w:pPr>
            <w:bookmarkStart w:id="44" w:name="EBc76fa37fba724b3f91217c2faa8df057"/>
            <w:bookmarkEnd w:id="44"/>
            <w:r>
              <w:rPr>
                <w:rFonts w:hint="eastAsia" w:ascii="宋体" w:hAnsi="宋体" w:eastAsia="宋体" w:cs="宋体"/>
                <w:kern w:val="0"/>
                <w:sz w:val="24"/>
                <w:highlight w:val="white"/>
              </w:rPr>
              <w:t>☑</w:t>
            </w:r>
            <w:r>
              <w:rPr>
                <w:rFonts w:hint="eastAsia" w:ascii="宋体" w:hAnsi="宋体" w:eastAsia="宋体" w:cs="宋体"/>
                <w:sz w:val="24"/>
                <w:highlight w:val="white"/>
              </w:rPr>
              <w:t>不缴纳</w:t>
            </w:r>
          </w:p>
          <w:p w14:paraId="416B94F4">
            <w:pPr>
              <w:pStyle w:val="32"/>
              <w:spacing w:line="360" w:lineRule="auto"/>
              <w:rPr>
                <w:rFonts w:hint="eastAsia" w:ascii="宋体" w:hAnsi="宋体" w:eastAsia="宋体" w:cs="宋体"/>
                <w:sz w:val="24"/>
              </w:rPr>
            </w:pPr>
            <w:r>
              <w:rPr>
                <w:rFonts w:hint="eastAsia" w:ascii="宋体" w:hAnsi="宋体" w:eastAsia="宋体" w:cs="宋体"/>
                <w:kern w:val="0"/>
                <w:sz w:val="24"/>
                <w:highlight w:val="white"/>
              </w:rPr>
              <w:t>□</w:t>
            </w:r>
            <w:r>
              <w:rPr>
                <w:rFonts w:hint="eastAsia" w:ascii="宋体" w:hAnsi="宋体" w:eastAsia="宋体" w:cs="宋体"/>
                <w:sz w:val="24"/>
                <w:highlight w:val="white"/>
              </w:rPr>
              <w:t>缴纳</w:t>
            </w:r>
          </w:p>
          <w:p w14:paraId="7906A595">
            <w:pPr>
              <w:pStyle w:val="32"/>
              <w:spacing w:line="360" w:lineRule="auto"/>
              <w:rPr>
                <w:rFonts w:hint="eastAsia" w:ascii="宋体" w:hAnsi="宋体" w:eastAsia="宋体" w:cs="宋体"/>
                <w:kern w:val="0"/>
                <w:sz w:val="24"/>
              </w:rPr>
            </w:pPr>
            <w:r>
              <w:rPr>
                <w:rFonts w:hint="eastAsia" w:ascii="宋体" w:hAnsi="宋体" w:eastAsia="宋体" w:cs="宋体"/>
                <w:kern w:val="0"/>
                <w:sz w:val="24"/>
                <w:highlight w:val="white"/>
              </w:rPr>
              <w:t>金额：</w:t>
            </w:r>
            <w:bookmarkStart w:id="45" w:name="EB486cb0ff06a64e9a9f6d6a7786f604ae"/>
            <w:bookmarkEnd w:id="45"/>
            <w:r>
              <w:rPr>
                <w:rFonts w:hint="eastAsia" w:ascii="宋体" w:hAnsi="宋体" w:eastAsia="宋体" w:cs="宋体"/>
                <w:kern w:val="0"/>
                <w:sz w:val="24"/>
                <w:highlight w:val="white"/>
                <w:u w:val="single"/>
              </w:rPr>
              <w:t xml:space="preserve">             </w:t>
            </w:r>
          </w:p>
          <w:p w14:paraId="0C26112F">
            <w:pPr>
              <w:pStyle w:val="32"/>
              <w:spacing w:line="360" w:lineRule="auto"/>
              <w:rPr>
                <w:rFonts w:hint="eastAsia" w:ascii="宋体" w:hAnsi="宋体" w:eastAsia="宋体" w:cs="宋体"/>
                <w:kern w:val="0"/>
                <w:sz w:val="24"/>
              </w:rPr>
            </w:pPr>
            <w:r>
              <w:rPr>
                <w:rFonts w:hint="eastAsia" w:ascii="宋体" w:hAnsi="宋体" w:eastAsia="宋体" w:cs="宋体"/>
                <w:kern w:val="0"/>
                <w:sz w:val="24"/>
                <w:highlight w:val="white"/>
              </w:rPr>
              <w:t>成交人于获取成交通知书前向公证处交纳。</w:t>
            </w:r>
          </w:p>
        </w:tc>
      </w:tr>
      <w:tr w14:paraId="4C111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0E1FFC52">
            <w:pPr>
              <w:pStyle w:val="32"/>
              <w:spacing w:line="360" w:lineRule="auto"/>
              <w:jc w:val="center"/>
              <w:rPr>
                <w:rFonts w:hint="eastAsia" w:ascii="宋体" w:hAnsi="宋体" w:eastAsia="宋体" w:cs="宋体"/>
                <w:b/>
                <w:kern w:val="0"/>
                <w:sz w:val="24"/>
                <w:lang w:eastAsia="zh-CN"/>
              </w:rPr>
            </w:pPr>
            <w:r>
              <w:rPr>
                <w:rFonts w:hint="eastAsia" w:ascii="宋体" w:hAnsi="宋体" w:eastAsia="宋体" w:cs="宋体"/>
                <w:b/>
                <w:kern w:val="0"/>
                <w:sz w:val="24"/>
                <w:highlight w:val="white"/>
              </w:rPr>
              <w:t>2</w:t>
            </w:r>
            <w:r>
              <w:rPr>
                <w:rFonts w:hint="eastAsia" w:ascii="宋体" w:hAnsi="宋体" w:eastAsia="宋体" w:cs="宋体"/>
                <w:b/>
                <w:kern w:val="0"/>
                <w:sz w:val="24"/>
                <w:highlight w:val="white"/>
                <w:lang w:val="en-US" w:eastAsia="zh-CN"/>
              </w:rPr>
              <w:t>7</w:t>
            </w:r>
          </w:p>
        </w:tc>
        <w:tc>
          <w:tcPr>
            <w:tcW w:w="2664" w:type="dxa"/>
            <w:tcBorders>
              <w:top w:val="single" w:color="auto" w:sz="4" w:space="0"/>
              <w:left w:val="single" w:color="auto" w:sz="4" w:space="0"/>
              <w:bottom w:val="single" w:color="auto" w:sz="4" w:space="0"/>
              <w:right w:val="single" w:color="auto" w:sz="4" w:space="0"/>
            </w:tcBorders>
            <w:vAlign w:val="center"/>
          </w:tcPr>
          <w:p w14:paraId="7B733DF3">
            <w:pPr>
              <w:pStyle w:val="32"/>
              <w:spacing w:line="360" w:lineRule="auto"/>
              <w:jc w:val="center"/>
              <w:rPr>
                <w:rFonts w:hint="eastAsia" w:ascii="宋体" w:hAnsi="宋体" w:eastAsia="宋体" w:cs="宋体"/>
                <w:b/>
                <w:kern w:val="0"/>
                <w:sz w:val="24"/>
              </w:rPr>
            </w:pPr>
            <w:r>
              <w:rPr>
                <w:rFonts w:hint="eastAsia" w:ascii="宋体" w:hAnsi="宋体" w:eastAsia="宋体" w:cs="宋体"/>
                <w:b/>
                <w:kern w:val="0"/>
                <w:sz w:val="24"/>
                <w:highlight w:val="white"/>
              </w:rPr>
              <w:t>争议的解决</w:t>
            </w:r>
          </w:p>
        </w:tc>
        <w:tc>
          <w:tcPr>
            <w:tcW w:w="6518" w:type="dxa"/>
            <w:tcBorders>
              <w:top w:val="single" w:color="auto" w:sz="4" w:space="0"/>
              <w:left w:val="single" w:color="auto" w:sz="4" w:space="0"/>
              <w:bottom w:val="single" w:color="auto" w:sz="4" w:space="0"/>
              <w:right w:val="single" w:color="auto" w:sz="4" w:space="0"/>
            </w:tcBorders>
            <w:vAlign w:val="center"/>
          </w:tcPr>
          <w:p w14:paraId="2578BADE">
            <w:pPr>
              <w:pStyle w:val="32"/>
              <w:spacing w:line="360" w:lineRule="auto"/>
              <w:rPr>
                <w:rFonts w:hint="eastAsia" w:ascii="宋体" w:hAnsi="宋体" w:eastAsia="宋体" w:cs="宋体"/>
                <w:sz w:val="24"/>
              </w:rPr>
            </w:pPr>
            <w:bookmarkStart w:id="46" w:name="EB99761000dd4b46ac86a3f3daaf46418a"/>
            <w:bookmarkEnd w:id="46"/>
            <w:r>
              <w:rPr>
                <w:rFonts w:hint="eastAsia" w:ascii="宋体" w:hAnsi="宋体" w:eastAsia="宋体" w:cs="宋体"/>
                <w:kern w:val="0"/>
                <w:sz w:val="24"/>
                <w:highlight w:val="white"/>
                <w:u w:val="single"/>
              </w:rPr>
              <w:t xml:space="preserve">  1双方通过协商、调解；2、通过仲裁解决；3、通过甲方所在地诉讼解决。   </w:t>
            </w:r>
          </w:p>
        </w:tc>
      </w:tr>
      <w:tr w14:paraId="6D3C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6166E3E8">
            <w:pPr>
              <w:pStyle w:val="32"/>
              <w:spacing w:line="360" w:lineRule="auto"/>
              <w:jc w:val="center"/>
              <w:rPr>
                <w:rFonts w:hint="eastAsia" w:ascii="宋体" w:hAnsi="宋体" w:eastAsia="宋体" w:cs="宋体"/>
                <w:b/>
                <w:kern w:val="0"/>
                <w:sz w:val="24"/>
                <w:lang w:eastAsia="zh-CN"/>
              </w:rPr>
            </w:pPr>
            <w:r>
              <w:rPr>
                <w:rFonts w:hint="eastAsia" w:ascii="宋体" w:hAnsi="宋体" w:eastAsia="宋体" w:cs="宋体"/>
                <w:b/>
                <w:kern w:val="0"/>
                <w:sz w:val="24"/>
                <w:highlight w:val="white"/>
              </w:rPr>
              <w:t>2</w:t>
            </w:r>
            <w:r>
              <w:rPr>
                <w:rFonts w:hint="eastAsia" w:ascii="宋体" w:hAnsi="宋体" w:eastAsia="宋体" w:cs="宋体"/>
                <w:b/>
                <w:kern w:val="0"/>
                <w:sz w:val="24"/>
                <w:highlight w:val="white"/>
                <w:lang w:val="en-US" w:eastAsia="zh-CN"/>
              </w:rPr>
              <w:t>8</w:t>
            </w:r>
          </w:p>
        </w:tc>
        <w:tc>
          <w:tcPr>
            <w:tcW w:w="2664" w:type="dxa"/>
            <w:tcBorders>
              <w:top w:val="single" w:color="auto" w:sz="4" w:space="0"/>
              <w:left w:val="single" w:color="auto" w:sz="4" w:space="0"/>
              <w:bottom w:val="single" w:color="auto" w:sz="4" w:space="0"/>
              <w:right w:val="single" w:color="auto" w:sz="4" w:space="0"/>
            </w:tcBorders>
            <w:vAlign w:val="center"/>
          </w:tcPr>
          <w:p w14:paraId="55822F73">
            <w:pPr>
              <w:pStyle w:val="32"/>
              <w:spacing w:line="360" w:lineRule="auto"/>
              <w:jc w:val="center"/>
              <w:rPr>
                <w:rFonts w:hint="eastAsia" w:ascii="宋体" w:hAnsi="宋体" w:eastAsia="宋体" w:cs="宋体"/>
                <w:b/>
                <w:kern w:val="0"/>
                <w:sz w:val="24"/>
              </w:rPr>
            </w:pPr>
            <w:r>
              <w:rPr>
                <w:rFonts w:hint="eastAsia" w:ascii="宋体" w:hAnsi="宋体" w:eastAsia="宋体" w:cs="宋体"/>
                <w:b/>
                <w:kern w:val="0"/>
                <w:sz w:val="24"/>
                <w:highlight w:val="white"/>
              </w:rPr>
              <w:t>现场陈述</w:t>
            </w:r>
          </w:p>
        </w:tc>
        <w:tc>
          <w:tcPr>
            <w:tcW w:w="6518" w:type="dxa"/>
            <w:tcBorders>
              <w:top w:val="single" w:color="auto" w:sz="4" w:space="0"/>
              <w:left w:val="single" w:color="auto" w:sz="4" w:space="0"/>
              <w:bottom w:val="single" w:color="auto" w:sz="4" w:space="0"/>
              <w:right w:val="single" w:color="auto" w:sz="4" w:space="0"/>
            </w:tcBorders>
            <w:vAlign w:val="center"/>
          </w:tcPr>
          <w:p w14:paraId="0B8BA749">
            <w:pPr>
              <w:pStyle w:val="32"/>
              <w:spacing w:line="360" w:lineRule="auto"/>
              <w:rPr>
                <w:rFonts w:hint="eastAsia" w:ascii="宋体" w:hAnsi="宋体" w:eastAsia="宋体" w:cs="宋体"/>
                <w:sz w:val="24"/>
              </w:rPr>
            </w:pPr>
            <w:bookmarkStart w:id="47" w:name="EBb04aba7a60c0423082f0862a0509ef85"/>
            <w:bookmarkEnd w:id="47"/>
            <w:r>
              <w:rPr>
                <w:rFonts w:hint="eastAsia" w:ascii="宋体" w:hAnsi="宋体" w:eastAsia="宋体" w:cs="宋体"/>
                <w:kern w:val="0"/>
                <w:sz w:val="24"/>
              </w:rPr>
              <w:t>☑</w:t>
            </w:r>
            <w:r>
              <w:rPr>
                <w:rFonts w:hint="eastAsia" w:ascii="宋体" w:hAnsi="宋体" w:eastAsia="宋体" w:cs="宋体"/>
                <w:sz w:val="24"/>
              </w:rPr>
              <w:t>不需要</w:t>
            </w:r>
          </w:p>
          <w:p w14:paraId="16670F29">
            <w:pPr>
              <w:pStyle w:val="32"/>
              <w:spacing w:line="360" w:lineRule="auto"/>
              <w:rPr>
                <w:rFonts w:hint="eastAsia" w:ascii="宋体" w:hAnsi="宋体" w:eastAsia="宋体" w:cs="宋体"/>
                <w:sz w:val="24"/>
              </w:rPr>
            </w:pPr>
            <w:r>
              <w:rPr>
                <w:rFonts w:hint="eastAsia" w:ascii="宋体" w:hAnsi="宋体" w:eastAsia="宋体" w:cs="宋体"/>
                <w:sz w:val="24"/>
              </w:rPr>
              <w:t>☐需要,陈述要求如下：</w:t>
            </w:r>
          </w:p>
          <w:p w14:paraId="459C5EEF">
            <w:pPr>
              <w:pStyle w:val="32"/>
              <w:autoSpaceDE w:val="0"/>
              <w:autoSpaceDN w:val="0"/>
              <w:adjustRightInd w:val="0"/>
              <w:spacing w:line="360" w:lineRule="auto"/>
              <w:rPr>
                <w:rFonts w:hint="eastAsia" w:ascii="宋体" w:hAnsi="宋体" w:eastAsia="宋体" w:cs="宋体"/>
                <w:sz w:val="24"/>
                <w:lang w:val="zh-CN"/>
              </w:rPr>
            </w:pPr>
            <w:r>
              <w:rPr>
                <w:rFonts w:hint="eastAsia" w:ascii="宋体" w:hAnsi="宋体" w:eastAsia="宋体" w:cs="宋体"/>
                <w:sz w:val="24"/>
                <w:lang w:val="zh-CN"/>
              </w:rPr>
              <w:t>1、陈述内容：</w:t>
            </w:r>
            <w:bookmarkStart w:id="48" w:name="EB6c95caea33e547a589927e2dd5ae55fd"/>
            <w:bookmarkEnd w:id="48"/>
            <w:r>
              <w:rPr>
                <w:rFonts w:hint="eastAsia" w:ascii="宋体" w:hAnsi="宋体" w:eastAsia="宋体" w:cs="宋体"/>
                <w:kern w:val="0"/>
                <w:sz w:val="24"/>
                <w:u w:val="single"/>
              </w:rPr>
              <w:t xml:space="preserve">                             </w:t>
            </w:r>
          </w:p>
          <w:p w14:paraId="5B97C121">
            <w:pPr>
              <w:pStyle w:val="32"/>
              <w:autoSpaceDE w:val="0"/>
              <w:autoSpaceDN w:val="0"/>
              <w:adjustRightInd w:val="0"/>
              <w:spacing w:line="360" w:lineRule="auto"/>
              <w:rPr>
                <w:rFonts w:hint="eastAsia" w:ascii="宋体" w:hAnsi="宋体" w:eastAsia="宋体" w:cs="宋体"/>
                <w:sz w:val="24"/>
                <w:lang w:val="zh-CN"/>
              </w:rPr>
            </w:pPr>
            <w:r>
              <w:rPr>
                <w:rFonts w:hint="eastAsia" w:ascii="宋体" w:hAnsi="宋体" w:eastAsia="宋体" w:cs="宋体"/>
                <w:sz w:val="24"/>
                <w:lang w:val="zh-CN"/>
              </w:rPr>
              <w:t>2、陈述人员：</w:t>
            </w:r>
            <w:bookmarkStart w:id="49" w:name="EBa27f1c313730476694c9ea5ce6c46000"/>
            <w:bookmarkEnd w:id="49"/>
            <w:r>
              <w:rPr>
                <w:rFonts w:hint="eastAsia" w:ascii="宋体" w:hAnsi="宋体" w:eastAsia="宋体" w:cs="宋体"/>
                <w:kern w:val="0"/>
                <w:sz w:val="24"/>
                <w:u w:val="single"/>
              </w:rPr>
              <w:t xml:space="preserve">                             </w:t>
            </w:r>
          </w:p>
          <w:p w14:paraId="09B991D2">
            <w:pPr>
              <w:pStyle w:val="32"/>
              <w:autoSpaceDE w:val="0"/>
              <w:autoSpaceDN w:val="0"/>
              <w:adjustRightInd w:val="0"/>
              <w:spacing w:line="360" w:lineRule="auto"/>
              <w:rPr>
                <w:rFonts w:hint="eastAsia" w:ascii="宋体" w:hAnsi="宋体" w:eastAsia="宋体" w:cs="宋体"/>
                <w:sz w:val="24"/>
                <w:lang w:val="zh-CN"/>
              </w:rPr>
            </w:pPr>
            <w:r>
              <w:rPr>
                <w:rFonts w:hint="eastAsia" w:ascii="宋体" w:hAnsi="宋体" w:eastAsia="宋体" w:cs="宋体"/>
                <w:sz w:val="24"/>
                <w:lang w:val="zh-CN"/>
              </w:rPr>
              <w:t>3、陈述时限：</w:t>
            </w:r>
            <w:bookmarkStart w:id="50" w:name="EB8e002186df5a41cc8dccc91c8be5ff9e"/>
            <w:bookmarkEnd w:id="50"/>
            <w:r>
              <w:rPr>
                <w:rFonts w:hint="eastAsia" w:ascii="宋体" w:hAnsi="宋体" w:eastAsia="宋体" w:cs="宋体"/>
                <w:kern w:val="0"/>
                <w:sz w:val="24"/>
                <w:u w:val="single"/>
              </w:rPr>
              <w:t xml:space="preserve">     </w:t>
            </w:r>
            <w:r>
              <w:rPr>
                <w:rFonts w:hint="eastAsia" w:ascii="宋体" w:hAnsi="宋体" w:eastAsia="宋体" w:cs="宋体"/>
                <w:sz w:val="24"/>
                <w:lang w:val="zh-CN"/>
              </w:rPr>
              <w:t>分钟。</w:t>
            </w:r>
          </w:p>
          <w:p w14:paraId="489FC8E5">
            <w:pPr>
              <w:pStyle w:val="32"/>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lang w:val="zh-CN"/>
              </w:rPr>
              <w:t>4、陈述形式：</w:t>
            </w:r>
            <w:bookmarkStart w:id="51" w:name="EB3b477031c8e448868dc45629f84f0896"/>
            <w:bookmarkEnd w:id="51"/>
            <w:r>
              <w:rPr>
                <w:rFonts w:hint="eastAsia" w:ascii="宋体" w:hAnsi="宋体" w:eastAsia="宋体" w:cs="宋体"/>
                <w:kern w:val="0"/>
                <w:sz w:val="24"/>
                <w:u w:val="single"/>
              </w:rPr>
              <w:t xml:space="preserve">                             </w:t>
            </w:r>
          </w:p>
        </w:tc>
      </w:tr>
      <w:tr w14:paraId="2EAD2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3053FF8F">
            <w:pPr>
              <w:pStyle w:val="32"/>
              <w:spacing w:line="360" w:lineRule="auto"/>
              <w:jc w:val="center"/>
              <w:rPr>
                <w:rFonts w:hint="default" w:ascii="宋体" w:hAnsi="宋体" w:eastAsia="宋体" w:cs="宋体"/>
                <w:b/>
                <w:kern w:val="0"/>
                <w:sz w:val="24"/>
                <w:lang w:val="en-US" w:eastAsia="zh-CN"/>
              </w:rPr>
            </w:pPr>
            <w:r>
              <w:rPr>
                <w:rFonts w:hint="eastAsia" w:ascii="宋体" w:hAnsi="宋体" w:eastAsia="宋体" w:cs="宋体"/>
                <w:b/>
                <w:kern w:val="0"/>
                <w:sz w:val="24"/>
                <w:highlight w:val="white"/>
                <w:lang w:val="en-US" w:eastAsia="zh-CN"/>
              </w:rPr>
              <w:t>29</w:t>
            </w:r>
          </w:p>
        </w:tc>
        <w:tc>
          <w:tcPr>
            <w:tcW w:w="2664" w:type="dxa"/>
            <w:tcBorders>
              <w:top w:val="single" w:color="auto" w:sz="4" w:space="0"/>
              <w:left w:val="single" w:color="auto" w:sz="4" w:space="0"/>
              <w:bottom w:val="single" w:color="auto" w:sz="4" w:space="0"/>
              <w:right w:val="single" w:color="auto" w:sz="4" w:space="0"/>
            </w:tcBorders>
            <w:vAlign w:val="center"/>
          </w:tcPr>
          <w:p w14:paraId="2203EEA1">
            <w:pPr>
              <w:pStyle w:val="32"/>
              <w:autoSpaceDE w:val="0"/>
              <w:autoSpaceDN w:val="0"/>
              <w:adjustRightInd w:val="0"/>
              <w:spacing w:line="360" w:lineRule="auto"/>
              <w:jc w:val="center"/>
              <w:rPr>
                <w:rFonts w:hint="eastAsia" w:ascii="宋体" w:hAnsi="宋体" w:eastAsia="宋体" w:cs="宋体"/>
                <w:b/>
                <w:kern w:val="0"/>
                <w:sz w:val="24"/>
              </w:rPr>
            </w:pPr>
            <w:r>
              <w:rPr>
                <w:rFonts w:hint="eastAsia" w:ascii="宋体" w:hAnsi="宋体" w:eastAsia="宋体" w:cs="宋体"/>
                <w:b/>
                <w:color w:val="000000"/>
                <w:kern w:val="0"/>
                <w:sz w:val="24"/>
              </w:rPr>
              <w:t>项目预算</w:t>
            </w:r>
          </w:p>
        </w:tc>
        <w:tc>
          <w:tcPr>
            <w:tcW w:w="6518" w:type="dxa"/>
            <w:tcBorders>
              <w:top w:val="single" w:color="auto" w:sz="4" w:space="0"/>
              <w:left w:val="single" w:color="auto" w:sz="4" w:space="0"/>
              <w:bottom w:val="single" w:color="auto" w:sz="4" w:space="0"/>
              <w:right w:val="single" w:color="auto" w:sz="4" w:space="0"/>
            </w:tcBorders>
            <w:vAlign w:val="center"/>
          </w:tcPr>
          <w:p w14:paraId="3604E9D0">
            <w:pPr>
              <w:pStyle w:val="32"/>
              <w:autoSpaceDE w:val="0"/>
              <w:autoSpaceDN w:val="0"/>
              <w:adjustRightInd w:val="0"/>
              <w:spacing w:line="360" w:lineRule="auto"/>
              <w:rPr>
                <w:rFonts w:hint="eastAsia" w:ascii="宋体" w:hAnsi="宋体" w:eastAsia="宋体" w:cs="宋体"/>
                <w:color w:val="000000"/>
                <w:sz w:val="24"/>
                <w:lang w:val="zh-CN"/>
              </w:rPr>
            </w:pPr>
            <w:r>
              <w:rPr>
                <w:rFonts w:hint="eastAsia" w:ascii="宋体" w:hAnsi="宋体" w:eastAsia="宋体" w:cs="宋体"/>
                <w:color w:val="000000"/>
                <w:sz w:val="24"/>
                <w:lang w:val="zh-CN"/>
              </w:rPr>
              <w:t>本项目预算为</w:t>
            </w:r>
            <w:bookmarkStart w:id="52" w:name="EB6ff913d7fe684300aae0adca6e231c96"/>
            <w:bookmarkEnd w:id="52"/>
            <w:r>
              <w:rPr>
                <w:rFonts w:hint="eastAsia" w:ascii="宋体" w:hAnsi="宋体" w:eastAsia="宋体" w:cs="宋体"/>
                <w:color w:val="000000"/>
                <w:sz w:val="24"/>
                <w:lang w:val="zh-CN"/>
              </w:rPr>
              <w:t>：</w:t>
            </w:r>
            <w:r>
              <w:rPr>
                <w:rFonts w:hint="eastAsia" w:ascii="宋体" w:hAnsi="宋体" w:eastAsia="宋体" w:cs="宋体"/>
                <w:color w:val="000000"/>
                <w:sz w:val="24"/>
                <w:lang w:val="en-US" w:eastAsia="zh-CN"/>
              </w:rPr>
              <w:t>60</w:t>
            </w:r>
            <w:r>
              <w:rPr>
                <w:rFonts w:hint="eastAsia" w:ascii="宋体" w:hAnsi="宋体" w:eastAsia="宋体" w:cs="宋体"/>
                <w:color w:val="000000"/>
                <w:sz w:val="24"/>
                <w:lang w:val="zh-CN" w:eastAsia="zh-CN"/>
              </w:rPr>
              <w:t>0000.00</w:t>
            </w:r>
            <w:r>
              <w:rPr>
                <w:rFonts w:hint="eastAsia" w:ascii="宋体" w:hAnsi="宋体" w:eastAsia="宋体" w:cs="宋体"/>
                <w:color w:val="000000"/>
                <w:sz w:val="24"/>
                <w:lang w:val="zh-CN"/>
              </w:rPr>
              <w:t>元</w:t>
            </w:r>
          </w:p>
          <w:p w14:paraId="142EABD2">
            <w:pPr>
              <w:pStyle w:val="32"/>
              <w:autoSpaceDE w:val="0"/>
              <w:autoSpaceDN w:val="0"/>
              <w:adjustRightInd w:val="0"/>
              <w:spacing w:line="360" w:lineRule="auto"/>
              <w:rPr>
                <w:rFonts w:hint="eastAsia" w:ascii="宋体" w:hAnsi="宋体" w:eastAsia="宋体" w:cs="宋体"/>
                <w:color w:val="000000"/>
                <w:sz w:val="24"/>
                <w:lang w:val="zh-CN"/>
              </w:rPr>
            </w:pPr>
            <w:r>
              <w:rPr>
                <w:rFonts w:hint="eastAsia" w:ascii="宋体" w:hAnsi="宋体" w:eastAsia="宋体" w:cs="宋体"/>
                <w:color w:val="000000"/>
                <w:sz w:val="24"/>
                <w:lang w:val="zh-CN"/>
              </w:rPr>
              <w:t>最高限价</w:t>
            </w:r>
            <w:bookmarkStart w:id="53" w:name="EBce6b0e6ab77b41a59f46888836ff3623"/>
            <w:bookmarkEnd w:id="53"/>
            <w:r>
              <w:rPr>
                <w:rFonts w:hint="eastAsia" w:ascii="宋体" w:hAnsi="宋体" w:eastAsia="宋体" w:cs="宋体"/>
                <w:color w:val="000000"/>
                <w:sz w:val="24"/>
                <w:lang w:val="zh-CN"/>
              </w:rPr>
              <w:t>：</w:t>
            </w:r>
            <w:r>
              <w:rPr>
                <w:rFonts w:hint="eastAsia" w:ascii="宋体" w:hAnsi="宋体" w:eastAsia="宋体" w:cs="宋体"/>
                <w:color w:val="000000"/>
                <w:sz w:val="24"/>
                <w:lang w:val="en-US" w:eastAsia="zh-CN"/>
              </w:rPr>
              <w:t>580000.00</w:t>
            </w:r>
            <w:r>
              <w:rPr>
                <w:rFonts w:hint="eastAsia" w:ascii="宋体" w:hAnsi="宋体" w:eastAsia="宋体" w:cs="宋体"/>
                <w:color w:val="000000"/>
                <w:sz w:val="24"/>
                <w:lang w:val="zh-CN"/>
              </w:rPr>
              <w:t>元</w:t>
            </w:r>
          </w:p>
          <w:p w14:paraId="34B51F22">
            <w:pPr>
              <w:pStyle w:val="32"/>
              <w:autoSpaceDE w:val="0"/>
              <w:autoSpaceDN w:val="0"/>
              <w:adjustRightInd w:val="0"/>
              <w:spacing w:line="360" w:lineRule="auto"/>
              <w:rPr>
                <w:rFonts w:hint="eastAsia" w:ascii="宋体" w:hAnsi="宋体" w:eastAsia="宋体" w:cs="宋体"/>
                <w:sz w:val="24"/>
              </w:rPr>
            </w:pPr>
            <w:r>
              <w:rPr>
                <w:rFonts w:hint="eastAsia" w:ascii="宋体" w:hAnsi="宋体" w:eastAsia="宋体" w:cs="宋体"/>
                <w:bCs/>
                <w:sz w:val="24"/>
              </w:rPr>
              <w:t>供应商</w:t>
            </w:r>
            <w:r>
              <w:rPr>
                <w:rFonts w:hint="eastAsia" w:ascii="宋体" w:hAnsi="宋体" w:eastAsia="宋体" w:cs="宋体"/>
                <w:bCs/>
                <w:sz w:val="24"/>
                <w:lang w:val="en-US" w:eastAsia="zh-CN"/>
              </w:rPr>
              <w:t>谈判响应</w:t>
            </w:r>
            <w:r>
              <w:rPr>
                <w:rFonts w:hint="eastAsia" w:ascii="宋体" w:hAnsi="宋体" w:eastAsia="宋体" w:cs="宋体"/>
                <w:color w:val="000000"/>
                <w:sz w:val="24"/>
                <w:lang w:val="zh-CN"/>
              </w:rPr>
              <w:t>报价超过</w:t>
            </w:r>
            <w:r>
              <w:rPr>
                <w:rFonts w:hint="eastAsia" w:ascii="宋体" w:hAnsi="宋体" w:eastAsia="宋体" w:cs="宋体"/>
                <w:b/>
                <w:bCs/>
                <w:color w:val="000000"/>
                <w:sz w:val="24"/>
                <w:lang w:val="zh-CN"/>
              </w:rPr>
              <w:t>最高限价</w:t>
            </w:r>
            <w:r>
              <w:rPr>
                <w:rFonts w:hint="eastAsia" w:ascii="宋体" w:hAnsi="宋体" w:eastAsia="宋体" w:cs="宋体"/>
                <w:color w:val="000000"/>
                <w:sz w:val="24"/>
                <w:lang w:val="zh-CN"/>
              </w:rPr>
              <w:t>的按无效</w:t>
            </w:r>
            <w:r>
              <w:rPr>
                <w:rFonts w:hint="eastAsia" w:ascii="宋体" w:hAnsi="宋体" w:eastAsia="宋体" w:cs="宋体"/>
                <w:color w:val="000000"/>
                <w:sz w:val="24"/>
                <w:lang w:val="zh-CN" w:eastAsia="zh-CN"/>
              </w:rPr>
              <w:t>谈判响应</w:t>
            </w:r>
            <w:r>
              <w:rPr>
                <w:rFonts w:hint="eastAsia" w:ascii="宋体" w:hAnsi="宋体" w:eastAsia="宋体" w:cs="宋体"/>
                <w:color w:val="000000"/>
                <w:sz w:val="24"/>
                <w:lang w:val="zh-CN"/>
              </w:rPr>
              <w:t>处理。</w:t>
            </w:r>
          </w:p>
        </w:tc>
      </w:tr>
      <w:tr w14:paraId="4C45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2FE18E6D">
            <w:pPr>
              <w:pStyle w:val="32"/>
              <w:spacing w:line="360" w:lineRule="auto"/>
              <w:jc w:val="center"/>
              <w:rPr>
                <w:rFonts w:hint="eastAsia" w:ascii="宋体" w:hAnsi="宋体" w:eastAsia="宋体" w:cs="宋体"/>
                <w:b/>
                <w:kern w:val="0"/>
                <w:sz w:val="24"/>
                <w:lang w:eastAsia="zh-CN"/>
              </w:rPr>
            </w:pPr>
            <w:r>
              <w:rPr>
                <w:rFonts w:hint="eastAsia" w:ascii="宋体" w:hAnsi="宋体" w:eastAsia="宋体" w:cs="宋体"/>
                <w:b/>
                <w:kern w:val="0"/>
                <w:sz w:val="24"/>
                <w:highlight w:val="white"/>
              </w:rPr>
              <w:t>3</w:t>
            </w:r>
            <w:r>
              <w:rPr>
                <w:rFonts w:hint="eastAsia" w:ascii="宋体" w:hAnsi="宋体" w:eastAsia="宋体" w:cs="宋体"/>
                <w:b/>
                <w:kern w:val="0"/>
                <w:sz w:val="24"/>
                <w:highlight w:val="white"/>
                <w:lang w:val="en-US" w:eastAsia="zh-CN"/>
              </w:rPr>
              <w:t>0</w:t>
            </w:r>
          </w:p>
        </w:tc>
        <w:tc>
          <w:tcPr>
            <w:tcW w:w="2664" w:type="dxa"/>
            <w:tcBorders>
              <w:top w:val="single" w:color="auto" w:sz="4" w:space="0"/>
              <w:left w:val="single" w:color="auto" w:sz="4" w:space="0"/>
              <w:bottom w:val="single" w:color="auto" w:sz="4" w:space="0"/>
              <w:right w:val="single" w:color="auto" w:sz="4" w:space="0"/>
            </w:tcBorders>
            <w:vAlign w:val="center"/>
          </w:tcPr>
          <w:p w14:paraId="7D34E4EF">
            <w:pPr>
              <w:pStyle w:val="32"/>
              <w:autoSpaceDE w:val="0"/>
              <w:autoSpaceDN w:val="0"/>
              <w:adjustRightInd w:val="0"/>
              <w:spacing w:line="360" w:lineRule="auto"/>
              <w:jc w:val="center"/>
              <w:rPr>
                <w:rFonts w:hint="eastAsia" w:ascii="宋体" w:hAnsi="宋体" w:eastAsia="宋体" w:cs="宋体"/>
                <w:b/>
                <w:color w:val="000000"/>
                <w:kern w:val="0"/>
                <w:sz w:val="24"/>
              </w:rPr>
            </w:pPr>
            <w:r>
              <w:rPr>
                <w:rFonts w:hint="eastAsia" w:ascii="宋体" w:hAnsi="宋体" w:eastAsia="宋体" w:cs="宋体"/>
                <w:b/>
                <w:color w:val="000000"/>
                <w:kern w:val="0"/>
                <w:sz w:val="24"/>
                <w:highlight w:val="white"/>
              </w:rPr>
              <w:t>其他</w:t>
            </w:r>
          </w:p>
        </w:tc>
        <w:tc>
          <w:tcPr>
            <w:tcW w:w="6518" w:type="dxa"/>
            <w:tcBorders>
              <w:top w:val="single" w:color="auto" w:sz="4" w:space="0"/>
              <w:left w:val="single" w:color="auto" w:sz="4" w:space="0"/>
              <w:bottom w:val="single" w:color="auto" w:sz="4" w:space="0"/>
              <w:right w:val="single" w:color="auto" w:sz="4" w:space="0"/>
            </w:tcBorders>
            <w:vAlign w:val="center"/>
          </w:tcPr>
          <w:p w14:paraId="5870F528">
            <w:pPr>
              <w:pStyle w:val="32"/>
              <w:autoSpaceDE w:val="0"/>
              <w:autoSpaceDN w:val="0"/>
              <w:adjustRightInd w:val="0"/>
              <w:spacing w:line="360" w:lineRule="auto"/>
              <w:rPr>
                <w:rFonts w:hint="eastAsia" w:ascii="宋体" w:hAnsi="宋体" w:eastAsia="宋体" w:cs="宋体"/>
                <w:sz w:val="24"/>
              </w:rPr>
            </w:pPr>
            <w:r>
              <w:rPr>
                <w:rFonts w:hint="eastAsia" w:ascii="宋体" w:hAnsi="宋体" w:eastAsia="宋体" w:cs="宋体"/>
                <w:color w:val="000000"/>
                <w:sz w:val="24"/>
                <w:highlight w:val="white"/>
                <w:lang w:val="zh-CN"/>
              </w:rPr>
              <w:t>本项目的</w:t>
            </w:r>
            <w:r>
              <w:rPr>
                <w:rFonts w:hint="eastAsia" w:ascii="宋体" w:hAnsi="宋体" w:eastAsia="宋体" w:cs="宋体"/>
                <w:color w:val="000000"/>
                <w:sz w:val="24"/>
                <w:highlight w:val="white"/>
                <w:lang w:val="en-US" w:eastAsia="zh-CN"/>
              </w:rPr>
              <w:t>采购</w:t>
            </w:r>
            <w:r>
              <w:rPr>
                <w:rFonts w:hint="eastAsia" w:ascii="宋体" w:hAnsi="宋体" w:eastAsia="宋体" w:cs="宋体"/>
                <w:color w:val="000000"/>
                <w:sz w:val="24"/>
                <w:highlight w:val="white"/>
                <w:lang w:val="zh-CN"/>
              </w:rPr>
              <w:t>活动以及相关当事人须接受财政监督部门依法实施的监督。</w:t>
            </w:r>
          </w:p>
        </w:tc>
      </w:tr>
      <w:tr w14:paraId="76C91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4BCED867">
            <w:pPr>
              <w:pStyle w:val="35"/>
              <w:spacing w:line="360" w:lineRule="auto"/>
              <w:jc w:val="center"/>
              <w:rPr>
                <w:rFonts w:hint="eastAsia" w:ascii="宋体" w:hAnsi="宋体" w:eastAsia="宋体" w:cs="宋体"/>
                <w:b/>
                <w:kern w:val="0"/>
                <w:sz w:val="24"/>
                <w:lang w:eastAsia="zh-CN"/>
              </w:rPr>
            </w:pPr>
            <w:r>
              <w:rPr>
                <w:rFonts w:hint="eastAsia" w:ascii="宋体" w:hAnsi="宋体" w:eastAsia="宋体" w:cs="宋体"/>
                <w:b/>
                <w:kern w:val="0"/>
                <w:sz w:val="24"/>
                <w:highlight w:val="white"/>
              </w:rPr>
              <w:t>3</w:t>
            </w:r>
            <w:r>
              <w:rPr>
                <w:rFonts w:hint="eastAsia" w:ascii="宋体" w:hAnsi="宋体" w:cs="宋体"/>
                <w:b/>
                <w:kern w:val="0"/>
                <w:sz w:val="24"/>
                <w:highlight w:val="white"/>
                <w:lang w:val="en-US" w:eastAsia="zh-CN"/>
              </w:rPr>
              <w:t>1</w:t>
            </w:r>
          </w:p>
        </w:tc>
        <w:tc>
          <w:tcPr>
            <w:tcW w:w="2664" w:type="dxa"/>
            <w:tcBorders>
              <w:top w:val="single" w:color="auto" w:sz="4" w:space="0"/>
              <w:left w:val="single" w:color="auto" w:sz="4" w:space="0"/>
              <w:bottom w:val="single" w:color="auto" w:sz="4" w:space="0"/>
              <w:right w:val="single" w:color="auto" w:sz="4" w:space="0"/>
            </w:tcBorders>
            <w:vAlign w:val="center"/>
          </w:tcPr>
          <w:p w14:paraId="200882FF">
            <w:pPr>
              <w:adjustRightInd w:val="0"/>
              <w:jc w:val="center"/>
              <w:rPr>
                <w:rFonts w:hint="eastAsia" w:ascii="宋体" w:hAnsi="宋体" w:eastAsia="宋体" w:cs="宋体"/>
                <w:b/>
                <w:bCs/>
                <w:color w:val="000000"/>
                <w:sz w:val="24"/>
                <w:lang w:val="zh-CN"/>
              </w:rPr>
            </w:pPr>
            <w:r>
              <w:rPr>
                <w:rFonts w:hint="eastAsia" w:ascii="宋体" w:hAnsi="宋体" w:eastAsia="宋体" w:cs="宋体"/>
                <w:b/>
                <w:bCs/>
                <w:color w:val="000000"/>
                <w:sz w:val="24"/>
                <w:lang w:val="zh-CN"/>
              </w:rPr>
              <w:t>项目地点</w:t>
            </w:r>
          </w:p>
        </w:tc>
        <w:tc>
          <w:tcPr>
            <w:tcW w:w="6518" w:type="dxa"/>
            <w:tcBorders>
              <w:top w:val="single" w:color="auto" w:sz="4" w:space="0"/>
              <w:left w:val="single" w:color="auto" w:sz="4" w:space="0"/>
              <w:bottom w:val="single" w:color="auto" w:sz="4" w:space="0"/>
              <w:right w:val="single" w:color="auto" w:sz="4" w:space="0"/>
            </w:tcBorders>
            <w:vAlign w:val="center"/>
          </w:tcPr>
          <w:p w14:paraId="3D211C85">
            <w:pPr>
              <w:adjustRightInd w:val="0"/>
              <w:jc w:val="left"/>
              <w:rPr>
                <w:rFonts w:hint="eastAsia" w:ascii="宋体" w:hAnsi="宋体" w:eastAsia="宋体" w:cs="宋体"/>
                <w:b/>
                <w:bCs/>
                <w:color w:val="000000"/>
                <w:sz w:val="24"/>
                <w:lang w:val="zh-CN"/>
              </w:rPr>
            </w:pPr>
            <w:r>
              <w:rPr>
                <w:rFonts w:hint="eastAsia" w:ascii="宋体" w:hAnsi="宋体" w:eastAsia="宋体" w:cs="宋体"/>
                <w:color w:val="000000"/>
                <w:kern w:val="2"/>
                <w:sz w:val="24"/>
                <w:szCs w:val="24"/>
                <w:highlight w:val="white"/>
                <w:lang w:val="zh-CN" w:eastAsia="zh-CN" w:bidi="ar-SA"/>
              </w:rPr>
              <w:t xml:space="preserve">乌鲁木齐市天山区团结路1551号 </w:t>
            </w:r>
          </w:p>
        </w:tc>
      </w:tr>
      <w:tr w14:paraId="03CE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24602A54">
            <w:pPr>
              <w:pStyle w:val="35"/>
              <w:spacing w:line="360" w:lineRule="auto"/>
              <w:jc w:val="center"/>
              <w:rPr>
                <w:rFonts w:hint="eastAsia" w:ascii="宋体" w:hAnsi="宋体" w:eastAsia="宋体" w:cs="宋体"/>
                <w:b/>
                <w:kern w:val="0"/>
                <w:sz w:val="24"/>
                <w:lang w:eastAsia="zh-CN"/>
              </w:rPr>
            </w:pPr>
            <w:r>
              <w:rPr>
                <w:rFonts w:hint="eastAsia" w:ascii="宋体" w:hAnsi="宋体" w:eastAsia="宋体" w:cs="宋体"/>
                <w:b/>
                <w:kern w:val="0"/>
                <w:sz w:val="24"/>
                <w:highlight w:val="white"/>
              </w:rPr>
              <w:t>3</w:t>
            </w:r>
            <w:r>
              <w:rPr>
                <w:rFonts w:hint="eastAsia" w:ascii="宋体" w:hAnsi="宋体" w:cs="宋体"/>
                <w:b/>
                <w:kern w:val="0"/>
                <w:sz w:val="24"/>
                <w:highlight w:val="white"/>
                <w:lang w:val="en-US" w:eastAsia="zh-CN"/>
              </w:rPr>
              <w:t>2</w:t>
            </w:r>
          </w:p>
        </w:tc>
        <w:tc>
          <w:tcPr>
            <w:tcW w:w="2664" w:type="dxa"/>
            <w:tcBorders>
              <w:top w:val="single" w:color="auto" w:sz="4" w:space="0"/>
              <w:left w:val="single" w:color="auto" w:sz="4" w:space="0"/>
              <w:bottom w:val="single" w:color="auto" w:sz="4" w:space="0"/>
              <w:right w:val="single" w:color="auto" w:sz="4" w:space="0"/>
            </w:tcBorders>
            <w:vAlign w:val="center"/>
          </w:tcPr>
          <w:p w14:paraId="09FDAEFF">
            <w:pPr>
              <w:adjustRightInd w:val="0"/>
              <w:jc w:val="center"/>
              <w:rPr>
                <w:rFonts w:hint="eastAsia" w:ascii="宋体" w:hAnsi="宋体" w:eastAsia="宋体" w:cs="宋体"/>
                <w:b/>
                <w:bCs/>
                <w:color w:val="000000"/>
                <w:sz w:val="24"/>
              </w:rPr>
            </w:pPr>
            <w:r>
              <w:rPr>
                <w:rFonts w:hint="eastAsia" w:ascii="宋体" w:hAnsi="宋体" w:eastAsia="宋体" w:cs="宋体"/>
                <w:b/>
                <w:bCs/>
                <w:color w:val="000000"/>
                <w:sz w:val="24"/>
                <w:lang w:val="zh-CN"/>
              </w:rPr>
              <w:t>合同履约期限</w:t>
            </w:r>
          </w:p>
        </w:tc>
        <w:tc>
          <w:tcPr>
            <w:tcW w:w="6518" w:type="dxa"/>
            <w:tcBorders>
              <w:top w:val="single" w:color="auto" w:sz="4" w:space="0"/>
              <w:left w:val="single" w:color="auto" w:sz="4" w:space="0"/>
              <w:bottom w:val="single" w:color="auto" w:sz="4" w:space="0"/>
              <w:right w:val="single" w:color="auto" w:sz="4" w:space="0"/>
            </w:tcBorders>
            <w:vAlign w:val="center"/>
          </w:tcPr>
          <w:p w14:paraId="0C9211EC">
            <w:pPr>
              <w:adjustRightInd w:val="0"/>
              <w:spacing w:line="360" w:lineRule="auto"/>
              <w:rPr>
                <w:rFonts w:hint="eastAsia" w:ascii="宋体" w:hAnsi="宋体" w:eastAsia="宋体" w:cs="宋体"/>
                <w:b/>
                <w:bCs/>
                <w:color w:val="000000"/>
                <w:sz w:val="24"/>
                <w:lang w:val="zh-CN"/>
              </w:rPr>
            </w:pPr>
            <w:r>
              <w:rPr>
                <w:rFonts w:hint="eastAsia" w:ascii="宋体" w:hAnsi="宋体" w:eastAsia="宋体" w:cs="宋体"/>
                <w:color w:val="000000"/>
                <w:kern w:val="2"/>
                <w:sz w:val="24"/>
                <w:szCs w:val="24"/>
                <w:highlight w:val="white"/>
                <w:lang w:val="zh-CN" w:eastAsia="zh-CN" w:bidi="ar-SA"/>
              </w:rPr>
              <w:t>合同签订后12个月</w:t>
            </w:r>
          </w:p>
        </w:tc>
      </w:tr>
      <w:tr w14:paraId="18B28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2888D583">
            <w:pPr>
              <w:pStyle w:val="35"/>
              <w:spacing w:line="360" w:lineRule="auto"/>
              <w:jc w:val="center"/>
              <w:rPr>
                <w:rFonts w:hint="default" w:ascii="宋体" w:hAnsi="宋体" w:eastAsia="宋体" w:cs="宋体"/>
                <w:b/>
                <w:kern w:val="0"/>
                <w:sz w:val="24"/>
                <w:highlight w:val="white"/>
                <w:lang w:val="en-US" w:eastAsia="zh-CN"/>
              </w:rPr>
            </w:pPr>
            <w:r>
              <w:rPr>
                <w:rFonts w:hint="eastAsia" w:ascii="宋体" w:hAnsi="宋体" w:cs="宋体"/>
                <w:b/>
                <w:kern w:val="0"/>
                <w:sz w:val="24"/>
                <w:highlight w:val="white"/>
                <w:lang w:val="en-US" w:eastAsia="zh-CN"/>
              </w:rPr>
              <w:t>33</w:t>
            </w:r>
          </w:p>
        </w:tc>
        <w:tc>
          <w:tcPr>
            <w:tcW w:w="2664" w:type="dxa"/>
            <w:tcBorders>
              <w:top w:val="single" w:color="auto" w:sz="4" w:space="0"/>
              <w:left w:val="single" w:color="auto" w:sz="4" w:space="0"/>
              <w:bottom w:val="single" w:color="auto" w:sz="4" w:space="0"/>
              <w:right w:val="single" w:color="auto" w:sz="4" w:space="0"/>
            </w:tcBorders>
            <w:vAlign w:val="center"/>
          </w:tcPr>
          <w:p w14:paraId="2EE0B78F">
            <w:pPr>
              <w:adjustRightInd w:val="0"/>
              <w:jc w:val="center"/>
              <w:rPr>
                <w:rFonts w:hint="eastAsia" w:ascii="宋体" w:hAnsi="宋体" w:eastAsia="宋体" w:cs="宋体"/>
                <w:b/>
                <w:bCs/>
                <w:color w:val="000000"/>
                <w:sz w:val="24"/>
                <w:lang w:val="zh-CN"/>
              </w:rPr>
            </w:pPr>
            <w:r>
              <w:rPr>
                <w:rFonts w:hint="eastAsia" w:ascii="宋体" w:hAnsi="宋体" w:eastAsia="宋体" w:cs="宋体"/>
                <w:b/>
                <w:bCs/>
                <w:color w:val="000000"/>
                <w:sz w:val="24"/>
                <w:lang w:val="zh-CN" w:eastAsia="zh-CN"/>
              </w:rPr>
              <w:t>履约保证金</w:t>
            </w:r>
          </w:p>
        </w:tc>
        <w:tc>
          <w:tcPr>
            <w:tcW w:w="6518" w:type="dxa"/>
            <w:tcBorders>
              <w:top w:val="single" w:color="auto" w:sz="4" w:space="0"/>
              <w:left w:val="single" w:color="auto" w:sz="4" w:space="0"/>
              <w:bottom w:val="single" w:color="auto" w:sz="4" w:space="0"/>
              <w:right w:val="single" w:color="auto" w:sz="4" w:space="0"/>
            </w:tcBorders>
            <w:vAlign w:val="center"/>
          </w:tcPr>
          <w:p w14:paraId="31A200BA">
            <w:pPr>
              <w:pStyle w:val="32"/>
              <w:spacing w:line="360" w:lineRule="auto"/>
              <w:rPr>
                <w:rFonts w:hint="eastAsia" w:ascii="宋体" w:hAnsi="宋体" w:eastAsia="宋体" w:cs="宋体"/>
                <w:color w:val="000000"/>
                <w:kern w:val="2"/>
                <w:sz w:val="24"/>
                <w:szCs w:val="24"/>
                <w:highlight w:val="white"/>
                <w:lang w:val="en-US" w:eastAsia="zh-CN" w:bidi="ar-SA"/>
              </w:rPr>
            </w:pPr>
            <w:r>
              <w:rPr>
                <w:rFonts w:hint="eastAsia" w:ascii="宋体" w:hAnsi="宋体" w:eastAsia="宋体" w:cs="宋体"/>
                <w:color w:val="000000"/>
                <w:kern w:val="2"/>
                <w:sz w:val="24"/>
                <w:szCs w:val="24"/>
                <w:highlight w:val="white"/>
                <w:lang w:val="en-US" w:eastAsia="zh-CN" w:bidi="ar-SA"/>
              </w:rPr>
              <w:t>中标通知书下发后7个工作日内，乙方向甲方交纳合同金额8%的履约保证金。</w:t>
            </w:r>
          </w:p>
        </w:tc>
      </w:tr>
      <w:tr w14:paraId="31D04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0A009C63">
            <w:pPr>
              <w:pStyle w:val="35"/>
              <w:spacing w:line="360" w:lineRule="auto"/>
              <w:jc w:val="center"/>
              <w:rPr>
                <w:rFonts w:hint="eastAsia" w:ascii="宋体" w:hAnsi="宋体" w:eastAsia="宋体" w:cs="宋体"/>
                <w:b/>
                <w:kern w:val="0"/>
                <w:sz w:val="24"/>
                <w:lang w:eastAsia="zh-CN"/>
              </w:rPr>
            </w:pPr>
            <w:r>
              <w:rPr>
                <w:rFonts w:hint="eastAsia" w:ascii="宋体" w:hAnsi="宋体" w:eastAsia="宋体" w:cs="宋体"/>
                <w:b/>
                <w:kern w:val="0"/>
                <w:sz w:val="24"/>
                <w:highlight w:val="white"/>
              </w:rPr>
              <w:t>3</w:t>
            </w:r>
            <w:r>
              <w:rPr>
                <w:rFonts w:hint="eastAsia" w:ascii="宋体" w:hAnsi="宋体" w:cs="宋体"/>
                <w:b/>
                <w:kern w:val="0"/>
                <w:sz w:val="24"/>
                <w:highlight w:val="white"/>
                <w:lang w:val="en-US" w:eastAsia="zh-CN"/>
              </w:rPr>
              <w:t>4</w:t>
            </w:r>
          </w:p>
        </w:tc>
        <w:tc>
          <w:tcPr>
            <w:tcW w:w="2664" w:type="dxa"/>
            <w:tcBorders>
              <w:top w:val="single" w:color="auto" w:sz="4" w:space="0"/>
              <w:left w:val="single" w:color="auto" w:sz="4" w:space="0"/>
              <w:bottom w:val="single" w:color="auto" w:sz="4" w:space="0"/>
              <w:right w:val="single" w:color="auto" w:sz="4" w:space="0"/>
            </w:tcBorders>
            <w:vAlign w:val="center"/>
          </w:tcPr>
          <w:p w14:paraId="785D21F3">
            <w:pPr>
              <w:adjustRightInd w:val="0"/>
              <w:jc w:val="center"/>
              <w:rPr>
                <w:rFonts w:hint="eastAsia" w:ascii="宋体" w:hAnsi="宋体" w:eastAsia="宋体" w:cs="宋体"/>
                <w:b/>
                <w:bCs/>
                <w:color w:val="000000"/>
                <w:sz w:val="24"/>
                <w:highlight w:val="none"/>
                <w:lang w:val="zh-CN"/>
              </w:rPr>
            </w:pPr>
            <w:r>
              <w:rPr>
                <w:rFonts w:hint="eastAsia" w:ascii="宋体" w:hAnsi="宋体" w:eastAsia="宋体" w:cs="宋体"/>
                <w:b/>
                <w:bCs/>
                <w:color w:val="000000"/>
                <w:sz w:val="24"/>
                <w:highlight w:val="none"/>
                <w:lang w:val="zh-CN"/>
              </w:rPr>
              <w:t>付款方式</w:t>
            </w:r>
          </w:p>
        </w:tc>
        <w:tc>
          <w:tcPr>
            <w:tcW w:w="6518" w:type="dxa"/>
            <w:tcBorders>
              <w:top w:val="single" w:color="auto" w:sz="4" w:space="0"/>
              <w:left w:val="single" w:color="auto" w:sz="4" w:space="0"/>
              <w:bottom w:val="single" w:color="auto" w:sz="4" w:space="0"/>
              <w:right w:val="single" w:color="auto" w:sz="4" w:space="0"/>
            </w:tcBorders>
            <w:vAlign w:val="center"/>
          </w:tcPr>
          <w:p w14:paraId="50222528">
            <w:pPr>
              <w:pStyle w:val="45"/>
              <w:spacing w:line="460" w:lineRule="exact"/>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white"/>
                <w:lang w:val="en-US" w:eastAsia="zh-CN" w:bidi="ar-SA"/>
              </w:rPr>
              <w:t>合同签订后，乙方向总站提供合同金额75%增值税普通发票，甲方于15个工作日内，支付合同金额75 %的首付款，服务期结束并通过终验合格后，经甲方审计部门审计后，乙方向甲方提供审定后合同剩余金额增值税普通发票，甲方于15个工作日内，支付合同审定金额的剩余款项。</w:t>
            </w:r>
          </w:p>
        </w:tc>
      </w:tr>
      <w:tr w14:paraId="79C7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566CED4B">
            <w:pPr>
              <w:pStyle w:val="32"/>
              <w:spacing w:line="360" w:lineRule="auto"/>
              <w:jc w:val="center"/>
              <w:rPr>
                <w:rFonts w:hint="eastAsia" w:ascii="宋体" w:hAnsi="宋体" w:eastAsia="宋体" w:cs="宋体"/>
                <w:b/>
                <w:bCs/>
                <w:kern w:val="0"/>
                <w:sz w:val="24"/>
                <w:highlight w:val="white"/>
                <w:lang w:eastAsia="zh-CN"/>
              </w:rPr>
            </w:pPr>
            <w:r>
              <w:rPr>
                <w:rFonts w:hint="eastAsia" w:ascii="宋体" w:hAnsi="宋体" w:eastAsia="宋体" w:cs="宋体"/>
                <w:b/>
                <w:bCs/>
                <w:kern w:val="0"/>
                <w:sz w:val="24"/>
                <w:highlight w:val="white"/>
              </w:rPr>
              <w:t>3</w:t>
            </w:r>
            <w:r>
              <w:rPr>
                <w:rFonts w:hint="eastAsia" w:ascii="宋体" w:hAnsi="宋体" w:eastAsia="宋体" w:cs="宋体"/>
                <w:b/>
                <w:bCs/>
                <w:kern w:val="0"/>
                <w:sz w:val="24"/>
                <w:highlight w:val="white"/>
                <w:lang w:val="en-US" w:eastAsia="zh-CN"/>
              </w:rPr>
              <w:t>5</w:t>
            </w:r>
          </w:p>
        </w:tc>
        <w:tc>
          <w:tcPr>
            <w:tcW w:w="2664" w:type="dxa"/>
            <w:tcBorders>
              <w:top w:val="single" w:color="auto" w:sz="4" w:space="0"/>
              <w:left w:val="single" w:color="auto" w:sz="4" w:space="0"/>
              <w:bottom w:val="single" w:color="auto" w:sz="4" w:space="0"/>
              <w:right w:val="single" w:color="auto" w:sz="4" w:space="0"/>
            </w:tcBorders>
            <w:vAlign w:val="center"/>
          </w:tcPr>
          <w:p w14:paraId="45380220">
            <w:pPr>
              <w:adjustRightInd w:val="0"/>
              <w:spacing w:line="360" w:lineRule="auto"/>
              <w:jc w:val="center"/>
              <w:rPr>
                <w:rFonts w:hint="eastAsia" w:ascii="宋体" w:hAnsi="宋体" w:eastAsia="宋体" w:cs="宋体"/>
                <w:b/>
                <w:bCs/>
                <w:sz w:val="24"/>
                <w:lang w:eastAsia="zh-CN"/>
              </w:rPr>
            </w:pPr>
            <w:r>
              <w:rPr>
                <w:rFonts w:hint="eastAsia" w:ascii="宋体" w:hAnsi="宋体" w:eastAsia="宋体" w:cs="宋体"/>
                <w:b/>
                <w:sz w:val="24"/>
                <w:lang w:val="en-US" w:eastAsia="zh-CN"/>
              </w:rPr>
              <w:t>其他</w:t>
            </w:r>
          </w:p>
        </w:tc>
        <w:tc>
          <w:tcPr>
            <w:tcW w:w="6518" w:type="dxa"/>
            <w:tcBorders>
              <w:top w:val="single" w:color="auto" w:sz="4" w:space="0"/>
              <w:left w:val="single" w:color="auto" w:sz="4" w:space="0"/>
              <w:bottom w:val="single" w:color="auto" w:sz="4" w:space="0"/>
              <w:right w:val="single" w:color="auto" w:sz="4" w:space="0"/>
            </w:tcBorders>
            <w:vAlign w:val="center"/>
          </w:tcPr>
          <w:p w14:paraId="1C0EF44A">
            <w:pPr>
              <w:adjustRightInd w:val="0"/>
              <w:spacing w:line="360" w:lineRule="auto"/>
              <w:rPr>
                <w:rFonts w:hint="eastAsia" w:ascii="宋体" w:hAnsi="宋体" w:eastAsia="宋体" w:cs="宋体"/>
                <w:b/>
                <w:sz w:val="24"/>
              </w:rPr>
            </w:pPr>
            <w:r>
              <w:rPr>
                <w:rFonts w:hint="eastAsia" w:ascii="宋体" w:hAnsi="宋体" w:eastAsia="宋体" w:cs="宋体"/>
                <w:sz w:val="24"/>
              </w:rPr>
              <w:t>成交合同签订后2日内由甲方将合同扫描件发与代理机构，代理机构将合同公示并存档。</w:t>
            </w:r>
          </w:p>
        </w:tc>
      </w:tr>
      <w:tr w14:paraId="5F42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0669A478">
            <w:pPr>
              <w:pStyle w:val="32"/>
              <w:spacing w:line="360" w:lineRule="auto"/>
              <w:jc w:val="center"/>
              <w:rPr>
                <w:rFonts w:hint="eastAsia" w:ascii="宋体" w:hAnsi="宋体" w:eastAsia="宋体" w:cs="宋体"/>
                <w:b/>
                <w:bCs/>
                <w:kern w:val="0"/>
                <w:sz w:val="24"/>
                <w:highlight w:val="white"/>
                <w:lang w:eastAsia="zh-CN"/>
              </w:rPr>
            </w:pPr>
            <w:r>
              <w:rPr>
                <w:rFonts w:hint="eastAsia" w:ascii="宋体" w:hAnsi="宋体" w:eastAsia="宋体" w:cs="宋体"/>
                <w:b/>
                <w:bCs/>
                <w:kern w:val="0"/>
                <w:sz w:val="24"/>
                <w:highlight w:val="white"/>
              </w:rPr>
              <w:t>3</w:t>
            </w:r>
            <w:r>
              <w:rPr>
                <w:rFonts w:hint="eastAsia" w:ascii="宋体" w:hAnsi="宋体" w:eastAsia="宋体" w:cs="宋体"/>
                <w:b/>
                <w:bCs/>
                <w:kern w:val="0"/>
                <w:sz w:val="24"/>
                <w:highlight w:val="white"/>
                <w:lang w:val="en-US" w:eastAsia="zh-CN"/>
              </w:rPr>
              <w:t>6</w:t>
            </w:r>
          </w:p>
        </w:tc>
        <w:tc>
          <w:tcPr>
            <w:tcW w:w="2664" w:type="dxa"/>
            <w:tcBorders>
              <w:top w:val="single" w:color="auto" w:sz="4" w:space="0"/>
              <w:left w:val="single" w:color="auto" w:sz="4" w:space="0"/>
              <w:bottom w:val="single" w:color="auto" w:sz="4" w:space="0"/>
              <w:right w:val="single" w:color="auto" w:sz="4" w:space="0"/>
            </w:tcBorders>
            <w:vAlign w:val="center"/>
          </w:tcPr>
          <w:p w14:paraId="5D5DB7B6">
            <w:pPr>
              <w:snapToGrid w:val="0"/>
              <w:spacing w:line="360" w:lineRule="auto"/>
              <w:jc w:val="center"/>
              <w:rPr>
                <w:rFonts w:hint="eastAsia" w:ascii="宋体" w:hAnsi="宋体" w:eastAsia="宋体" w:cs="宋体"/>
                <w:b/>
                <w:sz w:val="24"/>
              </w:rPr>
            </w:pPr>
            <w:r>
              <w:rPr>
                <w:rFonts w:hint="eastAsia" w:ascii="宋体" w:hAnsi="宋体" w:eastAsia="宋体" w:cs="宋体"/>
                <w:b/>
                <w:sz w:val="24"/>
              </w:rPr>
              <w:t>特别说明</w:t>
            </w:r>
          </w:p>
          <w:p w14:paraId="5AD22B9D">
            <w:pPr>
              <w:pStyle w:val="32"/>
              <w:autoSpaceDE w:val="0"/>
              <w:autoSpaceDN w:val="0"/>
              <w:adjustRightInd w:val="0"/>
              <w:spacing w:line="360" w:lineRule="auto"/>
              <w:jc w:val="center"/>
              <w:rPr>
                <w:rFonts w:hint="eastAsia" w:ascii="宋体" w:hAnsi="宋体" w:eastAsia="宋体" w:cs="宋体"/>
                <w:bCs/>
                <w:sz w:val="24"/>
                <w:highlight w:val="white"/>
              </w:rPr>
            </w:pPr>
          </w:p>
        </w:tc>
        <w:tc>
          <w:tcPr>
            <w:tcW w:w="6518" w:type="dxa"/>
            <w:tcBorders>
              <w:top w:val="single" w:color="auto" w:sz="4" w:space="0"/>
              <w:left w:val="single" w:color="auto" w:sz="4" w:space="0"/>
              <w:bottom w:val="single" w:color="auto" w:sz="4" w:space="0"/>
              <w:right w:val="single" w:color="auto" w:sz="4" w:space="0"/>
            </w:tcBorders>
            <w:vAlign w:val="bottom"/>
          </w:tcPr>
          <w:p w14:paraId="36970DC3">
            <w:pPr>
              <w:snapToGrid w:val="0"/>
              <w:spacing w:line="360" w:lineRule="auto"/>
              <w:rPr>
                <w:rFonts w:hint="eastAsia" w:ascii="宋体" w:hAnsi="宋体" w:eastAsia="宋体" w:cs="宋体"/>
                <w:b/>
                <w:sz w:val="24"/>
              </w:rPr>
            </w:pPr>
            <w:r>
              <w:rPr>
                <w:rFonts w:hint="eastAsia" w:ascii="宋体" w:hAnsi="宋体" w:eastAsia="宋体" w:cs="宋体"/>
                <w:b/>
                <w:sz w:val="24"/>
              </w:rPr>
              <w:t>1.采购人若发现成交或中标候选供应商在</w:t>
            </w:r>
            <w:r>
              <w:rPr>
                <w:rFonts w:hint="eastAsia" w:ascii="宋体" w:hAnsi="宋体" w:eastAsia="宋体" w:cs="宋体"/>
                <w:b/>
                <w:sz w:val="24"/>
                <w:lang w:val="en-US" w:eastAsia="zh-CN"/>
              </w:rPr>
              <w:t>谈判</w:t>
            </w:r>
            <w:r>
              <w:rPr>
                <w:rFonts w:hint="eastAsia" w:ascii="宋体" w:hAnsi="宋体" w:eastAsia="宋体" w:cs="宋体"/>
                <w:b/>
                <w:sz w:val="24"/>
              </w:rPr>
              <w:t>过程中提供虚假证明文件，故意隐瞒公司不良信誉和财务状况，以及其他可能对合同圆满履行造成风险的因素等，则按规定取消其成交资格，监管部门依法进行处理。</w:t>
            </w:r>
          </w:p>
          <w:p w14:paraId="37B7C915">
            <w:pPr>
              <w:snapToGrid w:val="0"/>
              <w:spacing w:line="360" w:lineRule="auto"/>
              <w:rPr>
                <w:rFonts w:hint="eastAsia" w:ascii="宋体" w:hAnsi="宋体" w:eastAsia="宋体" w:cs="宋体"/>
                <w:b/>
                <w:sz w:val="24"/>
              </w:rPr>
            </w:pPr>
            <w:r>
              <w:rPr>
                <w:rFonts w:hint="eastAsia" w:ascii="宋体" w:hAnsi="宋体" w:eastAsia="宋体" w:cs="宋体"/>
                <w:b/>
                <w:sz w:val="24"/>
              </w:rPr>
              <w:t>2.其它：</w:t>
            </w:r>
          </w:p>
          <w:p w14:paraId="2FA26238">
            <w:pPr>
              <w:snapToGrid w:val="0"/>
              <w:spacing w:line="360" w:lineRule="auto"/>
              <w:rPr>
                <w:rFonts w:hint="eastAsia" w:ascii="宋体" w:hAnsi="宋体" w:eastAsia="宋体" w:cs="宋体"/>
                <w:b/>
                <w:sz w:val="24"/>
              </w:rPr>
            </w:pPr>
            <w:r>
              <w:rPr>
                <w:rFonts w:hint="eastAsia" w:ascii="宋体" w:hAnsi="宋体" w:eastAsia="宋体" w:cs="宋体"/>
                <w:b/>
                <w:sz w:val="24"/>
              </w:rPr>
              <w:t>（1）</w:t>
            </w:r>
            <w:r>
              <w:rPr>
                <w:rFonts w:hint="eastAsia" w:ascii="宋体" w:hAnsi="宋体" w:cs="宋体"/>
                <w:b/>
                <w:sz w:val="24"/>
                <w:lang w:val="en-US" w:eastAsia="zh-CN"/>
              </w:rPr>
              <w:t>供应商</w:t>
            </w:r>
            <w:r>
              <w:rPr>
                <w:rFonts w:hint="eastAsia" w:ascii="宋体" w:hAnsi="宋体" w:eastAsia="宋体" w:cs="宋体"/>
                <w:b/>
                <w:sz w:val="24"/>
              </w:rPr>
              <w:t>严格遵守国家的法律法规及招标纪律，无违法违纪及商业贿赂行为。</w:t>
            </w:r>
          </w:p>
          <w:p w14:paraId="657593CA">
            <w:pPr>
              <w:snapToGrid w:val="0"/>
              <w:spacing w:line="360" w:lineRule="auto"/>
              <w:rPr>
                <w:rFonts w:hint="eastAsia" w:ascii="宋体" w:hAnsi="宋体" w:eastAsia="宋体" w:cs="宋体"/>
                <w:b/>
                <w:sz w:val="24"/>
              </w:rPr>
            </w:pPr>
            <w:r>
              <w:rPr>
                <w:rFonts w:hint="eastAsia" w:ascii="宋体" w:hAnsi="宋体" w:eastAsia="宋体" w:cs="宋体"/>
                <w:b/>
                <w:sz w:val="24"/>
              </w:rPr>
              <w:t>（2）不管</w:t>
            </w:r>
            <w:r>
              <w:rPr>
                <w:rFonts w:hint="eastAsia" w:ascii="宋体" w:hAnsi="宋体" w:eastAsia="宋体" w:cs="宋体"/>
                <w:b/>
                <w:kern w:val="0"/>
                <w:sz w:val="24"/>
                <w:highlight w:val="white"/>
                <w:lang w:val="en-US" w:eastAsia="zh-CN"/>
              </w:rPr>
              <w:t>谈判</w:t>
            </w:r>
            <w:r>
              <w:rPr>
                <w:rFonts w:hint="eastAsia" w:ascii="宋体" w:hAnsi="宋体" w:eastAsia="宋体" w:cs="宋体"/>
                <w:b/>
                <w:sz w:val="24"/>
              </w:rPr>
              <w:t>结果如何，供应商均应自行承担</w:t>
            </w:r>
            <w:r>
              <w:rPr>
                <w:rFonts w:hint="eastAsia" w:ascii="宋体" w:hAnsi="宋体" w:eastAsia="宋体" w:cs="宋体"/>
                <w:b/>
                <w:kern w:val="0"/>
                <w:sz w:val="24"/>
                <w:highlight w:val="white"/>
                <w:lang w:val="en-US" w:eastAsia="zh-CN"/>
              </w:rPr>
              <w:t>谈判</w:t>
            </w:r>
            <w:r>
              <w:rPr>
                <w:rFonts w:hint="eastAsia" w:cs="宋体"/>
                <w:bCs/>
                <w:sz w:val="24"/>
                <w:lang w:val="en-US" w:eastAsia="zh-CN"/>
              </w:rPr>
              <w:t>响应</w:t>
            </w:r>
            <w:r>
              <w:rPr>
                <w:rFonts w:hint="eastAsia" w:ascii="宋体" w:hAnsi="宋体" w:eastAsia="宋体" w:cs="宋体"/>
                <w:b/>
                <w:sz w:val="24"/>
              </w:rPr>
              <w:t>所需一切费用。</w:t>
            </w:r>
          </w:p>
          <w:p w14:paraId="3B82ED6F">
            <w:pPr>
              <w:snapToGrid w:val="0"/>
              <w:spacing w:line="360" w:lineRule="auto"/>
              <w:rPr>
                <w:rFonts w:hint="eastAsia" w:ascii="宋体" w:hAnsi="宋体" w:eastAsia="宋体" w:cs="宋体"/>
                <w:b/>
                <w:sz w:val="24"/>
              </w:rPr>
            </w:pPr>
            <w:r>
              <w:rPr>
                <w:rFonts w:hint="eastAsia" w:ascii="宋体" w:hAnsi="宋体" w:eastAsia="宋体" w:cs="宋体"/>
                <w:b/>
                <w:sz w:val="24"/>
              </w:rPr>
              <w:t>（3）供应商应以书面形式保证中标后由本公司组织实施，不得以任何理由将项目转包给其他机构。</w:t>
            </w:r>
          </w:p>
          <w:p w14:paraId="7FCF1A25">
            <w:pPr>
              <w:snapToGrid w:val="0"/>
              <w:spacing w:line="360" w:lineRule="auto"/>
              <w:rPr>
                <w:rFonts w:hint="eastAsia" w:ascii="宋体" w:hAnsi="宋体" w:eastAsia="宋体" w:cs="宋体"/>
                <w:sz w:val="24"/>
                <w:highlight w:val="white"/>
              </w:rPr>
            </w:pPr>
            <w:r>
              <w:rPr>
                <w:rFonts w:hint="eastAsia" w:ascii="宋体" w:hAnsi="宋体" w:eastAsia="宋体" w:cs="宋体"/>
                <w:b/>
                <w:sz w:val="24"/>
              </w:rPr>
              <w:t>谈判文件中如出现前后不一致情况，均以前附表内容为准。</w:t>
            </w:r>
          </w:p>
        </w:tc>
      </w:tr>
      <w:tr w14:paraId="4FA3E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Merge w:val="continue"/>
            <w:tcBorders>
              <w:left w:val="single" w:color="auto" w:sz="4" w:space="0"/>
              <w:bottom w:val="single" w:color="auto" w:sz="4" w:space="0"/>
              <w:right w:val="single" w:color="auto" w:sz="4" w:space="0"/>
            </w:tcBorders>
            <w:vAlign w:val="center"/>
          </w:tcPr>
          <w:p w14:paraId="2348DB71">
            <w:pPr>
              <w:pStyle w:val="32"/>
              <w:spacing w:line="360" w:lineRule="auto"/>
              <w:jc w:val="center"/>
              <w:rPr>
                <w:rFonts w:hint="eastAsia" w:ascii="宋体" w:hAnsi="宋体" w:eastAsia="宋体" w:cs="宋体"/>
                <w:b/>
                <w:kern w:val="0"/>
                <w:sz w:val="24"/>
              </w:rPr>
            </w:pPr>
          </w:p>
        </w:tc>
        <w:tc>
          <w:tcPr>
            <w:tcW w:w="2664" w:type="dxa"/>
            <w:tcBorders>
              <w:top w:val="single" w:color="auto" w:sz="4" w:space="0"/>
              <w:left w:val="single" w:color="auto" w:sz="4" w:space="0"/>
              <w:bottom w:val="single" w:color="auto" w:sz="4" w:space="0"/>
              <w:right w:val="single" w:color="auto" w:sz="4" w:space="0"/>
            </w:tcBorders>
            <w:vAlign w:val="center"/>
          </w:tcPr>
          <w:p w14:paraId="757761CE">
            <w:pPr>
              <w:snapToGrid w:val="0"/>
              <w:spacing w:line="360" w:lineRule="auto"/>
              <w:jc w:val="center"/>
              <w:rPr>
                <w:rFonts w:hint="eastAsia" w:ascii="宋体" w:hAnsi="宋体" w:eastAsia="宋体" w:cs="宋体"/>
                <w:b w:val="0"/>
                <w:bCs/>
                <w:sz w:val="24"/>
                <w:lang w:val="zh-CN"/>
              </w:rPr>
            </w:pPr>
            <w:r>
              <w:rPr>
                <w:rFonts w:hint="eastAsia" w:ascii="宋体" w:hAnsi="宋体" w:eastAsia="宋体" w:cs="宋体"/>
                <w:b w:val="0"/>
                <w:bCs/>
                <w:sz w:val="24"/>
                <w:lang w:val="zh-CN"/>
              </w:rPr>
              <w:t>注意事项</w:t>
            </w:r>
          </w:p>
          <w:p w14:paraId="54887117">
            <w:pPr>
              <w:pStyle w:val="32"/>
              <w:widowControl/>
              <w:wordWrap w:val="0"/>
              <w:rPr>
                <w:rFonts w:hint="eastAsia" w:ascii="宋体" w:hAnsi="宋体" w:eastAsia="宋体" w:cs="宋体"/>
                <w:b/>
                <w:bCs/>
                <w:kern w:val="0"/>
                <w:sz w:val="24"/>
                <w:highlight w:val="white"/>
              </w:rPr>
            </w:pPr>
          </w:p>
        </w:tc>
        <w:tc>
          <w:tcPr>
            <w:tcW w:w="6518" w:type="dxa"/>
            <w:tcBorders>
              <w:top w:val="single" w:color="auto" w:sz="4" w:space="0"/>
              <w:left w:val="single" w:color="auto" w:sz="4" w:space="0"/>
              <w:bottom w:val="single" w:color="auto" w:sz="4" w:space="0"/>
              <w:right w:val="single" w:color="auto" w:sz="4" w:space="0"/>
            </w:tcBorders>
            <w:vAlign w:val="top"/>
          </w:tcPr>
          <w:p w14:paraId="3375E1A4">
            <w:pPr>
              <w:pStyle w:val="47"/>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注意事项：</w:t>
            </w:r>
          </w:p>
          <w:p w14:paraId="3FB7CA3E">
            <w:pPr>
              <w:pStyle w:val="47"/>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）本项目采用远程不见面电子标的方式开标。</w:t>
            </w:r>
          </w:p>
          <w:p w14:paraId="4E39AA3F">
            <w:pPr>
              <w:pStyle w:val="47"/>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2）潜在供应商领取文件须提前完成注册、CA证书和电子签章申领和绑定、下载投标客户端。因未注册入库、未办理CA数字证书、CA证书故障、操作不当等原因造成无法投标或投标失败等后果由供应商自行承担。CA证书办理可通过在线APP理新疆政务通”或新疆CA网点办理CA数字证书和电子签章；若单位已经办理过新疆CA证书且证书符合国产密码算法要求，可直接联系发证机构，申请增加“政采云”招投标电子签章，无需重新办理。</w:t>
            </w:r>
          </w:p>
          <w:p w14:paraId="3674A7D8">
            <w:pPr>
              <w:pStyle w:val="47"/>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（3）供应商操作指南详见政府采购网办事指南、操作指南</w:t>
            </w:r>
          </w:p>
          <w:p w14:paraId="1A6C6AC9">
            <w:pPr>
              <w:pStyle w:val="47"/>
              <w:spacing w:line="360" w:lineRule="auto"/>
              <w:rPr>
                <w:rFonts w:hint="eastAsia" w:ascii="宋体" w:hAnsi="宋体" w:eastAsia="宋体" w:cs="宋体"/>
                <w:sz w:val="24"/>
                <w:szCs w:val="24"/>
                <w:highlight w:val="white"/>
              </w:rPr>
            </w:pPr>
            <w:r>
              <w:rPr>
                <w:rFonts w:hint="eastAsia" w:ascii="宋体" w:hAnsi="宋体" w:eastAsia="宋体" w:cs="宋体"/>
                <w:sz w:val="24"/>
                <w:szCs w:val="24"/>
                <w:lang w:val="zh-CN"/>
              </w:rPr>
              <w:t>（4）系统操作问题请咨询技术支持电话0991-2899144，CA办理问题请咨询新疆CA服务电话0991-2819290，或加QQ号800175577。</w:t>
            </w:r>
          </w:p>
        </w:tc>
      </w:tr>
    </w:tbl>
    <w:p w14:paraId="43B20692">
      <w:pPr>
        <w:spacing w:line="360" w:lineRule="auto"/>
        <w:rPr>
          <w:rFonts w:hint="eastAsia" w:ascii="宋体" w:hAnsi="宋体" w:eastAsia="宋体" w:cs="宋体"/>
          <w:b/>
          <w:sz w:val="24"/>
        </w:rPr>
      </w:pPr>
    </w:p>
    <w:p w14:paraId="6BF5E3FB">
      <w:pPr>
        <w:jc w:val="left"/>
        <w:rPr>
          <w:rFonts w:hint="eastAsia" w:ascii="宋体" w:hAnsi="宋体" w:eastAsia="宋体" w:cs="宋体"/>
          <w:b/>
          <w:sz w:val="32"/>
          <w:szCs w:val="32"/>
        </w:rPr>
      </w:pPr>
      <w:r>
        <w:rPr>
          <w:rFonts w:hint="eastAsia" w:ascii="宋体" w:hAnsi="宋体" w:eastAsia="宋体" w:cs="宋体"/>
          <w:b/>
          <w:sz w:val="32"/>
          <w:szCs w:val="32"/>
        </w:rPr>
        <w:br w:type="page"/>
      </w:r>
    </w:p>
    <w:p w14:paraId="43984161">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一、总则</w:t>
      </w:r>
      <w:bookmarkStart w:id="54" w:name="_Toc12439"/>
      <w:bookmarkStart w:id="55" w:name="_Toc24105"/>
    </w:p>
    <w:p w14:paraId="578385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bookmarkEnd w:id="54"/>
      <w:bookmarkEnd w:id="55"/>
      <w:r>
        <w:rPr>
          <w:rFonts w:hint="eastAsia" w:ascii="宋体" w:hAnsi="宋体" w:eastAsia="宋体" w:cs="宋体"/>
          <w:color w:val="auto"/>
          <w:sz w:val="24"/>
          <w:szCs w:val="24"/>
          <w:highlight w:val="none"/>
          <w:lang w:val="en-US" w:eastAsia="zh-CN"/>
        </w:rPr>
        <w:t>1. 项目说明</w:t>
      </w:r>
    </w:p>
    <w:p w14:paraId="62DC7C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 本项目的说明详见</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须知前附表（以下简称“前附表”）所述。</w:t>
      </w:r>
    </w:p>
    <w:p w14:paraId="07E417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1.2本采购项目已经批准，采购单位为中华人民共和国新疆出入境边防检查总站，该项目已具备采购条件，现对该项目进行竞争性谈判采购。</w:t>
      </w:r>
    </w:p>
    <w:p w14:paraId="00E45F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1.3本采购项目供应商的资格审查采取资格后审方式。本次采购不接受联合体投标、不接受备选方案。</w:t>
      </w:r>
    </w:p>
    <w:p w14:paraId="7E451D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供应商必须符合供应商须知前附表说明，通过资格后审的供应商为合格的供应商。合格的供应商必须符合采购文件中对供应商的规定，且具备独立完成所投项目或所投标段的能力，中标后不允许转包、违法分包。</w:t>
      </w:r>
    </w:p>
    <w:p w14:paraId="54C22B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 资格后审包括下列的内容</w:t>
      </w:r>
    </w:p>
    <w:p w14:paraId="694D51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1.4.1 供应商具有独立法人资格并满足“前附表”规定的资格要求 ；</w:t>
      </w:r>
    </w:p>
    <w:p w14:paraId="16943E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1.4.2谈判文件有要求供应商法定代表人或其授权代表签字或盖章和加盖供应商公章要求的，供应商须按采购文件要求签署；</w:t>
      </w:r>
    </w:p>
    <w:p w14:paraId="7D2876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1.4.3</w:t>
      </w:r>
      <w:r>
        <w:rPr>
          <w:rFonts w:hint="eastAsia" w:ascii="宋体" w:hAnsi="宋体" w:eastAsia="宋体" w:cs="宋体"/>
          <w:color w:val="auto"/>
          <w:sz w:val="24"/>
          <w:szCs w:val="24"/>
          <w:highlight w:val="none"/>
          <w:lang w:val="zh-CN" w:eastAsia="zh-CN"/>
        </w:rPr>
        <w:t>合同履约期限</w:t>
      </w:r>
      <w:r>
        <w:rPr>
          <w:rFonts w:hint="eastAsia" w:ascii="宋体" w:hAnsi="宋体" w:eastAsia="宋体" w:cs="宋体"/>
          <w:color w:val="auto"/>
          <w:sz w:val="24"/>
          <w:szCs w:val="24"/>
          <w:highlight w:val="none"/>
          <w:lang w:val="en-US" w:eastAsia="zh-CN"/>
        </w:rPr>
        <w:t>符合谈判文件要求；</w:t>
      </w:r>
    </w:p>
    <w:p w14:paraId="28E72B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1.4.4项目地点符合谈判文件规定；</w:t>
      </w:r>
    </w:p>
    <w:p w14:paraId="4F775E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1.4.5</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val="en-US" w:eastAsia="zh-CN"/>
        </w:rPr>
        <w:t>内容、数量、质量、</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val="en-US" w:eastAsia="zh-CN"/>
        </w:rPr>
        <w:t>要求等满足谈判文件要求；</w:t>
      </w:r>
    </w:p>
    <w:p w14:paraId="3230B7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1.4.6谈判响应文件中所提条件均须符合采购人的要求；</w:t>
      </w:r>
    </w:p>
    <w:p w14:paraId="7B5135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1.4.7符合谈判文件中规定的其他实质性要求；</w:t>
      </w:r>
    </w:p>
    <w:p w14:paraId="5D7D54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1.4.8无法律、法规和规章禁止的其他情况。</w:t>
      </w:r>
    </w:p>
    <w:p w14:paraId="31DD3C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采购范围</w:t>
      </w:r>
    </w:p>
    <w:p w14:paraId="02FBCD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2.1本采购项目采购范围已通过谈判文件第四部分所述，指本项目谈判文件中范围内所要求的所有工作内容。</w:t>
      </w:r>
    </w:p>
    <w:p w14:paraId="5CAF19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 适用法律及约束力</w:t>
      </w:r>
    </w:p>
    <w:p w14:paraId="1FCD5F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 本次采购及由本次采购产生的合同受中华人民共和国的相关法律、法规制约和保护。供应商一旦领取了谈判文件并参加本项目，即被认为接受了谈判文件中的所有条件和规定。</w:t>
      </w:r>
    </w:p>
    <w:p w14:paraId="10A5FA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采购项目实施要求</w:t>
      </w:r>
    </w:p>
    <w:p w14:paraId="2C3010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w:t>
      </w:r>
      <w:r>
        <w:rPr>
          <w:rFonts w:hint="eastAsia" w:ascii="宋体" w:hAnsi="宋体" w:eastAsia="宋体" w:cs="宋体"/>
          <w:color w:val="auto"/>
          <w:sz w:val="24"/>
          <w:szCs w:val="24"/>
          <w:highlight w:val="none"/>
          <w:lang w:val="zh-CN" w:eastAsia="zh-CN"/>
        </w:rPr>
        <w:t>合同履约期</w:t>
      </w:r>
      <w:r>
        <w:rPr>
          <w:rFonts w:hint="eastAsia" w:ascii="宋体" w:hAnsi="宋体" w:eastAsia="宋体" w:cs="宋体"/>
          <w:color w:val="auto"/>
          <w:sz w:val="24"/>
          <w:szCs w:val="24"/>
          <w:highlight w:val="none"/>
          <w:lang w:val="en-US" w:eastAsia="zh-CN"/>
        </w:rPr>
        <w:t>要求已在谈判文件第四部分所述。</w:t>
      </w:r>
    </w:p>
    <w:p w14:paraId="23E4FD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 供应方与采购人签订合同后，按照谈判文件及合同相关的要求到项目实施地点完成项目实施。</w:t>
      </w:r>
    </w:p>
    <w:p w14:paraId="0B4E43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合同履约期</w:t>
      </w:r>
    </w:p>
    <w:p w14:paraId="3D79E8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5.1 </w:t>
      </w:r>
      <w:r>
        <w:rPr>
          <w:rFonts w:hint="eastAsia" w:ascii="宋体" w:hAnsi="宋体" w:eastAsia="宋体" w:cs="宋体"/>
          <w:color w:val="auto"/>
          <w:sz w:val="24"/>
          <w:szCs w:val="24"/>
          <w:highlight w:val="none"/>
          <w:lang w:val="zh-CN" w:eastAsia="zh-CN"/>
        </w:rPr>
        <w:t>合同履约期</w:t>
      </w:r>
      <w:r>
        <w:rPr>
          <w:rFonts w:hint="eastAsia" w:ascii="宋体" w:hAnsi="宋体" w:eastAsia="宋体" w:cs="宋体"/>
          <w:color w:val="auto"/>
          <w:sz w:val="24"/>
          <w:szCs w:val="24"/>
          <w:highlight w:val="none"/>
          <w:lang w:val="en-US" w:eastAsia="zh-CN"/>
        </w:rPr>
        <w:t>已通过“前附表”所述，是指项目验收合格并移交采购人的时间；项目地点已通过“前附表”所述。</w:t>
      </w:r>
    </w:p>
    <w:p w14:paraId="360E3E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 资金来源</w:t>
      </w:r>
    </w:p>
    <w:p w14:paraId="16A8ED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6.1采购单位的资金通过“前附表”第 8 项所述的方式获得，并将部分资金用于本项目合同下的合格支付。</w:t>
      </w:r>
    </w:p>
    <w:p w14:paraId="12AB7A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7.供应商资格要求</w:t>
      </w:r>
    </w:p>
    <w:p w14:paraId="7DBB66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7.1满足《中华人民共和国政府采购法》第二十二条规定；</w:t>
      </w:r>
    </w:p>
    <w:p w14:paraId="7BAC70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落实政府采购政策需满足的资格要求：</w:t>
      </w:r>
      <w:r>
        <w:rPr>
          <w:rFonts w:hint="eastAsia" w:ascii="宋体" w:hAnsi="宋体" w:eastAsia="宋体" w:cs="宋体"/>
          <w:color w:val="auto"/>
          <w:sz w:val="24"/>
          <w:szCs w:val="24"/>
          <w:highlight w:val="none"/>
          <w:lang w:val="en-US" w:eastAsia="zh-CN"/>
        </w:rPr>
        <w:t>本项目专门面向中小企业采购；</w:t>
      </w:r>
    </w:p>
    <w:p w14:paraId="5CFF7CCA">
      <w:pPr>
        <w:pStyle w:val="20"/>
        <w:adjustRightInd w:val="0"/>
        <w:snapToGrid w:val="0"/>
        <w:spacing w:before="0" w:beforeAutospacing="0" w:after="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cs="宋体"/>
          <w:sz w:val="24"/>
          <w:szCs w:val="24"/>
          <w:lang w:val="en-US" w:eastAsia="zh-CN"/>
        </w:rPr>
        <w:t>3</w:t>
      </w:r>
      <w:r>
        <w:rPr>
          <w:rFonts w:hint="eastAsia" w:ascii="宋体" w:hAnsi="宋体" w:eastAsia="宋体" w:cs="宋体"/>
          <w:sz w:val="24"/>
          <w:szCs w:val="24"/>
        </w:rPr>
        <w:t>供应商未被列入“信用中国”网站(www.creditchina.gov.cn)证记录失信被执行人或重大税收违法案件当事人名单或政府采购严重违法失信行为”记录名单；未处于中国政府采购 网(www.ccgp.gov.cn)当政府采购严重违法失信行为信息记录”中；</w:t>
      </w:r>
    </w:p>
    <w:p w14:paraId="1BD11A56">
      <w:pPr>
        <w:pStyle w:val="20"/>
        <w:adjustRightInd w:val="0"/>
        <w:snapToGrid w:val="0"/>
        <w:spacing w:before="0" w:beforeAutospacing="0" w:after="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cs="宋体"/>
          <w:sz w:val="24"/>
          <w:szCs w:val="24"/>
          <w:lang w:val="en-US" w:eastAsia="zh-CN"/>
        </w:rPr>
        <w:t>4</w:t>
      </w:r>
      <w:r>
        <w:rPr>
          <w:rFonts w:hint="eastAsia" w:ascii="宋体" w:hAnsi="宋体" w:eastAsia="宋体" w:cs="宋体"/>
          <w:sz w:val="24"/>
          <w:szCs w:val="24"/>
        </w:rPr>
        <w:t>单位负责人为同一人或者存在控股、管理关系的不同单位，不得同时参加本项目的</w:t>
      </w:r>
      <w:r>
        <w:rPr>
          <w:rFonts w:hint="eastAsia" w:ascii="宋体" w:hAnsi="宋体" w:eastAsia="宋体" w:cs="宋体"/>
          <w:sz w:val="24"/>
          <w:szCs w:val="24"/>
          <w:lang w:val="en-US" w:eastAsia="zh-CN"/>
        </w:rPr>
        <w:t>谈判响应</w:t>
      </w:r>
      <w:r>
        <w:rPr>
          <w:rFonts w:hint="eastAsia" w:ascii="宋体" w:hAnsi="宋体" w:eastAsia="宋体" w:cs="宋体"/>
          <w:sz w:val="24"/>
          <w:szCs w:val="24"/>
        </w:rPr>
        <w:t>。为本项目提供整体设计、规范编制或者项目管理、监理、检测等服务的</w:t>
      </w:r>
      <w:r>
        <w:rPr>
          <w:rFonts w:hint="eastAsia" w:cs="宋体"/>
          <w:sz w:val="24"/>
          <w:szCs w:val="24"/>
          <w:lang w:val="en-US" w:eastAsia="zh-CN"/>
        </w:rPr>
        <w:t>供应商</w:t>
      </w:r>
      <w:r>
        <w:rPr>
          <w:rFonts w:hint="eastAsia" w:ascii="宋体" w:hAnsi="宋体" w:eastAsia="宋体" w:cs="宋体"/>
          <w:sz w:val="24"/>
          <w:szCs w:val="24"/>
        </w:rPr>
        <w:t>，不得再参加本项目</w:t>
      </w:r>
      <w:r>
        <w:rPr>
          <w:rFonts w:hint="eastAsia" w:ascii="宋体" w:hAnsi="宋体" w:eastAsia="宋体" w:cs="宋体"/>
          <w:sz w:val="24"/>
          <w:szCs w:val="24"/>
          <w:lang w:val="en-US" w:eastAsia="zh-CN"/>
        </w:rPr>
        <w:t>谈判响应</w:t>
      </w:r>
      <w:r>
        <w:rPr>
          <w:rFonts w:hint="eastAsia" w:ascii="宋体" w:hAnsi="宋体" w:eastAsia="宋体" w:cs="宋体"/>
          <w:sz w:val="24"/>
          <w:szCs w:val="24"/>
        </w:rPr>
        <w:t>；</w:t>
      </w:r>
    </w:p>
    <w:p w14:paraId="7D380478">
      <w:pPr>
        <w:pStyle w:val="20"/>
        <w:adjustRightInd w:val="0"/>
        <w:snapToGrid w:val="0"/>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sz w:val="24"/>
          <w:szCs w:val="24"/>
          <w:lang w:val="en-US" w:eastAsia="zh-CN"/>
        </w:rPr>
        <w:t>7.</w:t>
      </w:r>
      <w:r>
        <w:rPr>
          <w:rFonts w:hint="eastAsia" w:cs="宋体"/>
          <w:sz w:val="24"/>
          <w:szCs w:val="24"/>
          <w:lang w:val="en-US" w:eastAsia="zh-CN"/>
        </w:rPr>
        <w:t>5</w:t>
      </w:r>
      <w:r>
        <w:rPr>
          <w:rFonts w:hint="eastAsia" w:ascii="宋体" w:hAnsi="宋体" w:eastAsia="宋体" w:cs="宋体"/>
          <w:sz w:val="24"/>
          <w:szCs w:val="24"/>
        </w:rPr>
        <w:t>本项目不接受联合体投标。</w:t>
      </w: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r>
        <w:rPr>
          <w:rFonts w:hint="eastAsia" w:ascii="宋体" w:hAnsi="宋体" w:eastAsia="宋体" w:cs="宋体"/>
        </w:rPr>
        <w:t xml:space="preserve">               </w:t>
      </w:r>
    </w:p>
    <w:p w14:paraId="6724D41B">
      <w:pPr>
        <w:pStyle w:val="20"/>
        <w:adjustRightInd w:val="0"/>
        <w:snapToGrid w:val="0"/>
        <w:spacing w:before="0" w:beforeAutospacing="0" w:after="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8. </w:t>
      </w:r>
      <w:r>
        <w:rPr>
          <w:rFonts w:hint="eastAsia" w:cs="宋体"/>
          <w:sz w:val="24"/>
          <w:szCs w:val="24"/>
          <w:lang w:val="en-US" w:eastAsia="zh-CN"/>
        </w:rPr>
        <w:t>谈判</w:t>
      </w:r>
      <w:r>
        <w:rPr>
          <w:rFonts w:hint="eastAsia" w:ascii="宋体" w:hAnsi="宋体" w:eastAsia="宋体" w:cs="宋体"/>
          <w:sz w:val="24"/>
          <w:szCs w:val="24"/>
        </w:rPr>
        <w:t>费用</w:t>
      </w:r>
    </w:p>
    <w:p w14:paraId="700D19E4">
      <w:pPr>
        <w:pStyle w:val="20"/>
        <w:adjustRightInd w:val="0"/>
        <w:snapToGrid w:val="0"/>
        <w:spacing w:before="0" w:beforeAutospacing="0" w:after="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供应商应承担其编制谈判响应文件与递交谈判响应文件所涉及的一切费用，不论</w:t>
      </w:r>
      <w:r>
        <w:rPr>
          <w:rFonts w:hint="eastAsia" w:ascii="宋体" w:hAnsi="宋体" w:eastAsia="宋体" w:cs="宋体"/>
          <w:sz w:val="24"/>
          <w:szCs w:val="24"/>
          <w:lang w:val="en-US" w:eastAsia="zh-CN"/>
        </w:rPr>
        <w:t>谈判</w:t>
      </w:r>
      <w:r>
        <w:rPr>
          <w:rFonts w:hint="eastAsia" w:ascii="宋体" w:hAnsi="宋体" w:eastAsia="宋体" w:cs="宋体"/>
          <w:sz w:val="24"/>
          <w:szCs w:val="24"/>
        </w:rPr>
        <w:t>结果如何，采购人或采购代理机构均无义务和责任承担这些费用。</w:t>
      </w:r>
    </w:p>
    <w:p w14:paraId="09A8D2CC">
      <w:pPr>
        <w:pStyle w:val="20"/>
        <w:adjustRightInd w:val="0"/>
        <w:snapToGrid w:val="0"/>
        <w:spacing w:before="0" w:beforeAutospacing="0" w:after="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 授权委托</w:t>
      </w:r>
    </w:p>
    <w:p w14:paraId="48619D77">
      <w:pPr>
        <w:pStyle w:val="20"/>
        <w:adjustRightInd w:val="0"/>
        <w:snapToGrid w:val="0"/>
        <w:spacing w:before="0" w:beforeAutospacing="0" w:after="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9.1 供应商代表为法定代表人的，应持有法定代表人身份证明书和法定代表人身份证；供应商代表不是供应商的法定代表人的，应持有授权委托书和授权代表人的身份证。</w:t>
      </w:r>
    </w:p>
    <w:p w14:paraId="78FA570F">
      <w:pPr>
        <w:pStyle w:val="20"/>
        <w:adjustRightInd w:val="0"/>
        <w:snapToGrid w:val="0"/>
        <w:spacing w:before="0" w:beforeAutospacing="0" w:after="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 联合体投标</w:t>
      </w:r>
    </w:p>
    <w:p w14:paraId="374ABF24">
      <w:pPr>
        <w:pStyle w:val="20"/>
        <w:adjustRightInd w:val="0"/>
        <w:snapToGrid w:val="0"/>
        <w:spacing w:before="0" w:beforeAutospacing="0" w:after="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10.1投标须知前附表规定接受联合体投标的，供应商可以联合体形式投标；联合体投标的，除应符合本章第9</w:t>
      </w:r>
      <w:r>
        <w:rPr>
          <w:rFonts w:hint="eastAsia" w:ascii="宋体" w:hAnsi="宋体" w:eastAsia="宋体" w:cs="宋体"/>
          <w:sz w:val="24"/>
          <w:szCs w:val="24"/>
          <w:lang w:val="zh-CN"/>
        </w:rPr>
        <w:t>款</w:t>
      </w:r>
      <w:r>
        <w:rPr>
          <w:rFonts w:hint="eastAsia" w:ascii="宋体" w:hAnsi="宋体" w:eastAsia="宋体" w:cs="宋体"/>
          <w:sz w:val="24"/>
          <w:szCs w:val="24"/>
        </w:rPr>
        <w:t xml:space="preserve">规定外，还应遵守以下规定： </w:t>
      </w:r>
    </w:p>
    <w:p w14:paraId="28EE8CA6">
      <w:pPr>
        <w:pStyle w:val="20"/>
        <w:adjustRightInd w:val="0"/>
        <w:snapToGrid w:val="0"/>
        <w:spacing w:before="0" w:beforeAutospacing="0" w:after="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（l）联合体各方应按谈判文件提供的格式签订联合协议，明确联合体牵头人和各方的权利义务、合同工作量比例；</w:t>
      </w:r>
    </w:p>
    <w:p w14:paraId="4DBA066F">
      <w:pPr>
        <w:pStyle w:val="20"/>
        <w:adjustRightInd w:val="0"/>
        <w:snapToGrid w:val="0"/>
        <w:spacing w:before="0" w:beforeAutospacing="0" w:after="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（2）联合体各方中至少应当有一方符合本章第7.3款规定的供应商特定资格条件；</w:t>
      </w:r>
    </w:p>
    <w:p w14:paraId="65CCDFC2">
      <w:pPr>
        <w:pStyle w:val="20"/>
        <w:adjustRightInd w:val="0"/>
        <w:snapToGrid w:val="0"/>
        <w:spacing w:before="0" w:beforeAutospacing="0" w:after="0" w:afterAutospacing="0" w:line="360" w:lineRule="auto"/>
        <w:ind w:firstLine="480" w:firstLineChars="200"/>
        <w:rPr>
          <w:rFonts w:hint="eastAsia" w:ascii="宋体" w:hAnsi="宋体" w:eastAsia="宋体" w:cs="宋体"/>
          <w:sz w:val="24"/>
        </w:rPr>
      </w:pPr>
      <w:r>
        <w:rPr>
          <w:rFonts w:hint="eastAsia" w:ascii="宋体" w:hAnsi="宋体" w:eastAsia="宋体" w:cs="宋体"/>
          <w:sz w:val="24"/>
          <w:szCs w:val="24"/>
        </w:rPr>
        <w:t>（3）联合体各方签订联合体协议书后，不得再单独参加或者与其他供应商组成</w:t>
      </w:r>
      <w:r>
        <w:rPr>
          <w:rFonts w:hint="eastAsia" w:ascii="宋体" w:hAnsi="宋体" w:eastAsia="宋体" w:cs="宋体"/>
          <w:bCs/>
          <w:kern w:val="0"/>
          <w:sz w:val="24"/>
        </w:rPr>
        <w:t>新的联合体参加同一项目的采购活动。</w:t>
      </w:r>
    </w:p>
    <w:p w14:paraId="55DD65C2">
      <w:pPr>
        <w:spacing w:line="360" w:lineRule="auto"/>
        <w:jc w:val="center"/>
        <w:rPr>
          <w:rFonts w:hint="eastAsia" w:ascii="宋体" w:hAnsi="宋体" w:eastAsia="宋体" w:cs="宋体"/>
          <w:b/>
          <w:bCs/>
          <w:sz w:val="24"/>
        </w:rPr>
      </w:pPr>
      <w:r>
        <w:rPr>
          <w:rFonts w:hint="eastAsia" w:ascii="宋体" w:hAnsi="宋体" w:eastAsia="宋体" w:cs="宋体"/>
          <w:b/>
          <w:sz w:val="32"/>
          <w:szCs w:val="32"/>
        </w:rPr>
        <w:t>二、谈判文件</w:t>
      </w:r>
    </w:p>
    <w:p w14:paraId="6DC10122">
      <w:pPr>
        <w:spacing w:line="360" w:lineRule="auto"/>
        <w:ind w:firstLine="482" w:firstLineChars="200"/>
        <w:jc w:val="left"/>
        <w:outlineLvl w:val="0"/>
        <w:rPr>
          <w:rFonts w:hint="eastAsia" w:ascii="宋体" w:hAnsi="宋体" w:eastAsia="宋体" w:cs="宋体"/>
          <w:sz w:val="24"/>
        </w:rPr>
      </w:pPr>
      <w:bookmarkStart w:id="56" w:name="_Toc22645"/>
      <w:bookmarkStart w:id="57" w:name="_Toc30290"/>
      <w:bookmarkStart w:id="58" w:name="_Toc489694828"/>
      <w:bookmarkStart w:id="59" w:name="_Toc20940"/>
      <w:bookmarkStart w:id="60" w:name="_Toc22169"/>
      <w:bookmarkStart w:id="61" w:name="_Toc490155531"/>
      <w:bookmarkStart w:id="62" w:name="_Toc21951"/>
      <w:bookmarkStart w:id="63" w:name="_Toc30887"/>
      <w:bookmarkStart w:id="64" w:name="_Toc10962"/>
      <w:bookmarkStart w:id="65" w:name="_Toc8983598"/>
      <w:r>
        <w:rPr>
          <w:rFonts w:hint="eastAsia" w:ascii="宋体" w:hAnsi="宋体" w:eastAsia="宋体" w:cs="宋体"/>
          <w:b/>
          <w:bCs/>
          <w:sz w:val="24"/>
        </w:rPr>
        <w:t>1.谈判文件构成</w:t>
      </w:r>
      <w:bookmarkEnd w:id="56"/>
      <w:bookmarkEnd w:id="57"/>
      <w:bookmarkEnd w:id="58"/>
      <w:bookmarkEnd w:id="59"/>
      <w:bookmarkEnd w:id="60"/>
      <w:bookmarkEnd w:id="61"/>
      <w:bookmarkEnd w:id="62"/>
      <w:bookmarkEnd w:id="63"/>
      <w:bookmarkEnd w:id="64"/>
      <w:bookmarkEnd w:id="65"/>
    </w:p>
    <w:p w14:paraId="2EC6FD1E">
      <w:pPr>
        <w:spacing w:line="360" w:lineRule="auto"/>
        <w:jc w:val="left"/>
        <w:rPr>
          <w:rFonts w:hint="eastAsia" w:ascii="宋体" w:hAnsi="宋体" w:eastAsia="宋体" w:cs="宋体"/>
          <w:sz w:val="24"/>
        </w:rPr>
      </w:pPr>
      <w:r>
        <w:rPr>
          <w:rFonts w:hint="eastAsia" w:ascii="宋体" w:hAnsi="宋体" w:eastAsia="宋体" w:cs="宋体"/>
          <w:sz w:val="24"/>
        </w:rPr>
        <w:t xml:space="preserve">    第一部分 谈判公告；</w:t>
      </w:r>
    </w:p>
    <w:p w14:paraId="032C2104">
      <w:pPr>
        <w:spacing w:line="360" w:lineRule="auto"/>
        <w:jc w:val="left"/>
        <w:rPr>
          <w:rFonts w:hint="eastAsia" w:ascii="宋体" w:hAnsi="宋体" w:eastAsia="宋体" w:cs="宋体"/>
          <w:sz w:val="24"/>
        </w:rPr>
      </w:pPr>
      <w:r>
        <w:rPr>
          <w:rFonts w:hint="eastAsia" w:ascii="宋体" w:hAnsi="宋体" w:eastAsia="宋体" w:cs="宋体"/>
          <w:sz w:val="24"/>
        </w:rPr>
        <w:t xml:space="preserve">    第二部分 供应商须知；</w:t>
      </w:r>
    </w:p>
    <w:p w14:paraId="784716AA">
      <w:pPr>
        <w:spacing w:line="360" w:lineRule="auto"/>
        <w:ind w:firstLine="480" w:firstLineChars="200"/>
        <w:jc w:val="left"/>
        <w:rPr>
          <w:rFonts w:hint="eastAsia" w:ascii="宋体" w:hAnsi="宋体" w:eastAsia="宋体" w:cs="宋体"/>
          <w:b/>
          <w:sz w:val="24"/>
        </w:rPr>
      </w:pPr>
      <w:r>
        <w:rPr>
          <w:rFonts w:hint="eastAsia" w:ascii="宋体" w:hAnsi="宋体" w:eastAsia="宋体" w:cs="宋体"/>
          <w:sz w:val="24"/>
        </w:rPr>
        <w:t>第三部分 授予合同；</w:t>
      </w:r>
    </w:p>
    <w:p w14:paraId="344F60CC">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第四部分 技术要求；</w:t>
      </w:r>
    </w:p>
    <w:p w14:paraId="5822033E">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第五部分 </w:t>
      </w:r>
      <w:r>
        <w:rPr>
          <w:rFonts w:hint="eastAsia" w:ascii="宋体" w:hAnsi="宋体" w:eastAsia="宋体" w:cs="宋体"/>
          <w:kern w:val="0"/>
          <w:sz w:val="24"/>
        </w:rPr>
        <w:t>谈判响应文件</w:t>
      </w:r>
      <w:r>
        <w:rPr>
          <w:rFonts w:hint="eastAsia" w:ascii="宋体" w:hAnsi="宋体" w:eastAsia="宋体" w:cs="宋体"/>
          <w:sz w:val="24"/>
        </w:rPr>
        <w:t>格式。</w:t>
      </w:r>
    </w:p>
    <w:p w14:paraId="1396563A">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供应商获取谈判文件后，应仔细检查谈判文件页数和附件数量，如发现有缺漏，请及时与采购人联系补全。如果供应商不按上述要求操作而造成不良后果，采购人不承担责任。</w:t>
      </w:r>
    </w:p>
    <w:p w14:paraId="526A8B00">
      <w:pPr>
        <w:spacing w:line="360" w:lineRule="auto"/>
        <w:ind w:firstLine="482" w:firstLineChars="200"/>
        <w:outlineLvl w:val="0"/>
        <w:rPr>
          <w:rFonts w:hint="eastAsia" w:ascii="宋体" w:hAnsi="宋体" w:eastAsia="宋体" w:cs="宋体"/>
          <w:sz w:val="24"/>
        </w:rPr>
      </w:pPr>
      <w:bookmarkStart w:id="66" w:name="_Toc9319"/>
      <w:bookmarkStart w:id="67" w:name="_Toc17002"/>
      <w:bookmarkStart w:id="68" w:name="_Toc8983599"/>
      <w:bookmarkStart w:id="69" w:name="_Toc1191"/>
      <w:bookmarkStart w:id="70" w:name="_Toc3299"/>
      <w:bookmarkStart w:id="71" w:name="_Toc11971"/>
      <w:bookmarkStart w:id="72" w:name="_Toc8885"/>
      <w:bookmarkStart w:id="73" w:name="_Toc489694829"/>
      <w:bookmarkStart w:id="74" w:name="_Toc490155532"/>
      <w:bookmarkStart w:id="75" w:name="_Toc11320"/>
      <w:r>
        <w:rPr>
          <w:rFonts w:hint="eastAsia" w:ascii="宋体" w:hAnsi="宋体" w:eastAsia="宋体" w:cs="宋体"/>
          <w:b/>
          <w:bCs/>
          <w:sz w:val="24"/>
        </w:rPr>
        <w:t>2.谈判文件的澄清</w:t>
      </w:r>
      <w:bookmarkEnd w:id="66"/>
      <w:bookmarkEnd w:id="67"/>
      <w:bookmarkEnd w:id="68"/>
      <w:bookmarkEnd w:id="69"/>
      <w:bookmarkEnd w:id="70"/>
      <w:bookmarkEnd w:id="71"/>
      <w:bookmarkEnd w:id="72"/>
      <w:bookmarkEnd w:id="73"/>
      <w:bookmarkEnd w:id="74"/>
      <w:bookmarkEnd w:id="75"/>
    </w:p>
    <w:p w14:paraId="524520D9">
      <w:pPr>
        <w:spacing w:line="360" w:lineRule="auto"/>
        <w:ind w:firstLine="480" w:firstLineChars="200"/>
        <w:jc w:val="left"/>
        <w:outlineLvl w:val="0"/>
        <w:rPr>
          <w:rFonts w:hint="eastAsia" w:ascii="宋体" w:hAnsi="宋体" w:eastAsia="宋体" w:cs="宋体"/>
          <w:sz w:val="24"/>
        </w:rPr>
      </w:pPr>
      <w:bookmarkStart w:id="76" w:name="_Toc2360"/>
      <w:bookmarkStart w:id="77" w:name="_Toc5743"/>
      <w:bookmarkStart w:id="78" w:name="_Toc490155533"/>
      <w:bookmarkStart w:id="79" w:name="_Toc489694830"/>
      <w:bookmarkStart w:id="80" w:name="_Toc8983600"/>
      <w:bookmarkStart w:id="81" w:name="_Toc28654"/>
      <w:bookmarkStart w:id="82" w:name="_Toc8379"/>
      <w:bookmarkStart w:id="83" w:name="_Toc29687"/>
      <w:bookmarkStart w:id="84" w:name="_Toc8138"/>
      <w:bookmarkStart w:id="85" w:name="_Toc25023"/>
      <w:r>
        <w:rPr>
          <w:rFonts w:hint="eastAsia" w:ascii="宋体" w:hAnsi="宋体" w:eastAsia="宋体" w:cs="宋体"/>
          <w:sz w:val="24"/>
        </w:rPr>
        <w:t>2.1 任何要求对谈判文件进行澄清的供应商，均应在</w:t>
      </w:r>
      <w:r>
        <w:rPr>
          <w:rFonts w:hint="eastAsia" w:ascii="宋体" w:hAnsi="宋体" w:eastAsia="宋体" w:cs="宋体"/>
          <w:sz w:val="24"/>
          <w:lang w:val="en-US" w:eastAsia="zh-CN"/>
        </w:rPr>
        <w:t>谈判响应</w:t>
      </w:r>
      <w:r>
        <w:rPr>
          <w:rFonts w:hint="eastAsia" w:ascii="宋体" w:hAnsi="宋体" w:eastAsia="宋体" w:cs="宋体"/>
          <w:sz w:val="24"/>
        </w:rPr>
        <w:t>截止时间至少3日前以书面形式通知采购代理机构，采购代理机构负责联络采购人，并将以书面形式答复所有供应商，答复中包括所提问题，但不包括问题的来源。</w:t>
      </w:r>
      <w:bookmarkEnd w:id="76"/>
      <w:bookmarkEnd w:id="77"/>
      <w:bookmarkEnd w:id="78"/>
      <w:bookmarkEnd w:id="79"/>
      <w:bookmarkEnd w:id="80"/>
      <w:bookmarkEnd w:id="81"/>
      <w:bookmarkEnd w:id="82"/>
    </w:p>
    <w:p w14:paraId="2A7FAA4F">
      <w:pPr>
        <w:spacing w:line="360" w:lineRule="auto"/>
        <w:ind w:firstLine="480" w:firstLineChars="200"/>
        <w:jc w:val="left"/>
        <w:outlineLvl w:val="0"/>
        <w:rPr>
          <w:rFonts w:hint="eastAsia" w:ascii="宋体" w:hAnsi="宋体" w:eastAsia="宋体" w:cs="宋体"/>
          <w:sz w:val="24"/>
        </w:rPr>
      </w:pPr>
      <w:bookmarkStart w:id="86" w:name="_Toc32317"/>
      <w:bookmarkStart w:id="87" w:name="_Toc31105"/>
      <w:bookmarkStart w:id="88" w:name="_Toc8983601"/>
      <w:bookmarkStart w:id="89" w:name="_Toc14409"/>
      <w:bookmarkStart w:id="90" w:name="_Toc490155534"/>
      <w:bookmarkStart w:id="91" w:name="_Toc1006"/>
      <w:bookmarkStart w:id="92" w:name="_Toc489694831"/>
      <w:r>
        <w:rPr>
          <w:rFonts w:hint="eastAsia" w:ascii="宋体" w:hAnsi="宋体" w:eastAsia="宋体" w:cs="宋体"/>
          <w:sz w:val="24"/>
        </w:rPr>
        <w:t>2.2 谈判文件的澄清内容可能影响谈判响应文件编制且澄清发出时间距</w:t>
      </w:r>
      <w:r>
        <w:rPr>
          <w:rFonts w:hint="eastAsia" w:ascii="宋体" w:hAnsi="宋体" w:eastAsia="宋体" w:cs="宋体"/>
          <w:sz w:val="24"/>
          <w:lang w:val="en-US" w:eastAsia="zh-CN"/>
        </w:rPr>
        <w:t>谈判响应</w:t>
      </w:r>
      <w:r>
        <w:rPr>
          <w:rFonts w:hint="eastAsia" w:ascii="宋体" w:hAnsi="宋体" w:eastAsia="宋体" w:cs="宋体"/>
          <w:sz w:val="24"/>
        </w:rPr>
        <w:t>截止时间不足3日的，为使供应商在准备响应文件时有合理的时间考虑谈判文件的澄清，采购人/采购代理机构可顺延</w:t>
      </w:r>
      <w:r>
        <w:rPr>
          <w:rFonts w:hint="eastAsia" w:ascii="宋体" w:hAnsi="宋体" w:eastAsia="宋体" w:cs="宋体"/>
          <w:sz w:val="24"/>
          <w:lang w:val="en-US" w:eastAsia="zh-CN"/>
        </w:rPr>
        <w:t>谈判响应</w:t>
      </w:r>
      <w:r>
        <w:rPr>
          <w:rFonts w:hint="eastAsia" w:ascii="宋体" w:hAnsi="宋体" w:eastAsia="宋体" w:cs="宋体"/>
          <w:sz w:val="24"/>
        </w:rPr>
        <w:t>截止时间。</w:t>
      </w:r>
      <w:bookmarkEnd w:id="86"/>
      <w:bookmarkEnd w:id="87"/>
      <w:bookmarkEnd w:id="88"/>
      <w:bookmarkEnd w:id="89"/>
      <w:bookmarkEnd w:id="90"/>
      <w:bookmarkEnd w:id="91"/>
      <w:bookmarkEnd w:id="92"/>
    </w:p>
    <w:p w14:paraId="3AFCA6EF">
      <w:pPr>
        <w:spacing w:line="360" w:lineRule="auto"/>
        <w:ind w:firstLine="482" w:firstLineChars="200"/>
        <w:jc w:val="left"/>
        <w:outlineLvl w:val="0"/>
        <w:rPr>
          <w:rFonts w:hint="eastAsia" w:ascii="宋体" w:hAnsi="宋体" w:eastAsia="宋体" w:cs="宋体"/>
          <w:b/>
          <w:bCs/>
          <w:sz w:val="24"/>
        </w:rPr>
      </w:pPr>
      <w:bookmarkStart w:id="93" w:name="_Toc489694832"/>
      <w:bookmarkStart w:id="94" w:name="_Toc27010"/>
      <w:bookmarkStart w:id="95" w:name="_Toc23254"/>
      <w:bookmarkStart w:id="96" w:name="_Toc19987"/>
      <w:bookmarkStart w:id="97" w:name="_Toc490155535"/>
      <w:bookmarkStart w:id="98" w:name="_Toc8983602"/>
      <w:bookmarkStart w:id="99" w:name="_Toc23548"/>
      <w:r>
        <w:rPr>
          <w:rFonts w:hint="eastAsia" w:ascii="宋体" w:hAnsi="宋体" w:eastAsia="宋体" w:cs="宋体"/>
          <w:b/>
          <w:bCs/>
          <w:sz w:val="24"/>
        </w:rPr>
        <w:t>3.谈判文件的修改</w:t>
      </w:r>
      <w:bookmarkEnd w:id="83"/>
      <w:bookmarkEnd w:id="84"/>
      <w:bookmarkEnd w:id="85"/>
      <w:bookmarkEnd w:id="93"/>
      <w:bookmarkEnd w:id="94"/>
      <w:bookmarkEnd w:id="95"/>
      <w:bookmarkEnd w:id="96"/>
      <w:bookmarkEnd w:id="97"/>
      <w:bookmarkEnd w:id="98"/>
      <w:bookmarkEnd w:id="99"/>
    </w:p>
    <w:p w14:paraId="57DD5869">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3.1在谈判响应文件接收截止日期前，采购人可以更正公告或补充文件的形式对谈判文件进行修改。</w:t>
      </w:r>
    </w:p>
    <w:p w14:paraId="629EB32F">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3.2谈判文件的修改将以书面形式通知所有已报名供应商，并对供应商具有约束力。供应商收到修改文件后，应于1个工作日内回复代理机构，逾期不回的，视同已收。</w:t>
      </w:r>
    </w:p>
    <w:p w14:paraId="4163184B">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3.3采购人或者采购代理机构可以对已发出的谈判文件进行必要的澄清或者修改。澄清或者修改的内容可能影响谈判响应文件编制的，采购人或者采购代理机构应当在</w:t>
      </w:r>
      <w:r>
        <w:rPr>
          <w:rFonts w:hint="eastAsia" w:ascii="宋体" w:hAnsi="宋体" w:eastAsia="宋体" w:cs="宋体"/>
          <w:sz w:val="24"/>
          <w:lang w:val="en-US" w:eastAsia="zh-CN"/>
        </w:rPr>
        <w:t>谈判响应</w:t>
      </w:r>
      <w:r>
        <w:rPr>
          <w:rFonts w:hint="eastAsia" w:ascii="宋体" w:hAnsi="宋体" w:eastAsia="宋体" w:cs="宋体"/>
          <w:sz w:val="24"/>
        </w:rPr>
        <w:t>截止时间至少3日前，以书面形式通知所有获取谈判文件的所有已经报名的供应商；不足3日的，采购人或者采购代理机构应当顺延提交谈判响应文件的截止时间。</w:t>
      </w:r>
    </w:p>
    <w:p w14:paraId="575B44FE">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3.4代理机构发出的所有补充、修改和变更文件均作为谈判文件的组成部分，与谈判文件具有同等法律效力。</w:t>
      </w:r>
    </w:p>
    <w:p w14:paraId="4C49D3EF">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三、谈判响应文件的编制</w:t>
      </w:r>
    </w:p>
    <w:p w14:paraId="733DCEF5">
      <w:pPr>
        <w:spacing w:line="360" w:lineRule="auto"/>
        <w:ind w:firstLine="482" w:firstLineChars="200"/>
        <w:jc w:val="left"/>
        <w:outlineLvl w:val="0"/>
        <w:rPr>
          <w:rFonts w:hint="eastAsia" w:ascii="宋体" w:hAnsi="宋体" w:eastAsia="宋体" w:cs="宋体"/>
          <w:b/>
          <w:bCs/>
          <w:sz w:val="24"/>
        </w:rPr>
      </w:pPr>
      <w:bookmarkStart w:id="100" w:name="_Toc2521"/>
      <w:bookmarkStart w:id="101" w:name="_Toc16886"/>
      <w:bookmarkStart w:id="102" w:name="_Toc16774"/>
      <w:bookmarkStart w:id="103" w:name="_Toc29360"/>
      <w:bookmarkStart w:id="104" w:name="_Toc8983603"/>
      <w:bookmarkStart w:id="105" w:name="_Toc489694833"/>
      <w:bookmarkStart w:id="106" w:name="_Toc490155536"/>
      <w:bookmarkStart w:id="107" w:name="_Toc1710"/>
      <w:bookmarkStart w:id="108" w:name="_Toc4613"/>
      <w:bookmarkStart w:id="109" w:name="_Toc16867"/>
      <w:r>
        <w:rPr>
          <w:rFonts w:hint="eastAsia" w:ascii="宋体" w:hAnsi="宋体" w:eastAsia="宋体" w:cs="宋体"/>
          <w:b/>
          <w:bCs/>
          <w:sz w:val="24"/>
        </w:rPr>
        <w:t>1.谈判响应文件的编制要求</w:t>
      </w:r>
      <w:bookmarkEnd w:id="100"/>
      <w:bookmarkEnd w:id="101"/>
      <w:bookmarkEnd w:id="102"/>
      <w:bookmarkEnd w:id="103"/>
      <w:bookmarkEnd w:id="104"/>
      <w:bookmarkEnd w:id="105"/>
      <w:bookmarkEnd w:id="106"/>
      <w:bookmarkEnd w:id="107"/>
      <w:bookmarkEnd w:id="108"/>
      <w:bookmarkEnd w:id="109"/>
    </w:p>
    <w:p w14:paraId="3DD68E40">
      <w:pPr>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应仔细阅读“谈判文件”的所有内容，谈判响应文件应用中文编写。谈判响应文件的书面内容不得有加行、涂抹或改写。谈判响应文件应当采用政采云线上上传方式；采购人及采购代理机构不接受电报、电话、传真</w:t>
      </w:r>
      <w:r>
        <w:rPr>
          <w:rFonts w:hint="eastAsia" w:ascii="宋体" w:hAnsi="宋体" w:eastAsia="宋体" w:cs="宋体"/>
          <w:sz w:val="24"/>
          <w:lang w:val="en-US" w:eastAsia="zh-CN"/>
        </w:rPr>
        <w:t>谈判响应</w:t>
      </w:r>
      <w:r>
        <w:rPr>
          <w:rFonts w:hint="eastAsia" w:ascii="宋体" w:hAnsi="宋体" w:eastAsia="宋体" w:cs="宋体"/>
          <w:sz w:val="24"/>
        </w:rPr>
        <w:t>。供应商应按“谈判文件”的要求编制“谈判响应文件”，并保证所提供的全部资料的真实性、完整性及有效性，以使其</w:t>
      </w:r>
      <w:r>
        <w:rPr>
          <w:rFonts w:hint="eastAsia" w:ascii="宋体" w:hAnsi="宋体" w:eastAsia="宋体" w:cs="宋体"/>
          <w:sz w:val="24"/>
          <w:lang w:val="en-US" w:eastAsia="zh-CN"/>
        </w:rPr>
        <w:t>谈判响应</w:t>
      </w:r>
      <w:r>
        <w:rPr>
          <w:rFonts w:hint="eastAsia" w:ascii="宋体" w:hAnsi="宋体" w:eastAsia="宋体" w:cs="宋体"/>
          <w:sz w:val="24"/>
        </w:rPr>
        <w:t>对“谈判文件”作出实质性响应。否则，谈判响应文件可能被拒绝。对同项目以同一供应商名义，上传两套或以上的谈判响应文件，其</w:t>
      </w:r>
      <w:r>
        <w:rPr>
          <w:rFonts w:hint="eastAsia" w:ascii="宋体" w:hAnsi="宋体" w:eastAsia="宋体" w:cs="宋体"/>
          <w:sz w:val="24"/>
          <w:lang w:val="en-US" w:eastAsia="zh-CN"/>
        </w:rPr>
        <w:t>谈判响应</w:t>
      </w:r>
      <w:r>
        <w:rPr>
          <w:rFonts w:hint="eastAsia" w:ascii="宋体" w:hAnsi="宋体" w:eastAsia="宋体" w:cs="宋体"/>
          <w:sz w:val="24"/>
        </w:rPr>
        <w:t>无效。</w:t>
      </w:r>
    </w:p>
    <w:p w14:paraId="350E97BE">
      <w:pPr>
        <w:spacing w:line="360" w:lineRule="auto"/>
        <w:ind w:firstLine="482" w:firstLineChars="200"/>
        <w:jc w:val="left"/>
        <w:outlineLvl w:val="0"/>
        <w:rPr>
          <w:rFonts w:hint="eastAsia" w:ascii="宋体" w:hAnsi="宋体" w:eastAsia="宋体" w:cs="宋体"/>
          <w:b/>
          <w:bCs/>
          <w:sz w:val="24"/>
        </w:rPr>
      </w:pPr>
      <w:bookmarkStart w:id="110" w:name="_Toc490155537"/>
      <w:bookmarkStart w:id="111" w:name="_Toc8983604"/>
      <w:bookmarkStart w:id="112" w:name="_Toc489694834"/>
      <w:bookmarkStart w:id="113" w:name="_Toc10201"/>
      <w:bookmarkStart w:id="114" w:name="_Toc24459"/>
      <w:bookmarkStart w:id="115" w:name="_Toc11034"/>
      <w:bookmarkStart w:id="116" w:name="_Toc4819"/>
      <w:bookmarkStart w:id="117" w:name="_Toc1320"/>
      <w:bookmarkStart w:id="118" w:name="_Toc26523"/>
      <w:bookmarkStart w:id="119" w:name="_Toc12827"/>
      <w:r>
        <w:rPr>
          <w:rFonts w:hint="eastAsia" w:ascii="宋体" w:hAnsi="宋体" w:eastAsia="宋体" w:cs="宋体"/>
          <w:b/>
          <w:bCs/>
          <w:sz w:val="24"/>
        </w:rPr>
        <w:t>2.</w:t>
      </w:r>
      <w:bookmarkEnd w:id="110"/>
      <w:bookmarkEnd w:id="111"/>
      <w:bookmarkEnd w:id="112"/>
      <w:bookmarkEnd w:id="113"/>
      <w:bookmarkEnd w:id="114"/>
      <w:bookmarkEnd w:id="115"/>
      <w:r>
        <w:rPr>
          <w:rFonts w:hint="eastAsia" w:ascii="宋体" w:hAnsi="宋体" w:eastAsia="宋体" w:cs="宋体"/>
          <w:b/>
          <w:bCs/>
          <w:sz w:val="24"/>
        </w:rPr>
        <w:t>谈判响应文件的组成</w:t>
      </w:r>
      <w:bookmarkEnd w:id="116"/>
      <w:bookmarkEnd w:id="117"/>
      <w:bookmarkEnd w:id="118"/>
      <w:bookmarkEnd w:id="119"/>
    </w:p>
    <w:p w14:paraId="2EF209C3">
      <w:pPr>
        <w:spacing w:line="360" w:lineRule="auto"/>
        <w:ind w:firstLine="480" w:firstLineChars="200"/>
        <w:jc w:val="left"/>
        <w:outlineLvl w:val="0"/>
        <w:rPr>
          <w:rFonts w:hint="eastAsia" w:ascii="宋体" w:hAnsi="宋体" w:eastAsia="宋体" w:cs="宋体"/>
          <w:sz w:val="24"/>
        </w:rPr>
      </w:pPr>
      <w:bookmarkStart w:id="120" w:name="_Toc28390"/>
      <w:bookmarkStart w:id="121" w:name="_Toc31961"/>
      <w:bookmarkStart w:id="122" w:name="_Toc13716"/>
      <w:bookmarkStart w:id="123" w:name="_Toc15370"/>
      <w:bookmarkStart w:id="124" w:name="_Toc18022"/>
      <w:bookmarkStart w:id="125" w:name="_Toc26401"/>
      <w:bookmarkStart w:id="126" w:name="_Toc490155539"/>
      <w:bookmarkStart w:id="127" w:name="_Toc8983605"/>
      <w:bookmarkStart w:id="128" w:name="_Toc489694836"/>
      <w:bookmarkStart w:id="129" w:name="_Toc24426"/>
      <w:r>
        <w:rPr>
          <w:rFonts w:hint="eastAsia" w:ascii="宋体" w:hAnsi="宋体" w:eastAsia="宋体" w:cs="宋体"/>
          <w:sz w:val="24"/>
        </w:rPr>
        <w:t>谈判响应文件应分为“商务文件”和“技术文件”两个部分组成。</w:t>
      </w:r>
      <w:bookmarkEnd w:id="120"/>
      <w:bookmarkEnd w:id="121"/>
      <w:bookmarkEnd w:id="122"/>
      <w:bookmarkEnd w:id="123"/>
    </w:p>
    <w:p w14:paraId="148E7C79">
      <w:pPr>
        <w:spacing w:line="360" w:lineRule="auto"/>
        <w:ind w:firstLine="480" w:firstLineChars="200"/>
        <w:jc w:val="left"/>
        <w:outlineLvl w:val="0"/>
        <w:rPr>
          <w:rFonts w:hint="eastAsia" w:ascii="宋体" w:hAnsi="宋体" w:eastAsia="宋体" w:cs="宋体"/>
          <w:sz w:val="24"/>
          <w:lang w:eastAsia="zh-CN"/>
        </w:rPr>
      </w:pPr>
      <w:bookmarkStart w:id="130" w:name="_Toc21195"/>
      <w:bookmarkStart w:id="131" w:name="_Toc150"/>
      <w:bookmarkStart w:id="132" w:name="_Toc1762"/>
      <w:bookmarkStart w:id="133" w:name="_Toc24899"/>
      <w:r>
        <w:rPr>
          <w:rFonts w:hint="eastAsia" w:ascii="宋体" w:hAnsi="宋体" w:eastAsia="宋体" w:cs="宋体"/>
          <w:sz w:val="24"/>
        </w:rPr>
        <w:t>2.1</w:t>
      </w:r>
      <w:bookmarkEnd w:id="130"/>
      <w:bookmarkEnd w:id="131"/>
      <w:r>
        <w:rPr>
          <w:rFonts w:hint="eastAsia" w:ascii="宋体" w:hAnsi="宋体" w:eastAsia="宋体" w:cs="宋体"/>
          <w:sz w:val="24"/>
          <w:lang w:val="en-US" w:eastAsia="zh-CN"/>
        </w:rPr>
        <w:t>经济部分</w:t>
      </w:r>
      <w:bookmarkEnd w:id="132"/>
      <w:bookmarkEnd w:id="133"/>
    </w:p>
    <w:p w14:paraId="3048D629">
      <w:pPr>
        <w:spacing w:line="360" w:lineRule="auto"/>
        <w:ind w:firstLine="480" w:firstLineChars="200"/>
        <w:jc w:val="left"/>
        <w:outlineLvl w:val="0"/>
        <w:rPr>
          <w:rFonts w:hint="eastAsia" w:ascii="宋体" w:hAnsi="宋体" w:eastAsia="宋体" w:cs="宋体"/>
          <w:sz w:val="24"/>
        </w:rPr>
      </w:pPr>
      <w:bookmarkStart w:id="134" w:name="_Toc31435"/>
      <w:bookmarkStart w:id="135" w:name="_Toc9083"/>
      <w:bookmarkStart w:id="136" w:name="_Toc13486"/>
      <w:bookmarkStart w:id="137" w:name="_Toc22546"/>
      <w:r>
        <w:rPr>
          <w:rFonts w:hint="eastAsia" w:ascii="宋体" w:hAnsi="宋体" w:eastAsia="宋体" w:cs="宋体"/>
          <w:sz w:val="24"/>
        </w:rPr>
        <w:t>2.2</w:t>
      </w:r>
      <w:r>
        <w:rPr>
          <w:rFonts w:hint="eastAsia" w:ascii="宋体" w:hAnsi="宋体" w:eastAsia="宋体" w:cs="宋体"/>
          <w:sz w:val="24"/>
          <w:lang w:val="en-US" w:eastAsia="zh-CN"/>
        </w:rPr>
        <w:t>商务</w:t>
      </w:r>
      <w:r>
        <w:rPr>
          <w:rFonts w:hint="eastAsia" w:ascii="宋体" w:hAnsi="宋体" w:eastAsia="宋体" w:cs="宋体"/>
          <w:sz w:val="24"/>
        </w:rPr>
        <w:t>技术文件</w:t>
      </w:r>
      <w:bookmarkEnd w:id="134"/>
      <w:bookmarkEnd w:id="135"/>
      <w:bookmarkEnd w:id="136"/>
      <w:bookmarkEnd w:id="137"/>
    </w:p>
    <w:p w14:paraId="50F7AB5E">
      <w:pPr>
        <w:spacing w:line="360" w:lineRule="auto"/>
        <w:ind w:firstLine="482" w:firstLineChars="200"/>
        <w:jc w:val="left"/>
        <w:outlineLvl w:val="0"/>
        <w:rPr>
          <w:rFonts w:hint="eastAsia" w:ascii="宋体" w:hAnsi="宋体" w:eastAsia="宋体" w:cs="宋体"/>
          <w:sz w:val="24"/>
        </w:rPr>
      </w:pPr>
      <w:bookmarkStart w:id="138" w:name="_Toc26499"/>
      <w:bookmarkStart w:id="139" w:name="_Toc9474"/>
      <w:bookmarkStart w:id="140" w:name="_Toc1204"/>
      <w:bookmarkStart w:id="141" w:name="_Toc9441"/>
      <w:r>
        <w:rPr>
          <w:rFonts w:hint="eastAsia" w:ascii="宋体" w:hAnsi="宋体" w:eastAsia="宋体" w:cs="宋体"/>
          <w:b/>
          <w:bCs/>
          <w:sz w:val="24"/>
        </w:rPr>
        <w:t>3.响应文件格式</w:t>
      </w:r>
      <w:bookmarkEnd w:id="124"/>
      <w:bookmarkEnd w:id="125"/>
      <w:bookmarkEnd w:id="126"/>
      <w:bookmarkEnd w:id="127"/>
      <w:bookmarkEnd w:id="128"/>
      <w:bookmarkEnd w:id="129"/>
      <w:bookmarkEnd w:id="138"/>
      <w:bookmarkEnd w:id="139"/>
      <w:bookmarkEnd w:id="140"/>
      <w:bookmarkEnd w:id="141"/>
    </w:p>
    <w:p w14:paraId="5A0F9472">
      <w:pPr>
        <w:spacing w:before="91" w:line="360" w:lineRule="auto"/>
        <w:ind w:left="14" w:firstLine="470" w:firstLineChars="200"/>
        <w:rPr>
          <w:rFonts w:hint="eastAsia" w:ascii="宋体" w:hAnsi="宋体" w:eastAsia="宋体" w:cs="宋体"/>
          <w:b/>
          <w:bCs/>
          <w:color w:val="auto"/>
          <w:sz w:val="24"/>
          <w:szCs w:val="24"/>
          <w:highlight w:val="none"/>
        </w:rPr>
      </w:pPr>
      <w:bookmarkStart w:id="142" w:name="_Toc5953"/>
      <w:bookmarkStart w:id="143" w:name="_Toc27609"/>
      <w:bookmarkStart w:id="144" w:name="_Toc8983606"/>
      <w:r>
        <w:rPr>
          <w:rFonts w:hint="eastAsia" w:ascii="宋体" w:hAnsi="宋体" w:eastAsia="宋体" w:cs="宋体"/>
          <w:b/>
          <w:bCs/>
          <w:color w:val="auto"/>
          <w:spacing w:val="-3"/>
          <w:sz w:val="24"/>
          <w:szCs w:val="24"/>
          <w:highlight w:val="none"/>
        </w:rPr>
        <w:t>一、价格文件</w:t>
      </w:r>
    </w:p>
    <w:p w14:paraId="31B83FA6">
      <w:pPr>
        <w:spacing w:before="24" w:line="360" w:lineRule="auto"/>
        <w:ind w:left="21" w:firstLine="45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1.1</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6"/>
          <w:sz w:val="24"/>
          <w:szCs w:val="24"/>
          <w:highlight w:val="none"/>
        </w:rPr>
        <w:t>报价一览表</w:t>
      </w:r>
    </w:p>
    <w:p w14:paraId="31D523D3">
      <w:pPr>
        <w:spacing w:before="28" w:line="360" w:lineRule="auto"/>
        <w:ind w:left="18" w:firstLine="47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pacing w:val="-3"/>
          <w:sz w:val="24"/>
          <w:szCs w:val="24"/>
          <w:highlight w:val="none"/>
        </w:rPr>
        <w:t>二、资格审查资料</w:t>
      </w:r>
    </w:p>
    <w:p w14:paraId="50E4D0D5">
      <w:pPr>
        <w:spacing w:before="1" w:line="360" w:lineRule="auto"/>
        <w:ind w:left="17" w:firstLine="47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pacing w:val="-3"/>
          <w:sz w:val="24"/>
          <w:szCs w:val="24"/>
          <w:highlight w:val="none"/>
        </w:rPr>
        <w:t>三、商务技术文件</w:t>
      </w:r>
    </w:p>
    <w:p w14:paraId="215B7D37">
      <w:pPr>
        <w:spacing w:before="23" w:line="360" w:lineRule="auto"/>
        <w:ind w:left="6" w:firstLine="46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3.1</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4"/>
          <w:sz w:val="24"/>
          <w:szCs w:val="24"/>
          <w:highlight w:val="none"/>
          <w:lang w:eastAsia="zh-CN"/>
        </w:rPr>
        <w:t>谈判</w:t>
      </w:r>
      <w:r>
        <w:rPr>
          <w:rFonts w:hint="eastAsia" w:ascii="宋体" w:hAnsi="宋体" w:eastAsia="宋体" w:cs="宋体"/>
          <w:color w:val="auto"/>
          <w:spacing w:val="-4"/>
          <w:sz w:val="24"/>
          <w:szCs w:val="24"/>
          <w:highlight w:val="none"/>
        </w:rPr>
        <w:t>响应函</w:t>
      </w:r>
    </w:p>
    <w:p w14:paraId="4A3FE1EE">
      <w:pPr>
        <w:spacing w:before="23" w:line="360" w:lineRule="auto"/>
        <w:ind w:left="6" w:firstLine="46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3.2</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4"/>
          <w:sz w:val="24"/>
          <w:szCs w:val="24"/>
          <w:highlight w:val="none"/>
        </w:rPr>
        <w:t>商务需求条款响应表</w:t>
      </w:r>
    </w:p>
    <w:p w14:paraId="0AEE1571">
      <w:pPr>
        <w:spacing w:before="27" w:line="360" w:lineRule="auto"/>
        <w:ind w:left="6" w:firstLine="476" w:firstLineChars="2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3.3 拟派项目负责人及管理技术人员一览表</w:t>
      </w:r>
    </w:p>
    <w:p w14:paraId="5B3983F4">
      <w:pPr>
        <w:spacing w:before="23" w:line="360" w:lineRule="auto"/>
        <w:ind w:left="6"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3.4</w:t>
      </w:r>
      <w:r>
        <w:rPr>
          <w:rFonts w:hint="eastAsia" w:ascii="宋体" w:hAnsi="宋体" w:eastAsia="宋体" w:cs="宋体"/>
          <w:color w:val="auto"/>
          <w:spacing w:val="-4"/>
          <w:sz w:val="24"/>
          <w:szCs w:val="24"/>
          <w:highlight w:val="none"/>
        </w:rPr>
        <w:t>法定代表人身份证明书</w:t>
      </w:r>
    </w:p>
    <w:p w14:paraId="3D39FF75">
      <w:pPr>
        <w:spacing w:before="27" w:line="360" w:lineRule="auto"/>
        <w:ind w:left="6" w:firstLine="476" w:firstLineChars="200"/>
        <w:rPr>
          <w:rFonts w:hint="default"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3.5</w:t>
      </w:r>
      <w:r>
        <w:rPr>
          <w:rFonts w:hint="eastAsia" w:ascii="宋体" w:hAnsi="宋体" w:eastAsia="宋体" w:cs="宋体"/>
          <w:color w:val="auto"/>
          <w:spacing w:val="-1"/>
          <w:sz w:val="24"/>
          <w:szCs w:val="24"/>
          <w:highlight w:val="none"/>
        </w:rPr>
        <w:t>法定代表人授权书格式</w:t>
      </w:r>
    </w:p>
    <w:p w14:paraId="11B7632D">
      <w:pPr>
        <w:spacing w:before="27" w:line="360" w:lineRule="auto"/>
        <w:ind w:left="6" w:firstLine="476" w:firstLineChars="2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3.6供应商基本情况表</w:t>
      </w:r>
    </w:p>
    <w:p w14:paraId="61C5F347">
      <w:pPr>
        <w:spacing w:before="27" w:line="360" w:lineRule="auto"/>
        <w:ind w:left="6" w:firstLine="476" w:firstLineChars="2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3.7 《反商业贿赂承诺书》</w:t>
      </w:r>
    </w:p>
    <w:p w14:paraId="0E2BB9EF">
      <w:pPr>
        <w:spacing w:before="27" w:line="360" w:lineRule="auto"/>
        <w:ind w:left="6" w:firstLine="476" w:firstLineChars="2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3.8 主要股东及出资人信息</w:t>
      </w:r>
    </w:p>
    <w:p w14:paraId="595C760C">
      <w:pPr>
        <w:spacing w:before="27" w:line="360" w:lineRule="auto"/>
        <w:ind w:left="6" w:firstLine="476" w:firstLineChars="200"/>
        <w:rPr>
          <w:rFonts w:hint="eastAsia" w:ascii="宋体" w:hAnsi="宋体" w:eastAsia="宋体" w:cs="宋体"/>
          <w:color w:val="auto"/>
          <w:highlight w:val="none"/>
        </w:rPr>
      </w:pPr>
      <w:r>
        <w:rPr>
          <w:rFonts w:hint="eastAsia" w:ascii="宋体" w:hAnsi="宋体" w:eastAsia="宋体" w:cs="宋体"/>
          <w:color w:val="auto"/>
          <w:spacing w:val="-1"/>
          <w:sz w:val="24"/>
          <w:szCs w:val="24"/>
          <w:highlight w:val="none"/>
        </w:rPr>
        <w:t>3.</w:t>
      </w:r>
      <w:r>
        <w:rPr>
          <w:rFonts w:hint="eastAsia" w:ascii="宋体" w:hAnsi="宋体" w:cs="宋体"/>
          <w:color w:val="auto"/>
          <w:spacing w:val="-1"/>
          <w:sz w:val="24"/>
          <w:szCs w:val="24"/>
          <w:highlight w:val="none"/>
          <w:lang w:val="en-US" w:eastAsia="zh-CN"/>
        </w:rPr>
        <w:t>9</w:t>
      </w:r>
      <w:r>
        <w:rPr>
          <w:rFonts w:hint="eastAsia" w:ascii="宋体" w:hAnsi="宋体" w:eastAsia="宋体" w:cs="宋体"/>
          <w:color w:val="auto"/>
          <w:spacing w:val="-1"/>
          <w:sz w:val="24"/>
          <w:szCs w:val="24"/>
          <w:highlight w:val="none"/>
        </w:rPr>
        <w:t xml:space="preserve"> 供应商认为需要提供的其他资料</w:t>
      </w:r>
    </w:p>
    <w:p w14:paraId="324E73E2">
      <w:pPr>
        <w:snapToGrid w:val="0"/>
        <w:spacing w:line="360" w:lineRule="auto"/>
        <w:ind w:left="23" w:leftChars="11" w:firstLine="513" w:firstLineChars="213"/>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u w:val="single"/>
        </w:rPr>
        <w:t>以上所需的各种营业执照、证书等证明材料若系复印件，需在复印件上盖上有效的公章。</w:t>
      </w:r>
    </w:p>
    <w:bookmarkEnd w:id="142"/>
    <w:bookmarkEnd w:id="143"/>
    <w:p w14:paraId="11963BAF">
      <w:pPr>
        <w:spacing w:line="360" w:lineRule="auto"/>
        <w:ind w:firstLine="482" w:firstLineChars="200"/>
        <w:jc w:val="left"/>
        <w:outlineLvl w:val="0"/>
        <w:rPr>
          <w:rFonts w:hint="eastAsia" w:ascii="宋体" w:hAnsi="宋体" w:eastAsia="宋体" w:cs="宋体"/>
          <w:sz w:val="24"/>
        </w:rPr>
      </w:pPr>
      <w:bookmarkStart w:id="145" w:name="_Toc31364"/>
      <w:bookmarkStart w:id="146" w:name="_Toc23026"/>
      <w:bookmarkStart w:id="147" w:name="_Toc3398"/>
      <w:bookmarkStart w:id="148" w:name="_Toc9924"/>
      <w:r>
        <w:rPr>
          <w:rFonts w:hint="eastAsia" w:ascii="宋体" w:hAnsi="宋体" w:eastAsia="宋体" w:cs="宋体"/>
          <w:b/>
          <w:bCs/>
          <w:sz w:val="24"/>
        </w:rPr>
        <w:t>4.</w:t>
      </w:r>
      <w:r>
        <w:rPr>
          <w:rFonts w:hint="eastAsia" w:ascii="宋体" w:hAnsi="宋体" w:eastAsia="宋体" w:cs="宋体"/>
          <w:b/>
          <w:bCs/>
          <w:sz w:val="24"/>
          <w:lang w:val="en-US" w:eastAsia="zh-CN"/>
        </w:rPr>
        <w:t>谈判响应</w:t>
      </w:r>
      <w:r>
        <w:rPr>
          <w:rFonts w:hint="eastAsia" w:ascii="宋体" w:hAnsi="宋体" w:eastAsia="宋体" w:cs="宋体"/>
          <w:b/>
          <w:bCs/>
          <w:sz w:val="24"/>
        </w:rPr>
        <w:t>报价</w:t>
      </w:r>
      <w:bookmarkEnd w:id="144"/>
      <w:bookmarkEnd w:id="145"/>
      <w:bookmarkEnd w:id="146"/>
      <w:bookmarkEnd w:id="147"/>
      <w:bookmarkEnd w:id="148"/>
    </w:p>
    <w:p w14:paraId="52CBC15C">
      <w:pPr>
        <w:spacing w:line="360" w:lineRule="auto"/>
        <w:ind w:firstLine="480" w:firstLineChars="200"/>
        <w:jc w:val="left"/>
        <w:outlineLvl w:val="0"/>
        <w:rPr>
          <w:rFonts w:hint="eastAsia" w:ascii="宋体" w:hAnsi="宋体" w:eastAsia="宋体" w:cs="宋体"/>
          <w:sz w:val="24"/>
        </w:rPr>
      </w:pPr>
      <w:r>
        <w:rPr>
          <w:rFonts w:hint="eastAsia" w:ascii="宋体" w:hAnsi="宋体" w:eastAsia="宋体" w:cs="宋体"/>
          <w:sz w:val="24"/>
        </w:rPr>
        <w:t>4.1</w:t>
      </w:r>
      <w:r>
        <w:rPr>
          <w:rFonts w:hint="eastAsia" w:ascii="宋体" w:hAnsi="宋体" w:eastAsia="宋体" w:cs="宋体"/>
          <w:sz w:val="24"/>
          <w:lang w:val="en-US" w:eastAsia="zh-CN"/>
        </w:rPr>
        <w:t>谈判响应</w:t>
      </w:r>
      <w:r>
        <w:rPr>
          <w:rFonts w:hint="eastAsia" w:ascii="宋体" w:hAnsi="宋体" w:eastAsia="宋体" w:cs="宋体"/>
          <w:sz w:val="24"/>
        </w:rPr>
        <w:t>报价为“</w:t>
      </w:r>
      <w:r>
        <w:rPr>
          <w:rFonts w:hint="eastAsia" w:ascii="宋体" w:hAnsi="宋体" w:cs="宋体"/>
          <w:sz w:val="24"/>
          <w:lang w:val="en-US" w:eastAsia="zh-CN"/>
        </w:rPr>
        <w:t>谈判</w:t>
      </w:r>
      <w:r>
        <w:rPr>
          <w:rFonts w:hint="eastAsia" w:ascii="宋体" w:hAnsi="宋体" w:eastAsia="宋体" w:cs="宋体"/>
          <w:sz w:val="24"/>
        </w:rPr>
        <w:t>范围”内的总报价。</w:t>
      </w:r>
    </w:p>
    <w:p w14:paraId="60BAF627">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4.2凡要求供应商考虑在报价中的内容供应商在响应文件中没有考虑、没有计入的或未单独列出，采购人认为供应商已将此项费用涵盖在其它费用价格中。</w:t>
      </w:r>
    </w:p>
    <w:p w14:paraId="3163B595">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4.3</w:t>
      </w:r>
      <w:r>
        <w:rPr>
          <w:rFonts w:hint="eastAsia" w:ascii="宋体" w:hAnsi="宋体" w:eastAsia="宋体" w:cs="宋体"/>
          <w:sz w:val="24"/>
          <w:lang w:val="en-US" w:eastAsia="zh-CN"/>
        </w:rPr>
        <w:t>谈判响应</w:t>
      </w:r>
      <w:r>
        <w:rPr>
          <w:rFonts w:hint="eastAsia" w:ascii="宋体" w:hAnsi="宋体" w:eastAsia="宋体" w:cs="宋体"/>
          <w:sz w:val="24"/>
        </w:rPr>
        <w:t>报价应包含项目实施过程中涉及到的一切费用。</w:t>
      </w:r>
    </w:p>
    <w:p w14:paraId="79313036">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4.4报价注意事项：</w:t>
      </w:r>
    </w:p>
    <w:p w14:paraId="3A20043F">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（1）价格一律以人民币计算，以元为单位标准；</w:t>
      </w:r>
    </w:p>
    <w:p w14:paraId="776FB362">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（2）供应商报价时应充分考虑所有可能影响到报价的报价因素，一旦</w:t>
      </w:r>
      <w:r>
        <w:rPr>
          <w:rFonts w:hint="eastAsia" w:ascii="宋体" w:hAnsi="宋体" w:cs="宋体"/>
          <w:sz w:val="24"/>
          <w:lang w:val="en-US" w:eastAsia="zh-CN"/>
        </w:rPr>
        <w:t>谈判</w:t>
      </w:r>
      <w:r>
        <w:rPr>
          <w:rFonts w:hint="eastAsia" w:ascii="宋体" w:hAnsi="宋体" w:eastAsia="宋体" w:cs="宋体"/>
          <w:sz w:val="24"/>
        </w:rPr>
        <w:t>结束最终成交，总价将固定，不予调整。如发生漏、缺、少项，都将被认为是成交人的报价让利行为，损失自负。</w:t>
      </w:r>
    </w:p>
    <w:p w14:paraId="68CD57FF">
      <w:pPr>
        <w:spacing w:line="360" w:lineRule="auto"/>
        <w:ind w:firstLine="482" w:firstLineChars="200"/>
        <w:outlineLvl w:val="0"/>
        <w:rPr>
          <w:rFonts w:hint="eastAsia" w:ascii="宋体" w:hAnsi="宋体" w:eastAsia="宋体" w:cs="宋体"/>
          <w:sz w:val="24"/>
        </w:rPr>
      </w:pPr>
      <w:bookmarkStart w:id="149" w:name="_Toc12212"/>
      <w:bookmarkStart w:id="150" w:name="_Toc8983607"/>
      <w:bookmarkStart w:id="151" w:name="_Toc489694837"/>
      <w:bookmarkStart w:id="152" w:name="_Toc17395"/>
      <w:bookmarkStart w:id="153" w:name="_Toc32177"/>
      <w:bookmarkStart w:id="154" w:name="_Toc24174"/>
      <w:bookmarkStart w:id="155" w:name="_Toc490155540"/>
      <w:bookmarkStart w:id="156" w:name="_Toc26009"/>
      <w:bookmarkStart w:id="157" w:name="_Toc11554"/>
      <w:bookmarkStart w:id="158" w:name="_Toc14901"/>
      <w:r>
        <w:rPr>
          <w:rFonts w:hint="eastAsia" w:ascii="宋体" w:hAnsi="宋体" w:eastAsia="宋体" w:cs="宋体"/>
          <w:b/>
          <w:bCs/>
          <w:sz w:val="24"/>
        </w:rPr>
        <w:t>5</w:t>
      </w:r>
      <w:r>
        <w:rPr>
          <w:rFonts w:hint="eastAsia" w:ascii="宋体" w:hAnsi="宋体" w:eastAsia="宋体" w:cs="宋体"/>
          <w:b/>
          <w:sz w:val="24"/>
        </w:rPr>
        <w:t>.代理服务费</w:t>
      </w:r>
      <w:bookmarkEnd w:id="149"/>
      <w:bookmarkEnd w:id="150"/>
      <w:bookmarkEnd w:id="151"/>
      <w:bookmarkEnd w:id="152"/>
      <w:bookmarkEnd w:id="153"/>
      <w:bookmarkEnd w:id="154"/>
      <w:bookmarkEnd w:id="155"/>
      <w:bookmarkEnd w:id="156"/>
      <w:bookmarkEnd w:id="157"/>
      <w:bookmarkEnd w:id="158"/>
    </w:p>
    <w:p w14:paraId="7AE0A6D5">
      <w:pPr>
        <w:spacing w:line="360" w:lineRule="auto"/>
        <w:ind w:firstLine="480" w:firstLineChars="200"/>
        <w:outlineLvl w:val="0"/>
        <w:rPr>
          <w:rFonts w:hint="eastAsia" w:ascii="宋体" w:hAnsi="宋体" w:eastAsia="宋体" w:cs="宋体"/>
          <w:bCs/>
          <w:sz w:val="24"/>
        </w:rPr>
      </w:pPr>
      <w:bookmarkStart w:id="159" w:name="_Toc25432"/>
      <w:bookmarkStart w:id="160" w:name="_Toc11642"/>
      <w:bookmarkStart w:id="161" w:name="_Toc8983608"/>
      <w:bookmarkStart w:id="162" w:name="_Toc15772"/>
      <w:bookmarkStart w:id="163" w:name="_Toc21402"/>
      <w:bookmarkStart w:id="164" w:name="_Toc490155541"/>
      <w:bookmarkStart w:id="165" w:name="_Toc25301"/>
      <w:bookmarkStart w:id="166" w:name="_Toc25070"/>
      <w:bookmarkStart w:id="167" w:name="_Toc489694838"/>
      <w:bookmarkStart w:id="168" w:name="_Toc11585"/>
      <w:r>
        <w:rPr>
          <w:rFonts w:hint="eastAsia" w:ascii="宋体" w:hAnsi="宋体" w:eastAsia="宋体" w:cs="宋体"/>
          <w:bCs/>
          <w:sz w:val="24"/>
        </w:rPr>
        <w:t>按照前附表要求由成交企业向招</w:t>
      </w:r>
      <w:r>
        <w:rPr>
          <w:rFonts w:hint="eastAsia" w:ascii="宋体" w:hAnsi="宋体" w:cs="宋体"/>
          <w:bCs/>
          <w:sz w:val="24"/>
          <w:lang w:val="en-US" w:eastAsia="zh-CN"/>
        </w:rPr>
        <w:t>采购</w:t>
      </w:r>
      <w:r>
        <w:rPr>
          <w:rFonts w:hint="eastAsia" w:ascii="宋体" w:hAnsi="宋体" w:eastAsia="宋体" w:cs="宋体"/>
          <w:bCs/>
          <w:sz w:val="24"/>
        </w:rPr>
        <w:t>代理机构支付。</w:t>
      </w:r>
      <w:bookmarkEnd w:id="159"/>
      <w:bookmarkEnd w:id="160"/>
      <w:bookmarkEnd w:id="161"/>
      <w:bookmarkEnd w:id="162"/>
      <w:bookmarkEnd w:id="163"/>
    </w:p>
    <w:p w14:paraId="0141E4E9">
      <w:pPr>
        <w:spacing w:line="360" w:lineRule="auto"/>
        <w:ind w:firstLine="482" w:firstLineChars="200"/>
        <w:outlineLvl w:val="0"/>
        <w:rPr>
          <w:rFonts w:hint="eastAsia" w:ascii="宋体" w:hAnsi="宋体" w:eastAsia="宋体" w:cs="宋体"/>
          <w:sz w:val="24"/>
        </w:rPr>
      </w:pPr>
      <w:bookmarkStart w:id="169" w:name="_Toc26636"/>
      <w:bookmarkStart w:id="170" w:name="_Toc25842"/>
      <w:bookmarkStart w:id="171" w:name="_Toc16674"/>
      <w:bookmarkStart w:id="172" w:name="_Toc8983609"/>
      <w:bookmarkStart w:id="173" w:name="_Toc6724"/>
      <w:r>
        <w:rPr>
          <w:rFonts w:hint="eastAsia" w:ascii="宋体" w:hAnsi="宋体" w:eastAsia="宋体" w:cs="宋体"/>
          <w:b/>
          <w:bCs/>
          <w:sz w:val="24"/>
        </w:rPr>
        <w:t>6.谈判保证金</w:t>
      </w:r>
      <w:bookmarkEnd w:id="164"/>
      <w:bookmarkEnd w:id="165"/>
      <w:bookmarkEnd w:id="166"/>
      <w:bookmarkEnd w:id="167"/>
      <w:bookmarkEnd w:id="168"/>
      <w:bookmarkEnd w:id="169"/>
      <w:bookmarkEnd w:id="170"/>
      <w:bookmarkEnd w:id="171"/>
      <w:bookmarkEnd w:id="172"/>
      <w:bookmarkEnd w:id="173"/>
    </w:p>
    <w:p w14:paraId="456A3280">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6.1供应商需提交谈判保证金（详见</w:t>
      </w:r>
      <w:r>
        <w:rPr>
          <w:rFonts w:hint="eastAsia" w:ascii="宋体" w:hAnsi="宋体" w:cs="宋体"/>
          <w:sz w:val="24"/>
          <w:lang w:val="en-US" w:eastAsia="zh-CN"/>
        </w:rPr>
        <w:t>供应商</w:t>
      </w:r>
      <w:r>
        <w:rPr>
          <w:rFonts w:hint="eastAsia" w:ascii="宋体" w:hAnsi="宋体" w:eastAsia="宋体" w:cs="宋体"/>
          <w:sz w:val="24"/>
        </w:rPr>
        <w:t>须知前附表），并作为参与</w:t>
      </w:r>
      <w:r>
        <w:rPr>
          <w:rFonts w:hint="eastAsia" w:ascii="宋体" w:hAnsi="宋体" w:cs="宋体"/>
          <w:sz w:val="24"/>
          <w:lang w:val="en-US" w:eastAsia="zh-CN"/>
        </w:rPr>
        <w:t>谈判</w:t>
      </w:r>
      <w:r>
        <w:rPr>
          <w:rFonts w:hint="eastAsia" w:ascii="宋体" w:hAnsi="宋体" w:eastAsia="宋体" w:cs="宋体"/>
          <w:sz w:val="24"/>
        </w:rPr>
        <w:t>的组成部分之一。</w:t>
      </w:r>
    </w:p>
    <w:p w14:paraId="0B14D62B">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6.2对于未按要求提交谈判保证金的，将被视为非响应性</w:t>
      </w:r>
      <w:r>
        <w:rPr>
          <w:rFonts w:hint="eastAsia" w:ascii="宋体" w:hAnsi="宋体" w:eastAsia="宋体" w:cs="宋体"/>
          <w:sz w:val="24"/>
          <w:lang w:val="en-US" w:eastAsia="zh-CN"/>
        </w:rPr>
        <w:t>谈判响应</w:t>
      </w:r>
      <w:r>
        <w:rPr>
          <w:rFonts w:hint="eastAsia" w:ascii="宋体" w:hAnsi="宋体" w:eastAsia="宋体" w:cs="宋体"/>
          <w:sz w:val="24"/>
        </w:rPr>
        <w:t>而予以拒绝。</w:t>
      </w:r>
    </w:p>
    <w:p w14:paraId="567A4682">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6.3未成交人谈判保证金将在成交通知书签发后5个工作日内退还。</w:t>
      </w:r>
    </w:p>
    <w:p w14:paraId="726758DF">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（1）提交谈判保证金的收据原件以及供应商开具的收到退回谈判保证金的收款收据；</w:t>
      </w:r>
    </w:p>
    <w:p w14:paraId="6000393F">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（2）因供应商提供的开户行和银行账号信息不准确或错误导致保证金不能及时退付或退付出现问题和纠纷的，由供应商承担责任。</w:t>
      </w:r>
    </w:p>
    <w:p w14:paraId="2F0516F2">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6.4成交候选人（最终排名前三的供应商）的谈判保证金，在成交供应商按规定签订合同并交纳服务费后5个工作日内退还。成交供应商退还保证金时，还需提供采购合同（或相关证明文件）复印件加盖公章</w:t>
      </w:r>
    </w:p>
    <w:p w14:paraId="5F4BB588">
      <w:pPr>
        <w:snapToGrid w:val="0"/>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6.5成交公示截止之日起5个工作日退还所</w:t>
      </w:r>
      <w:r>
        <w:rPr>
          <w:rFonts w:hint="eastAsia" w:ascii="宋体" w:hAnsi="宋体" w:eastAsia="宋体" w:cs="宋体"/>
          <w:b/>
          <w:sz w:val="24"/>
          <w:highlight w:val="none"/>
        </w:rPr>
        <w:t>有未</w:t>
      </w:r>
      <w:r>
        <w:rPr>
          <w:rFonts w:hint="eastAsia" w:ascii="宋体" w:hAnsi="宋体" w:eastAsia="宋体" w:cs="宋体"/>
          <w:b/>
          <w:sz w:val="24"/>
          <w:highlight w:val="none"/>
          <w:lang w:val="en-US" w:eastAsia="zh-CN"/>
        </w:rPr>
        <w:t>中标单位</w:t>
      </w:r>
      <w:r>
        <w:rPr>
          <w:rFonts w:hint="eastAsia" w:ascii="宋体" w:hAnsi="宋体" w:eastAsia="宋体" w:cs="宋体"/>
          <w:b/>
          <w:sz w:val="24"/>
          <w:highlight w:val="none"/>
        </w:rPr>
        <w:t>的谈判</w:t>
      </w:r>
      <w:r>
        <w:rPr>
          <w:rFonts w:hint="eastAsia" w:ascii="宋体" w:hAnsi="宋体" w:eastAsia="宋体" w:cs="宋体"/>
          <w:b/>
          <w:sz w:val="24"/>
        </w:rPr>
        <w:t>保证金</w:t>
      </w:r>
    </w:p>
    <w:p w14:paraId="27149FCA">
      <w:pPr>
        <w:snapToGrid w:val="0"/>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6.6退还方式：</w:t>
      </w:r>
    </w:p>
    <w:p w14:paraId="69BEE983">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（1）为了方便供应商办理退还保证金的手续，可在响应文件中附开户许可证。</w:t>
      </w:r>
    </w:p>
    <w:p w14:paraId="1E1E2172">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谈判</w:t>
      </w:r>
      <w:r>
        <w:rPr>
          <w:rFonts w:hint="eastAsia" w:ascii="宋体" w:hAnsi="宋体" w:eastAsia="宋体" w:cs="宋体"/>
          <w:sz w:val="24"/>
        </w:rPr>
        <w:t>保证金退还为公对公账户电汇业务，我单位不退还现金。</w:t>
      </w:r>
    </w:p>
    <w:p w14:paraId="4772EB8B">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谈判</w:t>
      </w:r>
      <w:r>
        <w:rPr>
          <w:rFonts w:hint="eastAsia" w:ascii="宋体" w:hAnsi="宋体" w:eastAsia="宋体" w:cs="宋体"/>
          <w:sz w:val="24"/>
        </w:rPr>
        <w:t>保证金将在资料齐全的5个工作日内无息退还。</w:t>
      </w:r>
    </w:p>
    <w:p w14:paraId="47A63B59">
      <w:pPr>
        <w:snapToGrid w:val="0"/>
        <w:spacing w:line="360" w:lineRule="auto"/>
        <w:ind w:firstLine="482" w:firstLineChars="200"/>
        <w:jc w:val="left"/>
        <w:rPr>
          <w:rFonts w:hint="eastAsia" w:ascii="宋体" w:hAnsi="宋体" w:eastAsia="宋体" w:cs="宋体"/>
          <w:sz w:val="24"/>
        </w:rPr>
      </w:pPr>
      <w:r>
        <w:rPr>
          <w:rFonts w:hint="eastAsia" w:ascii="宋体" w:hAnsi="宋体" w:eastAsia="宋体" w:cs="宋体"/>
          <w:b/>
          <w:sz w:val="24"/>
        </w:rPr>
        <w:t>6.7退还保证金所需资料：</w:t>
      </w:r>
    </w:p>
    <w:p w14:paraId="1552E9E8">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成交人需缴纳服务费并提供采购合同复印件或者扫描件，发送电子版PDF文件扫描件至指定邮箱，邮件需注明项目名称及项目编号。邮箱：</w:t>
      </w:r>
      <w:r>
        <w:rPr>
          <w:rFonts w:hint="eastAsia" w:ascii="宋体" w:hAnsi="宋体" w:cs="宋体"/>
          <w:sz w:val="24"/>
          <w:lang w:val="en-US" w:eastAsia="zh-CN"/>
        </w:rPr>
        <w:t>1575329970</w:t>
      </w:r>
      <w:r>
        <w:rPr>
          <w:rFonts w:hint="eastAsia" w:ascii="宋体" w:hAnsi="宋体" w:eastAsia="宋体" w:cs="宋体"/>
          <w:sz w:val="24"/>
        </w:rPr>
        <w:t>@qq.com。</w:t>
      </w:r>
    </w:p>
    <w:p w14:paraId="7E39C7CD">
      <w:pPr>
        <w:snapToGrid w:val="0"/>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6.8下列任何情况发生时，谈判保证金将被没收:</w:t>
      </w:r>
    </w:p>
    <w:p w14:paraId="3F30956E">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（1）供应商在谈判有效期内撤回其谈判响应文件的；</w:t>
      </w:r>
    </w:p>
    <w:p w14:paraId="516F2B5F">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（2）成交供应商未在规定期限内及时签订项目合同的；</w:t>
      </w:r>
    </w:p>
    <w:p w14:paraId="648D2B18">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（3）其它违反政府采购法律法规的有关情况。</w:t>
      </w:r>
    </w:p>
    <w:p w14:paraId="6AACC641">
      <w:pPr>
        <w:spacing w:line="360" w:lineRule="auto"/>
        <w:ind w:firstLine="482" w:firstLineChars="200"/>
        <w:jc w:val="left"/>
        <w:rPr>
          <w:rFonts w:hint="eastAsia" w:ascii="宋体" w:hAnsi="宋体" w:eastAsia="宋体" w:cs="宋体"/>
          <w:sz w:val="24"/>
        </w:rPr>
      </w:pPr>
      <w:r>
        <w:rPr>
          <w:rFonts w:hint="eastAsia" w:ascii="宋体" w:hAnsi="宋体" w:eastAsia="宋体" w:cs="宋体"/>
          <w:b/>
          <w:bCs/>
          <w:sz w:val="24"/>
        </w:rPr>
        <w:t>7.谈判有效期</w:t>
      </w:r>
    </w:p>
    <w:p w14:paraId="0FA41C4B">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7.1谈判有效期为谈判文件规定的供应商提交谈判响应文件截止之日起</w:t>
      </w:r>
      <w:r>
        <w:rPr>
          <w:rFonts w:hint="eastAsia" w:ascii="宋体" w:hAnsi="宋体" w:eastAsia="宋体" w:cs="宋体"/>
          <w:sz w:val="24"/>
          <w:u w:val="single"/>
        </w:rPr>
        <w:t>90</w:t>
      </w:r>
      <w:r>
        <w:rPr>
          <w:rFonts w:hint="eastAsia" w:ascii="宋体" w:hAnsi="宋体" w:eastAsia="宋体" w:cs="宋体"/>
          <w:sz w:val="24"/>
        </w:rPr>
        <w:t>天。谈判有效期不满足谈判文件要求的将视为非响应性文件而予以拒绝。</w:t>
      </w:r>
    </w:p>
    <w:p w14:paraId="1968D17C">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7.2在特殊情况下，采购人于原</w:t>
      </w:r>
      <w:r>
        <w:rPr>
          <w:rFonts w:hint="eastAsia" w:ascii="宋体" w:hAnsi="宋体" w:eastAsia="宋体" w:cs="宋体"/>
          <w:sz w:val="24"/>
          <w:lang w:val="en-US" w:eastAsia="zh-CN"/>
        </w:rPr>
        <w:t>谈判响应</w:t>
      </w:r>
      <w:r>
        <w:rPr>
          <w:rFonts w:hint="eastAsia" w:ascii="宋体" w:hAnsi="宋体" w:eastAsia="宋体" w:cs="宋体"/>
          <w:sz w:val="24"/>
        </w:rPr>
        <w:t>有效期满之前，可向供应商提出延长谈判有效期的要求，这种要求与答复均应采用书面形式（如信件、传真或电报等），供应商可以拒绝采购人的这一要求而放弃</w:t>
      </w:r>
      <w:r>
        <w:rPr>
          <w:rFonts w:hint="eastAsia" w:ascii="宋体" w:hAnsi="宋体" w:eastAsia="宋体" w:cs="宋体"/>
          <w:sz w:val="24"/>
          <w:lang w:val="en-US" w:eastAsia="zh-CN"/>
        </w:rPr>
        <w:t>谈判响应</w:t>
      </w:r>
      <w:r>
        <w:rPr>
          <w:rFonts w:hint="eastAsia" w:ascii="宋体" w:hAnsi="宋体" w:eastAsia="宋体" w:cs="宋体"/>
          <w:sz w:val="24"/>
        </w:rPr>
        <w:t>，谈判保证金予以退回；同意延长的供应商既不能要求也不允许修改其谈判响应文件。有关谈判保证金的没收和退还的规定在延长期内继续有效。</w:t>
      </w:r>
    </w:p>
    <w:p w14:paraId="3D7905B7">
      <w:pPr>
        <w:spacing w:line="360" w:lineRule="auto"/>
        <w:ind w:firstLine="482" w:firstLineChars="200"/>
        <w:jc w:val="left"/>
        <w:rPr>
          <w:rFonts w:hint="eastAsia" w:ascii="宋体" w:hAnsi="宋体" w:eastAsia="宋体" w:cs="宋体"/>
          <w:sz w:val="24"/>
        </w:rPr>
      </w:pPr>
      <w:r>
        <w:rPr>
          <w:rFonts w:hint="eastAsia" w:ascii="宋体" w:hAnsi="宋体" w:eastAsia="宋体" w:cs="宋体"/>
          <w:b/>
          <w:bCs/>
          <w:sz w:val="24"/>
        </w:rPr>
        <w:t>8.谈判响应文件签署</w:t>
      </w:r>
    </w:p>
    <w:p w14:paraId="7A89A5D7">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8.1除供应商对错处做必要修改外，谈判响应文件不得行间插字、涂改或增删，必要的修改处必须有</w:t>
      </w:r>
      <w:r>
        <w:rPr>
          <w:rFonts w:hint="eastAsia" w:ascii="宋体" w:hAnsi="宋体" w:cs="宋体"/>
          <w:sz w:val="24"/>
          <w:lang w:val="en-US" w:eastAsia="zh-CN"/>
        </w:rPr>
        <w:t>响应供应商</w:t>
      </w:r>
      <w:r>
        <w:rPr>
          <w:rFonts w:hint="eastAsia" w:ascii="宋体" w:hAnsi="宋体" w:eastAsia="宋体" w:cs="宋体"/>
          <w:sz w:val="24"/>
        </w:rPr>
        <w:t>法定代表人或其被授权人签字并盖公章。</w:t>
      </w:r>
    </w:p>
    <w:p w14:paraId="037C5D6F">
      <w:pPr>
        <w:spacing w:line="360" w:lineRule="auto"/>
        <w:ind w:firstLine="482" w:firstLineChars="200"/>
        <w:jc w:val="left"/>
        <w:outlineLvl w:val="9"/>
        <w:rPr>
          <w:rFonts w:hint="eastAsia" w:ascii="宋体" w:hAnsi="宋体" w:eastAsia="宋体" w:cs="宋体"/>
          <w:b/>
          <w:bCs/>
          <w:sz w:val="24"/>
        </w:rPr>
      </w:pPr>
      <w:bookmarkStart w:id="174" w:name="_Toc8983610"/>
      <w:bookmarkStart w:id="175" w:name="_Toc30721"/>
      <w:bookmarkStart w:id="176" w:name="_Toc14148"/>
      <w:bookmarkStart w:id="177" w:name="_Toc490155542"/>
      <w:bookmarkStart w:id="178" w:name="_Toc12500"/>
      <w:bookmarkStart w:id="179" w:name="_Toc489694839"/>
      <w:bookmarkStart w:id="180" w:name="_Toc13706"/>
      <w:bookmarkStart w:id="181" w:name="_Toc31802"/>
    </w:p>
    <w:bookmarkEnd w:id="174"/>
    <w:bookmarkEnd w:id="175"/>
    <w:bookmarkEnd w:id="176"/>
    <w:bookmarkEnd w:id="177"/>
    <w:bookmarkEnd w:id="178"/>
    <w:bookmarkEnd w:id="179"/>
    <w:bookmarkEnd w:id="180"/>
    <w:bookmarkEnd w:id="181"/>
    <w:p w14:paraId="4EE3BAF0">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四、谈判响应文件的递交</w:t>
      </w:r>
    </w:p>
    <w:p w14:paraId="54748AA7">
      <w:pPr>
        <w:spacing w:line="360" w:lineRule="auto"/>
        <w:ind w:firstLine="482" w:firstLineChars="200"/>
        <w:jc w:val="left"/>
        <w:outlineLvl w:val="0"/>
        <w:rPr>
          <w:rFonts w:hint="eastAsia" w:ascii="宋体" w:hAnsi="宋体" w:eastAsia="宋体" w:cs="宋体"/>
          <w:b/>
          <w:bCs/>
          <w:sz w:val="24"/>
        </w:rPr>
      </w:pPr>
      <w:bookmarkStart w:id="182" w:name="_Toc7178"/>
      <w:bookmarkStart w:id="183" w:name="_Toc16321"/>
      <w:bookmarkStart w:id="184" w:name="_Toc31171"/>
      <w:bookmarkStart w:id="185" w:name="_Toc489694842"/>
      <w:bookmarkStart w:id="186" w:name="_Toc31233"/>
      <w:bookmarkStart w:id="187" w:name="_Toc14114"/>
      <w:bookmarkStart w:id="188" w:name="_Toc490155545"/>
      <w:bookmarkStart w:id="189" w:name="_Toc8983611"/>
      <w:bookmarkStart w:id="190" w:name="_Toc19523"/>
      <w:bookmarkStart w:id="191" w:name="_Toc1253"/>
      <w:r>
        <w:rPr>
          <w:rFonts w:hint="eastAsia" w:ascii="宋体" w:hAnsi="宋体" w:eastAsia="宋体" w:cs="宋体"/>
          <w:b/>
          <w:bCs/>
          <w:sz w:val="24"/>
        </w:rPr>
        <w:t>1.</w:t>
      </w:r>
      <w:bookmarkEnd w:id="182"/>
      <w:bookmarkEnd w:id="183"/>
      <w:bookmarkEnd w:id="184"/>
      <w:bookmarkEnd w:id="185"/>
      <w:bookmarkEnd w:id="186"/>
      <w:bookmarkEnd w:id="187"/>
      <w:bookmarkEnd w:id="188"/>
      <w:bookmarkEnd w:id="189"/>
      <w:r>
        <w:rPr>
          <w:rFonts w:hint="eastAsia" w:ascii="宋体" w:hAnsi="宋体" w:eastAsia="宋体" w:cs="宋体"/>
          <w:b/>
          <w:bCs/>
          <w:sz w:val="24"/>
        </w:rPr>
        <w:t>谈判响应文件的密封与标记</w:t>
      </w:r>
      <w:bookmarkEnd w:id="190"/>
      <w:bookmarkEnd w:id="191"/>
    </w:p>
    <w:p w14:paraId="445213CA">
      <w:pPr>
        <w:spacing w:line="360" w:lineRule="auto"/>
        <w:ind w:firstLine="480" w:firstLineChars="200"/>
        <w:rPr>
          <w:rFonts w:hint="eastAsia" w:ascii="宋体" w:hAnsi="宋体" w:eastAsia="宋体" w:cs="宋体"/>
          <w:sz w:val="24"/>
        </w:rPr>
      </w:pPr>
      <w:r>
        <w:rPr>
          <w:rFonts w:hint="eastAsia" w:ascii="宋体" w:hAnsi="宋体" w:eastAsia="宋体" w:cs="宋体"/>
          <w:sz w:val="24"/>
        </w:rPr>
        <w:t>1.1供应商需要递交电子响应文件，加密的电子响应文件，在</w:t>
      </w:r>
      <w:r>
        <w:rPr>
          <w:rFonts w:hint="eastAsia" w:ascii="宋体" w:hAnsi="宋体" w:eastAsia="宋体" w:cs="宋体"/>
          <w:sz w:val="24"/>
          <w:lang w:val="en-US" w:eastAsia="zh-CN"/>
        </w:rPr>
        <w:t>谈判响应</w:t>
      </w:r>
      <w:r>
        <w:rPr>
          <w:rFonts w:hint="eastAsia" w:ascii="宋体" w:hAnsi="宋体" w:eastAsia="宋体" w:cs="宋体"/>
          <w:sz w:val="24"/>
        </w:rPr>
        <w:t>截止时间前通过政采云（http://www.ccgp-xinjiang.gov.cn/）上传到指定位置。</w:t>
      </w:r>
    </w:p>
    <w:p w14:paraId="09F87B9C">
      <w:pPr>
        <w:spacing w:line="360" w:lineRule="auto"/>
        <w:ind w:firstLine="480" w:firstLineChars="200"/>
        <w:rPr>
          <w:rFonts w:hint="eastAsia" w:ascii="宋体" w:hAnsi="宋体" w:eastAsia="宋体" w:cs="宋体"/>
          <w:b/>
          <w:sz w:val="24"/>
        </w:rPr>
      </w:pPr>
      <w:r>
        <w:rPr>
          <w:rFonts w:hint="eastAsia" w:ascii="宋体" w:hAnsi="宋体" w:eastAsia="宋体" w:cs="宋体"/>
          <w:sz w:val="24"/>
        </w:rPr>
        <w:t>1.2本项目采用远程不见面交易的模式。开标当日，供应商无需到达开标现场，仅需在任意地点通过政采云（http://www.ccgp-xinjiang.gov.cn/）平台完成远程解密、提疑澄清、开标唱标、结果公布等交互环节。供应商必须使用能正确解密响应文件的“须使锁”在规定的时间内完成远程解密，因供应商原因未能解密、解密失败或解密超时，视为供应商撤销其响应文件，系统内响应文件将被退回；因采购人原因或网上招投标平台发生故障，导致无法按时完成响应文件解密或开、评标工作无法进行的，可根据实际情况相应延迟解密时间或调整开、评标时间（友情提示：若供应商已领取副锁（含多把副锁）请注意正副锁的使用差别，务必使用生成响应文件的那把锁解密）。</w:t>
      </w:r>
    </w:p>
    <w:p w14:paraId="0409EF3F">
      <w:pPr>
        <w:spacing w:line="360" w:lineRule="auto"/>
        <w:ind w:firstLine="480" w:firstLineChars="200"/>
        <w:jc w:val="left"/>
        <w:rPr>
          <w:rFonts w:hint="eastAsia" w:ascii="宋体" w:hAnsi="宋体" w:eastAsia="宋体" w:cs="宋体"/>
        </w:rPr>
      </w:pPr>
      <w:r>
        <w:rPr>
          <w:rFonts w:hint="eastAsia" w:ascii="宋体" w:hAnsi="宋体" w:eastAsia="宋体" w:cs="宋体"/>
          <w:sz w:val="24"/>
        </w:rPr>
        <w:t>1.3采购人可以通过修改谈判文件酌情延长响应文件接收截止日期，在此情况下，供应商的所有权利和义务以及供应商受制约的截止日期均应以延长后新的截止日期为准。</w:t>
      </w:r>
    </w:p>
    <w:p w14:paraId="3D7D16E5">
      <w:pPr>
        <w:spacing w:line="360" w:lineRule="auto"/>
        <w:ind w:firstLine="482" w:firstLineChars="200"/>
        <w:jc w:val="left"/>
        <w:outlineLvl w:val="0"/>
        <w:rPr>
          <w:rFonts w:hint="eastAsia" w:ascii="宋体" w:hAnsi="宋体" w:eastAsia="宋体" w:cs="宋体"/>
          <w:sz w:val="24"/>
        </w:rPr>
      </w:pPr>
      <w:bookmarkStart w:id="192" w:name="_Toc15270"/>
      <w:bookmarkStart w:id="193" w:name="_Toc2527"/>
      <w:bookmarkStart w:id="194" w:name="_Toc490155546"/>
      <w:bookmarkStart w:id="195" w:name="_Toc18567"/>
      <w:bookmarkStart w:id="196" w:name="_Toc489694843"/>
      <w:bookmarkStart w:id="197" w:name="_Toc8983612"/>
      <w:bookmarkStart w:id="198" w:name="_Toc1688"/>
      <w:bookmarkStart w:id="199" w:name="_Toc30502"/>
      <w:bookmarkStart w:id="200" w:name="_Toc32117"/>
      <w:bookmarkStart w:id="201" w:name="_Toc13732"/>
      <w:r>
        <w:rPr>
          <w:rFonts w:hint="eastAsia" w:ascii="宋体" w:hAnsi="宋体" w:eastAsia="宋体" w:cs="宋体"/>
          <w:b/>
          <w:bCs/>
          <w:sz w:val="24"/>
        </w:rPr>
        <w:t>2.迟交的</w:t>
      </w:r>
      <w:bookmarkEnd w:id="192"/>
      <w:bookmarkEnd w:id="193"/>
      <w:bookmarkEnd w:id="194"/>
      <w:bookmarkEnd w:id="195"/>
      <w:bookmarkEnd w:id="196"/>
      <w:bookmarkEnd w:id="197"/>
      <w:r>
        <w:rPr>
          <w:rFonts w:hint="eastAsia" w:ascii="宋体" w:hAnsi="宋体" w:eastAsia="宋体" w:cs="宋体"/>
          <w:b/>
          <w:bCs/>
          <w:sz w:val="24"/>
        </w:rPr>
        <w:t>谈判响应文件</w:t>
      </w:r>
      <w:bookmarkEnd w:id="198"/>
      <w:bookmarkEnd w:id="199"/>
      <w:bookmarkEnd w:id="200"/>
      <w:bookmarkEnd w:id="201"/>
    </w:p>
    <w:p w14:paraId="6BEF1EBD">
      <w:pPr>
        <w:spacing w:line="360" w:lineRule="auto"/>
        <w:ind w:firstLine="480" w:firstLineChars="200"/>
        <w:rPr>
          <w:rFonts w:hint="eastAsia" w:ascii="宋体" w:hAnsi="宋体" w:eastAsia="宋体" w:cs="宋体"/>
          <w:sz w:val="24"/>
        </w:rPr>
      </w:pPr>
      <w:r>
        <w:rPr>
          <w:rFonts w:hint="eastAsia" w:ascii="宋体" w:hAnsi="宋体" w:eastAsia="宋体" w:cs="宋体"/>
          <w:sz w:val="24"/>
        </w:rPr>
        <w:t>采购人将拒绝接收在规定的截止日期后递交的任何谈判响应文件。</w:t>
      </w:r>
      <w:bookmarkStart w:id="202" w:name="_Toc213839733"/>
    </w:p>
    <w:p w14:paraId="4E9E2789">
      <w:pPr>
        <w:spacing w:line="360" w:lineRule="auto"/>
        <w:ind w:firstLine="482" w:firstLineChars="200"/>
        <w:outlineLvl w:val="0"/>
        <w:rPr>
          <w:rFonts w:hint="eastAsia" w:ascii="宋体" w:hAnsi="宋体" w:eastAsia="宋体" w:cs="宋体"/>
          <w:b/>
          <w:sz w:val="24"/>
        </w:rPr>
      </w:pPr>
      <w:bookmarkStart w:id="203" w:name="_Toc27831"/>
      <w:bookmarkStart w:id="204" w:name="_Toc19922"/>
      <w:bookmarkStart w:id="205" w:name="_Toc490155547"/>
      <w:bookmarkStart w:id="206" w:name="_Toc489694844"/>
      <w:bookmarkStart w:id="207" w:name="_Toc31341"/>
      <w:bookmarkStart w:id="208" w:name="_Toc14895"/>
      <w:bookmarkStart w:id="209" w:name="_Toc22149"/>
      <w:bookmarkStart w:id="210" w:name="_Toc17938"/>
      <w:bookmarkStart w:id="211" w:name="_Toc8983613"/>
      <w:bookmarkStart w:id="212" w:name="_Toc14716"/>
      <w:r>
        <w:rPr>
          <w:rFonts w:hint="eastAsia" w:ascii="宋体" w:hAnsi="宋体" w:eastAsia="宋体" w:cs="宋体"/>
          <w:b/>
          <w:sz w:val="24"/>
        </w:rPr>
        <w:t>3.谈判响应文件的修改</w:t>
      </w:r>
      <w:bookmarkEnd w:id="202"/>
      <w:bookmarkEnd w:id="203"/>
      <w:bookmarkEnd w:id="204"/>
      <w:bookmarkEnd w:id="205"/>
      <w:bookmarkEnd w:id="206"/>
      <w:bookmarkEnd w:id="207"/>
      <w:bookmarkEnd w:id="208"/>
      <w:bookmarkEnd w:id="209"/>
      <w:bookmarkEnd w:id="210"/>
      <w:bookmarkEnd w:id="211"/>
      <w:bookmarkEnd w:id="212"/>
    </w:p>
    <w:p w14:paraId="3A9A7082">
      <w:pPr>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供应商在递交谈判响应文件截止时间之前，对所递交的谈判响应文件可以补充、修改，补充、修改的内容为谈判响应文件的组成部分，对供应商具有约束力。</w:t>
      </w:r>
      <w:bookmarkStart w:id="213" w:name="_Toc213839734"/>
    </w:p>
    <w:p w14:paraId="1B658CC6">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五、无效标、废标条款</w:t>
      </w:r>
    </w:p>
    <w:p w14:paraId="31F1D94B">
      <w:pPr>
        <w:spacing w:line="360" w:lineRule="auto"/>
        <w:ind w:firstLine="482" w:firstLineChars="200"/>
        <w:jc w:val="left"/>
        <w:outlineLvl w:val="0"/>
        <w:rPr>
          <w:rFonts w:hint="eastAsia" w:ascii="宋体" w:hAnsi="宋体" w:eastAsia="宋体" w:cs="宋体"/>
          <w:b/>
          <w:bCs/>
          <w:sz w:val="24"/>
        </w:rPr>
      </w:pPr>
      <w:bookmarkStart w:id="214" w:name="_Toc4106"/>
      <w:bookmarkStart w:id="215" w:name="_Toc8983614"/>
      <w:bookmarkStart w:id="216" w:name="_Toc28196"/>
      <w:bookmarkStart w:id="217" w:name="_Toc490155548"/>
      <w:bookmarkStart w:id="218" w:name="_Toc18285"/>
      <w:bookmarkStart w:id="219" w:name="_Toc147"/>
      <w:bookmarkStart w:id="220" w:name="_Toc19915"/>
      <w:bookmarkStart w:id="221" w:name="_Toc18383"/>
      <w:bookmarkStart w:id="222" w:name="_Toc7010"/>
      <w:bookmarkStart w:id="223" w:name="_Toc489694845"/>
      <w:r>
        <w:rPr>
          <w:rFonts w:hint="eastAsia" w:ascii="宋体" w:hAnsi="宋体" w:eastAsia="宋体" w:cs="宋体"/>
          <w:b/>
          <w:bCs/>
          <w:sz w:val="24"/>
        </w:rPr>
        <w:t>1.无效</w:t>
      </w:r>
      <w:r>
        <w:rPr>
          <w:rFonts w:hint="eastAsia" w:ascii="宋体" w:hAnsi="宋体" w:eastAsia="宋体" w:cs="宋体"/>
          <w:b/>
          <w:kern w:val="0"/>
          <w:sz w:val="24"/>
          <w:highlight w:val="white"/>
          <w:lang w:val="en-US" w:eastAsia="zh-CN"/>
        </w:rPr>
        <w:t>谈判</w:t>
      </w:r>
      <w:r>
        <w:rPr>
          <w:rFonts w:hint="eastAsia" w:cs="宋体"/>
          <w:bCs/>
          <w:sz w:val="24"/>
          <w:lang w:val="en-US" w:eastAsia="zh-CN"/>
        </w:rPr>
        <w:t>响应</w:t>
      </w:r>
      <w:r>
        <w:rPr>
          <w:rFonts w:hint="eastAsia" w:ascii="宋体" w:hAnsi="宋体" w:eastAsia="宋体" w:cs="宋体"/>
          <w:b/>
          <w:bCs/>
          <w:sz w:val="24"/>
        </w:rPr>
        <w:t>条款</w:t>
      </w:r>
      <w:bookmarkEnd w:id="214"/>
      <w:bookmarkEnd w:id="215"/>
      <w:bookmarkEnd w:id="216"/>
      <w:bookmarkEnd w:id="217"/>
      <w:bookmarkEnd w:id="218"/>
      <w:bookmarkEnd w:id="219"/>
      <w:bookmarkEnd w:id="220"/>
      <w:bookmarkEnd w:id="221"/>
      <w:bookmarkEnd w:id="222"/>
      <w:bookmarkEnd w:id="223"/>
    </w:p>
    <w:p w14:paraId="24BFD669">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1.1供应商资格不符合谈判文件规定或未按规定提交证件的；</w:t>
      </w:r>
    </w:p>
    <w:p w14:paraId="48034116">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1.2供应商未在规定的时间内提交谈判保证金的；</w:t>
      </w:r>
    </w:p>
    <w:p w14:paraId="19D5CD55">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1.3谈判响应文件出现重大偏差，未对谈判文件进行实质性响应；</w:t>
      </w:r>
    </w:p>
    <w:p w14:paraId="0F39F890">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1.4被授权人不参加评标仪式及质询事宜的；</w:t>
      </w:r>
    </w:p>
    <w:p w14:paraId="5A0596CC">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1.5其它评标委员会认为有必要取消的</w:t>
      </w:r>
      <w:r>
        <w:rPr>
          <w:rFonts w:hint="eastAsia" w:ascii="宋体" w:hAnsi="宋体" w:eastAsia="宋体" w:cs="宋体"/>
          <w:sz w:val="24"/>
          <w:lang w:val="en-US" w:eastAsia="zh-CN"/>
        </w:rPr>
        <w:t>谈判响</w:t>
      </w:r>
      <w:r>
        <w:rPr>
          <w:rFonts w:hint="eastAsia" w:cs="宋体"/>
          <w:bCs/>
          <w:sz w:val="24"/>
          <w:lang w:val="en-US" w:eastAsia="zh-CN"/>
        </w:rPr>
        <w:t>应</w:t>
      </w:r>
      <w:r>
        <w:rPr>
          <w:rFonts w:hint="eastAsia" w:ascii="宋体" w:hAnsi="宋体" w:eastAsia="宋体" w:cs="宋体"/>
          <w:sz w:val="24"/>
        </w:rPr>
        <w:t>；</w:t>
      </w:r>
    </w:p>
    <w:p w14:paraId="21B80B37">
      <w:pPr>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1.6法律、法规规定的其他情况。</w:t>
      </w:r>
    </w:p>
    <w:p w14:paraId="3D3AE506">
      <w:pPr>
        <w:adjustRightInd w:val="0"/>
        <w:snapToGrid w:val="0"/>
        <w:spacing w:line="360" w:lineRule="auto"/>
        <w:ind w:firstLine="482" w:firstLineChars="200"/>
        <w:outlineLvl w:val="0"/>
        <w:rPr>
          <w:rFonts w:hint="eastAsia" w:ascii="宋体" w:hAnsi="宋体" w:eastAsia="宋体" w:cs="宋体"/>
          <w:b/>
          <w:sz w:val="24"/>
        </w:rPr>
      </w:pPr>
      <w:bookmarkStart w:id="224" w:name="_Toc24648"/>
      <w:bookmarkStart w:id="225" w:name="_Toc21595"/>
      <w:bookmarkStart w:id="226" w:name="_Toc490155549"/>
      <w:bookmarkStart w:id="227" w:name="_Toc8983615"/>
      <w:bookmarkStart w:id="228" w:name="_Toc489694846"/>
      <w:bookmarkStart w:id="229" w:name="_Toc3014"/>
      <w:bookmarkStart w:id="230" w:name="_Toc30360"/>
      <w:bookmarkStart w:id="231" w:name="_Toc22521"/>
      <w:bookmarkStart w:id="232" w:name="_Toc8680"/>
      <w:bookmarkStart w:id="233" w:name="_Toc15284"/>
      <w:r>
        <w:rPr>
          <w:rFonts w:hint="eastAsia" w:ascii="宋体" w:hAnsi="宋体" w:eastAsia="宋体" w:cs="宋体"/>
          <w:b/>
          <w:sz w:val="24"/>
        </w:rPr>
        <w:t>2.废标条款</w:t>
      </w:r>
      <w:bookmarkEnd w:id="224"/>
      <w:bookmarkEnd w:id="225"/>
      <w:bookmarkEnd w:id="226"/>
      <w:bookmarkEnd w:id="227"/>
      <w:bookmarkEnd w:id="228"/>
      <w:bookmarkEnd w:id="229"/>
      <w:bookmarkEnd w:id="230"/>
      <w:bookmarkEnd w:id="231"/>
      <w:bookmarkEnd w:id="232"/>
      <w:bookmarkEnd w:id="233"/>
    </w:p>
    <w:p w14:paraId="39C00194">
      <w:pPr>
        <w:adjustRightInd w:val="0"/>
        <w:spacing w:line="360" w:lineRule="auto"/>
        <w:ind w:firstLine="480" w:firstLineChars="200"/>
        <w:jc w:val="left"/>
        <w:rPr>
          <w:rFonts w:hint="eastAsia" w:ascii="宋体" w:hAnsi="宋体" w:eastAsia="宋体" w:cs="宋体"/>
          <w:bCs/>
          <w:sz w:val="24"/>
        </w:rPr>
      </w:pPr>
      <w:r>
        <w:rPr>
          <w:rFonts w:hint="eastAsia" w:ascii="宋体" w:hAnsi="宋体" w:eastAsia="宋体" w:cs="宋体"/>
          <w:bCs/>
          <w:sz w:val="24"/>
        </w:rPr>
        <w:t>2.1符合专业条件的供应商或者对谈判文件作实质响应的供应商不足三家；</w:t>
      </w:r>
    </w:p>
    <w:p w14:paraId="2288BDA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2.2出现影响采购公正的违法、违规行为的； </w:t>
      </w:r>
    </w:p>
    <w:p w14:paraId="16A8A7C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2.3供应商的报价均超过了</w:t>
      </w:r>
      <w:r>
        <w:rPr>
          <w:rFonts w:hint="eastAsia" w:ascii="宋体" w:hAnsi="宋体" w:cs="宋体"/>
          <w:sz w:val="24"/>
          <w:lang w:eastAsia="zh-CN"/>
        </w:rPr>
        <w:t>最高限价</w:t>
      </w:r>
      <w:r>
        <w:rPr>
          <w:rFonts w:hint="eastAsia" w:ascii="宋体" w:hAnsi="宋体" w:eastAsia="宋体" w:cs="宋体"/>
          <w:sz w:val="24"/>
        </w:rPr>
        <w:t>，采购人不能支付的；</w:t>
      </w:r>
    </w:p>
    <w:p w14:paraId="707ED3E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2.4因重大变故，采购任务取消的。</w:t>
      </w:r>
    </w:p>
    <w:p w14:paraId="31F33026">
      <w:pPr>
        <w:spacing w:line="360" w:lineRule="auto"/>
        <w:ind w:firstLine="482" w:firstLineChars="200"/>
        <w:jc w:val="left"/>
        <w:outlineLvl w:val="0"/>
        <w:rPr>
          <w:rFonts w:hint="eastAsia" w:ascii="宋体" w:hAnsi="宋体" w:eastAsia="宋体" w:cs="宋体"/>
          <w:b/>
          <w:bCs/>
          <w:sz w:val="24"/>
        </w:rPr>
      </w:pPr>
      <w:bookmarkStart w:id="234" w:name="_Toc13798"/>
      <w:bookmarkStart w:id="235" w:name="_Toc8983616"/>
      <w:bookmarkStart w:id="236" w:name="_Toc26457"/>
      <w:bookmarkStart w:id="237" w:name="_Toc15294"/>
      <w:bookmarkStart w:id="238" w:name="_Toc19497"/>
      <w:bookmarkStart w:id="239" w:name="_Toc489694847"/>
      <w:bookmarkStart w:id="240" w:name="_Toc25174"/>
      <w:bookmarkStart w:id="241" w:name="_Toc19310"/>
      <w:bookmarkStart w:id="242" w:name="_Toc18804"/>
      <w:bookmarkStart w:id="243" w:name="_Toc490155550"/>
      <w:r>
        <w:rPr>
          <w:rFonts w:hint="eastAsia" w:ascii="宋体" w:hAnsi="宋体" w:eastAsia="宋体" w:cs="宋体"/>
          <w:b/>
          <w:bCs/>
          <w:sz w:val="24"/>
        </w:rPr>
        <w:t>3.供应商不足三家情形处理</w:t>
      </w:r>
      <w:bookmarkEnd w:id="234"/>
      <w:bookmarkEnd w:id="235"/>
      <w:bookmarkEnd w:id="236"/>
      <w:bookmarkEnd w:id="237"/>
      <w:bookmarkEnd w:id="238"/>
      <w:bookmarkEnd w:id="239"/>
      <w:bookmarkEnd w:id="240"/>
      <w:bookmarkEnd w:id="241"/>
      <w:bookmarkEnd w:id="242"/>
      <w:bookmarkEnd w:id="243"/>
    </w:p>
    <w:p w14:paraId="2506995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如出现</w:t>
      </w:r>
      <w:r>
        <w:rPr>
          <w:rFonts w:hint="eastAsia" w:ascii="宋体" w:hAnsi="宋体" w:eastAsia="宋体" w:cs="宋体"/>
          <w:sz w:val="24"/>
          <w:lang w:val="en-US" w:eastAsia="zh-CN"/>
        </w:rPr>
        <w:t>谈判响应</w:t>
      </w:r>
      <w:r>
        <w:rPr>
          <w:rFonts w:hint="eastAsia" w:ascii="宋体" w:hAnsi="宋体" w:eastAsia="宋体" w:cs="宋体"/>
          <w:sz w:val="24"/>
        </w:rPr>
        <w:t>截止时间结束后参加的供应商不足三家的，采购单位应当报告财政部门，按照以下原则处理：</w:t>
      </w:r>
    </w:p>
    <w:p w14:paraId="528C228B">
      <w:pPr>
        <w:spacing w:line="360" w:lineRule="auto"/>
        <w:ind w:firstLine="480" w:firstLineChars="200"/>
        <w:rPr>
          <w:rFonts w:hint="eastAsia" w:ascii="宋体" w:hAnsi="宋体" w:eastAsia="宋体" w:cs="宋体"/>
          <w:sz w:val="24"/>
        </w:rPr>
      </w:pPr>
      <w:r>
        <w:rPr>
          <w:rFonts w:hint="eastAsia" w:ascii="宋体" w:hAnsi="宋体" w:eastAsia="宋体" w:cs="宋体"/>
          <w:sz w:val="24"/>
        </w:rPr>
        <w:t>3.1有效供应商不足三家的，除采购任务取消外，可废标后重新组织采购；</w:t>
      </w:r>
    </w:p>
    <w:p w14:paraId="0AD16A3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3.2响应文件存在不合理条款的，采购公告时间及程序不符合规定的，应予以废标。</w:t>
      </w:r>
    </w:p>
    <w:p w14:paraId="5E9BD6A6">
      <w:pPr>
        <w:snapToGrid w:val="0"/>
        <w:spacing w:line="360" w:lineRule="auto"/>
        <w:ind w:firstLine="482" w:firstLineChars="200"/>
        <w:outlineLvl w:val="0"/>
        <w:rPr>
          <w:rFonts w:hint="eastAsia" w:ascii="宋体" w:hAnsi="宋体" w:eastAsia="宋体" w:cs="宋体"/>
          <w:sz w:val="24"/>
        </w:rPr>
      </w:pPr>
      <w:bookmarkStart w:id="244" w:name="_Toc10336"/>
      <w:bookmarkStart w:id="245" w:name="_Toc29023"/>
      <w:bookmarkStart w:id="246" w:name="_Toc21037"/>
      <w:bookmarkStart w:id="247" w:name="_Toc20238"/>
      <w:bookmarkStart w:id="248" w:name="_Toc11755"/>
      <w:bookmarkStart w:id="249" w:name="_Toc5435"/>
      <w:bookmarkStart w:id="250" w:name="_Toc490155551"/>
      <w:bookmarkStart w:id="251" w:name="_Toc2393"/>
      <w:bookmarkStart w:id="252" w:name="_Toc8983617"/>
      <w:bookmarkStart w:id="253" w:name="_Toc489694848"/>
      <w:r>
        <w:rPr>
          <w:rFonts w:hint="eastAsia" w:ascii="宋体" w:hAnsi="宋体" w:eastAsia="宋体" w:cs="宋体"/>
          <w:b/>
          <w:bCs/>
          <w:sz w:val="24"/>
        </w:rPr>
        <w:t>4.取消成交人资格条款</w:t>
      </w:r>
      <w:bookmarkEnd w:id="244"/>
      <w:bookmarkEnd w:id="245"/>
      <w:bookmarkEnd w:id="246"/>
      <w:bookmarkEnd w:id="247"/>
      <w:bookmarkEnd w:id="248"/>
      <w:bookmarkEnd w:id="249"/>
      <w:bookmarkEnd w:id="250"/>
      <w:bookmarkEnd w:id="251"/>
      <w:bookmarkEnd w:id="252"/>
      <w:bookmarkEnd w:id="253"/>
    </w:p>
    <w:p w14:paraId="28EB078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4.1提供虚假材料谋取成交的；</w:t>
      </w:r>
    </w:p>
    <w:p w14:paraId="7CE37E5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4.2采取不正当手段诋毁、排挤其他供应商的；</w:t>
      </w:r>
    </w:p>
    <w:p w14:paraId="45678D2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4.3与采购人、其他供应商或者采购代理机构恶意串通的；</w:t>
      </w:r>
    </w:p>
    <w:p w14:paraId="75B1E68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4.4向采购人、采购代理机构行贿或者提供其他不正当利益的；</w:t>
      </w:r>
    </w:p>
    <w:p w14:paraId="208E46E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4.5在规定的时间内未与采购人签订采购合同的；</w:t>
      </w:r>
    </w:p>
    <w:p w14:paraId="058581F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4.6法律、法规规定的其他情况。</w:t>
      </w:r>
    </w:p>
    <w:p w14:paraId="243C3ABE">
      <w:pPr>
        <w:spacing w:line="360" w:lineRule="auto"/>
        <w:jc w:val="center"/>
        <w:rPr>
          <w:rFonts w:hint="eastAsia" w:ascii="宋体" w:hAnsi="宋体" w:eastAsia="宋体" w:cs="宋体"/>
          <w:b/>
          <w:sz w:val="32"/>
          <w:szCs w:val="32"/>
        </w:rPr>
      </w:pPr>
    </w:p>
    <w:p w14:paraId="45E363BE">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六、</w:t>
      </w:r>
      <w:bookmarkEnd w:id="213"/>
      <w:r>
        <w:rPr>
          <w:rFonts w:hint="eastAsia" w:ascii="宋体" w:hAnsi="宋体" w:eastAsia="宋体" w:cs="宋体"/>
          <w:b/>
          <w:sz w:val="32"/>
          <w:szCs w:val="32"/>
        </w:rPr>
        <w:t>开标和评标</w:t>
      </w:r>
    </w:p>
    <w:p w14:paraId="19B28E49">
      <w:pPr>
        <w:spacing w:line="460" w:lineRule="exact"/>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1、开标</w:t>
      </w:r>
    </w:p>
    <w:p w14:paraId="6819560B">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sz w:val="24"/>
        </w:rPr>
        <w:t>1.1　本次谈判按竞争性谈判文件中规定的时间和地点进行线上电子开标，</w:t>
      </w:r>
      <w:r>
        <w:rPr>
          <w:rFonts w:hint="eastAsia" w:ascii="宋体" w:hAnsi="宋体" w:eastAsia="宋体" w:cs="宋体"/>
          <w:sz w:val="24"/>
        </w:rPr>
        <w:t>采购单位代表及有关工作人员参加</w:t>
      </w:r>
      <w:r>
        <w:rPr>
          <w:rFonts w:hint="eastAsia" w:ascii="宋体" w:hAnsi="宋体" w:eastAsia="宋体" w:cs="宋体"/>
          <w:color w:val="000000"/>
          <w:sz w:val="24"/>
        </w:rPr>
        <w:t>。</w:t>
      </w:r>
    </w:p>
    <w:p w14:paraId="41FD4932">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1.2　供应商应当在谈判文件要求提交谈判响应文件的截止时间前网上</w:t>
      </w:r>
      <w:r>
        <w:rPr>
          <w:rFonts w:hint="eastAsia" w:ascii="宋体" w:hAnsi="宋体" w:eastAsia="宋体" w:cs="宋体"/>
          <w:sz w:val="24"/>
          <w:lang w:val="en-US" w:eastAsia="zh-CN"/>
        </w:rPr>
        <w:t>谈判响应</w:t>
      </w:r>
      <w:r>
        <w:rPr>
          <w:rFonts w:hint="eastAsia" w:ascii="宋体" w:hAnsi="宋体" w:eastAsia="宋体" w:cs="宋体"/>
          <w:sz w:val="24"/>
        </w:rPr>
        <w:t>。</w:t>
      </w:r>
    </w:p>
    <w:p w14:paraId="77D6ACDF">
      <w:pPr>
        <w:spacing w:line="460" w:lineRule="exact"/>
        <w:ind w:firstLine="480" w:firstLineChars="200"/>
        <w:rPr>
          <w:rFonts w:hint="eastAsia" w:ascii="宋体" w:hAnsi="宋体" w:eastAsia="宋体" w:cs="宋体"/>
          <w:color w:val="000000"/>
          <w:sz w:val="24"/>
        </w:rPr>
      </w:pPr>
      <w:r>
        <w:rPr>
          <w:rFonts w:hint="eastAsia" w:ascii="宋体" w:hAnsi="宋体" w:eastAsia="宋体" w:cs="宋体"/>
          <w:sz w:val="24"/>
        </w:rPr>
        <w:t>1.3 开标时，由监督人员对开标全过程进行监督。</w:t>
      </w:r>
    </w:p>
    <w:p w14:paraId="4DDB901A">
      <w:pPr>
        <w:spacing w:line="4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1.4　</w:t>
      </w:r>
      <w:r>
        <w:rPr>
          <w:rFonts w:hint="eastAsia" w:ascii="宋体" w:hAnsi="宋体" w:cs="宋体"/>
          <w:color w:val="000000"/>
          <w:sz w:val="24"/>
          <w:lang w:val="en-US" w:eastAsia="zh-CN"/>
        </w:rPr>
        <w:t>响应</w:t>
      </w:r>
      <w:r>
        <w:rPr>
          <w:rFonts w:hint="eastAsia" w:ascii="宋体" w:hAnsi="宋体" w:eastAsia="宋体" w:cs="宋体"/>
          <w:color w:val="000000"/>
          <w:sz w:val="24"/>
        </w:rPr>
        <w:t>时间截止后，提交响应性文件的供应商不足三家时，按照</w:t>
      </w:r>
      <w:r>
        <w:rPr>
          <w:rFonts w:hint="eastAsia" w:ascii="宋体" w:hAnsi="宋体" w:cs="宋体"/>
          <w:color w:val="000000"/>
          <w:sz w:val="24"/>
          <w:lang w:val="en-US" w:eastAsia="zh-CN"/>
        </w:rPr>
        <w:t>竞争性谈判</w:t>
      </w:r>
      <w:r>
        <w:rPr>
          <w:rFonts w:hint="eastAsia" w:ascii="宋体" w:hAnsi="宋体" w:eastAsia="宋体" w:cs="宋体"/>
          <w:color w:val="000000"/>
          <w:sz w:val="24"/>
        </w:rPr>
        <w:t>的相关法规的处理。</w:t>
      </w:r>
    </w:p>
    <w:p w14:paraId="4027AAA5">
      <w:pPr>
        <w:spacing w:line="460" w:lineRule="exact"/>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2、谈判依据</w:t>
      </w:r>
    </w:p>
    <w:p w14:paraId="7E6F4D9A">
      <w:pPr>
        <w:spacing w:line="4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2.1　谈判的依据为竞争性谈判文件（包括采购方的谈判文件和供应商的响应性文件）。谈判的因素主要包括下列内容：</w:t>
      </w:r>
    </w:p>
    <w:p w14:paraId="6961C831">
      <w:pPr>
        <w:spacing w:line="4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(1)对供应商响应性文件的审查和响应性的确定；</w:t>
      </w:r>
    </w:p>
    <w:p w14:paraId="667D7C28">
      <w:pPr>
        <w:spacing w:line="4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(2)对供应商响应性文件中财务、技术和生产能力的确定；</w:t>
      </w:r>
    </w:p>
    <w:p w14:paraId="524BA722">
      <w:pPr>
        <w:spacing w:line="4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(3)对产品质量的评估确定；</w:t>
      </w:r>
    </w:p>
    <w:p w14:paraId="650C588D">
      <w:pPr>
        <w:spacing w:line="4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(4)对供应商</w:t>
      </w:r>
      <w:r>
        <w:rPr>
          <w:rFonts w:hint="eastAsia" w:cs="宋体"/>
          <w:bCs/>
          <w:sz w:val="24"/>
          <w:lang w:val="en-US" w:eastAsia="zh-CN"/>
        </w:rPr>
        <w:t>响应</w:t>
      </w:r>
      <w:r>
        <w:rPr>
          <w:rFonts w:hint="eastAsia" w:ascii="宋体" w:hAnsi="宋体" w:eastAsia="宋体" w:cs="宋体"/>
          <w:color w:val="000000"/>
          <w:sz w:val="24"/>
        </w:rPr>
        <w:t>报价的确定；</w:t>
      </w:r>
    </w:p>
    <w:p w14:paraId="76D8E212">
      <w:pPr>
        <w:spacing w:line="4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(5)对供应商响应性文件技术规格偏差的确定；</w:t>
      </w:r>
    </w:p>
    <w:p w14:paraId="3D4306E8">
      <w:pPr>
        <w:spacing w:line="4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(6)对供应商递交文件商务偏差的调整确定；</w:t>
      </w:r>
    </w:p>
    <w:p w14:paraId="3934C410">
      <w:pPr>
        <w:spacing w:line="4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(7)对供应商的技术、商务澄清内容答复的确定；</w:t>
      </w:r>
    </w:p>
    <w:p w14:paraId="0550D489">
      <w:pPr>
        <w:spacing w:line="4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(8)对供应商近两年的经营业绩评估确定；</w:t>
      </w:r>
    </w:p>
    <w:p w14:paraId="7FBCBCB1">
      <w:pPr>
        <w:spacing w:line="4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(9)其他特殊要求因素（如节能、安全和环保等）。</w:t>
      </w:r>
    </w:p>
    <w:p w14:paraId="55824D52">
      <w:pPr>
        <w:spacing w:line="460" w:lineRule="exact"/>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3、谈判</w:t>
      </w:r>
    </w:p>
    <w:p w14:paraId="63D81C80">
      <w:pPr>
        <w:spacing w:line="4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3.1　谈判小组</w:t>
      </w:r>
    </w:p>
    <w:p w14:paraId="6BDE2A4D">
      <w:pPr>
        <w:spacing w:line="4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（1）采购方将根据《中华人民共和国政府采购法》的规定，依法组建本次</w:t>
      </w:r>
      <w:r>
        <w:rPr>
          <w:rFonts w:hint="eastAsia" w:ascii="宋体" w:hAnsi="宋体" w:cs="宋体"/>
          <w:color w:val="000000"/>
          <w:sz w:val="24"/>
          <w:lang w:val="en-US" w:eastAsia="zh-CN"/>
        </w:rPr>
        <w:t>竞争性谈判</w:t>
      </w:r>
      <w:r>
        <w:rPr>
          <w:rFonts w:hint="eastAsia" w:ascii="宋体" w:hAnsi="宋体" w:eastAsia="宋体" w:cs="宋体"/>
          <w:color w:val="000000"/>
          <w:sz w:val="24"/>
        </w:rPr>
        <w:t>的谈判小组，负责本次</w:t>
      </w:r>
      <w:r>
        <w:rPr>
          <w:rFonts w:hint="eastAsia" w:ascii="宋体" w:hAnsi="宋体" w:cs="宋体"/>
          <w:color w:val="000000"/>
          <w:sz w:val="24"/>
          <w:lang w:val="en-US" w:eastAsia="zh-CN"/>
        </w:rPr>
        <w:t>竞争性谈判</w:t>
      </w:r>
      <w:r>
        <w:rPr>
          <w:rFonts w:hint="eastAsia" w:ascii="宋体" w:hAnsi="宋体" w:eastAsia="宋体" w:cs="宋体"/>
          <w:color w:val="000000"/>
          <w:sz w:val="24"/>
        </w:rPr>
        <w:t>的谈判活动。谈判小组负责向采购方推荐成交候选人，由采购方确定成交供应商。</w:t>
      </w:r>
    </w:p>
    <w:p w14:paraId="0991BEFB">
      <w:pPr>
        <w:spacing w:line="4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（2）谈判小组人选于开标前确定。谈判小组成员名单在成交结果确定前保密。</w:t>
      </w:r>
    </w:p>
    <w:p w14:paraId="17DEC9E5">
      <w:pPr>
        <w:spacing w:line="4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（3）谈判小组有关技术、经济等方面的专家和采购人熟悉相关业务的代表人员组成，成员为三人以上的单数，其中技术、经济等方面的成员人数不少于成员总数的三分之二。</w:t>
      </w:r>
    </w:p>
    <w:p w14:paraId="0B6FE1D3">
      <w:pPr>
        <w:spacing w:line="460" w:lineRule="exact"/>
        <w:ind w:firstLine="480" w:firstLineChars="200"/>
        <w:rPr>
          <w:rFonts w:hint="eastAsia" w:ascii="宋体" w:hAnsi="宋体" w:eastAsia="宋体" w:cs="宋体"/>
          <w:color w:val="000000"/>
          <w:spacing w:val="-2"/>
          <w:sz w:val="24"/>
        </w:rPr>
      </w:pPr>
      <w:r>
        <w:rPr>
          <w:rFonts w:hint="eastAsia" w:ascii="宋体" w:hAnsi="宋体" w:eastAsia="宋体" w:cs="宋体"/>
          <w:color w:val="000000"/>
          <w:sz w:val="24"/>
        </w:rPr>
        <w:t>（4）采购单位根据本项目的特点，于开标前48小时，从政采云评审专家库中随机抽取组建</w:t>
      </w:r>
      <w:r>
        <w:rPr>
          <w:rFonts w:hint="eastAsia" w:ascii="宋体" w:hAnsi="宋体" w:cs="宋体"/>
          <w:color w:val="000000"/>
          <w:sz w:val="24"/>
          <w:lang w:val="en-US" w:eastAsia="zh-CN"/>
        </w:rPr>
        <w:t>谈判小组</w:t>
      </w:r>
      <w:r>
        <w:rPr>
          <w:rFonts w:hint="eastAsia" w:ascii="宋体" w:hAnsi="宋体" w:eastAsia="宋体" w:cs="宋体"/>
          <w:color w:val="000000"/>
          <w:sz w:val="24"/>
        </w:rPr>
        <w:t>。</w:t>
      </w:r>
      <w:r>
        <w:rPr>
          <w:rFonts w:hint="eastAsia" w:ascii="宋体" w:hAnsi="宋体" w:eastAsia="宋体" w:cs="宋体"/>
          <w:color w:val="000000"/>
          <w:spacing w:val="-2"/>
          <w:sz w:val="24"/>
        </w:rPr>
        <w:t>对于技术复杂、专业性要求较高或者国家有特殊要求的</w:t>
      </w:r>
      <w:r>
        <w:rPr>
          <w:rFonts w:hint="eastAsia" w:ascii="宋体" w:hAnsi="宋体" w:cs="宋体"/>
          <w:color w:val="000000"/>
          <w:spacing w:val="-2"/>
          <w:sz w:val="24"/>
          <w:lang w:val="en-US" w:eastAsia="zh-CN"/>
        </w:rPr>
        <w:t>采购</w:t>
      </w:r>
      <w:r>
        <w:rPr>
          <w:rFonts w:hint="eastAsia" w:ascii="宋体" w:hAnsi="宋体" w:eastAsia="宋体" w:cs="宋体"/>
          <w:color w:val="000000"/>
          <w:spacing w:val="-2"/>
          <w:sz w:val="24"/>
        </w:rPr>
        <w:t>项目，采取随机抽取的方式抽取的专家不能满足谈判工作需要时，将采取直接确定的方式选定谈判小组的人选。</w:t>
      </w:r>
    </w:p>
    <w:p w14:paraId="1903161A">
      <w:pPr>
        <w:spacing w:line="460" w:lineRule="exact"/>
        <w:ind w:firstLine="472" w:firstLineChars="200"/>
        <w:rPr>
          <w:rFonts w:hint="eastAsia" w:ascii="宋体" w:hAnsi="宋体" w:eastAsia="宋体" w:cs="宋体"/>
          <w:color w:val="000000"/>
          <w:spacing w:val="-2"/>
          <w:sz w:val="24"/>
        </w:rPr>
      </w:pPr>
      <w:r>
        <w:rPr>
          <w:rFonts w:hint="eastAsia" w:ascii="宋体" w:hAnsi="宋体" w:eastAsia="宋体" w:cs="宋体"/>
          <w:color w:val="000000"/>
          <w:spacing w:val="-2"/>
          <w:sz w:val="24"/>
        </w:rPr>
        <w:t>（5）谈判小组成员遵循法定的回避规定。</w:t>
      </w:r>
    </w:p>
    <w:p w14:paraId="02AE5181">
      <w:pPr>
        <w:spacing w:line="460" w:lineRule="exact"/>
        <w:ind w:firstLine="472" w:firstLineChars="200"/>
        <w:rPr>
          <w:rFonts w:hint="eastAsia" w:ascii="宋体" w:hAnsi="宋体" w:eastAsia="宋体" w:cs="宋体"/>
          <w:color w:val="000000"/>
          <w:spacing w:val="-2"/>
          <w:sz w:val="24"/>
        </w:rPr>
      </w:pPr>
      <w:r>
        <w:rPr>
          <w:rFonts w:hint="eastAsia" w:ascii="宋体" w:hAnsi="宋体" w:eastAsia="宋体" w:cs="宋体"/>
          <w:color w:val="000000"/>
          <w:spacing w:val="-2"/>
          <w:sz w:val="24"/>
        </w:rPr>
        <w:t>3.2　谈判小组应符合下列条件：</w:t>
      </w:r>
    </w:p>
    <w:p w14:paraId="694B395F">
      <w:pPr>
        <w:spacing w:line="460" w:lineRule="exact"/>
        <w:ind w:firstLine="480" w:firstLineChars="200"/>
        <w:rPr>
          <w:rFonts w:hint="eastAsia" w:ascii="宋体" w:hAnsi="宋体" w:eastAsia="宋体" w:cs="宋体"/>
          <w:color w:val="000000"/>
          <w:spacing w:val="-2"/>
          <w:sz w:val="24"/>
        </w:rPr>
      </w:pPr>
      <w:r>
        <w:rPr>
          <w:rFonts w:hint="eastAsia" w:ascii="宋体" w:hAnsi="宋体" w:eastAsia="宋体" w:cs="宋体"/>
          <w:color w:val="000000"/>
          <w:sz w:val="24"/>
        </w:rPr>
        <w:t xml:space="preserve">（1） </w:t>
      </w:r>
      <w:r>
        <w:rPr>
          <w:rFonts w:hint="eastAsia" w:ascii="宋体" w:hAnsi="宋体" w:eastAsia="宋体" w:cs="宋体"/>
          <w:color w:val="000000"/>
          <w:spacing w:val="-2"/>
          <w:sz w:val="24"/>
        </w:rPr>
        <w:t>熟悉有关政府采购和招标投标的法律法规；</w:t>
      </w:r>
    </w:p>
    <w:p w14:paraId="01CE719D">
      <w:pPr>
        <w:spacing w:line="460" w:lineRule="exact"/>
        <w:ind w:firstLine="480" w:firstLineChars="200"/>
        <w:rPr>
          <w:rFonts w:hint="eastAsia" w:ascii="宋体" w:hAnsi="宋体" w:eastAsia="宋体" w:cs="宋体"/>
          <w:color w:val="000000"/>
          <w:spacing w:val="-2"/>
          <w:sz w:val="24"/>
        </w:rPr>
      </w:pPr>
      <w:r>
        <w:rPr>
          <w:rFonts w:hint="eastAsia" w:ascii="宋体" w:hAnsi="宋体" w:eastAsia="宋体" w:cs="宋体"/>
          <w:color w:val="000000"/>
          <w:sz w:val="24"/>
        </w:rPr>
        <w:t xml:space="preserve">（2） </w:t>
      </w:r>
      <w:r>
        <w:rPr>
          <w:rFonts w:hint="eastAsia" w:ascii="宋体" w:hAnsi="宋体" w:eastAsia="宋体" w:cs="宋体"/>
          <w:color w:val="000000"/>
          <w:spacing w:val="-2"/>
          <w:sz w:val="24"/>
        </w:rPr>
        <w:t>在相关专业领域工作满八年并具有高级职称或者同等专业水平；</w:t>
      </w:r>
    </w:p>
    <w:p w14:paraId="46637016">
      <w:pPr>
        <w:spacing w:line="460" w:lineRule="exact"/>
        <w:ind w:firstLine="480" w:firstLineChars="200"/>
        <w:rPr>
          <w:rFonts w:hint="eastAsia" w:ascii="宋体" w:hAnsi="宋体" w:eastAsia="宋体" w:cs="宋体"/>
          <w:color w:val="000000"/>
          <w:spacing w:val="-2"/>
          <w:sz w:val="24"/>
        </w:rPr>
      </w:pPr>
      <w:r>
        <w:rPr>
          <w:rFonts w:hint="eastAsia" w:ascii="宋体" w:hAnsi="宋体" w:eastAsia="宋体" w:cs="宋体"/>
          <w:color w:val="000000"/>
          <w:sz w:val="24"/>
        </w:rPr>
        <w:t xml:space="preserve">（3） </w:t>
      </w:r>
      <w:r>
        <w:rPr>
          <w:rFonts w:hint="eastAsia" w:ascii="宋体" w:hAnsi="宋体" w:eastAsia="宋体" w:cs="宋体"/>
          <w:color w:val="000000"/>
          <w:spacing w:val="-2"/>
          <w:sz w:val="24"/>
        </w:rPr>
        <w:t>具有与</w:t>
      </w:r>
      <w:r>
        <w:rPr>
          <w:rFonts w:hint="eastAsia" w:ascii="宋体" w:hAnsi="宋体" w:cs="宋体"/>
          <w:color w:val="000000"/>
          <w:spacing w:val="-2"/>
          <w:sz w:val="24"/>
          <w:lang w:val="en-US" w:eastAsia="zh-CN"/>
        </w:rPr>
        <w:t>谈判</w:t>
      </w:r>
      <w:r>
        <w:rPr>
          <w:rFonts w:hint="eastAsia" w:ascii="宋体" w:hAnsi="宋体" w:eastAsia="宋体" w:cs="宋体"/>
          <w:color w:val="000000"/>
          <w:spacing w:val="-2"/>
          <w:sz w:val="24"/>
        </w:rPr>
        <w:t>项目相关的实践经验；</w:t>
      </w:r>
    </w:p>
    <w:p w14:paraId="4144483B">
      <w:pPr>
        <w:spacing w:line="460" w:lineRule="exact"/>
        <w:ind w:firstLine="480" w:firstLineChars="200"/>
        <w:rPr>
          <w:rFonts w:hint="eastAsia" w:ascii="宋体" w:hAnsi="宋体" w:eastAsia="宋体" w:cs="宋体"/>
          <w:color w:val="000000"/>
          <w:spacing w:val="-2"/>
          <w:sz w:val="24"/>
        </w:rPr>
      </w:pPr>
      <w:r>
        <w:rPr>
          <w:rFonts w:hint="eastAsia" w:ascii="宋体" w:hAnsi="宋体" w:eastAsia="宋体" w:cs="宋体"/>
          <w:color w:val="000000"/>
          <w:sz w:val="24"/>
        </w:rPr>
        <w:t xml:space="preserve">（4） </w:t>
      </w:r>
      <w:r>
        <w:rPr>
          <w:rFonts w:hint="eastAsia" w:ascii="宋体" w:hAnsi="宋体" w:eastAsia="宋体" w:cs="宋体"/>
          <w:color w:val="000000"/>
          <w:spacing w:val="-2"/>
          <w:sz w:val="24"/>
        </w:rPr>
        <w:t>能够认真、公正、诚实、廉洁的履行职责。</w:t>
      </w:r>
    </w:p>
    <w:p w14:paraId="0A5EA8FC">
      <w:pPr>
        <w:spacing w:line="460" w:lineRule="exact"/>
        <w:ind w:firstLine="472" w:firstLineChars="200"/>
        <w:rPr>
          <w:rFonts w:hint="eastAsia" w:ascii="宋体" w:hAnsi="宋体" w:eastAsia="宋体" w:cs="宋体"/>
          <w:color w:val="000000"/>
          <w:spacing w:val="-2"/>
          <w:sz w:val="24"/>
        </w:rPr>
      </w:pPr>
      <w:r>
        <w:rPr>
          <w:rFonts w:hint="eastAsia" w:ascii="宋体" w:hAnsi="宋体" w:eastAsia="宋体" w:cs="宋体"/>
          <w:color w:val="000000"/>
          <w:spacing w:val="-2"/>
          <w:sz w:val="24"/>
        </w:rPr>
        <w:t>3.3  有下列情形之一的，不得担任谈判小组成员：</w:t>
      </w:r>
    </w:p>
    <w:p w14:paraId="1CDA9E7D">
      <w:pPr>
        <w:spacing w:line="460" w:lineRule="exact"/>
        <w:ind w:firstLine="480" w:firstLineChars="200"/>
        <w:rPr>
          <w:rFonts w:hint="eastAsia" w:ascii="宋体" w:hAnsi="宋体" w:eastAsia="宋体" w:cs="宋体"/>
          <w:color w:val="000000"/>
          <w:spacing w:val="-2"/>
          <w:sz w:val="24"/>
        </w:rPr>
      </w:pPr>
      <w:r>
        <w:rPr>
          <w:rFonts w:hint="eastAsia" w:ascii="宋体" w:hAnsi="宋体" w:eastAsia="宋体" w:cs="宋体"/>
          <w:color w:val="000000"/>
          <w:sz w:val="24"/>
        </w:rPr>
        <w:t>（1）</w:t>
      </w:r>
      <w:r>
        <w:rPr>
          <w:rFonts w:hint="eastAsia" w:ascii="宋体" w:hAnsi="宋体" w:eastAsia="宋体" w:cs="宋体"/>
          <w:color w:val="000000"/>
          <w:spacing w:val="-2"/>
          <w:sz w:val="24"/>
        </w:rPr>
        <w:t xml:space="preserve"> 与供应商或者供应商主要负责人有近亲关系的；</w:t>
      </w:r>
    </w:p>
    <w:p w14:paraId="2270E5B2">
      <w:pPr>
        <w:spacing w:line="460" w:lineRule="exact"/>
        <w:ind w:firstLine="480" w:firstLineChars="200"/>
        <w:rPr>
          <w:rFonts w:hint="eastAsia" w:ascii="宋体" w:hAnsi="宋体" w:eastAsia="宋体" w:cs="宋体"/>
          <w:color w:val="000000"/>
          <w:spacing w:val="-2"/>
          <w:sz w:val="24"/>
        </w:rPr>
      </w:pPr>
      <w:r>
        <w:rPr>
          <w:rFonts w:hint="eastAsia" w:ascii="宋体" w:hAnsi="宋体" w:eastAsia="宋体" w:cs="宋体"/>
          <w:color w:val="000000"/>
          <w:sz w:val="24"/>
        </w:rPr>
        <w:t>（2）</w:t>
      </w:r>
      <w:r>
        <w:rPr>
          <w:rFonts w:hint="eastAsia" w:ascii="宋体" w:hAnsi="宋体" w:eastAsia="宋体" w:cs="宋体"/>
          <w:color w:val="000000"/>
          <w:spacing w:val="-2"/>
          <w:sz w:val="24"/>
        </w:rPr>
        <w:t xml:space="preserve"> 与项目主管部门或者行政监督部门的人员有近亲关系的；</w:t>
      </w:r>
    </w:p>
    <w:p w14:paraId="3D8112FF">
      <w:pPr>
        <w:spacing w:line="460" w:lineRule="exact"/>
        <w:ind w:firstLine="480" w:firstLineChars="200"/>
        <w:rPr>
          <w:rFonts w:hint="eastAsia" w:ascii="宋体" w:hAnsi="宋体" w:eastAsia="宋体" w:cs="宋体"/>
          <w:color w:val="000000"/>
          <w:spacing w:val="-2"/>
          <w:sz w:val="24"/>
        </w:rPr>
      </w:pPr>
      <w:r>
        <w:rPr>
          <w:rFonts w:hint="eastAsia" w:ascii="宋体" w:hAnsi="宋体" w:eastAsia="宋体" w:cs="宋体"/>
          <w:color w:val="000000"/>
          <w:sz w:val="24"/>
        </w:rPr>
        <w:t>（3）</w:t>
      </w:r>
      <w:r>
        <w:rPr>
          <w:rFonts w:hint="eastAsia" w:ascii="宋体" w:hAnsi="宋体" w:eastAsia="宋体" w:cs="宋体"/>
          <w:color w:val="000000"/>
          <w:spacing w:val="-2"/>
          <w:sz w:val="24"/>
        </w:rPr>
        <w:t xml:space="preserve"> 与供应商有经济利益关系，可能影响对投标公正评审的；</w:t>
      </w:r>
    </w:p>
    <w:p w14:paraId="777BE381">
      <w:pPr>
        <w:spacing w:line="460" w:lineRule="exact"/>
        <w:ind w:firstLine="480" w:firstLineChars="200"/>
        <w:rPr>
          <w:rFonts w:hint="eastAsia" w:ascii="宋体" w:hAnsi="宋体" w:eastAsia="宋体" w:cs="宋体"/>
          <w:color w:val="000000"/>
          <w:spacing w:val="-2"/>
          <w:sz w:val="24"/>
        </w:rPr>
      </w:pPr>
      <w:r>
        <w:rPr>
          <w:rFonts w:hint="eastAsia" w:ascii="宋体" w:hAnsi="宋体" w:eastAsia="宋体" w:cs="宋体"/>
          <w:color w:val="000000"/>
          <w:sz w:val="24"/>
        </w:rPr>
        <w:t xml:space="preserve">（4） </w:t>
      </w:r>
      <w:r>
        <w:rPr>
          <w:rFonts w:hint="eastAsia" w:ascii="宋体" w:hAnsi="宋体" w:eastAsia="宋体" w:cs="宋体"/>
          <w:color w:val="000000"/>
          <w:spacing w:val="-2"/>
          <w:sz w:val="24"/>
        </w:rPr>
        <w:t>曾因在招标、评标以及其他与招标投标有关活动中从事违法行为而受过行政处罚或刑事处罚的。</w:t>
      </w:r>
    </w:p>
    <w:p w14:paraId="70EF5BCF">
      <w:pPr>
        <w:spacing w:line="460" w:lineRule="exact"/>
        <w:ind w:firstLine="472" w:firstLineChars="200"/>
        <w:rPr>
          <w:rFonts w:hint="eastAsia" w:ascii="宋体" w:hAnsi="宋体" w:eastAsia="宋体" w:cs="宋体"/>
          <w:color w:val="000000"/>
          <w:spacing w:val="-2"/>
          <w:sz w:val="24"/>
        </w:rPr>
      </w:pPr>
      <w:r>
        <w:rPr>
          <w:rFonts w:hint="eastAsia" w:ascii="宋体" w:hAnsi="宋体" w:eastAsia="宋体" w:cs="宋体"/>
          <w:color w:val="000000"/>
          <w:spacing w:val="-2"/>
          <w:sz w:val="24"/>
        </w:rPr>
        <w:t>谈判小组成员有前款规定情形之一的，应当主动提出回避。</w:t>
      </w:r>
    </w:p>
    <w:p w14:paraId="76CEE37E">
      <w:pPr>
        <w:spacing w:line="460" w:lineRule="exact"/>
        <w:ind w:firstLine="480" w:firstLineChars="200"/>
        <w:rPr>
          <w:rFonts w:hint="eastAsia" w:ascii="宋体" w:hAnsi="宋体" w:eastAsia="宋体" w:cs="宋体"/>
          <w:color w:val="000000"/>
          <w:spacing w:val="-2"/>
          <w:sz w:val="24"/>
        </w:rPr>
      </w:pPr>
      <w:r>
        <w:rPr>
          <w:rFonts w:hint="eastAsia" w:ascii="宋体" w:hAnsi="宋体" w:eastAsia="宋体" w:cs="宋体"/>
          <w:bCs/>
          <w:color w:val="000000"/>
          <w:sz w:val="24"/>
        </w:rPr>
        <w:t>3.4</w:t>
      </w:r>
      <w:r>
        <w:rPr>
          <w:rFonts w:hint="eastAsia" w:ascii="宋体" w:hAnsi="宋体" w:eastAsia="宋体" w:cs="宋体"/>
          <w:color w:val="000000"/>
          <w:spacing w:val="-2"/>
          <w:sz w:val="24"/>
        </w:rPr>
        <w:t xml:space="preserve">  谈判小组成员应当熟悉并认真研究谈判文件，至少应了解和熟悉以下内容：</w:t>
      </w:r>
    </w:p>
    <w:p w14:paraId="43B26F88">
      <w:pPr>
        <w:spacing w:line="460" w:lineRule="exact"/>
        <w:ind w:firstLine="480" w:firstLineChars="200"/>
        <w:rPr>
          <w:rFonts w:hint="eastAsia" w:ascii="宋体" w:hAnsi="宋体" w:eastAsia="宋体" w:cs="宋体"/>
          <w:color w:val="000000"/>
          <w:spacing w:val="-2"/>
          <w:sz w:val="24"/>
        </w:rPr>
      </w:pPr>
      <w:r>
        <w:rPr>
          <w:rFonts w:hint="eastAsia" w:ascii="宋体" w:hAnsi="宋体" w:eastAsia="宋体" w:cs="宋体"/>
          <w:color w:val="000000"/>
          <w:sz w:val="24"/>
        </w:rPr>
        <w:t>（1）</w:t>
      </w:r>
      <w:r>
        <w:rPr>
          <w:rFonts w:hint="eastAsia" w:ascii="宋体" w:hAnsi="宋体" w:eastAsia="宋体" w:cs="宋体"/>
          <w:color w:val="000000"/>
          <w:spacing w:val="-2"/>
          <w:sz w:val="24"/>
        </w:rPr>
        <w:t>采购目的；</w:t>
      </w:r>
    </w:p>
    <w:p w14:paraId="2218F6C1">
      <w:pPr>
        <w:spacing w:line="460" w:lineRule="exact"/>
        <w:ind w:firstLine="480" w:firstLineChars="200"/>
        <w:rPr>
          <w:rFonts w:hint="eastAsia" w:ascii="宋体" w:hAnsi="宋体" w:eastAsia="宋体" w:cs="宋体"/>
          <w:color w:val="000000"/>
          <w:spacing w:val="-2"/>
          <w:sz w:val="24"/>
        </w:rPr>
      </w:pPr>
      <w:r>
        <w:rPr>
          <w:rFonts w:hint="eastAsia" w:ascii="宋体" w:hAnsi="宋体" w:eastAsia="宋体" w:cs="宋体"/>
          <w:color w:val="000000"/>
          <w:sz w:val="24"/>
        </w:rPr>
        <w:t>（2）</w:t>
      </w:r>
      <w:r>
        <w:rPr>
          <w:rFonts w:hint="eastAsia" w:ascii="宋体" w:hAnsi="宋体" w:eastAsia="宋体" w:cs="宋体"/>
          <w:color w:val="000000"/>
          <w:spacing w:val="-2"/>
          <w:sz w:val="24"/>
        </w:rPr>
        <w:t xml:space="preserve"> </w:t>
      </w:r>
      <w:r>
        <w:rPr>
          <w:rFonts w:hint="eastAsia" w:ascii="宋体" w:hAnsi="宋体" w:cs="宋体"/>
          <w:color w:val="000000"/>
          <w:spacing w:val="-2"/>
          <w:sz w:val="24"/>
          <w:lang w:val="en-US" w:eastAsia="zh-CN"/>
        </w:rPr>
        <w:t>谈判</w:t>
      </w:r>
      <w:r>
        <w:rPr>
          <w:rFonts w:hint="eastAsia" w:ascii="宋体" w:hAnsi="宋体" w:eastAsia="宋体" w:cs="宋体"/>
          <w:color w:val="000000"/>
          <w:spacing w:val="-2"/>
          <w:sz w:val="24"/>
        </w:rPr>
        <w:t>项目的范围、性质；</w:t>
      </w:r>
    </w:p>
    <w:p w14:paraId="6B2F2505">
      <w:pPr>
        <w:spacing w:line="460" w:lineRule="exact"/>
        <w:ind w:firstLine="480" w:firstLineChars="200"/>
        <w:rPr>
          <w:rFonts w:hint="eastAsia" w:ascii="宋体" w:hAnsi="宋体" w:eastAsia="宋体" w:cs="宋体"/>
          <w:color w:val="000000"/>
          <w:spacing w:val="-2"/>
          <w:sz w:val="24"/>
        </w:rPr>
      </w:pPr>
      <w:r>
        <w:rPr>
          <w:rFonts w:hint="eastAsia" w:ascii="宋体" w:hAnsi="宋体" w:eastAsia="宋体" w:cs="宋体"/>
          <w:color w:val="000000"/>
          <w:sz w:val="24"/>
        </w:rPr>
        <w:t>（3）</w:t>
      </w:r>
      <w:r>
        <w:rPr>
          <w:rFonts w:hint="eastAsia" w:ascii="宋体" w:hAnsi="宋体" w:eastAsia="宋体" w:cs="宋体"/>
          <w:color w:val="000000"/>
          <w:spacing w:val="-2"/>
          <w:sz w:val="24"/>
        </w:rPr>
        <w:t xml:space="preserve"> 谈判文件中规定的主要技术要求、标准和商务条款；</w:t>
      </w:r>
    </w:p>
    <w:p w14:paraId="1EA71FCD">
      <w:pPr>
        <w:spacing w:line="460" w:lineRule="exact"/>
        <w:ind w:firstLine="480" w:firstLineChars="200"/>
        <w:rPr>
          <w:rFonts w:hint="eastAsia" w:ascii="宋体" w:hAnsi="宋体" w:eastAsia="宋体" w:cs="宋体"/>
          <w:color w:val="000000"/>
          <w:spacing w:val="-2"/>
          <w:sz w:val="24"/>
        </w:rPr>
      </w:pPr>
      <w:r>
        <w:rPr>
          <w:rFonts w:hint="eastAsia" w:ascii="宋体" w:hAnsi="宋体" w:eastAsia="宋体" w:cs="宋体"/>
          <w:color w:val="000000"/>
          <w:sz w:val="24"/>
        </w:rPr>
        <w:t>（4）</w:t>
      </w:r>
      <w:r>
        <w:rPr>
          <w:rFonts w:hint="eastAsia" w:ascii="宋体" w:hAnsi="宋体" w:eastAsia="宋体" w:cs="宋体"/>
          <w:color w:val="000000"/>
          <w:spacing w:val="-2"/>
          <w:sz w:val="24"/>
        </w:rPr>
        <w:t xml:space="preserve"> 谈判文件规定的评分标准、评标方法和在谈判过程中应考虑的相关因素。</w:t>
      </w:r>
    </w:p>
    <w:p w14:paraId="69288690">
      <w:pPr>
        <w:spacing w:line="460" w:lineRule="exact"/>
        <w:ind w:firstLine="472" w:firstLineChars="200"/>
        <w:rPr>
          <w:rFonts w:hint="eastAsia" w:ascii="宋体" w:hAnsi="宋体" w:eastAsia="宋体" w:cs="宋体"/>
          <w:color w:val="000000"/>
          <w:spacing w:val="-2"/>
          <w:sz w:val="24"/>
        </w:rPr>
      </w:pPr>
      <w:r>
        <w:rPr>
          <w:rFonts w:hint="eastAsia" w:ascii="宋体" w:hAnsi="宋体" w:eastAsia="宋体" w:cs="宋体"/>
          <w:color w:val="000000"/>
          <w:spacing w:val="-2"/>
          <w:sz w:val="24"/>
        </w:rPr>
        <w:t>3.5  采购方应当向谈判小组提供谈判所需的重要信息和数据。</w:t>
      </w:r>
    </w:p>
    <w:p w14:paraId="07BBA181">
      <w:pPr>
        <w:spacing w:line="460" w:lineRule="exact"/>
        <w:ind w:firstLine="472" w:firstLineChars="200"/>
        <w:rPr>
          <w:rFonts w:hint="eastAsia" w:ascii="宋体" w:hAnsi="宋体" w:eastAsia="宋体" w:cs="宋体"/>
          <w:color w:val="000000"/>
          <w:spacing w:val="-2"/>
          <w:sz w:val="24"/>
        </w:rPr>
      </w:pPr>
      <w:r>
        <w:rPr>
          <w:rFonts w:hint="eastAsia" w:ascii="宋体" w:hAnsi="宋体" w:eastAsia="宋体" w:cs="宋体"/>
          <w:color w:val="000000"/>
          <w:spacing w:val="-2"/>
          <w:sz w:val="24"/>
        </w:rPr>
        <w:t>3.6  谈判小组应当根据谈判文件规定的标准和方法，对响应性文件进行系统地评审和比较。谈判文件中没有规定的标准和方法不得作为谈判的依据。</w:t>
      </w:r>
    </w:p>
    <w:p w14:paraId="64370E61">
      <w:pPr>
        <w:spacing w:line="460" w:lineRule="exact"/>
        <w:ind w:firstLine="472" w:firstLineChars="200"/>
        <w:rPr>
          <w:rFonts w:hint="eastAsia" w:ascii="宋体" w:hAnsi="宋体" w:eastAsia="宋体" w:cs="宋体"/>
          <w:color w:val="000000"/>
          <w:spacing w:val="-2"/>
          <w:sz w:val="24"/>
        </w:rPr>
      </w:pPr>
      <w:r>
        <w:rPr>
          <w:rFonts w:hint="eastAsia" w:ascii="宋体" w:hAnsi="宋体" w:eastAsia="宋体" w:cs="宋体"/>
          <w:color w:val="000000"/>
          <w:spacing w:val="-2"/>
          <w:sz w:val="24"/>
        </w:rPr>
        <w:t>3.7  谈判小组成员应当客观、公正地履行职责，遵守职业道德，并对所提出的评审意见承担个人责任。谈判小组成员不得与任何供应商或者与</w:t>
      </w:r>
      <w:r>
        <w:rPr>
          <w:rFonts w:hint="eastAsia" w:ascii="宋体" w:hAnsi="宋体" w:cs="宋体"/>
          <w:color w:val="000000"/>
          <w:spacing w:val="-2"/>
          <w:sz w:val="24"/>
          <w:lang w:val="en-US" w:eastAsia="zh-CN"/>
        </w:rPr>
        <w:t>谈判</w:t>
      </w:r>
      <w:r>
        <w:rPr>
          <w:rFonts w:hint="eastAsia" w:ascii="宋体" w:hAnsi="宋体" w:eastAsia="宋体" w:cs="宋体"/>
          <w:color w:val="000000"/>
          <w:spacing w:val="-2"/>
          <w:sz w:val="24"/>
        </w:rPr>
        <w:t>结果有利害关系的人员进行私下接触，不得收受供应商、中介人或其他有利害关系人的财物或好处。</w:t>
      </w:r>
    </w:p>
    <w:p w14:paraId="08957A11">
      <w:pPr>
        <w:spacing w:line="460" w:lineRule="exact"/>
        <w:ind w:firstLine="472" w:firstLineChars="200"/>
        <w:rPr>
          <w:rFonts w:hint="eastAsia" w:ascii="宋体" w:hAnsi="宋体" w:eastAsia="宋体" w:cs="宋体"/>
          <w:color w:val="000000"/>
          <w:spacing w:val="-2"/>
          <w:sz w:val="24"/>
        </w:rPr>
      </w:pPr>
      <w:r>
        <w:rPr>
          <w:rFonts w:hint="eastAsia" w:ascii="宋体" w:hAnsi="宋体" w:eastAsia="宋体" w:cs="宋体"/>
          <w:color w:val="000000"/>
          <w:spacing w:val="-2"/>
          <w:sz w:val="24"/>
        </w:rPr>
        <w:t>3.8  谈判小组成员和与本次谈判活动有关的工作人员，不得透露对响应性文件的评审和比较以及与谈判有关的其他情况。</w:t>
      </w:r>
    </w:p>
    <w:p w14:paraId="21C194CA">
      <w:pPr>
        <w:spacing w:line="460" w:lineRule="exact"/>
        <w:ind w:firstLine="472" w:firstLineChars="200"/>
        <w:rPr>
          <w:rFonts w:hint="eastAsia" w:ascii="宋体" w:hAnsi="宋体" w:eastAsia="宋体" w:cs="宋体"/>
          <w:color w:val="000000"/>
          <w:spacing w:val="-2"/>
          <w:sz w:val="24"/>
        </w:rPr>
      </w:pPr>
      <w:r>
        <w:rPr>
          <w:rFonts w:hint="eastAsia" w:ascii="宋体" w:hAnsi="宋体" w:eastAsia="宋体" w:cs="宋体"/>
          <w:color w:val="000000"/>
          <w:spacing w:val="-2"/>
          <w:sz w:val="24"/>
        </w:rPr>
        <w:t>3.9　与谈判活动有关的工作人员，是指谈判小组成员以外的、因参与谈判监督工作或者事务性工作而知悉有关评标情况的所有人员。</w:t>
      </w:r>
    </w:p>
    <w:p w14:paraId="30C918B0">
      <w:pPr>
        <w:spacing w:line="460" w:lineRule="exact"/>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4、竞争性谈判的报价方式</w:t>
      </w:r>
    </w:p>
    <w:p w14:paraId="51E3A211">
      <w:pPr>
        <w:spacing w:line="4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4.1 采用报价的方式：</w:t>
      </w:r>
    </w:p>
    <w:p w14:paraId="51D1EBC9">
      <w:pPr>
        <w:spacing w:line="4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 供应商在政采云平台提交响应性文件中的报价，在开标现场不予公布。该报价只允许有一个报价，任何有选择性的报价将不予接受。</w:t>
      </w:r>
    </w:p>
    <w:p w14:paraId="77FDDE79">
      <w:pPr>
        <w:spacing w:line="460" w:lineRule="exact"/>
        <w:ind w:firstLine="480" w:firstLineChars="200"/>
        <w:rPr>
          <w:rFonts w:hint="eastAsia" w:ascii="宋体" w:hAnsi="宋体" w:eastAsia="宋体" w:cs="宋体"/>
          <w:kern w:val="0"/>
          <w:sz w:val="24"/>
        </w:rPr>
      </w:pPr>
      <w:r>
        <w:rPr>
          <w:rFonts w:hint="eastAsia" w:ascii="宋体" w:hAnsi="宋体" w:eastAsia="宋体" w:cs="宋体"/>
          <w:color w:val="000000"/>
          <w:kern w:val="0"/>
          <w:sz w:val="24"/>
        </w:rPr>
        <w:t>（2） 谈判小组所有成员与供应商分别进行单独谈判。在谈判中，谈判的任何一方不得透露与谈判有关的其他供应商的技术资料、价格和其他信息。采购代理机构将通知所有谈判供应商,并给所有谈判供应商提供较充分的修正时间。</w:t>
      </w:r>
    </w:p>
    <w:p w14:paraId="229CA090">
      <w:pPr>
        <w:spacing w:line="460" w:lineRule="exact"/>
        <w:ind w:firstLine="480" w:firstLineChars="200"/>
        <w:rPr>
          <w:rFonts w:hint="eastAsia" w:ascii="宋体" w:hAnsi="宋体" w:eastAsia="宋体" w:cs="宋体"/>
          <w:sz w:val="24"/>
        </w:rPr>
      </w:pPr>
      <w:r>
        <w:rPr>
          <w:rFonts w:hint="eastAsia" w:ascii="宋体" w:hAnsi="宋体" w:eastAsia="宋体" w:cs="宋体"/>
          <w:sz w:val="24"/>
        </w:rPr>
        <w:t>4.2  供应商可根据谈判情况，进行第二次报价，该报价为谈判的最终报价。</w:t>
      </w:r>
    </w:p>
    <w:p w14:paraId="28EFD986">
      <w:pPr>
        <w:spacing w:line="460" w:lineRule="exact"/>
        <w:ind w:firstLine="480" w:firstLineChars="200"/>
        <w:rPr>
          <w:rFonts w:hint="eastAsia" w:ascii="宋体" w:hAnsi="宋体" w:eastAsia="宋体" w:cs="宋体"/>
          <w:sz w:val="24"/>
        </w:rPr>
      </w:pPr>
      <w:r>
        <w:rPr>
          <w:rFonts w:hint="eastAsia" w:ascii="宋体" w:hAnsi="宋体" w:eastAsia="宋体" w:cs="宋体"/>
          <w:sz w:val="24"/>
        </w:rPr>
        <w:t>4.3　供应商在进行二次报价时，报价应用小写和大写同时书写，大小写不相符时，以大写为准，同时二次报价上还应写明供应商名称，经授权委托人签字后盖章后，上传政采云平台。供应商在要求的规定时间内进行网上报价，报价结束后评标委员会进行评审，二次报价不公开。</w:t>
      </w:r>
    </w:p>
    <w:p w14:paraId="21D4E10F">
      <w:pPr>
        <w:spacing w:line="460" w:lineRule="exact"/>
        <w:ind w:firstLine="482" w:firstLineChars="200"/>
        <w:rPr>
          <w:rFonts w:hint="eastAsia" w:ascii="宋体" w:hAnsi="宋体" w:eastAsia="宋体" w:cs="宋体"/>
          <w:b/>
          <w:sz w:val="24"/>
        </w:rPr>
      </w:pPr>
      <w:r>
        <w:rPr>
          <w:rFonts w:hint="eastAsia" w:ascii="宋体" w:hAnsi="宋体" w:eastAsia="宋体" w:cs="宋体"/>
          <w:b/>
          <w:sz w:val="24"/>
        </w:rPr>
        <w:t>4.4 二次修正错误的原则如下：大写金额与小写金额不一致的，以大写金额为准；总价金额与按单价汇总金额不一致的，以单价金额计算结果为准；单价金额小数点有明显错位的，以总价为准，并修改单价；对不同文字文本响应性文件的解释发生异议的，以中文文本为准。按上述原则调整后的价格为评标价，对供应商具有约束力。如果供应商不接受修正后的价格，则其报价将被拒绝，其谈判保证金将被没收。</w:t>
      </w:r>
    </w:p>
    <w:p w14:paraId="76178622">
      <w:pPr>
        <w:spacing w:line="460" w:lineRule="exact"/>
        <w:ind w:firstLine="482" w:firstLineChars="200"/>
        <w:rPr>
          <w:rFonts w:hint="eastAsia" w:ascii="宋体" w:hAnsi="宋体" w:eastAsia="宋体" w:cs="宋体"/>
          <w:b/>
          <w:sz w:val="24"/>
        </w:rPr>
      </w:pPr>
      <w:r>
        <w:rPr>
          <w:rFonts w:hint="eastAsia" w:ascii="宋体" w:hAnsi="宋体" w:eastAsia="宋体" w:cs="宋体"/>
          <w:b/>
          <w:sz w:val="24"/>
        </w:rPr>
        <w:t>5、谈判和评审过程的保密性</w:t>
      </w:r>
    </w:p>
    <w:p w14:paraId="41F802D4">
      <w:pPr>
        <w:spacing w:line="4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5.1　所有与本次</w:t>
      </w:r>
      <w:r>
        <w:rPr>
          <w:rFonts w:hint="eastAsia" w:ascii="宋体" w:hAnsi="宋体" w:cs="宋体"/>
          <w:color w:val="000000"/>
          <w:sz w:val="24"/>
          <w:lang w:val="en-US" w:eastAsia="zh-CN"/>
        </w:rPr>
        <w:t>谈判</w:t>
      </w:r>
      <w:r>
        <w:rPr>
          <w:rFonts w:hint="eastAsia" w:ascii="宋体" w:hAnsi="宋体" w:eastAsia="宋体" w:cs="宋体"/>
          <w:color w:val="000000"/>
          <w:sz w:val="24"/>
        </w:rPr>
        <w:t>及谈判有关的人员，均不得向供应商及与谈判项目无关的其他人员，透露与谈判有关的资料等。</w:t>
      </w:r>
    </w:p>
    <w:p w14:paraId="3C527AC6">
      <w:pPr>
        <w:spacing w:line="4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5.2　在谈判过程中，供应商试图在响应性文件审查、澄清、比较等方面向采购人员施加影响的任何行为都可能导致其响应性文件被拒绝。</w:t>
      </w:r>
    </w:p>
    <w:p w14:paraId="2CDF2E03">
      <w:pPr>
        <w:spacing w:line="460" w:lineRule="exact"/>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6、谈判程序、报价确认和澄清及成交原则</w:t>
      </w:r>
    </w:p>
    <w:p w14:paraId="00FAA150">
      <w:pPr>
        <w:spacing w:line="4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开标结束后，采购人或采购代理机构将根据《资格审查要求》中的规定，对</w:t>
      </w:r>
      <w:r>
        <w:rPr>
          <w:rFonts w:hint="eastAsia" w:ascii="宋体" w:hAnsi="宋体" w:cs="宋体"/>
          <w:color w:val="000000"/>
          <w:sz w:val="24"/>
          <w:lang w:val="en-US" w:eastAsia="zh-CN"/>
        </w:rPr>
        <w:t>供应商</w:t>
      </w:r>
      <w:r>
        <w:rPr>
          <w:rFonts w:hint="eastAsia" w:ascii="宋体" w:hAnsi="宋体" w:eastAsia="宋体" w:cs="宋体"/>
          <w:color w:val="000000"/>
          <w:sz w:val="24"/>
        </w:rPr>
        <w:t>进行资格审查，以确定</w:t>
      </w:r>
      <w:r>
        <w:rPr>
          <w:rFonts w:hint="eastAsia" w:ascii="宋体" w:hAnsi="宋体" w:cs="宋体"/>
          <w:color w:val="000000"/>
          <w:sz w:val="24"/>
          <w:lang w:val="en-US" w:eastAsia="zh-CN"/>
        </w:rPr>
        <w:t>供应商</w:t>
      </w:r>
      <w:r>
        <w:rPr>
          <w:rFonts w:hint="eastAsia" w:ascii="宋体" w:hAnsi="宋体" w:eastAsia="宋体" w:cs="宋体"/>
          <w:color w:val="000000"/>
          <w:sz w:val="24"/>
        </w:rPr>
        <w:t>是否具备</w:t>
      </w:r>
      <w:r>
        <w:rPr>
          <w:rFonts w:hint="eastAsia" w:ascii="宋体" w:hAnsi="宋体" w:cs="宋体"/>
          <w:color w:val="000000"/>
          <w:sz w:val="24"/>
          <w:lang w:val="en-US" w:eastAsia="zh-CN"/>
        </w:rPr>
        <w:t>响应</w:t>
      </w:r>
      <w:r>
        <w:rPr>
          <w:rFonts w:hint="eastAsia" w:ascii="宋体" w:hAnsi="宋体" w:eastAsia="宋体" w:cs="宋体"/>
          <w:color w:val="000000"/>
          <w:sz w:val="24"/>
        </w:rPr>
        <w:t>资格，并形成资格审查结果。资格审查中凡有其中任意一项未通过的，评审结果为未通过，未通过资格审查的</w:t>
      </w:r>
      <w:r>
        <w:rPr>
          <w:rFonts w:hint="eastAsia" w:ascii="宋体" w:hAnsi="宋体" w:cs="宋体"/>
          <w:color w:val="000000"/>
          <w:sz w:val="24"/>
          <w:lang w:val="en-US" w:eastAsia="zh-CN"/>
        </w:rPr>
        <w:t>供应商</w:t>
      </w:r>
      <w:r>
        <w:rPr>
          <w:rFonts w:hint="eastAsia" w:ascii="宋体" w:hAnsi="宋体" w:eastAsia="宋体" w:cs="宋体"/>
          <w:color w:val="000000"/>
          <w:sz w:val="24"/>
        </w:rPr>
        <w:t>按无效</w:t>
      </w:r>
      <w:r>
        <w:rPr>
          <w:rFonts w:hint="eastAsia" w:ascii="宋体" w:hAnsi="宋体" w:cs="宋体"/>
          <w:color w:val="000000"/>
          <w:sz w:val="24"/>
          <w:lang w:val="en-US" w:eastAsia="zh-CN"/>
        </w:rPr>
        <w:t>谈判响应</w:t>
      </w:r>
      <w:r>
        <w:rPr>
          <w:rFonts w:hint="eastAsia" w:ascii="宋体" w:hAnsi="宋体" w:eastAsia="宋体" w:cs="宋体"/>
          <w:color w:val="000000"/>
          <w:sz w:val="24"/>
        </w:rPr>
        <w:t>处理，不进入符合性审查。资格审查要求如下：</w:t>
      </w:r>
    </w:p>
    <w:p w14:paraId="2C223BD7">
      <w:pPr>
        <w:spacing w:line="480" w:lineRule="exact"/>
        <w:jc w:val="center"/>
        <w:rPr>
          <w:rFonts w:hint="eastAsia" w:ascii="宋体" w:hAnsi="宋体" w:eastAsia="宋体" w:cs="宋体"/>
          <w:b/>
          <w:bCs/>
          <w:sz w:val="28"/>
          <w:szCs w:val="22"/>
        </w:rPr>
      </w:pPr>
      <w:r>
        <w:rPr>
          <w:rFonts w:hint="eastAsia" w:ascii="宋体" w:hAnsi="宋体" w:eastAsia="宋体" w:cs="宋体"/>
          <w:b/>
          <w:bCs/>
          <w:sz w:val="28"/>
          <w:szCs w:val="22"/>
        </w:rPr>
        <w:t>资格检查表</w:t>
      </w:r>
    </w:p>
    <w:tbl>
      <w:tblPr>
        <w:tblStyle w:val="24"/>
        <w:tblpPr w:leftFromText="180" w:rightFromText="180" w:vertAnchor="text" w:horzAnchor="page" w:tblpX="1710" w:tblpY="483"/>
        <w:tblOverlap w:val="never"/>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863"/>
        <w:gridCol w:w="2347"/>
        <w:gridCol w:w="4862"/>
      </w:tblGrid>
      <w:tr w14:paraId="2C897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48" w:type="dxa"/>
            <w:vAlign w:val="center"/>
          </w:tcPr>
          <w:p w14:paraId="2206381A">
            <w:pPr>
              <w:jc w:val="center"/>
              <w:rPr>
                <w:rFonts w:hint="eastAsia" w:ascii="宋体" w:hAnsi="宋体" w:eastAsia="宋体" w:cs="宋体"/>
                <w:sz w:val="24"/>
              </w:rPr>
            </w:pPr>
            <w:r>
              <w:rPr>
                <w:rFonts w:hint="eastAsia" w:ascii="宋体" w:hAnsi="宋体" w:eastAsia="宋体" w:cs="宋体"/>
                <w:sz w:val="24"/>
              </w:rPr>
              <w:t>序号</w:t>
            </w:r>
          </w:p>
        </w:tc>
        <w:tc>
          <w:tcPr>
            <w:tcW w:w="3210" w:type="dxa"/>
            <w:gridSpan w:val="2"/>
            <w:vAlign w:val="center"/>
          </w:tcPr>
          <w:p w14:paraId="6FBB5B71">
            <w:pPr>
              <w:jc w:val="center"/>
              <w:rPr>
                <w:rFonts w:hint="eastAsia" w:ascii="宋体" w:hAnsi="宋体" w:eastAsia="宋体" w:cs="宋体"/>
                <w:sz w:val="24"/>
              </w:rPr>
            </w:pPr>
            <w:r>
              <w:rPr>
                <w:rFonts w:hint="eastAsia" w:ascii="宋体" w:hAnsi="宋体" w:eastAsia="宋体" w:cs="宋体"/>
                <w:sz w:val="24"/>
              </w:rPr>
              <w:t>检查因素</w:t>
            </w:r>
          </w:p>
        </w:tc>
        <w:tc>
          <w:tcPr>
            <w:tcW w:w="4862" w:type="dxa"/>
            <w:vAlign w:val="center"/>
          </w:tcPr>
          <w:p w14:paraId="4F679A6D">
            <w:pPr>
              <w:jc w:val="center"/>
              <w:rPr>
                <w:rFonts w:hint="eastAsia" w:ascii="宋体" w:hAnsi="宋体" w:eastAsia="宋体" w:cs="宋体"/>
                <w:sz w:val="24"/>
              </w:rPr>
            </w:pPr>
            <w:r>
              <w:rPr>
                <w:rFonts w:hint="eastAsia" w:ascii="宋体" w:hAnsi="宋体" w:eastAsia="宋体" w:cs="宋体"/>
                <w:sz w:val="24"/>
              </w:rPr>
              <w:t>检查内容</w:t>
            </w:r>
          </w:p>
        </w:tc>
      </w:tr>
      <w:tr w14:paraId="0927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vAlign w:val="center"/>
          </w:tcPr>
          <w:p w14:paraId="4E3AA90C">
            <w:pPr>
              <w:jc w:val="center"/>
              <w:rPr>
                <w:rFonts w:hint="eastAsia" w:ascii="宋体" w:hAnsi="宋体" w:eastAsia="宋体" w:cs="宋体"/>
                <w:sz w:val="24"/>
              </w:rPr>
            </w:pPr>
            <w:r>
              <w:rPr>
                <w:rFonts w:hint="eastAsia" w:ascii="宋体" w:hAnsi="宋体" w:eastAsia="宋体" w:cs="宋体"/>
                <w:sz w:val="24"/>
              </w:rPr>
              <w:t>1</w:t>
            </w:r>
          </w:p>
        </w:tc>
        <w:tc>
          <w:tcPr>
            <w:tcW w:w="863" w:type="dxa"/>
            <w:vMerge w:val="restart"/>
            <w:vAlign w:val="center"/>
          </w:tcPr>
          <w:p w14:paraId="1630DBA7">
            <w:pPr>
              <w:rPr>
                <w:rFonts w:hint="eastAsia" w:ascii="宋体" w:hAnsi="宋体" w:eastAsia="宋体" w:cs="宋体"/>
                <w:sz w:val="24"/>
              </w:rPr>
            </w:pPr>
            <w:r>
              <w:rPr>
                <w:rFonts w:hint="eastAsia" w:ascii="宋体" w:hAnsi="宋体" w:eastAsia="宋体" w:cs="宋体"/>
                <w:sz w:val="24"/>
              </w:rPr>
              <w:t>符合《中华人民共和国政府采购法》第二十二条规定，提供：</w:t>
            </w:r>
          </w:p>
        </w:tc>
        <w:tc>
          <w:tcPr>
            <w:tcW w:w="2347" w:type="dxa"/>
            <w:vAlign w:val="center"/>
          </w:tcPr>
          <w:p w14:paraId="07BF47CA">
            <w:pPr>
              <w:spacing w:line="360" w:lineRule="auto"/>
              <w:jc w:val="center"/>
              <w:rPr>
                <w:rFonts w:hint="eastAsia" w:ascii="宋体" w:hAnsi="宋体" w:eastAsia="宋体" w:cs="宋体"/>
                <w:sz w:val="24"/>
              </w:rPr>
            </w:pPr>
            <w:r>
              <w:rPr>
                <w:rFonts w:hint="eastAsia" w:ascii="宋体" w:hAnsi="宋体" w:eastAsia="宋体" w:cs="宋体"/>
                <w:sz w:val="24"/>
              </w:rPr>
              <w:t>具有独立承担民事责任的能力</w:t>
            </w:r>
          </w:p>
        </w:tc>
        <w:tc>
          <w:tcPr>
            <w:tcW w:w="4862" w:type="dxa"/>
            <w:vAlign w:val="center"/>
          </w:tcPr>
          <w:p w14:paraId="510CB1F6">
            <w:pPr>
              <w:spacing w:line="360" w:lineRule="auto"/>
              <w:jc w:val="left"/>
              <w:rPr>
                <w:rFonts w:hint="eastAsia" w:ascii="宋体" w:hAnsi="宋体" w:eastAsia="宋体" w:cs="宋体"/>
                <w:sz w:val="24"/>
              </w:rPr>
            </w:pPr>
            <w:r>
              <w:rPr>
                <w:rFonts w:hint="eastAsia" w:ascii="宋体" w:hAnsi="宋体" w:eastAsia="宋体" w:cs="宋体"/>
                <w:color w:val="auto"/>
                <w:spacing w:val="13"/>
                <w:sz w:val="24"/>
                <w:szCs w:val="24"/>
                <w:highlight w:val="none"/>
              </w:rPr>
              <w:t>法人或者其他组织的营业执照等证明文件，</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13"/>
                <w:sz w:val="24"/>
                <w:szCs w:val="24"/>
                <w:highlight w:val="none"/>
              </w:rPr>
              <w:t>自然人的身份证明（复印件加盖公章）</w:t>
            </w:r>
          </w:p>
        </w:tc>
      </w:tr>
      <w:tr w14:paraId="3D0F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5538B3AB">
            <w:pPr>
              <w:jc w:val="center"/>
              <w:rPr>
                <w:rFonts w:hint="eastAsia" w:ascii="宋体" w:hAnsi="宋体" w:eastAsia="宋体" w:cs="宋体"/>
                <w:sz w:val="24"/>
              </w:rPr>
            </w:pPr>
          </w:p>
        </w:tc>
        <w:tc>
          <w:tcPr>
            <w:tcW w:w="863" w:type="dxa"/>
            <w:vMerge w:val="continue"/>
            <w:vAlign w:val="center"/>
          </w:tcPr>
          <w:p w14:paraId="5B94093E">
            <w:pPr>
              <w:rPr>
                <w:rFonts w:hint="eastAsia" w:ascii="宋体" w:hAnsi="宋体" w:eastAsia="宋体" w:cs="宋体"/>
                <w:sz w:val="24"/>
              </w:rPr>
            </w:pPr>
          </w:p>
        </w:tc>
        <w:tc>
          <w:tcPr>
            <w:tcW w:w="2347" w:type="dxa"/>
            <w:vAlign w:val="center"/>
          </w:tcPr>
          <w:p w14:paraId="386B9E94">
            <w:pPr>
              <w:spacing w:line="360" w:lineRule="auto"/>
              <w:jc w:val="center"/>
              <w:rPr>
                <w:rFonts w:hint="eastAsia" w:ascii="宋体" w:hAnsi="宋体" w:eastAsia="宋体" w:cs="宋体"/>
                <w:sz w:val="24"/>
              </w:rPr>
            </w:pPr>
            <w:r>
              <w:rPr>
                <w:rFonts w:hint="eastAsia" w:ascii="宋体" w:hAnsi="宋体" w:eastAsia="宋体" w:cs="宋体"/>
                <w:sz w:val="24"/>
              </w:rPr>
              <w:t>具有良好的商业信誉和健全的财务会计制度</w:t>
            </w:r>
          </w:p>
        </w:tc>
        <w:tc>
          <w:tcPr>
            <w:tcW w:w="4862" w:type="dxa"/>
            <w:vAlign w:val="center"/>
          </w:tcPr>
          <w:p w14:paraId="0BF071FC">
            <w:pPr>
              <w:spacing w:line="360" w:lineRule="auto"/>
              <w:jc w:val="left"/>
              <w:rPr>
                <w:rFonts w:hint="eastAsia" w:ascii="宋体" w:hAnsi="宋体" w:eastAsia="宋体" w:cs="宋体"/>
                <w:sz w:val="24"/>
              </w:rPr>
            </w:pPr>
            <w:r>
              <w:rPr>
                <w:rFonts w:hint="eastAsia" w:ascii="宋体" w:hAnsi="宋体" w:eastAsia="宋体" w:cs="宋体"/>
                <w:sz w:val="24"/>
              </w:rPr>
              <w:t>经审计的最近一个年度（202</w:t>
            </w:r>
            <w:r>
              <w:rPr>
                <w:rFonts w:hint="eastAsia" w:ascii="宋体" w:hAnsi="宋体" w:cs="宋体"/>
                <w:sz w:val="24"/>
                <w:lang w:val="en-US" w:eastAsia="zh-CN"/>
              </w:rPr>
              <w:t>4</w:t>
            </w:r>
            <w:r>
              <w:rPr>
                <w:rFonts w:hint="eastAsia" w:ascii="宋体" w:hAnsi="宋体" w:eastAsia="宋体" w:cs="宋体"/>
                <w:sz w:val="24"/>
              </w:rPr>
              <w:t>年）的财务状况报告或开标前一年内银行出具的资信证明（成立不满一年不需提供）；（复印件加盖公章）</w:t>
            </w:r>
          </w:p>
        </w:tc>
      </w:tr>
      <w:tr w14:paraId="56A72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595F3A92">
            <w:pPr>
              <w:jc w:val="center"/>
              <w:rPr>
                <w:rFonts w:hint="eastAsia" w:ascii="宋体" w:hAnsi="宋体" w:eastAsia="宋体" w:cs="宋体"/>
                <w:sz w:val="24"/>
              </w:rPr>
            </w:pPr>
          </w:p>
        </w:tc>
        <w:tc>
          <w:tcPr>
            <w:tcW w:w="863" w:type="dxa"/>
            <w:vMerge w:val="continue"/>
            <w:vAlign w:val="center"/>
          </w:tcPr>
          <w:p w14:paraId="1E3366EA">
            <w:pPr>
              <w:rPr>
                <w:rFonts w:hint="eastAsia" w:ascii="宋体" w:hAnsi="宋体" w:eastAsia="宋体" w:cs="宋体"/>
                <w:sz w:val="24"/>
              </w:rPr>
            </w:pPr>
          </w:p>
        </w:tc>
        <w:tc>
          <w:tcPr>
            <w:tcW w:w="2347" w:type="dxa"/>
            <w:vAlign w:val="center"/>
          </w:tcPr>
          <w:p w14:paraId="709055EA">
            <w:pPr>
              <w:spacing w:line="360" w:lineRule="auto"/>
              <w:jc w:val="center"/>
              <w:rPr>
                <w:rFonts w:hint="eastAsia" w:ascii="宋体" w:hAnsi="宋体" w:eastAsia="宋体" w:cs="宋体"/>
                <w:sz w:val="24"/>
              </w:rPr>
            </w:pPr>
            <w:r>
              <w:rPr>
                <w:rFonts w:hint="eastAsia" w:ascii="宋体" w:hAnsi="宋体" w:eastAsia="宋体" w:cs="宋体"/>
                <w:sz w:val="24"/>
              </w:rPr>
              <w:t>有依法缴纳税收和社会保障金的证明材料</w:t>
            </w:r>
          </w:p>
        </w:tc>
        <w:tc>
          <w:tcPr>
            <w:tcW w:w="4862" w:type="dxa"/>
            <w:vAlign w:val="center"/>
          </w:tcPr>
          <w:p w14:paraId="06898B94">
            <w:pPr>
              <w:spacing w:line="360" w:lineRule="auto"/>
              <w:jc w:val="left"/>
              <w:rPr>
                <w:rFonts w:hint="eastAsia" w:ascii="宋体" w:hAnsi="宋体" w:eastAsia="宋体" w:cs="宋体"/>
                <w:sz w:val="24"/>
              </w:rPr>
            </w:pPr>
            <w:r>
              <w:rPr>
                <w:rFonts w:hint="eastAsia" w:ascii="宋体" w:hAnsi="宋体" w:eastAsia="宋体" w:cs="宋体"/>
                <w:sz w:val="24"/>
              </w:rPr>
              <w:t>依法缴纳税收和社会保障资金的相关材料（提供提交响应文件截止时间前</w:t>
            </w:r>
            <w:r>
              <w:rPr>
                <w:rFonts w:hint="eastAsia" w:ascii="宋体" w:hAnsi="宋体" w:cs="宋体"/>
                <w:sz w:val="24"/>
                <w:lang w:val="en-US" w:eastAsia="zh-CN"/>
              </w:rPr>
              <w:t>六个月</w:t>
            </w:r>
            <w:r>
              <w:rPr>
                <w:rFonts w:hint="eastAsia" w:ascii="宋体" w:hAnsi="宋体" w:eastAsia="宋体" w:cs="宋体"/>
                <w:sz w:val="24"/>
              </w:rPr>
              <w:t>内</w:t>
            </w:r>
            <w:r>
              <w:rPr>
                <w:rFonts w:hint="eastAsia" w:ascii="宋体" w:hAnsi="宋体" w:cs="宋体"/>
                <w:sz w:val="24"/>
                <w:lang w:val="en-US" w:eastAsia="zh-CN"/>
              </w:rPr>
              <w:t>任意一个月</w:t>
            </w:r>
            <w:r>
              <w:rPr>
                <w:rFonts w:hint="eastAsia" w:ascii="宋体" w:hAnsi="宋体" w:eastAsia="宋体" w:cs="宋体"/>
                <w:sz w:val="24"/>
              </w:rPr>
              <w:t>依法缴纳税收及缴纳社会保障资金的证明材料。</w:t>
            </w:r>
            <w:r>
              <w:rPr>
                <w:rFonts w:hint="eastAsia" w:ascii="宋体" w:hAnsi="宋体" w:cs="宋体"/>
                <w:sz w:val="24"/>
                <w:lang w:val="en-US" w:eastAsia="zh-CN"/>
              </w:rPr>
              <w:t>供应商</w:t>
            </w:r>
            <w:r>
              <w:rPr>
                <w:rFonts w:hint="eastAsia" w:ascii="宋体" w:hAnsi="宋体" w:eastAsia="宋体" w:cs="宋体"/>
                <w:sz w:val="24"/>
              </w:rPr>
              <w:t>依法享受缓缴、免缴税收、社会保障资金的提供证明材料）（复印件加盖公章）;</w:t>
            </w:r>
          </w:p>
        </w:tc>
      </w:tr>
      <w:tr w14:paraId="2ADD6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38F36DFC">
            <w:pPr>
              <w:jc w:val="center"/>
              <w:rPr>
                <w:rFonts w:hint="eastAsia" w:ascii="宋体" w:hAnsi="宋体" w:eastAsia="宋体" w:cs="宋体"/>
                <w:sz w:val="24"/>
              </w:rPr>
            </w:pPr>
          </w:p>
        </w:tc>
        <w:tc>
          <w:tcPr>
            <w:tcW w:w="863" w:type="dxa"/>
            <w:vMerge w:val="continue"/>
            <w:vAlign w:val="center"/>
          </w:tcPr>
          <w:p w14:paraId="33F9E4CE">
            <w:pPr>
              <w:rPr>
                <w:rFonts w:hint="eastAsia" w:ascii="宋体" w:hAnsi="宋体" w:eastAsia="宋体" w:cs="宋体"/>
                <w:sz w:val="24"/>
              </w:rPr>
            </w:pPr>
          </w:p>
        </w:tc>
        <w:tc>
          <w:tcPr>
            <w:tcW w:w="2347" w:type="dxa"/>
            <w:vAlign w:val="center"/>
          </w:tcPr>
          <w:p w14:paraId="47F22C81">
            <w:pPr>
              <w:spacing w:line="360" w:lineRule="auto"/>
              <w:jc w:val="center"/>
              <w:rPr>
                <w:rFonts w:hint="eastAsia" w:ascii="宋体" w:hAnsi="宋体" w:eastAsia="宋体" w:cs="宋体"/>
                <w:sz w:val="24"/>
              </w:rPr>
            </w:pPr>
            <w:r>
              <w:rPr>
                <w:rFonts w:hint="eastAsia" w:ascii="宋体" w:hAnsi="宋体" w:eastAsia="宋体" w:cs="宋体"/>
                <w:sz w:val="24"/>
              </w:rPr>
              <w:t>履约能力</w:t>
            </w:r>
          </w:p>
        </w:tc>
        <w:tc>
          <w:tcPr>
            <w:tcW w:w="4862" w:type="dxa"/>
            <w:vAlign w:val="center"/>
          </w:tcPr>
          <w:p w14:paraId="690CA163">
            <w:pPr>
              <w:spacing w:line="360" w:lineRule="auto"/>
              <w:jc w:val="left"/>
              <w:rPr>
                <w:rFonts w:hint="eastAsia" w:ascii="宋体" w:hAnsi="宋体" w:eastAsia="宋体" w:cs="宋体"/>
                <w:sz w:val="24"/>
              </w:rPr>
            </w:pPr>
            <w:r>
              <w:rPr>
                <w:rFonts w:hint="eastAsia" w:ascii="宋体" w:hAnsi="宋体" w:eastAsia="宋体" w:cs="宋体"/>
                <w:sz w:val="24"/>
              </w:rPr>
              <w:t>具备履行合同所必需的设备和专业技术能力的证明材料（提供承诺函）；</w:t>
            </w:r>
          </w:p>
        </w:tc>
      </w:tr>
      <w:tr w14:paraId="4197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692C05D4">
            <w:pPr>
              <w:jc w:val="center"/>
              <w:rPr>
                <w:rFonts w:hint="eastAsia" w:ascii="宋体" w:hAnsi="宋体" w:eastAsia="宋体" w:cs="宋体"/>
                <w:sz w:val="24"/>
              </w:rPr>
            </w:pPr>
          </w:p>
        </w:tc>
        <w:tc>
          <w:tcPr>
            <w:tcW w:w="863" w:type="dxa"/>
            <w:vMerge w:val="continue"/>
            <w:vAlign w:val="center"/>
          </w:tcPr>
          <w:p w14:paraId="2E2D65E1">
            <w:pPr>
              <w:rPr>
                <w:rFonts w:hint="eastAsia" w:ascii="宋体" w:hAnsi="宋体" w:eastAsia="宋体" w:cs="宋体"/>
                <w:sz w:val="24"/>
              </w:rPr>
            </w:pPr>
          </w:p>
        </w:tc>
        <w:tc>
          <w:tcPr>
            <w:tcW w:w="2347" w:type="dxa"/>
            <w:vAlign w:val="center"/>
          </w:tcPr>
          <w:p w14:paraId="0A7D5F34">
            <w:pPr>
              <w:spacing w:line="360" w:lineRule="auto"/>
              <w:jc w:val="center"/>
              <w:rPr>
                <w:rFonts w:hint="eastAsia" w:ascii="宋体" w:hAnsi="宋体" w:eastAsia="宋体" w:cs="宋体"/>
                <w:sz w:val="24"/>
              </w:rPr>
            </w:pPr>
            <w:r>
              <w:rPr>
                <w:rFonts w:hint="eastAsia" w:ascii="宋体" w:hAnsi="宋体" w:eastAsia="宋体" w:cs="宋体"/>
                <w:sz w:val="24"/>
              </w:rPr>
              <w:t>书面声明</w:t>
            </w:r>
          </w:p>
        </w:tc>
        <w:tc>
          <w:tcPr>
            <w:tcW w:w="4862" w:type="dxa"/>
            <w:vAlign w:val="center"/>
          </w:tcPr>
          <w:p w14:paraId="67C5CE44">
            <w:pPr>
              <w:spacing w:line="360" w:lineRule="auto"/>
              <w:jc w:val="left"/>
              <w:rPr>
                <w:rFonts w:hint="eastAsia" w:ascii="宋体" w:hAnsi="宋体" w:eastAsia="宋体" w:cs="宋体"/>
                <w:sz w:val="24"/>
                <w:lang w:val="en-US" w:eastAsia="zh-CN"/>
              </w:rPr>
            </w:pPr>
            <w:r>
              <w:rPr>
                <w:rFonts w:hint="eastAsia" w:ascii="宋体" w:hAnsi="宋体" w:eastAsia="宋体" w:cs="宋体"/>
                <w:sz w:val="24"/>
              </w:rPr>
              <w:t>参加政府采购活动前3年内（202</w:t>
            </w:r>
            <w:r>
              <w:rPr>
                <w:rFonts w:hint="eastAsia" w:ascii="宋体" w:hAnsi="宋体" w:cs="宋体"/>
                <w:sz w:val="24"/>
                <w:lang w:val="en-US" w:eastAsia="zh-CN"/>
              </w:rPr>
              <w:t>2</w:t>
            </w:r>
            <w:r>
              <w:rPr>
                <w:rFonts w:hint="eastAsia" w:ascii="宋体" w:hAnsi="宋体" w:eastAsia="宋体" w:cs="宋体"/>
                <w:sz w:val="24"/>
              </w:rPr>
              <w:t>年1月1日-至今）在经营活动中没有重大违法记录的书面声明；</w:t>
            </w:r>
            <w:r>
              <w:rPr>
                <w:rFonts w:hint="eastAsia" w:ascii="宋体" w:hAnsi="宋体" w:cs="宋体"/>
                <w:sz w:val="24"/>
                <w:lang w:val="en-US" w:eastAsia="zh-CN"/>
              </w:rPr>
              <w:t xml:space="preserve"> </w:t>
            </w:r>
          </w:p>
        </w:tc>
      </w:tr>
      <w:tr w14:paraId="1893E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6326228C">
            <w:pPr>
              <w:jc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3210" w:type="dxa"/>
            <w:gridSpan w:val="2"/>
            <w:shd w:val="clear" w:color="auto" w:fill="auto"/>
            <w:vAlign w:val="center"/>
          </w:tcPr>
          <w:p w14:paraId="71795EA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信用信息查询</w:t>
            </w:r>
          </w:p>
        </w:tc>
        <w:tc>
          <w:tcPr>
            <w:tcW w:w="4862" w:type="dxa"/>
            <w:shd w:val="clear" w:color="auto" w:fill="auto"/>
            <w:vAlign w:val="center"/>
          </w:tcPr>
          <w:p w14:paraId="6ED24B4F">
            <w:pPr>
              <w:pStyle w:val="20"/>
              <w:adjustRightInd w:val="0"/>
              <w:snapToGrid w:val="0"/>
              <w:spacing w:before="0" w:beforeAutospacing="0" w:after="0" w:afterAutospacing="0" w:line="360" w:lineRule="auto"/>
              <w:rPr>
                <w:rFonts w:hint="eastAsia" w:ascii="宋体" w:hAnsi="宋体" w:eastAsia="宋体" w:cs="宋体"/>
                <w:b/>
                <w:kern w:val="0"/>
                <w:sz w:val="24"/>
                <w:szCs w:val="24"/>
                <w:lang w:val="en-US" w:eastAsia="zh-CN" w:bidi="ar-SA"/>
              </w:rPr>
            </w:pPr>
            <w:r>
              <w:rPr>
                <w:rFonts w:hint="eastAsia" w:ascii="宋体" w:hAnsi="宋体" w:eastAsia="宋体" w:cs="宋体"/>
                <w:sz w:val="24"/>
                <w:szCs w:val="24"/>
              </w:rPr>
              <w:t>供应商未被列入“信用中国”网站(www.creditchina.gov.cn)证记录失信被执行人或重大税收违法案件当事人名单或政府采购严重违法失信行为”记录名单；未处于中国政府采购 网(www.ccgp.gov.cn)当政府采购严重违法失信行为信息记录”中；</w:t>
            </w:r>
            <w:r>
              <w:rPr>
                <w:rFonts w:hint="eastAsia" w:ascii="宋体" w:hAnsi="宋体" w:eastAsia="宋体" w:cs="宋体"/>
                <w:b/>
                <w:bCs/>
                <w:sz w:val="24"/>
                <w:szCs w:val="24"/>
              </w:rPr>
              <w:t xml:space="preserve">  </w:t>
            </w:r>
          </w:p>
        </w:tc>
      </w:tr>
      <w:tr w14:paraId="0A1A2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6CAD3D29">
            <w:pPr>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3210" w:type="dxa"/>
            <w:gridSpan w:val="2"/>
            <w:vAlign w:val="center"/>
          </w:tcPr>
          <w:p w14:paraId="58F1D137">
            <w:pPr>
              <w:jc w:val="center"/>
              <w:rPr>
                <w:rFonts w:hint="eastAsia" w:ascii="宋体" w:hAnsi="宋体" w:eastAsia="宋体" w:cs="宋体"/>
                <w:sz w:val="24"/>
              </w:rPr>
            </w:pPr>
            <w:r>
              <w:rPr>
                <w:rFonts w:hint="eastAsia" w:ascii="宋体" w:hAnsi="宋体" w:cs="宋体"/>
                <w:sz w:val="24"/>
                <w:lang w:val="en-US" w:eastAsia="zh-CN"/>
              </w:rPr>
              <w:t xml:space="preserve"> </w:t>
            </w:r>
            <w:r>
              <w:rPr>
                <w:rFonts w:hint="eastAsia" w:ascii="宋体" w:hAnsi="宋体" w:eastAsia="宋体" w:cs="宋体"/>
                <w:sz w:val="24"/>
              </w:rPr>
              <w:t>其他说明</w:t>
            </w:r>
            <w:r>
              <w:rPr>
                <w:rFonts w:hint="eastAsia" w:ascii="宋体" w:hAnsi="宋体" w:eastAsia="宋体" w:cs="宋体"/>
                <w:sz w:val="24"/>
              </w:rPr>
              <w:tab/>
            </w:r>
            <w:r>
              <w:rPr>
                <w:rFonts w:hint="eastAsia" w:ascii="宋体" w:hAnsi="宋体" w:eastAsia="宋体" w:cs="宋体"/>
                <w:sz w:val="24"/>
              </w:rPr>
              <w:t> </w:t>
            </w:r>
          </w:p>
        </w:tc>
        <w:tc>
          <w:tcPr>
            <w:tcW w:w="4862" w:type="dxa"/>
            <w:vAlign w:val="center"/>
          </w:tcPr>
          <w:p w14:paraId="14B8F8B5">
            <w:pPr>
              <w:pStyle w:val="20"/>
              <w:adjustRightInd w:val="0"/>
              <w:snapToGrid w:val="0"/>
              <w:spacing w:before="0" w:beforeAutospacing="0" w:after="0" w:afterAutospacing="0" w:line="360" w:lineRule="auto"/>
              <w:rPr>
                <w:rFonts w:hint="eastAsia" w:ascii="宋体" w:hAnsi="宋体" w:eastAsia="宋体" w:cs="宋体"/>
                <w:b/>
                <w:sz w:val="24"/>
              </w:rPr>
            </w:pPr>
            <w:r>
              <w:rPr>
                <w:rFonts w:hint="eastAsia" w:ascii="宋体" w:hAnsi="宋体" w:eastAsia="宋体" w:cs="宋体"/>
                <w:sz w:val="24"/>
              </w:rPr>
              <w:t>单位负责人为同一人或者存在控股、管理关系的不同单位，不得同时参加本项目的</w:t>
            </w:r>
            <w:r>
              <w:rPr>
                <w:rFonts w:hint="eastAsia" w:cs="宋体"/>
                <w:sz w:val="24"/>
                <w:lang w:val="en-US" w:eastAsia="zh-CN"/>
              </w:rPr>
              <w:t>谈判响应</w:t>
            </w:r>
            <w:r>
              <w:rPr>
                <w:rFonts w:hint="eastAsia" w:ascii="宋体" w:hAnsi="宋体" w:eastAsia="宋体" w:cs="宋体"/>
                <w:sz w:val="24"/>
              </w:rPr>
              <w:t>。为本项目提供整体设计、规范编制或者项目管理、监理、检测等服务的</w:t>
            </w:r>
            <w:r>
              <w:rPr>
                <w:rFonts w:hint="eastAsia" w:cs="宋体"/>
                <w:sz w:val="24"/>
                <w:lang w:val="en-US" w:eastAsia="zh-CN"/>
              </w:rPr>
              <w:t>供应商</w:t>
            </w:r>
            <w:r>
              <w:rPr>
                <w:rFonts w:hint="eastAsia" w:ascii="宋体" w:hAnsi="宋体" w:eastAsia="宋体" w:cs="宋体"/>
                <w:sz w:val="24"/>
              </w:rPr>
              <w:t>，不得再参加本项目</w:t>
            </w:r>
            <w:r>
              <w:rPr>
                <w:rFonts w:hint="eastAsia" w:cs="宋体"/>
                <w:sz w:val="24"/>
                <w:lang w:val="en-US" w:eastAsia="zh-CN"/>
              </w:rPr>
              <w:t>谈判响应</w:t>
            </w:r>
            <w:r>
              <w:rPr>
                <w:rFonts w:hint="eastAsia" w:ascii="宋体" w:hAnsi="宋体" w:eastAsia="宋体" w:cs="宋体"/>
                <w:sz w:val="24"/>
              </w:rPr>
              <w:t>（提供承诺函及主要出资人信息表，加盖公章）。</w:t>
            </w:r>
          </w:p>
        </w:tc>
      </w:tr>
      <w:tr w14:paraId="57710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45C0C4FA">
            <w:pPr>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3210" w:type="dxa"/>
            <w:gridSpan w:val="2"/>
            <w:shd w:val="clear" w:color="auto" w:fill="auto"/>
            <w:vAlign w:val="center"/>
          </w:tcPr>
          <w:p w14:paraId="28ABAD97">
            <w:pPr>
              <w:spacing w:line="360" w:lineRule="auto"/>
              <w:jc w:val="center"/>
              <w:rPr>
                <w:rFonts w:hint="eastAsia" w:ascii="宋体" w:hAnsi="宋体" w:eastAsia="宋体" w:cs="宋体"/>
                <w:sz w:val="24"/>
                <w:lang w:val="en-US" w:eastAsia="zh-CN"/>
              </w:rPr>
            </w:pPr>
            <w:r>
              <w:rPr>
                <w:rFonts w:hint="eastAsia" w:ascii="宋体" w:hAnsi="宋体" w:eastAsia="宋体" w:cs="宋体"/>
                <w:sz w:val="24"/>
              </w:rPr>
              <w:t>财政政策要求</w:t>
            </w:r>
          </w:p>
        </w:tc>
        <w:tc>
          <w:tcPr>
            <w:tcW w:w="4862" w:type="dxa"/>
            <w:shd w:val="clear" w:color="auto" w:fill="auto"/>
            <w:vAlign w:val="center"/>
          </w:tcPr>
          <w:p w14:paraId="4FC3D8E9">
            <w:pPr>
              <w:spacing w:line="360" w:lineRule="auto"/>
              <w:jc w:val="left"/>
              <w:rPr>
                <w:rFonts w:hint="eastAsia" w:ascii="宋体" w:hAnsi="宋体" w:eastAsia="宋体" w:cs="宋体"/>
                <w:sz w:val="24"/>
                <w:lang w:val="en-US" w:eastAsia="zh-CN"/>
              </w:rPr>
            </w:pPr>
            <w:r>
              <w:rPr>
                <w:rFonts w:hint="eastAsia" w:ascii="宋体" w:hAnsi="宋体" w:eastAsia="宋体" w:cs="宋体"/>
                <w:sz w:val="24"/>
              </w:rPr>
              <w:t>（1）本项目专门面向中小企业采购，企业需提供《中小企业声明函》，监狱企业提供监狱企业的证明文件，残疾人福利性单位提供《残疾人福利性单位声明函》。</w:t>
            </w:r>
          </w:p>
        </w:tc>
      </w:tr>
    </w:tbl>
    <w:p w14:paraId="0FD4238C">
      <w:pPr>
        <w:pStyle w:val="5"/>
        <w:ind w:firstLine="0"/>
        <w:rPr>
          <w:rFonts w:hint="eastAsia" w:ascii="宋体" w:hAnsi="宋体" w:eastAsia="宋体" w:cs="宋体"/>
        </w:rPr>
      </w:pPr>
      <w:r>
        <w:rPr>
          <w:rFonts w:hint="eastAsia" w:ascii="宋体" w:hAnsi="宋体" w:eastAsia="宋体" w:cs="宋体"/>
          <w:b/>
          <w:color w:val="000000"/>
          <w:sz w:val="24"/>
        </w:rPr>
        <w:t>资格性审查不通过，不进行下面的评审。</w:t>
      </w:r>
    </w:p>
    <w:p w14:paraId="043A745A">
      <w:pPr>
        <w:spacing w:line="480" w:lineRule="exact"/>
        <w:jc w:val="center"/>
        <w:rPr>
          <w:rFonts w:hint="eastAsia" w:ascii="宋体" w:hAnsi="宋体" w:eastAsia="宋体" w:cs="宋体"/>
          <w:b/>
          <w:bCs/>
          <w:sz w:val="24"/>
          <w:szCs w:val="21"/>
        </w:rPr>
      </w:pPr>
      <w:r>
        <w:rPr>
          <w:rFonts w:hint="eastAsia" w:ascii="宋体" w:hAnsi="宋体" w:eastAsia="宋体" w:cs="宋体"/>
          <w:b/>
          <w:bCs/>
          <w:sz w:val="24"/>
          <w:szCs w:val="21"/>
        </w:rPr>
        <w:t>符合性检查表</w:t>
      </w:r>
    </w:p>
    <w:tbl>
      <w:tblPr>
        <w:tblStyle w:val="24"/>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918"/>
        <w:gridCol w:w="2626"/>
        <w:gridCol w:w="5512"/>
      </w:tblGrid>
      <w:tr w14:paraId="64206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50" w:type="dxa"/>
            <w:vAlign w:val="center"/>
          </w:tcPr>
          <w:p w14:paraId="50E92E51">
            <w:pPr>
              <w:spacing w:line="360" w:lineRule="auto"/>
              <w:rPr>
                <w:rFonts w:hint="eastAsia" w:ascii="宋体" w:hAnsi="宋体" w:eastAsia="宋体" w:cs="宋体"/>
                <w:sz w:val="24"/>
              </w:rPr>
            </w:pPr>
            <w:r>
              <w:rPr>
                <w:rFonts w:hint="eastAsia" w:ascii="宋体" w:hAnsi="宋体" w:eastAsia="宋体" w:cs="宋体"/>
                <w:sz w:val="24"/>
              </w:rPr>
              <w:t>序号</w:t>
            </w:r>
          </w:p>
        </w:tc>
        <w:tc>
          <w:tcPr>
            <w:tcW w:w="3544" w:type="dxa"/>
            <w:gridSpan w:val="2"/>
            <w:vAlign w:val="center"/>
          </w:tcPr>
          <w:p w14:paraId="0F78999F">
            <w:pPr>
              <w:spacing w:line="360" w:lineRule="auto"/>
              <w:rPr>
                <w:rFonts w:hint="eastAsia" w:ascii="宋体" w:hAnsi="宋体" w:eastAsia="宋体" w:cs="宋体"/>
                <w:sz w:val="24"/>
              </w:rPr>
            </w:pPr>
            <w:r>
              <w:rPr>
                <w:rFonts w:hint="eastAsia" w:ascii="宋体" w:hAnsi="宋体" w:eastAsia="宋体" w:cs="宋体"/>
                <w:sz w:val="24"/>
              </w:rPr>
              <w:t>评标因素</w:t>
            </w:r>
          </w:p>
        </w:tc>
        <w:tc>
          <w:tcPr>
            <w:tcW w:w="5512" w:type="dxa"/>
            <w:vAlign w:val="center"/>
          </w:tcPr>
          <w:p w14:paraId="5299777E">
            <w:pPr>
              <w:spacing w:line="360" w:lineRule="auto"/>
              <w:rPr>
                <w:rFonts w:hint="eastAsia" w:ascii="宋体" w:hAnsi="宋体" w:eastAsia="宋体" w:cs="宋体"/>
                <w:sz w:val="24"/>
              </w:rPr>
            </w:pPr>
            <w:r>
              <w:rPr>
                <w:rFonts w:hint="eastAsia" w:ascii="宋体" w:hAnsi="宋体" w:eastAsia="宋体" w:cs="宋体"/>
                <w:sz w:val="24"/>
              </w:rPr>
              <w:t>评标标准</w:t>
            </w:r>
          </w:p>
        </w:tc>
      </w:tr>
      <w:tr w14:paraId="4E2D5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0" w:type="dxa"/>
            <w:vMerge w:val="restart"/>
            <w:vAlign w:val="center"/>
          </w:tcPr>
          <w:p w14:paraId="6B0A159A">
            <w:pPr>
              <w:spacing w:line="360" w:lineRule="auto"/>
              <w:rPr>
                <w:rFonts w:hint="eastAsia" w:ascii="宋体" w:hAnsi="宋体" w:eastAsia="宋体" w:cs="宋体"/>
                <w:sz w:val="24"/>
              </w:rPr>
            </w:pPr>
            <w:r>
              <w:rPr>
                <w:rFonts w:hint="eastAsia" w:ascii="宋体" w:hAnsi="宋体" w:eastAsia="宋体" w:cs="宋体"/>
                <w:sz w:val="24"/>
              </w:rPr>
              <w:t>1</w:t>
            </w:r>
          </w:p>
        </w:tc>
        <w:tc>
          <w:tcPr>
            <w:tcW w:w="918" w:type="dxa"/>
            <w:vMerge w:val="restart"/>
            <w:vAlign w:val="center"/>
          </w:tcPr>
          <w:p w14:paraId="36347C2D">
            <w:pPr>
              <w:spacing w:line="360" w:lineRule="auto"/>
              <w:rPr>
                <w:rFonts w:hint="eastAsia" w:ascii="宋体" w:hAnsi="宋体" w:eastAsia="宋体" w:cs="宋体"/>
                <w:sz w:val="24"/>
              </w:rPr>
            </w:pPr>
            <w:r>
              <w:rPr>
                <w:rFonts w:hint="eastAsia" w:ascii="宋体" w:hAnsi="宋体" w:eastAsia="宋体" w:cs="宋体"/>
                <w:sz w:val="24"/>
              </w:rPr>
              <w:t>有效性</w:t>
            </w:r>
          </w:p>
          <w:p w14:paraId="390E9495">
            <w:pPr>
              <w:spacing w:line="360" w:lineRule="auto"/>
              <w:rPr>
                <w:rFonts w:hint="eastAsia" w:ascii="宋体" w:hAnsi="宋体" w:eastAsia="宋体" w:cs="宋体"/>
                <w:sz w:val="24"/>
              </w:rPr>
            </w:pPr>
            <w:r>
              <w:rPr>
                <w:rFonts w:hint="eastAsia" w:ascii="宋体" w:hAnsi="宋体" w:eastAsia="宋体" w:cs="宋体"/>
                <w:sz w:val="24"/>
              </w:rPr>
              <w:t>审查</w:t>
            </w:r>
          </w:p>
        </w:tc>
        <w:tc>
          <w:tcPr>
            <w:tcW w:w="2626" w:type="dxa"/>
            <w:vAlign w:val="center"/>
          </w:tcPr>
          <w:p w14:paraId="43285D69">
            <w:pPr>
              <w:spacing w:line="360" w:lineRule="auto"/>
              <w:rPr>
                <w:rFonts w:hint="eastAsia" w:ascii="宋体" w:hAnsi="宋体" w:eastAsia="宋体" w:cs="宋体"/>
                <w:sz w:val="24"/>
              </w:rPr>
            </w:pPr>
            <w:r>
              <w:rPr>
                <w:rFonts w:hint="eastAsia" w:ascii="宋体" w:hAnsi="宋体" w:eastAsia="宋体" w:cs="宋体"/>
                <w:sz w:val="24"/>
              </w:rPr>
              <w:t>供应商名称</w:t>
            </w:r>
          </w:p>
        </w:tc>
        <w:tc>
          <w:tcPr>
            <w:tcW w:w="5512" w:type="dxa"/>
            <w:vAlign w:val="center"/>
          </w:tcPr>
          <w:p w14:paraId="5850D527">
            <w:pPr>
              <w:spacing w:line="360" w:lineRule="auto"/>
              <w:rPr>
                <w:rFonts w:hint="eastAsia" w:ascii="宋体" w:hAnsi="宋体" w:eastAsia="宋体" w:cs="宋体"/>
                <w:sz w:val="24"/>
              </w:rPr>
            </w:pPr>
            <w:r>
              <w:rPr>
                <w:rFonts w:hint="eastAsia" w:ascii="宋体" w:hAnsi="宋体" w:eastAsia="宋体" w:cs="宋体"/>
                <w:sz w:val="24"/>
              </w:rPr>
              <w:t>营业执照必须为报名时的单位。</w:t>
            </w:r>
          </w:p>
        </w:tc>
      </w:tr>
      <w:tr w14:paraId="08D59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Merge w:val="continue"/>
            <w:vAlign w:val="center"/>
          </w:tcPr>
          <w:p w14:paraId="12514AD2">
            <w:pPr>
              <w:spacing w:line="360" w:lineRule="auto"/>
              <w:rPr>
                <w:rFonts w:hint="eastAsia" w:ascii="宋体" w:hAnsi="宋体" w:eastAsia="宋体" w:cs="宋体"/>
                <w:sz w:val="24"/>
              </w:rPr>
            </w:pPr>
          </w:p>
        </w:tc>
        <w:tc>
          <w:tcPr>
            <w:tcW w:w="918" w:type="dxa"/>
            <w:vMerge w:val="continue"/>
            <w:vAlign w:val="center"/>
          </w:tcPr>
          <w:p w14:paraId="3E3D0F78">
            <w:pPr>
              <w:spacing w:line="360" w:lineRule="auto"/>
              <w:rPr>
                <w:rFonts w:hint="eastAsia" w:ascii="宋体" w:hAnsi="宋体" w:eastAsia="宋体" w:cs="宋体"/>
                <w:sz w:val="24"/>
              </w:rPr>
            </w:pPr>
          </w:p>
        </w:tc>
        <w:tc>
          <w:tcPr>
            <w:tcW w:w="2626" w:type="dxa"/>
            <w:vAlign w:val="center"/>
          </w:tcPr>
          <w:p w14:paraId="6118EC17">
            <w:pPr>
              <w:spacing w:line="360" w:lineRule="auto"/>
              <w:rPr>
                <w:rFonts w:hint="eastAsia" w:ascii="宋体" w:hAnsi="宋体" w:eastAsia="宋体" w:cs="宋体"/>
                <w:sz w:val="24"/>
              </w:rPr>
            </w:pPr>
            <w:r>
              <w:rPr>
                <w:rFonts w:hint="eastAsia" w:ascii="宋体" w:hAnsi="宋体" w:cs="宋体"/>
                <w:sz w:val="24"/>
                <w:lang w:val="en-US" w:eastAsia="zh-CN"/>
              </w:rPr>
              <w:t>响应</w:t>
            </w:r>
            <w:r>
              <w:rPr>
                <w:rFonts w:hint="eastAsia" w:ascii="宋体" w:hAnsi="宋体" w:eastAsia="宋体" w:cs="宋体"/>
                <w:sz w:val="24"/>
              </w:rPr>
              <w:t>文件签署</w:t>
            </w:r>
          </w:p>
        </w:tc>
        <w:tc>
          <w:tcPr>
            <w:tcW w:w="5512" w:type="dxa"/>
            <w:vAlign w:val="center"/>
          </w:tcPr>
          <w:p w14:paraId="1479E28C">
            <w:pPr>
              <w:spacing w:line="360" w:lineRule="auto"/>
              <w:rPr>
                <w:rFonts w:hint="eastAsia" w:ascii="宋体" w:hAnsi="宋体" w:eastAsia="宋体" w:cs="宋体"/>
                <w:sz w:val="24"/>
              </w:rPr>
            </w:pPr>
            <w:r>
              <w:rPr>
                <w:rFonts w:hint="eastAsia" w:ascii="宋体" w:hAnsi="宋体" w:cs="宋体"/>
                <w:sz w:val="24"/>
                <w:lang w:val="en-US" w:eastAsia="zh-CN"/>
              </w:rPr>
              <w:t>响应</w:t>
            </w:r>
            <w:r>
              <w:rPr>
                <w:rFonts w:hint="eastAsia" w:ascii="宋体" w:hAnsi="宋体" w:eastAsia="宋体" w:cs="宋体"/>
                <w:sz w:val="24"/>
              </w:rPr>
              <w:t>文件上法定代表人或其授权代理人的盖章或签字、供应商单位章齐全符合</w:t>
            </w:r>
            <w:r>
              <w:rPr>
                <w:rFonts w:hint="eastAsia" w:ascii="宋体" w:hAnsi="宋体" w:eastAsia="宋体" w:cs="宋体"/>
                <w:sz w:val="24"/>
                <w:lang w:eastAsia="zh-CN"/>
              </w:rPr>
              <w:t>竞争性谈判</w:t>
            </w:r>
            <w:r>
              <w:rPr>
                <w:rFonts w:hint="eastAsia" w:ascii="宋体" w:hAnsi="宋体" w:eastAsia="宋体" w:cs="宋体"/>
                <w:sz w:val="24"/>
              </w:rPr>
              <w:t>文件规定。</w:t>
            </w:r>
          </w:p>
        </w:tc>
      </w:tr>
      <w:tr w14:paraId="30A65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50" w:type="dxa"/>
            <w:vMerge w:val="continue"/>
            <w:vAlign w:val="center"/>
          </w:tcPr>
          <w:p w14:paraId="3DCF4091">
            <w:pPr>
              <w:spacing w:line="360" w:lineRule="auto"/>
              <w:rPr>
                <w:rFonts w:hint="eastAsia" w:ascii="宋体" w:hAnsi="宋体" w:eastAsia="宋体" w:cs="宋体"/>
                <w:sz w:val="24"/>
              </w:rPr>
            </w:pPr>
          </w:p>
        </w:tc>
        <w:tc>
          <w:tcPr>
            <w:tcW w:w="918" w:type="dxa"/>
            <w:vMerge w:val="continue"/>
            <w:vAlign w:val="center"/>
          </w:tcPr>
          <w:p w14:paraId="2ABC46FB">
            <w:pPr>
              <w:spacing w:line="360" w:lineRule="auto"/>
              <w:rPr>
                <w:rFonts w:hint="eastAsia" w:ascii="宋体" w:hAnsi="宋体" w:eastAsia="宋体" w:cs="宋体"/>
                <w:sz w:val="24"/>
              </w:rPr>
            </w:pPr>
          </w:p>
        </w:tc>
        <w:tc>
          <w:tcPr>
            <w:tcW w:w="2626" w:type="dxa"/>
            <w:vAlign w:val="center"/>
          </w:tcPr>
          <w:p w14:paraId="57F176A0">
            <w:pPr>
              <w:spacing w:line="360" w:lineRule="auto"/>
              <w:rPr>
                <w:rFonts w:hint="eastAsia" w:ascii="宋体" w:hAnsi="宋体" w:eastAsia="宋体" w:cs="宋体"/>
                <w:sz w:val="24"/>
              </w:rPr>
            </w:pPr>
            <w:r>
              <w:rPr>
                <w:rFonts w:hint="eastAsia" w:ascii="宋体" w:hAnsi="宋体" w:eastAsia="宋体" w:cs="宋体"/>
                <w:sz w:val="24"/>
              </w:rPr>
              <w:t>法定代表人身份证明及授权委托书</w:t>
            </w:r>
          </w:p>
        </w:tc>
        <w:tc>
          <w:tcPr>
            <w:tcW w:w="5512" w:type="dxa"/>
            <w:vAlign w:val="center"/>
          </w:tcPr>
          <w:p w14:paraId="2314C90C">
            <w:pPr>
              <w:spacing w:line="360" w:lineRule="auto"/>
              <w:rPr>
                <w:rFonts w:hint="eastAsia" w:ascii="宋体" w:hAnsi="宋体" w:eastAsia="宋体" w:cs="宋体"/>
                <w:sz w:val="24"/>
              </w:rPr>
            </w:pPr>
            <w:r>
              <w:rPr>
                <w:rFonts w:hint="eastAsia" w:ascii="宋体" w:hAnsi="宋体" w:eastAsia="宋体" w:cs="宋体"/>
                <w:sz w:val="24"/>
              </w:rPr>
              <w:t>法定代表人身份证明及授权委托书有效，且符合</w:t>
            </w:r>
            <w:r>
              <w:rPr>
                <w:rFonts w:hint="eastAsia" w:ascii="宋体" w:hAnsi="宋体" w:eastAsia="宋体" w:cs="宋体"/>
                <w:sz w:val="24"/>
                <w:lang w:eastAsia="zh-CN"/>
              </w:rPr>
              <w:t>竞争性谈判</w:t>
            </w:r>
            <w:r>
              <w:rPr>
                <w:rFonts w:hint="eastAsia" w:ascii="宋体" w:hAnsi="宋体" w:eastAsia="宋体" w:cs="宋体"/>
                <w:sz w:val="24"/>
              </w:rPr>
              <w:t>文件规定的格式。</w:t>
            </w:r>
          </w:p>
        </w:tc>
      </w:tr>
      <w:tr w14:paraId="5B45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50" w:type="dxa"/>
            <w:vMerge w:val="continue"/>
            <w:vAlign w:val="center"/>
          </w:tcPr>
          <w:p w14:paraId="56EA222B">
            <w:pPr>
              <w:spacing w:line="360" w:lineRule="auto"/>
              <w:rPr>
                <w:rFonts w:hint="eastAsia" w:ascii="宋体" w:hAnsi="宋体" w:eastAsia="宋体" w:cs="宋体"/>
                <w:sz w:val="24"/>
              </w:rPr>
            </w:pPr>
          </w:p>
        </w:tc>
        <w:tc>
          <w:tcPr>
            <w:tcW w:w="918" w:type="dxa"/>
            <w:vMerge w:val="continue"/>
            <w:vAlign w:val="center"/>
          </w:tcPr>
          <w:p w14:paraId="3328FAC3">
            <w:pPr>
              <w:spacing w:line="360" w:lineRule="auto"/>
              <w:rPr>
                <w:rFonts w:hint="eastAsia" w:ascii="宋体" w:hAnsi="宋体" w:eastAsia="宋体" w:cs="宋体"/>
                <w:sz w:val="24"/>
              </w:rPr>
            </w:pPr>
          </w:p>
        </w:tc>
        <w:tc>
          <w:tcPr>
            <w:tcW w:w="2626" w:type="dxa"/>
            <w:vAlign w:val="center"/>
          </w:tcPr>
          <w:p w14:paraId="138F4C6A">
            <w:pPr>
              <w:spacing w:line="360" w:lineRule="auto"/>
              <w:rPr>
                <w:rFonts w:hint="eastAsia" w:ascii="宋体" w:hAnsi="宋体" w:eastAsia="宋体" w:cs="宋体"/>
                <w:sz w:val="24"/>
              </w:rPr>
            </w:pPr>
            <w:r>
              <w:rPr>
                <w:rFonts w:hint="eastAsia" w:cs="宋体"/>
                <w:sz w:val="24"/>
                <w:lang w:val="en-US" w:eastAsia="zh-CN"/>
              </w:rPr>
              <w:t>谈判</w:t>
            </w:r>
            <w:r>
              <w:rPr>
                <w:rFonts w:hint="eastAsia" w:ascii="宋体" w:hAnsi="宋体" w:eastAsia="宋体" w:cs="宋体"/>
                <w:sz w:val="24"/>
              </w:rPr>
              <w:t>保证金</w:t>
            </w:r>
          </w:p>
        </w:tc>
        <w:tc>
          <w:tcPr>
            <w:tcW w:w="5512" w:type="dxa"/>
            <w:vAlign w:val="center"/>
          </w:tcPr>
          <w:p w14:paraId="5BC87EAF">
            <w:pPr>
              <w:spacing w:line="360" w:lineRule="auto"/>
              <w:rPr>
                <w:rFonts w:hint="eastAsia" w:ascii="宋体" w:hAnsi="宋体" w:eastAsia="宋体" w:cs="宋体"/>
                <w:sz w:val="24"/>
              </w:rPr>
            </w:pPr>
            <w:r>
              <w:rPr>
                <w:rFonts w:hint="eastAsia" w:ascii="宋体" w:hAnsi="宋体" w:eastAsia="宋体" w:cs="宋体"/>
                <w:sz w:val="24"/>
              </w:rPr>
              <w:t>按时、足额缴纳</w:t>
            </w:r>
            <w:r>
              <w:rPr>
                <w:rFonts w:hint="eastAsia" w:cs="宋体"/>
                <w:sz w:val="24"/>
                <w:lang w:val="en-US" w:eastAsia="zh-CN"/>
              </w:rPr>
              <w:t>谈判</w:t>
            </w:r>
            <w:r>
              <w:rPr>
                <w:rFonts w:hint="eastAsia" w:ascii="宋体" w:hAnsi="宋体" w:eastAsia="宋体" w:cs="宋体"/>
                <w:sz w:val="24"/>
              </w:rPr>
              <w:t>保证金。</w:t>
            </w:r>
          </w:p>
        </w:tc>
      </w:tr>
      <w:tr w14:paraId="721F3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continue"/>
            <w:vAlign w:val="center"/>
          </w:tcPr>
          <w:p w14:paraId="34066820">
            <w:pPr>
              <w:spacing w:line="360" w:lineRule="auto"/>
              <w:rPr>
                <w:rFonts w:hint="eastAsia" w:ascii="宋体" w:hAnsi="宋体" w:eastAsia="宋体" w:cs="宋体"/>
                <w:sz w:val="24"/>
              </w:rPr>
            </w:pPr>
          </w:p>
        </w:tc>
        <w:tc>
          <w:tcPr>
            <w:tcW w:w="918" w:type="dxa"/>
            <w:vMerge w:val="continue"/>
            <w:vAlign w:val="center"/>
          </w:tcPr>
          <w:p w14:paraId="1B2DE419">
            <w:pPr>
              <w:spacing w:line="360" w:lineRule="auto"/>
              <w:rPr>
                <w:rFonts w:hint="eastAsia" w:ascii="宋体" w:hAnsi="宋体" w:eastAsia="宋体" w:cs="宋体"/>
                <w:sz w:val="24"/>
              </w:rPr>
            </w:pPr>
          </w:p>
        </w:tc>
        <w:tc>
          <w:tcPr>
            <w:tcW w:w="2626" w:type="dxa"/>
            <w:vAlign w:val="center"/>
          </w:tcPr>
          <w:p w14:paraId="152DC0E1">
            <w:pPr>
              <w:spacing w:line="360" w:lineRule="auto"/>
              <w:rPr>
                <w:rFonts w:hint="eastAsia" w:ascii="宋体" w:hAnsi="宋体" w:eastAsia="宋体" w:cs="宋体"/>
                <w:sz w:val="24"/>
              </w:rPr>
            </w:pPr>
            <w:r>
              <w:rPr>
                <w:rFonts w:hint="eastAsia" w:ascii="宋体" w:hAnsi="宋体" w:eastAsia="宋体" w:cs="宋体"/>
                <w:sz w:val="24"/>
              </w:rPr>
              <w:t>报价唯一</w:t>
            </w:r>
          </w:p>
        </w:tc>
        <w:tc>
          <w:tcPr>
            <w:tcW w:w="5512" w:type="dxa"/>
            <w:vAlign w:val="center"/>
          </w:tcPr>
          <w:p w14:paraId="121B0AFE">
            <w:pPr>
              <w:spacing w:line="360" w:lineRule="auto"/>
              <w:rPr>
                <w:rFonts w:hint="eastAsia" w:ascii="宋体" w:hAnsi="宋体" w:eastAsia="宋体" w:cs="宋体"/>
                <w:sz w:val="24"/>
              </w:rPr>
            </w:pPr>
            <w:r>
              <w:rPr>
                <w:rFonts w:hint="eastAsia" w:ascii="宋体" w:hAnsi="宋体" w:eastAsia="宋体" w:cs="宋体"/>
                <w:sz w:val="24"/>
              </w:rPr>
              <w:t>其报价未超过</w:t>
            </w:r>
            <w:r>
              <w:rPr>
                <w:rFonts w:hint="eastAsia" w:ascii="宋体" w:hAnsi="宋体" w:cs="宋体"/>
                <w:sz w:val="24"/>
                <w:lang w:eastAsia="zh-CN"/>
              </w:rPr>
              <w:t>项目最高限价</w:t>
            </w:r>
            <w:r>
              <w:rPr>
                <w:rFonts w:hint="eastAsia" w:ascii="宋体" w:hAnsi="宋体" w:eastAsia="宋体" w:cs="宋体"/>
                <w:sz w:val="24"/>
              </w:rPr>
              <w:t>金额，且只有一个有效报价，不得提交选择性报价。</w:t>
            </w:r>
          </w:p>
        </w:tc>
      </w:tr>
      <w:tr w14:paraId="0329F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continue"/>
            <w:vAlign w:val="center"/>
          </w:tcPr>
          <w:p w14:paraId="0A877FDC">
            <w:pPr>
              <w:spacing w:line="360" w:lineRule="auto"/>
              <w:rPr>
                <w:rFonts w:hint="eastAsia" w:ascii="宋体" w:hAnsi="宋体" w:eastAsia="宋体" w:cs="宋体"/>
                <w:sz w:val="24"/>
              </w:rPr>
            </w:pPr>
          </w:p>
        </w:tc>
        <w:tc>
          <w:tcPr>
            <w:tcW w:w="918" w:type="dxa"/>
            <w:vMerge w:val="continue"/>
            <w:vAlign w:val="center"/>
          </w:tcPr>
          <w:p w14:paraId="0B468853">
            <w:pPr>
              <w:spacing w:line="360" w:lineRule="auto"/>
              <w:rPr>
                <w:rFonts w:hint="eastAsia" w:ascii="宋体" w:hAnsi="宋体" w:eastAsia="宋体" w:cs="宋体"/>
                <w:sz w:val="24"/>
              </w:rPr>
            </w:pPr>
          </w:p>
        </w:tc>
        <w:tc>
          <w:tcPr>
            <w:tcW w:w="2626" w:type="dxa"/>
            <w:vAlign w:val="center"/>
          </w:tcPr>
          <w:p w14:paraId="6897C0EF">
            <w:pPr>
              <w:spacing w:line="360" w:lineRule="auto"/>
              <w:rPr>
                <w:rFonts w:hint="eastAsia" w:ascii="宋体" w:hAnsi="宋体" w:eastAsia="宋体" w:cs="宋体"/>
                <w:sz w:val="24"/>
              </w:rPr>
            </w:pPr>
            <w:r>
              <w:rPr>
                <w:rFonts w:hint="eastAsia" w:ascii="宋体" w:hAnsi="宋体" w:eastAsia="宋体" w:cs="宋体"/>
                <w:sz w:val="24"/>
              </w:rPr>
              <w:t>格式要求</w:t>
            </w:r>
          </w:p>
        </w:tc>
        <w:tc>
          <w:tcPr>
            <w:tcW w:w="5512" w:type="dxa"/>
            <w:vAlign w:val="center"/>
          </w:tcPr>
          <w:p w14:paraId="4DD7340D">
            <w:pPr>
              <w:spacing w:line="360" w:lineRule="auto"/>
              <w:rPr>
                <w:rFonts w:hint="eastAsia" w:ascii="宋体" w:hAnsi="宋体" w:eastAsia="宋体" w:cs="宋体"/>
                <w:sz w:val="24"/>
                <w:highlight w:val="none"/>
              </w:rPr>
            </w:pPr>
            <w:r>
              <w:rPr>
                <w:rFonts w:hint="eastAsia" w:ascii="宋体" w:hAnsi="宋体" w:eastAsia="宋体" w:cs="宋体"/>
                <w:sz w:val="24"/>
                <w:highlight w:val="none"/>
              </w:rPr>
              <w:t>满足</w:t>
            </w:r>
            <w:r>
              <w:rPr>
                <w:rFonts w:hint="eastAsia" w:ascii="宋体" w:hAnsi="宋体" w:eastAsia="宋体" w:cs="宋体"/>
                <w:sz w:val="24"/>
                <w:highlight w:val="none"/>
                <w:lang w:eastAsia="zh-CN"/>
              </w:rPr>
              <w:t>竞争性谈判</w:t>
            </w:r>
            <w:r>
              <w:rPr>
                <w:rFonts w:hint="eastAsia" w:ascii="宋体" w:hAnsi="宋体" w:eastAsia="宋体" w:cs="宋体"/>
                <w:sz w:val="24"/>
                <w:highlight w:val="none"/>
              </w:rPr>
              <w:t>文件格式要求。</w:t>
            </w:r>
          </w:p>
        </w:tc>
      </w:tr>
      <w:tr w14:paraId="6662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continue"/>
            <w:vAlign w:val="center"/>
          </w:tcPr>
          <w:p w14:paraId="65CE8C78">
            <w:pPr>
              <w:spacing w:line="360" w:lineRule="auto"/>
              <w:rPr>
                <w:rFonts w:hint="eastAsia" w:ascii="宋体" w:hAnsi="宋体" w:eastAsia="宋体" w:cs="宋体"/>
                <w:sz w:val="24"/>
              </w:rPr>
            </w:pPr>
          </w:p>
        </w:tc>
        <w:tc>
          <w:tcPr>
            <w:tcW w:w="918" w:type="dxa"/>
            <w:vMerge w:val="continue"/>
            <w:vAlign w:val="center"/>
          </w:tcPr>
          <w:p w14:paraId="37A71F9C">
            <w:pPr>
              <w:spacing w:line="360" w:lineRule="auto"/>
              <w:rPr>
                <w:rFonts w:hint="eastAsia" w:ascii="宋体" w:hAnsi="宋体" w:eastAsia="宋体" w:cs="宋体"/>
                <w:sz w:val="24"/>
              </w:rPr>
            </w:pPr>
          </w:p>
        </w:tc>
        <w:tc>
          <w:tcPr>
            <w:tcW w:w="2626" w:type="dxa"/>
            <w:vAlign w:val="center"/>
          </w:tcPr>
          <w:p w14:paraId="098076EF">
            <w:pPr>
              <w:spacing w:line="360" w:lineRule="auto"/>
              <w:rPr>
                <w:rFonts w:hint="eastAsia" w:ascii="宋体" w:hAnsi="宋体" w:eastAsia="宋体" w:cs="宋体"/>
                <w:sz w:val="24"/>
              </w:rPr>
            </w:pPr>
            <w:r>
              <w:rPr>
                <w:rFonts w:hint="eastAsia" w:ascii="宋体" w:hAnsi="宋体" w:eastAsia="宋体" w:cs="宋体"/>
                <w:sz w:val="24"/>
              </w:rPr>
              <w:t>响应有效期</w:t>
            </w:r>
          </w:p>
        </w:tc>
        <w:tc>
          <w:tcPr>
            <w:tcW w:w="5512" w:type="dxa"/>
            <w:vAlign w:val="center"/>
          </w:tcPr>
          <w:p w14:paraId="6B3F0AA7">
            <w:pPr>
              <w:spacing w:line="360" w:lineRule="auto"/>
              <w:rPr>
                <w:rFonts w:hint="eastAsia" w:ascii="宋体" w:hAnsi="宋体" w:eastAsia="宋体" w:cs="宋体"/>
                <w:sz w:val="24"/>
                <w:highlight w:val="none"/>
              </w:rPr>
            </w:pPr>
            <w:r>
              <w:rPr>
                <w:rFonts w:hint="eastAsia" w:ascii="宋体" w:hAnsi="宋体" w:eastAsia="宋体" w:cs="宋体"/>
                <w:sz w:val="24"/>
                <w:highlight w:val="none"/>
              </w:rPr>
              <w:t>满足</w:t>
            </w:r>
            <w:r>
              <w:rPr>
                <w:rFonts w:hint="eastAsia" w:ascii="宋体" w:hAnsi="宋体" w:eastAsia="宋体" w:cs="宋体"/>
                <w:sz w:val="24"/>
                <w:highlight w:val="none"/>
                <w:lang w:eastAsia="zh-CN"/>
              </w:rPr>
              <w:t>竞争性谈判</w:t>
            </w:r>
            <w:r>
              <w:rPr>
                <w:rFonts w:hint="eastAsia" w:ascii="宋体" w:hAnsi="宋体" w:eastAsia="宋体" w:cs="宋体"/>
                <w:sz w:val="24"/>
                <w:highlight w:val="none"/>
              </w:rPr>
              <w:t>文件规定。</w:t>
            </w:r>
          </w:p>
        </w:tc>
      </w:tr>
      <w:tr w14:paraId="430A9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750" w:type="dxa"/>
            <w:vMerge w:val="continue"/>
            <w:vAlign w:val="center"/>
          </w:tcPr>
          <w:p w14:paraId="5246A345">
            <w:pPr>
              <w:spacing w:line="360" w:lineRule="auto"/>
              <w:rPr>
                <w:rFonts w:hint="eastAsia" w:ascii="宋体" w:hAnsi="宋体" w:eastAsia="宋体" w:cs="宋体"/>
                <w:sz w:val="24"/>
              </w:rPr>
            </w:pPr>
          </w:p>
        </w:tc>
        <w:tc>
          <w:tcPr>
            <w:tcW w:w="918" w:type="dxa"/>
            <w:vMerge w:val="continue"/>
            <w:vAlign w:val="center"/>
          </w:tcPr>
          <w:p w14:paraId="67ACAE75">
            <w:pPr>
              <w:spacing w:line="360" w:lineRule="auto"/>
              <w:rPr>
                <w:rFonts w:hint="eastAsia" w:ascii="宋体" w:hAnsi="宋体" w:eastAsia="宋体" w:cs="宋体"/>
                <w:sz w:val="24"/>
              </w:rPr>
            </w:pPr>
          </w:p>
        </w:tc>
        <w:tc>
          <w:tcPr>
            <w:tcW w:w="2626" w:type="dxa"/>
            <w:tcBorders>
              <w:bottom w:val="single" w:color="auto" w:sz="4" w:space="0"/>
            </w:tcBorders>
            <w:vAlign w:val="center"/>
          </w:tcPr>
          <w:p w14:paraId="375B6F72">
            <w:pPr>
              <w:spacing w:line="360" w:lineRule="auto"/>
              <w:rPr>
                <w:rFonts w:hint="eastAsia" w:ascii="宋体" w:hAnsi="宋体" w:eastAsia="宋体" w:cs="宋体"/>
                <w:sz w:val="24"/>
              </w:rPr>
            </w:pPr>
            <w:r>
              <w:rPr>
                <w:rFonts w:hint="eastAsia" w:ascii="宋体" w:hAnsi="宋体" w:eastAsia="宋体" w:cs="宋体"/>
                <w:sz w:val="24"/>
              </w:rPr>
              <w:t>其他</w:t>
            </w:r>
          </w:p>
        </w:tc>
        <w:tc>
          <w:tcPr>
            <w:tcW w:w="5512" w:type="dxa"/>
            <w:tcBorders>
              <w:bottom w:val="single" w:color="auto" w:sz="4" w:space="0"/>
            </w:tcBorders>
            <w:vAlign w:val="center"/>
          </w:tcPr>
          <w:p w14:paraId="48AD07EC">
            <w:pPr>
              <w:spacing w:line="360" w:lineRule="auto"/>
              <w:rPr>
                <w:rFonts w:hint="eastAsia" w:ascii="宋体" w:hAnsi="宋体" w:eastAsia="宋体" w:cs="宋体"/>
                <w:sz w:val="24"/>
              </w:rPr>
            </w:pPr>
            <w:r>
              <w:rPr>
                <w:rFonts w:hint="eastAsia" w:ascii="宋体" w:hAnsi="宋体" w:cs="宋体"/>
                <w:sz w:val="24"/>
                <w:lang w:val="en-US" w:eastAsia="zh-CN"/>
              </w:rPr>
              <w:t>响应</w:t>
            </w:r>
            <w:r>
              <w:rPr>
                <w:rFonts w:hint="eastAsia" w:ascii="宋体" w:hAnsi="宋体" w:eastAsia="宋体" w:cs="宋体"/>
                <w:sz w:val="24"/>
              </w:rPr>
              <w:t>文件未附有采购人不能接受的附加条件及法律、法规和</w:t>
            </w:r>
            <w:r>
              <w:rPr>
                <w:rFonts w:hint="eastAsia" w:ascii="宋体" w:hAnsi="宋体" w:eastAsia="宋体" w:cs="宋体"/>
                <w:sz w:val="24"/>
                <w:lang w:eastAsia="zh-CN"/>
              </w:rPr>
              <w:t>竞争性谈判</w:t>
            </w:r>
            <w:r>
              <w:rPr>
                <w:rFonts w:hint="eastAsia" w:ascii="宋体" w:hAnsi="宋体" w:eastAsia="宋体" w:cs="宋体"/>
                <w:sz w:val="24"/>
              </w:rPr>
              <w:t>文件规定的其他无效情形。</w:t>
            </w:r>
          </w:p>
        </w:tc>
      </w:tr>
    </w:tbl>
    <w:p w14:paraId="653CFA94">
      <w:pPr>
        <w:pStyle w:val="12"/>
        <w:rPr>
          <w:rFonts w:hint="eastAsia" w:ascii="宋体" w:hAnsi="宋体" w:eastAsia="宋体" w:cs="宋体"/>
          <w:b/>
          <w:bCs/>
          <w:sz w:val="24"/>
          <w:szCs w:val="21"/>
        </w:rPr>
      </w:pPr>
    </w:p>
    <w:p w14:paraId="4BB0CCB1">
      <w:pPr>
        <w:rPr>
          <w:rFonts w:hint="eastAsia" w:ascii="宋体" w:hAnsi="宋体" w:eastAsia="宋体" w:cs="宋体"/>
        </w:rPr>
      </w:pPr>
    </w:p>
    <w:p w14:paraId="19A54253">
      <w:pPr>
        <w:spacing w:line="480" w:lineRule="exact"/>
        <w:rPr>
          <w:rFonts w:hint="eastAsia" w:ascii="宋体" w:hAnsi="宋体" w:eastAsia="宋体" w:cs="宋体"/>
          <w:color w:val="000000"/>
          <w:spacing w:val="-2"/>
          <w:sz w:val="24"/>
        </w:rPr>
      </w:pPr>
      <w:r>
        <w:rPr>
          <w:rFonts w:hint="eastAsia" w:ascii="宋体" w:hAnsi="宋体" w:eastAsia="宋体" w:cs="宋体"/>
          <w:color w:val="000000"/>
          <w:spacing w:val="-2"/>
          <w:sz w:val="24"/>
        </w:rPr>
        <w:t>响应性文件符合性审查通过的</w:t>
      </w:r>
      <w:r>
        <w:rPr>
          <w:rFonts w:hint="eastAsia" w:ascii="宋体" w:hAnsi="宋体" w:cs="宋体"/>
          <w:color w:val="000000"/>
          <w:spacing w:val="-2"/>
          <w:sz w:val="24"/>
          <w:lang w:val="en-US" w:eastAsia="zh-CN"/>
        </w:rPr>
        <w:t>供应商</w:t>
      </w:r>
      <w:r>
        <w:rPr>
          <w:rFonts w:hint="eastAsia" w:ascii="宋体" w:hAnsi="宋体" w:eastAsia="宋体" w:cs="宋体"/>
          <w:color w:val="000000"/>
          <w:spacing w:val="-2"/>
          <w:sz w:val="24"/>
        </w:rPr>
        <w:t>，进入下一步详细评审阶段，未通过响应文件响应程度符合性审查的企业，其</w:t>
      </w:r>
      <w:r>
        <w:rPr>
          <w:rFonts w:hint="eastAsia" w:ascii="宋体" w:hAnsi="宋体" w:cs="宋体"/>
          <w:color w:val="000000"/>
          <w:spacing w:val="-2"/>
          <w:sz w:val="24"/>
          <w:lang w:val="en-US" w:eastAsia="zh-CN"/>
        </w:rPr>
        <w:t>谈判文件</w:t>
      </w:r>
      <w:r>
        <w:rPr>
          <w:rFonts w:hint="eastAsia" w:ascii="宋体" w:hAnsi="宋体" w:eastAsia="宋体" w:cs="宋体"/>
          <w:color w:val="000000"/>
          <w:spacing w:val="-2"/>
          <w:sz w:val="24"/>
        </w:rPr>
        <w:t>无效，不进入后期评审阶段。</w:t>
      </w:r>
    </w:p>
    <w:p w14:paraId="66EB4E3D">
      <w:pPr>
        <w:ind w:firstLine="2891" w:firstLineChars="900"/>
        <w:jc w:val="left"/>
        <w:rPr>
          <w:rFonts w:hint="eastAsia" w:ascii="宋体" w:hAnsi="宋体" w:eastAsia="宋体" w:cs="宋体"/>
          <w:b/>
          <w:sz w:val="32"/>
          <w:szCs w:val="32"/>
        </w:rPr>
      </w:pPr>
      <w:r>
        <w:rPr>
          <w:rFonts w:hint="eastAsia" w:ascii="宋体" w:hAnsi="宋体" w:eastAsia="宋体" w:cs="宋体"/>
          <w:b/>
          <w:sz w:val="32"/>
          <w:szCs w:val="32"/>
        </w:rPr>
        <w:t>七、成交及合同签订</w:t>
      </w:r>
    </w:p>
    <w:p w14:paraId="2A749F42">
      <w:pPr>
        <w:spacing w:line="360" w:lineRule="auto"/>
        <w:ind w:firstLine="482" w:firstLineChars="200"/>
        <w:jc w:val="left"/>
        <w:outlineLvl w:val="0"/>
        <w:rPr>
          <w:rFonts w:hint="eastAsia" w:ascii="宋体" w:hAnsi="宋体" w:eastAsia="宋体" w:cs="宋体"/>
          <w:sz w:val="24"/>
        </w:rPr>
      </w:pPr>
      <w:bookmarkStart w:id="254" w:name="_Toc29542"/>
      <w:bookmarkStart w:id="255" w:name="_Toc8983656"/>
      <w:bookmarkStart w:id="256" w:name="_Toc31101"/>
      <w:bookmarkStart w:id="257" w:name="_Toc24108"/>
      <w:bookmarkStart w:id="258" w:name="_Toc4233"/>
      <w:bookmarkStart w:id="259" w:name="_Toc32642"/>
      <w:bookmarkStart w:id="260" w:name="_Toc490155596"/>
      <w:bookmarkStart w:id="261" w:name="_Toc489694893"/>
      <w:bookmarkStart w:id="262" w:name="_Toc2693"/>
      <w:bookmarkStart w:id="263" w:name="_Toc30271"/>
      <w:r>
        <w:rPr>
          <w:rFonts w:hint="eastAsia" w:ascii="宋体" w:hAnsi="宋体" w:eastAsia="宋体" w:cs="宋体"/>
          <w:b/>
          <w:bCs/>
          <w:sz w:val="24"/>
        </w:rPr>
        <w:t>1.</w:t>
      </w:r>
      <w:bookmarkEnd w:id="254"/>
      <w:bookmarkEnd w:id="255"/>
      <w:bookmarkEnd w:id="256"/>
      <w:bookmarkEnd w:id="257"/>
      <w:bookmarkEnd w:id="258"/>
      <w:bookmarkEnd w:id="259"/>
      <w:bookmarkEnd w:id="260"/>
      <w:bookmarkEnd w:id="261"/>
      <w:r>
        <w:rPr>
          <w:rFonts w:hint="eastAsia" w:ascii="宋体" w:hAnsi="宋体" w:eastAsia="宋体" w:cs="宋体"/>
          <w:b/>
          <w:bCs/>
          <w:sz w:val="24"/>
        </w:rPr>
        <w:t>成交人</w:t>
      </w:r>
      <w:bookmarkEnd w:id="262"/>
      <w:bookmarkEnd w:id="263"/>
    </w:p>
    <w:p w14:paraId="3777A40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根据评标小组对各供应商满足谈判文件实质性响应【</w:t>
      </w:r>
      <w:r>
        <w:rPr>
          <w:rFonts w:hint="eastAsia" w:ascii="宋体" w:hAnsi="宋体" w:eastAsia="宋体" w:cs="宋体"/>
          <w:b/>
          <w:sz w:val="24"/>
        </w:rPr>
        <w:t>所谓实质性响应，是指谈判响应文件应与</w:t>
      </w:r>
      <w:r>
        <w:rPr>
          <w:rFonts w:hint="eastAsia" w:ascii="宋体" w:hAnsi="宋体" w:eastAsia="宋体" w:cs="宋体"/>
          <w:b/>
          <w:bCs/>
          <w:sz w:val="24"/>
        </w:rPr>
        <w:t>谈判</w:t>
      </w:r>
      <w:r>
        <w:rPr>
          <w:rFonts w:hint="eastAsia" w:ascii="宋体" w:hAnsi="宋体" w:eastAsia="宋体" w:cs="宋体"/>
          <w:b/>
          <w:sz w:val="24"/>
        </w:rPr>
        <w:t>文件的所有实质性条款、条件和要求相符，无显著差异或保留（由</w:t>
      </w:r>
      <w:r>
        <w:rPr>
          <w:rFonts w:hint="eastAsia" w:ascii="宋体" w:hAnsi="宋体" w:cs="宋体"/>
          <w:b/>
          <w:sz w:val="24"/>
          <w:lang w:eastAsia="zh-CN"/>
        </w:rPr>
        <w:t>谈判</w:t>
      </w:r>
      <w:r>
        <w:rPr>
          <w:rFonts w:hint="eastAsia" w:ascii="宋体" w:hAnsi="宋体" w:eastAsia="宋体" w:cs="宋体"/>
          <w:b/>
          <w:sz w:val="24"/>
        </w:rPr>
        <w:t>小组确定）、质量和交货期相等且符合谈判文件要求的、报价最低的供应商。</w:t>
      </w:r>
      <w:r>
        <w:rPr>
          <w:rFonts w:hint="eastAsia" w:ascii="宋体" w:hAnsi="宋体" w:eastAsia="宋体" w:cs="宋体"/>
          <w:sz w:val="24"/>
        </w:rPr>
        <w:t>】</w:t>
      </w:r>
    </w:p>
    <w:p w14:paraId="063E460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采购人从评标委员会提出的成交候选人中根据符合采购需求、质量和交货期相关且综合排名最高的确定成交人。</w:t>
      </w:r>
    </w:p>
    <w:p w14:paraId="4E98475E">
      <w:pPr>
        <w:snapToGrid w:val="0"/>
        <w:spacing w:line="360" w:lineRule="auto"/>
        <w:ind w:firstLine="482" w:firstLineChars="200"/>
        <w:outlineLvl w:val="0"/>
        <w:rPr>
          <w:rFonts w:hint="eastAsia" w:ascii="宋体" w:hAnsi="宋体" w:eastAsia="宋体" w:cs="宋体"/>
          <w:sz w:val="24"/>
        </w:rPr>
      </w:pPr>
      <w:bookmarkStart w:id="264" w:name="_Toc29546"/>
      <w:bookmarkStart w:id="265" w:name="_Toc490155597"/>
      <w:bookmarkStart w:id="266" w:name="_Toc8983657"/>
      <w:bookmarkStart w:id="267" w:name="_Toc10463"/>
      <w:bookmarkStart w:id="268" w:name="_Toc3696"/>
      <w:bookmarkStart w:id="269" w:name="_Toc489694894"/>
      <w:bookmarkStart w:id="270" w:name="_Toc11718"/>
      <w:bookmarkStart w:id="271" w:name="_Toc12076"/>
      <w:bookmarkStart w:id="272" w:name="_Toc7384"/>
      <w:bookmarkStart w:id="273" w:name="_Toc3926"/>
      <w:r>
        <w:rPr>
          <w:rFonts w:hint="eastAsia" w:ascii="宋体" w:hAnsi="宋体" w:eastAsia="宋体" w:cs="宋体"/>
          <w:b/>
          <w:bCs/>
          <w:sz w:val="24"/>
        </w:rPr>
        <w:t>2.资格后审</w:t>
      </w:r>
      <w:bookmarkEnd w:id="264"/>
      <w:bookmarkEnd w:id="265"/>
      <w:bookmarkEnd w:id="266"/>
      <w:bookmarkEnd w:id="267"/>
      <w:bookmarkEnd w:id="268"/>
      <w:bookmarkEnd w:id="269"/>
      <w:bookmarkEnd w:id="270"/>
      <w:bookmarkEnd w:id="271"/>
      <w:bookmarkEnd w:id="272"/>
      <w:bookmarkEnd w:id="273"/>
    </w:p>
    <w:p w14:paraId="31754E07">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2.1采购人将在签订合同前对成交候选人是否能圆满地履行合同进行审查。审查包括成交候选人谈判响应文件中提供的所有资格证明材料原件，成交候选人谈判响应文件及补充承诺中涉及的其他相关资料原件，以及对本项目实施可能存在风险的其他因素。</w:t>
      </w:r>
    </w:p>
    <w:p w14:paraId="55480771">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2.2采购人若发现成交候选人在</w:t>
      </w:r>
      <w:r>
        <w:rPr>
          <w:rFonts w:hint="eastAsia" w:ascii="宋体" w:hAnsi="宋体" w:cs="宋体"/>
          <w:sz w:val="24"/>
          <w:lang w:val="en-US" w:eastAsia="zh-CN"/>
        </w:rPr>
        <w:t>谈判</w:t>
      </w:r>
      <w:r>
        <w:rPr>
          <w:rFonts w:hint="eastAsia" w:ascii="宋体" w:hAnsi="宋体" w:eastAsia="宋体" w:cs="宋体"/>
          <w:sz w:val="24"/>
        </w:rPr>
        <w:t>过程中提供虚假证明文件，故意隐瞒公司不良信誉和财务状况，以及存在可能对合同圆满履行造成风险的其他因素等，则按规定取消其成交资格，监管部门依法进行处理。</w:t>
      </w:r>
    </w:p>
    <w:p w14:paraId="209E287C">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2.3如果成交候选人被确认为不具备执行合同的能力，采购人将考虑按同样的程序审查下一个成交候选人。</w:t>
      </w:r>
    </w:p>
    <w:p w14:paraId="07E091E4">
      <w:pPr>
        <w:spacing w:line="360" w:lineRule="auto"/>
        <w:ind w:firstLine="482" w:firstLineChars="200"/>
        <w:jc w:val="left"/>
        <w:outlineLvl w:val="0"/>
        <w:rPr>
          <w:rFonts w:hint="eastAsia" w:ascii="宋体" w:hAnsi="宋体" w:eastAsia="宋体" w:cs="宋体"/>
          <w:sz w:val="24"/>
        </w:rPr>
      </w:pPr>
      <w:bookmarkStart w:id="274" w:name="_Toc12865"/>
      <w:bookmarkStart w:id="275" w:name="_Toc14019"/>
      <w:bookmarkStart w:id="276" w:name="_Toc16618"/>
      <w:bookmarkStart w:id="277" w:name="_Toc8983658"/>
      <w:bookmarkStart w:id="278" w:name="_Toc3761"/>
      <w:bookmarkStart w:id="279" w:name="_Toc489694895"/>
      <w:bookmarkStart w:id="280" w:name="_Toc490155598"/>
      <w:bookmarkStart w:id="281" w:name="_Toc7149"/>
      <w:bookmarkStart w:id="282" w:name="_Toc26591"/>
      <w:bookmarkStart w:id="283" w:name="_Toc17410"/>
      <w:r>
        <w:rPr>
          <w:rFonts w:hint="eastAsia" w:ascii="宋体" w:hAnsi="宋体" w:eastAsia="宋体" w:cs="宋体"/>
          <w:b/>
          <w:bCs/>
          <w:sz w:val="24"/>
        </w:rPr>
        <w:t>3.</w:t>
      </w:r>
      <w:bookmarkEnd w:id="274"/>
      <w:bookmarkEnd w:id="275"/>
      <w:bookmarkEnd w:id="276"/>
      <w:bookmarkEnd w:id="277"/>
      <w:bookmarkEnd w:id="278"/>
      <w:bookmarkEnd w:id="279"/>
      <w:bookmarkEnd w:id="280"/>
      <w:bookmarkEnd w:id="281"/>
      <w:r>
        <w:rPr>
          <w:rFonts w:hint="eastAsia" w:ascii="宋体" w:hAnsi="宋体" w:eastAsia="宋体" w:cs="宋体"/>
          <w:b/>
          <w:bCs/>
          <w:sz w:val="24"/>
        </w:rPr>
        <w:t>成交通知书</w:t>
      </w:r>
      <w:bookmarkEnd w:id="282"/>
      <w:bookmarkEnd w:id="283"/>
    </w:p>
    <w:p w14:paraId="689F14DE">
      <w:pPr>
        <w:snapToGrid w:val="0"/>
        <w:spacing w:line="360" w:lineRule="auto"/>
        <w:ind w:firstLine="480" w:firstLineChars="200"/>
        <w:jc w:val="left"/>
        <w:rPr>
          <w:rFonts w:hint="eastAsia" w:ascii="宋体" w:hAnsi="宋体" w:eastAsia="宋体" w:cs="宋体"/>
          <w:sz w:val="24"/>
        </w:rPr>
      </w:pPr>
      <w:bookmarkStart w:id="284" w:name="_Toc19456"/>
      <w:bookmarkStart w:id="285" w:name="_Toc22669"/>
      <w:bookmarkStart w:id="286" w:name="_Toc489694896"/>
      <w:bookmarkStart w:id="287" w:name="_Toc490155599"/>
      <w:bookmarkStart w:id="288" w:name="_Toc20838"/>
      <w:r>
        <w:rPr>
          <w:rFonts w:hint="eastAsia" w:ascii="宋体" w:hAnsi="宋体" w:eastAsia="宋体" w:cs="宋体"/>
          <w:sz w:val="24"/>
        </w:rPr>
        <w:t>3.1成交公示期1个工作日期满后，采购人或者采购代理机构应当向成交人发出成交通知书。</w:t>
      </w:r>
    </w:p>
    <w:p w14:paraId="1DC1D1CD">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3.2成交供应商应及时到采购代理机构领取成交通知书，成交通知书是签订合同的依据和组成部分。</w:t>
      </w:r>
    </w:p>
    <w:p w14:paraId="2EDE73F4">
      <w:pPr>
        <w:spacing w:line="360" w:lineRule="auto"/>
        <w:ind w:firstLine="482" w:firstLineChars="200"/>
        <w:jc w:val="left"/>
        <w:outlineLvl w:val="0"/>
        <w:rPr>
          <w:rFonts w:hint="eastAsia" w:ascii="宋体" w:hAnsi="宋体" w:eastAsia="宋体" w:cs="宋体"/>
          <w:sz w:val="24"/>
        </w:rPr>
      </w:pPr>
      <w:bookmarkStart w:id="289" w:name="_Toc15366"/>
      <w:bookmarkStart w:id="290" w:name="_Toc30154"/>
      <w:bookmarkStart w:id="291" w:name="_Toc24958"/>
      <w:bookmarkStart w:id="292" w:name="_Toc5810"/>
      <w:bookmarkStart w:id="293" w:name="_Toc8983659"/>
      <w:r>
        <w:rPr>
          <w:rFonts w:hint="eastAsia" w:ascii="宋体" w:hAnsi="宋体" w:eastAsia="宋体" w:cs="宋体"/>
          <w:b/>
          <w:bCs/>
          <w:sz w:val="24"/>
        </w:rPr>
        <w:t>4.签订合同</w:t>
      </w:r>
      <w:bookmarkEnd w:id="284"/>
      <w:bookmarkEnd w:id="285"/>
      <w:bookmarkEnd w:id="286"/>
      <w:bookmarkEnd w:id="287"/>
      <w:bookmarkEnd w:id="288"/>
      <w:bookmarkEnd w:id="289"/>
      <w:bookmarkEnd w:id="290"/>
      <w:bookmarkEnd w:id="291"/>
      <w:bookmarkEnd w:id="292"/>
      <w:bookmarkEnd w:id="293"/>
    </w:p>
    <w:p w14:paraId="3BE227AA">
      <w:pPr>
        <w:spacing w:line="360" w:lineRule="auto"/>
        <w:ind w:firstLine="480" w:firstLineChars="200"/>
        <w:rPr>
          <w:rFonts w:hint="eastAsia" w:ascii="宋体" w:hAnsi="宋体" w:eastAsia="宋体" w:cs="宋体"/>
          <w:b/>
          <w:sz w:val="24"/>
        </w:rPr>
      </w:pPr>
      <w:r>
        <w:rPr>
          <w:rFonts w:hint="eastAsia" w:ascii="宋体" w:hAnsi="宋体" w:eastAsia="宋体" w:cs="宋体"/>
          <w:sz w:val="24"/>
        </w:rPr>
        <w:t>成交人应在规定的时间、地点与采购人签订合同，谈判文件、成交人的谈判响应文件、分次报价及服务承诺文件以及评标过程中有关澄清文件均作为合同附件，</w:t>
      </w:r>
      <w:r>
        <w:rPr>
          <w:rFonts w:hint="eastAsia" w:ascii="宋体" w:hAnsi="宋体" w:eastAsia="宋体" w:cs="宋体"/>
          <w:b/>
          <w:sz w:val="24"/>
        </w:rPr>
        <w:t>合同经采购人审核盖章后实施</w:t>
      </w:r>
      <w:r>
        <w:rPr>
          <w:rFonts w:hint="eastAsia" w:ascii="宋体" w:hAnsi="宋体" w:eastAsia="宋体" w:cs="宋体"/>
          <w:sz w:val="24"/>
        </w:rPr>
        <w:t>。</w:t>
      </w:r>
      <w:r>
        <w:rPr>
          <w:rFonts w:hint="eastAsia" w:ascii="宋体" w:hAnsi="宋体" w:eastAsia="宋体" w:cs="宋体"/>
          <w:b/>
          <w:sz w:val="24"/>
        </w:rPr>
        <w:t>项目数量增减、合同条款变更、预算追加等按规定报批后，另行签订补充合同。</w:t>
      </w:r>
    </w:p>
    <w:p w14:paraId="130CCE58">
      <w:pPr>
        <w:spacing w:line="360" w:lineRule="auto"/>
        <w:ind w:left="2" w:firstLine="480" w:firstLineChars="200"/>
        <w:rPr>
          <w:rFonts w:hint="eastAsia" w:ascii="宋体" w:hAnsi="宋体" w:eastAsia="宋体" w:cs="宋体"/>
          <w:sz w:val="24"/>
        </w:rPr>
      </w:pPr>
      <w:r>
        <w:rPr>
          <w:rFonts w:hint="eastAsia" w:ascii="宋体" w:hAnsi="宋体" w:eastAsia="宋体" w:cs="宋体"/>
          <w:sz w:val="24"/>
        </w:rPr>
        <w:t>4.1成交人无正当理由未在规定时间内与采购人签订合同的，采购人有权建议取消其成交资格，监管部门将对其依法处理。</w:t>
      </w:r>
    </w:p>
    <w:p w14:paraId="5FBCC4F5">
      <w:pPr>
        <w:spacing w:line="360" w:lineRule="auto"/>
        <w:ind w:left="2" w:firstLine="480" w:firstLineChars="200"/>
        <w:rPr>
          <w:rFonts w:hint="eastAsia" w:ascii="宋体" w:hAnsi="宋体" w:eastAsia="宋体" w:cs="宋体"/>
          <w:sz w:val="24"/>
        </w:rPr>
      </w:pPr>
      <w:r>
        <w:rPr>
          <w:rFonts w:hint="eastAsia" w:ascii="宋体" w:hAnsi="宋体" w:eastAsia="宋体" w:cs="宋体"/>
          <w:sz w:val="24"/>
        </w:rPr>
        <w:t>4.2采购人不得向成交人提出任何不合理的要求，作为签订合同的条件；不得与成交人私下订立背离合同实质性内容的协议。</w:t>
      </w:r>
    </w:p>
    <w:p w14:paraId="2CFC10E3">
      <w:pPr>
        <w:spacing w:line="360" w:lineRule="auto"/>
        <w:ind w:left="1" w:firstLine="480" w:firstLineChars="200"/>
        <w:rPr>
          <w:rFonts w:hint="eastAsia" w:ascii="宋体" w:hAnsi="宋体" w:eastAsia="宋体" w:cs="宋体"/>
          <w:sz w:val="24"/>
        </w:rPr>
      </w:pPr>
      <w:r>
        <w:rPr>
          <w:rFonts w:hint="eastAsia" w:ascii="宋体" w:hAnsi="宋体" w:eastAsia="宋体" w:cs="宋体"/>
          <w:sz w:val="24"/>
        </w:rPr>
        <w:t>4.3成交人因不可抗力或自身原因不能签订采购合同或者不能履行合同的，参照《中华人民共和国政府采购法实施条例》第四十九条，采购人可以按成交候选顺序确定新的成交人并签订合同，以此类推，或重新进行采购。</w:t>
      </w:r>
    </w:p>
    <w:p w14:paraId="16672BC3">
      <w:pPr>
        <w:spacing w:line="360" w:lineRule="auto"/>
        <w:ind w:firstLine="360" w:firstLineChars="150"/>
        <w:rPr>
          <w:rFonts w:hint="eastAsia" w:ascii="宋体" w:hAnsi="宋体" w:eastAsia="宋体" w:cs="宋体"/>
          <w:sz w:val="24"/>
        </w:rPr>
      </w:pPr>
      <w:r>
        <w:rPr>
          <w:rFonts w:hint="eastAsia" w:ascii="宋体" w:hAnsi="宋体" w:eastAsia="宋体" w:cs="宋体"/>
          <w:sz w:val="24"/>
        </w:rPr>
        <w:t>4.4采购人在授予合同时有权对本文件规定的货物和服务予以适当的增加或减少，但不得改变单价或其他条款和条件。</w:t>
      </w:r>
    </w:p>
    <w:p w14:paraId="6170BBDB">
      <w:pPr>
        <w:spacing w:line="360" w:lineRule="auto"/>
        <w:ind w:left="2" w:firstLine="360" w:firstLineChars="150"/>
        <w:rPr>
          <w:rFonts w:hint="eastAsia" w:ascii="宋体" w:hAnsi="宋体" w:eastAsia="宋体" w:cs="宋体"/>
          <w:sz w:val="24"/>
        </w:rPr>
      </w:pPr>
      <w:r>
        <w:rPr>
          <w:rFonts w:hint="eastAsia" w:ascii="宋体" w:hAnsi="宋体" w:eastAsia="宋体" w:cs="宋体"/>
          <w:sz w:val="24"/>
        </w:rPr>
        <w:t>4.5成交人应当按照合同约定履行义务，完成成交项目，不得将成交项目转让给他人。除本文件另有规定外，也不得将中标项目进行分包给他人。</w:t>
      </w:r>
    </w:p>
    <w:p w14:paraId="15626A6A">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八、验收及付款</w:t>
      </w:r>
    </w:p>
    <w:p w14:paraId="3D71264E">
      <w:pPr>
        <w:spacing w:line="360" w:lineRule="auto"/>
        <w:ind w:firstLine="482" w:firstLineChars="200"/>
        <w:jc w:val="left"/>
        <w:outlineLvl w:val="0"/>
        <w:rPr>
          <w:rFonts w:hint="eastAsia" w:ascii="宋体" w:hAnsi="宋体" w:eastAsia="宋体" w:cs="宋体"/>
          <w:b/>
          <w:bCs/>
          <w:sz w:val="24"/>
        </w:rPr>
      </w:pPr>
      <w:bookmarkStart w:id="294" w:name="_Toc8983660"/>
      <w:bookmarkStart w:id="295" w:name="_Toc31734"/>
      <w:bookmarkStart w:id="296" w:name="_Toc490155600"/>
      <w:bookmarkStart w:id="297" w:name="_Toc2761"/>
      <w:bookmarkStart w:id="298" w:name="_Toc10138"/>
      <w:bookmarkStart w:id="299" w:name="_Toc1577"/>
      <w:bookmarkStart w:id="300" w:name="_Toc17247"/>
      <w:bookmarkStart w:id="301" w:name="_Toc489694897"/>
      <w:bookmarkStart w:id="302" w:name="_Toc24132"/>
      <w:bookmarkStart w:id="303" w:name="_Toc4855"/>
      <w:r>
        <w:rPr>
          <w:rFonts w:hint="eastAsia" w:ascii="宋体" w:hAnsi="宋体" w:eastAsia="宋体" w:cs="宋体"/>
          <w:b/>
          <w:bCs/>
          <w:sz w:val="24"/>
        </w:rPr>
        <w:t>1.验收</w:t>
      </w:r>
      <w:bookmarkEnd w:id="294"/>
      <w:bookmarkEnd w:id="295"/>
      <w:bookmarkEnd w:id="296"/>
      <w:bookmarkEnd w:id="297"/>
      <w:bookmarkEnd w:id="298"/>
      <w:bookmarkEnd w:id="299"/>
      <w:bookmarkEnd w:id="300"/>
      <w:bookmarkEnd w:id="301"/>
      <w:bookmarkEnd w:id="302"/>
      <w:bookmarkEnd w:id="303"/>
    </w:p>
    <w:p w14:paraId="612FD624">
      <w:pPr>
        <w:spacing w:line="360" w:lineRule="auto"/>
        <w:ind w:right="105" w:rightChars="50" w:firstLine="480" w:firstLineChars="200"/>
        <w:jc w:val="left"/>
        <w:rPr>
          <w:rFonts w:hint="eastAsia" w:ascii="宋体" w:hAnsi="宋体" w:eastAsia="宋体" w:cs="宋体"/>
          <w:sz w:val="24"/>
        </w:rPr>
      </w:pPr>
      <w:r>
        <w:rPr>
          <w:rFonts w:hint="eastAsia" w:ascii="宋体" w:hAnsi="宋体" w:eastAsia="宋体" w:cs="宋体"/>
          <w:sz w:val="24"/>
        </w:rPr>
        <w:t>成交单位根据初步验收的结果进行整改并满足合同技术要求后，由成交单位提交完备的项目实施文档及书面申请，经采购人审核通过后，由采购人组织开展验收工作，签署项目验收文件。</w:t>
      </w:r>
    </w:p>
    <w:p w14:paraId="33B80FE5">
      <w:pPr>
        <w:spacing w:line="360" w:lineRule="auto"/>
        <w:ind w:firstLine="482" w:firstLineChars="200"/>
        <w:jc w:val="left"/>
        <w:outlineLvl w:val="0"/>
        <w:rPr>
          <w:rFonts w:hint="eastAsia" w:ascii="宋体" w:hAnsi="宋体" w:eastAsia="宋体" w:cs="宋体"/>
          <w:b/>
          <w:bCs/>
          <w:sz w:val="24"/>
        </w:rPr>
      </w:pPr>
      <w:bookmarkStart w:id="304" w:name="_Toc3365"/>
      <w:bookmarkStart w:id="305" w:name="_Toc16133"/>
      <w:bookmarkStart w:id="306" w:name="_Toc12537"/>
      <w:bookmarkStart w:id="307" w:name="_Toc489694898"/>
      <w:bookmarkStart w:id="308" w:name="_Toc1244"/>
      <w:bookmarkStart w:id="309" w:name="_Toc24582"/>
      <w:bookmarkStart w:id="310" w:name="_Toc15374"/>
      <w:bookmarkStart w:id="311" w:name="_Toc490155601"/>
      <w:bookmarkStart w:id="312" w:name="_Toc8983661"/>
      <w:bookmarkStart w:id="313" w:name="_Toc4539"/>
      <w:r>
        <w:rPr>
          <w:rFonts w:hint="eastAsia" w:ascii="宋体" w:hAnsi="宋体" w:eastAsia="宋体" w:cs="宋体"/>
          <w:b/>
          <w:bCs/>
          <w:sz w:val="24"/>
        </w:rPr>
        <w:t>2.</w:t>
      </w:r>
      <w:bookmarkEnd w:id="304"/>
      <w:bookmarkEnd w:id="305"/>
      <w:bookmarkEnd w:id="306"/>
      <w:bookmarkEnd w:id="307"/>
      <w:r>
        <w:rPr>
          <w:rFonts w:hint="eastAsia" w:ascii="宋体" w:hAnsi="宋体" w:eastAsia="宋体" w:cs="宋体"/>
          <w:b/>
          <w:bCs/>
          <w:sz w:val="24"/>
        </w:rPr>
        <w:t>付款</w:t>
      </w:r>
      <w:bookmarkEnd w:id="308"/>
      <w:bookmarkEnd w:id="309"/>
      <w:bookmarkEnd w:id="310"/>
      <w:bookmarkEnd w:id="311"/>
      <w:bookmarkEnd w:id="312"/>
      <w:bookmarkEnd w:id="313"/>
    </w:p>
    <w:p w14:paraId="3083E36C">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采购人凭项目合同、验收报告合同约定的时间内办理采购款支付手续。</w:t>
      </w:r>
    </w:p>
    <w:p w14:paraId="52AB5E64">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九、法律责任</w:t>
      </w:r>
    </w:p>
    <w:p w14:paraId="022D23F0">
      <w:pPr>
        <w:spacing w:line="360" w:lineRule="auto"/>
        <w:ind w:firstLine="482" w:firstLineChars="200"/>
        <w:jc w:val="left"/>
        <w:outlineLvl w:val="0"/>
        <w:rPr>
          <w:rFonts w:hint="eastAsia" w:ascii="宋体" w:hAnsi="宋体" w:eastAsia="宋体" w:cs="宋体"/>
          <w:b/>
          <w:sz w:val="24"/>
        </w:rPr>
      </w:pPr>
      <w:bookmarkStart w:id="314" w:name="_Toc6019"/>
      <w:bookmarkStart w:id="315" w:name="_Toc15425"/>
      <w:bookmarkStart w:id="316" w:name="_Toc8983662"/>
      <w:bookmarkStart w:id="317" w:name="_Toc490155602"/>
      <w:bookmarkStart w:id="318" w:name="_Toc23082"/>
      <w:bookmarkStart w:id="319" w:name="_Toc9375"/>
      <w:bookmarkStart w:id="320" w:name="_Toc1915"/>
      <w:bookmarkStart w:id="321" w:name="_Toc489694899"/>
      <w:bookmarkStart w:id="322" w:name="_Toc19324"/>
      <w:bookmarkStart w:id="323" w:name="_Toc32052"/>
      <w:r>
        <w:rPr>
          <w:rFonts w:hint="eastAsia" w:ascii="宋体" w:hAnsi="宋体" w:eastAsia="宋体" w:cs="宋体"/>
          <w:b/>
          <w:sz w:val="24"/>
        </w:rPr>
        <w:t>1.法律责任</w:t>
      </w:r>
      <w:bookmarkEnd w:id="314"/>
      <w:bookmarkEnd w:id="315"/>
      <w:bookmarkEnd w:id="316"/>
      <w:bookmarkEnd w:id="317"/>
      <w:bookmarkEnd w:id="318"/>
      <w:bookmarkEnd w:id="319"/>
      <w:bookmarkEnd w:id="320"/>
      <w:bookmarkEnd w:id="321"/>
      <w:bookmarkEnd w:id="322"/>
      <w:bookmarkEnd w:id="323"/>
    </w:p>
    <w:p w14:paraId="77036388">
      <w:pPr>
        <w:snapToGrid w:val="0"/>
        <w:spacing w:line="360" w:lineRule="auto"/>
        <w:ind w:firstLine="480" w:firstLineChars="200"/>
        <w:outlineLvl w:val="0"/>
        <w:rPr>
          <w:rFonts w:hint="eastAsia" w:ascii="宋体" w:hAnsi="宋体" w:eastAsia="宋体" w:cs="宋体"/>
          <w:sz w:val="24"/>
        </w:rPr>
      </w:pPr>
      <w:bookmarkStart w:id="324" w:name="_Toc17138"/>
      <w:bookmarkStart w:id="325" w:name="_Toc10339"/>
      <w:bookmarkStart w:id="326" w:name="_Toc12610"/>
      <w:bookmarkStart w:id="327" w:name="_Toc8983663"/>
      <w:bookmarkStart w:id="328" w:name="_Toc24826"/>
      <w:r>
        <w:rPr>
          <w:rFonts w:hint="eastAsia" w:ascii="宋体" w:hAnsi="宋体" w:eastAsia="宋体" w:cs="宋体"/>
          <w:sz w:val="24"/>
        </w:rPr>
        <w:t>供应商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bookmarkEnd w:id="324"/>
      <w:bookmarkEnd w:id="325"/>
      <w:bookmarkEnd w:id="326"/>
      <w:bookmarkEnd w:id="327"/>
      <w:bookmarkEnd w:id="328"/>
    </w:p>
    <w:p w14:paraId="266A68D8">
      <w:pPr>
        <w:snapToGrid w:val="0"/>
        <w:spacing w:line="360" w:lineRule="auto"/>
        <w:ind w:firstLine="480" w:firstLineChars="200"/>
        <w:outlineLvl w:val="0"/>
        <w:rPr>
          <w:rFonts w:hint="eastAsia" w:ascii="宋体" w:hAnsi="宋体" w:eastAsia="宋体" w:cs="宋体"/>
          <w:sz w:val="24"/>
        </w:rPr>
      </w:pPr>
      <w:bookmarkStart w:id="329" w:name="_Toc16974"/>
      <w:bookmarkStart w:id="330" w:name="_Toc12083"/>
      <w:bookmarkStart w:id="331" w:name="_Toc1232"/>
      <w:bookmarkStart w:id="332" w:name="_Toc23264"/>
      <w:bookmarkStart w:id="333" w:name="_Toc8983664"/>
      <w:r>
        <w:rPr>
          <w:rFonts w:hint="eastAsia" w:ascii="宋体" w:hAnsi="宋体" w:eastAsia="宋体" w:cs="宋体"/>
          <w:sz w:val="24"/>
        </w:rPr>
        <w:t>（1）提供虚假材料谋取中标的；</w:t>
      </w:r>
      <w:bookmarkEnd w:id="329"/>
      <w:bookmarkEnd w:id="330"/>
      <w:bookmarkEnd w:id="331"/>
      <w:bookmarkEnd w:id="332"/>
      <w:bookmarkEnd w:id="333"/>
    </w:p>
    <w:p w14:paraId="5FE00A2E">
      <w:pPr>
        <w:snapToGrid w:val="0"/>
        <w:spacing w:line="360" w:lineRule="auto"/>
        <w:ind w:firstLine="480" w:firstLineChars="200"/>
        <w:outlineLvl w:val="0"/>
        <w:rPr>
          <w:rFonts w:hint="eastAsia" w:ascii="宋体" w:hAnsi="宋体" w:eastAsia="宋体" w:cs="宋体"/>
          <w:sz w:val="24"/>
        </w:rPr>
      </w:pPr>
      <w:bookmarkStart w:id="334" w:name="_Toc5437"/>
      <w:bookmarkStart w:id="335" w:name="_Toc30711"/>
      <w:bookmarkStart w:id="336" w:name="_Toc8983665"/>
      <w:bookmarkStart w:id="337" w:name="_Toc17068"/>
      <w:bookmarkStart w:id="338" w:name="_Toc5560"/>
      <w:r>
        <w:rPr>
          <w:rFonts w:hint="eastAsia" w:ascii="宋体" w:hAnsi="宋体" w:eastAsia="宋体" w:cs="宋体"/>
          <w:sz w:val="24"/>
        </w:rPr>
        <w:t>（2）采取不正当手段诋毁、排挤其他供应商的；</w:t>
      </w:r>
      <w:bookmarkEnd w:id="334"/>
      <w:bookmarkEnd w:id="335"/>
      <w:bookmarkEnd w:id="336"/>
      <w:bookmarkEnd w:id="337"/>
      <w:bookmarkEnd w:id="338"/>
    </w:p>
    <w:p w14:paraId="0260D133">
      <w:pPr>
        <w:snapToGrid w:val="0"/>
        <w:spacing w:line="360" w:lineRule="auto"/>
        <w:ind w:firstLine="480" w:firstLineChars="200"/>
        <w:outlineLvl w:val="0"/>
        <w:rPr>
          <w:rFonts w:hint="eastAsia" w:ascii="宋体" w:hAnsi="宋体" w:eastAsia="宋体" w:cs="宋体"/>
          <w:sz w:val="24"/>
        </w:rPr>
      </w:pPr>
      <w:bookmarkStart w:id="339" w:name="_Toc4593"/>
      <w:bookmarkStart w:id="340" w:name="_Toc8983666"/>
      <w:bookmarkStart w:id="341" w:name="_Toc12991"/>
      <w:bookmarkStart w:id="342" w:name="_Toc9412"/>
      <w:bookmarkStart w:id="343" w:name="_Toc3864"/>
      <w:r>
        <w:rPr>
          <w:rFonts w:hint="eastAsia" w:ascii="宋体" w:hAnsi="宋体" w:eastAsia="宋体" w:cs="宋体"/>
          <w:sz w:val="24"/>
        </w:rPr>
        <w:t>（3）与采购人、其他供应商或采购代理机构恶意串通的；</w:t>
      </w:r>
      <w:bookmarkEnd w:id="339"/>
      <w:bookmarkEnd w:id="340"/>
      <w:bookmarkEnd w:id="341"/>
      <w:bookmarkEnd w:id="342"/>
      <w:bookmarkEnd w:id="343"/>
    </w:p>
    <w:p w14:paraId="71D4AEEE">
      <w:pPr>
        <w:snapToGrid w:val="0"/>
        <w:spacing w:line="360" w:lineRule="auto"/>
        <w:ind w:firstLine="480" w:firstLineChars="200"/>
        <w:outlineLvl w:val="0"/>
        <w:rPr>
          <w:rFonts w:hint="eastAsia" w:ascii="宋体" w:hAnsi="宋体" w:eastAsia="宋体" w:cs="宋体"/>
          <w:sz w:val="24"/>
        </w:rPr>
      </w:pPr>
      <w:bookmarkStart w:id="344" w:name="_Toc2915"/>
      <w:bookmarkStart w:id="345" w:name="_Toc21766"/>
      <w:bookmarkStart w:id="346" w:name="_Toc8983667"/>
      <w:bookmarkStart w:id="347" w:name="_Toc15042"/>
      <w:bookmarkStart w:id="348" w:name="_Toc14854"/>
      <w:r>
        <w:rPr>
          <w:rFonts w:hint="eastAsia" w:ascii="宋体" w:hAnsi="宋体" w:eastAsia="宋体" w:cs="宋体"/>
          <w:sz w:val="24"/>
        </w:rPr>
        <w:t>（4）向采购人、采购代理机构行贿或者提供其他不正当利益的；</w:t>
      </w:r>
      <w:bookmarkEnd w:id="344"/>
      <w:bookmarkEnd w:id="345"/>
      <w:bookmarkEnd w:id="346"/>
      <w:bookmarkEnd w:id="347"/>
      <w:bookmarkEnd w:id="348"/>
    </w:p>
    <w:p w14:paraId="056B2881">
      <w:pPr>
        <w:snapToGrid w:val="0"/>
        <w:spacing w:line="360" w:lineRule="auto"/>
        <w:ind w:firstLine="480" w:firstLineChars="200"/>
        <w:outlineLvl w:val="0"/>
        <w:rPr>
          <w:rFonts w:hint="eastAsia" w:ascii="宋体" w:hAnsi="宋体" w:eastAsia="宋体" w:cs="宋体"/>
          <w:sz w:val="24"/>
        </w:rPr>
      </w:pPr>
      <w:bookmarkStart w:id="349" w:name="_Toc21617"/>
      <w:bookmarkStart w:id="350" w:name="_Toc1160"/>
      <w:bookmarkStart w:id="351" w:name="_Toc10462"/>
      <w:bookmarkStart w:id="352" w:name="_Toc27359"/>
      <w:bookmarkStart w:id="353" w:name="_Toc8983668"/>
      <w:r>
        <w:rPr>
          <w:rFonts w:hint="eastAsia" w:ascii="宋体" w:hAnsi="宋体" w:eastAsia="宋体" w:cs="宋体"/>
          <w:sz w:val="24"/>
        </w:rPr>
        <w:t>（5）在</w:t>
      </w:r>
      <w:r>
        <w:rPr>
          <w:rFonts w:hint="eastAsia" w:ascii="宋体" w:hAnsi="宋体" w:cs="宋体"/>
          <w:sz w:val="24"/>
          <w:lang w:val="en-US" w:eastAsia="zh-CN"/>
        </w:rPr>
        <w:t>谈判</w:t>
      </w:r>
      <w:r>
        <w:rPr>
          <w:rFonts w:hint="eastAsia" w:ascii="宋体" w:hAnsi="宋体" w:eastAsia="宋体" w:cs="宋体"/>
          <w:sz w:val="24"/>
        </w:rPr>
        <w:t>过程中与采购单位进行协商谈判、不按照谈判文件和成交供应商的响应文件订立合同，或者与采购人另行订立背离合同实质性内容的协议的；</w:t>
      </w:r>
      <w:bookmarkEnd w:id="349"/>
      <w:bookmarkEnd w:id="350"/>
      <w:bookmarkEnd w:id="351"/>
      <w:bookmarkEnd w:id="352"/>
      <w:bookmarkEnd w:id="353"/>
    </w:p>
    <w:p w14:paraId="1A1F2ADB">
      <w:pPr>
        <w:snapToGrid w:val="0"/>
        <w:spacing w:line="360" w:lineRule="auto"/>
        <w:ind w:firstLine="480" w:firstLineChars="200"/>
        <w:outlineLvl w:val="0"/>
        <w:rPr>
          <w:rFonts w:hint="eastAsia" w:ascii="宋体" w:hAnsi="宋体" w:eastAsia="宋体" w:cs="宋体"/>
          <w:sz w:val="24"/>
        </w:rPr>
      </w:pPr>
      <w:bookmarkStart w:id="354" w:name="_Toc8983669"/>
      <w:bookmarkStart w:id="355" w:name="_Toc12039"/>
      <w:bookmarkStart w:id="356" w:name="_Toc27568"/>
      <w:bookmarkStart w:id="357" w:name="_Toc24462"/>
      <w:bookmarkStart w:id="358" w:name="_Toc22917"/>
      <w:r>
        <w:rPr>
          <w:rFonts w:hint="eastAsia" w:ascii="宋体" w:hAnsi="宋体" w:eastAsia="宋体" w:cs="宋体"/>
          <w:sz w:val="24"/>
        </w:rPr>
        <w:t>（6）拒绝有关部门监督检查或者提供虚假情况的。供应商有前款情形之一的，成交无效。</w:t>
      </w:r>
      <w:bookmarkEnd w:id="354"/>
      <w:bookmarkEnd w:id="355"/>
      <w:bookmarkEnd w:id="356"/>
      <w:bookmarkEnd w:id="357"/>
      <w:bookmarkEnd w:id="358"/>
    </w:p>
    <w:p w14:paraId="493E8428">
      <w:pPr>
        <w:snapToGrid w:val="0"/>
        <w:spacing w:line="360" w:lineRule="auto"/>
        <w:ind w:firstLine="480" w:firstLineChars="200"/>
        <w:outlineLvl w:val="0"/>
        <w:rPr>
          <w:rFonts w:hint="eastAsia" w:ascii="宋体" w:hAnsi="宋体" w:eastAsia="宋体" w:cs="宋体"/>
          <w:sz w:val="24"/>
        </w:rPr>
      </w:pPr>
      <w:bookmarkStart w:id="359" w:name="_Toc18531"/>
      <w:bookmarkStart w:id="360" w:name="_Toc27426"/>
      <w:bookmarkStart w:id="361" w:name="_Toc8983670"/>
      <w:bookmarkStart w:id="362" w:name="_Toc14452"/>
      <w:bookmarkStart w:id="363" w:name="_Toc1974"/>
      <w:r>
        <w:rPr>
          <w:rFonts w:hint="eastAsia" w:ascii="宋体" w:hAnsi="宋体" w:eastAsia="宋体" w:cs="宋体"/>
          <w:sz w:val="24"/>
        </w:rPr>
        <w:t>2、成交人有下列情形之一的，采购单位不予退还其交纳的</w:t>
      </w:r>
      <w:r>
        <w:rPr>
          <w:rFonts w:hint="eastAsia" w:ascii="宋体" w:hAnsi="宋体" w:cs="宋体"/>
          <w:sz w:val="24"/>
          <w:lang w:val="en-US" w:eastAsia="zh-CN"/>
        </w:rPr>
        <w:t>谈判</w:t>
      </w:r>
      <w:r>
        <w:rPr>
          <w:rFonts w:hint="eastAsia" w:ascii="宋体" w:hAnsi="宋体" w:eastAsia="宋体" w:cs="宋体"/>
          <w:sz w:val="24"/>
        </w:rPr>
        <w:t>保证金；情节严重的，由财政部门将其列入不良行为记录名单，在一至三年内禁止参加政府采购活动，并予以通报：</w:t>
      </w:r>
      <w:bookmarkEnd w:id="359"/>
      <w:bookmarkEnd w:id="360"/>
      <w:bookmarkEnd w:id="361"/>
      <w:bookmarkEnd w:id="362"/>
      <w:bookmarkEnd w:id="363"/>
    </w:p>
    <w:p w14:paraId="289532C0">
      <w:pPr>
        <w:snapToGrid w:val="0"/>
        <w:spacing w:line="360" w:lineRule="auto"/>
        <w:ind w:firstLine="480" w:firstLineChars="200"/>
        <w:outlineLvl w:val="0"/>
        <w:rPr>
          <w:rFonts w:hint="eastAsia" w:ascii="宋体" w:hAnsi="宋体" w:eastAsia="宋体" w:cs="宋体"/>
          <w:sz w:val="24"/>
        </w:rPr>
      </w:pPr>
      <w:bookmarkStart w:id="364" w:name="_Toc30562"/>
      <w:bookmarkStart w:id="365" w:name="_Toc8983671"/>
      <w:bookmarkStart w:id="366" w:name="_Toc19601"/>
      <w:bookmarkStart w:id="367" w:name="_Toc27241"/>
      <w:bookmarkStart w:id="368" w:name="_Toc19517"/>
      <w:r>
        <w:rPr>
          <w:rFonts w:hint="eastAsia" w:ascii="宋体" w:hAnsi="宋体" w:eastAsia="宋体" w:cs="宋体"/>
          <w:sz w:val="24"/>
        </w:rPr>
        <w:t>（1）成交后无正当理由不与采购人签订合同，或者与采购人另行订立背离合同实质性内容的协议的；</w:t>
      </w:r>
      <w:bookmarkEnd w:id="364"/>
      <w:bookmarkEnd w:id="365"/>
      <w:bookmarkEnd w:id="366"/>
      <w:bookmarkEnd w:id="367"/>
      <w:bookmarkEnd w:id="368"/>
    </w:p>
    <w:p w14:paraId="0A53A89F">
      <w:pPr>
        <w:snapToGrid w:val="0"/>
        <w:spacing w:line="360" w:lineRule="auto"/>
        <w:ind w:firstLine="480" w:firstLineChars="200"/>
        <w:outlineLvl w:val="0"/>
        <w:rPr>
          <w:rFonts w:hint="eastAsia" w:ascii="宋体" w:hAnsi="宋体" w:eastAsia="宋体" w:cs="宋体"/>
          <w:sz w:val="24"/>
        </w:rPr>
      </w:pPr>
      <w:bookmarkStart w:id="369" w:name="_Toc20485"/>
      <w:bookmarkStart w:id="370" w:name="_Toc8983672"/>
      <w:bookmarkStart w:id="371" w:name="_Toc10093"/>
      <w:bookmarkStart w:id="372" w:name="_Toc19258"/>
      <w:bookmarkStart w:id="373" w:name="_Toc15709"/>
      <w:r>
        <w:rPr>
          <w:rFonts w:hint="eastAsia" w:ascii="宋体" w:hAnsi="宋体" w:eastAsia="宋体" w:cs="宋体"/>
          <w:sz w:val="24"/>
        </w:rPr>
        <w:t>（2）将成交项目转让给他人，或者在响应文件中未说明，且未经采购人同意，将成交项目分包给他人的；</w:t>
      </w:r>
      <w:bookmarkEnd w:id="369"/>
      <w:bookmarkEnd w:id="370"/>
      <w:bookmarkEnd w:id="371"/>
      <w:bookmarkEnd w:id="372"/>
      <w:bookmarkEnd w:id="373"/>
    </w:p>
    <w:p w14:paraId="4955B77A">
      <w:pPr>
        <w:snapToGrid w:val="0"/>
        <w:spacing w:line="360" w:lineRule="auto"/>
        <w:ind w:firstLine="480" w:firstLineChars="200"/>
        <w:outlineLvl w:val="0"/>
        <w:rPr>
          <w:rFonts w:hint="eastAsia" w:ascii="宋体" w:hAnsi="宋体" w:eastAsia="宋体" w:cs="宋体"/>
          <w:sz w:val="24"/>
        </w:rPr>
      </w:pPr>
      <w:bookmarkStart w:id="374" w:name="_Toc31290"/>
      <w:bookmarkStart w:id="375" w:name="_Toc31152"/>
      <w:bookmarkStart w:id="376" w:name="_Toc1074"/>
      <w:bookmarkStart w:id="377" w:name="_Toc16148"/>
      <w:bookmarkStart w:id="378" w:name="_Toc8983673"/>
      <w:r>
        <w:rPr>
          <w:rFonts w:hint="eastAsia" w:ascii="宋体" w:hAnsi="宋体" w:eastAsia="宋体" w:cs="宋体"/>
          <w:sz w:val="24"/>
        </w:rPr>
        <w:t>（3）拒绝履行合同义务的。</w:t>
      </w:r>
      <w:bookmarkEnd w:id="374"/>
      <w:bookmarkEnd w:id="375"/>
      <w:bookmarkEnd w:id="376"/>
      <w:bookmarkEnd w:id="377"/>
      <w:bookmarkEnd w:id="378"/>
    </w:p>
    <w:p w14:paraId="5EB514BA">
      <w:pPr>
        <w:snapToGrid w:val="0"/>
        <w:spacing w:line="360" w:lineRule="auto"/>
        <w:ind w:firstLine="480" w:firstLineChars="200"/>
        <w:outlineLvl w:val="0"/>
        <w:rPr>
          <w:rFonts w:hint="eastAsia" w:ascii="宋体" w:hAnsi="宋体" w:eastAsia="宋体" w:cs="宋体"/>
          <w:sz w:val="24"/>
        </w:rPr>
      </w:pPr>
      <w:bookmarkStart w:id="379" w:name="_Toc30901"/>
      <w:bookmarkStart w:id="380" w:name="_Toc28754"/>
      <w:bookmarkStart w:id="381" w:name="_Toc29600"/>
      <w:bookmarkStart w:id="382" w:name="_Toc7343"/>
      <w:bookmarkStart w:id="383" w:name="_Toc8983674"/>
      <w:r>
        <w:rPr>
          <w:rFonts w:hint="eastAsia" w:ascii="宋体" w:hAnsi="宋体" w:eastAsia="宋体" w:cs="宋体"/>
          <w:sz w:val="24"/>
        </w:rPr>
        <w:t>成交人有前款情形之一的，成交无效。</w:t>
      </w:r>
      <w:bookmarkEnd w:id="379"/>
      <w:bookmarkEnd w:id="380"/>
      <w:bookmarkEnd w:id="381"/>
      <w:bookmarkEnd w:id="382"/>
      <w:bookmarkEnd w:id="383"/>
    </w:p>
    <w:p w14:paraId="2D036B84">
      <w:pPr>
        <w:adjustRightInd w:val="0"/>
        <w:snapToGrid w:val="0"/>
        <w:spacing w:line="360" w:lineRule="auto"/>
        <w:ind w:firstLine="480" w:firstLineChars="200"/>
        <w:outlineLvl w:val="0"/>
        <w:rPr>
          <w:rFonts w:hint="eastAsia" w:ascii="宋体" w:hAnsi="宋体" w:eastAsia="宋体" w:cs="宋体"/>
          <w:sz w:val="24"/>
        </w:rPr>
      </w:pPr>
      <w:bookmarkStart w:id="384" w:name="_Toc24446"/>
      <w:bookmarkStart w:id="385" w:name="_Toc15871"/>
      <w:bookmarkStart w:id="386" w:name="_Toc6992"/>
      <w:bookmarkStart w:id="387" w:name="_Toc2375"/>
      <w:bookmarkStart w:id="388" w:name="_Toc8983675"/>
      <w:r>
        <w:rPr>
          <w:rFonts w:hint="eastAsia" w:ascii="宋体" w:hAnsi="宋体" w:eastAsia="宋体" w:cs="宋体"/>
          <w:sz w:val="24"/>
        </w:rPr>
        <w:t>按照以上条款规定，经同级或其上级财政部门认定成交无效的，可按成交候选顺序重新确定，或重新进行采购。</w:t>
      </w:r>
      <w:bookmarkEnd w:id="384"/>
      <w:bookmarkEnd w:id="385"/>
      <w:bookmarkEnd w:id="386"/>
      <w:bookmarkEnd w:id="387"/>
      <w:bookmarkEnd w:id="388"/>
    </w:p>
    <w:p w14:paraId="0CAF6263">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3、发生下列情况之一，供应商将被列入不良记录名单，在1～3年内禁止参加政府采购活动，并予以公告：</w:t>
      </w:r>
    </w:p>
    <w:p w14:paraId="0BA28288">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(1)开标后在</w:t>
      </w:r>
      <w:r>
        <w:rPr>
          <w:rFonts w:hint="eastAsia" w:ascii="宋体" w:hAnsi="宋体" w:cs="宋体"/>
          <w:b/>
          <w:sz w:val="24"/>
          <w:lang w:val="en-US" w:eastAsia="zh-CN"/>
        </w:rPr>
        <w:t>谈判</w:t>
      </w:r>
      <w:r>
        <w:rPr>
          <w:rFonts w:hint="eastAsia" w:ascii="宋体" w:hAnsi="宋体" w:eastAsia="宋体" w:cs="宋体"/>
          <w:b/>
          <w:sz w:val="24"/>
        </w:rPr>
        <w:t>有效期内，供应商撤回其</w:t>
      </w:r>
      <w:r>
        <w:rPr>
          <w:rFonts w:hint="eastAsia" w:ascii="宋体" w:hAnsi="宋体" w:cs="宋体"/>
          <w:b/>
          <w:sz w:val="24"/>
          <w:lang w:val="en-US" w:eastAsia="zh-CN"/>
        </w:rPr>
        <w:t>响应文件</w:t>
      </w:r>
      <w:r>
        <w:rPr>
          <w:rFonts w:hint="eastAsia" w:ascii="宋体" w:hAnsi="宋体" w:eastAsia="宋体" w:cs="宋体"/>
          <w:b/>
          <w:sz w:val="24"/>
        </w:rPr>
        <w:t>；</w:t>
      </w:r>
    </w:p>
    <w:p w14:paraId="495BB2D5">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(2)</w:t>
      </w:r>
      <w:r>
        <w:rPr>
          <w:rFonts w:hint="eastAsia" w:ascii="宋体" w:hAnsi="宋体" w:cs="宋体"/>
          <w:b/>
          <w:sz w:val="24"/>
          <w:lang w:val="en-US" w:eastAsia="zh-CN"/>
        </w:rPr>
        <w:t>成交</w:t>
      </w:r>
      <w:r>
        <w:rPr>
          <w:rFonts w:hint="eastAsia" w:ascii="宋体" w:hAnsi="宋体" w:eastAsia="宋体" w:cs="宋体"/>
          <w:b/>
          <w:sz w:val="24"/>
        </w:rPr>
        <w:t>后无正当理由不与采购人签订政府采购合同；</w:t>
      </w:r>
    </w:p>
    <w:p w14:paraId="30C75E22">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(3)</w:t>
      </w:r>
      <w:r>
        <w:rPr>
          <w:rFonts w:hint="eastAsia" w:ascii="宋体" w:hAnsi="宋体" w:cs="宋体"/>
          <w:b/>
          <w:sz w:val="24"/>
          <w:lang w:val="en-US" w:eastAsia="zh-CN"/>
        </w:rPr>
        <w:t>成交</w:t>
      </w:r>
      <w:r>
        <w:rPr>
          <w:rFonts w:hint="eastAsia" w:ascii="宋体" w:hAnsi="宋体" w:eastAsia="宋体" w:cs="宋体"/>
          <w:b/>
          <w:sz w:val="24"/>
        </w:rPr>
        <w:t>后未按照谈判文件和</w:t>
      </w:r>
      <w:r>
        <w:rPr>
          <w:rFonts w:hint="eastAsia" w:ascii="宋体" w:hAnsi="宋体" w:cs="宋体"/>
          <w:b/>
          <w:sz w:val="24"/>
          <w:lang w:val="en-US" w:eastAsia="zh-CN"/>
        </w:rPr>
        <w:t>成交</w:t>
      </w:r>
      <w:r>
        <w:rPr>
          <w:rFonts w:hint="eastAsia" w:ascii="宋体" w:hAnsi="宋体" w:eastAsia="宋体" w:cs="宋体"/>
          <w:b/>
          <w:sz w:val="24"/>
        </w:rPr>
        <w:t>供应商的响应文件订立政府采购合同，或者与采购人另行订立背离合同实质性内容的协议的；</w:t>
      </w:r>
    </w:p>
    <w:p w14:paraId="75A0795A">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(4)将</w:t>
      </w:r>
      <w:r>
        <w:rPr>
          <w:rFonts w:hint="eastAsia" w:ascii="宋体" w:hAnsi="宋体" w:cs="宋体"/>
          <w:b/>
          <w:sz w:val="24"/>
          <w:lang w:val="en-US" w:eastAsia="zh-CN"/>
        </w:rPr>
        <w:t>成交</w:t>
      </w:r>
      <w:r>
        <w:rPr>
          <w:rFonts w:hint="eastAsia" w:ascii="宋体" w:hAnsi="宋体" w:eastAsia="宋体" w:cs="宋体"/>
          <w:b/>
          <w:sz w:val="24"/>
        </w:rPr>
        <w:t>项目转让给他人，或者在响应文件中未说明，且未经采购机构同意，将</w:t>
      </w:r>
      <w:r>
        <w:rPr>
          <w:rFonts w:hint="eastAsia" w:ascii="宋体" w:hAnsi="宋体" w:cs="宋体"/>
          <w:b/>
          <w:sz w:val="24"/>
          <w:lang w:val="en-US" w:eastAsia="zh-CN"/>
        </w:rPr>
        <w:t>成交</w:t>
      </w:r>
      <w:r>
        <w:rPr>
          <w:rFonts w:hint="eastAsia" w:ascii="宋体" w:hAnsi="宋体" w:eastAsia="宋体" w:cs="宋体"/>
          <w:b/>
          <w:sz w:val="24"/>
        </w:rPr>
        <w:t>项目分包给他人；</w:t>
      </w:r>
    </w:p>
    <w:p w14:paraId="1DAD57BE">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(5)拒绝履行合同义务的；</w:t>
      </w:r>
    </w:p>
    <w:p w14:paraId="1D8F691E">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(6)《政府采购法》第七十七条和《政府采购法实施条例》第七十二条规定的其他情形；</w:t>
      </w:r>
    </w:p>
    <w:p w14:paraId="0AB9C6B2">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(7)其他违反法律法规相关规定的情形。</w:t>
      </w:r>
    </w:p>
    <w:p w14:paraId="722AA27B">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3.1 《政府采购法》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92037C5">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（1）提供虚假材料谋取中标、成交的；</w:t>
      </w:r>
    </w:p>
    <w:p w14:paraId="1F6331AC">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（2）采取不正当手段诋毁、排挤其他供应商的；</w:t>
      </w:r>
    </w:p>
    <w:p w14:paraId="775B368B">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（3）与采购人、其他供应商或者采购代理机构恶意串通的；</w:t>
      </w:r>
    </w:p>
    <w:p w14:paraId="4D7E1B89">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（4）向采</w:t>
      </w:r>
      <w:r>
        <w:rPr>
          <w:rFonts w:hint="eastAsia" w:ascii="宋体" w:hAnsi="宋体" w:cs="宋体"/>
          <w:b/>
          <w:sz w:val="24"/>
          <w:lang w:val="en-US" w:eastAsia="zh-CN"/>
        </w:rPr>
        <w:t>谈判</w:t>
      </w:r>
      <w:r>
        <w:rPr>
          <w:rFonts w:hint="eastAsia" w:ascii="宋体" w:hAnsi="宋体" w:eastAsia="宋体" w:cs="宋体"/>
          <w:b/>
          <w:sz w:val="24"/>
        </w:rPr>
        <w:t>采购过程中与采购人进行协商谈判的；</w:t>
      </w:r>
    </w:p>
    <w:p w14:paraId="1E2A4E32">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（6）拒绝有关部门监督检查或者提供虚假情况的。</w:t>
      </w:r>
    </w:p>
    <w:p w14:paraId="614D4E4E">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3.2《政府采购法实施条例》第七十二条：供应商有下列情形之一的，依照政府采购法第七十七条第一款的规定追究法律责任：</w:t>
      </w:r>
    </w:p>
    <w:p w14:paraId="2BD72CAE">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（1）向评标委员会、竞争性谈判小组或者</w:t>
      </w:r>
      <w:r>
        <w:rPr>
          <w:rFonts w:hint="eastAsia" w:ascii="宋体" w:hAnsi="宋体" w:eastAsia="宋体" w:cs="宋体"/>
          <w:b/>
          <w:sz w:val="24"/>
          <w:lang w:eastAsia="zh-CN"/>
        </w:rPr>
        <w:t>竞争性谈判</w:t>
      </w:r>
      <w:r>
        <w:rPr>
          <w:rFonts w:hint="eastAsia" w:ascii="宋体" w:hAnsi="宋体" w:eastAsia="宋体" w:cs="宋体"/>
          <w:b/>
          <w:sz w:val="24"/>
        </w:rPr>
        <w:t>小组成员行贿或者提供其他不正当利益；</w:t>
      </w:r>
    </w:p>
    <w:p w14:paraId="14F29366">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（2）中标或者成交后无正当理由拒不与采购人签订政府采购合同；</w:t>
      </w:r>
    </w:p>
    <w:p w14:paraId="4BDE5813">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（3）未按照采购文件确定的事项签订政府采购合同；</w:t>
      </w:r>
    </w:p>
    <w:p w14:paraId="471F4D65">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（4）将政府采购合同转包；</w:t>
      </w:r>
    </w:p>
    <w:p w14:paraId="24351988">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（5）提供假冒伪劣产品；</w:t>
      </w:r>
    </w:p>
    <w:p w14:paraId="4BDE6C90">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（6）擅自变更、中止或者终止政府采购合同。</w:t>
      </w:r>
    </w:p>
    <w:p w14:paraId="227F0C79">
      <w:pPr>
        <w:adjustRightInd w:val="0"/>
        <w:snapToGrid w:val="0"/>
        <w:spacing w:line="360" w:lineRule="auto"/>
        <w:ind w:firstLine="482" w:firstLineChars="200"/>
        <w:rPr>
          <w:rFonts w:hint="eastAsia" w:ascii="宋体" w:hAnsi="宋体" w:eastAsia="宋体" w:cs="宋体"/>
          <w:b/>
          <w:kern w:val="0"/>
          <w:sz w:val="22"/>
          <w:szCs w:val="20"/>
        </w:rPr>
      </w:pPr>
      <w:r>
        <w:rPr>
          <w:rFonts w:hint="eastAsia" w:ascii="宋体" w:hAnsi="宋体" w:eastAsia="宋体" w:cs="宋体"/>
          <w:b/>
          <w:sz w:val="24"/>
        </w:rPr>
        <w:t>供应商有前款第一项规定情形的，中标、成交无效，列入不良行为记录名单。</w:t>
      </w:r>
    </w:p>
    <w:p w14:paraId="629BE4E2">
      <w:pPr>
        <w:rPr>
          <w:rFonts w:hint="eastAsia" w:ascii="宋体" w:hAnsi="宋体" w:eastAsia="宋体" w:cs="宋体"/>
        </w:rPr>
      </w:pPr>
      <w:bookmarkStart w:id="389" w:name="_Toc8983676"/>
      <w:bookmarkStart w:id="390" w:name="_Toc6109"/>
      <w:bookmarkStart w:id="391" w:name="_Toc28778"/>
      <w:r>
        <w:rPr>
          <w:rFonts w:hint="eastAsia" w:ascii="宋体" w:hAnsi="宋体" w:eastAsia="宋体" w:cs="宋体"/>
        </w:rPr>
        <w:br w:type="page"/>
      </w:r>
      <w:bookmarkEnd w:id="389"/>
      <w:bookmarkEnd w:id="390"/>
      <w:bookmarkEnd w:id="391"/>
    </w:p>
    <w:p w14:paraId="665CD222">
      <w:pPr>
        <w:pStyle w:val="9"/>
        <w:jc w:val="center"/>
        <w:outlineLvl w:val="0"/>
        <w:rPr>
          <w:rFonts w:hint="eastAsia" w:ascii="宋体" w:hAnsi="宋体" w:eastAsia="宋体" w:cs="宋体"/>
          <w:b/>
          <w:bCs/>
          <w:highlight w:val="none"/>
          <w:lang w:val="en-US" w:eastAsia="zh-CN"/>
        </w:rPr>
      </w:pPr>
      <w:bookmarkStart w:id="392" w:name="_Toc11996"/>
      <w:r>
        <w:rPr>
          <w:rFonts w:hint="eastAsia" w:ascii="宋体" w:hAnsi="宋体" w:eastAsia="宋体" w:cs="宋体"/>
          <w:b/>
          <w:bCs/>
          <w:highlight w:val="none"/>
          <w:lang w:val="en-US" w:eastAsia="zh-CN"/>
        </w:rPr>
        <w:t>第三部分  采购需求</w:t>
      </w:r>
      <w:bookmarkEnd w:id="392"/>
    </w:p>
    <w:p w14:paraId="0544D437">
      <w:pPr>
        <w:rPr>
          <w:rFonts w:hint="eastAsia" w:ascii="宋体" w:hAnsi="宋体" w:eastAsia="宋体" w:cs="宋体"/>
          <w:highlight w:val="none"/>
        </w:rPr>
      </w:pPr>
    </w:p>
    <w:p w14:paraId="0F9A0A40">
      <w:pPr>
        <w:spacing w:before="151" w:line="231"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I</w:t>
      </w:r>
      <w:r>
        <w:rPr>
          <w:rFonts w:hint="eastAsia" w:ascii="宋体" w:hAnsi="宋体" w:eastAsia="宋体" w:cs="宋体"/>
          <w:color w:val="auto"/>
          <w:spacing w:val="32"/>
          <w:sz w:val="28"/>
          <w:szCs w:val="28"/>
          <w:highlight w:val="none"/>
        </w:rPr>
        <w:t xml:space="preserve"> </w:t>
      </w:r>
      <w:r>
        <w:rPr>
          <w:rFonts w:hint="eastAsia" w:ascii="宋体" w:hAnsi="宋体" w:eastAsia="宋体" w:cs="宋体"/>
          <w:color w:val="auto"/>
          <w:sz w:val="28"/>
          <w:szCs w:val="28"/>
          <w:highlight w:val="none"/>
        </w:rPr>
        <w:t>商务要求</w:t>
      </w:r>
    </w:p>
    <w:p w14:paraId="46378686">
      <w:pPr>
        <w:spacing w:before="207"/>
        <w:rPr>
          <w:rFonts w:hint="eastAsia" w:ascii="宋体" w:hAnsi="宋体" w:eastAsia="宋体" w:cs="宋体"/>
          <w:color w:val="auto"/>
          <w:highlight w:val="none"/>
        </w:rPr>
      </w:pPr>
    </w:p>
    <w:tbl>
      <w:tblPr>
        <w:tblStyle w:val="82"/>
        <w:tblW w:w="98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0"/>
        <w:gridCol w:w="1866"/>
        <w:gridCol w:w="7154"/>
      </w:tblGrid>
      <w:tr w14:paraId="44136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840" w:type="dxa"/>
            <w:noWrap w:val="0"/>
            <w:vAlign w:val="top"/>
          </w:tcPr>
          <w:p w14:paraId="0B351FA6">
            <w:pPr>
              <w:pStyle w:val="85"/>
              <w:spacing w:before="149" w:line="360" w:lineRule="auto"/>
              <w:ind w:left="26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序号</w:t>
            </w:r>
          </w:p>
        </w:tc>
        <w:tc>
          <w:tcPr>
            <w:tcW w:w="1866" w:type="dxa"/>
            <w:noWrap w:val="0"/>
            <w:vAlign w:val="top"/>
          </w:tcPr>
          <w:p w14:paraId="30D6E102">
            <w:pPr>
              <w:pStyle w:val="85"/>
              <w:spacing w:before="150" w:line="360" w:lineRule="auto"/>
              <w:ind w:left="25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条款名称</w:t>
            </w:r>
          </w:p>
        </w:tc>
        <w:tc>
          <w:tcPr>
            <w:tcW w:w="7154" w:type="dxa"/>
            <w:noWrap w:val="0"/>
            <w:vAlign w:val="top"/>
          </w:tcPr>
          <w:p w14:paraId="546E0593">
            <w:pPr>
              <w:pStyle w:val="85"/>
              <w:spacing w:before="149" w:line="360" w:lineRule="auto"/>
              <w:ind w:left="289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说</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4"/>
                <w:sz w:val="24"/>
                <w:szCs w:val="24"/>
                <w:highlight w:val="none"/>
              </w:rPr>
              <w:t>明</w:t>
            </w:r>
          </w:p>
        </w:tc>
      </w:tr>
      <w:tr w14:paraId="0A17A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840" w:type="dxa"/>
            <w:noWrap w:val="0"/>
            <w:vAlign w:val="top"/>
          </w:tcPr>
          <w:p w14:paraId="3CC53806">
            <w:pPr>
              <w:pStyle w:val="85"/>
              <w:spacing w:before="185" w:line="360" w:lineRule="auto"/>
              <w:ind w:left="38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66" w:type="dxa"/>
            <w:noWrap w:val="0"/>
            <w:vAlign w:val="top"/>
          </w:tcPr>
          <w:p w14:paraId="0B1C7947">
            <w:pPr>
              <w:pStyle w:val="85"/>
              <w:spacing w:before="144" w:line="360" w:lineRule="auto"/>
              <w:ind w:left="27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资格要求</w:t>
            </w:r>
          </w:p>
        </w:tc>
        <w:tc>
          <w:tcPr>
            <w:tcW w:w="7154" w:type="dxa"/>
            <w:noWrap w:val="0"/>
            <w:vAlign w:val="top"/>
          </w:tcPr>
          <w:p w14:paraId="5BBECB47">
            <w:pPr>
              <w:pStyle w:val="85"/>
              <w:spacing w:before="145" w:line="360" w:lineRule="auto"/>
              <w:ind w:left="128"/>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详见本项目</w:t>
            </w:r>
            <w:r>
              <w:rPr>
                <w:rFonts w:hint="eastAsia" w:ascii="宋体" w:hAnsi="宋体" w:eastAsia="宋体" w:cs="宋体"/>
                <w:color w:val="auto"/>
                <w:spacing w:val="9"/>
                <w:sz w:val="24"/>
                <w:szCs w:val="24"/>
                <w:highlight w:val="none"/>
                <w:lang w:eastAsia="zh-CN"/>
              </w:rPr>
              <w:t>谈判</w:t>
            </w:r>
            <w:r>
              <w:rPr>
                <w:rFonts w:hint="eastAsia" w:ascii="宋体" w:hAnsi="宋体" w:eastAsia="宋体" w:cs="宋体"/>
                <w:color w:val="auto"/>
                <w:spacing w:val="9"/>
                <w:sz w:val="24"/>
                <w:szCs w:val="24"/>
                <w:highlight w:val="none"/>
              </w:rPr>
              <w:t>文件第</w:t>
            </w:r>
            <w:r>
              <w:rPr>
                <w:rFonts w:hint="eastAsia" w:ascii="宋体" w:hAnsi="宋体" w:eastAsia="宋体" w:cs="宋体"/>
                <w:color w:val="auto"/>
                <w:spacing w:val="9"/>
                <w:sz w:val="24"/>
                <w:szCs w:val="24"/>
                <w:highlight w:val="none"/>
                <w:lang w:eastAsia="zh-CN"/>
              </w:rPr>
              <w:t>二</w:t>
            </w:r>
            <w:r>
              <w:rPr>
                <w:rFonts w:hint="eastAsia" w:ascii="宋体" w:hAnsi="宋体" w:eastAsia="宋体" w:cs="宋体"/>
                <w:color w:val="auto"/>
                <w:spacing w:val="9"/>
                <w:sz w:val="24"/>
                <w:szCs w:val="24"/>
                <w:highlight w:val="none"/>
              </w:rPr>
              <w:t>部分</w:t>
            </w:r>
            <w:r>
              <w:rPr>
                <w:rFonts w:hint="eastAsia" w:ascii="宋体" w:hAnsi="宋体" w:eastAsia="宋体" w:cs="宋体"/>
                <w:color w:val="auto"/>
                <w:spacing w:val="9"/>
                <w:sz w:val="24"/>
                <w:szCs w:val="24"/>
                <w:highlight w:val="none"/>
                <w:lang w:eastAsia="zh-CN"/>
              </w:rPr>
              <w:t>供应商须知</w:t>
            </w:r>
            <w:r>
              <w:rPr>
                <w:rFonts w:hint="eastAsia" w:ascii="宋体" w:hAnsi="宋体" w:eastAsia="宋体" w:cs="宋体"/>
                <w:color w:val="auto"/>
                <w:spacing w:val="9"/>
                <w:sz w:val="24"/>
                <w:szCs w:val="24"/>
                <w:highlight w:val="none"/>
              </w:rPr>
              <w:t>“供应商资格要求</w:t>
            </w:r>
            <w:r>
              <w:rPr>
                <w:rFonts w:hint="eastAsia" w:ascii="宋体" w:hAnsi="宋体" w:eastAsia="宋体" w:cs="宋体"/>
                <w:color w:val="auto"/>
                <w:spacing w:val="-83"/>
                <w:sz w:val="24"/>
                <w:szCs w:val="24"/>
                <w:highlight w:val="none"/>
              </w:rPr>
              <w:t xml:space="preserve"> </w:t>
            </w:r>
            <w:r>
              <w:rPr>
                <w:rFonts w:hint="eastAsia" w:ascii="宋体" w:hAnsi="宋体" w:eastAsia="宋体" w:cs="宋体"/>
                <w:color w:val="auto"/>
                <w:spacing w:val="9"/>
                <w:sz w:val="24"/>
                <w:szCs w:val="24"/>
                <w:highlight w:val="none"/>
              </w:rPr>
              <w:t>”。</w:t>
            </w:r>
          </w:p>
        </w:tc>
      </w:tr>
      <w:tr w14:paraId="27BFD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jc w:val="center"/>
        </w:trPr>
        <w:tc>
          <w:tcPr>
            <w:tcW w:w="840" w:type="dxa"/>
            <w:noWrap w:val="0"/>
            <w:vAlign w:val="top"/>
          </w:tcPr>
          <w:p w14:paraId="31C2365A">
            <w:pPr>
              <w:pStyle w:val="85"/>
              <w:spacing w:before="240" w:line="360" w:lineRule="auto"/>
              <w:ind w:left="3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66" w:type="dxa"/>
            <w:noWrap w:val="0"/>
            <w:vAlign w:val="top"/>
          </w:tcPr>
          <w:p w14:paraId="5305E2BB">
            <w:pPr>
              <w:pStyle w:val="85"/>
              <w:spacing w:before="199" w:line="360" w:lineRule="auto"/>
              <w:ind w:left="262"/>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★项目交付时间</w:t>
            </w:r>
          </w:p>
        </w:tc>
        <w:tc>
          <w:tcPr>
            <w:tcW w:w="7154" w:type="dxa"/>
            <w:noWrap w:val="0"/>
            <w:vAlign w:val="top"/>
          </w:tcPr>
          <w:p w14:paraId="644F7593">
            <w:pPr>
              <w:pStyle w:val="85"/>
              <w:spacing w:before="145" w:line="360" w:lineRule="auto"/>
              <w:ind w:left="13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合同签订后</w:t>
            </w:r>
            <w:r>
              <w:rPr>
                <w:rFonts w:hint="eastAsia" w:ascii="宋体" w:hAnsi="宋体" w:eastAsia="宋体" w:cs="宋体"/>
                <w:color w:val="auto"/>
                <w:sz w:val="24"/>
                <w:szCs w:val="24"/>
                <w:highlight w:val="none"/>
                <w:lang w:val="en-US" w:eastAsia="zh-CN"/>
              </w:rPr>
              <w:t>12个月</w:t>
            </w:r>
            <w:r>
              <w:rPr>
                <w:rFonts w:hint="eastAsia" w:ascii="宋体" w:hAnsi="宋体" w:eastAsia="宋体" w:cs="宋体"/>
                <w:color w:val="auto"/>
                <w:sz w:val="24"/>
                <w:szCs w:val="24"/>
                <w:highlight w:val="none"/>
                <w:lang w:eastAsia="zh-CN"/>
              </w:rPr>
              <w:t>。供应商应保证在要求时间内完成全部</w:t>
            </w:r>
            <w:r>
              <w:rPr>
                <w:rFonts w:hint="eastAsia" w:ascii="宋体" w:hAnsi="宋体" w:eastAsia="宋体" w:cs="宋体"/>
                <w:color w:val="auto"/>
                <w:sz w:val="24"/>
                <w:szCs w:val="24"/>
                <w:highlight w:val="none"/>
                <w:lang w:val="en-US" w:eastAsia="zh-CN"/>
              </w:rPr>
              <w:t>网络安全技术服务内容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且</w:t>
            </w:r>
            <w:r>
              <w:rPr>
                <w:rFonts w:hint="eastAsia" w:ascii="宋体" w:hAnsi="宋体" w:eastAsia="宋体" w:cs="宋体"/>
                <w:color w:val="auto"/>
                <w:sz w:val="24"/>
                <w:szCs w:val="24"/>
                <w:highlight w:val="none"/>
                <w:lang w:eastAsia="zh-CN"/>
              </w:rPr>
              <w:t>符合国家标准、行业规范和合同等相关文件的要求。</w:t>
            </w:r>
          </w:p>
        </w:tc>
      </w:tr>
      <w:tr w14:paraId="13076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840" w:type="dxa"/>
            <w:noWrap w:val="0"/>
            <w:vAlign w:val="top"/>
          </w:tcPr>
          <w:p w14:paraId="59F320D9">
            <w:pPr>
              <w:pStyle w:val="85"/>
              <w:spacing w:before="188" w:line="360" w:lineRule="auto"/>
              <w:ind w:left="365"/>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3</w:t>
            </w:r>
          </w:p>
        </w:tc>
        <w:tc>
          <w:tcPr>
            <w:tcW w:w="1866" w:type="dxa"/>
            <w:noWrap w:val="0"/>
            <w:vAlign w:val="top"/>
          </w:tcPr>
          <w:p w14:paraId="48821B95">
            <w:pPr>
              <w:pStyle w:val="85"/>
              <w:spacing w:before="147" w:line="360" w:lineRule="auto"/>
              <w:ind w:left="264"/>
              <w:rPr>
                <w:rFonts w:hint="eastAsia" w:ascii="宋体" w:hAnsi="宋体" w:eastAsia="宋体" w:cs="宋体"/>
                <w:color w:val="auto"/>
                <w:sz w:val="24"/>
                <w:szCs w:val="24"/>
                <w:highlight w:val="none"/>
                <w:lang w:eastAsia="zh-CN"/>
              </w:rPr>
            </w:pPr>
            <w:r>
              <w:rPr>
                <w:rFonts w:hint="eastAsia" w:cs="宋体"/>
                <w:color w:val="auto"/>
                <w:spacing w:val="6"/>
                <w:sz w:val="24"/>
                <w:szCs w:val="24"/>
                <w:highlight w:val="none"/>
                <w:lang w:val="en-US" w:eastAsia="zh-CN"/>
              </w:rPr>
              <w:t>项目地点</w:t>
            </w:r>
          </w:p>
        </w:tc>
        <w:tc>
          <w:tcPr>
            <w:tcW w:w="7154" w:type="dxa"/>
            <w:noWrap w:val="0"/>
            <w:vAlign w:val="top"/>
          </w:tcPr>
          <w:p w14:paraId="0B51D42D">
            <w:pPr>
              <w:pStyle w:val="85"/>
              <w:spacing w:before="146"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乌鲁木齐市天山区团结路1551号</w:t>
            </w:r>
          </w:p>
        </w:tc>
      </w:tr>
      <w:tr w14:paraId="48C73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jc w:val="center"/>
        </w:trPr>
        <w:tc>
          <w:tcPr>
            <w:tcW w:w="840" w:type="dxa"/>
            <w:noWrap w:val="0"/>
            <w:vAlign w:val="center"/>
          </w:tcPr>
          <w:p w14:paraId="13B892F6">
            <w:pPr>
              <w:spacing w:line="360" w:lineRule="auto"/>
              <w:jc w:val="both"/>
              <w:rPr>
                <w:rFonts w:hint="eastAsia" w:ascii="宋体" w:hAnsi="宋体" w:eastAsia="宋体" w:cs="宋体"/>
                <w:color w:val="auto"/>
                <w:sz w:val="24"/>
                <w:szCs w:val="24"/>
                <w:highlight w:val="none"/>
              </w:rPr>
            </w:pPr>
          </w:p>
          <w:p w14:paraId="6EFF3754">
            <w:pPr>
              <w:pStyle w:val="85"/>
              <w:spacing w:before="75" w:line="360" w:lineRule="auto"/>
              <w:ind w:left="370"/>
              <w:jc w:val="both"/>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4</w:t>
            </w:r>
          </w:p>
        </w:tc>
        <w:tc>
          <w:tcPr>
            <w:tcW w:w="1866" w:type="dxa"/>
            <w:noWrap w:val="0"/>
            <w:vAlign w:val="center"/>
          </w:tcPr>
          <w:p w14:paraId="0A049855">
            <w:pPr>
              <w:spacing w:line="360" w:lineRule="auto"/>
              <w:jc w:val="both"/>
              <w:rPr>
                <w:rFonts w:hint="eastAsia" w:ascii="宋体" w:hAnsi="宋体" w:eastAsia="宋体" w:cs="宋体"/>
                <w:color w:val="auto"/>
                <w:sz w:val="24"/>
                <w:szCs w:val="24"/>
                <w:highlight w:val="none"/>
              </w:rPr>
            </w:pPr>
          </w:p>
          <w:p w14:paraId="0EF262DA">
            <w:pPr>
              <w:pStyle w:val="85"/>
              <w:spacing w:before="75" w:line="360" w:lineRule="auto"/>
              <w:ind w:left="265" w:firstLine="252"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报价要求</w:t>
            </w:r>
          </w:p>
        </w:tc>
        <w:tc>
          <w:tcPr>
            <w:tcW w:w="7154" w:type="dxa"/>
            <w:noWrap w:val="0"/>
            <w:vAlign w:val="top"/>
          </w:tcPr>
          <w:p w14:paraId="4CADF03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1、本项目的报价和结算支付均以人民币为货币单位。</w:t>
            </w:r>
          </w:p>
          <w:p w14:paraId="7AE35470">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2、供应商报价应</w:t>
            </w:r>
            <w:r>
              <w:rPr>
                <w:rFonts w:hint="eastAsia" w:ascii="宋体" w:hAnsi="宋体" w:eastAsia="宋体" w:cs="宋体"/>
                <w:sz w:val="24"/>
                <w:szCs w:val="24"/>
                <w:highlight w:val="none"/>
                <w:lang w:val="en-US" w:eastAsia="zh-CN"/>
              </w:rPr>
              <w:t>包含本项目</w:t>
            </w:r>
            <w:r>
              <w:rPr>
                <w:rFonts w:hint="eastAsia" w:ascii="宋体" w:hAnsi="宋体" w:eastAsia="宋体" w:cs="宋体"/>
                <w:sz w:val="24"/>
                <w:szCs w:val="24"/>
                <w:highlight w:val="none"/>
              </w:rPr>
              <w:t>人工、税金、安装验收、售后服务、维保、交通等所有费用，</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人</w:t>
            </w:r>
            <w:r>
              <w:rPr>
                <w:rFonts w:hint="eastAsia" w:ascii="宋体" w:hAnsi="宋体" w:eastAsia="宋体" w:cs="宋体"/>
                <w:sz w:val="24"/>
                <w:szCs w:val="24"/>
                <w:highlight w:val="none"/>
                <w:lang w:val="en-US" w:eastAsia="zh-CN"/>
              </w:rPr>
              <w:t>不再</w:t>
            </w:r>
            <w:r>
              <w:rPr>
                <w:rFonts w:hint="eastAsia" w:ascii="宋体" w:hAnsi="宋体" w:eastAsia="宋体" w:cs="宋体"/>
                <w:sz w:val="24"/>
                <w:szCs w:val="24"/>
                <w:highlight w:val="none"/>
              </w:rPr>
              <w:t>额外支付其他费用。</w:t>
            </w:r>
          </w:p>
          <w:p w14:paraId="49FA85A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如出现任何遗漏内容需产生额外费用， 均由成交供应</w:t>
            </w:r>
            <w:r>
              <w:rPr>
                <w:rFonts w:hint="eastAsia" w:ascii="宋体" w:hAnsi="宋体" w:eastAsia="宋体" w:cs="宋体"/>
                <w:sz w:val="24"/>
                <w:szCs w:val="24"/>
                <w:highlight w:val="none"/>
                <w:lang w:eastAsia="zh-CN"/>
              </w:rPr>
              <w:t>自</w:t>
            </w:r>
            <w:r>
              <w:rPr>
                <w:rFonts w:hint="eastAsia" w:ascii="宋体" w:hAnsi="宋体" w:eastAsia="宋体" w:cs="宋体"/>
                <w:sz w:val="24"/>
                <w:szCs w:val="24"/>
                <w:highlight w:val="none"/>
                <w:lang w:val="en-US" w:eastAsia="zh-CN"/>
              </w:rPr>
              <w:t>行承</w:t>
            </w:r>
            <w:r>
              <w:rPr>
                <w:rFonts w:hint="eastAsia" w:ascii="宋体" w:hAnsi="宋体" w:eastAsia="宋体" w:cs="宋体"/>
                <w:sz w:val="24"/>
                <w:szCs w:val="24"/>
                <w:highlight w:val="none"/>
              </w:rPr>
              <w:t>担，采购人将不再另支付任何费用。</w:t>
            </w:r>
          </w:p>
          <w:p w14:paraId="4C2D7CB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4、供应商的报价文件应包括单价和总价，总价是对采购的所有内容所计算的总价，为合同总价；其填报的明细单价则应是供应商对本采购项目所包含的具体的服务进行详细列示的计算单价。</w:t>
            </w:r>
          </w:p>
          <w:p w14:paraId="28BC7183">
            <w:pPr>
              <w:spacing w:line="360" w:lineRule="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5、供应商应被认为在填报报价之前， 已经仔细阅读了本</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文件的 所有有关章节以及审查了所有相关资料， 已确保本次</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的所有</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范围内的各种价格风险均已包含在</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的报价内。</w:t>
            </w:r>
          </w:p>
        </w:tc>
      </w:tr>
      <w:tr w14:paraId="0599A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7" w:hRule="atLeast"/>
          <w:jc w:val="center"/>
        </w:trPr>
        <w:tc>
          <w:tcPr>
            <w:tcW w:w="840" w:type="dxa"/>
            <w:noWrap w:val="0"/>
            <w:vAlign w:val="center"/>
          </w:tcPr>
          <w:p w14:paraId="18E7AD37">
            <w:pPr>
              <w:spacing w:line="360" w:lineRule="auto"/>
              <w:jc w:val="center"/>
              <w:rPr>
                <w:rFonts w:hint="eastAsia" w:ascii="宋体" w:hAnsi="宋体" w:eastAsia="宋体" w:cs="宋体"/>
                <w:color w:val="auto"/>
                <w:sz w:val="24"/>
                <w:szCs w:val="24"/>
                <w:highlight w:val="none"/>
              </w:rPr>
            </w:pPr>
          </w:p>
          <w:p w14:paraId="4D411626">
            <w:pPr>
              <w:pStyle w:val="85"/>
              <w:spacing w:before="75" w:line="360" w:lineRule="auto"/>
              <w:ind w:left="368"/>
              <w:jc w:val="center"/>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5</w:t>
            </w:r>
          </w:p>
        </w:tc>
        <w:tc>
          <w:tcPr>
            <w:tcW w:w="1866" w:type="dxa"/>
            <w:noWrap w:val="0"/>
            <w:vAlign w:val="center"/>
          </w:tcPr>
          <w:p w14:paraId="3C434D17">
            <w:pPr>
              <w:spacing w:line="360" w:lineRule="auto"/>
              <w:jc w:val="both"/>
              <w:rPr>
                <w:rFonts w:hint="eastAsia" w:ascii="宋体" w:hAnsi="宋体" w:eastAsia="宋体" w:cs="宋体"/>
                <w:color w:val="auto"/>
                <w:sz w:val="24"/>
                <w:szCs w:val="24"/>
                <w:highlight w:val="none"/>
              </w:rPr>
            </w:pPr>
          </w:p>
          <w:p w14:paraId="22720FDC">
            <w:pPr>
              <w:spacing w:line="360" w:lineRule="auto"/>
              <w:jc w:val="center"/>
              <w:rPr>
                <w:rFonts w:hint="eastAsia" w:ascii="宋体" w:hAnsi="宋体" w:eastAsia="宋体" w:cs="宋体"/>
                <w:color w:val="auto"/>
                <w:sz w:val="24"/>
                <w:szCs w:val="24"/>
                <w:highlight w:val="none"/>
              </w:rPr>
            </w:pPr>
          </w:p>
          <w:p w14:paraId="78B74CE3">
            <w:pPr>
              <w:pStyle w:val="85"/>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eastAsia" w:ascii="宋体" w:hAnsi="宋体" w:eastAsia="宋体" w:cs="宋体"/>
                <w:color w:val="auto"/>
                <w:sz w:val="24"/>
                <w:szCs w:val="24"/>
                <w:highlight w:val="none"/>
                <w:lang w:eastAsia="zh-CN"/>
              </w:rPr>
            </w:pPr>
            <w:r>
              <w:rPr>
                <w:rFonts w:hint="eastAsia" w:cs="宋体"/>
                <w:color w:val="auto"/>
                <w:spacing w:val="14"/>
                <w:sz w:val="24"/>
                <w:szCs w:val="24"/>
                <w:highlight w:val="none"/>
                <w:lang w:val="en-US" w:eastAsia="zh-CN"/>
              </w:rPr>
              <w:t>技术标准</w:t>
            </w:r>
          </w:p>
        </w:tc>
        <w:tc>
          <w:tcPr>
            <w:tcW w:w="7154" w:type="dxa"/>
            <w:noWrap w:val="0"/>
            <w:vAlign w:val="top"/>
          </w:tcPr>
          <w:p w14:paraId="460053D4">
            <w:p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技术标准需满足：</w:t>
            </w:r>
          </w:p>
          <w:p w14:paraId="06B96CFC">
            <w:pPr>
              <w:pStyle w:val="31"/>
              <w:rPr>
                <w:rFonts w:hint="default"/>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val="en-US" w:eastAsia="zh-CN" w:bidi="ar-SA"/>
              </w:rPr>
              <w:t>国家强制标准要求</w:t>
            </w:r>
          </w:p>
          <w:p w14:paraId="11AE6BE4">
            <w:pPr>
              <w:pStyle w:val="91"/>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6"/>
                <w:sz w:val="24"/>
                <w:szCs w:val="24"/>
                <w:highlight w:val="none"/>
              </w:rPr>
              <w:t>★</w:t>
            </w:r>
            <w:r>
              <w:rPr>
                <w:rFonts w:hint="default" w:ascii="宋体" w:hAnsi="宋体" w:eastAsia="宋体" w:cs="宋体"/>
                <w:color w:val="auto"/>
                <w:kern w:val="2"/>
                <w:sz w:val="24"/>
                <w:szCs w:val="24"/>
                <w:highlight w:val="none"/>
                <w:lang w:val="en-US" w:eastAsia="zh-CN" w:bidi="ar-SA"/>
              </w:rPr>
              <w:t>GB/T 22239-2019 信息安全技术网络安全等级保护基本要求</w:t>
            </w:r>
          </w:p>
          <w:p w14:paraId="5884DFAA">
            <w:pPr>
              <w:pStyle w:val="91"/>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6"/>
                <w:sz w:val="24"/>
                <w:szCs w:val="24"/>
                <w:highlight w:val="none"/>
              </w:rPr>
              <w:t>★</w:t>
            </w:r>
            <w:r>
              <w:rPr>
                <w:rFonts w:hint="default" w:ascii="宋体" w:hAnsi="宋体" w:eastAsia="宋体" w:cs="宋体"/>
                <w:color w:val="auto"/>
                <w:kern w:val="2"/>
                <w:sz w:val="24"/>
                <w:szCs w:val="24"/>
                <w:highlight w:val="none"/>
                <w:lang w:val="en-US" w:eastAsia="zh-CN" w:bidi="ar-SA"/>
              </w:rPr>
              <w:t>GB/T 36627-2018 信息安全技术网络安全等级保护测试评估技术指南</w:t>
            </w:r>
          </w:p>
          <w:p w14:paraId="79FECABC">
            <w:pPr>
              <w:pStyle w:val="91"/>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6"/>
                <w:sz w:val="24"/>
                <w:szCs w:val="24"/>
                <w:highlight w:val="none"/>
              </w:rPr>
              <w:t>★</w:t>
            </w:r>
            <w:r>
              <w:rPr>
                <w:rFonts w:hint="default" w:ascii="宋体" w:hAnsi="宋体" w:eastAsia="宋体" w:cs="宋体"/>
                <w:color w:val="auto"/>
                <w:kern w:val="2"/>
                <w:sz w:val="24"/>
                <w:szCs w:val="24"/>
                <w:highlight w:val="none"/>
                <w:lang w:val="en-US" w:eastAsia="zh-CN" w:bidi="ar-SA"/>
              </w:rPr>
              <w:t>GB/T 25070-2019 信息安全技术网络安全等级保护安全设计技术要求</w:t>
            </w:r>
          </w:p>
          <w:p w14:paraId="344F349B">
            <w:pPr>
              <w:pStyle w:val="91"/>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6"/>
                <w:sz w:val="24"/>
                <w:szCs w:val="24"/>
                <w:highlight w:val="none"/>
              </w:rPr>
              <w:t>★</w:t>
            </w:r>
            <w:r>
              <w:rPr>
                <w:rFonts w:hint="default" w:ascii="宋体" w:hAnsi="宋体" w:eastAsia="宋体" w:cs="宋体"/>
                <w:color w:val="auto"/>
                <w:kern w:val="2"/>
                <w:sz w:val="24"/>
                <w:szCs w:val="24"/>
                <w:highlight w:val="none"/>
                <w:lang w:val="en-US" w:eastAsia="zh-CN" w:bidi="ar-SA"/>
              </w:rPr>
              <w:t>GB/T 32914-2016 信息安全技术信息安全服务提供方管理要求</w:t>
            </w:r>
          </w:p>
          <w:p w14:paraId="639D42B6">
            <w:pPr>
              <w:pStyle w:val="91"/>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6"/>
                <w:sz w:val="24"/>
                <w:szCs w:val="24"/>
                <w:highlight w:val="none"/>
              </w:rPr>
              <w:t>★</w:t>
            </w:r>
            <w:r>
              <w:rPr>
                <w:rFonts w:hint="default" w:ascii="宋体" w:hAnsi="宋体" w:eastAsia="宋体" w:cs="宋体"/>
                <w:color w:val="auto"/>
                <w:kern w:val="2"/>
                <w:sz w:val="24"/>
                <w:szCs w:val="24"/>
                <w:highlight w:val="none"/>
                <w:lang w:val="en-US" w:eastAsia="zh-CN" w:bidi="ar-SA"/>
              </w:rPr>
              <w:t>GB/T 39276-2020 信息安全技术网络产品和服务安全通用要求</w:t>
            </w:r>
          </w:p>
          <w:p w14:paraId="44C79FF3">
            <w:pPr>
              <w:pStyle w:val="91"/>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6"/>
                <w:sz w:val="24"/>
                <w:szCs w:val="24"/>
                <w:highlight w:val="none"/>
              </w:rPr>
              <w:t>★</w:t>
            </w:r>
            <w:r>
              <w:rPr>
                <w:rFonts w:hint="default" w:ascii="宋体" w:hAnsi="宋体" w:eastAsia="宋体" w:cs="宋体"/>
                <w:color w:val="auto"/>
                <w:kern w:val="2"/>
                <w:sz w:val="24"/>
                <w:szCs w:val="24"/>
                <w:highlight w:val="none"/>
                <w:lang w:val="en-US" w:eastAsia="zh-CN" w:bidi="ar-SA"/>
              </w:rPr>
              <w:t>GB/T 30276-2020 信息安全技术网络安全漏洞管理规范</w:t>
            </w:r>
          </w:p>
          <w:p w14:paraId="58D6C0EA">
            <w:pPr>
              <w:pStyle w:val="91"/>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6"/>
                <w:sz w:val="24"/>
                <w:szCs w:val="24"/>
                <w:highlight w:val="none"/>
              </w:rPr>
              <w:t>★</w:t>
            </w:r>
            <w:r>
              <w:rPr>
                <w:rFonts w:hint="default" w:ascii="宋体" w:hAnsi="宋体" w:eastAsia="宋体" w:cs="宋体"/>
                <w:color w:val="auto"/>
                <w:kern w:val="2"/>
                <w:sz w:val="24"/>
                <w:szCs w:val="24"/>
                <w:highlight w:val="none"/>
                <w:lang w:val="en-US" w:eastAsia="zh-CN" w:bidi="ar-SA"/>
              </w:rPr>
              <w:t>GB/T 28827.6-2019 信息技术服务运行维护 第6部分：应用系统服务要求</w:t>
            </w:r>
          </w:p>
          <w:p w14:paraId="0E306813">
            <w:pPr>
              <w:adjustRightInd/>
              <w:spacing w:line="500" w:lineRule="exact"/>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2.其它标准</w:t>
            </w:r>
          </w:p>
          <w:p w14:paraId="570A9560">
            <w:pPr>
              <w:keepNext w:val="0"/>
              <w:keepLines w:val="0"/>
              <w:pageBreakBefore w:val="0"/>
              <w:widowControl w:val="0"/>
              <w:kinsoku/>
              <w:wordWrap/>
              <w:overflowPunct/>
              <w:topLinePunct w:val="0"/>
              <w:autoSpaceDE/>
              <w:autoSpaceDN/>
              <w:bidi w:val="0"/>
              <w:adjustRightInd/>
              <w:snapToGrid/>
              <w:ind w:left="0" w:leftChars="0"/>
              <w:jc w:val="left"/>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行业标准：</w:t>
            </w:r>
          </w:p>
          <w:p w14:paraId="67D93CBC">
            <w:pPr>
              <w:keepNext w:val="0"/>
              <w:keepLines w:val="0"/>
              <w:pageBreakBefore w:val="0"/>
              <w:widowControl w:val="0"/>
              <w:kinsoku/>
              <w:wordWrap/>
              <w:overflowPunct/>
              <w:topLinePunct w:val="0"/>
              <w:autoSpaceDE/>
              <w:autoSpaceDN/>
              <w:bidi w:val="0"/>
              <w:adjustRightInd/>
              <w:snapToGrid/>
              <w:spacing w:line="500" w:lineRule="exact"/>
              <w:ind w:left="0" w:leftChars="0" w:firstLine="0"/>
              <w:jc w:val="left"/>
              <w:textAlignment w:val="auto"/>
              <w:rPr>
                <w:rFonts w:hint="default"/>
                <w:lang w:val="en-US" w:eastAsia="zh-CN"/>
              </w:rPr>
            </w:pPr>
            <w:r>
              <w:rPr>
                <w:rFonts w:hint="default" w:ascii="宋体" w:hAnsi="宋体" w:eastAsia="宋体" w:cs="宋体"/>
                <w:color w:val="auto"/>
                <w:kern w:val="2"/>
                <w:sz w:val="24"/>
                <w:szCs w:val="24"/>
                <w:highlight w:val="none"/>
                <w:lang w:val="en-US" w:eastAsia="zh-CN" w:bidi="ar-SA"/>
              </w:rPr>
              <w:t>GA/DSJ 300-2019 公安大数据安全 总体技术框架</w:t>
            </w:r>
            <w:r>
              <w:rPr>
                <w:rFonts w:hint="default" w:ascii="宋体" w:hAnsi="宋体" w:eastAsia="宋体" w:cs="宋体"/>
                <w:color w:val="auto"/>
                <w:kern w:val="2"/>
                <w:sz w:val="24"/>
                <w:szCs w:val="24"/>
                <w:highlight w:val="none"/>
                <w:lang w:val="en-US" w:eastAsia="zh-CN" w:bidi="ar-SA"/>
              </w:rPr>
              <w:br w:type="textWrapping"/>
            </w:r>
            <w:r>
              <w:rPr>
                <w:rFonts w:hint="default" w:ascii="宋体" w:hAnsi="宋体" w:eastAsia="宋体" w:cs="宋体"/>
                <w:color w:val="auto"/>
                <w:kern w:val="2"/>
                <w:sz w:val="24"/>
                <w:szCs w:val="24"/>
                <w:highlight w:val="none"/>
                <w:lang w:val="en-US" w:eastAsia="zh-CN" w:bidi="ar-SA"/>
              </w:rPr>
              <w:t>GA/DSJ 352-2019 公安大数据安全 安全防护体系技术设计要求</w:t>
            </w:r>
            <w:r>
              <w:rPr>
                <w:rFonts w:hint="default" w:ascii="宋体" w:hAnsi="宋体" w:eastAsia="宋体" w:cs="宋体"/>
                <w:color w:val="auto"/>
                <w:kern w:val="2"/>
                <w:sz w:val="24"/>
                <w:szCs w:val="24"/>
                <w:highlight w:val="none"/>
                <w:lang w:val="en-US" w:eastAsia="zh-CN" w:bidi="ar-SA"/>
              </w:rPr>
              <w:br w:type="textWrapping"/>
            </w:r>
            <w:r>
              <w:rPr>
                <w:rFonts w:hint="default" w:ascii="宋体" w:hAnsi="宋体" w:eastAsia="宋体" w:cs="宋体"/>
                <w:color w:val="auto"/>
                <w:kern w:val="2"/>
                <w:sz w:val="24"/>
                <w:szCs w:val="24"/>
                <w:highlight w:val="none"/>
                <w:lang w:val="en-US" w:eastAsia="zh-CN" w:bidi="ar-SA"/>
              </w:rPr>
              <w:t>GA/DSJ 353-2023 大数据安全 安全管理中心技术要求</w:t>
            </w:r>
          </w:p>
        </w:tc>
      </w:tr>
      <w:tr w14:paraId="2C614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40" w:type="dxa"/>
            <w:noWrap w:val="0"/>
            <w:vAlign w:val="center"/>
          </w:tcPr>
          <w:p w14:paraId="47CA83BC">
            <w:pPr>
              <w:pStyle w:val="85"/>
              <w:spacing w:before="75" w:line="360" w:lineRule="auto"/>
              <w:ind w:left="368"/>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6</w:t>
            </w:r>
          </w:p>
        </w:tc>
        <w:tc>
          <w:tcPr>
            <w:tcW w:w="1866" w:type="dxa"/>
            <w:noWrap w:val="0"/>
            <w:vAlign w:val="center"/>
          </w:tcPr>
          <w:p w14:paraId="77FABE09">
            <w:pPr>
              <w:pStyle w:val="85"/>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s="宋体"/>
                <w:color w:val="auto"/>
                <w:spacing w:val="14"/>
                <w:sz w:val="24"/>
                <w:szCs w:val="24"/>
                <w:highlight w:val="none"/>
                <w:lang w:val="en-US" w:eastAsia="zh-CN"/>
              </w:rPr>
            </w:pPr>
            <w:r>
              <w:rPr>
                <w:rFonts w:hint="eastAsia" w:cs="宋体"/>
                <w:color w:val="auto"/>
                <w:spacing w:val="14"/>
                <w:sz w:val="24"/>
                <w:szCs w:val="24"/>
                <w:highlight w:val="none"/>
                <w:lang w:val="en-US" w:eastAsia="zh-CN"/>
              </w:rPr>
              <w:t>团队人员</w:t>
            </w:r>
          </w:p>
        </w:tc>
        <w:tc>
          <w:tcPr>
            <w:tcW w:w="7154" w:type="dxa"/>
            <w:noWrap w:val="0"/>
            <w:vAlign w:val="top"/>
          </w:tcPr>
          <w:p w14:paraId="1299F973">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安全服务人员应具备以下资质要求:</w:t>
            </w:r>
          </w:p>
          <w:p w14:paraId="41A7C8A0">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1、计算机、通信或相关专业具备本科以上学历；</w:t>
            </w:r>
          </w:p>
          <w:p w14:paraId="003E7386">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2、在网络和信息安全方面具备3年以上工作经验；</w:t>
            </w:r>
          </w:p>
          <w:p w14:paraId="7D55CFE6">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3、有较好的沟通能力和管理能力；</w:t>
            </w:r>
          </w:p>
          <w:p w14:paraId="0209E69E">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4、具备专业管理资质，如网络管理员证、信息系统管理师、网络工程师证书、信息安全工程师证、信息系统管理工程师证、HCNP、HCIE等或相关认证资质人员；</w:t>
            </w:r>
          </w:p>
          <w:p w14:paraId="33CFE948">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5、具备服务器、存储设备、网络路由、交换、安全系统、视频监控平台等相关设备管理、调试、查错技能。</w:t>
            </w:r>
          </w:p>
        </w:tc>
      </w:tr>
      <w:tr w14:paraId="440FC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5" w:hRule="atLeast"/>
          <w:jc w:val="center"/>
        </w:trPr>
        <w:tc>
          <w:tcPr>
            <w:tcW w:w="840" w:type="dxa"/>
            <w:noWrap w:val="0"/>
            <w:vAlign w:val="center"/>
          </w:tcPr>
          <w:p w14:paraId="5A759A62">
            <w:pPr>
              <w:pStyle w:val="85"/>
              <w:spacing w:before="75"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866" w:type="dxa"/>
            <w:noWrap w:val="0"/>
            <w:vAlign w:val="center"/>
          </w:tcPr>
          <w:p w14:paraId="75631E5D">
            <w:pPr>
              <w:pStyle w:val="85"/>
              <w:spacing w:before="75"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w:t>
            </w:r>
          </w:p>
        </w:tc>
        <w:tc>
          <w:tcPr>
            <w:tcW w:w="7154" w:type="dxa"/>
            <w:noWrap w:val="0"/>
            <w:vAlign w:val="top"/>
          </w:tcPr>
          <w:p w14:paraId="1F54FBE0">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履约验收时间：</w:t>
            </w:r>
            <w:r>
              <w:rPr>
                <w:rFonts w:hint="default" w:ascii="宋体" w:hAnsi="宋体" w:eastAsia="宋体" w:cs="宋体"/>
                <w:color w:val="000000"/>
                <w:kern w:val="0"/>
                <w:sz w:val="24"/>
                <w:highlight w:val="none"/>
                <w:lang w:val="en-US" w:eastAsia="zh-CN"/>
              </w:rPr>
              <w:t>合同服务期截止后在</w:t>
            </w:r>
            <w:r>
              <w:rPr>
                <w:rFonts w:hint="eastAsia" w:ascii="宋体" w:hAnsi="宋体" w:eastAsia="宋体" w:cs="宋体"/>
                <w:color w:val="000000"/>
                <w:kern w:val="0"/>
                <w:sz w:val="24"/>
                <w:highlight w:val="none"/>
                <w:lang w:val="en-US" w:eastAsia="zh-CN"/>
              </w:rPr>
              <w:t>新疆出入境边防检查总站开展验收工作。</w:t>
            </w:r>
          </w:p>
          <w:p w14:paraId="234C0E22">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履约验收程序：一次性验收</w:t>
            </w:r>
          </w:p>
          <w:p w14:paraId="395E17C7">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技术履约内容：</w:t>
            </w:r>
            <w:r>
              <w:rPr>
                <w:rFonts w:hint="eastAsia" w:ascii="宋体" w:hAnsi="宋体" w:eastAsia="宋体" w:cs="宋体"/>
                <w:color w:val="auto"/>
                <w:sz w:val="24"/>
                <w:szCs w:val="24"/>
                <w:highlight w:val="none"/>
                <w:lang w:val="en-US" w:eastAsia="zh-CN"/>
              </w:rPr>
              <w:t>服务提供商</w:t>
            </w:r>
            <w:r>
              <w:rPr>
                <w:rFonts w:hint="eastAsia" w:ascii="宋体" w:hAnsi="宋体" w:eastAsia="宋体" w:cs="宋体"/>
                <w:color w:val="auto"/>
                <w:sz w:val="24"/>
                <w:szCs w:val="24"/>
                <w:highlight w:val="none"/>
                <w:lang w:eastAsia="zh-CN"/>
              </w:rPr>
              <w:t>应向</w:t>
            </w:r>
            <w:r>
              <w:rPr>
                <w:rFonts w:hint="eastAsia" w:ascii="宋体" w:hAnsi="宋体" w:eastAsia="宋体" w:cs="宋体"/>
                <w:color w:val="auto"/>
                <w:sz w:val="24"/>
                <w:szCs w:val="24"/>
                <w:highlight w:val="none"/>
                <w:lang w:val="en-US" w:eastAsia="zh-CN"/>
              </w:rPr>
              <w:t>总站</w:t>
            </w:r>
            <w:r>
              <w:rPr>
                <w:rFonts w:hint="eastAsia" w:ascii="宋体" w:hAnsi="宋体" w:eastAsia="宋体" w:cs="宋体"/>
                <w:color w:val="auto"/>
                <w:sz w:val="24"/>
                <w:szCs w:val="24"/>
                <w:highlight w:val="none"/>
                <w:lang w:eastAsia="zh-CN"/>
              </w:rPr>
              <w:t>提供的资料、数据、材料或样品：日常渗透、巡检记录、工作总结报告和合同要求的其它事项。</w:t>
            </w:r>
          </w:p>
          <w:p w14:paraId="62925D3D">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商务履约内容：</w:t>
            </w:r>
            <w:r>
              <w:rPr>
                <w:rFonts w:hint="eastAsia" w:ascii="宋体" w:hAnsi="宋体" w:eastAsia="宋体" w:cs="宋体"/>
                <w:color w:val="auto"/>
                <w:sz w:val="24"/>
                <w:szCs w:val="24"/>
                <w:highlight w:val="none"/>
                <w:lang w:val="en-US" w:eastAsia="zh-CN"/>
              </w:rPr>
              <w:t>合同签订后，乙方向总站提供增值税普通发票，甲方于十五个工作日内，支付合同金额75 %的首付款，服务期结束并通过终验合格后，经甲方审计部门审计后，由乙方向甲方提供增值税普通发票，甲方于十五个工作日内，支付合同审定金额的剩余款项。</w:t>
            </w:r>
          </w:p>
          <w:p w14:paraId="2CC78F2C">
            <w:pPr>
              <w:spacing w:line="360" w:lineRule="auto"/>
              <w:rPr>
                <w:rFonts w:hint="eastAsia"/>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履约验收标准：服务提供方向总站提供服务过程中所交付的资料和成果演示，验收后出具项目验收报告，作为验收结果的书面材料。</w:t>
            </w:r>
          </w:p>
        </w:tc>
      </w:tr>
      <w:tr w14:paraId="0D981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jc w:val="center"/>
        </w:trPr>
        <w:tc>
          <w:tcPr>
            <w:tcW w:w="840" w:type="dxa"/>
            <w:noWrap w:val="0"/>
            <w:vAlign w:val="center"/>
          </w:tcPr>
          <w:p w14:paraId="2BDEF715">
            <w:pPr>
              <w:pStyle w:val="85"/>
              <w:spacing w:before="75"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866" w:type="dxa"/>
            <w:noWrap w:val="0"/>
            <w:vAlign w:val="center"/>
          </w:tcPr>
          <w:p w14:paraId="22E537B5">
            <w:pPr>
              <w:pStyle w:val="85"/>
              <w:spacing w:before="75"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付款方式</w:t>
            </w:r>
          </w:p>
        </w:tc>
        <w:tc>
          <w:tcPr>
            <w:tcW w:w="7154" w:type="dxa"/>
            <w:noWrap w:val="0"/>
            <w:vAlign w:val="top"/>
          </w:tcPr>
          <w:p w14:paraId="706038DA">
            <w:pPr>
              <w:pStyle w:val="45"/>
              <w:spacing w:line="4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合同签订后，乙方向总站提供合同金额75%增值税普通发票，甲方于15个工作日内，支付合同金额75 %的首付款，服务期结束并通过终验合格后，经甲方审计部门审计后，乙方向甲方提供审定后合同剩余金额增值税普通发票，甲方于15个工作日内，支付合同审定金额的剩余款项。</w:t>
            </w:r>
          </w:p>
        </w:tc>
      </w:tr>
    </w:tbl>
    <w:p w14:paraId="0472EF2D">
      <w:pPr>
        <w:rPr>
          <w:rFonts w:hint="eastAsia" w:ascii="宋体" w:hAnsi="宋体" w:eastAsia="宋体" w:cs="宋体"/>
          <w:b/>
          <w:bCs/>
          <w:color w:val="auto"/>
          <w:kern w:val="2"/>
          <w:sz w:val="24"/>
          <w:szCs w:val="24"/>
          <w:lang w:val="en-US" w:eastAsia="zh-CN" w:bidi="ar-SA"/>
        </w:rPr>
        <w:sectPr>
          <w:headerReference r:id="rId6" w:type="default"/>
          <w:footerReference r:id="rId7" w:type="default"/>
          <w:pgSz w:w="11906" w:h="16838"/>
          <w:pgMar w:top="1417" w:right="1521" w:bottom="1347" w:left="1539" w:header="0" w:footer="1171" w:gutter="0"/>
          <w:pgNumType w:fmt="decimal"/>
          <w:cols w:space="720" w:num="1"/>
        </w:sectPr>
      </w:pPr>
      <w:r>
        <w:rPr>
          <w:rFonts w:hint="eastAsia" w:ascii="宋体" w:hAnsi="宋体" w:eastAsia="宋体" w:cs="宋体"/>
          <w:b/>
          <w:bCs/>
          <w:color w:val="auto"/>
          <w:kern w:val="2"/>
          <w:sz w:val="24"/>
          <w:szCs w:val="24"/>
          <w:lang w:val="en-US" w:eastAsia="zh-CN" w:bidi="ar-SA"/>
        </w:rPr>
        <w:br w:type="page"/>
      </w:r>
    </w:p>
    <w:p w14:paraId="189AB999">
      <w:pPr>
        <w:pStyle w:val="31"/>
        <w:rPr>
          <w:rFonts w:hint="eastAsia"/>
          <w:lang w:val="en-US" w:eastAsia="zh-CN"/>
        </w:rPr>
      </w:pPr>
    </w:p>
    <w:p w14:paraId="44A172D2">
      <w:pPr>
        <w:spacing w:before="75" w:line="360" w:lineRule="auto"/>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9.采购清单</w:t>
      </w:r>
    </w:p>
    <w:tbl>
      <w:tblPr>
        <w:tblStyle w:val="25"/>
        <w:tblW w:w="13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080"/>
        <w:gridCol w:w="2162"/>
        <w:gridCol w:w="4725"/>
        <w:gridCol w:w="3182"/>
        <w:gridCol w:w="840"/>
        <w:gridCol w:w="776"/>
      </w:tblGrid>
      <w:tr w14:paraId="138E3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14:paraId="4CD862A5">
            <w:pPr>
              <w:numPr>
                <w:ilvl w:val="0"/>
                <w:numId w:val="0"/>
              </w:numPr>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序号</w:t>
            </w:r>
          </w:p>
        </w:tc>
        <w:tc>
          <w:tcPr>
            <w:tcW w:w="1080" w:type="dxa"/>
            <w:vAlign w:val="center"/>
          </w:tcPr>
          <w:p w14:paraId="1CA7CE4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服务类型</w:t>
            </w:r>
          </w:p>
        </w:tc>
        <w:tc>
          <w:tcPr>
            <w:tcW w:w="2162" w:type="dxa"/>
            <w:vAlign w:val="center"/>
          </w:tcPr>
          <w:p w14:paraId="6672E5CE">
            <w:pPr>
              <w:keepNext w:val="0"/>
              <w:keepLines w:val="0"/>
              <w:widowControl/>
              <w:suppressLineNumbers w:val="0"/>
              <w:jc w:val="center"/>
              <w:textAlignment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i w:val="0"/>
                <w:iCs w:val="0"/>
                <w:color w:val="000000"/>
                <w:kern w:val="0"/>
                <w:sz w:val="18"/>
                <w:szCs w:val="18"/>
                <w:u w:val="none"/>
                <w:lang w:val="en-US" w:eastAsia="zh-CN" w:bidi="ar"/>
              </w:rPr>
              <w:t>服务内容</w:t>
            </w:r>
          </w:p>
        </w:tc>
        <w:tc>
          <w:tcPr>
            <w:tcW w:w="4725" w:type="dxa"/>
            <w:vAlign w:val="center"/>
          </w:tcPr>
          <w:p w14:paraId="556B3CE5">
            <w:pPr>
              <w:keepNext w:val="0"/>
              <w:keepLines w:val="0"/>
              <w:widowControl/>
              <w:suppressLineNumbers w:val="0"/>
              <w:jc w:val="center"/>
              <w:textAlignment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i w:val="0"/>
                <w:iCs w:val="0"/>
                <w:color w:val="000000"/>
                <w:kern w:val="0"/>
                <w:sz w:val="18"/>
                <w:szCs w:val="18"/>
                <w:u w:val="none"/>
                <w:lang w:val="en-US" w:eastAsia="zh-CN" w:bidi="ar"/>
              </w:rPr>
              <w:t>服务方式</w:t>
            </w:r>
          </w:p>
        </w:tc>
        <w:tc>
          <w:tcPr>
            <w:tcW w:w="3182" w:type="dxa"/>
            <w:vAlign w:val="center"/>
          </w:tcPr>
          <w:p w14:paraId="4DABF7DC">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ascii="宋体" w:hAnsi="宋体" w:eastAsia="宋体" w:cs="宋体"/>
                <w:b/>
                <w:bCs/>
                <w:spacing w:val="-4"/>
                <w:sz w:val="18"/>
                <w:szCs w:val="18"/>
              </w:rPr>
              <w:t>服务范围</w:t>
            </w:r>
          </w:p>
        </w:tc>
        <w:tc>
          <w:tcPr>
            <w:tcW w:w="840" w:type="dxa"/>
            <w:vAlign w:val="center"/>
          </w:tcPr>
          <w:p w14:paraId="25A0BAAA">
            <w:pPr>
              <w:keepNext w:val="0"/>
              <w:keepLines w:val="0"/>
              <w:widowControl/>
              <w:suppressLineNumbers w:val="0"/>
              <w:jc w:val="center"/>
              <w:textAlignment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i w:val="0"/>
                <w:iCs w:val="0"/>
                <w:color w:val="000000"/>
                <w:kern w:val="0"/>
                <w:sz w:val="18"/>
                <w:szCs w:val="18"/>
                <w:u w:val="none"/>
                <w:lang w:val="en-US" w:eastAsia="zh-CN" w:bidi="ar"/>
              </w:rPr>
              <w:t>单位</w:t>
            </w:r>
          </w:p>
        </w:tc>
        <w:tc>
          <w:tcPr>
            <w:tcW w:w="776" w:type="dxa"/>
            <w:vAlign w:val="center"/>
          </w:tcPr>
          <w:p w14:paraId="2AFA7352">
            <w:pPr>
              <w:keepNext w:val="0"/>
              <w:keepLines w:val="0"/>
              <w:widowControl/>
              <w:suppressLineNumbers w:val="0"/>
              <w:jc w:val="center"/>
              <w:textAlignment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i w:val="0"/>
                <w:iCs w:val="0"/>
                <w:color w:val="000000"/>
                <w:kern w:val="0"/>
                <w:sz w:val="18"/>
                <w:szCs w:val="18"/>
                <w:u w:val="none"/>
                <w:lang w:val="en-US" w:eastAsia="zh-CN" w:bidi="ar"/>
              </w:rPr>
              <w:t>数量</w:t>
            </w:r>
          </w:p>
        </w:tc>
      </w:tr>
      <w:tr w14:paraId="42DAF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14:paraId="0864A0A7">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w:t>
            </w:r>
          </w:p>
        </w:tc>
        <w:tc>
          <w:tcPr>
            <w:tcW w:w="1080" w:type="dxa"/>
            <w:vMerge w:val="restart"/>
            <w:vAlign w:val="center"/>
          </w:tcPr>
          <w:p w14:paraId="6A15B1A1">
            <w:pPr>
              <w:numPr>
                <w:ilvl w:val="0"/>
                <w:numId w:val="0"/>
              </w:numPr>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i w:val="0"/>
                <w:iCs w:val="0"/>
                <w:color w:val="000000"/>
                <w:kern w:val="2"/>
                <w:sz w:val="18"/>
                <w:szCs w:val="18"/>
                <w:u w:val="none"/>
                <w:lang w:val="en-US" w:eastAsia="zh-CN" w:bidi="ar-SA"/>
              </w:rPr>
              <w:t>安全运维和系统加固服务</w:t>
            </w:r>
          </w:p>
        </w:tc>
        <w:tc>
          <w:tcPr>
            <w:tcW w:w="2162" w:type="dxa"/>
            <w:shd w:val="clear" w:color="auto" w:fill="auto"/>
            <w:vAlign w:val="center"/>
          </w:tcPr>
          <w:p w14:paraId="4F5BACF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协助总站定期对公安网网络设备、安全设备(防火墙、IPS、洞扫描杀毒软件、堡垒机、安全态势系统等)存储系统运行状态进行检查和梳理，对申报的网络设备故障提供现场或远程支持，修复故障，提供报告。针对当前网络设备运行情况，给出优化建议并实施。</w:t>
            </w:r>
          </w:p>
        </w:tc>
        <w:tc>
          <w:tcPr>
            <w:tcW w:w="4725" w:type="dxa"/>
            <w:shd w:val="clear" w:color="auto" w:fill="auto"/>
            <w:vAlign w:val="center"/>
          </w:tcPr>
          <w:p w14:paraId="3179BE82">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1.安全和网络设备日志记录检查:配置文件备份检查、记录、数据的备份检查、IP地址分配、端口、IP地址调整等日常维护报告生成并提交。</w:t>
            </w:r>
          </w:p>
          <w:p w14:paraId="1BB59DAE">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2.故障处理:故障的排除、恢复并提交故障处理报告。</w:t>
            </w:r>
          </w:p>
          <w:p w14:paraId="360C0BE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3.实时监控:线路连接状态监控、设备供电状态监控、设备状态灯监控、设备风扇状态监控、网络丢包率、CPU使用率、内存使用率、网络连通性监控、网络延时监控、网络设备端口/链路流量监控等。</w:t>
            </w:r>
          </w:p>
          <w:p w14:paraId="47EAB83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4.系统优化:评估网络运行状况、网络性能瓶颈原因分析、网络设备策略/配置优化方案、网络设备升级、制作网络架构图。5.系统定期按要求完成数据备份工作和安全设备特征库更新工作。</w:t>
            </w:r>
          </w:p>
          <w:p w14:paraId="2A60AFE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6.协助用户按单位定期更换存储系统登录密码，定期对存储系统安全等级评测，服务规范要求。</w:t>
            </w:r>
          </w:p>
        </w:tc>
        <w:tc>
          <w:tcPr>
            <w:tcW w:w="3182" w:type="dxa"/>
            <w:shd w:val="clear"/>
            <w:vAlign w:val="top"/>
          </w:tcPr>
          <w:p w14:paraId="7BF37A1A">
            <w:pPr>
              <w:pStyle w:val="85"/>
              <w:spacing w:line="287" w:lineRule="auto"/>
            </w:pPr>
          </w:p>
          <w:p w14:paraId="78743FBA">
            <w:pPr>
              <w:pStyle w:val="85"/>
              <w:spacing w:line="288" w:lineRule="auto"/>
            </w:pPr>
          </w:p>
          <w:p w14:paraId="08460E99">
            <w:pPr>
              <w:pStyle w:val="85"/>
              <w:spacing w:line="288" w:lineRule="auto"/>
            </w:pPr>
          </w:p>
          <w:p w14:paraId="2678F1A1">
            <w:pPr>
              <w:pStyle w:val="85"/>
              <w:spacing w:line="288" w:lineRule="auto"/>
            </w:pPr>
          </w:p>
          <w:p w14:paraId="55BE1889">
            <w:pPr>
              <w:spacing w:before="58" w:line="237" w:lineRule="auto"/>
              <w:ind w:left="17" w:leftChars="0"/>
              <w:jc w:val="both"/>
              <w:rPr>
                <w:rFonts w:hint="eastAsia" w:ascii="宋体" w:hAnsi="宋体" w:eastAsia="宋体" w:cs="宋体"/>
                <w:kern w:val="2"/>
                <w:sz w:val="18"/>
                <w:szCs w:val="18"/>
                <w:lang w:val="en-US" w:eastAsia="zh-CN" w:bidi="ar-SA"/>
              </w:rPr>
            </w:pPr>
            <w:r>
              <w:rPr>
                <w:rFonts w:ascii="宋体" w:hAnsi="宋体" w:eastAsia="宋体" w:cs="宋体"/>
                <w:spacing w:val="-2"/>
                <w:sz w:val="18"/>
                <w:szCs w:val="18"/>
              </w:rPr>
              <w:t>每月对公安网网络安全</w:t>
            </w:r>
            <w:r>
              <w:rPr>
                <w:rFonts w:ascii="宋体" w:hAnsi="宋体" w:eastAsia="宋体" w:cs="宋体"/>
                <w:spacing w:val="2"/>
                <w:sz w:val="18"/>
                <w:szCs w:val="18"/>
              </w:rPr>
              <w:t xml:space="preserve">  </w:t>
            </w:r>
            <w:r>
              <w:rPr>
                <w:rFonts w:ascii="宋体" w:hAnsi="宋体" w:eastAsia="宋体" w:cs="宋体"/>
                <w:spacing w:val="8"/>
                <w:sz w:val="18"/>
                <w:szCs w:val="18"/>
              </w:rPr>
              <w:t>设备进行检查、监测、</w:t>
            </w:r>
            <w:r>
              <w:rPr>
                <w:rFonts w:ascii="宋体" w:hAnsi="宋体" w:eastAsia="宋体" w:cs="宋体"/>
                <w:sz w:val="18"/>
                <w:szCs w:val="18"/>
              </w:rPr>
              <w:t xml:space="preserve"> </w:t>
            </w:r>
            <w:r>
              <w:rPr>
                <w:rFonts w:ascii="宋体" w:hAnsi="宋体" w:eastAsia="宋体" w:cs="宋体"/>
                <w:spacing w:val="-2"/>
                <w:sz w:val="18"/>
                <w:szCs w:val="18"/>
              </w:rPr>
              <w:t>清洁。出现故障及时修</w:t>
            </w:r>
            <w:r>
              <w:rPr>
                <w:rFonts w:ascii="宋体" w:hAnsi="宋体" w:eastAsia="宋体" w:cs="宋体"/>
                <w:spacing w:val="2"/>
                <w:sz w:val="18"/>
                <w:szCs w:val="18"/>
              </w:rPr>
              <w:t xml:space="preserve">  </w:t>
            </w:r>
            <w:r>
              <w:rPr>
                <w:rFonts w:ascii="宋体" w:hAnsi="宋体" w:eastAsia="宋体" w:cs="宋体"/>
                <w:sz w:val="18"/>
                <w:szCs w:val="18"/>
              </w:rPr>
              <w:t>复，数据保全完整，需</w:t>
            </w:r>
            <w:r>
              <w:rPr>
                <w:rFonts w:ascii="宋体" w:hAnsi="宋体" w:eastAsia="宋体" w:cs="宋体"/>
                <w:spacing w:val="1"/>
                <w:sz w:val="18"/>
                <w:szCs w:val="18"/>
              </w:rPr>
              <w:t xml:space="preserve">  </w:t>
            </w:r>
            <w:r>
              <w:rPr>
                <w:rFonts w:ascii="宋体" w:hAnsi="宋体" w:eastAsia="宋体" w:cs="宋体"/>
                <w:spacing w:val="-1"/>
                <w:sz w:val="18"/>
                <w:szCs w:val="18"/>
              </w:rPr>
              <w:t>求及时完成。</w:t>
            </w:r>
          </w:p>
        </w:tc>
        <w:tc>
          <w:tcPr>
            <w:tcW w:w="840" w:type="dxa"/>
            <w:vMerge w:val="restart"/>
            <w:vAlign w:val="center"/>
          </w:tcPr>
          <w:p w14:paraId="26B36495">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年</w:t>
            </w:r>
          </w:p>
        </w:tc>
        <w:tc>
          <w:tcPr>
            <w:tcW w:w="776" w:type="dxa"/>
            <w:vMerge w:val="restart"/>
            <w:vAlign w:val="center"/>
          </w:tcPr>
          <w:p w14:paraId="3BC6146D">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w:t>
            </w:r>
          </w:p>
        </w:tc>
      </w:tr>
      <w:tr w14:paraId="4D22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14:paraId="66486119">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w:t>
            </w:r>
          </w:p>
        </w:tc>
        <w:tc>
          <w:tcPr>
            <w:tcW w:w="1080" w:type="dxa"/>
            <w:vMerge w:val="continue"/>
            <w:vAlign w:val="center"/>
          </w:tcPr>
          <w:p w14:paraId="6B9EF5CA">
            <w:pPr>
              <w:numPr>
                <w:ilvl w:val="0"/>
                <w:numId w:val="0"/>
              </w:numPr>
              <w:jc w:val="center"/>
              <w:rPr>
                <w:rFonts w:hint="eastAsia" w:ascii="宋体" w:hAnsi="宋体" w:eastAsia="宋体" w:cs="宋体"/>
                <w:b/>
                <w:bCs/>
                <w:color w:val="auto"/>
                <w:kern w:val="2"/>
                <w:sz w:val="24"/>
                <w:szCs w:val="24"/>
                <w:highlight w:val="none"/>
                <w:vertAlign w:val="baseline"/>
                <w:lang w:val="en-US" w:eastAsia="zh-CN" w:bidi="ar-SA"/>
              </w:rPr>
            </w:pPr>
          </w:p>
        </w:tc>
        <w:tc>
          <w:tcPr>
            <w:tcW w:w="2162" w:type="dxa"/>
            <w:shd w:val="clear" w:color="auto" w:fill="auto"/>
            <w:vAlign w:val="center"/>
          </w:tcPr>
          <w:p w14:paraId="5510858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2.针对总站各类业务系统平台安全风险隐患，做好违规外联监测服务，通过网络违规行为监测分析系统识别公安网内存在的非法外联主机和网络、及时记录主机和网络IP 地址并告警并自动生成安全检测报告。</w:t>
            </w:r>
          </w:p>
        </w:tc>
        <w:tc>
          <w:tcPr>
            <w:tcW w:w="4725" w:type="dxa"/>
            <w:vAlign w:val="center"/>
          </w:tcPr>
          <w:p w14:paraId="7CC2536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1.根据总站信息系统加固要求，采用总站已有违规外联监测系统对总站各类业务系统，网络，PC终端提供违规外联监测服务，及时发现违规外联行为并通知对应单位或人员做好阻断处置工作。</w:t>
            </w:r>
          </w:p>
          <w:p w14:paraId="7E7B23D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2.监测服务是指经过授权后，借助现有网络违规行为监测分析系统、一机两用等安全系统按照用户需求现场完成监测服务。</w:t>
            </w:r>
          </w:p>
        </w:tc>
        <w:tc>
          <w:tcPr>
            <w:tcW w:w="3182" w:type="dxa"/>
            <w:shd w:val="clear"/>
            <w:vAlign w:val="top"/>
          </w:tcPr>
          <w:p w14:paraId="1BE2AB6E">
            <w:pPr>
              <w:pStyle w:val="85"/>
              <w:spacing w:line="470" w:lineRule="auto"/>
            </w:pPr>
          </w:p>
          <w:p w14:paraId="23CF090D">
            <w:pPr>
              <w:spacing w:before="59" w:line="223" w:lineRule="auto"/>
              <w:ind w:left="17" w:leftChars="0" w:right="89" w:rightChars="0"/>
              <w:jc w:val="both"/>
              <w:rPr>
                <w:rFonts w:hint="eastAsia" w:ascii="宋体" w:hAnsi="宋体" w:eastAsia="宋体" w:cs="宋体"/>
                <w:kern w:val="2"/>
                <w:sz w:val="18"/>
                <w:szCs w:val="18"/>
                <w:lang w:val="en-US" w:eastAsia="zh-CN" w:bidi="ar-SA"/>
              </w:rPr>
            </w:pPr>
            <w:r>
              <w:rPr>
                <w:rFonts w:ascii="宋体" w:hAnsi="宋体" w:eastAsia="宋体" w:cs="宋体"/>
                <w:spacing w:val="-1"/>
                <w:sz w:val="18"/>
                <w:szCs w:val="18"/>
              </w:rPr>
              <w:t>信息系统、网络、PC终</w:t>
            </w:r>
            <w:r>
              <w:rPr>
                <w:rFonts w:ascii="宋体" w:hAnsi="宋体" w:eastAsia="宋体" w:cs="宋体"/>
                <w:spacing w:val="2"/>
                <w:sz w:val="18"/>
                <w:szCs w:val="18"/>
              </w:rPr>
              <w:t xml:space="preserve"> </w:t>
            </w:r>
            <w:r>
              <w:rPr>
                <w:rFonts w:ascii="宋体" w:hAnsi="宋体" w:eastAsia="宋体" w:cs="宋体"/>
                <w:spacing w:val="-1"/>
                <w:sz w:val="18"/>
                <w:szCs w:val="18"/>
              </w:rPr>
              <w:t>端等可能发生网络违规</w:t>
            </w:r>
            <w:r>
              <w:rPr>
                <w:rFonts w:ascii="宋体" w:hAnsi="宋体" w:eastAsia="宋体" w:cs="宋体"/>
                <w:spacing w:val="1"/>
                <w:sz w:val="18"/>
                <w:szCs w:val="18"/>
              </w:rPr>
              <w:t xml:space="preserve"> </w:t>
            </w:r>
            <w:r>
              <w:rPr>
                <w:rFonts w:ascii="宋体" w:hAnsi="宋体" w:eastAsia="宋体" w:cs="宋体"/>
                <w:spacing w:val="-1"/>
                <w:sz w:val="18"/>
                <w:szCs w:val="18"/>
              </w:rPr>
              <w:t>外联单位。</w:t>
            </w:r>
          </w:p>
        </w:tc>
        <w:tc>
          <w:tcPr>
            <w:tcW w:w="840" w:type="dxa"/>
            <w:vMerge w:val="continue"/>
            <w:vAlign w:val="center"/>
          </w:tcPr>
          <w:p w14:paraId="4BAA31D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776" w:type="dxa"/>
            <w:vMerge w:val="continue"/>
            <w:vAlign w:val="center"/>
          </w:tcPr>
          <w:p w14:paraId="3FB0ECD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r>
      <w:tr w14:paraId="7D3C3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14:paraId="5814806E">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3</w:t>
            </w:r>
          </w:p>
        </w:tc>
        <w:tc>
          <w:tcPr>
            <w:tcW w:w="1080" w:type="dxa"/>
            <w:vMerge w:val="continue"/>
            <w:vAlign w:val="center"/>
          </w:tcPr>
          <w:p w14:paraId="468F3A51">
            <w:pPr>
              <w:numPr>
                <w:ilvl w:val="0"/>
                <w:numId w:val="0"/>
              </w:numPr>
              <w:jc w:val="center"/>
              <w:rPr>
                <w:rFonts w:hint="eastAsia" w:ascii="宋体" w:hAnsi="宋体" w:eastAsia="宋体" w:cs="宋体"/>
                <w:b/>
                <w:bCs/>
                <w:color w:val="auto"/>
                <w:kern w:val="2"/>
                <w:sz w:val="24"/>
                <w:szCs w:val="24"/>
                <w:highlight w:val="none"/>
                <w:vertAlign w:val="baseline"/>
                <w:lang w:val="en-US" w:eastAsia="zh-CN" w:bidi="ar-SA"/>
              </w:rPr>
            </w:pPr>
          </w:p>
        </w:tc>
        <w:tc>
          <w:tcPr>
            <w:tcW w:w="2162" w:type="dxa"/>
            <w:shd w:val="clear" w:color="auto" w:fill="auto"/>
            <w:vAlign w:val="center"/>
          </w:tcPr>
          <w:p w14:paraId="0DF9D13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3.违规外联整改服务，根据上级通报和扫描检查发现的违规外联问题，如:终端 PC 违规外联、服务器违规外联网络设备违规外联，分析、归类并制定专项整改方案，提供 5*8驻点及远程技术支持服务，协助完成整改。</w:t>
            </w:r>
          </w:p>
        </w:tc>
        <w:tc>
          <w:tcPr>
            <w:tcW w:w="4725" w:type="dxa"/>
            <w:vAlign w:val="center"/>
          </w:tcPr>
          <w:p w14:paraId="1016BCE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根据上级通报和扫描检查发现的针对终端.PC、服务器、网络设备的违规外联情，协助查明违规外联设备的责任主体，根据具体情况共同制定相应的整改方案，提供安全技术支持并协助责任主体完成整改，整改后再次进行违规外联检测以验证整改效果，撰写整改报告整改报告并上报。</w:t>
            </w:r>
          </w:p>
        </w:tc>
        <w:tc>
          <w:tcPr>
            <w:tcW w:w="3182" w:type="dxa"/>
            <w:shd w:val="clear"/>
            <w:vAlign w:val="top"/>
          </w:tcPr>
          <w:p w14:paraId="4378DDA7">
            <w:pPr>
              <w:pStyle w:val="85"/>
              <w:spacing w:line="424" w:lineRule="auto"/>
            </w:pPr>
          </w:p>
          <w:p w14:paraId="3C86EE59">
            <w:pPr>
              <w:spacing w:before="58" w:line="230" w:lineRule="auto"/>
              <w:ind w:left="17" w:leftChars="0" w:right="79" w:rightChars="0" w:firstLine="9" w:firstLineChars="0"/>
              <w:jc w:val="both"/>
              <w:rPr>
                <w:rFonts w:hint="eastAsia" w:ascii="宋体" w:hAnsi="宋体" w:eastAsia="宋体" w:cs="宋体"/>
                <w:kern w:val="2"/>
                <w:sz w:val="18"/>
                <w:szCs w:val="18"/>
                <w:lang w:val="en-US" w:eastAsia="zh-CN" w:bidi="ar-SA"/>
              </w:rPr>
            </w:pPr>
            <w:r>
              <w:rPr>
                <w:rFonts w:ascii="宋体" w:hAnsi="宋体" w:eastAsia="宋体" w:cs="宋体"/>
                <w:spacing w:val="-1"/>
                <w:sz w:val="18"/>
                <w:szCs w:val="18"/>
              </w:rPr>
              <w:t>针对发现的违规外联PC</w:t>
            </w:r>
            <w:r>
              <w:rPr>
                <w:rFonts w:ascii="宋体" w:hAnsi="宋体" w:eastAsia="宋体" w:cs="宋体"/>
                <w:spacing w:val="2"/>
                <w:sz w:val="18"/>
                <w:szCs w:val="18"/>
              </w:rPr>
              <w:t xml:space="preserve"> </w:t>
            </w:r>
            <w:r>
              <w:rPr>
                <w:rFonts w:ascii="宋体" w:hAnsi="宋体" w:eastAsia="宋体" w:cs="宋体"/>
                <w:spacing w:val="-1"/>
                <w:sz w:val="18"/>
                <w:szCs w:val="18"/>
              </w:rPr>
              <w:t>设备、数据库、服务器</w:t>
            </w:r>
            <w:r>
              <w:rPr>
                <w:rFonts w:ascii="宋体" w:hAnsi="宋体" w:eastAsia="宋体" w:cs="宋体"/>
                <w:sz w:val="18"/>
                <w:szCs w:val="18"/>
              </w:rPr>
              <w:t xml:space="preserve"> </w:t>
            </w:r>
            <w:r>
              <w:rPr>
                <w:rFonts w:ascii="宋体" w:hAnsi="宋体" w:eastAsia="宋体" w:cs="宋体"/>
                <w:spacing w:val="-1"/>
                <w:sz w:val="18"/>
                <w:szCs w:val="18"/>
              </w:rPr>
              <w:t>、网络设备等，提出整</w:t>
            </w:r>
            <w:r>
              <w:rPr>
                <w:rFonts w:ascii="宋体" w:hAnsi="宋体" w:eastAsia="宋体" w:cs="宋体"/>
                <w:spacing w:val="8"/>
                <w:sz w:val="18"/>
                <w:szCs w:val="18"/>
              </w:rPr>
              <w:t xml:space="preserve"> </w:t>
            </w:r>
            <w:r>
              <w:rPr>
                <w:rFonts w:ascii="宋体" w:hAnsi="宋体" w:eastAsia="宋体" w:cs="宋体"/>
                <w:spacing w:val="-1"/>
                <w:sz w:val="18"/>
                <w:szCs w:val="18"/>
              </w:rPr>
              <w:t>改方案。</w:t>
            </w:r>
          </w:p>
        </w:tc>
        <w:tc>
          <w:tcPr>
            <w:tcW w:w="840" w:type="dxa"/>
            <w:vMerge w:val="continue"/>
            <w:vAlign w:val="center"/>
          </w:tcPr>
          <w:p w14:paraId="229307B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776" w:type="dxa"/>
            <w:vMerge w:val="continue"/>
            <w:vAlign w:val="center"/>
          </w:tcPr>
          <w:p w14:paraId="68A286B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r>
      <w:tr w14:paraId="234A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14:paraId="4C1DE354">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4</w:t>
            </w:r>
          </w:p>
        </w:tc>
        <w:tc>
          <w:tcPr>
            <w:tcW w:w="1080" w:type="dxa"/>
            <w:vMerge w:val="continue"/>
            <w:vAlign w:val="center"/>
          </w:tcPr>
          <w:p w14:paraId="46C90CD5">
            <w:pPr>
              <w:numPr>
                <w:ilvl w:val="0"/>
                <w:numId w:val="0"/>
              </w:numPr>
              <w:jc w:val="center"/>
              <w:rPr>
                <w:rFonts w:hint="eastAsia" w:ascii="宋体" w:hAnsi="宋体" w:eastAsia="宋体" w:cs="宋体"/>
                <w:b/>
                <w:bCs/>
                <w:color w:val="auto"/>
                <w:kern w:val="2"/>
                <w:sz w:val="24"/>
                <w:szCs w:val="24"/>
                <w:highlight w:val="none"/>
                <w:vertAlign w:val="baseline"/>
                <w:lang w:val="en-US" w:eastAsia="zh-CN" w:bidi="ar-SA"/>
              </w:rPr>
            </w:pPr>
          </w:p>
        </w:tc>
        <w:tc>
          <w:tcPr>
            <w:tcW w:w="2162" w:type="dxa"/>
            <w:shd w:val="clear" w:color="auto" w:fill="auto"/>
            <w:vAlign w:val="center"/>
          </w:tcPr>
          <w:p w14:paraId="67AC7CA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4.漏洞修复服务，根据上级通报和扫描检查发现的漏洞问题，</w:t>
            </w:r>
          </w:p>
          <w:p w14:paraId="4C9D5C9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如:终端PC漏洞、服务器漏洞、数据库漏洞、网络及安全设备漏洞，分析、归类并制定专项整改方案，提供 5*8 驻点及远程技术支持服务，协助完成整改。</w:t>
            </w:r>
          </w:p>
        </w:tc>
        <w:tc>
          <w:tcPr>
            <w:tcW w:w="4725" w:type="dxa"/>
            <w:vAlign w:val="center"/>
          </w:tcPr>
          <w:p w14:paraId="75EB451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漏洞整改服务根据上级通报和扫描检查发现的漏洞问题，终端PC、服务器、网络及安全设备的漏洞情况，协助查明漏洞设备的责任主体并联系责任主体，</w:t>
            </w:r>
          </w:p>
          <w:p w14:paraId="6100DC5F">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根据具体情况共同制定相应的整改方案，提供安全技术支持并协助责任主体完成整改，整改完后再次进行漏洞检测以验证整改效果，撰写整改报告并上报。</w:t>
            </w:r>
          </w:p>
        </w:tc>
        <w:tc>
          <w:tcPr>
            <w:tcW w:w="3182" w:type="dxa"/>
            <w:vAlign w:val="center"/>
          </w:tcPr>
          <w:p w14:paraId="3037B59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spacing w:val="-1"/>
                <w:sz w:val="18"/>
                <w:szCs w:val="18"/>
              </w:rPr>
              <w:t>针对已扫描发现的设备</w:t>
            </w:r>
            <w:r>
              <w:rPr>
                <w:rFonts w:ascii="宋体" w:hAnsi="宋体" w:eastAsia="宋体" w:cs="宋体"/>
                <w:spacing w:val="1"/>
                <w:sz w:val="18"/>
                <w:szCs w:val="18"/>
              </w:rPr>
              <w:t xml:space="preserve"> </w:t>
            </w:r>
            <w:r>
              <w:rPr>
                <w:rFonts w:ascii="宋体" w:hAnsi="宋体" w:eastAsia="宋体" w:cs="宋体"/>
                <w:spacing w:val="-1"/>
                <w:sz w:val="18"/>
                <w:szCs w:val="18"/>
              </w:rPr>
              <w:t>漏洞进行整改修复和服</w:t>
            </w:r>
            <w:r>
              <w:rPr>
                <w:rFonts w:ascii="宋体" w:hAnsi="宋体" w:eastAsia="宋体" w:cs="宋体"/>
                <w:spacing w:val="1"/>
                <w:sz w:val="18"/>
                <w:szCs w:val="18"/>
              </w:rPr>
              <w:t xml:space="preserve"> </w:t>
            </w:r>
            <w:r>
              <w:rPr>
                <w:rFonts w:ascii="宋体" w:hAnsi="宋体" w:eastAsia="宋体" w:cs="宋体"/>
                <w:spacing w:val="-1"/>
                <w:sz w:val="18"/>
                <w:szCs w:val="18"/>
              </w:rPr>
              <w:t>务器加固。</w:t>
            </w:r>
          </w:p>
        </w:tc>
        <w:tc>
          <w:tcPr>
            <w:tcW w:w="840" w:type="dxa"/>
            <w:vMerge w:val="continue"/>
            <w:vAlign w:val="center"/>
          </w:tcPr>
          <w:p w14:paraId="49AA1D4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776" w:type="dxa"/>
            <w:vMerge w:val="continue"/>
            <w:vAlign w:val="center"/>
          </w:tcPr>
          <w:p w14:paraId="55A2AC7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r>
      <w:tr w14:paraId="7BD3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14:paraId="0AE1071C">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5</w:t>
            </w:r>
          </w:p>
        </w:tc>
        <w:tc>
          <w:tcPr>
            <w:tcW w:w="1080" w:type="dxa"/>
            <w:vMerge w:val="continue"/>
            <w:vAlign w:val="center"/>
          </w:tcPr>
          <w:p w14:paraId="305ED2D1">
            <w:pPr>
              <w:numPr>
                <w:ilvl w:val="0"/>
                <w:numId w:val="0"/>
              </w:numPr>
              <w:jc w:val="center"/>
              <w:rPr>
                <w:rFonts w:hint="eastAsia" w:ascii="宋体" w:hAnsi="宋体" w:eastAsia="宋体" w:cs="宋体"/>
                <w:b/>
                <w:bCs/>
                <w:color w:val="auto"/>
                <w:kern w:val="2"/>
                <w:sz w:val="24"/>
                <w:szCs w:val="24"/>
                <w:highlight w:val="none"/>
                <w:vertAlign w:val="baseline"/>
                <w:lang w:val="en-US" w:eastAsia="zh-CN" w:bidi="ar-SA"/>
              </w:rPr>
            </w:pPr>
          </w:p>
        </w:tc>
        <w:tc>
          <w:tcPr>
            <w:tcW w:w="2162" w:type="dxa"/>
            <w:shd w:val="clear" w:color="auto" w:fill="auto"/>
            <w:vAlign w:val="center"/>
          </w:tcPr>
          <w:p w14:paraId="185FFC1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5.弱口令整改服务，根据上级通报和扫描检查发现的弱口令问题，如:终端 PC弱口令、服务器弱口令、数据库弱口令、网络及安全设备弱口令，分析、归类并制定专项整改方案，提供5*8 驻点及远程技术支持服务,协助完成整改。</w:t>
            </w:r>
          </w:p>
        </w:tc>
        <w:tc>
          <w:tcPr>
            <w:tcW w:w="4725" w:type="dxa"/>
            <w:vAlign w:val="center"/>
          </w:tcPr>
          <w:p w14:paraId="24D52B87">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根据上级通报和扫描检查发现的弱口令问题，针对终端PC、服务器、数据库、</w:t>
            </w:r>
          </w:p>
          <w:p w14:paraId="1F42C6E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网络及安全设备弱口令情况，查明弱口令设备的责任主体并联系责任主体,根据具体情况共同制定相应的整改方案，提供安全技术支持并协助责任主体完成整改，整改完后再次进行弱口令检测以验证整改效果，撰写整改报告并上报。</w:t>
            </w:r>
          </w:p>
        </w:tc>
        <w:tc>
          <w:tcPr>
            <w:tcW w:w="3182" w:type="dxa"/>
            <w:shd w:val="clear"/>
            <w:vAlign w:val="top"/>
          </w:tcPr>
          <w:p w14:paraId="1147949A">
            <w:pPr>
              <w:pStyle w:val="85"/>
              <w:spacing w:line="259" w:lineRule="auto"/>
            </w:pPr>
          </w:p>
          <w:p w14:paraId="1D0DA8CE">
            <w:pPr>
              <w:pStyle w:val="85"/>
              <w:spacing w:line="259" w:lineRule="auto"/>
            </w:pPr>
          </w:p>
          <w:p w14:paraId="70BF69CF">
            <w:pPr>
              <w:spacing w:before="58" w:line="226" w:lineRule="auto"/>
              <w:ind w:left="18" w:leftChars="0" w:right="44" w:rightChars="0"/>
              <w:rPr>
                <w:rFonts w:hint="eastAsia" w:ascii="宋体" w:hAnsi="宋体" w:eastAsia="宋体" w:cs="宋体"/>
                <w:kern w:val="2"/>
                <w:sz w:val="18"/>
                <w:szCs w:val="18"/>
                <w:lang w:val="en-US" w:eastAsia="zh-CN" w:bidi="ar-SA"/>
              </w:rPr>
            </w:pPr>
            <w:r>
              <w:rPr>
                <w:rFonts w:ascii="宋体" w:hAnsi="宋体" w:eastAsia="宋体" w:cs="宋体"/>
                <w:spacing w:val="2"/>
                <w:sz w:val="18"/>
                <w:szCs w:val="18"/>
              </w:rPr>
              <w:t>针对已扫描发现的弱口</w:t>
            </w:r>
            <w:r>
              <w:rPr>
                <w:rFonts w:ascii="宋体" w:hAnsi="宋体" w:eastAsia="宋体" w:cs="宋体"/>
                <w:spacing w:val="5"/>
                <w:sz w:val="18"/>
                <w:szCs w:val="18"/>
              </w:rPr>
              <w:t xml:space="preserve"> </w:t>
            </w:r>
            <w:r>
              <w:rPr>
                <w:rFonts w:ascii="宋体" w:hAnsi="宋体" w:eastAsia="宋体" w:cs="宋体"/>
                <w:sz w:val="18"/>
                <w:szCs w:val="18"/>
              </w:rPr>
              <w:t>令设备进行修复整改。</w:t>
            </w:r>
          </w:p>
        </w:tc>
        <w:tc>
          <w:tcPr>
            <w:tcW w:w="840" w:type="dxa"/>
            <w:vMerge w:val="continue"/>
            <w:vAlign w:val="center"/>
          </w:tcPr>
          <w:p w14:paraId="5B8FF4A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776" w:type="dxa"/>
            <w:vMerge w:val="continue"/>
            <w:vAlign w:val="center"/>
          </w:tcPr>
          <w:p w14:paraId="7F011CE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r>
      <w:tr w14:paraId="13B17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14:paraId="3AE24AE1">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6</w:t>
            </w:r>
          </w:p>
        </w:tc>
        <w:tc>
          <w:tcPr>
            <w:tcW w:w="1080" w:type="dxa"/>
            <w:vMerge w:val="continue"/>
            <w:vAlign w:val="center"/>
          </w:tcPr>
          <w:p w14:paraId="7CFE109F">
            <w:pPr>
              <w:numPr>
                <w:ilvl w:val="0"/>
                <w:numId w:val="0"/>
              </w:numPr>
              <w:jc w:val="center"/>
              <w:rPr>
                <w:rFonts w:hint="eastAsia" w:ascii="宋体" w:hAnsi="宋体" w:eastAsia="宋体" w:cs="宋体"/>
                <w:b/>
                <w:bCs/>
                <w:color w:val="auto"/>
                <w:kern w:val="2"/>
                <w:sz w:val="24"/>
                <w:szCs w:val="24"/>
                <w:highlight w:val="none"/>
                <w:vertAlign w:val="baseline"/>
                <w:lang w:val="en-US" w:eastAsia="zh-CN" w:bidi="ar-SA"/>
              </w:rPr>
            </w:pPr>
          </w:p>
        </w:tc>
        <w:tc>
          <w:tcPr>
            <w:tcW w:w="2162" w:type="dxa"/>
            <w:shd w:val="clear" w:color="auto" w:fill="auto"/>
            <w:vAlign w:val="center"/>
          </w:tcPr>
          <w:p w14:paraId="0DA66DD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6.安全策略可靠性验证服务</w:t>
            </w:r>
          </w:p>
        </w:tc>
        <w:tc>
          <w:tcPr>
            <w:tcW w:w="4725" w:type="dxa"/>
            <w:vAlign w:val="center"/>
          </w:tcPr>
          <w:p w14:paraId="27D0039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针对总站及下属 28个站点单位现有网络现状，梳理网络架构，提出合理优化建议;通过模拟或实战测试，对总站网络安全策略进行可靠性验证服务，最终输出安全策略优化建议，网络安全加固方案。</w:t>
            </w:r>
          </w:p>
        </w:tc>
        <w:tc>
          <w:tcPr>
            <w:tcW w:w="3182" w:type="dxa"/>
            <w:shd w:val="clear"/>
            <w:vAlign w:val="top"/>
          </w:tcPr>
          <w:p w14:paraId="22E8FC62">
            <w:pPr>
              <w:spacing w:before="272" w:line="248" w:lineRule="auto"/>
              <w:ind w:left="18" w:leftChars="0" w:right="54" w:right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总站网络和安全设备以</w:t>
            </w:r>
            <w:r>
              <w:rPr>
                <w:rFonts w:ascii="宋体" w:hAnsi="宋体" w:eastAsia="宋体" w:cs="宋体"/>
                <w:spacing w:val="5"/>
                <w:sz w:val="18"/>
                <w:szCs w:val="18"/>
              </w:rPr>
              <w:t xml:space="preserve"> </w:t>
            </w:r>
            <w:r>
              <w:rPr>
                <w:rFonts w:ascii="宋体" w:hAnsi="宋体" w:eastAsia="宋体" w:cs="宋体"/>
                <w:spacing w:val="-1"/>
                <w:sz w:val="18"/>
                <w:szCs w:val="18"/>
              </w:rPr>
              <w:t>及下属单位网络。</w:t>
            </w:r>
          </w:p>
        </w:tc>
        <w:tc>
          <w:tcPr>
            <w:tcW w:w="840" w:type="dxa"/>
            <w:vMerge w:val="continue"/>
            <w:vAlign w:val="center"/>
          </w:tcPr>
          <w:p w14:paraId="064EC7F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776" w:type="dxa"/>
            <w:vMerge w:val="continue"/>
            <w:vAlign w:val="center"/>
          </w:tcPr>
          <w:p w14:paraId="4D49238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r>
      <w:tr w14:paraId="2A6D8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14:paraId="74A2A0D1">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7</w:t>
            </w:r>
          </w:p>
        </w:tc>
        <w:tc>
          <w:tcPr>
            <w:tcW w:w="1080" w:type="dxa"/>
            <w:vMerge w:val="continue"/>
            <w:vAlign w:val="center"/>
          </w:tcPr>
          <w:p w14:paraId="496C8D5C">
            <w:pPr>
              <w:numPr>
                <w:ilvl w:val="0"/>
                <w:numId w:val="0"/>
              </w:numPr>
              <w:jc w:val="center"/>
              <w:rPr>
                <w:rFonts w:hint="eastAsia" w:ascii="宋体" w:hAnsi="宋体" w:eastAsia="宋体" w:cs="宋体"/>
                <w:b/>
                <w:bCs/>
                <w:color w:val="auto"/>
                <w:kern w:val="2"/>
                <w:sz w:val="24"/>
                <w:szCs w:val="24"/>
                <w:highlight w:val="none"/>
                <w:vertAlign w:val="baseline"/>
                <w:lang w:val="en-US" w:eastAsia="zh-CN" w:bidi="ar-SA"/>
              </w:rPr>
            </w:pPr>
          </w:p>
        </w:tc>
        <w:tc>
          <w:tcPr>
            <w:tcW w:w="2162" w:type="dxa"/>
            <w:shd w:val="clear" w:color="auto" w:fill="auto"/>
            <w:vAlign w:val="center"/>
          </w:tcPr>
          <w:p w14:paraId="3CA7790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7.数据接入服务</w:t>
            </w:r>
          </w:p>
        </w:tc>
        <w:tc>
          <w:tcPr>
            <w:tcW w:w="4725" w:type="dxa"/>
            <w:vAlign w:val="center"/>
          </w:tcPr>
          <w:p w14:paraId="2E099E8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针对总站不同网络安全设备(防火墙、日志审计、数据库审计、流量探针、沙箱等设备)，配置数据接入参数、协调网络通信，建立数据接入任务，进行数据采集监测。</w:t>
            </w:r>
          </w:p>
        </w:tc>
        <w:tc>
          <w:tcPr>
            <w:tcW w:w="3182" w:type="dxa"/>
            <w:shd w:val="clear"/>
            <w:vAlign w:val="top"/>
          </w:tcPr>
          <w:p w14:paraId="721A252A">
            <w:pPr>
              <w:spacing w:before="12" w:line="224" w:lineRule="auto"/>
              <w:ind w:left="18" w:leftChars="0" w:right="62" w:rightChars="0"/>
              <w:jc w:val="both"/>
              <w:rPr>
                <w:rFonts w:hint="eastAsia" w:ascii="宋体" w:hAnsi="宋体" w:eastAsia="宋体" w:cs="宋体"/>
                <w:kern w:val="2"/>
                <w:sz w:val="18"/>
                <w:szCs w:val="18"/>
                <w:lang w:val="en-US" w:eastAsia="zh-CN" w:bidi="ar-SA"/>
              </w:rPr>
            </w:pPr>
            <w:r>
              <w:rPr>
                <w:rFonts w:ascii="宋体" w:hAnsi="宋体" w:eastAsia="宋体" w:cs="宋体"/>
                <w:sz w:val="18"/>
                <w:szCs w:val="18"/>
              </w:rPr>
              <w:t>负责与用户平台运维人</w:t>
            </w:r>
            <w:r>
              <w:rPr>
                <w:rFonts w:ascii="宋体" w:hAnsi="宋体" w:eastAsia="宋体" w:cs="宋体"/>
                <w:spacing w:val="6"/>
                <w:sz w:val="18"/>
                <w:szCs w:val="18"/>
              </w:rPr>
              <w:t xml:space="preserve"> </w:t>
            </w:r>
            <w:r>
              <w:rPr>
                <w:rFonts w:ascii="宋体" w:hAnsi="宋体" w:eastAsia="宋体" w:cs="宋体"/>
                <w:sz w:val="18"/>
                <w:szCs w:val="18"/>
              </w:rPr>
              <w:t>员对接并协调解决相关</w:t>
            </w:r>
            <w:r>
              <w:rPr>
                <w:rFonts w:ascii="宋体" w:hAnsi="宋体" w:eastAsia="宋体" w:cs="宋体"/>
                <w:spacing w:val="7"/>
                <w:sz w:val="18"/>
                <w:szCs w:val="18"/>
              </w:rPr>
              <w:t xml:space="preserve"> </w:t>
            </w:r>
            <w:r>
              <w:rPr>
                <w:rFonts w:ascii="宋体" w:hAnsi="宋体" w:eastAsia="宋体" w:cs="宋体"/>
                <w:spacing w:val="-2"/>
                <w:sz w:val="18"/>
                <w:szCs w:val="18"/>
              </w:rPr>
              <w:t>安全审计类日志对接接</w:t>
            </w:r>
            <w:r>
              <w:rPr>
                <w:rFonts w:ascii="宋体" w:hAnsi="宋体" w:eastAsia="宋体" w:cs="宋体"/>
                <w:spacing w:val="8"/>
                <w:sz w:val="18"/>
                <w:szCs w:val="18"/>
              </w:rPr>
              <w:t xml:space="preserve"> </w:t>
            </w:r>
            <w:r>
              <w:rPr>
                <w:rFonts w:ascii="宋体" w:hAnsi="宋体" w:eastAsia="宋体" w:cs="宋体"/>
                <w:spacing w:val="-1"/>
                <w:sz w:val="18"/>
                <w:szCs w:val="18"/>
              </w:rPr>
              <w:t>入和监测。</w:t>
            </w:r>
          </w:p>
        </w:tc>
        <w:tc>
          <w:tcPr>
            <w:tcW w:w="840" w:type="dxa"/>
            <w:vMerge w:val="continue"/>
            <w:vAlign w:val="center"/>
          </w:tcPr>
          <w:p w14:paraId="7643948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776" w:type="dxa"/>
            <w:vMerge w:val="continue"/>
            <w:vAlign w:val="center"/>
          </w:tcPr>
          <w:p w14:paraId="7F76FAA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r>
      <w:tr w14:paraId="49483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14:paraId="3C87BA2D">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8</w:t>
            </w:r>
          </w:p>
        </w:tc>
        <w:tc>
          <w:tcPr>
            <w:tcW w:w="1080" w:type="dxa"/>
            <w:vMerge w:val="continue"/>
            <w:vAlign w:val="center"/>
          </w:tcPr>
          <w:p w14:paraId="7D3C673A">
            <w:pPr>
              <w:numPr>
                <w:ilvl w:val="0"/>
                <w:numId w:val="0"/>
              </w:numPr>
              <w:jc w:val="center"/>
              <w:rPr>
                <w:rFonts w:hint="eastAsia" w:ascii="宋体" w:hAnsi="宋体" w:eastAsia="宋体" w:cs="宋体"/>
                <w:b/>
                <w:bCs/>
                <w:color w:val="auto"/>
                <w:kern w:val="2"/>
                <w:sz w:val="24"/>
                <w:szCs w:val="24"/>
                <w:highlight w:val="none"/>
                <w:vertAlign w:val="baseline"/>
                <w:lang w:val="en-US" w:eastAsia="zh-CN" w:bidi="ar-SA"/>
              </w:rPr>
            </w:pPr>
          </w:p>
        </w:tc>
        <w:tc>
          <w:tcPr>
            <w:tcW w:w="2162" w:type="dxa"/>
            <w:shd w:val="clear" w:color="auto" w:fill="auto"/>
            <w:vAlign w:val="center"/>
          </w:tcPr>
          <w:p w14:paraId="05C87E3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8.安全边界接入平台运维服务</w:t>
            </w:r>
          </w:p>
        </w:tc>
        <w:tc>
          <w:tcPr>
            <w:tcW w:w="4725" w:type="dxa"/>
            <w:vAlign w:val="center"/>
          </w:tcPr>
          <w:p w14:paraId="667E1E5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针对总站公安网至电子政务外网边界、公安网至公共视频专网边界、公安网至移动警务网边界等边界接入平台管理和运维，协助用户对接应用接入,对安全边界接入平台巡检，补丁更新等工作</w:t>
            </w:r>
          </w:p>
        </w:tc>
        <w:tc>
          <w:tcPr>
            <w:tcW w:w="3182" w:type="dxa"/>
            <w:shd w:val="clear"/>
            <w:vAlign w:val="top"/>
          </w:tcPr>
          <w:p w14:paraId="4D99ACFC">
            <w:pPr>
              <w:pStyle w:val="85"/>
              <w:spacing w:line="274" w:lineRule="auto"/>
            </w:pPr>
          </w:p>
          <w:p w14:paraId="6BC8CD15">
            <w:pPr>
              <w:spacing w:before="58" w:line="213" w:lineRule="auto"/>
              <w:ind w:left="18" w:leftChars="0" w:right="47" w:rightChars="0" w:firstLine="9" w:firstLine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协助总站加固已建设的</w:t>
            </w:r>
            <w:r>
              <w:rPr>
                <w:rFonts w:ascii="宋体" w:hAnsi="宋体" w:eastAsia="宋体" w:cs="宋体"/>
                <w:spacing w:val="3"/>
                <w:sz w:val="18"/>
                <w:szCs w:val="18"/>
              </w:rPr>
              <w:t xml:space="preserve"> </w:t>
            </w:r>
            <w:r>
              <w:rPr>
                <w:rFonts w:ascii="宋体" w:hAnsi="宋体" w:eastAsia="宋体" w:cs="宋体"/>
                <w:spacing w:val="-1"/>
                <w:sz w:val="18"/>
                <w:szCs w:val="18"/>
              </w:rPr>
              <w:t>网络安全边界平台。</w:t>
            </w:r>
          </w:p>
        </w:tc>
        <w:tc>
          <w:tcPr>
            <w:tcW w:w="840" w:type="dxa"/>
            <w:vMerge w:val="continue"/>
            <w:vAlign w:val="center"/>
          </w:tcPr>
          <w:p w14:paraId="48191F6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776" w:type="dxa"/>
            <w:vMerge w:val="continue"/>
            <w:vAlign w:val="center"/>
          </w:tcPr>
          <w:p w14:paraId="03C99E5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r>
      <w:tr w14:paraId="1A2C5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57" w:type="dxa"/>
            <w:vAlign w:val="center"/>
          </w:tcPr>
          <w:p w14:paraId="67B652F6">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9</w:t>
            </w:r>
          </w:p>
        </w:tc>
        <w:tc>
          <w:tcPr>
            <w:tcW w:w="1080" w:type="dxa"/>
            <w:vMerge w:val="continue"/>
            <w:vAlign w:val="center"/>
          </w:tcPr>
          <w:p w14:paraId="0704EB71">
            <w:pPr>
              <w:numPr>
                <w:ilvl w:val="0"/>
                <w:numId w:val="0"/>
              </w:numPr>
              <w:jc w:val="center"/>
              <w:rPr>
                <w:rFonts w:hint="eastAsia" w:ascii="宋体" w:hAnsi="宋体" w:eastAsia="宋体" w:cs="宋体"/>
                <w:b/>
                <w:bCs/>
                <w:color w:val="auto"/>
                <w:kern w:val="2"/>
                <w:sz w:val="24"/>
                <w:szCs w:val="24"/>
                <w:highlight w:val="none"/>
                <w:vertAlign w:val="baseline"/>
                <w:lang w:val="en-US" w:eastAsia="zh-CN" w:bidi="ar-SA"/>
              </w:rPr>
            </w:pPr>
          </w:p>
        </w:tc>
        <w:tc>
          <w:tcPr>
            <w:tcW w:w="2162" w:type="dxa"/>
            <w:shd w:val="clear" w:color="auto" w:fill="auto"/>
            <w:vAlign w:val="center"/>
          </w:tcPr>
          <w:p w14:paraId="25F534C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9.安全服务人员资质</w:t>
            </w:r>
          </w:p>
        </w:tc>
        <w:tc>
          <w:tcPr>
            <w:tcW w:w="4725" w:type="dxa"/>
            <w:vAlign w:val="center"/>
          </w:tcPr>
          <w:p w14:paraId="123BE54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安全服务人员应具备以下资质要求:</w:t>
            </w:r>
          </w:p>
          <w:p w14:paraId="5F5A100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1、计算机、通信或相关专业具备本科以上学历；</w:t>
            </w:r>
          </w:p>
          <w:p w14:paraId="249F882F">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2、在网络和信息安全方面具备3年以上工作经验；</w:t>
            </w:r>
          </w:p>
          <w:p w14:paraId="7BF4F2A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3、有较好的沟通能力和管理能力；</w:t>
            </w:r>
          </w:p>
          <w:p w14:paraId="1F72A05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4、具备专业管理资质，如网络管理员证、信息系统管理管理员证书、网络工程师证书、信息安全工程师证、信息系统管理工程师证、HCNP、HCIE等或相关认证资质人员；</w:t>
            </w:r>
          </w:p>
          <w:p w14:paraId="134227D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5、具备服务器、存储设备、网络路由、交换、安全系统、视频监控平台等相关设备管理、调试、查错技能。</w:t>
            </w:r>
          </w:p>
        </w:tc>
        <w:tc>
          <w:tcPr>
            <w:tcW w:w="3182" w:type="dxa"/>
            <w:shd w:val="clear"/>
            <w:vAlign w:val="top"/>
          </w:tcPr>
          <w:p w14:paraId="3B9D5184">
            <w:pPr>
              <w:pStyle w:val="85"/>
              <w:spacing w:line="286" w:lineRule="auto"/>
            </w:pPr>
          </w:p>
          <w:p w14:paraId="5AF3EC0D">
            <w:pPr>
              <w:pStyle w:val="85"/>
              <w:spacing w:line="286" w:lineRule="auto"/>
            </w:pPr>
            <w:r>
              <w:rPr>
                <w:rFonts w:ascii="宋体" w:hAnsi="宋体" w:eastAsia="宋体" w:cs="宋体"/>
                <w:spacing w:val="1"/>
                <w:sz w:val="18"/>
                <w:szCs w:val="18"/>
              </w:rPr>
              <w:t xml:space="preserve">协助总站对安全事件溯 </w:t>
            </w:r>
            <w:r>
              <w:rPr>
                <w:rFonts w:ascii="宋体" w:hAnsi="宋体" w:eastAsia="宋体" w:cs="宋体"/>
                <w:spacing w:val="-1"/>
                <w:sz w:val="18"/>
                <w:szCs w:val="18"/>
              </w:rPr>
              <w:t>源、整改。</w:t>
            </w:r>
          </w:p>
          <w:p w14:paraId="711FA8EF">
            <w:pPr>
              <w:pStyle w:val="85"/>
              <w:spacing w:line="287" w:lineRule="auto"/>
            </w:pPr>
          </w:p>
          <w:p w14:paraId="4D712E38">
            <w:pPr>
              <w:spacing w:before="58" w:line="218" w:lineRule="auto"/>
              <w:ind w:left="18" w:leftChars="0" w:right="48" w:rightChars="0" w:firstLine="9" w:firstLineChars="0"/>
              <w:rPr>
                <w:rFonts w:hint="eastAsia" w:ascii="宋体" w:hAnsi="宋体" w:eastAsia="宋体" w:cs="宋体"/>
                <w:kern w:val="2"/>
                <w:sz w:val="18"/>
                <w:szCs w:val="18"/>
                <w:lang w:val="en-US" w:eastAsia="zh-CN" w:bidi="ar-SA"/>
              </w:rPr>
            </w:pPr>
          </w:p>
        </w:tc>
        <w:tc>
          <w:tcPr>
            <w:tcW w:w="840" w:type="dxa"/>
            <w:vAlign w:val="center"/>
          </w:tcPr>
          <w:p w14:paraId="36BCEE71">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年</w:t>
            </w:r>
          </w:p>
        </w:tc>
        <w:tc>
          <w:tcPr>
            <w:tcW w:w="776" w:type="dxa"/>
            <w:vAlign w:val="center"/>
          </w:tcPr>
          <w:p w14:paraId="57896A19">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w:t>
            </w:r>
          </w:p>
        </w:tc>
      </w:tr>
      <w:tr w14:paraId="5627C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14:paraId="49549667">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10</w:t>
            </w:r>
          </w:p>
        </w:tc>
        <w:tc>
          <w:tcPr>
            <w:tcW w:w="1080" w:type="dxa"/>
            <w:vMerge w:val="restart"/>
            <w:vAlign w:val="center"/>
          </w:tcPr>
          <w:p w14:paraId="61889B3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安全渗透测试服务</w:t>
            </w:r>
          </w:p>
        </w:tc>
        <w:tc>
          <w:tcPr>
            <w:tcW w:w="2162" w:type="dxa"/>
            <w:vAlign w:val="center"/>
          </w:tcPr>
          <w:p w14:paraId="5697620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1.资产梳理工作:协助总站各级定期开展用户域、数据域信息系统需渗透测试业务系统及资产识别。</w:t>
            </w:r>
          </w:p>
        </w:tc>
        <w:tc>
          <w:tcPr>
            <w:tcW w:w="4725" w:type="dxa"/>
            <w:vAlign w:val="center"/>
          </w:tcPr>
          <w:p w14:paraId="2145B7D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资产梳理工作内容包括:业务系统及资产识别，形成按照业务系统、部门、资产类型等多种维度划分的资产信息表;资产信息全面收集:资产类型、服务类型、组成、功能、开启的端口及服务所属业务系统、部门、责任人，厂商信点维护记录等，帮助掌握内部资产情况。</w:t>
            </w:r>
          </w:p>
        </w:tc>
        <w:tc>
          <w:tcPr>
            <w:tcW w:w="3182" w:type="dxa"/>
            <w:shd w:val="clear"/>
            <w:vAlign w:val="top"/>
          </w:tcPr>
          <w:p w14:paraId="3895B559">
            <w:pPr>
              <w:pStyle w:val="85"/>
              <w:spacing w:line="285" w:lineRule="auto"/>
            </w:pPr>
          </w:p>
          <w:p w14:paraId="5D87B2D1">
            <w:pPr>
              <w:spacing w:before="59" w:line="218" w:lineRule="auto"/>
              <w:ind w:left="18" w:leftChars="0" w:right="77" w:rightChars="0"/>
              <w:jc w:val="both"/>
              <w:rPr>
                <w:rFonts w:hint="eastAsia" w:ascii="宋体" w:hAnsi="宋体" w:eastAsia="宋体" w:cs="宋体"/>
                <w:kern w:val="2"/>
                <w:sz w:val="18"/>
                <w:szCs w:val="18"/>
                <w:lang w:val="en-US" w:eastAsia="zh-CN" w:bidi="ar-SA"/>
              </w:rPr>
            </w:pPr>
            <w:r>
              <w:rPr>
                <w:rFonts w:ascii="宋体" w:hAnsi="宋体" w:eastAsia="宋体" w:cs="宋体"/>
                <w:spacing w:val="-1"/>
                <w:sz w:val="18"/>
                <w:szCs w:val="18"/>
              </w:rPr>
              <w:t>用户指定的用户域和数</w:t>
            </w:r>
            <w:r>
              <w:rPr>
                <w:rFonts w:ascii="宋体" w:hAnsi="宋体" w:eastAsia="宋体" w:cs="宋体"/>
                <w:sz w:val="18"/>
                <w:szCs w:val="18"/>
              </w:rPr>
              <w:t xml:space="preserve"> </w:t>
            </w:r>
            <w:r>
              <w:rPr>
                <w:rFonts w:ascii="宋体" w:hAnsi="宋体" w:eastAsia="宋体" w:cs="宋体"/>
                <w:spacing w:val="-1"/>
                <w:sz w:val="18"/>
                <w:szCs w:val="18"/>
              </w:rPr>
              <w:t>据域信息系统和硬件基</w:t>
            </w:r>
            <w:r>
              <w:rPr>
                <w:rFonts w:ascii="宋体" w:hAnsi="宋体" w:eastAsia="宋体" w:cs="宋体"/>
                <w:spacing w:val="2"/>
                <w:sz w:val="18"/>
                <w:szCs w:val="18"/>
              </w:rPr>
              <w:t xml:space="preserve"> </w:t>
            </w:r>
            <w:r>
              <w:rPr>
                <w:rFonts w:ascii="宋体" w:hAnsi="宋体" w:eastAsia="宋体" w:cs="宋体"/>
                <w:spacing w:val="-1"/>
                <w:sz w:val="18"/>
                <w:szCs w:val="18"/>
              </w:rPr>
              <w:t>础设施。</w:t>
            </w:r>
          </w:p>
        </w:tc>
        <w:tc>
          <w:tcPr>
            <w:tcW w:w="840" w:type="dxa"/>
            <w:vMerge w:val="restart"/>
            <w:shd w:val="clear" w:color="auto" w:fill="auto"/>
            <w:vAlign w:val="center"/>
          </w:tcPr>
          <w:p w14:paraId="6334869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年</w:t>
            </w:r>
          </w:p>
        </w:tc>
        <w:tc>
          <w:tcPr>
            <w:tcW w:w="776" w:type="dxa"/>
            <w:vMerge w:val="restart"/>
            <w:shd w:val="clear" w:color="auto" w:fill="auto"/>
            <w:vAlign w:val="center"/>
          </w:tcPr>
          <w:p w14:paraId="0D5ED8A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w:t>
            </w:r>
          </w:p>
        </w:tc>
      </w:tr>
      <w:tr w14:paraId="02ED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shd w:val="clear" w:color="auto" w:fill="auto"/>
            <w:vAlign w:val="center"/>
          </w:tcPr>
          <w:p w14:paraId="314AEE54">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11</w:t>
            </w:r>
          </w:p>
        </w:tc>
        <w:tc>
          <w:tcPr>
            <w:tcW w:w="1080" w:type="dxa"/>
            <w:vMerge w:val="continue"/>
            <w:vAlign w:val="center"/>
          </w:tcPr>
          <w:p w14:paraId="7B464E0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2162" w:type="dxa"/>
            <w:vAlign w:val="center"/>
          </w:tcPr>
          <w:p w14:paraId="48E24FE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2.漏洞扫描和弱口令识别的内容为业务系统及支撑业务系统的软硬件设备。</w:t>
            </w:r>
          </w:p>
          <w:p w14:paraId="2A198BA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主要识别以下范围的漏洞和弱口令:操作系统、数据库系统、Web服务、Ftp服务、远程控制、网络边界、PC等IT设备。</w:t>
            </w:r>
          </w:p>
        </w:tc>
        <w:tc>
          <w:tcPr>
            <w:tcW w:w="4725" w:type="dxa"/>
            <w:vAlign w:val="center"/>
          </w:tcPr>
          <w:p w14:paraId="5DA9C65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漏洞扫描服务是指经过授权后，渗透测试人员携带议备达到工作现场，根据扫描目标接入办公网络或业务网络，用于对系统安全性探测，发现系统脆弱环节。扫描设备存在的高中危漏洞情况。按照用户需求现场完成漏洞扫描服务。</w:t>
            </w:r>
          </w:p>
          <w:p w14:paraId="22D7160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通过弱口令扫描服务及时发现安全隐患，对使用默认口令、弱口令、默认端口的安全风险隐患进行监测和发现，用户可以自定义扫描目标、类型、扫描时间策略。根据目标地址范围进行弱口令扫描，对目标系统进行探测，以确认是否存在可正常访问的弱口令。</w:t>
            </w:r>
          </w:p>
        </w:tc>
        <w:tc>
          <w:tcPr>
            <w:tcW w:w="3182" w:type="dxa"/>
            <w:shd w:val="clear"/>
            <w:vAlign w:val="top"/>
          </w:tcPr>
          <w:p w14:paraId="10C6D3FF">
            <w:pPr>
              <w:spacing w:before="32" w:line="219" w:lineRule="auto"/>
              <w:ind w:left="17"/>
              <w:rPr>
                <w:rFonts w:ascii="宋体" w:hAnsi="宋体" w:eastAsia="宋体" w:cs="宋体"/>
                <w:sz w:val="18"/>
                <w:szCs w:val="18"/>
              </w:rPr>
            </w:pPr>
            <w:r>
              <w:rPr>
                <w:rFonts w:ascii="宋体" w:hAnsi="宋体" w:eastAsia="宋体" w:cs="宋体"/>
                <w:spacing w:val="-1"/>
                <w:sz w:val="18"/>
                <w:szCs w:val="18"/>
              </w:rPr>
              <w:t>操作系统包括：</w:t>
            </w:r>
          </w:p>
          <w:p w14:paraId="508D9919">
            <w:pPr>
              <w:spacing w:before="16" w:line="215" w:lineRule="auto"/>
              <w:ind w:left="17" w:right="93"/>
              <w:rPr>
                <w:rFonts w:ascii="宋体" w:hAnsi="宋体" w:eastAsia="宋体" w:cs="宋体"/>
                <w:sz w:val="18"/>
                <w:szCs w:val="18"/>
              </w:rPr>
            </w:pPr>
            <w:r>
              <w:rPr>
                <w:rFonts w:ascii="宋体" w:hAnsi="宋体" w:eastAsia="宋体" w:cs="宋体"/>
                <w:spacing w:val="-1"/>
                <w:sz w:val="18"/>
                <w:szCs w:val="18"/>
              </w:rPr>
              <w:t>Windows、发行版Linux</w:t>
            </w:r>
            <w:r>
              <w:rPr>
                <w:rFonts w:ascii="宋体" w:hAnsi="宋体" w:eastAsia="宋体" w:cs="宋体"/>
                <w:spacing w:val="13"/>
                <w:sz w:val="18"/>
                <w:szCs w:val="18"/>
              </w:rPr>
              <w:t xml:space="preserve"> </w:t>
            </w:r>
            <w:r>
              <w:rPr>
                <w:rFonts w:ascii="宋体" w:hAnsi="宋体" w:eastAsia="宋体" w:cs="宋体"/>
                <w:spacing w:val="-4"/>
                <w:sz w:val="18"/>
                <w:szCs w:val="18"/>
              </w:rPr>
              <w:t>、AIX、Solaris、</w:t>
            </w:r>
          </w:p>
          <w:p w14:paraId="09E1432F">
            <w:pPr>
              <w:spacing w:line="219" w:lineRule="auto"/>
              <w:ind w:left="17"/>
              <w:rPr>
                <w:rFonts w:ascii="宋体" w:hAnsi="宋体" w:eastAsia="宋体" w:cs="宋体"/>
                <w:sz w:val="18"/>
                <w:szCs w:val="18"/>
              </w:rPr>
            </w:pPr>
            <w:r>
              <w:rPr>
                <w:rFonts w:ascii="宋体" w:hAnsi="宋体" w:eastAsia="宋体" w:cs="宋体"/>
                <w:spacing w:val="-1"/>
                <w:sz w:val="18"/>
                <w:szCs w:val="18"/>
              </w:rPr>
              <w:t>FreeBSD等主流系统等</w:t>
            </w:r>
          </w:p>
          <w:p w14:paraId="6BE4D176">
            <w:pPr>
              <w:spacing w:before="189" w:line="58" w:lineRule="exact"/>
              <w:ind w:left="17"/>
              <w:rPr>
                <w:rFonts w:ascii="宋体" w:hAnsi="宋体" w:eastAsia="宋体" w:cs="宋体"/>
                <w:sz w:val="18"/>
                <w:szCs w:val="18"/>
              </w:rPr>
            </w:pPr>
            <w:r>
              <w:rPr>
                <w:rFonts w:ascii="宋体" w:hAnsi="宋体" w:eastAsia="宋体" w:cs="宋体"/>
                <w:sz w:val="18"/>
                <w:szCs w:val="18"/>
              </w:rPr>
              <w:t>。</w:t>
            </w:r>
          </w:p>
          <w:p w14:paraId="36E37C52">
            <w:pPr>
              <w:spacing w:before="1" w:line="220" w:lineRule="auto"/>
              <w:ind w:left="17"/>
              <w:rPr>
                <w:rFonts w:ascii="宋体" w:hAnsi="宋体" w:eastAsia="宋体" w:cs="宋体"/>
                <w:sz w:val="18"/>
                <w:szCs w:val="18"/>
              </w:rPr>
            </w:pPr>
            <w:r>
              <w:rPr>
                <w:rFonts w:ascii="宋体" w:hAnsi="宋体" w:eastAsia="宋体" w:cs="宋体"/>
                <w:sz w:val="18"/>
                <w:szCs w:val="18"/>
              </w:rPr>
              <w:t>应用系统包括：</w:t>
            </w:r>
          </w:p>
          <w:p w14:paraId="1479CB17">
            <w:pPr>
              <w:spacing w:before="28" w:line="228" w:lineRule="auto"/>
              <w:ind w:left="17" w:right="98"/>
              <w:rPr>
                <w:rFonts w:ascii="宋体" w:hAnsi="宋体" w:eastAsia="宋体" w:cs="宋体"/>
                <w:sz w:val="18"/>
                <w:szCs w:val="18"/>
              </w:rPr>
            </w:pPr>
            <w:r>
              <w:rPr>
                <w:rFonts w:ascii="宋体" w:hAnsi="宋体" w:eastAsia="宋体" w:cs="宋体"/>
                <w:spacing w:val="-1"/>
                <w:sz w:val="18"/>
                <w:szCs w:val="18"/>
              </w:rPr>
              <w:t>Oracle、MySQL、MSSQL</w:t>
            </w:r>
            <w:r>
              <w:rPr>
                <w:rFonts w:ascii="宋体" w:hAnsi="宋体" w:eastAsia="宋体" w:cs="宋体"/>
                <w:spacing w:val="10"/>
                <w:sz w:val="18"/>
                <w:szCs w:val="18"/>
              </w:rPr>
              <w:t xml:space="preserve"> </w:t>
            </w:r>
            <w:r>
              <w:rPr>
                <w:rFonts w:ascii="宋体" w:hAnsi="宋体" w:eastAsia="宋体" w:cs="宋体"/>
                <w:spacing w:val="-4"/>
                <w:sz w:val="18"/>
                <w:szCs w:val="18"/>
              </w:rPr>
              <w:t>、Sybase、DB2、</w:t>
            </w:r>
          </w:p>
          <w:p w14:paraId="72401B8F">
            <w:pPr>
              <w:spacing w:before="1" w:line="219" w:lineRule="auto"/>
              <w:ind w:left="17" w:leftChars="0"/>
              <w:rPr>
                <w:rFonts w:hint="eastAsia" w:ascii="宋体" w:hAnsi="宋体" w:eastAsia="宋体" w:cs="宋体"/>
                <w:kern w:val="2"/>
                <w:sz w:val="18"/>
                <w:szCs w:val="18"/>
                <w:lang w:val="en-US" w:eastAsia="zh-CN" w:bidi="ar-SA"/>
              </w:rPr>
            </w:pPr>
            <w:r>
              <w:rPr>
                <w:rFonts w:ascii="宋体" w:hAnsi="宋体" w:eastAsia="宋体" w:cs="宋体"/>
                <w:sz w:val="18"/>
                <w:szCs w:val="18"/>
              </w:rPr>
              <w:t>Informix</w:t>
            </w:r>
            <w:r>
              <w:rPr>
                <w:rFonts w:ascii="宋体" w:hAnsi="宋体" w:eastAsia="宋体" w:cs="宋体"/>
                <w:spacing w:val="2"/>
                <w:sz w:val="18"/>
                <w:szCs w:val="18"/>
              </w:rPr>
              <w:t>等主流数据</w:t>
            </w:r>
          </w:p>
        </w:tc>
        <w:tc>
          <w:tcPr>
            <w:tcW w:w="840" w:type="dxa"/>
            <w:vMerge w:val="continue"/>
            <w:vAlign w:val="center"/>
          </w:tcPr>
          <w:p w14:paraId="240E460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776" w:type="dxa"/>
            <w:vMerge w:val="continue"/>
            <w:vAlign w:val="center"/>
          </w:tcPr>
          <w:p w14:paraId="209B5F5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r>
      <w:tr w14:paraId="11C8D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shd w:val="clear" w:color="auto" w:fill="auto"/>
            <w:vAlign w:val="center"/>
          </w:tcPr>
          <w:p w14:paraId="42860B30">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12</w:t>
            </w:r>
          </w:p>
        </w:tc>
        <w:tc>
          <w:tcPr>
            <w:tcW w:w="1080" w:type="dxa"/>
            <w:vMerge w:val="continue"/>
            <w:vAlign w:val="center"/>
          </w:tcPr>
          <w:p w14:paraId="0C70788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2162" w:type="dxa"/>
            <w:vAlign w:val="center"/>
          </w:tcPr>
          <w:p w14:paraId="76F8BA2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3.安全渗透测试服务，根据漏洞扫描和弱口令识别结果，对总站网络、数据库、应用系统等进行白盒或黑盒渗透测试。</w:t>
            </w:r>
          </w:p>
        </w:tc>
        <w:tc>
          <w:tcPr>
            <w:tcW w:w="4725" w:type="dxa"/>
            <w:vAlign w:val="center"/>
          </w:tcPr>
          <w:p w14:paraId="058D961C">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渗透服务是指经过授权后，渗透测试人员协调工具，设备到达工作现场，根据用户指定渗透测试目标接入网络，对系统安全性完整性进行模拟渗透测试工作，发现系统脆弱性，并输出渗透测试报告，一年提供至少4次安全渗透测试服务。渗透测试前应编制测试方案，明确测试目标、测试方法、测试时间、测试范围渗透工具及其对应用途、负面影响评估及应急处置方式等。</w:t>
            </w:r>
          </w:p>
        </w:tc>
        <w:tc>
          <w:tcPr>
            <w:tcW w:w="3182" w:type="dxa"/>
            <w:shd w:val="clear"/>
            <w:vAlign w:val="top"/>
          </w:tcPr>
          <w:p w14:paraId="7ABEA38C">
            <w:pPr>
              <w:pStyle w:val="85"/>
              <w:spacing w:line="318" w:lineRule="auto"/>
            </w:pPr>
          </w:p>
          <w:p w14:paraId="2C7C84C1">
            <w:pPr>
              <w:pStyle w:val="85"/>
              <w:spacing w:line="319" w:lineRule="auto"/>
            </w:pPr>
          </w:p>
          <w:p w14:paraId="0BC79CCD">
            <w:pPr>
              <w:spacing w:before="59" w:line="227" w:lineRule="auto"/>
              <w:ind w:left="37" w:leftChars="0" w:right="78" w:rightChars="0" w:hanging="10" w:firstLineChars="0"/>
              <w:jc w:val="both"/>
              <w:rPr>
                <w:rFonts w:hint="eastAsia" w:ascii="宋体" w:hAnsi="宋体" w:eastAsia="宋体" w:cs="宋体"/>
                <w:kern w:val="2"/>
                <w:sz w:val="18"/>
                <w:szCs w:val="18"/>
                <w:lang w:val="en-US" w:eastAsia="zh-CN" w:bidi="ar-SA"/>
              </w:rPr>
            </w:pPr>
            <w:r>
              <w:rPr>
                <w:rFonts w:ascii="宋体" w:hAnsi="宋体" w:eastAsia="宋体" w:cs="宋体"/>
                <w:spacing w:val="-1"/>
                <w:sz w:val="18"/>
                <w:szCs w:val="18"/>
              </w:rPr>
              <w:t>用户指定的用户域和数</w:t>
            </w:r>
            <w:r>
              <w:rPr>
                <w:rFonts w:ascii="宋体" w:hAnsi="宋体" w:eastAsia="宋体" w:cs="宋体"/>
                <w:sz w:val="18"/>
                <w:szCs w:val="18"/>
              </w:rPr>
              <w:t xml:space="preserve"> </w:t>
            </w:r>
            <w:r>
              <w:rPr>
                <w:rFonts w:ascii="宋体" w:hAnsi="宋体" w:eastAsia="宋体" w:cs="宋体"/>
                <w:spacing w:val="-1"/>
                <w:sz w:val="18"/>
                <w:szCs w:val="18"/>
              </w:rPr>
              <w:t>据域信息系统、数据库</w:t>
            </w:r>
            <w:r>
              <w:rPr>
                <w:rFonts w:ascii="宋体" w:hAnsi="宋体" w:eastAsia="宋体" w:cs="宋体"/>
                <w:spacing w:val="2"/>
                <w:sz w:val="18"/>
                <w:szCs w:val="18"/>
              </w:rPr>
              <w:t xml:space="preserve"> </w:t>
            </w:r>
            <w:r>
              <w:rPr>
                <w:rFonts w:ascii="宋体" w:hAnsi="宋体" w:eastAsia="宋体" w:cs="宋体"/>
                <w:spacing w:val="4"/>
                <w:sz w:val="18"/>
                <w:szCs w:val="18"/>
              </w:rPr>
              <w:t>等。</w:t>
            </w:r>
          </w:p>
        </w:tc>
        <w:tc>
          <w:tcPr>
            <w:tcW w:w="840" w:type="dxa"/>
            <w:vMerge w:val="continue"/>
            <w:vAlign w:val="center"/>
          </w:tcPr>
          <w:p w14:paraId="15D579C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776" w:type="dxa"/>
            <w:vMerge w:val="continue"/>
            <w:vAlign w:val="center"/>
          </w:tcPr>
          <w:p w14:paraId="3405572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r>
      <w:tr w14:paraId="4FF2F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shd w:val="clear" w:color="auto" w:fill="auto"/>
            <w:vAlign w:val="center"/>
          </w:tcPr>
          <w:p w14:paraId="67792009">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13</w:t>
            </w:r>
          </w:p>
        </w:tc>
        <w:tc>
          <w:tcPr>
            <w:tcW w:w="1080" w:type="dxa"/>
            <w:vAlign w:val="center"/>
          </w:tcPr>
          <w:p w14:paraId="615230B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应急响应服务</w:t>
            </w:r>
          </w:p>
        </w:tc>
        <w:tc>
          <w:tcPr>
            <w:tcW w:w="2162" w:type="dxa"/>
            <w:vAlign w:val="center"/>
          </w:tcPr>
          <w:p w14:paraId="7D9C777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协助总站针对总站提供已发生安全事件的事中、事后的取证、分析及提供解决方案等工作。</w:t>
            </w:r>
          </w:p>
        </w:tc>
        <w:tc>
          <w:tcPr>
            <w:tcW w:w="4725" w:type="dxa"/>
            <w:vAlign w:val="center"/>
          </w:tcPr>
          <w:p w14:paraId="76CEB30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安全事件发生时快速响应并联系总站评估。现场处置与远程支持相结合，及时处理紧急情况。组织专业团队进行应急处置。进行事件调查溯源，确定事件原因和影响范围，采取措施恢复系统正常运行，降低损失。网络攻击、数据泄露、系统故障等深入调查溯源，确定事件责任主体和原因，提交报告。事件处理后，进行总结分析，评估应急响应效果，提出改进措施，完善安全保障体系。事件处理后持续跟进，检查系统，提供安全加固方案，降低再次发生风险。</w:t>
            </w:r>
          </w:p>
        </w:tc>
        <w:tc>
          <w:tcPr>
            <w:tcW w:w="3182" w:type="dxa"/>
            <w:shd w:val="clear"/>
            <w:vAlign w:val="top"/>
          </w:tcPr>
          <w:p w14:paraId="48E60465">
            <w:pPr>
              <w:pStyle w:val="85"/>
              <w:spacing w:line="280" w:lineRule="auto"/>
            </w:pPr>
          </w:p>
          <w:p w14:paraId="5DDFE5A5">
            <w:pPr>
              <w:pStyle w:val="85"/>
              <w:spacing w:line="280" w:lineRule="auto"/>
            </w:pPr>
          </w:p>
          <w:p w14:paraId="0D68835F">
            <w:pPr>
              <w:pStyle w:val="85"/>
              <w:spacing w:line="280" w:lineRule="auto"/>
            </w:pPr>
          </w:p>
          <w:p w14:paraId="5C05C88D">
            <w:pPr>
              <w:spacing w:before="58" w:line="220" w:lineRule="auto"/>
              <w:ind w:left="17" w:leftChars="0"/>
              <w:rPr>
                <w:rFonts w:hint="eastAsia" w:ascii="宋体" w:hAnsi="宋体" w:eastAsia="宋体" w:cs="宋体"/>
                <w:kern w:val="2"/>
                <w:sz w:val="18"/>
                <w:szCs w:val="18"/>
                <w:lang w:val="en-US" w:eastAsia="zh-CN" w:bidi="ar-SA"/>
              </w:rPr>
            </w:pPr>
            <w:r>
              <w:rPr>
                <w:rFonts w:ascii="宋体" w:hAnsi="宋体" w:eastAsia="宋体" w:cs="宋体"/>
                <w:spacing w:val="-2"/>
                <w:sz w:val="18"/>
                <w:szCs w:val="18"/>
              </w:rPr>
              <w:t>总站及下属单位</w:t>
            </w:r>
          </w:p>
        </w:tc>
        <w:tc>
          <w:tcPr>
            <w:tcW w:w="840" w:type="dxa"/>
            <w:shd w:val="clear" w:color="auto" w:fill="auto"/>
            <w:vAlign w:val="center"/>
          </w:tcPr>
          <w:p w14:paraId="4298328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年</w:t>
            </w:r>
          </w:p>
        </w:tc>
        <w:tc>
          <w:tcPr>
            <w:tcW w:w="776" w:type="dxa"/>
            <w:shd w:val="clear" w:color="auto" w:fill="auto"/>
            <w:vAlign w:val="center"/>
          </w:tcPr>
          <w:p w14:paraId="30BBAEA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w:t>
            </w:r>
          </w:p>
        </w:tc>
      </w:tr>
      <w:tr w14:paraId="163D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shd w:val="clear" w:color="auto" w:fill="auto"/>
            <w:vAlign w:val="center"/>
          </w:tcPr>
          <w:p w14:paraId="5E56C28A">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14</w:t>
            </w:r>
          </w:p>
        </w:tc>
        <w:tc>
          <w:tcPr>
            <w:tcW w:w="1080" w:type="dxa"/>
            <w:vAlign w:val="center"/>
          </w:tcPr>
          <w:p w14:paraId="5232443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重大活动保障服务</w:t>
            </w:r>
          </w:p>
        </w:tc>
        <w:tc>
          <w:tcPr>
            <w:tcW w:w="2162" w:type="dxa"/>
            <w:vAlign w:val="center"/>
          </w:tcPr>
          <w:p w14:paraId="720F800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重要节点安全技术支撑保障，应急演练，护网行动、重要会议或节日等重大活动提供技术支持保障，并提供专题报告。</w:t>
            </w:r>
          </w:p>
        </w:tc>
        <w:tc>
          <w:tcPr>
            <w:tcW w:w="4725" w:type="dxa"/>
            <w:vAlign w:val="center"/>
          </w:tcPr>
          <w:p w14:paraId="73AF2C3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确保活动期间网络与信息系统的安全稳定运行。针对总站信息系统进全面的安全评估、制定并执行完善的应急预案、活动期间的实时监测与应急响应，以及与各方的紧密协作沟通等工作，以保障活动顺利进行，根据工作实际情况安排驻场人员24小时现场值守保障，避免安全事件对活动造成负面影响。</w:t>
            </w:r>
          </w:p>
          <w:p w14:paraId="13462D5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活动期间，利用专业监测工具对网络流量、系统性能、安全设备告警进行实时监测。设定流量阈值、异常行为检测规则，及时发现和预警网络攻击、异常流量等安全威胁。一旦监测到异常情况，迅速分析评估，通知相关人员采取措施，如阻断攻击源、启动应急备份系统等。</w:t>
            </w:r>
          </w:p>
        </w:tc>
        <w:tc>
          <w:tcPr>
            <w:tcW w:w="3182" w:type="dxa"/>
            <w:shd w:val="clear"/>
            <w:vAlign w:val="top"/>
          </w:tcPr>
          <w:p w14:paraId="0C3CC6EC">
            <w:pPr>
              <w:pStyle w:val="85"/>
              <w:spacing w:line="245" w:lineRule="auto"/>
            </w:pPr>
            <w:r>
              <w:rPr>
                <w:rFonts w:ascii="宋体" w:hAnsi="宋体" w:eastAsia="宋体" w:cs="宋体"/>
                <w:spacing w:val="-2"/>
                <w:sz w:val="18"/>
                <w:szCs w:val="18"/>
              </w:rPr>
              <w:t>总站及下属单位</w:t>
            </w:r>
          </w:p>
          <w:p w14:paraId="712A1D5C">
            <w:pPr>
              <w:pStyle w:val="85"/>
              <w:spacing w:line="246" w:lineRule="auto"/>
            </w:pPr>
          </w:p>
          <w:p w14:paraId="7BF990C9">
            <w:pPr>
              <w:pStyle w:val="85"/>
              <w:spacing w:line="246" w:lineRule="auto"/>
            </w:pPr>
          </w:p>
          <w:p w14:paraId="6C1C9EE9">
            <w:pPr>
              <w:pStyle w:val="85"/>
              <w:spacing w:line="246" w:lineRule="auto"/>
            </w:pPr>
          </w:p>
          <w:p w14:paraId="4EB47B17">
            <w:pPr>
              <w:pStyle w:val="85"/>
              <w:spacing w:line="246" w:lineRule="auto"/>
            </w:pPr>
          </w:p>
          <w:p w14:paraId="52B7B5EE">
            <w:pPr>
              <w:spacing w:before="59" w:line="220" w:lineRule="auto"/>
              <w:ind w:left="17" w:leftChars="0"/>
              <w:rPr>
                <w:rFonts w:hint="eastAsia" w:ascii="宋体" w:hAnsi="宋体" w:eastAsia="宋体" w:cs="宋体"/>
                <w:kern w:val="2"/>
                <w:sz w:val="18"/>
                <w:szCs w:val="18"/>
                <w:lang w:val="en-US" w:eastAsia="zh-CN" w:bidi="ar-SA"/>
              </w:rPr>
            </w:pPr>
          </w:p>
        </w:tc>
        <w:tc>
          <w:tcPr>
            <w:tcW w:w="840" w:type="dxa"/>
            <w:shd w:val="clear" w:color="auto" w:fill="auto"/>
            <w:vAlign w:val="center"/>
          </w:tcPr>
          <w:p w14:paraId="4BAD83C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年</w:t>
            </w:r>
          </w:p>
        </w:tc>
        <w:tc>
          <w:tcPr>
            <w:tcW w:w="776" w:type="dxa"/>
            <w:shd w:val="clear" w:color="auto" w:fill="auto"/>
            <w:vAlign w:val="center"/>
          </w:tcPr>
          <w:p w14:paraId="0679896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w:t>
            </w:r>
          </w:p>
        </w:tc>
      </w:tr>
      <w:tr w14:paraId="03C18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1157" w:type="dxa"/>
            <w:shd w:val="clear" w:color="auto" w:fill="auto"/>
            <w:vAlign w:val="center"/>
          </w:tcPr>
          <w:p w14:paraId="429E0634">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15</w:t>
            </w:r>
          </w:p>
        </w:tc>
        <w:tc>
          <w:tcPr>
            <w:tcW w:w="1080" w:type="dxa"/>
            <w:vMerge w:val="restart"/>
            <w:vAlign w:val="center"/>
          </w:tcPr>
          <w:p w14:paraId="57D2C4B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等保测评服务</w:t>
            </w:r>
          </w:p>
        </w:tc>
        <w:tc>
          <w:tcPr>
            <w:tcW w:w="2162" w:type="dxa"/>
            <w:vAlign w:val="center"/>
          </w:tcPr>
          <w:p w14:paraId="53A4C7A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1.总站基础信息平台等级保护评定及测评工作。</w:t>
            </w:r>
          </w:p>
        </w:tc>
        <w:tc>
          <w:tcPr>
            <w:tcW w:w="4725" w:type="dxa"/>
            <w:vMerge w:val="restart"/>
            <w:vAlign w:val="center"/>
          </w:tcPr>
          <w:p w14:paraId="0254493C">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通过査阅被测系统已有资料或使用调查表格的方式，了解整个系统的构成和保护情况，明确被测系统的范围(特别是信息系统的边界)，了解被测系统的详细构成，包括网络拓扑、业务应用、业务流程、设备信息(服务器、数据库、网络设备、安全设备、数据库等）、管理制度等</w:t>
            </w:r>
          </w:p>
          <w:p w14:paraId="3DC7149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2.分别从技术上的物理安全、网络安全、主机系统安全，应用安全和数据安全五个层面和管理上的安全管理机构，安全管理制度、人员安全管理、系统</w:t>
            </w:r>
          </w:p>
          <w:p w14:paraId="5727975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建设管理和系统运维管理五个方面进行。</w:t>
            </w:r>
          </w:p>
          <w:p w14:paraId="4843C03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3.根据等级测评结论,编制测评报告，包括概述、被测系统描述、测评对象说明、测评指标说明、测评内容和方法说明、单元测评、整体测评、测评结果汇总、风险分析和评价、等级测评结论、整改建议等。</w:t>
            </w:r>
          </w:p>
        </w:tc>
        <w:tc>
          <w:tcPr>
            <w:tcW w:w="3182" w:type="dxa"/>
            <w:shd w:val="clear"/>
            <w:vAlign w:val="top"/>
          </w:tcPr>
          <w:p w14:paraId="57DEAF0B">
            <w:pPr>
              <w:pStyle w:val="85"/>
              <w:spacing w:line="299" w:lineRule="auto"/>
            </w:pPr>
          </w:p>
          <w:p w14:paraId="4A597B1A">
            <w:pPr>
              <w:spacing w:before="62" w:line="219" w:lineRule="auto"/>
              <w:ind w:left="16" w:leftChars="0"/>
              <w:rPr>
                <w:rFonts w:hint="eastAsia" w:ascii="宋体" w:hAnsi="宋体" w:eastAsia="宋体" w:cs="宋体"/>
                <w:kern w:val="2"/>
                <w:sz w:val="19"/>
                <w:szCs w:val="19"/>
                <w:lang w:val="en-US" w:eastAsia="zh-CN" w:bidi="ar-SA"/>
              </w:rPr>
            </w:pPr>
            <w:r>
              <w:rPr>
                <w:rFonts w:ascii="宋体" w:hAnsi="宋体" w:eastAsia="宋体" w:cs="宋体"/>
                <w:spacing w:val="3"/>
                <w:sz w:val="19"/>
                <w:szCs w:val="19"/>
              </w:rPr>
              <w:t>信息基础平台</w:t>
            </w:r>
          </w:p>
        </w:tc>
        <w:tc>
          <w:tcPr>
            <w:tcW w:w="840" w:type="dxa"/>
            <w:vMerge w:val="restart"/>
            <w:vAlign w:val="center"/>
          </w:tcPr>
          <w:p w14:paraId="3434E6D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年</w:t>
            </w:r>
          </w:p>
        </w:tc>
        <w:tc>
          <w:tcPr>
            <w:tcW w:w="776" w:type="dxa"/>
            <w:vMerge w:val="restart"/>
            <w:vAlign w:val="center"/>
          </w:tcPr>
          <w:p w14:paraId="3CCBD5C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w:t>
            </w:r>
          </w:p>
        </w:tc>
      </w:tr>
      <w:tr w14:paraId="21D23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157" w:type="dxa"/>
            <w:shd w:val="clear" w:color="auto" w:fill="auto"/>
            <w:vAlign w:val="center"/>
          </w:tcPr>
          <w:p w14:paraId="5783AF50">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16</w:t>
            </w:r>
          </w:p>
        </w:tc>
        <w:tc>
          <w:tcPr>
            <w:tcW w:w="1080" w:type="dxa"/>
            <w:vMerge w:val="continue"/>
            <w:vAlign w:val="center"/>
          </w:tcPr>
          <w:p w14:paraId="2296BDE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2162" w:type="dxa"/>
            <w:vAlign w:val="center"/>
          </w:tcPr>
          <w:p w14:paraId="33A8709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2.总站超融合平台等级保护评定及测评工作。</w:t>
            </w:r>
          </w:p>
        </w:tc>
        <w:tc>
          <w:tcPr>
            <w:tcW w:w="4725" w:type="dxa"/>
            <w:vMerge w:val="continue"/>
            <w:vAlign w:val="center"/>
          </w:tcPr>
          <w:p w14:paraId="0A454CF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p>
        </w:tc>
        <w:tc>
          <w:tcPr>
            <w:tcW w:w="3182" w:type="dxa"/>
            <w:shd w:val="clear"/>
            <w:vAlign w:val="top"/>
          </w:tcPr>
          <w:p w14:paraId="25B59ABA">
            <w:pPr>
              <w:pStyle w:val="85"/>
              <w:spacing w:line="306" w:lineRule="auto"/>
            </w:pPr>
          </w:p>
          <w:p w14:paraId="07A5FCA5">
            <w:pPr>
              <w:spacing w:before="62" w:line="221" w:lineRule="auto"/>
              <w:ind w:left="16" w:leftChars="0"/>
              <w:rPr>
                <w:rFonts w:hint="eastAsia" w:ascii="宋体" w:hAnsi="宋体" w:eastAsia="宋体" w:cs="宋体"/>
                <w:kern w:val="2"/>
                <w:sz w:val="19"/>
                <w:szCs w:val="19"/>
                <w:lang w:val="en-US" w:eastAsia="zh-CN" w:bidi="ar-SA"/>
              </w:rPr>
            </w:pPr>
            <w:r>
              <w:rPr>
                <w:rFonts w:ascii="宋体" w:hAnsi="宋体" w:eastAsia="宋体" w:cs="宋体"/>
                <w:spacing w:val="4"/>
                <w:sz w:val="19"/>
                <w:szCs w:val="19"/>
              </w:rPr>
              <w:t>超融合平台</w:t>
            </w:r>
          </w:p>
        </w:tc>
        <w:tc>
          <w:tcPr>
            <w:tcW w:w="840" w:type="dxa"/>
            <w:vMerge w:val="continue"/>
            <w:vAlign w:val="center"/>
          </w:tcPr>
          <w:p w14:paraId="02EFB5C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776" w:type="dxa"/>
            <w:vMerge w:val="continue"/>
            <w:vAlign w:val="center"/>
          </w:tcPr>
          <w:p w14:paraId="62FDC30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r>
      <w:tr w14:paraId="7A152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shd w:val="clear" w:color="auto" w:fill="auto"/>
            <w:vAlign w:val="center"/>
          </w:tcPr>
          <w:p w14:paraId="2DC5FA1E">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17</w:t>
            </w:r>
          </w:p>
        </w:tc>
        <w:tc>
          <w:tcPr>
            <w:tcW w:w="1080" w:type="dxa"/>
            <w:vMerge w:val="continue"/>
            <w:vAlign w:val="center"/>
          </w:tcPr>
          <w:p w14:paraId="75D3FE7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2162" w:type="dxa"/>
            <w:vAlign w:val="center"/>
          </w:tcPr>
          <w:p w14:paraId="59E1974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3.总站数据域数智平台安全风险评估。</w:t>
            </w:r>
          </w:p>
        </w:tc>
        <w:tc>
          <w:tcPr>
            <w:tcW w:w="4725" w:type="dxa"/>
            <w:vMerge w:val="continue"/>
            <w:vAlign w:val="center"/>
          </w:tcPr>
          <w:p w14:paraId="44FE9C6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p>
        </w:tc>
        <w:tc>
          <w:tcPr>
            <w:tcW w:w="3182" w:type="dxa"/>
            <w:shd w:val="clear"/>
            <w:vAlign w:val="top"/>
          </w:tcPr>
          <w:p w14:paraId="5B0A5F1D">
            <w:pPr>
              <w:pStyle w:val="85"/>
              <w:spacing w:line="277" w:lineRule="auto"/>
            </w:pPr>
          </w:p>
          <w:p w14:paraId="03A62195">
            <w:pPr>
              <w:spacing w:before="62" w:line="219" w:lineRule="auto"/>
              <w:ind w:left="16" w:leftChars="0"/>
              <w:rPr>
                <w:rFonts w:hint="eastAsia" w:ascii="宋体" w:hAnsi="宋体" w:eastAsia="宋体" w:cs="宋体"/>
                <w:kern w:val="2"/>
                <w:sz w:val="19"/>
                <w:szCs w:val="19"/>
                <w:lang w:val="en-US" w:eastAsia="zh-CN" w:bidi="ar-SA"/>
              </w:rPr>
            </w:pPr>
            <w:r>
              <w:rPr>
                <w:rFonts w:ascii="宋体" w:hAnsi="宋体" w:eastAsia="宋体" w:cs="宋体"/>
                <w:spacing w:val="5"/>
                <w:sz w:val="19"/>
                <w:szCs w:val="19"/>
              </w:rPr>
              <w:t>数智平台</w:t>
            </w:r>
          </w:p>
        </w:tc>
        <w:tc>
          <w:tcPr>
            <w:tcW w:w="840" w:type="dxa"/>
            <w:vMerge w:val="continue"/>
            <w:vAlign w:val="center"/>
          </w:tcPr>
          <w:p w14:paraId="788E565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776" w:type="dxa"/>
            <w:vMerge w:val="continue"/>
            <w:vAlign w:val="center"/>
          </w:tcPr>
          <w:p w14:paraId="60F9437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r>
      <w:tr w14:paraId="2ACCE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shd w:val="clear" w:color="auto" w:fill="auto"/>
            <w:vAlign w:val="center"/>
          </w:tcPr>
          <w:p w14:paraId="6BF2C0C9">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18</w:t>
            </w:r>
          </w:p>
        </w:tc>
        <w:tc>
          <w:tcPr>
            <w:tcW w:w="1080" w:type="dxa"/>
            <w:vMerge w:val="restart"/>
            <w:vAlign w:val="center"/>
          </w:tcPr>
          <w:p w14:paraId="4DD14B5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设备维保服务</w:t>
            </w:r>
          </w:p>
        </w:tc>
        <w:tc>
          <w:tcPr>
            <w:tcW w:w="2162" w:type="dxa"/>
            <w:vAlign w:val="center"/>
          </w:tcPr>
          <w:p w14:paraId="50E3525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1.网络安全软件 VSCAN1508 漏洞库升级。</w:t>
            </w:r>
          </w:p>
        </w:tc>
        <w:tc>
          <w:tcPr>
            <w:tcW w:w="4725" w:type="dxa"/>
            <w:vAlign w:val="center"/>
          </w:tcPr>
          <w:p w14:paraId="578D934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网络安全软件 License-VSCAN1508 洞库升级服务1年</w:t>
            </w:r>
          </w:p>
          <w:p w14:paraId="513975C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license-Electronic</w:t>
            </w:r>
          </w:p>
        </w:tc>
        <w:tc>
          <w:tcPr>
            <w:tcW w:w="3182" w:type="dxa"/>
            <w:shd w:val="clear"/>
            <w:vAlign w:val="top"/>
          </w:tcPr>
          <w:p w14:paraId="01BD1675">
            <w:pPr>
              <w:pStyle w:val="85"/>
              <w:spacing w:line="255" w:lineRule="auto"/>
            </w:pPr>
          </w:p>
          <w:p w14:paraId="05910E16">
            <w:pPr>
              <w:spacing w:before="62" w:line="185" w:lineRule="auto"/>
              <w:ind w:left="16" w:leftChars="0"/>
              <w:rPr>
                <w:rFonts w:hint="eastAsia" w:ascii="宋体" w:hAnsi="宋体" w:eastAsia="宋体" w:cs="宋体"/>
                <w:kern w:val="2"/>
                <w:sz w:val="19"/>
                <w:szCs w:val="19"/>
                <w:lang w:val="en-US" w:eastAsia="zh-CN" w:bidi="ar-SA"/>
              </w:rPr>
            </w:pPr>
            <w:r>
              <w:rPr>
                <w:rFonts w:ascii="宋体" w:hAnsi="宋体" w:eastAsia="宋体" w:cs="宋体"/>
                <w:spacing w:val="-1"/>
                <w:sz w:val="19"/>
                <w:szCs w:val="19"/>
              </w:rPr>
              <w:t>VSCAN1508</w:t>
            </w:r>
          </w:p>
        </w:tc>
        <w:tc>
          <w:tcPr>
            <w:tcW w:w="840" w:type="dxa"/>
            <w:vMerge w:val="restart"/>
            <w:shd w:val="clear" w:color="auto" w:fill="auto"/>
            <w:vAlign w:val="center"/>
          </w:tcPr>
          <w:p w14:paraId="1D1A85A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年</w:t>
            </w:r>
          </w:p>
        </w:tc>
        <w:tc>
          <w:tcPr>
            <w:tcW w:w="776" w:type="dxa"/>
            <w:vMerge w:val="restart"/>
            <w:shd w:val="clear" w:color="auto" w:fill="auto"/>
            <w:vAlign w:val="center"/>
          </w:tcPr>
          <w:p w14:paraId="7091C18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w:t>
            </w:r>
          </w:p>
        </w:tc>
      </w:tr>
      <w:tr w14:paraId="21C2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shd w:val="clear" w:color="auto" w:fill="auto"/>
            <w:vAlign w:val="center"/>
          </w:tcPr>
          <w:p w14:paraId="171BE93B">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19</w:t>
            </w:r>
          </w:p>
        </w:tc>
        <w:tc>
          <w:tcPr>
            <w:tcW w:w="1080" w:type="dxa"/>
            <w:vMerge w:val="continue"/>
            <w:vAlign w:val="center"/>
          </w:tcPr>
          <w:p w14:paraId="6882AFF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2162" w:type="dxa"/>
            <w:vAlign w:val="center"/>
          </w:tcPr>
          <w:p w14:paraId="3E46FEA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2.网络安全防火墙USG6620E特征库更新服务。</w:t>
            </w:r>
          </w:p>
        </w:tc>
        <w:tc>
          <w:tcPr>
            <w:tcW w:w="4725" w:type="dxa"/>
            <w:vAlign w:val="center"/>
          </w:tcPr>
          <w:p w14:paraId="676B8A2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1.IPS特征库12个月(适用于USG6620E)。</w:t>
            </w:r>
          </w:p>
          <w:p w14:paraId="5899C38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2.AV特征库升级12个月(适用于 USG6620E)</w:t>
            </w:r>
          </w:p>
        </w:tc>
        <w:tc>
          <w:tcPr>
            <w:tcW w:w="3182" w:type="dxa"/>
            <w:shd w:val="clear"/>
            <w:vAlign w:val="top"/>
          </w:tcPr>
          <w:p w14:paraId="2BFC52A1">
            <w:pPr>
              <w:pStyle w:val="85"/>
              <w:spacing w:line="248" w:lineRule="auto"/>
            </w:pPr>
          </w:p>
          <w:p w14:paraId="579BD483">
            <w:pPr>
              <w:spacing w:before="62" w:line="183" w:lineRule="auto"/>
              <w:ind w:left="16" w:leftChars="0"/>
              <w:rPr>
                <w:rFonts w:hint="eastAsia" w:ascii="宋体" w:hAnsi="宋体" w:eastAsia="宋体" w:cs="宋体"/>
                <w:kern w:val="2"/>
                <w:sz w:val="19"/>
                <w:szCs w:val="19"/>
                <w:lang w:val="en-US" w:eastAsia="zh-CN" w:bidi="ar-SA"/>
              </w:rPr>
            </w:pPr>
            <w:r>
              <w:rPr>
                <w:rFonts w:ascii="宋体" w:hAnsi="宋体" w:eastAsia="宋体" w:cs="宋体"/>
                <w:spacing w:val="-1"/>
                <w:sz w:val="19"/>
                <w:szCs w:val="19"/>
              </w:rPr>
              <w:t>USG6620E</w:t>
            </w:r>
          </w:p>
        </w:tc>
        <w:tc>
          <w:tcPr>
            <w:tcW w:w="840" w:type="dxa"/>
            <w:vMerge w:val="continue"/>
            <w:vAlign w:val="center"/>
          </w:tcPr>
          <w:p w14:paraId="0100F66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776" w:type="dxa"/>
            <w:vMerge w:val="continue"/>
            <w:vAlign w:val="center"/>
          </w:tcPr>
          <w:p w14:paraId="55173D4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r>
      <w:tr w14:paraId="143A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157" w:type="dxa"/>
            <w:shd w:val="clear" w:color="auto" w:fill="auto"/>
            <w:vAlign w:val="center"/>
          </w:tcPr>
          <w:p w14:paraId="75F0D07A">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20</w:t>
            </w:r>
          </w:p>
        </w:tc>
        <w:tc>
          <w:tcPr>
            <w:tcW w:w="1080" w:type="dxa"/>
            <w:vAlign w:val="center"/>
          </w:tcPr>
          <w:p w14:paraId="6DF5CF3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安全培训服务</w:t>
            </w:r>
          </w:p>
        </w:tc>
        <w:tc>
          <w:tcPr>
            <w:tcW w:w="2162" w:type="dxa"/>
            <w:vAlign w:val="center"/>
          </w:tcPr>
          <w:p w14:paraId="35AE5EE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针对总站要求，制定合理培训计划和培训内容。</w:t>
            </w:r>
          </w:p>
        </w:tc>
        <w:tc>
          <w:tcPr>
            <w:tcW w:w="4725" w:type="dxa"/>
            <w:vAlign w:val="center"/>
          </w:tcPr>
          <w:p w14:paraId="2E060DA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每年国家网络安全宣传周供一次安全培训工作,培训内容根据当前网络安全前沿技术和发展方向制定《网络安全警示教育》《网络安全新型技术》等课题，邀请1名网络安全方面专家现场培训，最终根据用户实际需求制定培训计划和方案。</w:t>
            </w:r>
          </w:p>
          <w:p w14:paraId="696EF1E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2.定期对总站技术人员开展网络安全攻防演练培训工作,攻防演练培训的内容包括黑客攻击技术、攻击手法等内容。</w:t>
            </w:r>
          </w:p>
        </w:tc>
        <w:tc>
          <w:tcPr>
            <w:tcW w:w="3182" w:type="dxa"/>
            <w:shd w:val="clear" w:color="auto" w:fill="auto"/>
            <w:vAlign w:val="center"/>
          </w:tcPr>
          <w:p w14:paraId="4C36979B">
            <w:pPr>
              <w:keepNext w:val="0"/>
              <w:keepLines w:val="0"/>
              <w:widowControl/>
              <w:suppressLineNumbers w:val="0"/>
              <w:jc w:val="center"/>
              <w:textAlignment w:val="center"/>
              <w:rPr>
                <w:rFonts w:hint="eastAsia" w:ascii="宋体" w:hAnsi="宋体" w:cs="宋体"/>
                <w:i w:val="0"/>
                <w:iCs w:val="0"/>
                <w:color w:val="000000"/>
                <w:kern w:val="2"/>
                <w:sz w:val="18"/>
                <w:szCs w:val="18"/>
                <w:u w:val="none"/>
                <w:lang w:val="en-US" w:eastAsia="zh-CN" w:bidi="ar-SA"/>
              </w:rPr>
            </w:pPr>
            <w:r>
              <w:rPr>
                <w:rFonts w:ascii="宋体" w:hAnsi="宋体" w:eastAsia="宋体" w:cs="宋体"/>
                <w:spacing w:val="-2"/>
                <w:sz w:val="19"/>
                <w:szCs w:val="19"/>
              </w:rPr>
              <w:t>总站领导、技术管理和</w:t>
            </w:r>
            <w:r>
              <w:rPr>
                <w:rFonts w:ascii="宋体" w:hAnsi="宋体" w:eastAsia="宋体" w:cs="宋体"/>
                <w:spacing w:val="1"/>
                <w:sz w:val="19"/>
                <w:szCs w:val="19"/>
              </w:rPr>
              <w:t xml:space="preserve"> </w:t>
            </w:r>
            <w:r>
              <w:rPr>
                <w:rFonts w:ascii="宋体" w:hAnsi="宋体" w:eastAsia="宋体" w:cs="宋体"/>
                <w:spacing w:val="5"/>
                <w:sz w:val="19"/>
                <w:szCs w:val="19"/>
              </w:rPr>
              <w:t>运维人员</w:t>
            </w:r>
          </w:p>
        </w:tc>
        <w:tc>
          <w:tcPr>
            <w:tcW w:w="840" w:type="dxa"/>
            <w:shd w:val="clear" w:color="auto" w:fill="auto"/>
            <w:vAlign w:val="center"/>
          </w:tcPr>
          <w:p w14:paraId="213DC16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年</w:t>
            </w:r>
          </w:p>
        </w:tc>
        <w:tc>
          <w:tcPr>
            <w:tcW w:w="776" w:type="dxa"/>
            <w:shd w:val="clear" w:color="auto" w:fill="auto"/>
            <w:vAlign w:val="center"/>
          </w:tcPr>
          <w:p w14:paraId="3471DF6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w:t>
            </w:r>
          </w:p>
        </w:tc>
      </w:tr>
      <w:tr w14:paraId="5CCFA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shd w:val="clear" w:color="auto" w:fill="auto"/>
            <w:vAlign w:val="center"/>
          </w:tcPr>
          <w:p w14:paraId="01B02A38">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21</w:t>
            </w:r>
          </w:p>
        </w:tc>
        <w:tc>
          <w:tcPr>
            <w:tcW w:w="1080" w:type="dxa"/>
            <w:vAlign w:val="center"/>
          </w:tcPr>
          <w:p w14:paraId="0A49039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安全咨询服务</w:t>
            </w:r>
          </w:p>
        </w:tc>
        <w:tc>
          <w:tcPr>
            <w:tcW w:w="2162" w:type="dxa"/>
            <w:vAlign w:val="center"/>
          </w:tcPr>
          <w:p w14:paraId="0AD6428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咨询服务包括风险评估咨询、合规咨询、安全策略制定、应急响应规划等</w:t>
            </w:r>
          </w:p>
        </w:tc>
        <w:tc>
          <w:tcPr>
            <w:tcW w:w="4725" w:type="dxa"/>
            <w:vAlign w:val="center"/>
          </w:tcPr>
          <w:p w14:paraId="3FD31A9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结合总站需求和工作特殊性，需要强调业务和网络安全的合规性。总站的业务场景，比如移动警务、视频专网、大数据安全体系等，针对这些场景定制咨询方案。</w:t>
            </w:r>
          </w:p>
        </w:tc>
        <w:tc>
          <w:tcPr>
            <w:tcW w:w="3182" w:type="dxa"/>
            <w:vAlign w:val="center"/>
          </w:tcPr>
          <w:p w14:paraId="44BC4807">
            <w:pPr>
              <w:keepNext w:val="0"/>
              <w:keepLines w:val="0"/>
              <w:widowControl/>
              <w:suppressLineNumbers w:val="0"/>
              <w:jc w:val="left"/>
              <w:textAlignment w:val="center"/>
              <w:rPr>
                <w:rFonts w:hint="eastAsia" w:ascii="宋体" w:hAnsi="宋体" w:cs="宋体"/>
                <w:i w:val="0"/>
                <w:iCs w:val="0"/>
                <w:color w:val="000000"/>
                <w:kern w:val="2"/>
                <w:sz w:val="18"/>
                <w:szCs w:val="18"/>
                <w:u w:val="none"/>
                <w:lang w:val="en-US" w:eastAsia="zh-CN" w:bidi="ar-SA"/>
              </w:rPr>
            </w:pPr>
            <w:r>
              <w:rPr>
                <w:rFonts w:ascii="宋体" w:hAnsi="宋体" w:eastAsia="宋体" w:cs="宋体"/>
                <w:spacing w:val="-2"/>
                <w:sz w:val="19"/>
                <w:szCs w:val="19"/>
              </w:rPr>
              <w:t>总站及下属单位</w:t>
            </w:r>
          </w:p>
        </w:tc>
        <w:tc>
          <w:tcPr>
            <w:tcW w:w="840" w:type="dxa"/>
            <w:vAlign w:val="center"/>
          </w:tcPr>
          <w:p w14:paraId="53412F27">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年</w:t>
            </w:r>
          </w:p>
        </w:tc>
        <w:tc>
          <w:tcPr>
            <w:tcW w:w="776" w:type="dxa"/>
            <w:vAlign w:val="center"/>
          </w:tcPr>
          <w:p w14:paraId="67CB9314">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w:t>
            </w:r>
          </w:p>
        </w:tc>
      </w:tr>
    </w:tbl>
    <w:p w14:paraId="6C10D9D8">
      <w:pPr>
        <w:numPr>
          <w:ilvl w:val="0"/>
          <w:numId w:val="0"/>
        </w:numPr>
        <w:rPr>
          <w:rFonts w:hint="eastAsia" w:ascii="宋体" w:hAnsi="宋体" w:eastAsia="宋体" w:cs="宋体"/>
          <w:b/>
          <w:bCs/>
          <w:color w:val="auto"/>
          <w:kern w:val="2"/>
          <w:sz w:val="24"/>
          <w:szCs w:val="24"/>
          <w:highlight w:val="none"/>
          <w:lang w:val="en-US" w:eastAsia="zh-CN" w:bidi="ar-SA"/>
        </w:rPr>
        <w:sectPr>
          <w:pgSz w:w="16838" w:h="11906" w:orient="landscape"/>
          <w:pgMar w:top="1539" w:right="1417" w:bottom="1521" w:left="1347" w:header="0" w:footer="1171" w:gutter="0"/>
          <w:pgNumType w:fmt="decimal"/>
          <w:cols w:space="720" w:num="1"/>
        </w:sectPr>
      </w:pPr>
    </w:p>
    <w:p w14:paraId="6A6BE8C3">
      <w:pPr>
        <w:pStyle w:val="31"/>
        <w:rPr>
          <w:rFonts w:hint="eastAsia"/>
          <w:lang w:val="en-US" w:eastAsia="zh-CN"/>
        </w:rPr>
      </w:pPr>
    </w:p>
    <w:p w14:paraId="4C9AACF0">
      <w:pPr>
        <w:spacing w:before="75" w:line="360" w:lineRule="auto"/>
        <w:jc w:val="both"/>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w:t>
      </w:r>
      <w:r>
        <w:rPr>
          <w:rFonts w:hint="eastAsia" w:ascii="宋体" w:hAnsi="宋体" w:cs="宋体"/>
          <w:b/>
          <w:bCs/>
          <w:color w:val="auto"/>
          <w:kern w:val="2"/>
          <w:sz w:val="24"/>
          <w:szCs w:val="24"/>
          <w:highlight w:val="none"/>
          <w:lang w:val="en-US" w:eastAsia="zh-CN" w:bidi="ar-SA"/>
        </w:rPr>
        <w:t>0</w:t>
      </w:r>
      <w:r>
        <w:rPr>
          <w:rFonts w:hint="eastAsia" w:ascii="宋体" w:hAnsi="宋体" w:eastAsia="宋体" w:cs="宋体"/>
          <w:b/>
          <w:bCs/>
          <w:color w:val="auto"/>
          <w:kern w:val="2"/>
          <w:sz w:val="24"/>
          <w:szCs w:val="24"/>
          <w:highlight w:val="none"/>
          <w:lang w:val="en-US" w:eastAsia="zh-CN" w:bidi="ar-SA"/>
        </w:rPr>
        <w:t>.</w:t>
      </w:r>
      <w:r>
        <w:rPr>
          <w:rFonts w:hint="default" w:ascii="宋体" w:hAnsi="宋体" w:eastAsia="宋体" w:cs="宋体"/>
          <w:b/>
          <w:bCs/>
          <w:color w:val="auto"/>
          <w:kern w:val="2"/>
          <w:sz w:val="24"/>
          <w:szCs w:val="24"/>
          <w:highlight w:val="none"/>
          <w:lang w:val="en-US" w:eastAsia="zh-CN" w:bidi="ar-SA"/>
        </w:rPr>
        <w:t>履约</w:t>
      </w:r>
    </w:p>
    <w:p w14:paraId="3632E4EA">
      <w:pPr>
        <w:spacing w:before="75" w:line="360" w:lineRule="auto"/>
        <w:jc w:val="both"/>
        <w:rPr>
          <w:rFonts w:hint="default" w:ascii="宋体" w:hAnsi="宋体" w:eastAsia="宋体" w:cs="宋体"/>
          <w:b w:val="0"/>
          <w:color w:val="auto"/>
          <w:kern w:val="2"/>
          <w:sz w:val="24"/>
          <w:szCs w:val="24"/>
          <w:highlight w:val="none"/>
          <w:lang w:val="en-US" w:eastAsia="zh-CN" w:bidi="ar-SA"/>
        </w:rPr>
      </w:pPr>
      <w:r>
        <w:rPr>
          <w:rFonts w:hint="eastAsia" w:ascii="宋体" w:hAnsi="宋体" w:cs="宋体"/>
          <w:b w:val="0"/>
          <w:color w:val="auto"/>
          <w:kern w:val="2"/>
          <w:sz w:val="24"/>
          <w:szCs w:val="24"/>
          <w:highlight w:val="none"/>
          <w:lang w:val="en-US" w:eastAsia="zh-CN" w:bidi="ar-SA"/>
        </w:rPr>
        <w:t>（1）</w:t>
      </w:r>
      <w:r>
        <w:rPr>
          <w:rFonts w:hint="default" w:ascii="宋体" w:hAnsi="宋体" w:eastAsia="宋体" w:cs="宋体"/>
          <w:b w:val="0"/>
          <w:color w:val="auto"/>
          <w:kern w:val="2"/>
          <w:sz w:val="24"/>
          <w:szCs w:val="24"/>
          <w:highlight w:val="none"/>
          <w:lang w:val="en-US" w:eastAsia="zh-CN" w:bidi="ar-SA"/>
        </w:rPr>
        <w:t>履约验收主体</w:t>
      </w:r>
    </w:p>
    <w:p w14:paraId="3B7478B9">
      <w:pPr>
        <w:spacing w:before="75" w:line="360" w:lineRule="auto"/>
        <w:jc w:val="both"/>
        <w:rPr>
          <w:rFonts w:hint="default"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105410</wp:posOffset>
                </wp:positionV>
                <wp:extent cx="200025" cy="133350"/>
                <wp:effectExtent l="0" t="0" r="9525" b="0"/>
                <wp:wrapNone/>
                <wp:docPr id="1" name="任意多边形 1"/>
                <wp:cNvGraphicFramePr/>
                <a:graphic xmlns:a="http://schemas.openxmlformats.org/drawingml/2006/main">
                  <a:graphicData uri="http://schemas.microsoft.com/office/word/2010/wordprocessingShape">
                    <wps:wsp>
                      <wps:cNvSpPr/>
                      <wps:spPr>
                        <a:xfrm>
                          <a:off x="0" y="0"/>
                          <a:ext cx="200025" cy="133350"/>
                        </a:xfrm>
                        <a:custGeom>
                          <a:avLst/>
                          <a:gdLst/>
                          <a:ahLst/>
                          <a:cxnLst/>
                          <a:pathLst>
                            <a:path w="1360" h="1358">
                              <a:moveTo>
                                <a:pt x="1331" y="0"/>
                              </a:moveTo>
                              <a:lnTo>
                                <a:pt x="1360" y="54"/>
                              </a:lnTo>
                              <a:lnTo>
                                <a:pt x="1287" y="109"/>
                              </a:lnTo>
                              <a:lnTo>
                                <a:pt x="1216" y="169"/>
                              </a:lnTo>
                              <a:lnTo>
                                <a:pt x="1145" y="232"/>
                              </a:lnTo>
                              <a:lnTo>
                                <a:pt x="1076" y="299"/>
                              </a:lnTo>
                              <a:lnTo>
                                <a:pt x="1007" y="368"/>
                              </a:lnTo>
                              <a:lnTo>
                                <a:pt x="941" y="443"/>
                              </a:lnTo>
                              <a:lnTo>
                                <a:pt x="876" y="520"/>
                              </a:lnTo>
                              <a:lnTo>
                                <a:pt x="813" y="602"/>
                              </a:lnTo>
                              <a:lnTo>
                                <a:pt x="751" y="685"/>
                              </a:lnTo>
                              <a:lnTo>
                                <a:pt x="693" y="765"/>
                              </a:lnTo>
                              <a:lnTo>
                                <a:pt x="642" y="848"/>
                              </a:lnTo>
                              <a:lnTo>
                                <a:pt x="594" y="930"/>
                              </a:lnTo>
                              <a:lnTo>
                                <a:pt x="551" y="1011"/>
                              </a:lnTo>
                              <a:lnTo>
                                <a:pt x="511" y="1091"/>
                              </a:lnTo>
                              <a:lnTo>
                                <a:pt x="476" y="1172"/>
                              </a:lnTo>
                              <a:lnTo>
                                <a:pt x="446" y="1251"/>
                              </a:lnTo>
                              <a:lnTo>
                                <a:pt x="401" y="1281"/>
                              </a:lnTo>
                              <a:lnTo>
                                <a:pt x="375" y="1300"/>
                              </a:lnTo>
                              <a:lnTo>
                                <a:pt x="348" y="1320"/>
                              </a:lnTo>
                              <a:lnTo>
                                <a:pt x="325" y="1339"/>
                              </a:lnTo>
                              <a:lnTo>
                                <a:pt x="304" y="1358"/>
                              </a:lnTo>
                              <a:lnTo>
                                <a:pt x="298" y="1337"/>
                              </a:lnTo>
                              <a:lnTo>
                                <a:pt x="290" y="1310"/>
                              </a:lnTo>
                              <a:lnTo>
                                <a:pt x="279" y="1276"/>
                              </a:lnTo>
                              <a:lnTo>
                                <a:pt x="263" y="1237"/>
                              </a:lnTo>
                              <a:lnTo>
                                <a:pt x="240" y="1178"/>
                              </a:lnTo>
                              <a:lnTo>
                                <a:pt x="221" y="1132"/>
                              </a:lnTo>
                              <a:lnTo>
                                <a:pt x="204" y="1088"/>
                              </a:lnTo>
                              <a:lnTo>
                                <a:pt x="186" y="1049"/>
                              </a:lnTo>
                              <a:lnTo>
                                <a:pt x="171" y="1013"/>
                              </a:lnTo>
                              <a:lnTo>
                                <a:pt x="156" y="982"/>
                              </a:lnTo>
                              <a:lnTo>
                                <a:pt x="140" y="953"/>
                              </a:lnTo>
                              <a:lnTo>
                                <a:pt x="125" y="928"/>
                              </a:lnTo>
                              <a:lnTo>
                                <a:pt x="111" y="907"/>
                              </a:lnTo>
                              <a:lnTo>
                                <a:pt x="100" y="890"/>
                              </a:lnTo>
                              <a:lnTo>
                                <a:pt x="86" y="873"/>
                              </a:lnTo>
                              <a:lnTo>
                                <a:pt x="71" y="859"/>
                              </a:lnTo>
                              <a:lnTo>
                                <a:pt x="58" y="848"/>
                              </a:lnTo>
                              <a:lnTo>
                                <a:pt x="44" y="838"/>
                              </a:lnTo>
                              <a:lnTo>
                                <a:pt x="29" y="832"/>
                              </a:lnTo>
                              <a:lnTo>
                                <a:pt x="15" y="827"/>
                              </a:lnTo>
                              <a:lnTo>
                                <a:pt x="0" y="825"/>
                              </a:lnTo>
                              <a:lnTo>
                                <a:pt x="19" y="806"/>
                              </a:lnTo>
                              <a:lnTo>
                                <a:pt x="38" y="790"/>
                              </a:lnTo>
                              <a:lnTo>
                                <a:pt x="58" y="777"/>
                              </a:lnTo>
                              <a:lnTo>
                                <a:pt x="77" y="765"/>
                              </a:lnTo>
                              <a:lnTo>
                                <a:pt x="94" y="758"/>
                              </a:lnTo>
                              <a:lnTo>
                                <a:pt x="109" y="752"/>
                              </a:lnTo>
                              <a:lnTo>
                                <a:pt x="127" y="748"/>
                              </a:lnTo>
                              <a:lnTo>
                                <a:pt x="142" y="746"/>
                              </a:lnTo>
                              <a:lnTo>
                                <a:pt x="163" y="750"/>
                              </a:lnTo>
                              <a:lnTo>
                                <a:pt x="184" y="761"/>
                              </a:lnTo>
                              <a:lnTo>
                                <a:pt x="207" y="779"/>
                              </a:lnTo>
                              <a:lnTo>
                                <a:pt x="231" y="806"/>
                              </a:lnTo>
                              <a:lnTo>
                                <a:pt x="254" y="838"/>
                              </a:lnTo>
                              <a:lnTo>
                                <a:pt x="277" y="878"/>
                              </a:lnTo>
                              <a:lnTo>
                                <a:pt x="302" y="924"/>
                              </a:lnTo>
                              <a:lnTo>
                                <a:pt x="327" y="980"/>
                              </a:lnTo>
                              <a:lnTo>
                                <a:pt x="363" y="1063"/>
                              </a:lnTo>
                              <a:lnTo>
                                <a:pt x="409" y="982"/>
                              </a:lnTo>
                              <a:lnTo>
                                <a:pt x="457" y="901"/>
                              </a:lnTo>
                              <a:lnTo>
                                <a:pt x="507" y="823"/>
                              </a:lnTo>
                              <a:lnTo>
                                <a:pt x="561" y="744"/>
                              </a:lnTo>
                              <a:lnTo>
                                <a:pt x="615" y="669"/>
                              </a:lnTo>
                              <a:lnTo>
                                <a:pt x="672" y="596"/>
                              </a:lnTo>
                              <a:lnTo>
                                <a:pt x="732" y="524"/>
                              </a:lnTo>
                              <a:lnTo>
                                <a:pt x="795" y="453"/>
                              </a:lnTo>
                              <a:lnTo>
                                <a:pt x="859" y="385"/>
                              </a:lnTo>
                              <a:lnTo>
                                <a:pt x="924" y="320"/>
                              </a:lnTo>
                              <a:lnTo>
                                <a:pt x="989" y="259"/>
                              </a:lnTo>
                              <a:lnTo>
                                <a:pt x="1055" y="199"/>
                              </a:lnTo>
                              <a:lnTo>
                                <a:pt x="1124" y="144"/>
                              </a:lnTo>
                              <a:lnTo>
                                <a:pt x="1191" y="92"/>
                              </a:lnTo>
                              <a:lnTo>
                                <a:pt x="1260" y="44"/>
                              </a:lnTo>
                              <a:lnTo>
                                <a:pt x="1331" y="0"/>
                              </a:lnTo>
                              <a:close/>
                            </a:path>
                          </a:pathLst>
                        </a:custGeom>
                        <a:solidFill>
                          <a:srgbClr val="000000"/>
                        </a:solidFill>
                        <a:ln>
                          <a:noFill/>
                        </a:ln>
                      </wps:spPr>
                      <wps:bodyPr lIns="68580" tIns="34290" rIns="68580" bIns="34290" upright="1"/>
                    </wps:wsp>
                  </a:graphicData>
                </a:graphic>
              </wp:anchor>
            </w:drawing>
          </mc:Choice>
          <mc:Fallback>
            <w:pict>
              <v:shape id="_x0000_s1026" o:spid="_x0000_s1026" o:spt="100" style="position:absolute;left:0pt;margin-left:1.8pt;margin-top:8.3pt;height:10.5pt;width:15.75pt;z-index:251661312;mso-width-relative:page;mso-height-relative:page;" fillcolor="#000000" filled="t" stroked="f" coordsize="1360,1358" o:gfxdata="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" path="m1331,0l1360,54,1287,109,1216,169,1145,232,1076,299,1007,368,941,443,876,520,813,602,751,685,693,765,642,848,594,930,551,1011,511,1091,476,1172,446,1251,401,1281,375,1300,348,1320,325,1339,304,1358,298,1337,290,1310,279,1276,263,1237,240,1178,221,1132,204,1088,186,1049,171,1013,156,982,140,953,125,928,111,907,100,890,86,873,71,859,58,848,44,838,29,832,15,827,0,825,19,806,38,790,58,777,77,765,94,758,109,752,127,748,142,746,163,750,184,761,207,779,231,806,254,838,277,878,302,924,327,980,363,1063,409,982,457,901,507,823,561,744,615,669,672,596,732,524,795,453,859,385,924,320,989,259,1055,199,1124,144,1191,92,1260,44,1331,0xe">
                <v:fill on="t" focussize="0,0"/>
                <v:stroke on="f"/>
                <v:imagedata o:title=""/>
                <o:lock v:ext="edit" aspectratio="f"/>
                <v:textbox inset="1.905mm,0.9525mm,1.905mm,0.9525mm"/>
              </v:shape>
            </w:pict>
          </mc:Fallback>
        </mc:AlternateContent>
      </w:r>
      <w:r>
        <w:rPr>
          <w:rFonts w:hint="default" w:ascii="宋体" w:hAnsi="宋体" w:eastAsia="宋体" w:cs="宋体"/>
          <w:b w:val="0"/>
          <w:bCs w:val="0"/>
          <w:color w:val="auto"/>
          <w:kern w:val="2"/>
          <w:sz w:val="24"/>
          <w:szCs w:val="24"/>
          <w:highlight w:val="none"/>
          <w:lang w:val="en-US" w:eastAsia="zh-CN" w:bidi="ar-SA"/>
        </w:rPr>
        <w:t xml:space="preserve">□采购人：   </w:t>
      </w:r>
      <w:r>
        <w:rPr>
          <w:rFonts w:hint="eastAsia" w:ascii="宋体" w:hAnsi="宋体" w:eastAsia="宋体" w:cs="宋体"/>
          <w:b w:val="0"/>
          <w:bCs w:val="0"/>
          <w:color w:val="auto"/>
          <w:kern w:val="2"/>
          <w:sz w:val="24"/>
          <w:szCs w:val="24"/>
          <w:highlight w:val="none"/>
          <w:lang w:val="en-US" w:eastAsia="zh-CN" w:bidi="ar-SA"/>
        </w:rPr>
        <w:t>信息科技处</w:t>
      </w:r>
      <w:r>
        <w:rPr>
          <w:rFonts w:hint="default" w:ascii="宋体" w:hAnsi="宋体" w:eastAsia="宋体" w:cs="宋体"/>
          <w:b w:val="0"/>
          <w:bCs w:val="0"/>
          <w:color w:val="auto"/>
          <w:kern w:val="2"/>
          <w:sz w:val="24"/>
          <w:szCs w:val="24"/>
          <w:highlight w:val="none"/>
          <w:lang w:val="en-US" w:eastAsia="zh-CN" w:bidi="ar-SA"/>
        </w:rPr>
        <w:t xml:space="preserve">     </w:t>
      </w:r>
      <w:r>
        <w:rPr>
          <w:rFonts w:hint="eastAsia" w:ascii="宋体" w:hAnsi="宋体" w:eastAsia="宋体" w:cs="宋体"/>
          <w:b w:val="0"/>
          <w:bCs w:val="0"/>
          <w:color w:val="auto"/>
          <w:kern w:val="2"/>
          <w:sz w:val="24"/>
          <w:szCs w:val="24"/>
          <w:highlight w:val="none"/>
          <w:lang w:val="en-US" w:eastAsia="zh-CN" w:bidi="ar-SA"/>
        </w:rPr>
        <w:t xml:space="preserve">   </w:t>
      </w:r>
      <w:r>
        <w:rPr>
          <w:rFonts w:hint="default" w:ascii="宋体" w:hAnsi="宋体" w:eastAsia="宋体" w:cs="宋体"/>
          <w:b w:val="0"/>
          <w:bCs w:val="0"/>
          <w:color w:val="auto"/>
          <w:kern w:val="2"/>
          <w:sz w:val="24"/>
          <w:szCs w:val="24"/>
          <w:highlight w:val="none"/>
          <w:lang w:val="en-US" w:eastAsia="zh-CN" w:bidi="ar-SA"/>
        </w:rPr>
        <w:t xml:space="preserve">           </w:t>
      </w:r>
    </w:p>
    <w:p w14:paraId="47B72B36">
      <w:pPr>
        <w:spacing w:before="75" w:line="360" w:lineRule="auto"/>
        <w:jc w:val="both"/>
        <w:rPr>
          <w:rFonts w:hint="default"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w:t>
      </w:r>
      <w:r>
        <w:rPr>
          <w:rFonts w:hint="default" w:ascii="宋体" w:hAnsi="宋体" w:eastAsia="宋体" w:cs="宋体"/>
          <w:b w:val="0"/>
          <w:bCs w:val="0"/>
          <w:color w:val="auto"/>
          <w:kern w:val="2"/>
          <w:sz w:val="24"/>
          <w:szCs w:val="24"/>
          <w:highlight w:val="none"/>
          <w:lang w:val="en-US" w:eastAsia="zh-CN" w:bidi="ar-SA"/>
        </w:rPr>
        <w:t>履约验收时间</w:t>
      </w:r>
    </w:p>
    <w:p w14:paraId="5E65F150">
      <w:pPr>
        <w:spacing w:before="75" w:line="360" w:lineRule="auto"/>
        <w:jc w:val="both"/>
        <w:rPr>
          <w:rFonts w:hint="eastAsia" w:ascii="宋体" w:hAnsi="宋体" w:eastAsia="宋体" w:cs="宋体"/>
          <w:b w:val="0"/>
          <w:bCs w:val="0"/>
          <w:color w:val="auto"/>
          <w:kern w:val="2"/>
          <w:sz w:val="24"/>
          <w:szCs w:val="24"/>
          <w:highlight w:val="none"/>
          <w:lang w:val="en-US" w:eastAsia="zh-CN" w:bidi="ar-SA"/>
        </w:rPr>
      </w:pPr>
      <w:r>
        <w:rPr>
          <w:rFonts w:hint="default" w:ascii="宋体" w:hAnsi="宋体" w:eastAsia="宋体" w:cs="宋体"/>
          <w:color w:val="000000"/>
          <w:kern w:val="0"/>
          <w:sz w:val="24"/>
          <w:highlight w:val="none"/>
          <w:lang w:val="en-US" w:eastAsia="zh-CN"/>
        </w:rPr>
        <w:t>合同服务期截止后在</w:t>
      </w:r>
      <w:r>
        <w:rPr>
          <w:rFonts w:hint="eastAsia" w:ascii="宋体" w:hAnsi="宋体" w:eastAsia="宋体" w:cs="宋体"/>
          <w:color w:val="000000"/>
          <w:kern w:val="0"/>
          <w:sz w:val="24"/>
          <w:highlight w:val="none"/>
          <w:lang w:val="en-US" w:eastAsia="zh-CN"/>
        </w:rPr>
        <w:t>新疆出入境边防检查总站开展验收工作。</w:t>
      </w:r>
    </w:p>
    <w:p w14:paraId="1987CF54">
      <w:pPr>
        <w:spacing w:before="75" w:line="360" w:lineRule="auto"/>
        <w:jc w:val="both"/>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w:t>
      </w:r>
      <w:r>
        <w:rPr>
          <w:rFonts w:hint="default" w:ascii="宋体" w:hAnsi="宋体" w:eastAsia="宋体" w:cs="宋体"/>
          <w:b w:val="0"/>
          <w:bCs w:val="0"/>
          <w:color w:val="auto"/>
          <w:kern w:val="2"/>
          <w:sz w:val="24"/>
          <w:szCs w:val="24"/>
          <w:highlight w:val="none"/>
          <w:lang w:val="en-US" w:eastAsia="zh-CN" w:bidi="ar-SA"/>
        </w:rPr>
        <w:t>履约验收方式</w:t>
      </w:r>
    </w:p>
    <w:p w14:paraId="6FDE723B">
      <w:pPr>
        <w:spacing w:before="75" w:line="360" w:lineRule="auto"/>
        <w:jc w:val="both"/>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启用一般程序由信息科技处牵头组织验收</w:t>
      </w:r>
      <w:r>
        <w:rPr>
          <w:rFonts w:hint="default" w:ascii="宋体" w:hAnsi="宋体" w:eastAsia="宋体" w:cs="宋体"/>
          <w:b w:val="0"/>
          <w:bCs w:val="0"/>
          <w:color w:val="auto"/>
          <w:kern w:val="2"/>
          <w:sz w:val="24"/>
          <w:szCs w:val="24"/>
          <w:highlight w:val="none"/>
          <w:lang w:val="en-US" w:eastAsia="zh-CN" w:bidi="ar-SA"/>
        </w:rPr>
        <w:t xml:space="preserve">                                             </w:t>
      </w:r>
    </w:p>
    <w:p w14:paraId="5F13757E">
      <w:pPr>
        <w:spacing w:before="75" w:line="360" w:lineRule="auto"/>
        <w:jc w:val="both"/>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r>
        <w:rPr>
          <w:rFonts w:hint="default" w:ascii="宋体" w:hAnsi="宋体" w:eastAsia="宋体" w:cs="宋体"/>
          <w:b w:val="0"/>
          <w:bCs w:val="0"/>
          <w:color w:val="auto"/>
          <w:kern w:val="2"/>
          <w:sz w:val="24"/>
          <w:szCs w:val="24"/>
          <w:highlight w:val="none"/>
          <w:lang w:val="en-US" w:eastAsia="zh-CN" w:bidi="ar-SA"/>
        </w:rPr>
        <w:t>履约验收程序</w:t>
      </w:r>
    </w:p>
    <w:p w14:paraId="3C2269D0">
      <w:pPr>
        <w:spacing w:before="75" w:line="360" w:lineRule="auto"/>
        <w:jc w:val="both"/>
        <w:rPr>
          <w:rFonts w:hint="eastAsia"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启动验收。乙方按甲方要求完成服务后，由供应商向采购需求部门发送项目验收申请，由信息科技处呈批验收请示。</w:t>
      </w:r>
    </w:p>
    <w:p w14:paraId="7643B0FB">
      <w:pPr>
        <w:spacing w:before="75" w:line="360" w:lineRule="auto"/>
        <w:jc w:val="both"/>
        <w:rPr>
          <w:rFonts w:hint="eastAsia"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供应商提供验收所需资料。主要包括网络安全技术服务报告及其相关资料。</w:t>
      </w:r>
    </w:p>
    <w:p w14:paraId="034EC8CA">
      <w:pPr>
        <w:spacing w:before="75" w:line="360" w:lineRule="auto"/>
        <w:jc w:val="both"/>
        <w:rPr>
          <w:rFonts w:hint="eastAsia"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成立验收小组。由信息科技处处牵头成立验收小组，验收小组应当由3人以上单数组成，验收小组按照合同约定的内容开展项目验收工作。</w:t>
      </w:r>
    </w:p>
    <w:p w14:paraId="1D945C7F">
      <w:pPr>
        <w:spacing w:before="75" w:line="360" w:lineRule="auto"/>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（4）验收结束后，验收小组出具验收报告。验收小组成员根据验收报告明确验收意见，并盖章确认。</w:t>
      </w:r>
    </w:p>
    <w:p w14:paraId="19AE24D0">
      <w:pPr>
        <w:spacing w:before="75" w:line="360" w:lineRule="auto"/>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（5）验收不合格的处理。履约验收不合格的，信息科技处向供应商发出整改通知书，整改结束后由供应商对接验收组织主体重新验收。</w:t>
      </w:r>
    </w:p>
    <w:p w14:paraId="2A324C3F">
      <w:pPr>
        <w:spacing w:before="75" w:line="360" w:lineRule="auto"/>
        <w:jc w:val="both"/>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（6）验收档案收集及保存。履约验收完成后，由信息科技处收集验收报告留存备查。</w:t>
      </w:r>
      <w:r>
        <w:rPr>
          <w:rFonts w:hint="default" w:ascii="宋体" w:hAnsi="宋体" w:eastAsia="宋体" w:cs="宋体"/>
          <w:b w:val="0"/>
          <w:bCs w:val="0"/>
          <w:color w:val="auto"/>
          <w:kern w:val="2"/>
          <w:sz w:val="24"/>
          <w:szCs w:val="24"/>
          <w:highlight w:val="none"/>
          <w:lang w:val="en-US" w:eastAsia="zh-CN" w:bidi="ar-SA"/>
        </w:rPr>
        <w:t xml:space="preserve">   </w:t>
      </w:r>
    </w:p>
    <w:p w14:paraId="2D8E4058">
      <w:pPr>
        <w:spacing w:before="75" w:line="360" w:lineRule="auto"/>
        <w:jc w:val="both"/>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w:t>
      </w:r>
      <w:r>
        <w:rPr>
          <w:rFonts w:hint="default" w:ascii="宋体" w:hAnsi="宋体" w:eastAsia="宋体" w:cs="宋体"/>
          <w:b w:val="0"/>
          <w:bCs w:val="0"/>
          <w:color w:val="auto"/>
          <w:kern w:val="2"/>
          <w:sz w:val="24"/>
          <w:szCs w:val="24"/>
          <w:highlight w:val="none"/>
          <w:lang w:val="en-US" w:eastAsia="zh-CN" w:bidi="ar-SA"/>
        </w:rPr>
        <w:t>履约验收内容</w:t>
      </w:r>
    </w:p>
    <w:p w14:paraId="01B9989B">
      <w:pPr>
        <w:spacing w:before="75" w:line="360" w:lineRule="auto"/>
        <w:jc w:val="both"/>
        <w:rPr>
          <w:rFonts w:hint="default"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CN" w:bidi="ar-SA"/>
        </w:rPr>
        <w:t>5.1技术履约内容</w:t>
      </w:r>
    </w:p>
    <w:p w14:paraId="5BE06012">
      <w:pPr>
        <w:spacing w:before="75" w:line="360" w:lineRule="auto"/>
        <w:jc w:val="both"/>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乙方应向甲方提供的资料、数据、材料或样品：日常渗透、巡检记录、工作总结报告和合同要求的其它事项。</w:t>
      </w:r>
    </w:p>
    <w:p w14:paraId="77F9B028">
      <w:pPr>
        <w:spacing w:before="75" w:line="360" w:lineRule="auto"/>
        <w:jc w:val="both"/>
        <w:rPr>
          <w:rFonts w:hint="default"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CN" w:bidi="ar-SA"/>
        </w:rPr>
        <w:t>5.2商务履约内容</w:t>
      </w:r>
    </w:p>
    <w:p w14:paraId="30924E85">
      <w:pPr>
        <w:spacing w:before="75" w:line="360" w:lineRule="auto"/>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对照合同查看项目完成期限，服务内容是否全部完成</w:t>
      </w:r>
    </w:p>
    <w:p w14:paraId="394CAA5A">
      <w:pPr>
        <w:spacing w:before="75" w:line="360" w:lineRule="auto"/>
        <w:jc w:val="both"/>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w:t>
      </w:r>
      <w:r>
        <w:rPr>
          <w:rFonts w:hint="default" w:ascii="宋体" w:hAnsi="宋体" w:eastAsia="宋体" w:cs="宋体"/>
          <w:b w:val="0"/>
          <w:bCs w:val="0"/>
          <w:color w:val="auto"/>
          <w:kern w:val="2"/>
          <w:sz w:val="24"/>
          <w:szCs w:val="24"/>
          <w:highlight w:val="none"/>
          <w:lang w:val="en-US" w:eastAsia="zh-CN" w:bidi="ar-SA"/>
        </w:rPr>
        <w:t>履约验收标准</w:t>
      </w:r>
    </w:p>
    <w:p w14:paraId="61F1E96D">
      <w:pPr>
        <w:spacing w:before="75" w:line="360" w:lineRule="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服务提供方向总站提供服务过程中所交付的资料和成果演示，验收后出具项目验收报告，作为验收结果的书面材料。完全满足测评要求为验收合格。</w:t>
      </w:r>
      <w:r>
        <w:rPr>
          <w:rFonts w:hint="default" w:ascii="宋体" w:hAnsi="宋体" w:eastAsia="宋体" w:cs="宋体"/>
          <w:b w:val="0"/>
          <w:bCs w:val="0"/>
          <w:color w:val="auto"/>
          <w:kern w:val="2"/>
          <w:sz w:val="24"/>
          <w:szCs w:val="24"/>
          <w:highlight w:val="none"/>
          <w:lang w:val="en-US" w:eastAsia="zh-CN" w:bidi="ar-SA"/>
        </w:rPr>
        <w:t xml:space="preserve"> </w:t>
      </w:r>
      <w:r>
        <w:rPr>
          <w:rFonts w:hint="eastAsia" w:ascii="宋体" w:hAnsi="宋体" w:eastAsia="宋体" w:cs="宋体"/>
          <w:b w:val="0"/>
          <w:bCs w:val="0"/>
          <w:color w:val="auto"/>
          <w:kern w:val="2"/>
          <w:sz w:val="24"/>
          <w:szCs w:val="24"/>
          <w:highlight w:val="none"/>
          <w:lang w:val="en-US" w:eastAsia="zh-CN" w:bidi="ar-SA"/>
        </w:rPr>
        <w:t xml:space="preserve">    </w:t>
      </w:r>
      <w:r>
        <w:rPr>
          <w:rFonts w:hint="eastAsia" w:ascii="宋体" w:hAnsi="宋体" w:eastAsia="宋体" w:cs="宋体"/>
          <w:color w:val="auto"/>
          <w:sz w:val="24"/>
          <w:szCs w:val="24"/>
          <w:highlight w:val="none"/>
        </w:rPr>
        <w:br w:type="page"/>
      </w:r>
    </w:p>
    <w:p w14:paraId="661A8F4B">
      <w:pPr>
        <w:spacing w:before="75"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II</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3"/>
          <w:sz w:val="24"/>
          <w:szCs w:val="24"/>
          <w:highlight w:val="none"/>
        </w:rPr>
        <w:t>技术要求</w:t>
      </w:r>
    </w:p>
    <w:p w14:paraId="7CF1A5EB">
      <w:pPr>
        <w:pStyle w:val="9"/>
        <w:rPr>
          <w:rFonts w:hint="eastAsia" w:ascii="宋体" w:hAnsi="宋体" w:eastAsia="宋体" w:cs="宋体"/>
        </w:rPr>
      </w:pPr>
    </w:p>
    <w:p w14:paraId="476D8E85">
      <w:pPr>
        <w:pStyle w:val="8"/>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一、采购标的需实现的功能或者目标</w:t>
      </w:r>
    </w:p>
    <w:p w14:paraId="419BFB8D">
      <w:pPr>
        <w:spacing w:before="75" w:line="360" w:lineRule="auto"/>
        <w:jc w:val="both"/>
        <w:rPr>
          <w:rFonts w:hint="default"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CN" w:bidi="ar-SA"/>
        </w:rPr>
        <w:t>1.采购标的需实现的功能</w:t>
      </w:r>
    </w:p>
    <w:p w14:paraId="251FB1A9">
      <w:pPr>
        <w:spacing w:before="75" w:line="360" w:lineRule="auto"/>
        <w:jc w:val="both"/>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r>
        <w:rPr>
          <w:rFonts w:hint="default" w:ascii="宋体" w:hAnsi="宋体" w:eastAsia="宋体" w:cs="宋体"/>
          <w:b w:val="0"/>
          <w:bCs w:val="0"/>
          <w:color w:val="auto"/>
          <w:kern w:val="2"/>
          <w:sz w:val="24"/>
          <w:szCs w:val="24"/>
          <w:highlight w:val="none"/>
          <w:lang w:val="en-US" w:eastAsia="zh-CN" w:bidi="ar-SA"/>
        </w:rPr>
        <w:t>保证总站的业务稳定正常，全力保障各级应用系统平台的正常运行；</w:t>
      </w:r>
      <w:r>
        <w:rPr>
          <w:rFonts w:hint="eastAsia" w:ascii="宋体" w:hAnsi="宋体" w:eastAsia="宋体" w:cs="宋体"/>
          <w:b w:val="0"/>
          <w:bCs w:val="0"/>
          <w:color w:val="auto"/>
          <w:kern w:val="2"/>
          <w:sz w:val="24"/>
          <w:szCs w:val="24"/>
          <w:highlight w:val="none"/>
          <w:lang w:val="en-US" w:eastAsia="zh-CN" w:bidi="ar-SA"/>
        </w:rPr>
        <w:t>（2）</w:t>
      </w:r>
      <w:r>
        <w:rPr>
          <w:rFonts w:hint="default" w:ascii="宋体" w:hAnsi="宋体" w:eastAsia="宋体" w:cs="宋体"/>
          <w:b w:val="0"/>
          <w:bCs w:val="0"/>
          <w:color w:val="auto"/>
          <w:kern w:val="2"/>
          <w:sz w:val="24"/>
          <w:szCs w:val="24"/>
          <w:highlight w:val="none"/>
          <w:lang w:val="en-US" w:eastAsia="zh-CN" w:bidi="ar-SA"/>
        </w:rPr>
        <w:t>建立合理高效的服务组织，保证服务请求能够得到及时有效的响应；同时建立能够满足维护需求的服务资源配备。</w:t>
      </w:r>
    </w:p>
    <w:p w14:paraId="5D2F7403">
      <w:pPr>
        <w:spacing w:before="75" w:line="360" w:lineRule="auto"/>
        <w:jc w:val="both"/>
        <w:rPr>
          <w:rFonts w:hint="default"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CN" w:bidi="ar-SA"/>
        </w:rPr>
        <w:t>2.采购标的需实现的目标</w:t>
      </w:r>
    </w:p>
    <w:p w14:paraId="3E516186">
      <w:pPr>
        <w:spacing w:before="75" w:line="360" w:lineRule="auto"/>
        <w:jc w:val="both"/>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r>
        <w:rPr>
          <w:rFonts w:hint="default" w:ascii="宋体" w:hAnsi="宋体" w:eastAsia="宋体" w:cs="宋体"/>
          <w:b w:val="0"/>
          <w:bCs w:val="0"/>
          <w:color w:val="auto"/>
          <w:kern w:val="2"/>
          <w:sz w:val="24"/>
          <w:szCs w:val="24"/>
          <w:highlight w:val="none"/>
          <w:lang w:val="en-US" w:eastAsia="zh-CN" w:bidi="ar-SA"/>
        </w:rPr>
        <w:t>提升安全识别能力；</w:t>
      </w:r>
      <w:r>
        <w:rPr>
          <w:rFonts w:hint="eastAsia" w:ascii="宋体" w:hAnsi="宋体" w:eastAsia="宋体" w:cs="宋体"/>
          <w:b w:val="0"/>
          <w:bCs w:val="0"/>
          <w:color w:val="auto"/>
          <w:kern w:val="2"/>
          <w:sz w:val="24"/>
          <w:szCs w:val="24"/>
          <w:highlight w:val="none"/>
          <w:lang w:val="en-US" w:eastAsia="zh-CN" w:bidi="ar-SA"/>
        </w:rPr>
        <w:t>（2）</w:t>
      </w:r>
      <w:r>
        <w:rPr>
          <w:rFonts w:hint="default" w:ascii="宋体" w:hAnsi="宋体" w:eastAsia="宋体" w:cs="宋体"/>
          <w:b w:val="0"/>
          <w:bCs w:val="0"/>
          <w:color w:val="auto"/>
          <w:kern w:val="2"/>
          <w:sz w:val="24"/>
          <w:szCs w:val="24"/>
          <w:highlight w:val="none"/>
          <w:lang w:val="en-US" w:eastAsia="zh-CN" w:bidi="ar-SA"/>
        </w:rPr>
        <w:t>辅助管理层决策；</w:t>
      </w:r>
      <w:r>
        <w:rPr>
          <w:rFonts w:hint="eastAsia" w:ascii="宋体" w:hAnsi="宋体" w:eastAsia="宋体" w:cs="宋体"/>
          <w:b w:val="0"/>
          <w:bCs w:val="0"/>
          <w:color w:val="auto"/>
          <w:kern w:val="2"/>
          <w:sz w:val="24"/>
          <w:szCs w:val="24"/>
          <w:highlight w:val="none"/>
          <w:lang w:val="en-US" w:eastAsia="zh-CN" w:bidi="ar-SA"/>
        </w:rPr>
        <w:t>（3）</w:t>
      </w:r>
      <w:r>
        <w:rPr>
          <w:rFonts w:hint="default" w:ascii="宋体" w:hAnsi="宋体" w:eastAsia="宋体" w:cs="宋体"/>
          <w:b w:val="0"/>
          <w:bCs w:val="0"/>
          <w:color w:val="auto"/>
          <w:kern w:val="2"/>
          <w:sz w:val="24"/>
          <w:szCs w:val="24"/>
          <w:highlight w:val="none"/>
          <w:lang w:val="en-US" w:eastAsia="zh-CN" w:bidi="ar-SA"/>
        </w:rPr>
        <w:t>满足合规检查。</w:t>
      </w:r>
    </w:p>
    <w:p w14:paraId="6F57ED25">
      <w:pPr>
        <w:pStyle w:val="9"/>
        <w:spacing w:line="360" w:lineRule="auto"/>
        <w:ind w:left="0" w:leftChars="0" w:firstLine="0" w:firstLineChars="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二、采购标的需满足的技术指标或者服务标准内容</w:t>
      </w:r>
    </w:p>
    <w:p w14:paraId="74ACA9AF">
      <w:pPr>
        <w:spacing w:before="75" w:line="360" w:lineRule="auto"/>
        <w:jc w:val="both"/>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（一）</w:t>
      </w:r>
      <w:r>
        <w:rPr>
          <w:rFonts w:hint="eastAsia" w:ascii="宋体" w:hAnsi="宋体" w:eastAsia="宋体" w:cs="宋体"/>
          <w:b w:val="0"/>
          <w:bCs w:val="0"/>
          <w:color w:val="auto"/>
          <w:kern w:val="2"/>
          <w:sz w:val="24"/>
          <w:szCs w:val="24"/>
          <w:highlight w:val="none"/>
          <w:lang w:val="en-US" w:eastAsia="zh-CN" w:bidi="ar-SA"/>
        </w:rPr>
        <w:t>采购需求：网络安全技术服务</w:t>
      </w:r>
    </w:p>
    <w:p w14:paraId="4016628C">
      <w:pPr>
        <w:spacing w:before="75" w:line="360" w:lineRule="auto"/>
        <w:jc w:val="both"/>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（二）</w:t>
      </w:r>
      <w:r>
        <w:rPr>
          <w:rFonts w:hint="eastAsia" w:ascii="宋体" w:hAnsi="宋体" w:eastAsia="宋体" w:cs="宋体"/>
          <w:b w:val="0"/>
          <w:bCs w:val="0"/>
          <w:color w:val="auto"/>
          <w:kern w:val="2"/>
          <w:sz w:val="24"/>
          <w:szCs w:val="24"/>
          <w:highlight w:val="none"/>
          <w:lang w:val="en-US" w:eastAsia="zh-CN" w:bidi="ar-SA"/>
        </w:rPr>
        <w:t>网络安全技术服务内容</w:t>
      </w:r>
    </w:p>
    <w:p w14:paraId="28C7B313">
      <w:pPr>
        <w:pStyle w:val="31"/>
        <w:keepNext w:val="0"/>
        <w:keepLines w:val="0"/>
        <w:pageBreakBefore w:val="0"/>
        <w:widowControl w:val="0"/>
        <w:kinsoku/>
        <w:wordWrap/>
        <w:overflowPunct/>
        <w:topLinePunct w:val="0"/>
        <w:autoSpaceDE/>
        <w:autoSpaceDN/>
        <w:bidi w:val="0"/>
        <w:adjustRightInd w:val="0"/>
        <w:snapToGrid/>
        <w:spacing w:after="0" w:line="360" w:lineRule="auto"/>
        <w:textAlignment w:val="baseline"/>
        <w:outlineLvl w:val="2"/>
        <w:rPr>
          <w:rFonts w:hint="default"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CN" w:bidi="ar-SA"/>
        </w:rPr>
        <w:t>1.安全运维和系统加固服务</w:t>
      </w:r>
    </w:p>
    <w:p w14:paraId="0D7B37C8">
      <w:pPr>
        <w:pStyle w:val="31"/>
        <w:keepNext w:val="0"/>
        <w:keepLines w:val="0"/>
        <w:pageBreakBefore w:val="0"/>
        <w:widowControl w:val="0"/>
        <w:kinsoku/>
        <w:wordWrap/>
        <w:overflowPunct/>
        <w:topLinePunct w:val="0"/>
        <w:autoSpaceDE/>
        <w:autoSpaceDN/>
        <w:bidi w:val="0"/>
        <w:adjustRightInd w:val="0"/>
        <w:snapToGrid/>
        <w:spacing w:after="0" w:line="360" w:lineRule="auto"/>
        <w:ind w:firstLine="240" w:firstLineChars="100"/>
        <w:textAlignment w:val="baseline"/>
        <w:rPr>
          <w:rFonts w:hint="default"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CN" w:bidi="ar-SA"/>
        </w:rPr>
        <w:t>（1）协助用户单位定期对公安网网络设备、安全设备（防火墙、IPS、漏洞扫描、杀毒软件、堡垒机、安全态势系统等）、存储系统运行状态进行检查和梳理。对申报的网络设备故障提供现场或远程支持，修复故障，提供报告。针对当前网络设备运行情况，给出优化建议并实施。</w:t>
      </w:r>
    </w:p>
    <w:p w14:paraId="59D59148">
      <w:pPr>
        <w:pStyle w:val="31"/>
        <w:keepNext w:val="0"/>
        <w:keepLines w:val="0"/>
        <w:pageBreakBefore w:val="0"/>
        <w:widowControl w:val="0"/>
        <w:kinsoku/>
        <w:wordWrap/>
        <w:overflowPunct/>
        <w:topLinePunct w:val="0"/>
        <w:autoSpaceDE/>
        <w:autoSpaceDN/>
        <w:bidi w:val="0"/>
        <w:adjustRightInd w:val="0"/>
        <w:snapToGrid/>
        <w:spacing w:after="0" w:line="360" w:lineRule="auto"/>
        <w:ind w:firstLine="240" w:firstLineChars="100"/>
        <w:textAlignment w:val="baseline"/>
        <w:rPr>
          <w:rFonts w:hint="default"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CN" w:bidi="ar-SA"/>
        </w:rPr>
        <w:t>（2）针对用户单位各类业务系统平台安全风险隐患，做好违规外联监测服务，通过网络违规行为监测分析系统识别公安网内存在的非法外联主机和网络、及时记录主机和网络IP地址并告警，并自动生成安全检测报告。</w:t>
      </w:r>
    </w:p>
    <w:p w14:paraId="12834367">
      <w:pPr>
        <w:pStyle w:val="31"/>
        <w:keepNext w:val="0"/>
        <w:keepLines w:val="0"/>
        <w:pageBreakBefore w:val="0"/>
        <w:widowControl w:val="0"/>
        <w:kinsoku/>
        <w:wordWrap/>
        <w:overflowPunct/>
        <w:topLinePunct w:val="0"/>
        <w:autoSpaceDE/>
        <w:autoSpaceDN/>
        <w:bidi w:val="0"/>
        <w:adjustRightInd w:val="0"/>
        <w:snapToGrid/>
        <w:spacing w:after="0" w:line="360" w:lineRule="auto"/>
        <w:ind w:firstLine="240" w:firstLineChars="100"/>
        <w:textAlignment w:val="baseline"/>
        <w:rPr>
          <w:rFonts w:hint="default"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CN" w:bidi="ar-SA"/>
        </w:rPr>
        <w:t>（3）提供违规外联整改服务，根据上级通报和扫描检查发现的违规外联问题，如：终端PC违规外联、服务器违规外联、网络设备违规外联，分析、归类并制定专项整改方案，提供5*8驻点及远程技术支持服务，协助完成整改。</w:t>
      </w:r>
    </w:p>
    <w:p w14:paraId="3052362A">
      <w:pPr>
        <w:pStyle w:val="31"/>
        <w:keepNext w:val="0"/>
        <w:keepLines w:val="0"/>
        <w:pageBreakBefore w:val="0"/>
        <w:widowControl w:val="0"/>
        <w:kinsoku/>
        <w:wordWrap/>
        <w:overflowPunct/>
        <w:topLinePunct w:val="0"/>
        <w:autoSpaceDE/>
        <w:autoSpaceDN/>
        <w:bidi w:val="0"/>
        <w:adjustRightInd w:val="0"/>
        <w:snapToGrid/>
        <w:spacing w:after="0" w:line="360" w:lineRule="auto"/>
        <w:ind w:firstLine="240" w:firstLineChars="100"/>
        <w:textAlignment w:val="baseline"/>
        <w:rPr>
          <w:rFonts w:hint="default"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CN" w:bidi="ar-SA"/>
        </w:rPr>
        <w:t>（4）提供漏洞修复服务，根据上级通报和扫描检查发现的漏洞问题，如：终端PC漏洞、服务器漏洞、数据库漏洞、网络及安全设备漏洞，分析、归类并制定专项整改方案，提供5*8驻点及远程技术支持服务，协助完成整改。</w:t>
      </w:r>
    </w:p>
    <w:p w14:paraId="2421A748">
      <w:pPr>
        <w:pStyle w:val="31"/>
        <w:keepNext w:val="0"/>
        <w:keepLines w:val="0"/>
        <w:pageBreakBefore w:val="0"/>
        <w:widowControl w:val="0"/>
        <w:kinsoku/>
        <w:wordWrap/>
        <w:overflowPunct/>
        <w:topLinePunct w:val="0"/>
        <w:autoSpaceDE/>
        <w:autoSpaceDN/>
        <w:bidi w:val="0"/>
        <w:adjustRightInd w:val="0"/>
        <w:snapToGrid/>
        <w:spacing w:after="0" w:line="360" w:lineRule="auto"/>
        <w:ind w:firstLine="240" w:firstLineChars="100"/>
        <w:textAlignment w:val="baseline"/>
        <w:rPr>
          <w:rFonts w:hint="default"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CN" w:bidi="ar-SA"/>
        </w:rPr>
        <w:t>（5）提供弱口令整改服务，根据上级通报和扫描检查发现的弱口令问题，如：终端PC弱口令、服务器弱口令、数据库弱口令、网络及安全设备弱口令，分析、归类并制定专项整改方案，提供5*8驻点及远程技术支持服务，协助完成整改。</w:t>
      </w:r>
    </w:p>
    <w:p w14:paraId="0B4189DA">
      <w:pPr>
        <w:pStyle w:val="31"/>
        <w:keepNext w:val="0"/>
        <w:keepLines w:val="0"/>
        <w:pageBreakBefore w:val="0"/>
        <w:widowControl w:val="0"/>
        <w:kinsoku/>
        <w:wordWrap/>
        <w:overflowPunct/>
        <w:topLinePunct w:val="0"/>
        <w:autoSpaceDE/>
        <w:autoSpaceDN/>
        <w:bidi w:val="0"/>
        <w:adjustRightInd w:val="0"/>
        <w:snapToGrid/>
        <w:spacing w:after="0" w:line="360" w:lineRule="auto"/>
        <w:ind w:firstLine="240" w:firstLineChars="100"/>
        <w:textAlignment w:val="baseline"/>
        <w:rPr>
          <w:rFonts w:hint="default"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CN" w:bidi="ar-SA"/>
        </w:rPr>
        <w:t>（6）提供安全策略可靠性验证服务，针对用户单位及下属28个</w:t>
      </w:r>
      <w:r>
        <w:rPr>
          <w:rFonts w:hint="eastAsia" w:ascii="宋体" w:hAnsi="宋体" w:eastAsia="宋体" w:cs="宋体"/>
          <w:b w:val="0"/>
          <w:bCs w:val="0"/>
          <w:color w:val="auto"/>
          <w:kern w:val="2"/>
          <w:sz w:val="24"/>
          <w:szCs w:val="24"/>
          <w:highlight w:val="none"/>
          <w:lang w:val="en-US" w:eastAsia="zh-CN" w:bidi="ar-SA"/>
        </w:rPr>
        <w:t>站级</w:t>
      </w:r>
      <w:r>
        <w:rPr>
          <w:rFonts w:hint="default" w:ascii="宋体" w:hAnsi="宋体" w:eastAsia="宋体" w:cs="宋体"/>
          <w:b w:val="0"/>
          <w:bCs w:val="0"/>
          <w:color w:val="auto"/>
          <w:kern w:val="2"/>
          <w:sz w:val="24"/>
          <w:szCs w:val="24"/>
          <w:highlight w:val="none"/>
          <w:lang w:val="en-US" w:eastAsia="zh-CN" w:bidi="ar-SA"/>
        </w:rPr>
        <w:t>单位现有网络现状，梳理网络架构，提出合理优化建议；通过模拟或实战测试，对总站网络安全策略进行可靠性验证服务，最终输出安全策略优化建议，网络安全加固方案。</w:t>
      </w:r>
    </w:p>
    <w:p w14:paraId="0EF4EE2D">
      <w:pPr>
        <w:pStyle w:val="31"/>
        <w:keepNext w:val="0"/>
        <w:keepLines w:val="0"/>
        <w:pageBreakBefore w:val="0"/>
        <w:widowControl w:val="0"/>
        <w:kinsoku/>
        <w:wordWrap/>
        <w:overflowPunct/>
        <w:topLinePunct w:val="0"/>
        <w:autoSpaceDE/>
        <w:autoSpaceDN/>
        <w:bidi w:val="0"/>
        <w:adjustRightInd w:val="0"/>
        <w:snapToGrid/>
        <w:spacing w:after="0" w:line="360" w:lineRule="auto"/>
        <w:ind w:firstLine="240" w:firstLineChars="100"/>
        <w:textAlignment w:val="baseline"/>
        <w:rPr>
          <w:rFonts w:hint="default"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CN" w:bidi="ar-SA"/>
        </w:rPr>
        <w:t>（7）提供数据接入服务，针对用户单位不同网络安全设备（防火墙、日志审计、数据库审计、流量探针、沙箱等设备），配置数据接入参数、协调网络通信，建立数据接入任务，进行数据采集监测。</w:t>
      </w:r>
    </w:p>
    <w:p w14:paraId="1E86DA86">
      <w:pPr>
        <w:pStyle w:val="31"/>
        <w:keepNext w:val="0"/>
        <w:keepLines w:val="0"/>
        <w:pageBreakBefore w:val="0"/>
        <w:widowControl w:val="0"/>
        <w:kinsoku/>
        <w:wordWrap/>
        <w:overflowPunct/>
        <w:topLinePunct w:val="0"/>
        <w:autoSpaceDE/>
        <w:autoSpaceDN/>
        <w:bidi w:val="0"/>
        <w:adjustRightInd w:val="0"/>
        <w:snapToGrid/>
        <w:spacing w:after="0" w:line="360" w:lineRule="auto"/>
        <w:ind w:firstLine="240" w:firstLineChars="100"/>
        <w:textAlignment w:val="baseline"/>
        <w:rPr>
          <w:rFonts w:hint="default"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CN" w:bidi="ar-SA"/>
        </w:rPr>
        <w:t>（8）提供安全边界接入平台运维服务，针对用户单位公安网至电子政务外网边界、公安网至公共视频专网边界、公安网至移动警务网边界等边界接入平台管理和运维，协助用户对接应用接入，对安全边界接入平台巡检，补丁更新等工作。</w:t>
      </w:r>
    </w:p>
    <w:p w14:paraId="08234C29">
      <w:pPr>
        <w:pStyle w:val="31"/>
        <w:keepNext w:val="0"/>
        <w:keepLines w:val="0"/>
        <w:pageBreakBefore w:val="0"/>
        <w:widowControl w:val="0"/>
        <w:kinsoku/>
        <w:wordWrap/>
        <w:overflowPunct/>
        <w:topLinePunct w:val="0"/>
        <w:autoSpaceDE/>
        <w:autoSpaceDN/>
        <w:bidi w:val="0"/>
        <w:adjustRightInd w:val="0"/>
        <w:snapToGrid/>
        <w:spacing w:after="0" w:line="360" w:lineRule="auto"/>
        <w:textAlignment w:val="baseline"/>
        <w:outlineLvl w:val="2"/>
        <w:rPr>
          <w:rFonts w:hint="default"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CN" w:bidi="ar-SA"/>
        </w:rPr>
        <w:t>2.安全渗透测试服务</w:t>
      </w:r>
    </w:p>
    <w:p w14:paraId="014101B5">
      <w:pPr>
        <w:pStyle w:val="31"/>
        <w:keepNext w:val="0"/>
        <w:keepLines w:val="0"/>
        <w:pageBreakBefore w:val="0"/>
        <w:widowControl w:val="0"/>
        <w:kinsoku/>
        <w:wordWrap/>
        <w:overflowPunct/>
        <w:topLinePunct w:val="0"/>
        <w:autoSpaceDE/>
        <w:autoSpaceDN/>
        <w:bidi w:val="0"/>
        <w:adjustRightInd w:val="0"/>
        <w:snapToGrid/>
        <w:spacing w:after="0" w:line="360" w:lineRule="auto"/>
        <w:ind w:firstLine="240" w:firstLineChars="100"/>
        <w:textAlignment w:val="baseline"/>
        <w:rPr>
          <w:rFonts w:hint="default"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CN" w:bidi="ar-SA"/>
        </w:rPr>
        <w:t>（1）资产梳理工作：协助总站各级定期开展用户域、数据域信息系统需渗透测试业务系统及资产识别。</w:t>
      </w:r>
    </w:p>
    <w:p w14:paraId="4754D3E2">
      <w:pPr>
        <w:pStyle w:val="31"/>
        <w:keepNext w:val="0"/>
        <w:keepLines w:val="0"/>
        <w:pageBreakBefore w:val="0"/>
        <w:widowControl w:val="0"/>
        <w:kinsoku/>
        <w:wordWrap/>
        <w:overflowPunct/>
        <w:topLinePunct w:val="0"/>
        <w:autoSpaceDE/>
        <w:autoSpaceDN/>
        <w:bidi w:val="0"/>
        <w:adjustRightInd w:val="0"/>
        <w:snapToGrid/>
        <w:spacing w:after="0" w:line="360" w:lineRule="auto"/>
        <w:ind w:firstLine="240" w:firstLineChars="100"/>
        <w:textAlignment w:val="baseline"/>
        <w:rPr>
          <w:rFonts w:hint="default"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CN" w:bidi="ar-SA"/>
        </w:rPr>
        <w:t>（2）提供漏洞扫描和弱口令识别服务，内容包括业务系统及支撑业务系统的软硬件设备。主要识别以下范围的漏洞和弱口令：操作系统、数据库系统、Web服务、Ftp服务、远程控制、网络边界、PC等IT设备。</w:t>
      </w:r>
    </w:p>
    <w:p w14:paraId="3E7B1E70">
      <w:pPr>
        <w:pStyle w:val="31"/>
        <w:keepNext w:val="0"/>
        <w:keepLines w:val="0"/>
        <w:pageBreakBefore w:val="0"/>
        <w:widowControl w:val="0"/>
        <w:kinsoku/>
        <w:wordWrap/>
        <w:overflowPunct/>
        <w:topLinePunct w:val="0"/>
        <w:autoSpaceDE/>
        <w:autoSpaceDN/>
        <w:bidi w:val="0"/>
        <w:adjustRightInd w:val="0"/>
        <w:snapToGrid/>
        <w:spacing w:after="0" w:line="360" w:lineRule="auto"/>
        <w:ind w:firstLine="240" w:firstLineChars="100"/>
        <w:textAlignment w:val="baseline"/>
        <w:rPr>
          <w:rFonts w:hint="default"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CN" w:bidi="ar-SA"/>
        </w:rPr>
        <w:t>（3）提供安全渗透测试服务，根据漏洞扫描和弱口令识别结果，对用户单位网络、数据库、应用系统等进行白盒或黑盒渗透测试。</w:t>
      </w:r>
    </w:p>
    <w:p w14:paraId="2AEDB519">
      <w:pPr>
        <w:pStyle w:val="31"/>
        <w:keepNext w:val="0"/>
        <w:keepLines w:val="0"/>
        <w:pageBreakBefore w:val="0"/>
        <w:widowControl w:val="0"/>
        <w:kinsoku/>
        <w:wordWrap/>
        <w:overflowPunct/>
        <w:topLinePunct w:val="0"/>
        <w:autoSpaceDE/>
        <w:autoSpaceDN/>
        <w:bidi w:val="0"/>
        <w:adjustRightInd w:val="0"/>
        <w:snapToGrid/>
        <w:spacing w:after="0" w:line="360" w:lineRule="auto"/>
        <w:textAlignment w:val="baseline"/>
        <w:outlineLvl w:val="2"/>
        <w:rPr>
          <w:rFonts w:hint="default"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CN" w:bidi="ar-SA"/>
        </w:rPr>
        <w:t>3.应急响应服务</w:t>
      </w:r>
    </w:p>
    <w:p w14:paraId="15D37CDE">
      <w:pPr>
        <w:pStyle w:val="31"/>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baseline"/>
        <w:rPr>
          <w:rFonts w:hint="default"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CN" w:bidi="ar-SA"/>
        </w:rPr>
        <w:t>协助用户单位针对用户单位提供已发生安全事件的事中、事后的取证、分析及提供解决方案等工作。</w:t>
      </w:r>
    </w:p>
    <w:p w14:paraId="2BDBC2E3">
      <w:pPr>
        <w:pStyle w:val="31"/>
        <w:keepNext w:val="0"/>
        <w:keepLines w:val="0"/>
        <w:pageBreakBefore w:val="0"/>
        <w:widowControl w:val="0"/>
        <w:kinsoku/>
        <w:wordWrap/>
        <w:overflowPunct/>
        <w:topLinePunct w:val="0"/>
        <w:autoSpaceDE/>
        <w:autoSpaceDN/>
        <w:bidi w:val="0"/>
        <w:adjustRightInd w:val="0"/>
        <w:snapToGrid/>
        <w:spacing w:after="0" w:line="360" w:lineRule="auto"/>
        <w:textAlignment w:val="baseline"/>
        <w:outlineLvl w:val="2"/>
        <w:rPr>
          <w:rFonts w:hint="default"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CN" w:bidi="ar-SA"/>
        </w:rPr>
        <w:t>4.重大活动保障服务</w:t>
      </w:r>
    </w:p>
    <w:p w14:paraId="66C30AAB">
      <w:pPr>
        <w:pStyle w:val="31"/>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baseline"/>
        <w:rPr>
          <w:rFonts w:hint="default"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CN" w:bidi="ar-SA"/>
        </w:rPr>
        <w:t>提供重要节点安全技术支撑保障，应急演练，护网行动、重要会议或节日等重大活动提供技术支持保障，并提供专题报告。</w:t>
      </w:r>
    </w:p>
    <w:p w14:paraId="03B11D8A">
      <w:pPr>
        <w:pStyle w:val="31"/>
        <w:keepNext w:val="0"/>
        <w:keepLines w:val="0"/>
        <w:pageBreakBefore w:val="0"/>
        <w:widowControl w:val="0"/>
        <w:kinsoku/>
        <w:wordWrap/>
        <w:overflowPunct/>
        <w:topLinePunct w:val="0"/>
        <w:autoSpaceDE/>
        <w:autoSpaceDN/>
        <w:bidi w:val="0"/>
        <w:adjustRightInd w:val="0"/>
        <w:snapToGrid/>
        <w:spacing w:after="0" w:line="360" w:lineRule="auto"/>
        <w:textAlignment w:val="baseline"/>
        <w:outlineLvl w:val="2"/>
        <w:rPr>
          <w:rFonts w:hint="default"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CN" w:bidi="ar-SA"/>
        </w:rPr>
        <w:t>5.等保测评服务</w:t>
      </w:r>
    </w:p>
    <w:p w14:paraId="6A755B38">
      <w:pPr>
        <w:pStyle w:val="31"/>
        <w:keepNext w:val="0"/>
        <w:keepLines w:val="0"/>
        <w:pageBreakBefore w:val="0"/>
        <w:widowControl w:val="0"/>
        <w:kinsoku/>
        <w:wordWrap/>
        <w:overflowPunct/>
        <w:topLinePunct w:val="0"/>
        <w:autoSpaceDE/>
        <w:autoSpaceDN/>
        <w:bidi w:val="0"/>
        <w:adjustRightInd w:val="0"/>
        <w:snapToGrid/>
        <w:spacing w:after="0" w:line="360" w:lineRule="auto"/>
        <w:ind w:firstLine="240" w:firstLineChars="100"/>
        <w:textAlignment w:val="baseline"/>
        <w:rPr>
          <w:rFonts w:hint="default"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CN" w:bidi="ar-SA"/>
        </w:rPr>
        <w:t>（1）提供用户单位基础信息平台等级保护评定及测评服务。</w:t>
      </w:r>
    </w:p>
    <w:p w14:paraId="5218A446">
      <w:pPr>
        <w:pStyle w:val="31"/>
        <w:keepNext w:val="0"/>
        <w:keepLines w:val="0"/>
        <w:pageBreakBefore w:val="0"/>
        <w:widowControl w:val="0"/>
        <w:kinsoku/>
        <w:wordWrap/>
        <w:overflowPunct/>
        <w:topLinePunct w:val="0"/>
        <w:autoSpaceDE/>
        <w:autoSpaceDN/>
        <w:bidi w:val="0"/>
        <w:adjustRightInd w:val="0"/>
        <w:snapToGrid/>
        <w:spacing w:after="0" w:line="360" w:lineRule="auto"/>
        <w:ind w:firstLine="240" w:firstLineChars="100"/>
        <w:textAlignment w:val="baseline"/>
        <w:rPr>
          <w:rFonts w:hint="default"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CN" w:bidi="ar-SA"/>
        </w:rPr>
        <w:t>（2）提供用户单位超融合平台等级保护评定及测评服务。</w:t>
      </w:r>
    </w:p>
    <w:p w14:paraId="5292AE17">
      <w:pPr>
        <w:pStyle w:val="31"/>
        <w:keepNext w:val="0"/>
        <w:keepLines w:val="0"/>
        <w:pageBreakBefore w:val="0"/>
        <w:widowControl w:val="0"/>
        <w:kinsoku/>
        <w:wordWrap/>
        <w:overflowPunct/>
        <w:topLinePunct w:val="0"/>
        <w:autoSpaceDE/>
        <w:autoSpaceDN/>
        <w:bidi w:val="0"/>
        <w:adjustRightInd w:val="0"/>
        <w:snapToGrid/>
        <w:spacing w:after="0" w:line="360" w:lineRule="auto"/>
        <w:ind w:firstLine="240" w:firstLineChars="100"/>
        <w:textAlignment w:val="baseline"/>
        <w:rPr>
          <w:rFonts w:hint="default"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CN" w:bidi="ar-SA"/>
        </w:rPr>
        <w:t>（3）提供用户单位数据域数智平台安全风险评估服务。</w:t>
      </w:r>
    </w:p>
    <w:p w14:paraId="53340E2C">
      <w:pPr>
        <w:pStyle w:val="31"/>
        <w:keepNext w:val="0"/>
        <w:keepLines w:val="0"/>
        <w:pageBreakBefore w:val="0"/>
        <w:widowControl w:val="0"/>
        <w:kinsoku/>
        <w:wordWrap/>
        <w:overflowPunct/>
        <w:topLinePunct w:val="0"/>
        <w:autoSpaceDE/>
        <w:autoSpaceDN/>
        <w:bidi w:val="0"/>
        <w:adjustRightInd w:val="0"/>
        <w:snapToGrid/>
        <w:spacing w:after="0" w:line="360" w:lineRule="auto"/>
        <w:textAlignment w:val="baseline"/>
        <w:outlineLvl w:val="2"/>
        <w:rPr>
          <w:rFonts w:hint="default"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CN" w:bidi="ar-SA"/>
        </w:rPr>
        <w:t>6.设备维保服务</w:t>
      </w:r>
    </w:p>
    <w:p w14:paraId="0911BD63">
      <w:pPr>
        <w:pStyle w:val="31"/>
        <w:keepNext w:val="0"/>
        <w:keepLines w:val="0"/>
        <w:pageBreakBefore w:val="0"/>
        <w:widowControl w:val="0"/>
        <w:kinsoku/>
        <w:wordWrap/>
        <w:overflowPunct/>
        <w:topLinePunct w:val="0"/>
        <w:autoSpaceDE/>
        <w:autoSpaceDN/>
        <w:bidi w:val="0"/>
        <w:adjustRightInd w:val="0"/>
        <w:snapToGrid/>
        <w:spacing w:after="0" w:line="360" w:lineRule="auto"/>
        <w:ind w:firstLine="240" w:firstLineChars="100"/>
        <w:textAlignment w:val="baseline"/>
        <w:rPr>
          <w:rFonts w:hint="default"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CN" w:bidi="ar-SA"/>
        </w:rPr>
        <w:t>（1）提供网络安全软件VSCAN1508漏洞库升级。</w:t>
      </w:r>
    </w:p>
    <w:p w14:paraId="4C6BC5AE">
      <w:pPr>
        <w:pStyle w:val="31"/>
        <w:keepNext w:val="0"/>
        <w:keepLines w:val="0"/>
        <w:pageBreakBefore w:val="0"/>
        <w:widowControl w:val="0"/>
        <w:kinsoku/>
        <w:wordWrap/>
        <w:overflowPunct/>
        <w:topLinePunct w:val="0"/>
        <w:autoSpaceDE/>
        <w:autoSpaceDN/>
        <w:bidi w:val="0"/>
        <w:adjustRightInd w:val="0"/>
        <w:snapToGrid/>
        <w:spacing w:after="0" w:line="360" w:lineRule="auto"/>
        <w:ind w:firstLine="240" w:firstLineChars="100"/>
        <w:textAlignment w:val="baseline"/>
        <w:rPr>
          <w:rFonts w:hint="default"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CN" w:bidi="ar-SA"/>
        </w:rPr>
        <w:t>（2）提供网络安全防火墙USG6620E特征库更新服务。</w:t>
      </w:r>
    </w:p>
    <w:p w14:paraId="612B798B">
      <w:pPr>
        <w:pStyle w:val="31"/>
        <w:keepNext w:val="0"/>
        <w:keepLines w:val="0"/>
        <w:pageBreakBefore w:val="0"/>
        <w:widowControl w:val="0"/>
        <w:kinsoku/>
        <w:wordWrap/>
        <w:overflowPunct/>
        <w:topLinePunct w:val="0"/>
        <w:autoSpaceDE/>
        <w:autoSpaceDN/>
        <w:bidi w:val="0"/>
        <w:adjustRightInd w:val="0"/>
        <w:snapToGrid/>
        <w:spacing w:after="0" w:line="360" w:lineRule="auto"/>
        <w:textAlignment w:val="baseline"/>
        <w:outlineLvl w:val="2"/>
        <w:rPr>
          <w:rFonts w:hint="default"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CN" w:bidi="ar-SA"/>
        </w:rPr>
        <w:t>7.设备维保服务</w:t>
      </w:r>
    </w:p>
    <w:p w14:paraId="2DBBF3DF">
      <w:pPr>
        <w:pStyle w:val="31"/>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baseline"/>
        <w:rPr>
          <w:rFonts w:hint="default"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CN" w:bidi="ar-SA"/>
        </w:rPr>
        <w:t>针对用户单位要求，提供合理培训计划和培训内容。</w:t>
      </w:r>
    </w:p>
    <w:p w14:paraId="5D29C532">
      <w:pPr>
        <w:pStyle w:val="31"/>
        <w:keepNext w:val="0"/>
        <w:keepLines w:val="0"/>
        <w:pageBreakBefore w:val="0"/>
        <w:widowControl w:val="0"/>
        <w:kinsoku/>
        <w:wordWrap/>
        <w:overflowPunct/>
        <w:topLinePunct w:val="0"/>
        <w:autoSpaceDE/>
        <w:autoSpaceDN/>
        <w:bidi w:val="0"/>
        <w:adjustRightInd w:val="0"/>
        <w:snapToGrid/>
        <w:spacing w:after="0" w:line="360" w:lineRule="auto"/>
        <w:textAlignment w:val="baseline"/>
        <w:outlineLvl w:val="2"/>
        <w:rPr>
          <w:rFonts w:hint="default"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CN" w:bidi="ar-SA"/>
        </w:rPr>
        <w:t>8.安全咨询服务</w:t>
      </w:r>
    </w:p>
    <w:p w14:paraId="1AAE8ADD">
      <w:pPr>
        <w:pStyle w:val="31"/>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baseline"/>
        <w:rPr>
          <w:rFonts w:hint="default"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CN" w:bidi="ar-SA"/>
        </w:rPr>
        <w:t>提供风险评估咨询、合规咨询、安全策略制定、应急响应规划等。</w:t>
      </w:r>
    </w:p>
    <w:p w14:paraId="5E93EB36">
      <w:pPr>
        <w:pStyle w:val="9"/>
        <w:spacing w:line="360" w:lineRule="auto"/>
        <w:ind w:left="0" w:leftChars="0" w:firstLine="0" w:firstLineChars="0"/>
        <w:rPr>
          <w:rFonts w:hint="eastAsia" w:ascii="宋体" w:hAnsi="宋体" w:eastAsia="宋体" w:cs="宋体"/>
        </w:rPr>
      </w:pPr>
      <w:r>
        <w:rPr>
          <w:rFonts w:hint="eastAsia" w:ascii="宋体" w:hAnsi="宋体" w:eastAsia="宋体" w:cs="宋体"/>
          <w:b/>
          <w:bCs/>
          <w:color w:val="auto"/>
          <w:kern w:val="2"/>
          <w:sz w:val="24"/>
          <w:szCs w:val="24"/>
          <w:highlight w:val="none"/>
          <w:lang w:val="en-US" w:eastAsia="zh-CN" w:bidi="ar-SA"/>
        </w:rPr>
        <w:t>三、采购标的需满足的服务要求</w:t>
      </w:r>
    </w:p>
    <w:p w14:paraId="60FF0939">
      <w:pPr>
        <w:pStyle w:val="31"/>
        <w:keepNext w:val="0"/>
        <w:keepLines w:val="0"/>
        <w:pageBreakBefore w:val="0"/>
        <w:widowControl w:val="0"/>
        <w:kinsoku/>
        <w:wordWrap/>
        <w:overflowPunct/>
        <w:topLinePunct w:val="0"/>
        <w:autoSpaceDE/>
        <w:autoSpaceDN/>
        <w:bidi w:val="0"/>
        <w:adjustRightInd w:val="0"/>
        <w:snapToGrid/>
        <w:spacing w:after="0" w:line="360" w:lineRule="auto"/>
        <w:ind w:firstLine="240" w:firstLineChars="100"/>
        <w:textAlignment w:val="baseline"/>
        <w:outlineLvl w:val="2"/>
        <w:rPr>
          <w:rFonts w:hint="default"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CN" w:bidi="ar-SA"/>
        </w:rPr>
        <w:t>采购标的需满足的服务要求。包装和运输，售后服务，保险、安装调试、培训、质量保证期、服务响应等内容；</w:t>
      </w:r>
    </w:p>
    <w:p w14:paraId="757D59FC">
      <w:pPr>
        <w:pStyle w:val="31"/>
        <w:keepNext w:val="0"/>
        <w:keepLines w:val="0"/>
        <w:pageBreakBefore w:val="0"/>
        <w:widowControl w:val="0"/>
        <w:kinsoku/>
        <w:wordWrap/>
        <w:overflowPunct/>
        <w:topLinePunct w:val="0"/>
        <w:autoSpaceDE/>
        <w:autoSpaceDN/>
        <w:bidi w:val="0"/>
        <w:adjustRightInd w:val="0"/>
        <w:snapToGrid/>
        <w:spacing w:after="0" w:line="360" w:lineRule="auto"/>
        <w:textAlignment w:val="baseline"/>
        <w:outlineLvl w:val="2"/>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1.包装和运输要求</w:t>
      </w:r>
    </w:p>
    <w:p w14:paraId="7B7FFBFC">
      <w:pPr>
        <w:pStyle w:val="31"/>
        <w:keepNext w:val="0"/>
        <w:keepLines w:val="0"/>
        <w:pageBreakBefore w:val="0"/>
        <w:widowControl w:val="0"/>
        <w:kinsoku/>
        <w:wordWrap/>
        <w:overflowPunct/>
        <w:topLinePunct w:val="0"/>
        <w:autoSpaceDE/>
        <w:autoSpaceDN/>
        <w:bidi w:val="0"/>
        <w:adjustRightInd w:val="0"/>
        <w:snapToGrid/>
        <w:spacing w:after="0" w:line="360" w:lineRule="auto"/>
        <w:textAlignment w:val="baseline"/>
        <w:outlineLvl w:val="2"/>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u w:val="single"/>
          <w:lang w:val="en-US" w:eastAsia="zh-CN" w:bidi="ar-SA"/>
        </w:rPr>
        <w:t xml:space="preserve">       无    </w:t>
      </w:r>
      <w:r>
        <w:rPr>
          <w:rFonts w:hint="eastAsia" w:ascii="宋体" w:hAnsi="宋体" w:eastAsia="宋体" w:cs="宋体"/>
          <w:b w:val="0"/>
          <w:bCs w:val="0"/>
          <w:color w:val="auto"/>
          <w:kern w:val="2"/>
          <w:sz w:val="24"/>
          <w:szCs w:val="24"/>
          <w:highlight w:val="none"/>
          <w:lang w:val="en-US" w:eastAsia="zh-CN" w:bidi="ar-SA"/>
        </w:rPr>
        <w:t xml:space="preserve">                                        </w:t>
      </w:r>
    </w:p>
    <w:p w14:paraId="7F8FED47">
      <w:pPr>
        <w:pStyle w:val="31"/>
        <w:keepNext w:val="0"/>
        <w:keepLines w:val="0"/>
        <w:pageBreakBefore w:val="0"/>
        <w:widowControl w:val="0"/>
        <w:kinsoku/>
        <w:wordWrap/>
        <w:overflowPunct/>
        <w:topLinePunct w:val="0"/>
        <w:autoSpaceDE/>
        <w:autoSpaceDN/>
        <w:bidi w:val="0"/>
        <w:adjustRightInd w:val="0"/>
        <w:snapToGrid/>
        <w:spacing w:after="0" w:line="360" w:lineRule="auto"/>
        <w:textAlignment w:val="baseline"/>
        <w:outlineLvl w:val="2"/>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2.售后服务标准要求</w:t>
      </w:r>
    </w:p>
    <w:p w14:paraId="20C63CF3">
      <w:pPr>
        <w:pStyle w:val="31"/>
        <w:keepNext w:val="0"/>
        <w:keepLines w:val="0"/>
        <w:pageBreakBefore w:val="0"/>
        <w:widowControl w:val="0"/>
        <w:kinsoku/>
        <w:wordWrap/>
        <w:overflowPunct/>
        <w:topLinePunct w:val="0"/>
        <w:autoSpaceDE/>
        <w:autoSpaceDN/>
        <w:bidi w:val="0"/>
        <w:adjustRightInd w:val="0"/>
        <w:snapToGrid/>
        <w:spacing w:after="0" w:line="360" w:lineRule="auto"/>
        <w:textAlignment w:val="baseline"/>
        <w:outlineLvl w:val="2"/>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需要有明确的售后服务方案、培训方案、售后服务机构、人员等。</w:t>
      </w:r>
      <w:r>
        <w:rPr>
          <w:rFonts w:hint="eastAsia" w:ascii="宋体" w:hAnsi="宋体" w:eastAsia="宋体" w:cs="宋体"/>
          <w:b w:val="0"/>
          <w:bCs w:val="0"/>
          <w:color w:val="auto"/>
          <w:kern w:val="2"/>
          <w:sz w:val="24"/>
          <w:szCs w:val="24"/>
          <w:highlight w:val="none"/>
          <w:u w:val="single"/>
          <w:lang w:val="en-US" w:eastAsia="zh-CN" w:bidi="ar-SA"/>
        </w:rPr>
        <w:t xml:space="preserve">    无     </w:t>
      </w:r>
      <w:r>
        <w:rPr>
          <w:rFonts w:hint="eastAsia" w:ascii="宋体" w:hAnsi="宋体" w:eastAsia="宋体" w:cs="宋体"/>
          <w:b w:val="0"/>
          <w:bCs w:val="0"/>
          <w:color w:val="auto"/>
          <w:kern w:val="2"/>
          <w:sz w:val="24"/>
          <w:szCs w:val="24"/>
          <w:highlight w:val="none"/>
          <w:lang w:val="en-US" w:eastAsia="zh-CN" w:bidi="ar-SA"/>
        </w:rPr>
        <w:t xml:space="preserve">    </w:t>
      </w:r>
    </w:p>
    <w:p w14:paraId="61DD6314">
      <w:pPr>
        <w:pStyle w:val="31"/>
        <w:keepNext w:val="0"/>
        <w:keepLines w:val="0"/>
        <w:pageBreakBefore w:val="0"/>
        <w:widowControl w:val="0"/>
        <w:kinsoku/>
        <w:wordWrap/>
        <w:overflowPunct/>
        <w:topLinePunct w:val="0"/>
        <w:autoSpaceDE/>
        <w:autoSpaceDN/>
        <w:bidi w:val="0"/>
        <w:adjustRightInd w:val="0"/>
        <w:snapToGrid/>
        <w:spacing w:after="0" w:line="360" w:lineRule="auto"/>
        <w:textAlignment w:val="baseline"/>
        <w:outlineLvl w:val="2"/>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3.保险要求</w:t>
      </w:r>
    </w:p>
    <w:p w14:paraId="04D6AD58">
      <w:pPr>
        <w:pStyle w:val="31"/>
        <w:keepNext w:val="0"/>
        <w:keepLines w:val="0"/>
        <w:pageBreakBefore w:val="0"/>
        <w:widowControl w:val="0"/>
        <w:kinsoku/>
        <w:wordWrap/>
        <w:overflowPunct/>
        <w:topLinePunct w:val="0"/>
        <w:autoSpaceDE/>
        <w:autoSpaceDN/>
        <w:bidi w:val="0"/>
        <w:adjustRightInd w:val="0"/>
        <w:snapToGrid/>
        <w:spacing w:after="0" w:line="360" w:lineRule="auto"/>
        <w:textAlignment w:val="baseline"/>
        <w:outlineLvl w:val="2"/>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u w:val="single"/>
          <w:lang w:val="en-US" w:eastAsia="zh-CN" w:bidi="ar-SA"/>
        </w:rPr>
        <w:t xml:space="preserve">    无    </w:t>
      </w:r>
      <w:r>
        <w:rPr>
          <w:rFonts w:hint="eastAsia" w:ascii="宋体" w:hAnsi="宋体" w:eastAsia="宋体" w:cs="宋体"/>
          <w:b w:val="0"/>
          <w:bCs w:val="0"/>
          <w:color w:val="auto"/>
          <w:kern w:val="2"/>
          <w:sz w:val="24"/>
          <w:szCs w:val="24"/>
          <w:highlight w:val="none"/>
          <w:lang w:val="en-US" w:eastAsia="zh-CN" w:bidi="ar-SA"/>
        </w:rPr>
        <w:t xml:space="preserve">                                        </w:t>
      </w:r>
    </w:p>
    <w:p w14:paraId="4CE1F20D">
      <w:pPr>
        <w:pStyle w:val="31"/>
        <w:keepNext w:val="0"/>
        <w:keepLines w:val="0"/>
        <w:pageBreakBefore w:val="0"/>
        <w:widowControl w:val="0"/>
        <w:kinsoku/>
        <w:wordWrap/>
        <w:overflowPunct/>
        <w:topLinePunct w:val="0"/>
        <w:autoSpaceDE/>
        <w:autoSpaceDN/>
        <w:bidi w:val="0"/>
        <w:adjustRightInd w:val="0"/>
        <w:snapToGrid/>
        <w:spacing w:after="0" w:line="360" w:lineRule="auto"/>
        <w:textAlignment w:val="baseline"/>
        <w:outlineLvl w:val="2"/>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4.安装调试</w:t>
      </w:r>
    </w:p>
    <w:p w14:paraId="784834C2">
      <w:pPr>
        <w:pStyle w:val="31"/>
        <w:keepNext w:val="0"/>
        <w:keepLines w:val="0"/>
        <w:pageBreakBefore w:val="0"/>
        <w:widowControl w:val="0"/>
        <w:kinsoku/>
        <w:wordWrap/>
        <w:overflowPunct/>
        <w:topLinePunct w:val="0"/>
        <w:autoSpaceDE/>
        <w:autoSpaceDN/>
        <w:bidi w:val="0"/>
        <w:adjustRightInd w:val="0"/>
        <w:snapToGrid/>
        <w:spacing w:after="0" w:line="360" w:lineRule="auto"/>
        <w:textAlignment w:val="baseline"/>
        <w:outlineLvl w:val="2"/>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u w:val="single"/>
          <w:lang w:val="en-US" w:eastAsia="zh-CN" w:bidi="ar-SA"/>
        </w:rPr>
        <w:t xml:space="preserve">  无          </w:t>
      </w:r>
      <w:r>
        <w:rPr>
          <w:rFonts w:hint="eastAsia" w:ascii="宋体" w:hAnsi="宋体" w:eastAsia="宋体" w:cs="宋体"/>
          <w:b w:val="0"/>
          <w:bCs w:val="0"/>
          <w:color w:val="auto"/>
          <w:kern w:val="2"/>
          <w:sz w:val="24"/>
          <w:szCs w:val="24"/>
          <w:highlight w:val="none"/>
          <w:lang w:val="en-US" w:eastAsia="zh-CN" w:bidi="ar-SA"/>
        </w:rPr>
        <w:t xml:space="preserve">                                  </w:t>
      </w:r>
    </w:p>
    <w:p w14:paraId="74A6DD57">
      <w:pPr>
        <w:pStyle w:val="31"/>
        <w:keepNext w:val="0"/>
        <w:keepLines w:val="0"/>
        <w:pageBreakBefore w:val="0"/>
        <w:widowControl w:val="0"/>
        <w:kinsoku/>
        <w:wordWrap/>
        <w:overflowPunct/>
        <w:topLinePunct w:val="0"/>
        <w:autoSpaceDE/>
        <w:autoSpaceDN/>
        <w:bidi w:val="0"/>
        <w:adjustRightInd w:val="0"/>
        <w:snapToGrid/>
        <w:spacing w:after="0" w:line="360" w:lineRule="auto"/>
        <w:textAlignment w:val="baseline"/>
        <w:outlineLvl w:val="2"/>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5.培训</w:t>
      </w:r>
    </w:p>
    <w:p w14:paraId="2755CE4C">
      <w:pPr>
        <w:pStyle w:val="31"/>
        <w:keepNext w:val="0"/>
        <w:keepLines w:val="0"/>
        <w:pageBreakBefore w:val="0"/>
        <w:widowControl w:val="0"/>
        <w:kinsoku/>
        <w:wordWrap/>
        <w:overflowPunct/>
        <w:topLinePunct w:val="0"/>
        <w:autoSpaceDE/>
        <w:autoSpaceDN/>
        <w:bidi w:val="0"/>
        <w:adjustRightInd w:val="0"/>
        <w:snapToGrid/>
        <w:spacing w:after="0" w:line="360" w:lineRule="auto"/>
        <w:textAlignment w:val="baseline"/>
        <w:outlineLvl w:val="2"/>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  结合国家网络安全宣传周邀请1名网络安全专家开展网络安全现场教育培训，每季度组织开展攻防演练培训工作，攻防演练培训的内容包括黑客攻击技术、攻击手法等内容。</w:t>
      </w:r>
    </w:p>
    <w:p w14:paraId="42FFD65F">
      <w:pPr>
        <w:pStyle w:val="31"/>
        <w:keepNext w:val="0"/>
        <w:keepLines w:val="0"/>
        <w:pageBreakBefore w:val="0"/>
        <w:widowControl w:val="0"/>
        <w:kinsoku/>
        <w:wordWrap/>
        <w:overflowPunct/>
        <w:topLinePunct w:val="0"/>
        <w:autoSpaceDE/>
        <w:autoSpaceDN/>
        <w:bidi w:val="0"/>
        <w:adjustRightInd w:val="0"/>
        <w:snapToGrid/>
        <w:spacing w:after="0" w:line="360" w:lineRule="auto"/>
        <w:textAlignment w:val="baseline"/>
        <w:outlineLvl w:val="2"/>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6.本项目质量保证期要求不低于 1 年。质量保证期从货物供货、安装、调试正常且验收合格后开始计算。</w:t>
      </w:r>
    </w:p>
    <w:p w14:paraId="542C06B0">
      <w:pPr>
        <w:pStyle w:val="31"/>
        <w:keepNext w:val="0"/>
        <w:keepLines w:val="0"/>
        <w:pageBreakBefore w:val="0"/>
        <w:widowControl w:val="0"/>
        <w:kinsoku/>
        <w:wordWrap/>
        <w:overflowPunct/>
        <w:topLinePunct w:val="0"/>
        <w:autoSpaceDE/>
        <w:autoSpaceDN/>
        <w:bidi w:val="0"/>
        <w:adjustRightInd w:val="0"/>
        <w:snapToGrid/>
        <w:spacing w:after="0" w:line="360" w:lineRule="auto"/>
        <w:textAlignment w:val="baseline"/>
        <w:outlineLvl w:val="2"/>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7.服务响应</w:t>
      </w:r>
    </w:p>
    <w:p w14:paraId="0F9941BF">
      <w:pPr>
        <w:pStyle w:val="31"/>
        <w:keepNext w:val="0"/>
        <w:keepLines w:val="0"/>
        <w:pageBreakBefore w:val="0"/>
        <w:widowControl w:val="0"/>
        <w:kinsoku/>
        <w:wordWrap/>
        <w:overflowPunct/>
        <w:topLinePunct w:val="0"/>
        <w:autoSpaceDE/>
        <w:autoSpaceDN/>
        <w:bidi w:val="0"/>
        <w:adjustRightInd w:val="0"/>
        <w:snapToGrid/>
        <w:spacing w:after="0" w:line="360" w:lineRule="auto"/>
        <w:textAlignment w:val="baseline"/>
        <w:outlineLvl w:val="2"/>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全力保障各级应用系统平台的正常运行；（2）建立高效的服务组织，保证服务请求能够得到及时有效的响应；（3）组建专业的服务队伍，以便出现问题时迅速判明问题根源，采取有效措施解决问题；（4）建立快速响应机制，保证在特殊情况下，能够通过快速机制提供响应。</w:t>
      </w:r>
    </w:p>
    <w:p w14:paraId="1FFD5494">
      <w:pPr>
        <w:pStyle w:val="8"/>
        <w:rPr>
          <w:rFonts w:hint="eastAsia" w:ascii="宋体" w:hAnsi="宋体" w:eastAsia="宋体" w:cs="宋体"/>
        </w:rPr>
      </w:pPr>
    </w:p>
    <w:p w14:paraId="726C9388">
      <w:pPr>
        <w:pStyle w:val="9"/>
        <w:rPr>
          <w:rFonts w:hint="eastAsia" w:ascii="宋体" w:hAnsi="宋体" w:eastAsia="宋体" w:cs="宋体"/>
        </w:rPr>
      </w:pPr>
    </w:p>
    <w:p w14:paraId="5ED64D7D">
      <w:pPr>
        <w:rPr>
          <w:rFonts w:hint="eastAsia" w:ascii="宋体" w:hAnsi="宋体" w:eastAsia="宋体" w:cs="宋体"/>
        </w:rPr>
      </w:pPr>
    </w:p>
    <w:p w14:paraId="173EB68F">
      <w:pPr>
        <w:pStyle w:val="8"/>
        <w:rPr>
          <w:rFonts w:hint="eastAsia" w:ascii="宋体" w:hAnsi="宋体" w:eastAsia="宋体" w:cs="宋体"/>
        </w:rPr>
      </w:pPr>
    </w:p>
    <w:p w14:paraId="7C4F6B75">
      <w:pPr>
        <w:pStyle w:val="9"/>
        <w:rPr>
          <w:rFonts w:hint="eastAsia" w:ascii="宋体" w:hAnsi="宋体" w:eastAsia="宋体" w:cs="宋体"/>
        </w:rPr>
      </w:pPr>
    </w:p>
    <w:p w14:paraId="544A3540">
      <w:pPr>
        <w:rPr>
          <w:rFonts w:hint="eastAsia" w:ascii="宋体" w:hAnsi="宋体" w:eastAsia="宋体" w:cs="宋体"/>
        </w:rPr>
      </w:pPr>
    </w:p>
    <w:p w14:paraId="0B33832C">
      <w:pPr>
        <w:pStyle w:val="8"/>
        <w:rPr>
          <w:rFonts w:hint="eastAsia" w:ascii="宋体" w:hAnsi="宋体" w:eastAsia="宋体" w:cs="宋体"/>
        </w:rPr>
      </w:pPr>
    </w:p>
    <w:p w14:paraId="2D109575">
      <w:pPr>
        <w:rPr>
          <w:rFonts w:hint="eastAsia" w:ascii="宋体" w:hAnsi="宋体" w:eastAsia="宋体" w:cs="宋体"/>
          <w:sz w:val="52"/>
          <w:szCs w:val="52"/>
        </w:rPr>
      </w:pPr>
      <w:r>
        <w:rPr>
          <w:rFonts w:hint="eastAsia" w:ascii="宋体" w:hAnsi="宋体" w:eastAsia="宋体" w:cs="宋体"/>
          <w:sz w:val="52"/>
          <w:szCs w:val="52"/>
        </w:rPr>
        <w:br w:type="page"/>
      </w:r>
    </w:p>
    <w:p w14:paraId="5DF10338">
      <w:pPr>
        <w:pStyle w:val="31"/>
        <w:rPr>
          <w:rFonts w:hint="eastAsia"/>
        </w:rPr>
      </w:pPr>
    </w:p>
    <w:p w14:paraId="6C7F6B62">
      <w:pPr>
        <w:spacing w:line="360" w:lineRule="auto"/>
        <w:jc w:val="center"/>
        <w:outlineLvl w:val="0"/>
        <w:rPr>
          <w:rFonts w:hint="eastAsia" w:ascii="宋体" w:hAnsi="宋体" w:eastAsia="宋体" w:cs="宋体"/>
          <w:b/>
          <w:bCs/>
          <w:sz w:val="32"/>
          <w:szCs w:val="32"/>
          <w:lang w:eastAsia="zh-CN"/>
        </w:rPr>
      </w:pPr>
      <w:bookmarkStart w:id="393" w:name="_Toc26583"/>
      <w:r>
        <w:rPr>
          <w:rFonts w:hint="eastAsia" w:ascii="宋体" w:hAnsi="宋体" w:eastAsia="宋体" w:cs="宋体"/>
          <w:b/>
          <w:bCs/>
          <w:sz w:val="32"/>
          <w:szCs w:val="32"/>
          <w:lang w:eastAsia="zh-CN"/>
        </w:rPr>
        <w:t>第四部分</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lang w:eastAsia="zh-CN"/>
        </w:rPr>
        <w:t>合同</w:t>
      </w:r>
      <w:bookmarkEnd w:id="393"/>
    </w:p>
    <w:p w14:paraId="06E9C1EF">
      <w:pPr>
        <w:spacing w:line="360" w:lineRule="auto"/>
        <w:jc w:val="center"/>
        <w:outlineLvl w:val="0"/>
        <w:rPr>
          <w:rFonts w:hint="eastAsia" w:ascii="宋体" w:hAnsi="宋体" w:eastAsia="宋体" w:cs="宋体"/>
          <w:b/>
          <w:bCs/>
          <w:sz w:val="40"/>
          <w:szCs w:val="40"/>
          <w:lang w:eastAsia="zh-CN"/>
        </w:rPr>
      </w:pPr>
      <w:r>
        <w:rPr>
          <w:rFonts w:hint="eastAsia" w:ascii="宋体" w:hAnsi="宋体" w:cs="宋体"/>
          <w:b/>
          <w:bCs/>
          <w:sz w:val="40"/>
          <w:szCs w:val="40"/>
          <w:lang w:eastAsia="zh-CN"/>
        </w:rPr>
        <w:t>中华人民共和国新疆出入境边防检查总站网络安全技术服务采购项目</w:t>
      </w:r>
    </w:p>
    <w:p w14:paraId="3BF8AA2F">
      <w:pPr>
        <w:jc w:val="center"/>
        <w:rPr>
          <w:rFonts w:hint="eastAsia" w:ascii="宋体" w:hAnsi="宋体" w:eastAsia="宋体" w:cs="宋体"/>
          <w:b/>
          <w:bCs/>
          <w:sz w:val="44"/>
          <w:szCs w:val="44"/>
        </w:rPr>
      </w:pPr>
    </w:p>
    <w:p w14:paraId="41E28939">
      <w:pPr>
        <w:spacing w:line="340" w:lineRule="exact"/>
        <w:ind w:firstLine="1687" w:firstLineChars="600"/>
        <w:rPr>
          <w:rFonts w:hint="eastAsia" w:ascii="宋体" w:hAnsi="宋体" w:eastAsia="宋体" w:cs="宋体"/>
          <w:b/>
          <w:bCs/>
          <w:sz w:val="28"/>
          <w:szCs w:val="28"/>
        </w:rPr>
      </w:pPr>
      <w:r>
        <w:rPr>
          <w:rFonts w:hint="eastAsia" w:ascii="宋体" w:hAnsi="宋体" w:eastAsia="宋体" w:cs="宋体"/>
          <w:b/>
          <w:bCs/>
          <w:sz w:val="28"/>
          <w:szCs w:val="28"/>
        </w:rPr>
        <w:t xml:space="preserve"> </w:t>
      </w:r>
    </w:p>
    <w:p w14:paraId="5202084B">
      <w:pPr>
        <w:spacing w:line="340" w:lineRule="exact"/>
        <w:ind w:firstLine="1687" w:firstLineChars="600"/>
        <w:rPr>
          <w:rFonts w:hint="eastAsia" w:ascii="宋体" w:hAnsi="宋体" w:eastAsia="宋体" w:cs="宋体"/>
          <w:b/>
          <w:bCs/>
          <w:sz w:val="28"/>
          <w:szCs w:val="28"/>
        </w:rPr>
      </w:pPr>
    </w:p>
    <w:p w14:paraId="5F6E4AA7">
      <w:pPr>
        <w:spacing w:line="340" w:lineRule="exact"/>
        <w:ind w:firstLine="1687" w:firstLineChars="600"/>
        <w:rPr>
          <w:rFonts w:hint="eastAsia" w:ascii="宋体" w:hAnsi="宋体" w:eastAsia="宋体" w:cs="宋体"/>
          <w:b/>
          <w:bCs/>
          <w:sz w:val="28"/>
          <w:szCs w:val="28"/>
        </w:rPr>
      </w:pPr>
    </w:p>
    <w:p w14:paraId="160F8A75">
      <w:pPr>
        <w:spacing w:line="340" w:lineRule="exact"/>
        <w:ind w:firstLine="1687" w:firstLineChars="600"/>
        <w:rPr>
          <w:rFonts w:hint="eastAsia" w:ascii="宋体" w:hAnsi="宋体" w:eastAsia="宋体" w:cs="宋体"/>
          <w:b/>
          <w:bCs/>
          <w:sz w:val="28"/>
          <w:szCs w:val="28"/>
        </w:rPr>
      </w:pPr>
    </w:p>
    <w:p w14:paraId="7A90B7E2">
      <w:pPr>
        <w:spacing w:line="340" w:lineRule="exact"/>
        <w:ind w:firstLine="1687" w:firstLineChars="600"/>
        <w:rPr>
          <w:rFonts w:hint="eastAsia" w:ascii="宋体" w:hAnsi="宋体" w:eastAsia="宋体" w:cs="宋体"/>
          <w:b/>
          <w:bCs/>
          <w:sz w:val="28"/>
          <w:szCs w:val="28"/>
        </w:rPr>
      </w:pPr>
    </w:p>
    <w:p w14:paraId="00368B61">
      <w:pPr>
        <w:spacing w:line="600" w:lineRule="exact"/>
        <w:ind w:firstLine="1124" w:firstLineChars="350"/>
        <w:jc w:val="left"/>
        <w:rPr>
          <w:rFonts w:hint="eastAsia" w:ascii="宋体" w:hAnsi="宋体" w:eastAsia="宋体" w:cs="宋体"/>
          <w:sz w:val="32"/>
          <w:szCs w:val="32"/>
        </w:rPr>
      </w:pPr>
      <w:r>
        <w:rPr>
          <w:rFonts w:hint="eastAsia" w:ascii="宋体" w:hAnsi="宋体" w:eastAsia="宋体" w:cs="宋体"/>
          <w:b/>
          <w:bCs/>
          <w:sz w:val="32"/>
          <w:szCs w:val="32"/>
        </w:rPr>
        <w:t>甲    方：</w:t>
      </w:r>
      <w:r>
        <w:rPr>
          <w:rFonts w:hint="eastAsia" w:ascii="宋体" w:hAnsi="宋体" w:eastAsia="宋体" w:cs="宋体"/>
          <w:b/>
          <w:bCs/>
          <w:sz w:val="32"/>
          <w:szCs w:val="32"/>
          <w:u w:val="single"/>
        </w:rPr>
        <w:t>中华人民共和国新疆出入境边防检查总站</w:t>
      </w:r>
      <w:r>
        <w:rPr>
          <w:rFonts w:hint="eastAsia" w:ascii="宋体" w:hAnsi="宋体" w:eastAsia="宋体" w:cs="宋体"/>
          <w:sz w:val="32"/>
          <w:szCs w:val="32"/>
          <w:u w:val="single"/>
        </w:rPr>
        <w:t xml:space="preserve">                 </w:t>
      </w:r>
    </w:p>
    <w:p w14:paraId="7A4CAA7F">
      <w:pPr>
        <w:spacing w:line="600" w:lineRule="exact"/>
        <w:ind w:firstLine="1626" w:firstLineChars="506"/>
        <w:rPr>
          <w:rFonts w:hint="eastAsia" w:ascii="宋体" w:hAnsi="宋体" w:eastAsia="宋体" w:cs="宋体"/>
          <w:b/>
          <w:bCs/>
          <w:sz w:val="32"/>
          <w:szCs w:val="32"/>
        </w:rPr>
      </w:pPr>
      <w:r>
        <w:rPr>
          <w:rFonts w:hint="eastAsia" w:ascii="宋体" w:hAnsi="宋体" w:eastAsia="宋体" w:cs="宋体"/>
          <w:b/>
          <w:bCs/>
          <w:sz w:val="32"/>
          <w:szCs w:val="32"/>
        </w:rPr>
        <w:t xml:space="preserve"> </w:t>
      </w:r>
    </w:p>
    <w:p w14:paraId="3B236D4F">
      <w:pPr>
        <w:spacing w:line="600" w:lineRule="exact"/>
        <w:ind w:firstLine="1124" w:firstLineChars="350"/>
        <w:jc w:val="left"/>
        <w:rPr>
          <w:rFonts w:hint="eastAsia" w:ascii="宋体" w:hAnsi="宋体" w:eastAsia="宋体" w:cs="宋体"/>
          <w:sz w:val="32"/>
          <w:szCs w:val="32"/>
          <w:u w:val="single"/>
        </w:rPr>
      </w:pPr>
      <w:r>
        <w:rPr>
          <w:rFonts w:hint="eastAsia" w:ascii="宋体" w:hAnsi="宋体" w:eastAsia="宋体" w:cs="宋体"/>
          <w:b/>
          <w:bCs/>
          <w:sz w:val="32"/>
          <w:szCs w:val="32"/>
        </w:rPr>
        <w:t>乙    方：</w:t>
      </w:r>
      <w:r>
        <w:rPr>
          <w:rFonts w:hint="eastAsia" w:ascii="宋体" w:hAnsi="宋体" w:eastAsia="宋体" w:cs="宋体"/>
          <w:sz w:val="32"/>
          <w:szCs w:val="32"/>
          <w:u w:val="single"/>
        </w:rPr>
        <w:t xml:space="preserve">                                  </w:t>
      </w:r>
    </w:p>
    <w:p w14:paraId="252B3214">
      <w:pPr>
        <w:spacing w:line="600" w:lineRule="exact"/>
        <w:ind w:firstLine="1120" w:firstLineChars="350"/>
        <w:jc w:val="left"/>
        <w:rPr>
          <w:rFonts w:hint="eastAsia" w:ascii="宋体" w:hAnsi="宋体" w:eastAsia="宋体" w:cs="宋体"/>
          <w:sz w:val="32"/>
          <w:szCs w:val="32"/>
          <w:u w:val="single"/>
        </w:rPr>
      </w:pPr>
    </w:p>
    <w:p w14:paraId="469649A4">
      <w:pPr>
        <w:rPr>
          <w:rFonts w:hint="eastAsia" w:ascii="宋体" w:hAnsi="宋体" w:eastAsia="宋体" w:cs="宋体"/>
          <w:b/>
          <w:bCs/>
          <w:sz w:val="32"/>
          <w:szCs w:val="32"/>
        </w:rPr>
      </w:pPr>
      <w:r>
        <w:rPr>
          <w:rFonts w:hint="eastAsia" w:ascii="宋体" w:hAnsi="宋体" w:eastAsia="宋体" w:cs="宋体"/>
          <w:b/>
          <w:bCs/>
          <w:sz w:val="32"/>
          <w:szCs w:val="32"/>
        </w:rPr>
        <w:t xml:space="preserve">       签订地点：</w:t>
      </w:r>
      <w:r>
        <w:rPr>
          <w:rFonts w:hint="eastAsia" w:ascii="宋体" w:hAnsi="宋体" w:eastAsia="宋体" w:cs="宋体"/>
          <w:sz w:val="32"/>
          <w:szCs w:val="32"/>
          <w:u w:val="none"/>
        </w:rPr>
        <w:t xml:space="preserve"> </w:t>
      </w:r>
      <w:r>
        <w:rPr>
          <w:rFonts w:hint="eastAsia" w:ascii="宋体" w:hAnsi="宋体" w:eastAsia="宋体" w:cs="宋体"/>
          <w:sz w:val="32"/>
          <w:szCs w:val="32"/>
          <w:u w:val="single"/>
        </w:rPr>
        <w:t xml:space="preserve">  </w:t>
      </w:r>
      <w:r>
        <w:rPr>
          <w:rFonts w:hint="eastAsia" w:ascii="宋体" w:hAnsi="宋体" w:eastAsia="宋体" w:cs="宋体"/>
          <w:b/>
          <w:bCs/>
          <w:sz w:val="32"/>
          <w:szCs w:val="32"/>
          <w:u w:val="single"/>
        </w:rPr>
        <w:t xml:space="preserve">  </w:t>
      </w:r>
      <w:r>
        <w:rPr>
          <w:rFonts w:hint="eastAsia" w:ascii="宋体" w:hAnsi="宋体" w:cs="宋体"/>
          <w:b/>
          <w:bCs/>
          <w:sz w:val="32"/>
          <w:szCs w:val="32"/>
          <w:u w:val="single"/>
        </w:rPr>
        <w:t>乌鲁木齐团结路1551号</w:t>
      </w:r>
      <w:r>
        <w:rPr>
          <w:rFonts w:hint="eastAsia" w:ascii="宋体" w:hAnsi="宋体" w:eastAsia="宋体" w:cs="宋体"/>
          <w:b/>
          <w:bCs/>
          <w:sz w:val="32"/>
          <w:szCs w:val="32"/>
          <w:u w:val="single"/>
        </w:rPr>
        <w:t xml:space="preserve">  </w:t>
      </w:r>
      <w:r>
        <w:rPr>
          <w:rFonts w:hint="eastAsia" w:ascii="宋体" w:hAnsi="宋体" w:cs="宋体"/>
          <w:sz w:val="32"/>
          <w:szCs w:val="32"/>
          <w:u w:val="single"/>
          <w:lang w:val="en-US" w:eastAsia="zh-CN"/>
        </w:rPr>
        <w:t xml:space="preserve">       </w:t>
      </w:r>
      <w:r>
        <w:rPr>
          <w:rFonts w:hint="eastAsia" w:ascii="宋体" w:hAnsi="宋体" w:eastAsia="宋体" w:cs="宋体"/>
          <w:sz w:val="32"/>
          <w:szCs w:val="32"/>
          <w:u w:val="single"/>
        </w:rPr>
        <w:t xml:space="preserve">   </w:t>
      </w:r>
    </w:p>
    <w:p w14:paraId="41007AE6">
      <w:pPr>
        <w:jc w:val="center"/>
        <w:rPr>
          <w:rFonts w:hint="eastAsia" w:ascii="宋体" w:hAnsi="宋体" w:eastAsia="宋体" w:cs="宋体"/>
          <w:b/>
          <w:bCs/>
          <w:sz w:val="32"/>
          <w:szCs w:val="32"/>
        </w:rPr>
      </w:pPr>
      <w:r>
        <w:rPr>
          <w:rFonts w:hint="eastAsia" w:ascii="宋体" w:hAnsi="宋体" w:eastAsia="宋体" w:cs="宋体"/>
          <w:b/>
          <w:bCs/>
          <w:sz w:val="32"/>
          <w:szCs w:val="32"/>
        </w:rPr>
        <w:t xml:space="preserve">  </w:t>
      </w:r>
    </w:p>
    <w:p w14:paraId="2648EAE1">
      <w:pPr>
        <w:jc w:val="center"/>
        <w:rPr>
          <w:rFonts w:hint="eastAsia" w:ascii="宋体" w:hAnsi="宋体" w:eastAsia="宋体" w:cs="宋体"/>
          <w:b/>
          <w:bCs/>
          <w:sz w:val="32"/>
          <w:szCs w:val="32"/>
        </w:rPr>
      </w:pPr>
      <w:r>
        <w:rPr>
          <w:rFonts w:hint="eastAsia" w:ascii="宋体" w:hAnsi="宋体" w:eastAsia="宋体" w:cs="宋体"/>
          <w:b/>
          <w:bCs/>
          <w:sz w:val="32"/>
          <w:szCs w:val="32"/>
        </w:rPr>
        <w:t xml:space="preserve"> </w:t>
      </w:r>
    </w:p>
    <w:p w14:paraId="3C304D2D">
      <w:pPr>
        <w:jc w:val="center"/>
        <w:rPr>
          <w:rFonts w:hint="eastAsia" w:ascii="宋体" w:hAnsi="宋体" w:eastAsia="宋体" w:cs="宋体"/>
          <w:b/>
          <w:bCs/>
          <w:sz w:val="32"/>
          <w:szCs w:val="32"/>
        </w:rPr>
      </w:pPr>
      <w:r>
        <w:rPr>
          <w:rFonts w:hint="eastAsia" w:ascii="宋体" w:hAnsi="宋体" w:eastAsia="宋体" w:cs="宋体"/>
          <w:b/>
          <w:bCs/>
          <w:sz w:val="32"/>
          <w:szCs w:val="32"/>
        </w:rPr>
        <w:t xml:space="preserve"> 年  月  日</w:t>
      </w:r>
    </w:p>
    <w:p w14:paraId="3E76A6C1">
      <w:pPr>
        <w:pStyle w:val="6"/>
        <w:rPr>
          <w:rFonts w:hint="eastAsia" w:ascii="宋体" w:hAnsi="宋体" w:eastAsia="宋体" w:cs="宋体"/>
          <w:szCs w:val="24"/>
          <w:u w:val="single"/>
        </w:rPr>
      </w:pPr>
    </w:p>
    <w:p w14:paraId="07306293">
      <w:pPr>
        <w:rPr>
          <w:rFonts w:hint="eastAsia" w:ascii="宋体" w:hAnsi="宋体" w:eastAsia="宋体" w:cs="宋体"/>
          <w:u w:val="single"/>
        </w:rPr>
      </w:pPr>
    </w:p>
    <w:p w14:paraId="56106744">
      <w:pPr>
        <w:pStyle w:val="5"/>
        <w:rPr>
          <w:rFonts w:hint="eastAsia" w:ascii="宋体" w:hAnsi="宋体" w:eastAsia="宋体" w:cs="宋体"/>
          <w:u w:val="single"/>
        </w:rPr>
      </w:pPr>
    </w:p>
    <w:p w14:paraId="144FC34C">
      <w:pPr>
        <w:pStyle w:val="2"/>
        <w:jc w:val="both"/>
        <w:rPr>
          <w:rFonts w:hint="eastAsia" w:ascii="宋体" w:hAnsi="宋体" w:eastAsia="宋体" w:cs="宋体"/>
        </w:rPr>
      </w:pPr>
    </w:p>
    <w:p w14:paraId="14B6C6DC">
      <w:pPr>
        <w:pStyle w:val="45"/>
        <w:spacing w:line="460" w:lineRule="exact"/>
        <w:jc w:val="left"/>
        <w:rPr>
          <w:rFonts w:hint="eastAsia" w:ascii="宋体" w:hAnsi="宋体" w:cs="宋体"/>
          <w:b/>
          <w:bCs/>
          <w:sz w:val="32"/>
          <w:szCs w:val="40"/>
          <w:highlight w:val="none"/>
        </w:rPr>
      </w:pPr>
      <w:bookmarkStart w:id="394" w:name="_Toc9210"/>
      <w:bookmarkStart w:id="395" w:name="_Toc490155606"/>
      <w:bookmarkStart w:id="396" w:name="_Toc8983678"/>
      <w:bookmarkStart w:id="397" w:name="_Toc6110"/>
      <w:r>
        <w:rPr>
          <w:rFonts w:hint="eastAsia" w:ascii="宋体" w:hAnsi="宋体" w:cs="宋体"/>
          <w:b/>
          <w:bCs/>
          <w:highlight w:val="none"/>
        </w:rPr>
        <w:t>注：本合同仅为合同的参考文本，合同签订双方可根据项目的具体要求进行修订。</w:t>
      </w:r>
    </w:p>
    <w:p w14:paraId="5DE412CB">
      <w:pPr>
        <w:rPr>
          <w:rFonts w:hint="eastAsia" w:ascii="宋体" w:hAnsi="宋体" w:cs="宋体"/>
          <w:highlight w:val="none"/>
        </w:rPr>
      </w:pPr>
      <w:r>
        <w:rPr>
          <w:rFonts w:hint="eastAsia" w:ascii="宋体" w:hAnsi="宋体" w:cs="宋体"/>
          <w:highlight w:val="none"/>
        </w:rPr>
        <w:br w:type="page"/>
      </w:r>
    </w:p>
    <w:p w14:paraId="4F8A3E64">
      <w:pPr>
        <w:rPr>
          <w:rFonts w:hAnsi="Calibri"/>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p>
    <w:p w14:paraId="099E8D80">
      <w:pPr>
        <w:pageBreakBefore w:val="0"/>
        <w:kinsoku/>
        <w:wordWrap/>
        <w:overflowPunct/>
        <w:topLinePunct w:val="0"/>
        <w:bidi w:val="0"/>
        <w:snapToGrid/>
        <w:spacing w:line="360" w:lineRule="auto"/>
        <w:ind w:left="0" w:leftChars="0"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w:t>
      </w:r>
      <w:r>
        <w:rPr>
          <w:rFonts w:hint="eastAsia" w:ascii="宋体" w:hAnsi="宋体" w:eastAsia="宋体" w:cs="宋体"/>
          <w:color w:val="000000" w:themeColor="text1"/>
          <w:sz w:val="24"/>
          <w:szCs w:val="24"/>
          <w:lang w:eastAsia="zh-CN"/>
          <w14:textFill>
            <w14:solidFill>
              <w14:schemeClr w14:val="tx1"/>
            </w14:solidFill>
          </w14:textFill>
        </w:rPr>
        <w:t>中华人民共和国新疆出入境边防检查总站</w:t>
      </w:r>
      <w:r>
        <w:rPr>
          <w:rFonts w:hint="eastAsia" w:ascii="宋体" w:hAnsi="宋体" w:eastAsia="宋体" w:cs="宋体"/>
          <w:color w:val="000000" w:themeColor="text1"/>
          <w:sz w:val="24"/>
          <w:szCs w:val="24"/>
          <w14:textFill>
            <w14:solidFill>
              <w14:schemeClr w14:val="tx1"/>
            </w14:solidFill>
          </w14:textFill>
        </w:rPr>
        <w:t xml:space="preserve">                       </w:t>
      </w:r>
    </w:p>
    <w:p w14:paraId="761B4F5C">
      <w:pPr>
        <w:pageBreakBefore w:val="0"/>
        <w:kinsoku/>
        <w:wordWrap/>
        <w:overflowPunct/>
        <w:topLinePunct w:val="0"/>
        <w:bidi w:val="0"/>
        <w:snapToGrid/>
        <w:spacing w:line="360" w:lineRule="auto"/>
        <w:ind w:left="0" w:leftChars="0"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乙方：                      </w:t>
      </w:r>
    </w:p>
    <w:p w14:paraId="6957A940">
      <w:pPr>
        <w:pageBreakBefore w:val="0"/>
        <w:kinsoku/>
        <w:wordWrap/>
        <w:overflowPunct/>
        <w:topLinePunct w:val="0"/>
        <w:bidi w:val="0"/>
        <w:snapToGrid/>
        <w:spacing w:line="360" w:lineRule="auto"/>
        <w:ind w:left="0" w:leftChars="0"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鉴于： </w:t>
      </w:r>
    </w:p>
    <w:p w14:paraId="4D94A750">
      <w:pPr>
        <w:pageBreakBefore w:val="0"/>
        <w:kinsoku/>
        <w:wordWrap/>
        <w:overflowPunct/>
        <w:topLinePunct w:val="0"/>
        <w:bidi w:val="0"/>
        <w:snapToGrid/>
        <w:spacing w:line="360" w:lineRule="auto"/>
        <w:ind w:left="0" w:leftChars="0"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本合同双方当事人（1）均为依照中华人民共和国法律成立并有效存续的独立法人，（2）并且已经获得签署本合同的相应授权，（3）具备履行本合同所必须的资质和条件。</w:t>
      </w:r>
    </w:p>
    <w:p w14:paraId="5E8F101A">
      <w:pPr>
        <w:pageBreakBefore w:val="0"/>
        <w:kinsoku/>
        <w:wordWrap/>
        <w:overflowPunct/>
        <w:topLinePunct w:val="0"/>
        <w:bidi w:val="0"/>
        <w:snapToGrid/>
        <w:spacing w:line="360" w:lineRule="auto"/>
        <w:ind w:left="0" w:leftChars="0" w:firstLine="480" w:firstLineChars="200"/>
        <w:jc w:val="left"/>
        <w:rPr>
          <w:rFonts w:hint="eastAsia" w:ascii="宋体" w:hAnsi="宋体" w:eastAsia="宋体" w:cs="宋体"/>
          <w:color w:val="000000" w:themeColor="text1"/>
          <w:sz w:val="24"/>
          <w:szCs w:val="24"/>
          <w14:textFill>
            <w14:solidFill>
              <w14:schemeClr w14:val="tx1"/>
            </w14:solidFill>
          </w14:textFill>
        </w:rPr>
      </w:pPr>
    </w:p>
    <w:p w14:paraId="5CD2307B">
      <w:pPr>
        <w:pageBreakBefore w:val="0"/>
        <w:kinsoku/>
        <w:wordWrap/>
        <w:overflowPunct/>
        <w:topLinePunct w:val="0"/>
        <w:bidi w:val="0"/>
        <w:snapToGrid/>
        <w:spacing w:line="360" w:lineRule="auto"/>
        <w:ind w:left="0" w:leftChars="0" w:firstLine="480" w:firstLineChars="200"/>
        <w:jc w:val="left"/>
        <w:rPr>
          <w:rFonts w:hint="eastAsia" w:ascii="宋体" w:hAnsi="宋体" w:cs="宋体"/>
          <w:bCs/>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u w:val="single"/>
          <w:lang w:eastAsia="zh-CN"/>
          <w14:textFill>
            <w14:solidFill>
              <w14:schemeClr w14:val="tx1"/>
            </w14:solidFill>
          </w14:textFill>
        </w:rPr>
        <w:t>中华人民共和国新疆出入境边防检查总站</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（以下简称甲方）与</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（以下简称乙方）就</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eastAsia="zh-CN"/>
          <w14:textFill>
            <w14:solidFill>
              <w14:schemeClr w14:val="tx1"/>
            </w14:solidFill>
          </w14:textFill>
        </w:rPr>
        <w:t>中华人民共和国新疆出入境边防检查总站网络安全技术服务采购项目</w:t>
      </w:r>
    </w:p>
    <w:p w14:paraId="3520E811">
      <w:pPr>
        <w:pageBreakBefore w:val="0"/>
        <w:kinsoku/>
        <w:wordWrap/>
        <w:overflowPunct/>
        <w:topLinePunct w:val="0"/>
        <w:bidi w:val="0"/>
        <w:snapToGrid/>
        <w:spacing w:line="360" w:lineRule="auto"/>
        <w:ind w:left="0" w:leftChars="0"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，经双方协商一致，签订本合同，共同遵守如下条款：</w:t>
      </w:r>
    </w:p>
    <w:p w14:paraId="02013067">
      <w:pPr>
        <w:pageBreakBefore w:val="0"/>
        <w:kinsoku/>
        <w:wordWrap/>
        <w:overflowPunct/>
        <w:topLinePunct w:val="0"/>
        <w:bidi w:val="0"/>
        <w:snapToGrid/>
        <w:spacing w:line="360" w:lineRule="auto"/>
        <w:ind w:left="0" w:leftChars="0" w:firstLine="482" w:firstLineChars="200"/>
        <w:jc w:val="center"/>
        <w:outlineLvl w:val="9"/>
        <w:rPr>
          <w:rFonts w:hint="eastAsia" w:ascii="宋体" w:hAnsi="宋体" w:eastAsia="宋体" w:cs="宋体"/>
          <w:b/>
          <w:bCs/>
          <w:color w:val="000000" w:themeColor="text1"/>
          <w:sz w:val="24"/>
          <w:szCs w:val="24"/>
          <w14:textFill>
            <w14:solidFill>
              <w14:schemeClr w14:val="tx1"/>
            </w14:solidFill>
          </w14:textFill>
        </w:rPr>
      </w:pPr>
      <w:bookmarkStart w:id="398" w:name="_Toc11002"/>
      <w:r>
        <w:rPr>
          <w:rFonts w:hint="eastAsia" w:ascii="宋体" w:hAnsi="宋体" w:eastAsia="宋体" w:cs="宋体"/>
          <w:b/>
          <w:bCs/>
          <w:color w:val="000000" w:themeColor="text1"/>
          <w:sz w:val="24"/>
          <w:szCs w:val="24"/>
          <w14:textFill>
            <w14:solidFill>
              <w14:schemeClr w14:val="tx1"/>
            </w14:solidFill>
          </w14:textFill>
        </w:rPr>
        <w:t>第一条  总则</w:t>
      </w:r>
      <w:bookmarkEnd w:id="398"/>
    </w:p>
    <w:p w14:paraId="236F395C">
      <w:pPr>
        <w:pageBreakBefore w:val="0"/>
        <w:kinsoku/>
        <w:wordWrap/>
        <w:overflowPunct/>
        <w:topLinePunct w:val="0"/>
        <w:bidi w:val="0"/>
        <w:snapToGrid/>
        <w:spacing w:line="360" w:lineRule="auto"/>
        <w:ind w:left="0" w:leftChars="0" w:firstLine="480" w:firstLineChars="200"/>
        <w:jc w:val="both"/>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1.1.本合同双方必须遵守《中华人民共和国民法典》，并各自履行应</w:t>
      </w:r>
      <w:r>
        <w:rPr>
          <w:rFonts w:hint="eastAsia" w:ascii="宋体" w:hAnsi="宋体" w:eastAsia="宋体" w:cs="宋体"/>
          <w:color w:val="000000" w:themeColor="text1"/>
          <w:sz w:val="24"/>
          <w:szCs w:val="24"/>
          <w:lang w:val="en-US" w:eastAsia="zh-CN"/>
          <w14:textFill>
            <w14:solidFill>
              <w14:schemeClr w14:val="tx1"/>
            </w14:solidFill>
          </w14:textFill>
        </w:rPr>
        <w:t>负</w:t>
      </w:r>
      <w:r>
        <w:rPr>
          <w:rFonts w:hint="eastAsia" w:ascii="宋体" w:hAnsi="宋体" w:eastAsia="宋体" w:cs="宋体"/>
          <w:color w:val="000000" w:themeColor="text1"/>
          <w:sz w:val="24"/>
          <w:szCs w:val="24"/>
          <w14:textFill>
            <w14:solidFill>
              <w14:schemeClr w14:val="tx1"/>
            </w14:solidFill>
          </w14:textFill>
        </w:rPr>
        <w:t>的全部义务。</w:t>
      </w:r>
    </w:p>
    <w:p w14:paraId="2AB1DF5C">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1.2.下列文件组成本合同的文件及作为解释的先后顺序：</w:t>
      </w:r>
    </w:p>
    <w:p w14:paraId="1CEC65B2">
      <w:pPr>
        <w:pageBreakBefore w:val="0"/>
        <w:kinsoku/>
        <w:wordWrap/>
        <w:overflowPunct/>
        <w:topLinePunct w:val="0"/>
        <w:autoSpaceDE w:val="0"/>
        <w:autoSpaceDN w:val="0"/>
        <w:bidi w:val="0"/>
        <w:adjustRightInd w:val="0"/>
        <w:snapToGrid/>
        <w:spacing w:line="360" w:lineRule="auto"/>
        <w:ind w:left="0" w:leftChars="0" w:firstLine="480" w:firstLineChars="200"/>
        <w:jc w:val="left"/>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1.2.1  </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u w:val="single"/>
          <w:lang w:eastAsia="zh-CN"/>
          <w14:textFill>
            <w14:solidFill>
              <w14:schemeClr w14:val="tx1"/>
            </w14:solidFill>
          </w14:textFill>
        </w:rPr>
        <w:t>新疆出入境边防检查总站网络安全技术服务采购</w:t>
      </w:r>
      <w:r>
        <w:rPr>
          <w:rFonts w:hint="eastAsia" w:ascii="宋体" w:hAnsi="宋体" w:eastAsia="宋体" w:cs="宋体"/>
          <w:color w:val="000000" w:themeColor="text1"/>
          <w:kern w:val="0"/>
          <w:sz w:val="24"/>
          <w:szCs w:val="24"/>
          <w14:textFill>
            <w14:solidFill>
              <w14:schemeClr w14:val="tx1"/>
            </w14:solidFill>
          </w14:textFill>
        </w:rPr>
        <w:t>项目的谈判文件、谈判文件成交人澄清；</w:t>
      </w:r>
    </w:p>
    <w:p w14:paraId="46A94DA9">
      <w:pPr>
        <w:pageBreakBefore w:val="0"/>
        <w:kinsoku/>
        <w:wordWrap/>
        <w:overflowPunct/>
        <w:topLinePunct w:val="0"/>
        <w:autoSpaceDE w:val="0"/>
        <w:autoSpaceDN w:val="0"/>
        <w:bidi w:val="0"/>
        <w:adjustRightInd w:val="0"/>
        <w:snapToGrid/>
        <w:spacing w:line="360" w:lineRule="auto"/>
        <w:ind w:left="0" w:leftChars="0" w:firstLine="480" w:firstLineChars="200"/>
        <w:jc w:val="left"/>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1.2.2 本项目的中标通知书；</w:t>
      </w:r>
    </w:p>
    <w:p w14:paraId="46E68D1E">
      <w:pPr>
        <w:pageBreakBefore w:val="0"/>
        <w:kinsoku/>
        <w:wordWrap/>
        <w:overflowPunct/>
        <w:topLinePunct w:val="0"/>
        <w:autoSpaceDE w:val="0"/>
        <w:autoSpaceDN w:val="0"/>
        <w:bidi w:val="0"/>
        <w:adjustRightInd w:val="0"/>
        <w:snapToGrid/>
        <w:spacing w:line="360" w:lineRule="auto"/>
        <w:ind w:left="0" w:leftChars="0" w:firstLine="480" w:firstLineChars="200"/>
        <w:jc w:val="left"/>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1.2.3 本合同及其附件；</w:t>
      </w:r>
    </w:p>
    <w:p w14:paraId="085DE1CB">
      <w:pPr>
        <w:pageBreakBefore w:val="0"/>
        <w:kinsoku/>
        <w:wordWrap/>
        <w:overflowPunct/>
        <w:topLinePunct w:val="0"/>
        <w:autoSpaceDE w:val="0"/>
        <w:autoSpaceDN w:val="0"/>
        <w:bidi w:val="0"/>
        <w:adjustRightInd w:val="0"/>
        <w:snapToGrid/>
        <w:spacing w:line="360" w:lineRule="auto"/>
        <w:ind w:left="0" w:leftChars="0" w:firstLine="480" w:firstLineChars="200"/>
        <w:jc w:val="left"/>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1.2.4 乙方(成交人)的响应文件及其附件；</w:t>
      </w:r>
    </w:p>
    <w:p w14:paraId="14F334CB">
      <w:pPr>
        <w:pageBreakBefore w:val="0"/>
        <w:kinsoku/>
        <w:wordWrap/>
        <w:overflowPunct/>
        <w:topLinePunct w:val="0"/>
        <w:autoSpaceDE w:val="0"/>
        <w:autoSpaceDN w:val="0"/>
        <w:bidi w:val="0"/>
        <w:adjustRightInd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1.2.5 行业标准、规范及有关技术文件等。 </w:t>
      </w:r>
    </w:p>
    <w:p w14:paraId="27964AFC">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1.3.乙方保证全部按照合同条款的规定向甲方提供优质的产品和服务。</w:t>
      </w:r>
    </w:p>
    <w:p w14:paraId="2EF84A38">
      <w:pPr>
        <w:pageBreakBefore w:val="0"/>
        <w:kinsoku/>
        <w:wordWrap/>
        <w:overflowPunct/>
        <w:topLinePunct w:val="0"/>
        <w:bidi w:val="0"/>
        <w:snapToGrid/>
        <w:spacing w:line="360" w:lineRule="auto"/>
        <w:ind w:left="0" w:leftChars="0" w:firstLine="480" w:firstLineChars="200"/>
        <w:jc w:val="both"/>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1.4.甲方保证按照合同条款规定的时间和方式付给乙方到期应付的价款。</w:t>
      </w:r>
    </w:p>
    <w:p w14:paraId="6F0C8B35">
      <w:pPr>
        <w:pageBreakBefore w:val="0"/>
        <w:kinsoku/>
        <w:wordWrap/>
        <w:overflowPunct/>
        <w:topLinePunct w:val="0"/>
        <w:bidi w:val="0"/>
        <w:snapToGrid/>
        <w:spacing w:line="360" w:lineRule="auto"/>
        <w:ind w:left="0" w:leftChars="0" w:firstLine="482" w:firstLineChars="200"/>
        <w:jc w:val="center"/>
        <w:outlineLvl w:val="9"/>
        <w:rPr>
          <w:rFonts w:hint="eastAsia" w:ascii="宋体" w:hAnsi="宋体" w:eastAsia="宋体" w:cs="宋体"/>
          <w:b/>
          <w:bCs/>
          <w:color w:val="000000" w:themeColor="text1"/>
          <w:sz w:val="24"/>
          <w:szCs w:val="24"/>
          <w14:textFill>
            <w14:solidFill>
              <w14:schemeClr w14:val="tx1"/>
            </w14:solidFill>
          </w14:textFill>
        </w:rPr>
      </w:pPr>
      <w:bookmarkStart w:id="399" w:name="_Toc2371"/>
      <w:r>
        <w:rPr>
          <w:rFonts w:hint="eastAsia" w:ascii="宋体" w:hAnsi="宋体" w:eastAsia="宋体" w:cs="宋体"/>
          <w:b/>
          <w:bCs/>
          <w:color w:val="000000" w:themeColor="text1"/>
          <w:sz w:val="24"/>
          <w:szCs w:val="24"/>
          <w14:textFill>
            <w14:solidFill>
              <w14:schemeClr w14:val="tx1"/>
            </w14:solidFill>
          </w14:textFill>
        </w:rPr>
        <w:t>第二条  定义</w:t>
      </w:r>
      <w:bookmarkEnd w:id="399"/>
    </w:p>
    <w:p w14:paraId="49DE798F">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本合同下列术语应解释为：</w:t>
      </w:r>
    </w:p>
    <w:p w14:paraId="34816F0E">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2.1.合同要素：</w:t>
      </w:r>
    </w:p>
    <w:p w14:paraId="487734DF">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2.1.1.“合同”系指甲乙双方签署的、合同格式中载明的甲乙双方所达成的协议，包括所有的附件、附录和上述文件所提到的构成合同的所有文件，并按本合同第一条“总则” 1.2 的先后顺序解释。</w:t>
      </w:r>
    </w:p>
    <w:p w14:paraId="77C7E8F6">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2.1.2.“合同价格”系指根据合同规定乙方在正确地完全履行合同义务后甲方应支付给乙方的价格。</w:t>
      </w:r>
    </w:p>
    <w:p w14:paraId="6E53466C">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2.1.3.“合同条款”系指本合同条款。</w:t>
      </w:r>
    </w:p>
    <w:p w14:paraId="4C16FD9B">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2.1.4.“技术需求”指的是招标文件中的技术需求。</w:t>
      </w:r>
    </w:p>
    <w:p w14:paraId="18885F97">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2.2.实体：</w:t>
      </w:r>
    </w:p>
    <w:p w14:paraId="6F5D14B8">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2.2.1.“甲方”系指在合同中指明的购买服务的单位。</w:t>
      </w:r>
    </w:p>
    <w:p w14:paraId="62714A58">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2.2.1.“乙方”系指在合同中指明的提供本合同项下服务的公司或实体。</w:t>
      </w:r>
    </w:p>
    <w:p w14:paraId="37550257">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2.2.3.“最终用户”系指在合同中指明的、授权甲方采购合同项下服务的委托单位。</w:t>
      </w:r>
    </w:p>
    <w:p w14:paraId="0BAD95DB">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2.3.事项：</w:t>
      </w:r>
    </w:p>
    <w:p w14:paraId="2A145E68">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2.3.1.“服务”系指根据合同规定，乙方应提供的技术、管理和其它服务，包括但不限于：检测、验收及技术服务等。详见本合同第六条“ </w:t>
      </w:r>
      <w:r>
        <w:rPr>
          <w:rFonts w:hint="eastAsia" w:ascii="宋体" w:hAnsi="宋体" w:eastAsia="宋体" w:cs="宋体"/>
          <w:color w:val="000000" w:themeColor="text1"/>
          <w:sz w:val="24"/>
          <w:szCs w:val="24"/>
          <w:lang w:val="en-US" w:eastAsia="zh-CN"/>
          <w14:textFill>
            <w14:solidFill>
              <w14:schemeClr w14:val="tx1"/>
            </w14:solidFill>
          </w14:textFill>
        </w:rPr>
        <w:t>网络</w:t>
      </w:r>
      <w:r>
        <w:rPr>
          <w:rFonts w:hint="eastAsia" w:ascii="宋体" w:hAnsi="宋体" w:eastAsia="宋体" w:cs="宋体"/>
          <w:color w:val="000000" w:themeColor="text1"/>
          <w:sz w:val="24"/>
          <w:szCs w:val="24"/>
          <w14:textFill>
            <w14:solidFill>
              <w14:schemeClr w14:val="tx1"/>
            </w14:solidFill>
          </w14:textFill>
        </w:rPr>
        <w:t>安全</w:t>
      </w:r>
      <w:r>
        <w:rPr>
          <w:rFonts w:hint="eastAsia" w:ascii="宋体" w:hAnsi="宋体" w:eastAsia="宋体" w:cs="宋体"/>
          <w:color w:val="000000" w:themeColor="text1"/>
          <w:sz w:val="24"/>
          <w:szCs w:val="24"/>
          <w:lang w:val="en-US" w:eastAsia="zh-CN"/>
          <w14:textFill>
            <w14:solidFill>
              <w14:schemeClr w14:val="tx1"/>
            </w14:solidFill>
          </w14:textFill>
        </w:rPr>
        <w:t>技术</w:t>
      </w:r>
      <w:r>
        <w:rPr>
          <w:rFonts w:hint="eastAsia" w:ascii="宋体" w:hAnsi="宋体" w:eastAsia="宋体" w:cs="宋体"/>
          <w:color w:val="000000" w:themeColor="text1"/>
          <w:sz w:val="24"/>
          <w:szCs w:val="24"/>
          <w14:textFill>
            <w14:solidFill>
              <w14:schemeClr w14:val="tx1"/>
            </w14:solidFill>
          </w14:textFill>
        </w:rPr>
        <w:t>服务标准及技术要求 ”。</w:t>
      </w:r>
    </w:p>
    <w:p w14:paraId="6BC2C09E">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2.3.2.“资料”指乙方在合同项下，根据合同规定须向甲方提供的所有文件。</w:t>
      </w:r>
    </w:p>
    <w:p w14:paraId="52F67FC6">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2.4.活动：</w:t>
      </w:r>
    </w:p>
    <w:p w14:paraId="664F0A11">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2.4.1.“验收”是指所有合同项下所供货物在检测中达到合同规定的技术标准后，甲方予以接受，中标人在合同签订之前按照甲方需求确定验收方案，并作为合同附件。</w:t>
      </w:r>
    </w:p>
    <w:p w14:paraId="6518BBB9">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2.5.地点和时间：</w:t>
      </w:r>
    </w:p>
    <w:p w14:paraId="67067D16">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2.5.1.“服务地点”指的是本合同约定地点。</w:t>
      </w:r>
    </w:p>
    <w:p w14:paraId="22BD6B6B">
      <w:pPr>
        <w:pageBreakBefore w:val="0"/>
        <w:kinsoku/>
        <w:wordWrap/>
        <w:overflowPunct/>
        <w:topLinePunct w:val="0"/>
        <w:bidi w:val="0"/>
        <w:snapToGrid/>
        <w:spacing w:line="360" w:lineRule="auto"/>
        <w:ind w:left="0" w:leftChars="0" w:firstLine="482" w:firstLineChars="200"/>
        <w:jc w:val="center"/>
        <w:outlineLvl w:val="9"/>
        <w:rPr>
          <w:rFonts w:hint="eastAsia" w:ascii="宋体" w:hAnsi="宋体" w:eastAsia="宋体" w:cs="宋体"/>
          <w:b/>
          <w:bCs/>
          <w:color w:val="000000" w:themeColor="text1"/>
          <w:sz w:val="24"/>
          <w:szCs w:val="24"/>
          <w14:textFill>
            <w14:solidFill>
              <w14:schemeClr w14:val="tx1"/>
            </w14:solidFill>
          </w14:textFill>
        </w:rPr>
      </w:pPr>
      <w:bookmarkStart w:id="400" w:name="_Toc13325"/>
      <w:r>
        <w:rPr>
          <w:rFonts w:hint="eastAsia" w:ascii="宋体" w:hAnsi="宋体" w:eastAsia="宋体" w:cs="宋体"/>
          <w:b/>
          <w:bCs/>
          <w:color w:val="000000" w:themeColor="text1"/>
          <w:sz w:val="24"/>
          <w:szCs w:val="24"/>
          <w14:textFill>
            <w14:solidFill>
              <w14:schemeClr w14:val="tx1"/>
            </w14:solidFill>
          </w14:textFill>
        </w:rPr>
        <w:t>第三条  合同标的</w:t>
      </w:r>
      <w:bookmarkEnd w:id="400"/>
    </w:p>
    <w:p w14:paraId="0AACA042">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3.1.本合同标的</w:t>
      </w:r>
      <w:r>
        <w:rPr>
          <w:rFonts w:hint="eastAsia" w:ascii="宋体" w:hAnsi="宋体" w:eastAsia="宋体" w:cs="宋体"/>
          <w:color w:val="000000" w:themeColor="text1"/>
          <w:sz w:val="24"/>
          <w:szCs w:val="24"/>
          <w:highlight w:val="none"/>
          <w14:textFill>
            <w14:solidFill>
              <w14:schemeClr w14:val="tx1"/>
            </w14:solidFill>
          </w14:textFill>
        </w:rPr>
        <w:t>为</w:t>
      </w:r>
      <w:r>
        <w:rPr>
          <w:rFonts w:hint="eastAsia" w:ascii="宋体" w:hAnsi="宋体" w:eastAsia="宋体" w:cs="宋体"/>
          <w:bCs/>
          <w:color w:val="000000" w:themeColor="text1"/>
          <w:sz w:val="24"/>
          <w:szCs w:val="24"/>
          <w:u w:val="single"/>
          <w:lang w:eastAsia="zh-CN"/>
          <w14:textFill>
            <w14:solidFill>
              <w14:schemeClr w14:val="tx1"/>
            </w14:solidFill>
          </w14:textFill>
        </w:rPr>
        <w:t>中华人民共和国新疆出入境边防检查总站网络安全技术服务采购项目</w:t>
      </w:r>
      <w:r>
        <w:rPr>
          <w:rFonts w:hint="eastAsia" w:ascii="宋体" w:hAnsi="宋体" w:eastAsia="宋体" w:cs="宋体"/>
          <w:color w:val="000000" w:themeColor="text1"/>
          <w:sz w:val="24"/>
          <w:szCs w:val="24"/>
          <w14:textFill>
            <w14:solidFill>
              <w14:schemeClr w14:val="tx1"/>
            </w14:solidFill>
          </w14:textFill>
        </w:rPr>
        <w:t>，本合同价格为固定价。合同总价包含所有</w:t>
      </w:r>
      <w:r>
        <w:rPr>
          <w:rFonts w:hint="eastAsia" w:ascii="宋体" w:hAnsi="宋体" w:cs="宋体"/>
          <w:color w:val="000000" w:themeColor="text1"/>
          <w:sz w:val="24"/>
          <w:szCs w:val="24"/>
          <w:lang w:val="en-US" w:eastAsia="zh-CN"/>
          <w14:textFill>
            <w14:solidFill>
              <w14:schemeClr w14:val="tx1"/>
            </w14:solidFill>
          </w14:textFill>
        </w:rPr>
        <w:t>技术服务</w:t>
      </w:r>
      <w:r>
        <w:rPr>
          <w:rFonts w:hint="eastAsia" w:ascii="宋体" w:hAnsi="宋体" w:eastAsia="宋体" w:cs="宋体"/>
          <w:color w:val="000000" w:themeColor="text1"/>
          <w:sz w:val="24"/>
          <w:szCs w:val="24"/>
          <w14:textFill>
            <w14:solidFill>
              <w14:schemeClr w14:val="tx1"/>
            </w14:solidFill>
          </w14:textFill>
        </w:rPr>
        <w:t>费用及税金等，除此甲方不再承担任何费用；</w:t>
      </w:r>
    </w:p>
    <w:p w14:paraId="667843CC">
      <w:pPr>
        <w:pageBreakBefore w:val="0"/>
        <w:kinsoku/>
        <w:wordWrap/>
        <w:overflowPunct/>
        <w:topLinePunct w:val="0"/>
        <w:bidi w:val="0"/>
        <w:adjustRightInd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w:t>
      </w:r>
      <w:r>
        <w:rPr>
          <w:rFonts w:hint="eastAsia" w:ascii="宋体" w:hAnsi="宋体" w:cs="宋体"/>
          <w:color w:val="000000" w:themeColor="text1"/>
          <w:sz w:val="24"/>
          <w:szCs w:val="24"/>
          <w:lang w:val="en-US" w:eastAsia="zh-CN"/>
          <w14:textFill>
            <w14:solidFill>
              <w14:schemeClr w14:val="tx1"/>
            </w14:solidFill>
          </w14:textFill>
        </w:rPr>
        <w:t>服务</w:t>
      </w:r>
      <w:r>
        <w:rPr>
          <w:rFonts w:hint="eastAsia" w:ascii="宋体" w:hAnsi="宋体" w:eastAsia="宋体" w:cs="宋体"/>
          <w:color w:val="000000" w:themeColor="text1"/>
          <w:sz w:val="24"/>
          <w:szCs w:val="24"/>
          <w14:textFill>
            <w14:solidFill>
              <w14:schemeClr w14:val="tx1"/>
            </w14:solidFill>
          </w14:textFill>
        </w:rPr>
        <w:t xml:space="preserve">内容、名称、规格型号、单位、数量及金额：大写：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元整 。 小写：</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（人民币元）。</w:t>
      </w:r>
    </w:p>
    <w:p w14:paraId="26C892BB">
      <w:pPr>
        <w:pageBreakBefore w:val="0"/>
        <w:kinsoku/>
        <w:wordWrap/>
        <w:overflowPunct/>
        <w:topLinePunct w:val="0"/>
        <w:bidi w:val="0"/>
        <w:adjustRightInd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p>
    <w:p w14:paraId="2CFBA2B7">
      <w:pPr>
        <w:pageBreakBefore w:val="0"/>
        <w:kinsoku/>
        <w:wordWrap/>
        <w:overflowPunct/>
        <w:topLinePunct w:val="0"/>
        <w:bidi w:val="0"/>
        <w:snapToGrid/>
        <w:spacing w:line="360" w:lineRule="auto"/>
        <w:ind w:left="0" w:leftChars="0" w:firstLine="482" w:firstLineChars="200"/>
        <w:jc w:val="center"/>
        <w:outlineLvl w:val="9"/>
        <w:rPr>
          <w:rFonts w:hint="eastAsia" w:ascii="宋体" w:hAnsi="宋体" w:eastAsia="宋体" w:cs="宋体"/>
          <w:b/>
          <w:bCs/>
          <w:color w:val="000000" w:themeColor="text1"/>
          <w:sz w:val="24"/>
          <w:szCs w:val="24"/>
          <w14:textFill>
            <w14:solidFill>
              <w14:schemeClr w14:val="tx1"/>
            </w14:solidFill>
          </w14:textFill>
        </w:rPr>
      </w:pPr>
      <w:bookmarkStart w:id="401" w:name="_Toc3956"/>
      <w:r>
        <w:rPr>
          <w:rFonts w:hint="eastAsia" w:ascii="宋体" w:hAnsi="宋体" w:eastAsia="宋体" w:cs="宋体"/>
          <w:b/>
          <w:bCs/>
          <w:color w:val="000000" w:themeColor="text1"/>
          <w:sz w:val="24"/>
          <w:szCs w:val="24"/>
          <w14:textFill>
            <w14:solidFill>
              <w14:schemeClr w14:val="tx1"/>
            </w14:solidFill>
          </w14:textFill>
        </w:rPr>
        <w:t>第四条  保密条款</w:t>
      </w:r>
      <w:bookmarkEnd w:id="401"/>
    </w:p>
    <w:p w14:paraId="0A35736F">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甲乙任何一方应对在本合同签订或履行过程中所接触到的对方的保密信息，包括但不限于知识产权信息、内部管理办法、内部规章制度以及其他与甲乙双方内部规章相关的信息，负有保密义务。除甲方为了了解本项目建设必须对项目业主等相关第三方披露外，未经对方同意任何一方不得将本合同及履行本合同的相关文件向第三方披露。</w:t>
      </w:r>
    </w:p>
    <w:p w14:paraId="46954F00">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4.2.在本合同履行期间内，任何一方对获得与本项目相关的对方的商业机密，皆应谨慎地进行披露和接受。</w:t>
      </w:r>
    </w:p>
    <w:p w14:paraId="2E4D6A43">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4.3.本合同履行完毕或终止后，一方将立即归还从对方处获得的一切保密信息，或者以对方认可的方式进行销毁。</w:t>
      </w:r>
    </w:p>
    <w:p w14:paraId="21C98615">
      <w:pPr>
        <w:pStyle w:val="6"/>
        <w:pageBreakBefore w:val="0"/>
        <w:kinsoku/>
        <w:wordWrap/>
        <w:overflowPunct/>
        <w:topLinePunct w:val="0"/>
        <w:bidi w:val="0"/>
        <w:snapToGrid/>
        <w:spacing w:before="0"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双方的保密义务不受本合同的终止或解除的影响。</w:t>
      </w:r>
    </w:p>
    <w:p w14:paraId="51C6FA53">
      <w:pPr>
        <w:pStyle w:val="75"/>
        <w:pageBreakBefore w:val="0"/>
        <w:kinsoku/>
        <w:wordWrap/>
        <w:overflowPunct/>
        <w:topLinePunct w:val="0"/>
        <w:bidi w:val="0"/>
        <w:snapToGrid/>
        <w:spacing w:before="0"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p>
    <w:p w14:paraId="6951127A">
      <w:pPr>
        <w:pageBreakBefore w:val="0"/>
        <w:kinsoku/>
        <w:wordWrap/>
        <w:overflowPunct/>
        <w:topLinePunct w:val="0"/>
        <w:bidi w:val="0"/>
        <w:snapToGrid/>
        <w:spacing w:line="360" w:lineRule="auto"/>
        <w:ind w:left="0" w:leftChars="0" w:firstLine="482" w:firstLineChars="200"/>
        <w:jc w:val="center"/>
        <w:outlineLvl w:val="9"/>
        <w:rPr>
          <w:rFonts w:hint="eastAsia" w:ascii="宋体" w:hAnsi="宋体" w:eastAsia="宋体" w:cs="宋体"/>
          <w:b/>
          <w:bCs/>
          <w:color w:val="000000" w:themeColor="text1"/>
          <w:sz w:val="24"/>
          <w:szCs w:val="24"/>
          <w:lang w:eastAsia="zh-CN"/>
          <w14:textFill>
            <w14:solidFill>
              <w14:schemeClr w14:val="tx1"/>
            </w14:solidFill>
          </w14:textFill>
        </w:rPr>
      </w:pPr>
      <w:bookmarkStart w:id="402" w:name="_Toc9182"/>
      <w:r>
        <w:rPr>
          <w:rFonts w:hint="eastAsia" w:ascii="宋体" w:hAnsi="宋体" w:eastAsia="宋体" w:cs="宋体"/>
          <w:b/>
          <w:bCs/>
          <w:color w:val="000000" w:themeColor="text1"/>
          <w:sz w:val="24"/>
          <w:szCs w:val="24"/>
          <w14:textFill>
            <w14:solidFill>
              <w14:schemeClr w14:val="tx1"/>
            </w14:solidFill>
          </w14:textFill>
        </w:rPr>
        <w:t>第五条  付款方式和期限</w:t>
      </w:r>
      <w:bookmarkEnd w:id="402"/>
      <w:r>
        <w:rPr>
          <w:rFonts w:hint="eastAsia" w:ascii="宋体" w:hAnsi="宋体" w:eastAsia="宋体" w:cs="宋体"/>
          <w:b/>
          <w:bCs/>
          <w:color w:val="000000" w:themeColor="text1"/>
          <w:sz w:val="24"/>
          <w:szCs w:val="24"/>
          <w:lang w:eastAsia="zh-CN"/>
          <w14:textFill>
            <w14:solidFill>
              <w14:schemeClr w14:val="tx1"/>
            </w14:solidFill>
          </w14:textFill>
        </w:rPr>
        <w:t>及验收</w:t>
      </w:r>
    </w:p>
    <w:p w14:paraId="3C58B801">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w:t>
      </w:r>
      <w:r>
        <w:rPr>
          <w:rFonts w:hint="eastAsia" w:ascii="宋体" w:hAnsi="宋体" w:eastAsia="宋体" w:cs="宋体"/>
          <w:color w:val="000000"/>
          <w:kern w:val="2"/>
          <w:sz w:val="24"/>
          <w:szCs w:val="24"/>
          <w:highlight w:val="white"/>
          <w:lang w:val="en-US" w:eastAsia="zh-CN" w:bidi="ar-SA"/>
        </w:rPr>
        <w:t>合同签订后，乙方向总站提供合同金额75%增值税普通发票，甲方于15个工作日内，支付合同金额75 %的首付款，服务期结束并通过终验合格后，经甲方审计部门审计后，乙方向甲方提供审定后合同剩余金额增值税普通发票，甲方于15个工作日内，支付合同审定金额的剩余款项。</w:t>
      </w:r>
    </w:p>
    <w:p w14:paraId="1EC0A9C9">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.乙方具备上述付款条件后向甲方申请服务款时，先将相关结算资料提交甲方。乙方需要提供以下付款单据：</w:t>
      </w:r>
    </w:p>
    <w:p w14:paraId="00E1FDCC">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.1.甲方签署的验收合格证明正本一份；</w:t>
      </w:r>
    </w:p>
    <w:p w14:paraId="00E92C8A">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.2.与申请服务款等值的税务发票正本一份。</w:t>
      </w:r>
    </w:p>
    <w:p w14:paraId="32D4B590">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.乙方申请付款时，发票必须由乙方提供，不得将服务等发票直接提供给甲方。在甲方付款前，乙方应当向甲方出具足额的</w:t>
      </w:r>
      <w:r>
        <w:rPr>
          <w:rFonts w:hint="eastAsia" w:ascii="宋体" w:hAnsi="宋体" w:cs="宋体"/>
          <w:color w:val="000000" w:themeColor="text1"/>
          <w:sz w:val="24"/>
          <w:szCs w:val="24"/>
          <w:lang w:val="en-US" w:eastAsia="zh-CN"/>
          <w14:textFill>
            <w14:solidFill>
              <w14:schemeClr w14:val="tx1"/>
            </w14:solidFill>
          </w14:textFill>
        </w:rPr>
        <w:t>增值税普通</w:t>
      </w:r>
      <w:r>
        <w:rPr>
          <w:rFonts w:hint="eastAsia" w:ascii="宋体" w:hAnsi="宋体" w:eastAsia="宋体" w:cs="宋体"/>
          <w:color w:val="000000" w:themeColor="text1"/>
          <w:sz w:val="24"/>
          <w:szCs w:val="24"/>
          <w14:textFill>
            <w14:solidFill>
              <w14:schemeClr w14:val="tx1"/>
            </w14:solidFill>
          </w14:textFill>
        </w:rPr>
        <w:t>发票。乙方向甲方逾期出具发票或者发票不符合税法和甲方要求的，甲方有权延期付款，直至乙方按本协议约定出具足额的发票。乙方不得以此拒绝履行其合同义务或因此索取任何补偿或者费用支付。</w:t>
      </w:r>
    </w:p>
    <w:p w14:paraId="79402D80">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.本合同项目下合同价款由甲方负责支付。</w:t>
      </w:r>
    </w:p>
    <w:p w14:paraId="40836471">
      <w:pPr>
        <w:pageBreakBefore w:val="0"/>
        <w:kinsoku/>
        <w:wordWrap/>
        <w:overflowPunct/>
        <w:topLinePunct w:val="0"/>
        <w:bidi w:val="0"/>
        <w:adjustRightInd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乙方指定收款账户</w:t>
      </w:r>
    </w:p>
    <w:p w14:paraId="611A8BB6">
      <w:pPr>
        <w:pageBreakBefore w:val="0"/>
        <w:kinsoku/>
        <w:wordWrap/>
        <w:overflowPunct/>
        <w:topLinePunct w:val="0"/>
        <w:bidi w:val="0"/>
        <w:adjustRightInd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账户名称：  </w:t>
      </w:r>
    </w:p>
    <w:p w14:paraId="25082EF2">
      <w:pPr>
        <w:pageBreakBefore w:val="0"/>
        <w:kinsoku/>
        <w:wordWrap/>
        <w:overflowPunct/>
        <w:topLinePunct w:val="0"/>
        <w:bidi w:val="0"/>
        <w:adjustRightInd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开户行：</w:t>
      </w:r>
    </w:p>
    <w:p w14:paraId="2F82B5F5">
      <w:pPr>
        <w:pStyle w:val="6"/>
        <w:pageBreakBefore w:val="0"/>
        <w:kinsoku/>
        <w:wordWrap/>
        <w:overflowPunct/>
        <w:topLinePunct w:val="0"/>
        <w:bidi w:val="0"/>
        <w:snapToGrid/>
        <w:spacing w:before="0" w:line="360" w:lineRule="auto"/>
        <w:ind w:left="0" w:leftChars="0" w:firstLine="480" w:firstLineChars="200"/>
        <w:jc w:val="left"/>
        <w:outlineLvl w:val="9"/>
        <w:rPr>
          <w:rFonts w:hint="eastAsia" w:ascii="宋体" w:hAnsi="宋体" w:eastAsia="宋体" w:cs="宋体"/>
          <w:color w:val="000000" w:themeColor="text1"/>
          <w:kern w:val="0"/>
          <w:sz w:val="24"/>
          <w:szCs w:val="24"/>
          <w:lang w:val="zh-CN" w:bidi="zh-CN"/>
          <w14:textFill>
            <w14:solidFill>
              <w14:schemeClr w14:val="tx1"/>
            </w14:solidFill>
          </w14:textFill>
        </w:rPr>
      </w:pPr>
      <w:r>
        <w:rPr>
          <w:rFonts w:hint="eastAsia" w:ascii="宋体" w:hAnsi="宋体" w:eastAsia="宋体" w:cs="宋体"/>
          <w:color w:val="000000" w:themeColor="text1"/>
          <w:kern w:val="0"/>
          <w:sz w:val="24"/>
          <w:szCs w:val="24"/>
          <w:lang w:val="zh-CN" w:bidi="zh-CN"/>
          <w14:textFill>
            <w14:solidFill>
              <w14:schemeClr w14:val="tx1"/>
            </w14:solidFill>
          </w14:textFill>
        </w:rPr>
        <w:t>账号：</w:t>
      </w:r>
    </w:p>
    <w:p w14:paraId="1161C69C">
      <w:pPr>
        <w:pageBreakBefore w:val="0"/>
        <w:kinsoku/>
        <w:wordWrap/>
        <w:overflowPunct/>
        <w:topLinePunct w:val="0"/>
        <w:bidi w:val="0"/>
        <w:snapToGrid/>
        <w:spacing w:beforeAutospacing="0" w:afterAutospacing="0" w:line="360" w:lineRule="auto"/>
        <w:ind w:left="0" w:leftChars="0" w:firstLine="480" w:firstLineChars="200"/>
        <w:jc w:val="left"/>
        <w:outlineLvl w:val="9"/>
        <w:rPr>
          <w:rFonts w:hint="eastAsia"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5.</w:t>
      </w:r>
      <w:r>
        <w:rPr>
          <w:rFonts w:hint="eastAsia" w:ascii="宋体" w:hAnsi="宋体" w:cs="宋体"/>
          <w:color w:val="000000" w:themeColor="text1"/>
          <w:kern w:val="2"/>
          <w:sz w:val="24"/>
          <w:szCs w:val="24"/>
          <w:lang w:val="en-US" w:eastAsia="zh-CN"/>
          <w14:textFill>
            <w14:solidFill>
              <w14:schemeClr w14:val="tx1"/>
            </w14:solidFill>
          </w14:textFill>
        </w:rPr>
        <w:t>5</w:t>
      </w:r>
      <w:r>
        <w:rPr>
          <w:rFonts w:hint="eastAsia" w:ascii="宋体" w:hAnsi="宋体" w:eastAsia="宋体" w:cs="宋体"/>
          <w:b w:val="0"/>
          <w:color w:val="000000" w:themeColor="text1"/>
          <w:kern w:val="2"/>
          <w:sz w:val="24"/>
          <w:szCs w:val="24"/>
          <w:highlight w:val="none"/>
          <w14:textFill>
            <w14:solidFill>
              <w14:schemeClr w14:val="tx1"/>
            </w14:solidFill>
          </w14:textFill>
        </w:rPr>
        <w:t>验收方式及标准</w:t>
      </w:r>
      <w:r>
        <w:rPr>
          <w:rFonts w:hint="eastAsia" w:ascii="宋体" w:hAnsi="宋体" w:eastAsia="宋体" w:cs="宋体"/>
          <w:color w:val="000000" w:themeColor="text1"/>
          <w:kern w:val="2"/>
          <w:sz w:val="24"/>
          <w:szCs w:val="24"/>
          <w:lang w:val="en-US" w:eastAsia="zh-CN"/>
          <w14:textFill>
            <w14:solidFill>
              <w14:schemeClr w14:val="tx1"/>
            </w14:solidFill>
          </w14:textFill>
        </w:rPr>
        <w:t>。</w:t>
      </w:r>
    </w:p>
    <w:p w14:paraId="79C8B644">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验收按照合同计划执行。</w:t>
      </w:r>
    </w:p>
    <w:p w14:paraId="03B8CCE6">
      <w:pPr>
        <w:widowControl/>
        <w:numPr>
          <w:ilvl w:val="-1"/>
          <w:numId w:val="0"/>
        </w:numPr>
        <w:wordWrap/>
        <w:adjustRightInd/>
        <w:snapToGrid/>
        <w:spacing w:line="360" w:lineRule="auto"/>
        <w:ind w:firstLine="480" w:firstLineChars="200"/>
        <w:jc w:val="left"/>
        <w:textAlignment w:val="auto"/>
        <w:outlineLvl w:val="9"/>
        <w:rPr>
          <w:rFonts w:hint="eastAsia" w:ascii="宋体" w:hAnsi="宋体" w:cs="宋体"/>
          <w:color w:val="000000" w:themeColor="text1"/>
          <w:kern w:val="2"/>
          <w:sz w:val="24"/>
          <w:szCs w:val="24"/>
          <w:u w:val="none"/>
          <w:lang w:eastAsia="zh-CN"/>
          <w14:textFill>
            <w14:solidFill>
              <w14:schemeClr w14:val="tx1"/>
            </w14:solidFill>
          </w14:textFill>
        </w:rPr>
      </w:pPr>
      <w:bookmarkStart w:id="403" w:name="_Toc1265"/>
      <w:bookmarkStart w:id="404" w:name="_Toc4142"/>
      <w:r>
        <w:rPr>
          <w:rFonts w:hint="eastAsia" w:ascii="宋体" w:hAnsi="宋体" w:eastAsia="宋体" w:cs="宋体"/>
          <w:color w:val="000000" w:themeColor="text1"/>
          <w:kern w:val="2"/>
          <w:sz w:val="24"/>
          <w:szCs w:val="24"/>
          <w:u w:val="none"/>
          <w14:textFill>
            <w14:solidFill>
              <w14:schemeClr w14:val="tx1"/>
            </w14:solidFill>
          </w14:textFill>
        </w:rPr>
        <w:t>（1）</w:t>
      </w:r>
      <w:r>
        <w:rPr>
          <w:rFonts w:hint="eastAsia" w:ascii="宋体" w:hAnsi="宋体" w:cs="宋体"/>
          <w:color w:val="000000" w:themeColor="text1"/>
          <w:kern w:val="2"/>
          <w:sz w:val="24"/>
          <w:szCs w:val="24"/>
          <w:u w:val="none"/>
          <w:lang w:eastAsia="zh-CN"/>
          <w14:textFill>
            <w14:solidFill>
              <w14:schemeClr w14:val="tx1"/>
            </w14:solidFill>
          </w14:textFill>
        </w:rPr>
        <w:t>启动验收。乙方按甲方要求完成服务后，由供应商向采购需求部门发送项目验收申请，由</w:t>
      </w:r>
      <w:r>
        <w:rPr>
          <w:rFonts w:hint="eastAsia" w:ascii="宋体" w:hAnsi="宋体" w:cs="宋体"/>
          <w:color w:val="000000" w:themeColor="text1"/>
          <w:kern w:val="2"/>
          <w:sz w:val="24"/>
          <w:szCs w:val="24"/>
          <w:u w:val="none"/>
          <w:lang w:val="en-US" w:eastAsia="zh-CN"/>
          <w14:textFill>
            <w14:solidFill>
              <w14:schemeClr w14:val="tx1"/>
            </w14:solidFill>
          </w14:textFill>
        </w:rPr>
        <w:t>信息科技处</w:t>
      </w:r>
      <w:r>
        <w:rPr>
          <w:rFonts w:hint="eastAsia" w:ascii="宋体" w:hAnsi="宋体" w:cs="宋体"/>
          <w:color w:val="000000" w:themeColor="text1"/>
          <w:kern w:val="2"/>
          <w:sz w:val="24"/>
          <w:szCs w:val="24"/>
          <w:u w:val="none"/>
          <w:lang w:eastAsia="zh-CN"/>
          <w14:textFill>
            <w14:solidFill>
              <w14:schemeClr w14:val="tx1"/>
            </w14:solidFill>
          </w14:textFill>
        </w:rPr>
        <w:t>呈批验收请示。</w:t>
      </w:r>
    </w:p>
    <w:p w14:paraId="31EC19B0">
      <w:pPr>
        <w:widowControl/>
        <w:numPr>
          <w:ilvl w:val="-1"/>
          <w:numId w:val="0"/>
        </w:numPr>
        <w:wordWrap/>
        <w:adjustRightInd/>
        <w:snapToGrid/>
        <w:spacing w:line="360" w:lineRule="auto"/>
        <w:ind w:firstLine="480" w:firstLineChars="200"/>
        <w:jc w:val="left"/>
        <w:textAlignment w:val="auto"/>
        <w:outlineLvl w:val="9"/>
        <w:rPr>
          <w:rFonts w:hint="eastAsia" w:ascii="宋体" w:hAnsi="宋体" w:cs="宋体"/>
          <w:color w:val="000000" w:themeColor="text1"/>
          <w:kern w:val="2"/>
          <w:sz w:val="24"/>
          <w:szCs w:val="24"/>
          <w:u w:val="none"/>
          <w:lang w:eastAsia="zh-CN"/>
          <w14:textFill>
            <w14:solidFill>
              <w14:schemeClr w14:val="tx1"/>
            </w14:solidFill>
          </w14:textFill>
        </w:rPr>
      </w:pPr>
      <w:r>
        <w:rPr>
          <w:rFonts w:hint="eastAsia" w:ascii="宋体" w:hAnsi="宋体" w:eastAsia="宋体" w:cs="宋体"/>
          <w:color w:val="000000" w:themeColor="text1"/>
          <w:kern w:val="2"/>
          <w:sz w:val="24"/>
          <w:szCs w:val="24"/>
          <w:u w:val="none"/>
          <w14:textFill>
            <w14:solidFill>
              <w14:schemeClr w14:val="tx1"/>
            </w14:solidFill>
          </w14:textFill>
        </w:rPr>
        <w:t>（2）</w:t>
      </w:r>
      <w:r>
        <w:rPr>
          <w:rFonts w:hint="eastAsia" w:ascii="宋体" w:hAnsi="宋体" w:cs="宋体"/>
          <w:color w:val="000000" w:themeColor="text1"/>
          <w:kern w:val="2"/>
          <w:sz w:val="24"/>
          <w:szCs w:val="24"/>
          <w:u w:val="none"/>
          <w:lang w:eastAsia="zh-CN"/>
          <w14:textFill>
            <w14:solidFill>
              <w14:schemeClr w14:val="tx1"/>
            </w14:solidFill>
          </w14:textFill>
        </w:rPr>
        <w:t>供应商提供验收所需资料。主要包括</w:t>
      </w:r>
      <w:r>
        <w:rPr>
          <w:rFonts w:hint="eastAsia" w:ascii="宋体" w:hAnsi="宋体" w:cs="宋体"/>
          <w:color w:val="000000" w:themeColor="text1"/>
          <w:kern w:val="2"/>
          <w:sz w:val="24"/>
          <w:szCs w:val="24"/>
          <w:u w:val="none"/>
          <w:lang w:val="en-US" w:eastAsia="zh-CN"/>
          <w14:textFill>
            <w14:solidFill>
              <w14:schemeClr w14:val="tx1"/>
            </w14:solidFill>
          </w14:textFill>
        </w:rPr>
        <w:t>网络安全技术服务报告</w:t>
      </w:r>
      <w:r>
        <w:rPr>
          <w:rFonts w:hint="eastAsia" w:ascii="宋体" w:hAnsi="宋体" w:cs="宋体"/>
          <w:color w:val="000000" w:themeColor="text1"/>
          <w:kern w:val="2"/>
          <w:sz w:val="24"/>
          <w:szCs w:val="24"/>
          <w:u w:val="none"/>
          <w:lang w:eastAsia="zh-CN"/>
          <w14:textFill>
            <w14:solidFill>
              <w14:schemeClr w14:val="tx1"/>
            </w14:solidFill>
          </w14:textFill>
        </w:rPr>
        <w:t>及其相关资料。</w:t>
      </w:r>
    </w:p>
    <w:p w14:paraId="704BEC26">
      <w:pPr>
        <w:widowControl/>
        <w:numPr>
          <w:ilvl w:val="-1"/>
          <w:numId w:val="0"/>
        </w:numPr>
        <w:wordWrap/>
        <w:adjustRightInd/>
        <w:snapToGrid/>
        <w:spacing w:line="360" w:lineRule="auto"/>
        <w:ind w:firstLine="480" w:firstLineChars="200"/>
        <w:jc w:val="left"/>
        <w:textAlignment w:val="auto"/>
        <w:outlineLvl w:val="9"/>
        <w:rPr>
          <w:rFonts w:hint="eastAsia" w:ascii="宋体" w:hAnsi="宋体" w:cs="宋体"/>
          <w:color w:val="000000" w:themeColor="text1"/>
          <w:kern w:val="2"/>
          <w:sz w:val="24"/>
          <w:szCs w:val="24"/>
          <w:u w:val="none"/>
          <w:lang w:val="en-US" w:eastAsia="zh-CN"/>
          <w14:textFill>
            <w14:solidFill>
              <w14:schemeClr w14:val="tx1"/>
            </w14:solidFill>
          </w14:textFill>
        </w:rPr>
      </w:pPr>
      <w:r>
        <w:rPr>
          <w:rFonts w:hint="eastAsia" w:ascii="宋体" w:hAnsi="宋体" w:eastAsia="宋体" w:cs="宋体"/>
          <w:color w:val="000000" w:themeColor="text1"/>
          <w:kern w:val="2"/>
          <w:sz w:val="24"/>
          <w:szCs w:val="24"/>
          <w:u w:val="none"/>
          <w14:textFill>
            <w14:solidFill>
              <w14:schemeClr w14:val="tx1"/>
            </w14:solidFill>
          </w14:textFill>
        </w:rPr>
        <w:t>（3）</w:t>
      </w:r>
      <w:r>
        <w:rPr>
          <w:rFonts w:hint="eastAsia" w:ascii="宋体" w:hAnsi="宋体" w:cs="宋体"/>
          <w:color w:val="000000" w:themeColor="text1"/>
          <w:kern w:val="2"/>
          <w:sz w:val="24"/>
          <w:szCs w:val="24"/>
          <w:u w:val="none"/>
          <w:lang w:eastAsia="zh-CN"/>
          <w14:textFill>
            <w14:solidFill>
              <w14:schemeClr w14:val="tx1"/>
            </w14:solidFill>
          </w14:textFill>
        </w:rPr>
        <w:t>成立验收小组。由</w:t>
      </w:r>
      <w:r>
        <w:rPr>
          <w:rFonts w:hint="eastAsia" w:ascii="宋体" w:hAnsi="宋体" w:cs="宋体"/>
          <w:color w:val="000000" w:themeColor="text1"/>
          <w:kern w:val="2"/>
          <w:sz w:val="24"/>
          <w:szCs w:val="24"/>
          <w:u w:val="none"/>
          <w:lang w:val="en-US" w:eastAsia="zh-CN"/>
          <w14:textFill>
            <w14:solidFill>
              <w14:schemeClr w14:val="tx1"/>
            </w14:solidFill>
          </w14:textFill>
        </w:rPr>
        <w:t>信息科技处</w:t>
      </w:r>
      <w:r>
        <w:rPr>
          <w:rFonts w:hint="eastAsia" w:ascii="宋体" w:hAnsi="宋体" w:cs="宋体"/>
          <w:color w:val="000000" w:themeColor="text1"/>
          <w:kern w:val="2"/>
          <w:sz w:val="24"/>
          <w:szCs w:val="24"/>
          <w:u w:val="none"/>
          <w:lang w:eastAsia="zh-CN"/>
          <w14:textFill>
            <w14:solidFill>
              <w14:schemeClr w14:val="tx1"/>
            </w14:solidFill>
          </w14:textFill>
        </w:rPr>
        <w:t>处牵头成立验收小组，验收小组应当由</w:t>
      </w:r>
      <w:r>
        <w:rPr>
          <w:rFonts w:hint="eastAsia" w:ascii="宋体" w:hAnsi="宋体" w:cs="宋体"/>
          <w:color w:val="000000" w:themeColor="text1"/>
          <w:kern w:val="2"/>
          <w:sz w:val="24"/>
          <w:szCs w:val="24"/>
          <w:u w:val="none"/>
          <w:lang w:val="en-US" w:eastAsia="zh-CN"/>
          <w14:textFill>
            <w14:solidFill>
              <w14:schemeClr w14:val="tx1"/>
            </w14:solidFill>
          </w14:textFill>
        </w:rPr>
        <w:t>3人以上单数组成，验收小组按照合同约定的内容开展项目验收工作。</w:t>
      </w:r>
    </w:p>
    <w:p w14:paraId="0B34730A">
      <w:pPr>
        <w:widowControl/>
        <w:numPr>
          <w:ilvl w:val="-1"/>
          <w:numId w:val="0"/>
        </w:numPr>
        <w:wordWrap/>
        <w:adjustRightInd/>
        <w:snapToGrid/>
        <w:spacing w:line="360" w:lineRule="auto"/>
        <w:ind w:firstLine="480" w:firstLineChars="200"/>
        <w:jc w:val="left"/>
        <w:textAlignment w:val="auto"/>
        <w:outlineLvl w:val="9"/>
        <w:rPr>
          <w:rFonts w:hint="eastAsia" w:ascii="宋体" w:hAnsi="宋体" w:cs="宋体"/>
          <w:color w:val="000000" w:themeColor="text1"/>
          <w:kern w:val="2"/>
          <w:sz w:val="24"/>
          <w:szCs w:val="24"/>
          <w:u w:val="none"/>
          <w:lang w:val="en-US" w:eastAsia="zh-CN"/>
          <w14:textFill>
            <w14:solidFill>
              <w14:schemeClr w14:val="tx1"/>
            </w14:solidFill>
          </w14:textFill>
        </w:rPr>
      </w:pPr>
      <w:r>
        <w:rPr>
          <w:rFonts w:hint="eastAsia" w:ascii="宋体" w:hAnsi="宋体" w:cs="宋体"/>
          <w:color w:val="000000" w:themeColor="text1"/>
          <w:kern w:val="2"/>
          <w:sz w:val="24"/>
          <w:szCs w:val="24"/>
          <w:u w:val="none"/>
          <w:lang w:val="en-US" w:eastAsia="zh-CN"/>
          <w14:textFill>
            <w14:solidFill>
              <w14:schemeClr w14:val="tx1"/>
            </w14:solidFill>
          </w14:textFill>
        </w:rPr>
        <w:t>（4）验收结束后，验收小组出具验收报告。验收小组成员根据验收报告明确验收意见，并盖章确认。</w:t>
      </w:r>
    </w:p>
    <w:p w14:paraId="4503C134">
      <w:pPr>
        <w:widowControl/>
        <w:numPr>
          <w:ilvl w:val="-1"/>
          <w:numId w:val="0"/>
        </w:numPr>
        <w:wordWrap/>
        <w:adjustRightInd/>
        <w:snapToGrid/>
        <w:spacing w:line="360" w:lineRule="auto"/>
        <w:ind w:firstLine="480" w:firstLineChars="200"/>
        <w:jc w:val="left"/>
        <w:textAlignment w:val="auto"/>
        <w:outlineLvl w:val="9"/>
        <w:rPr>
          <w:rFonts w:hint="eastAsia" w:ascii="宋体" w:hAnsi="宋体" w:cs="宋体"/>
          <w:color w:val="000000" w:themeColor="text1"/>
          <w:kern w:val="2"/>
          <w:sz w:val="24"/>
          <w:szCs w:val="24"/>
          <w:u w:val="none"/>
          <w:lang w:eastAsia="zh-CN"/>
          <w14:textFill>
            <w14:solidFill>
              <w14:schemeClr w14:val="tx1"/>
            </w14:solidFill>
          </w14:textFill>
        </w:rPr>
      </w:pPr>
      <w:r>
        <w:rPr>
          <w:rFonts w:hint="eastAsia" w:ascii="宋体" w:hAnsi="宋体" w:cs="宋体"/>
          <w:color w:val="000000" w:themeColor="text1"/>
          <w:kern w:val="2"/>
          <w:sz w:val="24"/>
          <w:szCs w:val="24"/>
          <w:u w:val="none"/>
          <w:lang w:val="en-US" w:eastAsia="zh-CN"/>
          <w14:textFill>
            <w14:solidFill>
              <w14:schemeClr w14:val="tx1"/>
            </w14:solidFill>
          </w14:textFill>
        </w:rPr>
        <w:t>（5）验收不合格的处理。履约验收不合格的，信息科技处</w:t>
      </w:r>
      <w:r>
        <w:rPr>
          <w:rFonts w:hint="eastAsia" w:ascii="宋体" w:hAnsi="宋体" w:cs="宋体"/>
          <w:color w:val="000000" w:themeColor="text1"/>
          <w:kern w:val="2"/>
          <w:sz w:val="24"/>
          <w:szCs w:val="24"/>
          <w:u w:val="none"/>
          <w:lang w:eastAsia="zh-CN"/>
          <w14:textFill>
            <w14:solidFill>
              <w14:schemeClr w14:val="tx1"/>
            </w14:solidFill>
          </w14:textFill>
        </w:rPr>
        <w:t>向供应商发出整改通知书，整改结束后由供应商对接验收组织主体重新验收。</w:t>
      </w:r>
    </w:p>
    <w:p w14:paraId="60AD03BB">
      <w:pPr>
        <w:widowControl/>
        <w:numPr>
          <w:ilvl w:val="-1"/>
          <w:numId w:val="0"/>
        </w:numPr>
        <w:wordWrap/>
        <w:adjustRightInd/>
        <w:snapToGrid/>
        <w:spacing w:line="360" w:lineRule="auto"/>
        <w:ind w:firstLine="480" w:firstLineChars="200"/>
        <w:jc w:val="left"/>
        <w:textAlignment w:val="auto"/>
        <w:outlineLvl w:val="9"/>
        <w:rPr>
          <w:rFonts w:hint="eastAsia" w:ascii="宋体" w:hAnsi="宋体" w:eastAsia="宋体" w:cs="宋体"/>
          <w:color w:val="000000" w:themeColor="text1"/>
          <w:kern w:val="2"/>
          <w:sz w:val="24"/>
          <w:szCs w:val="24"/>
          <w:u w:val="none"/>
          <w14:textFill>
            <w14:solidFill>
              <w14:schemeClr w14:val="tx1"/>
            </w14:solidFill>
          </w14:textFill>
        </w:rPr>
      </w:pPr>
      <w:r>
        <w:rPr>
          <w:rFonts w:hint="eastAsia" w:ascii="宋体" w:hAnsi="宋体" w:cs="宋体"/>
          <w:color w:val="000000" w:themeColor="text1"/>
          <w:kern w:val="2"/>
          <w:sz w:val="24"/>
          <w:szCs w:val="24"/>
          <w:u w:val="none"/>
          <w:lang w:eastAsia="zh-CN"/>
          <w14:textFill>
            <w14:solidFill>
              <w14:schemeClr w14:val="tx1"/>
            </w14:solidFill>
          </w14:textFill>
        </w:rPr>
        <w:t>（</w:t>
      </w:r>
      <w:r>
        <w:rPr>
          <w:rFonts w:hint="eastAsia" w:ascii="宋体" w:hAnsi="宋体" w:cs="宋体"/>
          <w:color w:val="000000" w:themeColor="text1"/>
          <w:kern w:val="2"/>
          <w:sz w:val="24"/>
          <w:szCs w:val="24"/>
          <w:u w:val="none"/>
          <w:lang w:val="en-US" w:eastAsia="zh-CN"/>
          <w14:textFill>
            <w14:solidFill>
              <w14:schemeClr w14:val="tx1"/>
            </w14:solidFill>
          </w14:textFill>
        </w:rPr>
        <w:t>6</w:t>
      </w:r>
      <w:r>
        <w:rPr>
          <w:rFonts w:hint="eastAsia" w:ascii="宋体" w:hAnsi="宋体" w:cs="宋体"/>
          <w:color w:val="000000" w:themeColor="text1"/>
          <w:kern w:val="2"/>
          <w:sz w:val="24"/>
          <w:szCs w:val="24"/>
          <w:u w:val="none"/>
          <w:lang w:eastAsia="zh-CN"/>
          <w14:textFill>
            <w14:solidFill>
              <w14:schemeClr w14:val="tx1"/>
            </w14:solidFill>
          </w14:textFill>
        </w:rPr>
        <w:t>）验收档案收集及保存。履约验收完成后，由</w:t>
      </w:r>
      <w:r>
        <w:rPr>
          <w:rFonts w:hint="eastAsia" w:ascii="宋体" w:hAnsi="宋体" w:cs="宋体"/>
          <w:color w:val="000000" w:themeColor="text1"/>
          <w:kern w:val="2"/>
          <w:sz w:val="24"/>
          <w:szCs w:val="24"/>
          <w:u w:val="none"/>
          <w:lang w:val="en-US" w:eastAsia="zh-CN"/>
          <w14:textFill>
            <w14:solidFill>
              <w14:schemeClr w14:val="tx1"/>
            </w14:solidFill>
          </w14:textFill>
        </w:rPr>
        <w:t>信息科技处</w:t>
      </w:r>
      <w:r>
        <w:rPr>
          <w:rFonts w:hint="eastAsia" w:ascii="宋体" w:hAnsi="宋体" w:cs="宋体"/>
          <w:color w:val="000000" w:themeColor="text1"/>
          <w:kern w:val="2"/>
          <w:sz w:val="24"/>
          <w:szCs w:val="24"/>
          <w:u w:val="none"/>
          <w:lang w:eastAsia="zh-CN"/>
          <w14:textFill>
            <w14:solidFill>
              <w14:schemeClr w14:val="tx1"/>
            </w14:solidFill>
          </w14:textFill>
        </w:rPr>
        <w:t>收集验收报告留存备查。</w:t>
      </w:r>
      <w:r>
        <w:rPr>
          <w:rFonts w:hint="eastAsia" w:ascii="宋体" w:hAnsi="宋体" w:eastAsia="宋体" w:cs="宋体"/>
          <w:color w:val="000000" w:themeColor="text1"/>
          <w:kern w:val="2"/>
          <w:sz w:val="24"/>
          <w:szCs w:val="24"/>
          <w:u w:val="none"/>
          <w14:textFill>
            <w14:solidFill>
              <w14:schemeClr w14:val="tx1"/>
            </w14:solidFill>
          </w14:textFill>
        </w:rPr>
        <w:t xml:space="preserve">   </w:t>
      </w:r>
    </w:p>
    <w:p w14:paraId="7E4B199A">
      <w:pPr>
        <w:adjustRightInd/>
        <w:spacing w:line="360" w:lineRule="auto"/>
        <w:ind w:firstLine="480" w:firstLineChars="200"/>
        <w:jc w:val="left"/>
        <w:textAlignment w:val="auto"/>
        <w:outlineLvl w:val="9"/>
        <w:rPr>
          <w:rFonts w:hint="eastAsia" w:ascii="宋体" w:hAnsi="宋体" w:cs="宋体"/>
          <w:iCs w:val="0"/>
          <w:color w:val="000000" w:themeColor="text1"/>
          <w:kern w:val="2"/>
          <w:sz w:val="24"/>
          <w:szCs w:val="24"/>
          <w14:textFill>
            <w14:solidFill>
              <w14:schemeClr w14:val="tx1"/>
            </w14:solidFill>
          </w14:textFill>
        </w:rPr>
      </w:pPr>
      <w:r>
        <w:rPr>
          <w:rFonts w:hint="eastAsia" w:ascii="宋体" w:hAnsi="宋体" w:cs="宋体"/>
          <w:iCs w:val="0"/>
          <w:color w:val="000000" w:themeColor="text1"/>
          <w:kern w:val="2"/>
          <w:sz w:val="24"/>
          <w:szCs w:val="24"/>
          <w14:textFill>
            <w14:solidFill>
              <w14:schemeClr w14:val="tx1"/>
            </w14:solidFill>
          </w14:textFill>
        </w:rPr>
        <w:t>5.</w:t>
      </w:r>
      <w:r>
        <w:rPr>
          <w:rFonts w:hint="eastAsia" w:ascii="宋体" w:hAnsi="宋体" w:cs="宋体"/>
          <w:iCs w:val="0"/>
          <w:color w:val="000000" w:themeColor="text1"/>
          <w:kern w:val="2"/>
          <w:sz w:val="24"/>
          <w:szCs w:val="24"/>
          <w:lang w:val="en-US" w:eastAsia="zh-CN"/>
          <w14:textFill>
            <w14:solidFill>
              <w14:schemeClr w14:val="tx1"/>
            </w14:solidFill>
          </w14:textFill>
        </w:rPr>
        <w:t>5.</w:t>
      </w:r>
      <w:r>
        <w:rPr>
          <w:rFonts w:hint="eastAsia" w:ascii="宋体" w:hAnsi="宋体" w:cs="宋体"/>
          <w:iCs w:val="0"/>
          <w:color w:val="000000" w:themeColor="text1"/>
          <w:kern w:val="2"/>
          <w:sz w:val="24"/>
          <w:szCs w:val="24"/>
          <w14:textFill>
            <w14:solidFill>
              <w14:schemeClr w14:val="tx1"/>
            </w14:solidFill>
          </w14:textFill>
        </w:rPr>
        <w:t>1技术履约内容</w:t>
      </w:r>
    </w:p>
    <w:p w14:paraId="4AA86726">
      <w:pPr>
        <w:topLinePunct w:val="0"/>
        <w:spacing w:line="360" w:lineRule="auto"/>
        <w:ind w:firstLine="480" w:firstLineChars="200"/>
        <w:jc w:val="left"/>
        <w:outlineLvl w:val="9"/>
        <w:rPr>
          <w:rFonts w:hint="eastAsia" w:ascii="宋体" w:hAnsi="宋体" w:cs="宋体"/>
          <w:iCs w:val="0"/>
          <w:color w:val="000000" w:themeColor="text1"/>
          <w:kern w:val="2"/>
          <w:sz w:val="24"/>
          <w:szCs w:val="24"/>
          <w:u w:val="none"/>
          <w14:textFill>
            <w14:solidFill>
              <w14:schemeClr w14:val="tx1"/>
            </w14:solidFill>
          </w14:textFill>
        </w:rPr>
      </w:pPr>
      <w:r>
        <w:rPr>
          <w:rFonts w:hint="eastAsia" w:ascii="宋体" w:hAnsi="宋体" w:cs="宋体"/>
          <w:color w:val="000000" w:themeColor="text1"/>
          <w:kern w:val="2"/>
          <w:sz w:val="24"/>
          <w:szCs w:val="24"/>
          <w:u w:val="none"/>
          <w:lang w:val="en-US" w:eastAsia="zh-CN"/>
          <w14:textFill>
            <w14:solidFill>
              <w14:schemeClr w14:val="tx1"/>
            </w14:solidFill>
          </w14:textFill>
        </w:rPr>
        <w:t>乙方</w:t>
      </w:r>
      <w:r>
        <w:rPr>
          <w:rFonts w:hint="eastAsia" w:ascii="宋体" w:hAnsi="宋体" w:cs="宋体"/>
          <w:iCs w:val="0"/>
          <w:color w:val="000000" w:themeColor="text1"/>
          <w:kern w:val="2"/>
          <w:sz w:val="24"/>
          <w:szCs w:val="24"/>
          <w:u w:val="none"/>
          <w14:textFill>
            <w14:solidFill>
              <w14:schemeClr w14:val="tx1"/>
            </w14:solidFill>
          </w14:textFill>
        </w:rPr>
        <w:t>应向</w:t>
      </w:r>
      <w:r>
        <w:rPr>
          <w:rFonts w:hint="eastAsia" w:ascii="宋体" w:hAnsi="宋体" w:cs="宋体"/>
          <w:iCs w:val="0"/>
          <w:color w:val="000000" w:themeColor="text1"/>
          <w:kern w:val="2"/>
          <w:sz w:val="24"/>
          <w:szCs w:val="24"/>
          <w:u w:val="none"/>
          <w:lang w:val="en-US" w:eastAsia="zh-CN"/>
          <w14:textFill>
            <w14:solidFill>
              <w14:schemeClr w14:val="tx1"/>
            </w14:solidFill>
          </w14:textFill>
        </w:rPr>
        <w:t>甲方</w:t>
      </w:r>
      <w:r>
        <w:rPr>
          <w:rFonts w:hint="eastAsia" w:ascii="宋体" w:hAnsi="宋体" w:cs="宋体"/>
          <w:iCs w:val="0"/>
          <w:color w:val="000000" w:themeColor="text1"/>
          <w:kern w:val="2"/>
          <w:sz w:val="24"/>
          <w:szCs w:val="24"/>
          <w:u w:val="none"/>
          <w14:textFill>
            <w14:solidFill>
              <w14:schemeClr w14:val="tx1"/>
            </w14:solidFill>
          </w14:textFill>
        </w:rPr>
        <w:t>提供的资料、数据、材料或样品：日常渗透、巡检记录、工作总结报告和合同要求的其它事项。</w:t>
      </w:r>
    </w:p>
    <w:p w14:paraId="00118BE5">
      <w:pPr>
        <w:adjustRightInd/>
        <w:spacing w:line="360" w:lineRule="auto"/>
        <w:ind w:firstLine="480" w:firstLineChars="200"/>
        <w:jc w:val="left"/>
        <w:textAlignment w:val="auto"/>
        <w:outlineLvl w:val="9"/>
        <w:rPr>
          <w:rFonts w:hint="eastAsia" w:ascii="宋体" w:hAnsi="宋体" w:cs="宋体"/>
          <w:iCs w:val="0"/>
          <w:color w:val="000000" w:themeColor="text1"/>
          <w:kern w:val="2"/>
          <w:sz w:val="24"/>
          <w:szCs w:val="24"/>
          <w14:textFill>
            <w14:solidFill>
              <w14:schemeClr w14:val="tx1"/>
            </w14:solidFill>
          </w14:textFill>
        </w:rPr>
      </w:pPr>
      <w:r>
        <w:rPr>
          <w:rFonts w:hint="eastAsia" w:ascii="宋体" w:hAnsi="宋体" w:cs="宋体"/>
          <w:iCs w:val="0"/>
          <w:color w:val="000000" w:themeColor="text1"/>
          <w:kern w:val="2"/>
          <w:sz w:val="24"/>
          <w:szCs w:val="24"/>
          <w14:textFill>
            <w14:solidFill>
              <w14:schemeClr w14:val="tx1"/>
            </w14:solidFill>
          </w14:textFill>
        </w:rPr>
        <w:t>5.</w:t>
      </w:r>
      <w:r>
        <w:rPr>
          <w:rFonts w:hint="eastAsia" w:ascii="宋体" w:hAnsi="宋体" w:cs="宋体"/>
          <w:iCs w:val="0"/>
          <w:color w:val="000000" w:themeColor="text1"/>
          <w:kern w:val="2"/>
          <w:sz w:val="24"/>
          <w:szCs w:val="24"/>
          <w:lang w:val="en-US" w:eastAsia="zh-CN"/>
          <w14:textFill>
            <w14:solidFill>
              <w14:schemeClr w14:val="tx1"/>
            </w14:solidFill>
          </w14:textFill>
        </w:rPr>
        <w:t>5.</w:t>
      </w:r>
      <w:r>
        <w:rPr>
          <w:rFonts w:hint="eastAsia" w:ascii="宋体" w:hAnsi="宋体" w:cs="宋体"/>
          <w:iCs w:val="0"/>
          <w:color w:val="000000" w:themeColor="text1"/>
          <w:kern w:val="2"/>
          <w:sz w:val="24"/>
          <w:szCs w:val="24"/>
          <w14:textFill>
            <w14:solidFill>
              <w14:schemeClr w14:val="tx1"/>
            </w14:solidFill>
          </w14:textFill>
        </w:rPr>
        <w:t>2商务履约内容</w:t>
      </w:r>
    </w:p>
    <w:p w14:paraId="32EA5E14">
      <w:pPr>
        <w:widowControl/>
        <w:numPr>
          <w:ilvl w:val="-1"/>
          <w:numId w:val="0"/>
        </w:numPr>
        <w:wordWrap/>
        <w:adjustRightInd/>
        <w:snapToGrid/>
        <w:spacing w:line="360" w:lineRule="auto"/>
        <w:ind w:firstLine="480" w:firstLineChars="200"/>
        <w:jc w:val="left"/>
        <w:textAlignment w:val="auto"/>
        <w:outlineLvl w:val="9"/>
        <w:rPr>
          <w:rFonts w:hint="eastAsia" w:ascii="宋体" w:hAnsi="宋体" w:cs="宋体"/>
          <w:color w:val="000000" w:themeColor="text1"/>
          <w:kern w:val="2"/>
          <w:sz w:val="24"/>
          <w:szCs w:val="24"/>
          <w:u w:val="none"/>
          <w:lang w:val="en-US" w:eastAsia="zh-CN"/>
          <w14:textFill>
            <w14:solidFill>
              <w14:schemeClr w14:val="tx1"/>
            </w14:solidFill>
          </w14:textFill>
        </w:rPr>
      </w:pPr>
      <w:r>
        <w:rPr>
          <w:rFonts w:hint="eastAsia" w:ascii="宋体" w:hAnsi="宋体" w:cs="宋体"/>
          <w:color w:val="000000" w:themeColor="text1"/>
          <w:kern w:val="2"/>
          <w:sz w:val="24"/>
          <w:szCs w:val="24"/>
          <w:u w:val="none"/>
          <w:lang w:val="en-US" w:eastAsia="zh-CN"/>
          <w14:textFill>
            <w14:solidFill>
              <w14:schemeClr w14:val="tx1"/>
            </w14:solidFill>
          </w14:textFill>
        </w:rPr>
        <w:t>对照合同查看项目完成期限，服务内容是否全部完成</w:t>
      </w:r>
    </w:p>
    <w:p w14:paraId="6E7BB143">
      <w:pPr>
        <w:widowControl/>
        <w:numPr>
          <w:ilvl w:val="-1"/>
          <w:numId w:val="0"/>
        </w:numPr>
        <w:wordWrap/>
        <w:adjustRightInd/>
        <w:snapToGrid/>
        <w:spacing w:line="360" w:lineRule="auto"/>
        <w:ind w:firstLine="480" w:firstLineChars="200"/>
        <w:jc w:val="left"/>
        <w:textAlignment w:val="auto"/>
        <w:outlineLvl w:val="9"/>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lang w:val="en-US" w:eastAsia="zh-CN"/>
          <w14:textFill>
            <w14:solidFill>
              <w14:schemeClr w14:val="tx1"/>
            </w14:solidFill>
          </w14:textFill>
        </w:rPr>
        <w:t>5.5.3.</w:t>
      </w:r>
      <w:r>
        <w:rPr>
          <w:rFonts w:hint="eastAsia" w:ascii="宋体" w:hAnsi="宋体" w:eastAsia="宋体" w:cs="宋体"/>
          <w:color w:val="000000" w:themeColor="text1"/>
          <w:kern w:val="2"/>
          <w:sz w:val="24"/>
          <w:szCs w:val="24"/>
          <w14:textFill>
            <w14:solidFill>
              <w14:schemeClr w14:val="tx1"/>
            </w14:solidFill>
          </w14:textFill>
        </w:rPr>
        <w:t>履约验收标准</w:t>
      </w:r>
    </w:p>
    <w:p w14:paraId="6D67D587">
      <w:pPr>
        <w:adjustRightInd/>
        <w:spacing w:line="360" w:lineRule="auto"/>
        <w:ind w:firstLine="480" w:firstLineChars="200"/>
        <w:jc w:val="left"/>
        <w:textAlignment w:val="auto"/>
        <w:outlineLvl w:val="9"/>
        <w:rPr>
          <w:rFonts w:hint="eastAsia" w:ascii="宋体" w:hAnsi="宋体" w:eastAsia="宋体" w:cs="宋体"/>
          <w:color w:val="000000" w:themeColor="text1"/>
          <w:kern w:val="2"/>
          <w:sz w:val="24"/>
          <w:szCs w:val="24"/>
          <w:u w:val="none"/>
          <w:lang w:val="en-US" w:eastAsia="zh-CN"/>
          <w14:textFill>
            <w14:solidFill>
              <w14:schemeClr w14:val="tx1"/>
            </w14:solidFill>
          </w14:textFill>
        </w:rPr>
      </w:pPr>
      <w:r>
        <w:rPr>
          <w:rFonts w:hint="eastAsia" w:ascii="宋体" w:hAnsi="宋体" w:cs="宋体"/>
          <w:color w:val="000000" w:themeColor="text1"/>
          <w:kern w:val="2"/>
          <w:sz w:val="24"/>
          <w:szCs w:val="24"/>
          <w:u w:val="none"/>
          <w:lang w:val="en-US" w:eastAsia="zh-CN"/>
          <w14:textFill>
            <w14:solidFill>
              <w14:schemeClr w14:val="tx1"/>
            </w14:solidFill>
          </w14:textFill>
        </w:rPr>
        <w:t>服务提供方向总站提供服务过程中所交付的资料和成果演示，</w:t>
      </w:r>
      <w:r>
        <w:rPr>
          <w:rFonts w:hint="eastAsia" w:ascii="宋体" w:hAnsi="宋体" w:cs="宋体"/>
          <w:iCs w:val="0"/>
          <w:color w:val="000000" w:themeColor="text1"/>
          <w:kern w:val="2"/>
          <w:sz w:val="24"/>
          <w:szCs w:val="24"/>
          <w:u w:val="none"/>
          <w14:textFill>
            <w14:solidFill>
              <w14:schemeClr w14:val="tx1"/>
            </w14:solidFill>
          </w14:textFill>
        </w:rPr>
        <w:t>验收后出具项目验收报告</w:t>
      </w:r>
      <w:r>
        <w:rPr>
          <w:rFonts w:hint="eastAsia" w:ascii="宋体" w:hAnsi="宋体" w:cs="宋体"/>
          <w:iCs w:val="0"/>
          <w:color w:val="000000" w:themeColor="text1"/>
          <w:kern w:val="2"/>
          <w:sz w:val="24"/>
          <w:szCs w:val="24"/>
          <w:u w:val="none"/>
          <w:lang w:eastAsia="zh-CN"/>
          <w14:textFill>
            <w14:solidFill>
              <w14:schemeClr w14:val="tx1"/>
            </w14:solidFill>
          </w14:textFill>
        </w:rPr>
        <w:t>，</w:t>
      </w:r>
      <w:r>
        <w:rPr>
          <w:rFonts w:hint="eastAsia" w:ascii="宋体" w:hAnsi="宋体" w:cs="宋体"/>
          <w:iCs w:val="0"/>
          <w:color w:val="000000" w:themeColor="text1"/>
          <w:kern w:val="2"/>
          <w:sz w:val="24"/>
          <w:szCs w:val="24"/>
          <w:u w:val="none"/>
          <w14:textFill>
            <w14:solidFill>
              <w14:schemeClr w14:val="tx1"/>
            </w14:solidFill>
          </w14:textFill>
        </w:rPr>
        <w:t>作为验收结果的书面材料</w:t>
      </w:r>
      <w:r>
        <w:rPr>
          <w:rFonts w:hint="eastAsia" w:ascii="宋体" w:hAnsi="宋体" w:cs="宋体"/>
          <w:iCs w:val="0"/>
          <w:color w:val="000000" w:themeColor="text1"/>
          <w:kern w:val="2"/>
          <w:sz w:val="24"/>
          <w:szCs w:val="24"/>
          <w:u w:val="none"/>
          <w:lang w:eastAsia="zh-CN"/>
          <w14:textFill>
            <w14:solidFill>
              <w14:schemeClr w14:val="tx1"/>
            </w14:solidFill>
          </w14:textFill>
        </w:rPr>
        <w:t>。</w:t>
      </w:r>
      <w:r>
        <w:rPr>
          <w:rFonts w:hint="eastAsia" w:ascii="宋体" w:hAnsi="宋体" w:cs="宋体"/>
          <w:color w:val="000000" w:themeColor="text1"/>
          <w:kern w:val="2"/>
          <w:sz w:val="24"/>
          <w:szCs w:val="24"/>
          <w:u w:val="none"/>
          <w:lang w:val="en-US" w:eastAsia="zh-CN"/>
          <w14:textFill>
            <w14:solidFill>
              <w14:schemeClr w14:val="tx1"/>
            </w14:solidFill>
          </w14:textFill>
        </w:rPr>
        <w:t>完全满足测评要求为验收合格。</w:t>
      </w:r>
      <w:r>
        <w:rPr>
          <w:rFonts w:hint="eastAsia" w:ascii="宋体" w:hAnsi="宋体" w:eastAsia="宋体" w:cs="宋体"/>
          <w:color w:val="000000" w:themeColor="text1"/>
          <w:kern w:val="2"/>
          <w:sz w:val="24"/>
          <w:szCs w:val="24"/>
          <w:u w:val="none"/>
          <w14:textFill>
            <w14:solidFill>
              <w14:schemeClr w14:val="tx1"/>
            </w14:solidFill>
          </w14:textFill>
        </w:rPr>
        <w:t xml:space="preserve"> </w:t>
      </w:r>
      <w:r>
        <w:rPr>
          <w:rFonts w:hint="eastAsia" w:ascii="宋体" w:hAnsi="宋体" w:cs="宋体"/>
          <w:color w:val="000000" w:themeColor="text1"/>
          <w:kern w:val="2"/>
          <w:sz w:val="24"/>
          <w:szCs w:val="24"/>
          <w:u w:val="none"/>
          <w:lang w:val="en-US" w:eastAsia="zh-CN"/>
          <w14:textFill>
            <w14:solidFill>
              <w14:schemeClr w14:val="tx1"/>
            </w14:solidFill>
          </w14:textFill>
        </w:rPr>
        <w:t xml:space="preserve">    </w:t>
      </w:r>
    </w:p>
    <w:p w14:paraId="5813F81C">
      <w:pPr>
        <w:pageBreakBefore w:val="0"/>
        <w:numPr>
          <w:ilvl w:val="0"/>
          <w:numId w:val="0"/>
        </w:numPr>
        <w:kinsoku/>
        <w:wordWrap/>
        <w:overflowPunct/>
        <w:topLinePunct w:val="0"/>
        <w:bidi w:val="0"/>
        <w:snapToGrid/>
        <w:spacing w:line="360" w:lineRule="auto"/>
        <w:ind w:left="0" w:leftChars="0" w:firstLine="482" w:firstLineChars="200"/>
        <w:jc w:val="center"/>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第六条</w:t>
      </w:r>
      <w:r>
        <w:rPr>
          <w:rFonts w:hint="eastAsia" w:ascii="宋体" w:hAnsi="宋体" w:eastAsia="宋体" w:cs="宋体"/>
          <w:b/>
          <w:bCs/>
          <w:color w:val="000000" w:themeColor="text1"/>
          <w:sz w:val="24"/>
          <w:szCs w:val="24"/>
          <w14:textFill>
            <w14:solidFill>
              <w14:schemeClr w14:val="tx1"/>
            </w14:solidFill>
          </w14:textFill>
        </w:rPr>
        <w:t xml:space="preserve"> </w:t>
      </w:r>
      <w:bookmarkEnd w:id="403"/>
      <w:r>
        <w:rPr>
          <w:rFonts w:hint="eastAsia" w:ascii="宋体" w:hAnsi="宋体" w:eastAsia="宋体" w:cs="宋体"/>
          <w:b/>
          <w:bCs/>
          <w:color w:val="000000" w:themeColor="text1"/>
          <w:sz w:val="24"/>
          <w:szCs w:val="24"/>
          <w14:textFill>
            <w14:solidFill>
              <w14:schemeClr w14:val="tx1"/>
            </w14:solidFill>
          </w14:textFill>
        </w:rPr>
        <w:t>服务要求及执行标准、技术要求</w:t>
      </w:r>
    </w:p>
    <w:p w14:paraId="2438DEF8">
      <w:pPr>
        <w:pageBreakBefore w:val="0"/>
        <w:kinsoku/>
        <w:wordWrap/>
        <w:overflowPunct/>
        <w:topLinePunct w:val="0"/>
        <w:bidi w:val="0"/>
        <w:adjustRightInd w:val="0"/>
        <w:snapToGrid/>
        <w:spacing w:line="360" w:lineRule="auto"/>
        <w:ind w:left="0" w:leftChars="0" w:firstLine="480" w:firstLineChars="200"/>
        <w:jc w:val="left"/>
        <w:outlineLvl w:val="9"/>
        <w:rPr>
          <w:rFonts w:hint="eastAsia" w:ascii="宋体" w:hAnsi="宋体" w:eastAsia="宋体" w:cs="宋体"/>
          <w:color w:val="000000" w:themeColor="text1"/>
          <w:sz w:val="24"/>
          <w:szCs w:val="24"/>
          <w:highlight w:val="yellow"/>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6.1服务要求</w:t>
      </w:r>
    </w:p>
    <w:p w14:paraId="16119341">
      <w:pPr>
        <w:pageBreakBefore w:val="0"/>
        <w:kinsoku/>
        <w:wordWrap/>
        <w:overflowPunct/>
        <w:topLinePunct w:val="0"/>
        <w:bidi w:val="0"/>
        <w:snapToGrid/>
        <w:spacing w:line="360" w:lineRule="auto"/>
        <w:ind w:left="0" w:leftChars="0" w:firstLine="482" w:firstLineChars="200"/>
        <w:jc w:val="left"/>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网络安全技术服务内容主要分为8类，具体详见竞争性谈判文件第三部分采购需求。</w:t>
      </w:r>
    </w:p>
    <w:p w14:paraId="27B6B577">
      <w:pPr>
        <w:pageBreakBefore w:val="0"/>
        <w:kinsoku/>
        <w:wordWrap/>
        <w:overflowPunct/>
        <w:topLinePunct w:val="0"/>
        <w:bidi w:val="0"/>
        <w:snapToGrid/>
        <w:spacing w:line="360" w:lineRule="auto"/>
        <w:ind w:left="0" w:leftChars="0" w:firstLine="482" w:firstLineChars="200"/>
        <w:jc w:val="center"/>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第七条  技术文件</w:t>
      </w:r>
      <w:bookmarkEnd w:id="404"/>
    </w:p>
    <w:p w14:paraId="180B4A6E">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乙方应在供货同时向甲方提供所有有关本合同执行的技术文件。技术文件的具体内容详见技术规范。如果必需但合同又未作规定的要乙方才能提供的技术文件，乙方也应及时向甲方提供。技术文件可以是手册、图纸或其他形式的文件资料。</w:t>
      </w:r>
    </w:p>
    <w:p w14:paraId="3D1FF4A3">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7.2.上述技术文件应包含保证甲方能够正确进行使用、检查以及验收等所需的所有内容。乙方的该项义务并不意味着对乙方在本合同项下关于使用、检查以及验收等义务的转移。</w:t>
      </w:r>
    </w:p>
    <w:p w14:paraId="5F9A971D">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7.3.甲方完全按照技术文件的指导进行的任何使用、检查、验收所引起的货物和其部件的损坏由乙方承担责任。</w:t>
      </w:r>
    </w:p>
    <w:p w14:paraId="3058E82B">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7.4.所有乙方提供的技术文件的全部费用已包含在合同货物价格中。</w:t>
      </w:r>
    </w:p>
    <w:p w14:paraId="2ADF84AC">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7.5.所有未列明交付时间的乙方应提供的技术文件，必须单独包装伴随货物按交付时间交付给甲方。</w:t>
      </w:r>
    </w:p>
    <w:p w14:paraId="09B7C7D4">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7.6.甲方到货后如发现乙方未提供有关文件，可以推迟付款，直至乙方补齐有关文件。</w:t>
      </w:r>
    </w:p>
    <w:p w14:paraId="5B1F67AC">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7.7.乙方必须向甲方提供本项目所需的所有</w:t>
      </w:r>
      <w:r>
        <w:rPr>
          <w:rFonts w:hint="eastAsia" w:ascii="宋体" w:hAnsi="宋体" w:cs="宋体"/>
          <w:color w:val="000000" w:themeColor="text1"/>
          <w:sz w:val="24"/>
          <w:szCs w:val="24"/>
          <w:lang w:val="en-US" w:eastAsia="zh-CN"/>
          <w14:textFill>
            <w14:solidFill>
              <w14:schemeClr w14:val="tx1"/>
            </w14:solidFill>
          </w14:textFill>
        </w:rPr>
        <w:t>软</w:t>
      </w:r>
      <w:r>
        <w:rPr>
          <w:rFonts w:hint="eastAsia" w:ascii="宋体" w:hAnsi="宋体" w:eastAsia="宋体" w:cs="宋体"/>
          <w:color w:val="000000" w:themeColor="text1"/>
          <w:sz w:val="24"/>
          <w:szCs w:val="24"/>
          <w14:textFill>
            <w14:solidFill>
              <w14:schemeClr w14:val="tx1"/>
            </w14:solidFill>
          </w14:textFill>
        </w:rPr>
        <w:t>硬件的安装和维护服务的全部内容。若对本项目提供的设备产品等方面的配置或要求中出现不合理或不完整的问题时，乙方有责任和义务以书面方式向甲方提出补充修改方案并征得甲方同意后付诸实施。</w:t>
      </w:r>
    </w:p>
    <w:p w14:paraId="4B894ECB">
      <w:pPr>
        <w:pageBreakBefore w:val="0"/>
        <w:kinsoku/>
        <w:wordWrap/>
        <w:overflowPunct/>
        <w:topLinePunct w:val="0"/>
        <w:bidi w:val="0"/>
        <w:snapToGrid/>
        <w:spacing w:line="360" w:lineRule="auto"/>
        <w:ind w:left="0" w:leftChars="0" w:firstLine="482" w:firstLineChars="200"/>
        <w:jc w:val="center"/>
        <w:outlineLvl w:val="9"/>
        <w:rPr>
          <w:rFonts w:hint="eastAsia" w:ascii="宋体" w:hAnsi="宋体" w:eastAsia="宋体" w:cs="宋体"/>
          <w:b/>
          <w:bCs/>
          <w:color w:val="000000" w:themeColor="text1"/>
          <w:sz w:val="24"/>
          <w:szCs w:val="24"/>
          <w14:textFill>
            <w14:solidFill>
              <w14:schemeClr w14:val="tx1"/>
            </w14:solidFill>
          </w14:textFill>
        </w:rPr>
      </w:pPr>
      <w:bookmarkStart w:id="405" w:name="_Toc1737"/>
      <w:r>
        <w:rPr>
          <w:rFonts w:hint="eastAsia" w:ascii="宋体" w:hAnsi="宋体" w:eastAsia="宋体" w:cs="宋体"/>
          <w:b/>
          <w:bCs/>
          <w:color w:val="000000" w:themeColor="text1"/>
          <w:sz w:val="24"/>
          <w:szCs w:val="24"/>
          <w14:textFill>
            <w14:solidFill>
              <w14:schemeClr w14:val="tx1"/>
            </w14:solidFill>
          </w14:textFill>
        </w:rPr>
        <w:t>第八条  知识产权</w:t>
      </w:r>
      <w:bookmarkEnd w:id="405"/>
    </w:p>
    <w:p w14:paraId="6D6AF6E9">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8.1.乙方应保证，甲方在中华人民共和国使用该服务的任何一部分时，免受第三方提出的侵犯其专利权、商标权或其他知识产权的起诉。如发生此类纠纷，由乙方承担一切责任。</w:t>
      </w:r>
    </w:p>
    <w:p w14:paraId="1716E822">
      <w:pPr>
        <w:pageBreakBefore w:val="0"/>
        <w:kinsoku/>
        <w:wordWrap/>
        <w:overflowPunct/>
        <w:topLinePunct w:val="0"/>
        <w:bidi w:val="0"/>
        <w:adjustRightInd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8.2.乙方为执行本合同而提供的技术资料的使用权归甲方所有。</w:t>
      </w:r>
    </w:p>
    <w:p w14:paraId="4DF565CF">
      <w:pPr>
        <w:pageBreakBefore w:val="0"/>
        <w:kinsoku/>
        <w:wordWrap/>
        <w:overflowPunct/>
        <w:topLinePunct w:val="0"/>
        <w:bidi w:val="0"/>
        <w:adjustRightInd w:val="0"/>
        <w:snapToGrid/>
        <w:spacing w:line="360" w:lineRule="auto"/>
        <w:ind w:left="0" w:leftChars="0" w:firstLine="482" w:firstLineChars="200"/>
        <w:jc w:val="center"/>
        <w:outlineLvl w:val="9"/>
        <w:rPr>
          <w:rFonts w:hint="eastAsia" w:ascii="宋体" w:hAnsi="宋体" w:eastAsia="宋体" w:cs="宋体"/>
          <w:color w:val="000000" w:themeColor="text1"/>
          <w:sz w:val="24"/>
          <w:szCs w:val="24"/>
          <w14:textFill>
            <w14:solidFill>
              <w14:schemeClr w14:val="tx1"/>
            </w14:solidFill>
          </w14:textFill>
        </w:rPr>
      </w:pPr>
      <w:bookmarkStart w:id="406" w:name="_Toc12022"/>
      <w:r>
        <w:rPr>
          <w:rFonts w:hint="eastAsia" w:ascii="宋体" w:hAnsi="宋体" w:eastAsia="宋体" w:cs="宋体"/>
          <w:b/>
          <w:bCs/>
          <w:color w:val="000000" w:themeColor="text1"/>
          <w:sz w:val="24"/>
          <w:szCs w:val="24"/>
          <w14:textFill>
            <w14:solidFill>
              <w14:schemeClr w14:val="tx1"/>
            </w14:solidFill>
          </w14:textFill>
        </w:rPr>
        <w:t>第九条  第三方责任</w:t>
      </w:r>
      <w:bookmarkEnd w:id="406"/>
    </w:p>
    <w:p w14:paraId="1A1918D1">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  乙方与其代理之相互关系、相关责任义务等均由乙方与代理商自行协商约定，但在与本合同相关的任何情形下，乙方与其任何一家代理商二者之间的约定仅属于其内部分担权利义务及其内部约定分担对外责任的办法，乙方与该代理商二者对甲方、最终用户、相关第三方则应承担连带责任，而乙方依据合同原所承担的对甲方、最终用户及第三方的责任</w:t>
      </w:r>
      <w:r>
        <w:rPr>
          <w:rFonts w:hint="eastAsia" w:ascii="宋体" w:hAnsi="宋体" w:eastAsia="宋体" w:cs="宋体"/>
          <w:color w:val="000000" w:themeColor="text1"/>
          <w:sz w:val="24"/>
          <w:szCs w:val="24"/>
          <w:highlight w:val="none"/>
          <w14:textFill>
            <w14:solidFill>
              <w14:schemeClr w14:val="tx1"/>
            </w14:solidFill>
          </w14:textFill>
        </w:rPr>
        <w:t>均并不因此被减免。</w:t>
      </w:r>
    </w:p>
    <w:p w14:paraId="405FDE8D">
      <w:pPr>
        <w:pageBreakBefore w:val="0"/>
        <w:kinsoku/>
        <w:wordWrap/>
        <w:overflowPunct/>
        <w:topLinePunct w:val="0"/>
        <w:bidi w:val="0"/>
        <w:adjustRightInd w:val="0"/>
        <w:snapToGrid/>
        <w:spacing w:line="360" w:lineRule="auto"/>
        <w:ind w:left="0" w:leftChars="0" w:firstLine="482" w:firstLineChars="200"/>
        <w:jc w:val="center"/>
        <w:outlineLvl w:val="9"/>
        <w:rPr>
          <w:rFonts w:hint="eastAsia" w:ascii="宋体" w:hAnsi="宋体" w:eastAsia="宋体" w:cs="宋体"/>
          <w:b/>
          <w:bCs/>
          <w:color w:val="000000" w:themeColor="text1"/>
          <w:sz w:val="24"/>
          <w:szCs w:val="24"/>
          <w14:textFill>
            <w14:solidFill>
              <w14:schemeClr w14:val="tx1"/>
            </w14:solidFill>
          </w14:textFill>
        </w:rPr>
      </w:pPr>
      <w:bookmarkStart w:id="407" w:name="_Toc2675"/>
      <w:r>
        <w:rPr>
          <w:rFonts w:hint="eastAsia" w:ascii="宋体" w:hAnsi="宋体" w:eastAsia="宋体" w:cs="宋体"/>
          <w:b/>
          <w:bCs/>
          <w:color w:val="000000" w:themeColor="text1"/>
          <w:sz w:val="24"/>
          <w:szCs w:val="24"/>
          <w14:textFill>
            <w14:solidFill>
              <w14:schemeClr w14:val="tx1"/>
            </w14:solidFill>
          </w14:textFill>
        </w:rPr>
        <w:t>第十条专用工具</w:t>
      </w:r>
      <w:bookmarkEnd w:id="407"/>
    </w:p>
    <w:p w14:paraId="0D56E6D8">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.1  乙方应提供必要的、全新的和完整的检测、维修所需的专用工具套，这部分费用已包含在合同价内。</w:t>
      </w:r>
    </w:p>
    <w:p w14:paraId="56AC11A4">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.2 货物验收合格移交时，这些专用工具应单独装箱直接交付甲方或由甲方指定的接受方。</w:t>
      </w:r>
    </w:p>
    <w:p w14:paraId="40D7B16A">
      <w:pPr>
        <w:pageBreakBefore w:val="0"/>
        <w:kinsoku/>
        <w:wordWrap/>
        <w:overflowPunct/>
        <w:topLinePunct w:val="0"/>
        <w:bidi w:val="0"/>
        <w:snapToGrid/>
        <w:spacing w:line="360" w:lineRule="auto"/>
        <w:ind w:left="0" w:leftChars="0" w:firstLine="482" w:firstLineChars="200"/>
        <w:jc w:val="center"/>
        <w:outlineLvl w:val="9"/>
        <w:rPr>
          <w:rFonts w:hint="eastAsia" w:ascii="宋体" w:hAnsi="宋体" w:eastAsia="宋体" w:cs="宋体"/>
          <w:b/>
          <w:bCs/>
          <w:color w:val="000000" w:themeColor="text1"/>
          <w:sz w:val="24"/>
          <w:szCs w:val="24"/>
          <w14:textFill>
            <w14:solidFill>
              <w14:schemeClr w14:val="tx1"/>
            </w14:solidFill>
          </w14:textFill>
        </w:rPr>
      </w:pPr>
      <w:bookmarkStart w:id="408" w:name="_Toc16951"/>
      <w:r>
        <w:rPr>
          <w:rFonts w:hint="eastAsia" w:ascii="宋体" w:hAnsi="宋体" w:eastAsia="宋体" w:cs="宋体"/>
          <w:b/>
          <w:bCs/>
          <w:color w:val="000000" w:themeColor="text1"/>
          <w:sz w:val="24"/>
          <w:szCs w:val="24"/>
          <w14:textFill>
            <w14:solidFill>
              <w14:schemeClr w14:val="tx1"/>
            </w14:solidFill>
          </w14:textFill>
        </w:rPr>
        <w:t>第十</w:t>
      </w:r>
      <w:r>
        <w:rPr>
          <w:rFonts w:hint="eastAsia" w:ascii="宋体" w:hAnsi="宋体" w:eastAsia="宋体" w:cs="宋体"/>
          <w:b/>
          <w:bCs/>
          <w:color w:val="000000" w:themeColor="text1"/>
          <w:sz w:val="24"/>
          <w:szCs w:val="24"/>
          <w:lang w:eastAsia="zh-CN"/>
          <w14:textFill>
            <w14:solidFill>
              <w14:schemeClr w14:val="tx1"/>
            </w14:solidFill>
          </w14:textFill>
        </w:rPr>
        <w:t>一</w:t>
      </w:r>
      <w:r>
        <w:rPr>
          <w:rFonts w:hint="eastAsia" w:ascii="宋体" w:hAnsi="宋体" w:eastAsia="宋体" w:cs="宋体"/>
          <w:b/>
          <w:bCs/>
          <w:color w:val="000000" w:themeColor="text1"/>
          <w:sz w:val="24"/>
          <w:szCs w:val="24"/>
          <w14:textFill>
            <w14:solidFill>
              <w14:schemeClr w14:val="tx1"/>
            </w14:solidFill>
          </w14:textFill>
        </w:rPr>
        <w:t>条  伴随服务</w:t>
      </w:r>
      <w:bookmarkEnd w:id="408"/>
    </w:p>
    <w:p w14:paraId="6FC87A3F">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.1.乙方被要求按照合同的规定，提供下列服务：</w:t>
      </w:r>
    </w:p>
    <w:p w14:paraId="57EE4427">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.1.1.实施所供货物的集成、现场安装、调试、维修和试运行；</w:t>
      </w:r>
    </w:p>
    <w:p w14:paraId="44C3E9E2">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.1.2.提供服务所需备件和专用工具；</w:t>
      </w:r>
    </w:p>
    <w:p w14:paraId="352965AA">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.1.3. 在制造商或项目现场就服务的启动、运营、维护对甲方操作人员进行培训；</w:t>
      </w:r>
    </w:p>
    <w:p w14:paraId="2689A07C">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.1.4.在双方商定的一定期限内对所供服务提供维修和技术支持，但前提条件是该服务并不能免除乙方在合同保证期内所承担的义务；</w:t>
      </w:r>
    </w:p>
    <w:p w14:paraId="156DB4F1">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.2. 乙方应向甲方提交所提供服务的技术文件，包括相应的中文技术文件，如：产品目录、图纸、操作手册、使用说明、维护手册或服务指南。这些文件应包装好随同货物一起发运。</w:t>
      </w:r>
    </w:p>
    <w:p w14:paraId="0B3C42E9">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.3乙方应提供合同规定的所有服务。为履行要求的伴随服务的报价应包括在合同价中。</w:t>
      </w:r>
    </w:p>
    <w:p w14:paraId="36BCE694">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4乙方必须向甲方提供本项目所需的所有维护服务的全部内容。若对本项目提供的服务等方面的配置或要求中出现不合理或不完整的问题时，乙方有责任和义务在响应档中提出补充修改方案并征得使用方同意后付诸实施。</w:t>
      </w:r>
    </w:p>
    <w:p w14:paraId="6EF429F8">
      <w:pPr>
        <w:pageBreakBefore w:val="0"/>
        <w:kinsoku/>
        <w:wordWrap/>
        <w:overflowPunct/>
        <w:topLinePunct w:val="0"/>
        <w:bidi w:val="0"/>
        <w:snapToGrid/>
        <w:spacing w:line="360" w:lineRule="auto"/>
        <w:ind w:left="0" w:leftChars="0" w:firstLine="482" w:firstLineChars="200"/>
        <w:jc w:val="left"/>
        <w:outlineLvl w:val="9"/>
        <w:rPr>
          <w:rFonts w:hint="eastAsia" w:ascii="宋体" w:hAnsi="宋体" w:eastAsia="宋体" w:cs="宋体"/>
          <w:b/>
          <w:bCs/>
          <w:color w:val="000000" w:themeColor="text1"/>
          <w:sz w:val="24"/>
          <w:szCs w:val="24"/>
          <w14:textFill>
            <w14:solidFill>
              <w14:schemeClr w14:val="tx1"/>
            </w14:solidFill>
          </w14:textFill>
        </w:rPr>
      </w:pPr>
    </w:p>
    <w:p w14:paraId="5CCEBEF2">
      <w:pPr>
        <w:pageBreakBefore w:val="0"/>
        <w:kinsoku/>
        <w:wordWrap/>
        <w:overflowPunct/>
        <w:topLinePunct w:val="0"/>
        <w:bidi w:val="0"/>
        <w:snapToGrid/>
        <w:spacing w:line="360" w:lineRule="auto"/>
        <w:ind w:left="0" w:leftChars="0" w:firstLine="482" w:firstLineChars="200"/>
        <w:jc w:val="center"/>
        <w:outlineLvl w:val="9"/>
        <w:rPr>
          <w:rFonts w:hint="eastAsia" w:ascii="宋体" w:hAnsi="宋体" w:eastAsia="宋体" w:cs="宋体"/>
          <w:b/>
          <w:bCs/>
          <w:color w:val="000000" w:themeColor="text1"/>
          <w:sz w:val="24"/>
          <w:szCs w:val="24"/>
          <w14:textFill>
            <w14:solidFill>
              <w14:schemeClr w14:val="tx1"/>
            </w14:solidFill>
          </w14:textFill>
        </w:rPr>
      </w:pPr>
      <w:bookmarkStart w:id="409" w:name="_Toc26163"/>
      <w:r>
        <w:rPr>
          <w:rFonts w:hint="eastAsia" w:ascii="宋体" w:hAnsi="宋体" w:eastAsia="宋体" w:cs="宋体"/>
          <w:b/>
          <w:bCs/>
          <w:color w:val="000000" w:themeColor="text1"/>
          <w:sz w:val="24"/>
          <w:szCs w:val="24"/>
          <w14:textFill>
            <w14:solidFill>
              <w14:schemeClr w14:val="tx1"/>
            </w14:solidFill>
          </w14:textFill>
        </w:rPr>
        <w:t>第十</w:t>
      </w:r>
      <w:r>
        <w:rPr>
          <w:rFonts w:hint="eastAsia" w:ascii="宋体" w:hAnsi="宋体" w:eastAsia="宋体" w:cs="宋体"/>
          <w:b/>
          <w:bCs/>
          <w:color w:val="000000" w:themeColor="text1"/>
          <w:sz w:val="24"/>
          <w:szCs w:val="24"/>
          <w:lang w:eastAsia="zh-CN"/>
          <w14:textFill>
            <w14:solidFill>
              <w14:schemeClr w14:val="tx1"/>
            </w14:solidFill>
          </w14:textFill>
        </w:rPr>
        <w:t>二</w:t>
      </w:r>
      <w:r>
        <w:rPr>
          <w:rFonts w:hint="eastAsia" w:ascii="宋体" w:hAnsi="宋体" w:eastAsia="宋体" w:cs="宋体"/>
          <w:b/>
          <w:bCs/>
          <w:color w:val="000000" w:themeColor="text1"/>
          <w:sz w:val="24"/>
          <w:szCs w:val="24"/>
          <w14:textFill>
            <w14:solidFill>
              <w14:schemeClr w14:val="tx1"/>
            </w14:solidFill>
          </w14:textFill>
        </w:rPr>
        <w:t>条  合同管理</w:t>
      </w:r>
      <w:bookmarkEnd w:id="409"/>
    </w:p>
    <w:p w14:paraId="1C45551B">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.1.为便于管理，甲方和乙方在合同执行期间的联络，应通过指定的项目负责人进行。</w:t>
      </w:r>
    </w:p>
    <w:p w14:paraId="460298AA">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甲方项目负责人：                               电话：</w:t>
      </w:r>
    </w:p>
    <w:p w14:paraId="367DF262">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乙方项目负责人：                               电话：</w:t>
      </w:r>
    </w:p>
    <w:p w14:paraId="0177F792">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.2.整个检验验收期间，乙方应接受甲方的统一管理和必要的监督检查。</w:t>
      </w:r>
    </w:p>
    <w:p w14:paraId="5025D388">
      <w:pPr>
        <w:pageBreakBefore w:val="0"/>
        <w:kinsoku/>
        <w:wordWrap/>
        <w:overflowPunct/>
        <w:topLinePunct w:val="0"/>
        <w:bidi w:val="0"/>
        <w:snapToGrid/>
        <w:spacing w:line="360" w:lineRule="auto"/>
        <w:ind w:left="0" w:leftChars="0" w:firstLine="482" w:firstLineChars="200"/>
        <w:jc w:val="center"/>
        <w:outlineLvl w:val="9"/>
        <w:rPr>
          <w:rFonts w:hint="eastAsia" w:ascii="宋体" w:hAnsi="宋体" w:eastAsia="宋体" w:cs="宋体"/>
          <w:b/>
          <w:bCs/>
          <w:color w:val="000000" w:themeColor="text1"/>
          <w:sz w:val="24"/>
          <w:szCs w:val="24"/>
          <w14:textFill>
            <w14:solidFill>
              <w14:schemeClr w14:val="tx1"/>
            </w14:solidFill>
          </w14:textFill>
        </w:rPr>
      </w:pPr>
      <w:bookmarkStart w:id="410" w:name="_Toc26100"/>
      <w:r>
        <w:rPr>
          <w:rFonts w:hint="eastAsia" w:ascii="宋体" w:hAnsi="宋体" w:eastAsia="宋体" w:cs="宋体"/>
          <w:b/>
          <w:bCs/>
          <w:color w:val="000000" w:themeColor="text1"/>
          <w:sz w:val="24"/>
          <w:szCs w:val="24"/>
          <w14:textFill>
            <w14:solidFill>
              <w14:schemeClr w14:val="tx1"/>
            </w14:solidFill>
          </w14:textFill>
        </w:rPr>
        <w:t>第十</w:t>
      </w:r>
      <w:r>
        <w:rPr>
          <w:rFonts w:hint="eastAsia" w:ascii="宋体" w:hAnsi="宋体" w:eastAsia="宋体" w:cs="宋体"/>
          <w:b/>
          <w:bCs/>
          <w:color w:val="000000" w:themeColor="text1"/>
          <w:sz w:val="24"/>
          <w:szCs w:val="24"/>
          <w:lang w:eastAsia="zh-CN"/>
          <w14:textFill>
            <w14:solidFill>
              <w14:schemeClr w14:val="tx1"/>
            </w14:solidFill>
          </w14:textFill>
        </w:rPr>
        <w:t>三</w:t>
      </w:r>
      <w:r>
        <w:rPr>
          <w:rFonts w:hint="eastAsia" w:ascii="宋体" w:hAnsi="宋体" w:eastAsia="宋体" w:cs="宋体"/>
          <w:b/>
          <w:bCs/>
          <w:color w:val="000000" w:themeColor="text1"/>
          <w:sz w:val="24"/>
          <w:szCs w:val="24"/>
          <w14:textFill>
            <w14:solidFill>
              <w14:schemeClr w14:val="tx1"/>
            </w14:solidFill>
          </w14:textFill>
        </w:rPr>
        <w:t>条  异议索赔</w:t>
      </w:r>
      <w:bookmarkEnd w:id="410"/>
    </w:p>
    <w:p w14:paraId="694B46C9">
      <w:pPr>
        <w:pageBreakBefore w:val="0"/>
        <w:kinsoku/>
        <w:wordWrap/>
        <w:overflowPunct/>
        <w:topLinePunct w:val="0"/>
        <w:bidi w:val="0"/>
        <w:snapToGrid/>
        <w:spacing w:line="360" w:lineRule="auto"/>
        <w:ind w:left="0" w:leftChars="0" w:firstLine="480" w:firstLineChars="200"/>
        <w:outlineLvl w:val="9"/>
        <w:rPr>
          <w:rFonts w:hint="eastAsia" w:ascii="宋体" w:hAnsi="宋体" w:eastAsia="宋体" w:cs="宋体"/>
          <w:color w:val="000000" w:themeColor="text1"/>
          <w:sz w:val="24"/>
          <w:szCs w:val="24"/>
          <w14:textFill>
            <w14:solidFill>
              <w14:schemeClr w14:val="tx1"/>
            </w14:solidFill>
          </w14:textFill>
        </w:rPr>
      </w:pPr>
      <w:bookmarkStart w:id="411" w:name="_Toc4612"/>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.1.乙方维护不能达到原系统性能，乙方应向甲方支付合同内</w:t>
      </w:r>
      <w:r>
        <w:rPr>
          <w:rFonts w:hint="eastAsia" w:ascii="宋体" w:hAnsi="宋体" w:cs="宋体"/>
          <w:color w:val="000000" w:themeColor="text1"/>
          <w:sz w:val="24"/>
          <w:szCs w:val="24"/>
          <w:lang w:val="en-US" w:eastAsia="zh-CN"/>
          <w14:textFill>
            <w14:solidFill>
              <w14:schemeClr w14:val="tx1"/>
            </w14:solidFill>
          </w14:textFill>
        </w:rPr>
        <w:t>有</w:t>
      </w:r>
      <w:r>
        <w:rPr>
          <w:rFonts w:hint="eastAsia" w:ascii="宋体" w:hAnsi="宋体" w:eastAsia="宋体" w:cs="宋体"/>
          <w:color w:val="000000" w:themeColor="text1"/>
          <w:sz w:val="24"/>
          <w:szCs w:val="24"/>
          <w14:textFill>
            <w14:solidFill>
              <w14:schemeClr w14:val="tx1"/>
            </w14:solidFill>
          </w14:textFill>
        </w:rPr>
        <w:t>相关系统维护的违约金，甲方有权要求乙方在</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5</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日内维修，并承担修理的一切费用。如乙方在</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5</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日内不能修理</w:t>
      </w:r>
      <w:r>
        <w:rPr>
          <w:rFonts w:hint="eastAsia" w:ascii="宋体" w:hAnsi="宋体" w:eastAsia="宋体" w:cs="宋体"/>
          <w:color w:val="000000" w:themeColor="text1"/>
          <w:sz w:val="24"/>
          <w:szCs w:val="24"/>
          <w:lang w:val="en-US" w:eastAsia="zh-CN"/>
          <w14:textFill>
            <w14:solidFill>
              <w14:schemeClr w14:val="tx1"/>
            </w14:solidFill>
          </w14:textFill>
        </w:rPr>
        <w:t>完毕</w:t>
      </w:r>
      <w:r>
        <w:rPr>
          <w:rFonts w:hint="eastAsia" w:ascii="宋体" w:hAnsi="宋体" w:eastAsia="宋体" w:cs="宋体"/>
          <w:color w:val="000000" w:themeColor="text1"/>
          <w:sz w:val="24"/>
          <w:szCs w:val="24"/>
          <w14:textFill>
            <w14:solidFill>
              <w14:schemeClr w14:val="tx1"/>
            </w14:solidFill>
          </w14:textFill>
        </w:rPr>
        <w:t>的，按不能维护处理，甲方有权终止合同。</w:t>
      </w:r>
    </w:p>
    <w:p w14:paraId="50EDC4D8">
      <w:pPr>
        <w:pageBreakBefore w:val="0"/>
        <w:kinsoku/>
        <w:wordWrap/>
        <w:overflowPunct/>
        <w:topLinePunct w:val="0"/>
        <w:bidi w:val="0"/>
        <w:snapToGrid/>
        <w:spacing w:line="360" w:lineRule="auto"/>
        <w:ind w:left="0" w:leftChars="0" w:firstLine="480" w:firstLineChars="200"/>
        <w:jc w:val="both"/>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.2 除不可抗力原因外，如因乙方的原因造成项目系统不能按照合同约定时间内恢复正常，</w:t>
      </w:r>
      <w:r>
        <w:rPr>
          <w:rFonts w:hint="eastAsia" w:ascii="宋体" w:hAnsi="宋体" w:eastAsia="宋体" w:cs="宋体"/>
          <w:color w:val="000000" w:themeColor="text1"/>
          <w:sz w:val="24"/>
          <w:szCs w:val="24"/>
          <w:lang w:val="en-US" w:eastAsia="zh-CN"/>
          <w14:textFill>
            <w14:solidFill>
              <w14:schemeClr w14:val="tx1"/>
            </w14:solidFill>
          </w14:textFill>
        </w:rPr>
        <w:t>每延误一日，</w:t>
      </w:r>
      <w:r>
        <w:rPr>
          <w:rFonts w:hint="eastAsia" w:ascii="宋体" w:hAnsi="宋体" w:eastAsia="宋体" w:cs="宋体"/>
          <w:color w:val="000000" w:themeColor="text1"/>
          <w:sz w:val="24"/>
          <w:szCs w:val="24"/>
          <w14:textFill>
            <w14:solidFill>
              <w14:schemeClr w14:val="tx1"/>
            </w14:solidFill>
          </w14:textFill>
        </w:rPr>
        <w:t>乙方的赔偿费按合同总额的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1%</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计收，不足一天按一天计算，直至提供服务为止，误期赔偿费最高限额为合同总额的 20% </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同时甲方有权解除合同。</w:t>
      </w:r>
    </w:p>
    <w:p w14:paraId="5E544D36">
      <w:pPr>
        <w:pageBreakBefore w:val="0"/>
        <w:kinsoku/>
        <w:wordWrap/>
        <w:overflowPunct/>
        <w:topLinePunct w:val="0"/>
        <w:bidi w:val="0"/>
        <w:snapToGrid/>
        <w:spacing w:line="360" w:lineRule="auto"/>
        <w:ind w:left="0" w:leftChars="0" w:firstLine="480" w:firstLineChars="200"/>
        <w:jc w:val="both"/>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.3 如因甲方自身原因造成乙方延误，经双方确认后</w:t>
      </w:r>
      <w:r>
        <w:rPr>
          <w:rFonts w:hint="eastAsia" w:ascii="宋体" w:hAnsi="宋体" w:eastAsia="宋体" w:cs="宋体"/>
          <w:color w:val="000000" w:themeColor="text1"/>
          <w:sz w:val="24"/>
          <w:szCs w:val="24"/>
          <w:lang w:val="en-US" w:eastAsia="zh-CN"/>
          <w14:textFill>
            <w14:solidFill>
              <w14:schemeClr w14:val="tx1"/>
            </w14:solidFill>
          </w14:textFill>
        </w:rPr>
        <w:t>服务</w:t>
      </w:r>
      <w:r>
        <w:rPr>
          <w:rFonts w:hint="eastAsia" w:ascii="宋体" w:hAnsi="宋体" w:eastAsia="宋体" w:cs="宋体"/>
          <w:color w:val="000000" w:themeColor="text1"/>
          <w:sz w:val="24"/>
          <w:szCs w:val="24"/>
          <w14:textFill>
            <w14:solidFill>
              <w14:schemeClr w14:val="tx1"/>
            </w14:solidFill>
          </w14:textFill>
        </w:rPr>
        <w:t>期相应顺延，双方互不承担违约责任</w:t>
      </w:r>
    </w:p>
    <w:p w14:paraId="71C0178E">
      <w:pPr>
        <w:pageBreakBefore w:val="0"/>
        <w:kinsoku/>
        <w:wordWrap/>
        <w:overflowPunct/>
        <w:topLinePunct w:val="0"/>
        <w:bidi w:val="0"/>
        <w:snapToGrid/>
        <w:spacing w:line="360" w:lineRule="auto"/>
        <w:ind w:left="0" w:leftChars="0"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.4 本合同中对于甲方付款和乙方交付使用有先决条件的约定，按约定执行。</w:t>
      </w:r>
    </w:p>
    <w:p w14:paraId="1BD306D4">
      <w:pPr>
        <w:pageBreakBefore w:val="0"/>
        <w:kinsoku/>
        <w:wordWrap/>
        <w:overflowPunct/>
        <w:topLinePunct w:val="0"/>
        <w:bidi w:val="0"/>
        <w:snapToGrid/>
        <w:spacing w:line="360" w:lineRule="auto"/>
        <w:ind w:left="0" w:leftChars="0"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.5甲方使用乙方提供的维保服务对第三人构成侵权的，应当由乙方承担全部法律责任，给甲方造成损害的，乙方应当承担赔偿责任。</w:t>
      </w:r>
    </w:p>
    <w:p w14:paraId="36F39ADA">
      <w:pPr>
        <w:pageBreakBefore w:val="0"/>
        <w:kinsoku/>
        <w:wordWrap/>
        <w:overflowPunct/>
        <w:topLinePunct w:val="0"/>
        <w:bidi w:val="0"/>
        <w:snapToGrid/>
        <w:spacing w:line="360" w:lineRule="auto"/>
        <w:ind w:left="0" w:leftChars="0"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维护期内，如乙方未按照合同约定时间进行相应服务，甲方将按照合同价格及造成损失金额或合同约定的服务价格扣除相应数额的违约金。</w:t>
      </w:r>
    </w:p>
    <w:p w14:paraId="35A4CFC8">
      <w:pPr>
        <w:pageBreakBefore w:val="0"/>
        <w:kinsoku/>
        <w:wordWrap/>
        <w:overflowPunct/>
        <w:topLinePunct w:val="0"/>
        <w:bidi w:val="0"/>
        <w:snapToGrid/>
        <w:spacing w:line="360" w:lineRule="auto"/>
        <w:ind w:left="0" w:leftChars="0" w:firstLine="482" w:firstLineChars="200"/>
        <w:jc w:val="center"/>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第十</w:t>
      </w:r>
      <w:r>
        <w:rPr>
          <w:rFonts w:hint="eastAsia" w:ascii="宋体" w:hAnsi="宋体" w:eastAsia="宋体" w:cs="宋体"/>
          <w:b/>
          <w:bCs/>
          <w:color w:val="000000" w:themeColor="text1"/>
          <w:sz w:val="24"/>
          <w:szCs w:val="24"/>
          <w:lang w:eastAsia="zh-CN"/>
          <w14:textFill>
            <w14:solidFill>
              <w14:schemeClr w14:val="tx1"/>
            </w14:solidFill>
          </w14:textFill>
        </w:rPr>
        <w:t>四</w:t>
      </w:r>
      <w:r>
        <w:rPr>
          <w:rFonts w:hint="eastAsia" w:ascii="宋体" w:hAnsi="宋体" w:eastAsia="宋体" w:cs="宋体"/>
          <w:b/>
          <w:bCs/>
          <w:color w:val="000000" w:themeColor="text1"/>
          <w:sz w:val="24"/>
          <w:szCs w:val="24"/>
          <w14:textFill>
            <w14:solidFill>
              <w14:schemeClr w14:val="tx1"/>
            </w14:solidFill>
          </w14:textFill>
        </w:rPr>
        <w:t>条  不可抗力</w:t>
      </w:r>
      <w:bookmarkEnd w:id="411"/>
    </w:p>
    <w:p w14:paraId="00D329AA">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1.如果任何一方当事人受诸如战争、严重的火灾、台风、地震、洪水以及其他不能预见、不能避免且不能克服的事件的影响而无法履行合同项下的任何义务，受影响的一方当事人应将此类事件的发生以传真方式通知另一方当事人并应在不可抗力事件发生后10天内以航空挂号信将有关当局或机构出具的证明文件提交给另一方当事人。</w:t>
      </w:r>
    </w:p>
    <w:p w14:paraId="22D5BCFC">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2.由于不可抗力的原因造成乙方不能按合同规定服务时，乙方应立即以本条第1款方式通告甲方，证明事故的存在。在不可抗力事件发生后，双方应努力寻求采取合理的方案履行不受不可抗力影响的其他事项。如人力不可抗拒因素继续存在，致使在合同规定的供货期后三十天内仍不能服务，甲方则有权解除合同，这时，服务双方均不互提出索赔。甲方不承担终止合同的责任，也不可没收履约保证金。</w:t>
      </w:r>
    </w:p>
    <w:p w14:paraId="1D6F02FA">
      <w:pPr>
        <w:pageBreakBefore w:val="0"/>
        <w:kinsoku/>
        <w:wordWrap/>
        <w:overflowPunct/>
        <w:topLinePunct w:val="0"/>
        <w:bidi w:val="0"/>
        <w:snapToGrid/>
        <w:spacing w:line="360" w:lineRule="auto"/>
        <w:ind w:left="0" w:leftChars="0" w:firstLine="482" w:firstLineChars="200"/>
        <w:jc w:val="center"/>
        <w:outlineLvl w:val="9"/>
        <w:rPr>
          <w:rFonts w:hint="eastAsia" w:ascii="宋体" w:hAnsi="宋体" w:eastAsia="宋体" w:cs="宋体"/>
          <w:b/>
          <w:bCs/>
          <w:color w:val="000000" w:themeColor="text1"/>
          <w:sz w:val="24"/>
          <w:szCs w:val="24"/>
          <w14:textFill>
            <w14:solidFill>
              <w14:schemeClr w14:val="tx1"/>
            </w14:solidFill>
          </w14:textFill>
        </w:rPr>
      </w:pPr>
      <w:bookmarkStart w:id="412" w:name="_Toc19479"/>
      <w:r>
        <w:rPr>
          <w:rFonts w:hint="eastAsia" w:ascii="宋体" w:hAnsi="宋体" w:eastAsia="宋体" w:cs="宋体"/>
          <w:b/>
          <w:bCs/>
          <w:color w:val="000000" w:themeColor="text1"/>
          <w:sz w:val="24"/>
          <w:szCs w:val="24"/>
          <w14:textFill>
            <w14:solidFill>
              <w14:schemeClr w14:val="tx1"/>
            </w14:solidFill>
          </w14:textFill>
        </w:rPr>
        <w:t>第十</w:t>
      </w:r>
      <w:r>
        <w:rPr>
          <w:rFonts w:hint="eastAsia" w:ascii="宋体" w:hAnsi="宋体" w:eastAsia="宋体" w:cs="宋体"/>
          <w:b/>
          <w:bCs/>
          <w:color w:val="000000" w:themeColor="text1"/>
          <w:sz w:val="24"/>
          <w:szCs w:val="24"/>
          <w:lang w:eastAsia="zh-CN"/>
          <w14:textFill>
            <w14:solidFill>
              <w14:schemeClr w14:val="tx1"/>
            </w14:solidFill>
          </w14:textFill>
        </w:rPr>
        <w:t>五</w:t>
      </w:r>
      <w:r>
        <w:rPr>
          <w:rFonts w:hint="eastAsia" w:ascii="宋体" w:hAnsi="宋体" w:eastAsia="宋体" w:cs="宋体"/>
          <w:b/>
          <w:bCs/>
          <w:color w:val="000000" w:themeColor="text1"/>
          <w:sz w:val="24"/>
          <w:szCs w:val="24"/>
          <w14:textFill>
            <w14:solidFill>
              <w14:schemeClr w14:val="tx1"/>
            </w14:solidFill>
          </w14:textFill>
        </w:rPr>
        <w:t>条  违约条款</w:t>
      </w:r>
      <w:bookmarkEnd w:id="412"/>
    </w:p>
    <w:p w14:paraId="405732BB">
      <w:pPr>
        <w:pageBreakBefore w:val="0"/>
        <w:kinsoku/>
        <w:wordWrap/>
        <w:overflowPunct/>
        <w:topLinePunct w:val="0"/>
        <w:bidi w:val="0"/>
        <w:snapToGrid/>
        <w:spacing w:line="360" w:lineRule="auto"/>
        <w:ind w:left="0" w:leftChars="0" w:firstLine="480" w:firstLineChars="200"/>
        <w:jc w:val="left"/>
        <w:outlineLvl w:val="9"/>
        <w:rPr>
          <w:rFonts w:hint="default" w:ascii="宋体" w:hAnsi="宋体" w:eastAsia="宋体" w:cs="宋体"/>
          <w:color w:val="000000" w:themeColor="text1"/>
          <w:sz w:val="24"/>
          <w:szCs w:val="24"/>
          <w:lang w:val="en-US" w:eastAsia="zh-CN"/>
          <w14:textFill>
            <w14:solidFill>
              <w14:schemeClr w14:val="tx1"/>
            </w14:solidFill>
          </w14:textFill>
        </w:rPr>
      </w:pPr>
      <w:bookmarkStart w:id="413" w:name="_Toc5352"/>
      <w:r>
        <w:rPr>
          <w:rFonts w:hint="eastAsia" w:ascii="宋体" w:hAnsi="宋体" w:cs="宋体"/>
          <w:color w:val="000000" w:themeColor="text1"/>
          <w:sz w:val="24"/>
          <w:szCs w:val="24"/>
          <w:lang w:val="en-US" w:eastAsia="zh-CN"/>
          <w14:textFill>
            <w14:solidFill>
              <w14:schemeClr w14:val="tx1"/>
            </w14:solidFill>
          </w14:textFill>
        </w:rPr>
        <w:t>15.1</w:t>
      </w:r>
      <w:r>
        <w:rPr>
          <w:rFonts w:hint="default" w:ascii="宋体" w:hAnsi="宋体" w:eastAsia="宋体" w:cs="宋体"/>
          <w:color w:val="000000" w:themeColor="text1"/>
          <w:sz w:val="24"/>
          <w:szCs w:val="24"/>
          <w:lang w:val="en-US" w:eastAsia="zh-CN"/>
          <w14:textFill>
            <w14:solidFill>
              <w14:schemeClr w14:val="tx1"/>
            </w14:solidFill>
          </w14:textFill>
        </w:rPr>
        <w:t>乙方未按合同及相关附件约定的日期、方案、人员、内容等条款履行合同的，每违约1次或1日，应向甲方支付合同总价款1%的违约金；如本合同期限内违约行为累计超过3次或累计违约超过10日的，甲方可单方解除合同并要求乙方退还全部已付合同费用。</w:t>
      </w:r>
    </w:p>
    <w:p w14:paraId="0EA31885">
      <w:pPr>
        <w:pageBreakBefore w:val="0"/>
        <w:kinsoku/>
        <w:wordWrap/>
        <w:overflowPunct/>
        <w:topLinePunct w:val="0"/>
        <w:bidi w:val="0"/>
        <w:snapToGrid/>
        <w:spacing w:line="360" w:lineRule="auto"/>
        <w:ind w:left="0" w:leftChars="0" w:firstLine="480" w:firstLineChars="200"/>
        <w:jc w:val="left"/>
        <w:outlineLvl w:val="9"/>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15.2</w:t>
      </w:r>
      <w:r>
        <w:rPr>
          <w:rFonts w:hint="default" w:ascii="宋体" w:hAnsi="宋体" w:eastAsia="宋体" w:cs="宋体"/>
          <w:color w:val="000000" w:themeColor="text1"/>
          <w:sz w:val="24"/>
          <w:szCs w:val="24"/>
          <w:lang w:val="en-US" w:eastAsia="zh-CN"/>
          <w14:textFill>
            <w14:solidFill>
              <w14:schemeClr w14:val="tx1"/>
            </w14:solidFill>
          </w14:textFill>
        </w:rPr>
        <w:t>乙方保证，于本合同签订时及履行过程中持续具备开展本合同项下工作所必须的一切合法有效的主体资格、业务资质。否则，甲方有权解除本合同，并追究乙方相应违约责任。</w:t>
      </w:r>
    </w:p>
    <w:p w14:paraId="652AA733">
      <w:pPr>
        <w:pageBreakBefore w:val="0"/>
        <w:kinsoku/>
        <w:wordWrap/>
        <w:overflowPunct/>
        <w:topLinePunct w:val="0"/>
        <w:bidi w:val="0"/>
        <w:snapToGrid/>
        <w:spacing w:line="360" w:lineRule="auto"/>
        <w:ind w:left="0" w:leftChars="0" w:firstLine="480" w:firstLineChars="200"/>
        <w:jc w:val="left"/>
        <w:outlineLvl w:val="9"/>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15.3</w:t>
      </w:r>
      <w:r>
        <w:rPr>
          <w:rFonts w:hint="default" w:ascii="宋体" w:hAnsi="宋体" w:eastAsia="宋体" w:cs="宋体"/>
          <w:color w:val="000000" w:themeColor="text1"/>
          <w:sz w:val="24"/>
          <w:szCs w:val="24"/>
          <w:lang w:val="en-US" w:eastAsia="zh-CN"/>
          <w14:textFill>
            <w14:solidFill>
              <w14:schemeClr w14:val="tx1"/>
            </w14:solidFill>
          </w14:textFill>
        </w:rPr>
        <w:t>乙方保证，严格按照国家法律法规规定、各专业规范要求以及本合同约定开展工作。如发现乙方未能按时、按质、按量提供服务的，甲方有权提出限期整改的要求，整改期届满而整改仍未能通过的，甲方有权解除本合同，并要求乙方承担相应违约责任，并应按照合同总额的20%向甲方支付违约金。</w:t>
      </w:r>
    </w:p>
    <w:p w14:paraId="637EE9EC">
      <w:pPr>
        <w:pageBreakBefore w:val="0"/>
        <w:kinsoku/>
        <w:wordWrap/>
        <w:overflowPunct/>
        <w:topLinePunct w:val="0"/>
        <w:bidi w:val="0"/>
        <w:snapToGrid/>
        <w:spacing w:line="360" w:lineRule="auto"/>
        <w:ind w:left="0" w:leftChars="0" w:firstLine="480" w:firstLineChars="200"/>
        <w:jc w:val="left"/>
        <w:outlineLvl w:val="9"/>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15.4</w:t>
      </w:r>
      <w:r>
        <w:rPr>
          <w:rFonts w:hint="default" w:ascii="宋体" w:hAnsi="宋体" w:eastAsia="宋体" w:cs="宋体"/>
          <w:color w:val="000000" w:themeColor="text1"/>
          <w:sz w:val="24"/>
          <w:szCs w:val="24"/>
          <w:lang w:val="en-US" w:eastAsia="zh-CN"/>
          <w14:textFill>
            <w14:solidFill>
              <w14:schemeClr w14:val="tx1"/>
            </w14:solidFill>
          </w14:textFill>
        </w:rPr>
        <w:t>乙方保证，为开展本合同项下工作所配备的服务代表等全部人员均为正式在册人员、均具备开展工作的合法资质，而不得使用挂靠队伍。乙方应对人员在工作中的安全负责，如发生人员安全事故，乙方负责处理并承担全部责任。</w:t>
      </w:r>
    </w:p>
    <w:p w14:paraId="238E920D">
      <w:pPr>
        <w:pageBreakBefore w:val="0"/>
        <w:kinsoku/>
        <w:wordWrap/>
        <w:overflowPunct/>
        <w:topLinePunct w:val="0"/>
        <w:bidi w:val="0"/>
        <w:snapToGrid/>
        <w:spacing w:line="360" w:lineRule="auto"/>
        <w:ind w:left="0" w:leftChars="0" w:firstLine="480" w:firstLineChars="200"/>
        <w:jc w:val="left"/>
        <w:outlineLvl w:val="9"/>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15.5</w:t>
      </w:r>
      <w:r>
        <w:rPr>
          <w:rFonts w:hint="default" w:ascii="宋体" w:hAnsi="宋体" w:eastAsia="宋体" w:cs="宋体"/>
          <w:color w:val="000000" w:themeColor="text1"/>
          <w:sz w:val="24"/>
          <w:szCs w:val="24"/>
          <w:lang w:val="en-US" w:eastAsia="zh-CN"/>
          <w14:textFill>
            <w14:solidFill>
              <w14:schemeClr w14:val="tx1"/>
            </w14:solidFill>
          </w14:textFill>
        </w:rPr>
        <w:t>乙方保证，独立完成本合同项下工作，不得分包、转包任何工作。否则，甲方有权解除本合同，并要求乙方承担相应违约责任，并应按照合同总额的20%向甲方支付违约金。</w:t>
      </w:r>
    </w:p>
    <w:p w14:paraId="61D9FFDC">
      <w:pPr>
        <w:pageBreakBefore w:val="0"/>
        <w:kinsoku/>
        <w:wordWrap/>
        <w:overflowPunct/>
        <w:topLinePunct w:val="0"/>
        <w:bidi w:val="0"/>
        <w:snapToGrid/>
        <w:spacing w:line="360" w:lineRule="auto"/>
        <w:ind w:left="0" w:leftChars="0" w:firstLine="480" w:firstLineChars="200"/>
        <w:jc w:val="left"/>
        <w:outlineLvl w:val="9"/>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15.6</w:t>
      </w:r>
      <w:r>
        <w:rPr>
          <w:rFonts w:hint="default" w:ascii="宋体" w:hAnsi="宋体" w:eastAsia="宋体" w:cs="宋体"/>
          <w:color w:val="000000" w:themeColor="text1"/>
          <w:sz w:val="24"/>
          <w:szCs w:val="24"/>
          <w:lang w:val="en-US" w:eastAsia="zh-CN"/>
          <w14:textFill>
            <w14:solidFill>
              <w14:schemeClr w14:val="tx1"/>
            </w14:solidFill>
          </w14:textFill>
        </w:rPr>
        <w:t>乙方未能按约定时间交付成果文件的，每迟延交付一日，应当按照合同总额的1%向甲方支付违约金。如乙方逾期10日仍未交付文件的，则甲方有权解除本合同，乙方仍应支付上述违约金，并退还甲方已支付款项以及按照同期中国人民银行贷款利率计付利息，同时赔偿甲方的相应损失。</w:t>
      </w:r>
    </w:p>
    <w:p w14:paraId="083D5772">
      <w:pPr>
        <w:pageBreakBefore w:val="0"/>
        <w:kinsoku/>
        <w:wordWrap/>
        <w:overflowPunct/>
        <w:topLinePunct w:val="0"/>
        <w:bidi w:val="0"/>
        <w:snapToGrid/>
        <w:spacing w:line="360" w:lineRule="auto"/>
        <w:ind w:left="0" w:leftChars="0" w:firstLine="480" w:firstLineChars="200"/>
        <w:jc w:val="left"/>
        <w:outlineLvl w:val="9"/>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15.7</w:t>
      </w:r>
      <w:r>
        <w:rPr>
          <w:rFonts w:hint="default" w:ascii="宋体" w:hAnsi="宋体" w:eastAsia="宋体" w:cs="宋体"/>
          <w:color w:val="000000" w:themeColor="text1"/>
          <w:sz w:val="24"/>
          <w:szCs w:val="24"/>
          <w:lang w:val="en-US" w:eastAsia="zh-CN"/>
          <w14:textFill>
            <w14:solidFill>
              <w14:schemeClr w14:val="tx1"/>
            </w14:solidFill>
          </w14:textFill>
        </w:rPr>
        <w:t>乙方交付的成果文件不符合要求的，乙方应当在甲方要求的时限内调整、修改或重作，</w:t>
      </w:r>
      <w:r>
        <w:rPr>
          <w:rFonts w:hint="eastAsia" w:ascii="宋体" w:hAnsi="宋体" w:eastAsia="宋体" w:cs="宋体"/>
          <w:color w:val="000000" w:themeColor="text1"/>
          <w:sz w:val="24"/>
          <w:szCs w:val="24"/>
          <w:lang w:val="en-US" w:eastAsia="zh-CN"/>
          <w14:textFill>
            <w14:solidFill>
              <w14:schemeClr w14:val="tx1"/>
            </w14:solidFill>
          </w14:textFill>
        </w:rPr>
        <w:t>如未按要求期限内调整、修改的</w:t>
      </w:r>
      <w:r>
        <w:rPr>
          <w:rFonts w:hint="default" w:ascii="宋体" w:hAnsi="宋体" w:eastAsia="宋体" w:cs="宋体"/>
          <w:color w:val="000000" w:themeColor="text1"/>
          <w:sz w:val="24"/>
          <w:szCs w:val="24"/>
          <w:lang w:val="en-US" w:eastAsia="zh-CN"/>
          <w14:textFill>
            <w14:solidFill>
              <w14:schemeClr w14:val="tx1"/>
            </w14:solidFill>
          </w14:textFill>
        </w:rPr>
        <w:t>按照合同总额的5%向甲方支付违约金，同时赔偿甲方的相应损失。如文件经乙方</w:t>
      </w:r>
      <w:r>
        <w:rPr>
          <w:rFonts w:hint="eastAsia" w:ascii="宋体" w:hAnsi="宋体" w:eastAsia="宋体" w:cs="宋体"/>
          <w:color w:val="000000" w:themeColor="text1"/>
          <w:sz w:val="24"/>
          <w:szCs w:val="24"/>
          <w:lang w:val="en-US" w:eastAsia="zh-CN"/>
          <w14:textFill>
            <w14:solidFill>
              <w14:schemeClr w14:val="tx1"/>
            </w14:solidFill>
          </w14:textFill>
        </w:rPr>
        <w:t>叁</w:t>
      </w:r>
      <w:r>
        <w:rPr>
          <w:rFonts w:hint="default" w:ascii="宋体" w:hAnsi="宋体" w:eastAsia="宋体" w:cs="宋体"/>
          <w:color w:val="000000" w:themeColor="text1"/>
          <w:sz w:val="24"/>
          <w:szCs w:val="24"/>
          <w:lang w:val="en-US" w:eastAsia="zh-CN"/>
          <w14:textFill>
            <w14:solidFill>
              <w14:schemeClr w14:val="tx1"/>
            </w14:solidFill>
          </w14:textFill>
        </w:rPr>
        <w:t>次调整、修改或重作后仍不符合要求的，则甲方有权解除本合同，乙方应退还甲方已支付款项以及按照同期中国人民银行贷款利率计付利息，并按照总额的10%向甲方支付违约金，同时赔偿甲方的相应损失。</w:t>
      </w:r>
    </w:p>
    <w:p w14:paraId="7569821F">
      <w:pPr>
        <w:pageBreakBefore w:val="0"/>
        <w:kinsoku/>
        <w:wordWrap/>
        <w:overflowPunct/>
        <w:topLinePunct w:val="0"/>
        <w:bidi w:val="0"/>
        <w:snapToGrid/>
        <w:spacing w:line="360" w:lineRule="auto"/>
        <w:ind w:left="0" w:leftChars="0" w:firstLine="480" w:firstLineChars="200"/>
        <w:jc w:val="left"/>
        <w:outlineLvl w:val="9"/>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15.8</w:t>
      </w:r>
      <w:r>
        <w:rPr>
          <w:rFonts w:hint="default" w:ascii="宋体" w:hAnsi="宋体" w:eastAsia="宋体" w:cs="宋体"/>
          <w:color w:val="000000" w:themeColor="text1"/>
          <w:sz w:val="24"/>
          <w:szCs w:val="24"/>
          <w:lang w:val="en-US" w:eastAsia="zh-CN"/>
          <w14:textFill>
            <w14:solidFill>
              <w14:schemeClr w14:val="tx1"/>
            </w14:solidFill>
          </w14:textFill>
        </w:rPr>
        <w:t>如因乙方差误造成工作出现问题，乙方应立即负责采取补救措施予以解决，并赔偿由此给甲方造成的一切损失，同时甲方有权拒绝支付这部分费用，已经支付的乙方应当立即返还，返还时按照同期中国人民银行贷款利率计付利息，并按照总额的10%向甲方支付违约金。</w:t>
      </w:r>
    </w:p>
    <w:p w14:paraId="58C8265B">
      <w:pPr>
        <w:pageBreakBefore w:val="0"/>
        <w:kinsoku/>
        <w:wordWrap/>
        <w:overflowPunct/>
        <w:topLinePunct w:val="0"/>
        <w:bidi w:val="0"/>
        <w:snapToGrid/>
        <w:spacing w:line="360" w:lineRule="auto"/>
        <w:ind w:left="0" w:leftChars="0" w:firstLine="480" w:firstLineChars="200"/>
        <w:jc w:val="left"/>
        <w:outlineLvl w:val="9"/>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15.9</w:t>
      </w:r>
      <w:r>
        <w:rPr>
          <w:rFonts w:hint="default" w:ascii="宋体" w:hAnsi="宋体" w:eastAsia="宋体" w:cs="宋体"/>
          <w:color w:val="000000" w:themeColor="text1"/>
          <w:sz w:val="24"/>
          <w:szCs w:val="24"/>
          <w:lang w:val="en-US" w:eastAsia="zh-CN"/>
          <w14:textFill>
            <w14:solidFill>
              <w14:schemeClr w14:val="tx1"/>
            </w14:solidFill>
          </w14:textFill>
        </w:rPr>
        <w:t>乙方未履行或未完全履行本合同项下的义务，均构成违约。乙方应赔偿因违约给甲方造成的一切损失</w:t>
      </w:r>
      <w:r>
        <w:rPr>
          <w:rFonts w:hint="default" w:hAnsi="宋体" w:cs="宋体"/>
          <w:color w:val="000000" w:themeColor="text1"/>
          <w:sz w:val="24"/>
          <w:highlight w:val="none"/>
          <w:lang w:eastAsia="zh-CN"/>
          <w14:textFill>
            <w14:solidFill>
              <w14:schemeClr w14:val="tx1"/>
            </w14:solidFill>
          </w14:textFill>
        </w:rPr>
        <w:t>，</w:t>
      </w:r>
      <w:r>
        <w:rPr>
          <w:rFonts w:hint="default" w:ascii="宋体" w:hAnsi="宋体" w:eastAsia="宋体" w:cs="宋体"/>
          <w:color w:val="000000" w:themeColor="text1"/>
          <w:spacing w:val="0"/>
          <w:w w:val="100"/>
          <w:position w:val="0"/>
          <w:sz w:val="24"/>
          <w:szCs w:val="20"/>
          <w:highlight w:val="none"/>
          <w:lang w:val="en-US" w:eastAsia="zh-CN"/>
          <w14:textFill>
            <w14:solidFill>
              <w14:schemeClr w14:val="tx1"/>
            </w14:solidFill>
          </w14:textFill>
        </w:rPr>
        <w:t>本条所称损失包括但不限于：直接损失，间接损失，甲方因此受到的处罚以及因此受到的损失，甲方向第三方承担的违约责任、赔偿责任，实现债权的全部费用（包括但不限于：诉讼费、仲裁费、财产保全费、律师费、鉴定费、公证费、公告费、执行费、拍卖费、保全担保费、住宿费、差旅费等费用）。</w:t>
      </w:r>
    </w:p>
    <w:p w14:paraId="10EEDF68">
      <w:pPr>
        <w:pageBreakBefore w:val="0"/>
        <w:kinsoku/>
        <w:wordWrap/>
        <w:overflowPunct/>
        <w:topLinePunct w:val="0"/>
        <w:bidi w:val="0"/>
        <w:snapToGrid/>
        <w:spacing w:line="360" w:lineRule="auto"/>
        <w:ind w:left="0" w:leftChars="0" w:firstLine="482" w:firstLineChars="200"/>
        <w:jc w:val="center"/>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第十</w:t>
      </w:r>
      <w:r>
        <w:rPr>
          <w:rFonts w:hint="eastAsia" w:ascii="宋体" w:hAnsi="宋体" w:eastAsia="宋体" w:cs="宋体"/>
          <w:b/>
          <w:bCs/>
          <w:color w:val="000000" w:themeColor="text1"/>
          <w:sz w:val="24"/>
          <w:szCs w:val="24"/>
          <w:lang w:eastAsia="zh-CN"/>
          <w14:textFill>
            <w14:solidFill>
              <w14:schemeClr w14:val="tx1"/>
            </w14:solidFill>
          </w14:textFill>
        </w:rPr>
        <w:t>六</w:t>
      </w:r>
      <w:r>
        <w:rPr>
          <w:rFonts w:hint="eastAsia" w:ascii="宋体" w:hAnsi="宋体" w:eastAsia="宋体" w:cs="宋体"/>
          <w:b/>
          <w:bCs/>
          <w:color w:val="000000" w:themeColor="text1"/>
          <w:sz w:val="24"/>
          <w:szCs w:val="24"/>
          <w14:textFill>
            <w14:solidFill>
              <w14:schemeClr w14:val="tx1"/>
            </w14:solidFill>
          </w14:textFill>
        </w:rPr>
        <w:t>条  合同变更</w:t>
      </w:r>
      <w:bookmarkEnd w:id="413"/>
    </w:p>
    <w:p w14:paraId="08A72DA2">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.1.乙方根据现场实际情况，确实需变更原合同约定的服务，乙方应预先提出变更清单对照表及其变更的理由和证据，经甲方确认后实施（双方签署的文件作为合同附件）。</w:t>
      </w:r>
    </w:p>
    <w:p w14:paraId="51D4917F">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.2.无论乙方提供的服务是按原合同的要求或根据现场实际情况变更后的服务，乙方都不能免除对服务应承担的责任。</w:t>
      </w:r>
    </w:p>
    <w:p w14:paraId="56037158">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.3.因甲方的原因变更合同服务的，甲方应书面通知乙方，双方协商后签署有关变更文件。如造成乙方损失的，由甲方承担。</w:t>
      </w:r>
    </w:p>
    <w:p w14:paraId="7DD9D50A">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.4乙方未在响应文件中说明，且未经甲方书面同意，乙方不得将合同的主体、关键性工作分包给他人</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否则，乙方应当向甲方支付违约金  元，同时，甲方有权解除合同。</w:t>
      </w:r>
    </w:p>
    <w:p w14:paraId="3FE62E78">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p>
    <w:p w14:paraId="200204C4">
      <w:pPr>
        <w:pageBreakBefore w:val="0"/>
        <w:kinsoku/>
        <w:wordWrap/>
        <w:overflowPunct/>
        <w:topLinePunct w:val="0"/>
        <w:bidi w:val="0"/>
        <w:snapToGrid/>
        <w:spacing w:line="360" w:lineRule="auto"/>
        <w:ind w:left="0" w:leftChars="0" w:firstLine="482" w:firstLineChars="200"/>
        <w:jc w:val="center"/>
        <w:outlineLvl w:val="9"/>
        <w:rPr>
          <w:rFonts w:hint="eastAsia" w:ascii="宋体" w:hAnsi="宋体" w:eastAsia="宋体" w:cs="宋体"/>
          <w:b/>
          <w:bCs/>
          <w:color w:val="000000" w:themeColor="text1"/>
          <w:sz w:val="24"/>
          <w:szCs w:val="24"/>
          <w14:textFill>
            <w14:solidFill>
              <w14:schemeClr w14:val="tx1"/>
            </w14:solidFill>
          </w14:textFill>
        </w:rPr>
      </w:pPr>
      <w:bookmarkStart w:id="414" w:name="_Toc13858"/>
      <w:r>
        <w:rPr>
          <w:rFonts w:hint="eastAsia" w:ascii="宋体" w:hAnsi="宋体" w:eastAsia="宋体" w:cs="宋体"/>
          <w:b/>
          <w:bCs/>
          <w:color w:val="000000" w:themeColor="text1"/>
          <w:sz w:val="24"/>
          <w:szCs w:val="24"/>
          <w14:textFill>
            <w14:solidFill>
              <w14:schemeClr w14:val="tx1"/>
            </w14:solidFill>
          </w14:textFill>
        </w:rPr>
        <w:t>第十</w:t>
      </w:r>
      <w:r>
        <w:rPr>
          <w:rFonts w:hint="eastAsia" w:ascii="宋体" w:hAnsi="宋体" w:eastAsia="宋体" w:cs="宋体"/>
          <w:b/>
          <w:bCs/>
          <w:color w:val="000000" w:themeColor="text1"/>
          <w:sz w:val="24"/>
          <w:szCs w:val="24"/>
          <w:lang w:eastAsia="zh-CN"/>
          <w14:textFill>
            <w14:solidFill>
              <w14:schemeClr w14:val="tx1"/>
            </w14:solidFill>
          </w14:textFill>
        </w:rPr>
        <w:t>七</w:t>
      </w:r>
      <w:r>
        <w:rPr>
          <w:rFonts w:hint="eastAsia" w:ascii="宋体" w:hAnsi="宋体" w:eastAsia="宋体" w:cs="宋体"/>
          <w:b/>
          <w:bCs/>
          <w:color w:val="000000" w:themeColor="text1"/>
          <w:sz w:val="24"/>
          <w:szCs w:val="24"/>
          <w14:textFill>
            <w14:solidFill>
              <w14:schemeClr w14:val="tx1"/>
            </w14:solidFill>
          </w14:textFill>
        </w:rPr>
        <w:t>条  违约终止合同</w:t>
      </w:r>
      <w:bookmarkEnd w:id="414"/>
    </w:p>
    <w:p w14:paraId="45D2E867">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.1.合同因有效期限届满（即乙方</w:t>
      </w:r>
      <w:r>
        <w:rPr>
          <w:rFonts w:hint="eastAsia" w:ascii="宋体" w:hAnsi="宋体" w:eastAsia="宋体" w:cs="宋体"/>
          <w:color w:val="000000" w:themeColor="text1"/>
          <w:sz w:val="24"/>
          <w:szCs w:val="24"/>
          <w:lang w:eastAsia="zh-CN"/>
          <w14:textFill>
            <w14:solidFill>
              <w14:schemeClr w14:val="tx1"/>
            </w14:solidFill>
          </w14:textFill>
        </w:rPr>
        <w:t>履约期</w:t>
      </w:r>
      <w:r>
        <w:rPr>
          <w:rFonts w:hint="eastAsia" w:ascii="宋体" w:hAnsi="宋体" w:eastAsia="宋体" w:cs="宋体"/>
          <w:color w:val="000000" w:themeColor="text1"/>
          <w:sz w:val="24"/>
          <w:szCs w:val="24"/>
          <w14:textFill>
            <w14:solidFill>
              <w14:schemeClr w14:val="tx1"/>
            </w14:solidFill>
          </w14:textFill>
        </w:rPr>
        <w:t>届满且无其他争议）而终止；</w:t>
      </w:r>
    </w:p>
    <w:p w14:paraId="1F5208C9">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.2.乙方未能依照本合同约定条件履行合同构成违约的，甲方有权单方终止本合同，并追究乙方的违约责任。</w:t>
      </w:r>
    </w:p>
    <w:p w14:paraId="05F51E66">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.3．如果乙方丧失履约能力或被宣告破产，甲方可在任何时候以书面形式通知乙方终止合同而不给乙方补偿。</w:t>
      </w:r>
    </w:p>
    <w:p w14:paraId="2CF2207D">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.4．如果乙方在履行合同过程中有不正当竞争行为，甲方有权解除合同，并按《中华人民共和国反不正当竞争法》规定由有关部门追究其法律责任。</w:t>
      </w:r>
    </w:p>
    <w:p w14:paraId="7033046D">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.5．除本合同另有规定外，乙方未经甲方同意单方面终止本合同，则应按照本合同总金额的30%向甲方支付违约金。</w:t>
      </w:r>
    </w:p>
    <w:p w14:paraId="0EDCC581">
      <w:pPr>
        <w:pageBreakBefore w:val="0"/>
        <w:kinsoku/>
        <w:wordWrap/>
        <w:overflowPunct/>
        <w:topLinePunct w:val="0"/>
        <w:bidi w:val="0"/>
        <w:snapToGrid/>
        <w:spacing w:line="360" w:lineRule="auto"/>
        <w:ind w:left="0" w:leftChars="0" w:firstLine="482" w:firstLineChars="200"/>
        <w:jc w:val="center"/>
        <w:outlineLvl w:val="9"/>
        <w:rPr>
          <w:rFonts w:hint="eastAsia" w:ascii="宋体" w:hAnsi="宋体" w:eastAsia="宋体" w:cs="宋体"/>
          <w:b/>
          <w:bCs/>
          <w:color w:val="000000" w:themeColor="text1"/>
          <w:sz w:val="24"/>
          <w:szCs w:val="24"/>
          <w14:textFill>
            <w14:solidFill>
              <w14:schemeClr w14:val="tx1"/>
            </w14:solidFill>
          </w14:textFill>
        </w:rPr>
      </w:pPr>
      <w:bookmarkStart w:id="415" w:name="_Toc7449"/>
      <w:r>
        <w:rPr>
          <w:rFonts w:hint="eastAsia" w:ascii="宋体" w:hAnsi="宋体" w:eastAsia="宋体" w:cs="宋体"/>
          <w:b/>
          <w:bCs/>
          <w:color w:val="000000" w:themeColor="text1"/>
          <w:sz w:val="24"/>
          <w:szCs w:val="24"/>
          <w14:textFill>
            <w14:solidFill>
              <w14:schemeClr w14:val="tx1"/>
            </w14:solidFill>
          </w14:textFill>
        </w:rPr>
        <w:t>第十</w:t>
      </w:r>
      <w:r>
        <w:rPr>
          <w:rFonts w:hint="eastAsia" w:ascii="宋体" w:hAnsi="宋体" w:eastAsia="宋体" w:cs="宋体"/>
          <w:b/>
          <w:bCs/>
          <w:color w:val="000000" w:themeColor="text1"/>
          <w:sz w:val="24"/>
          <w:szCs w:val="24"/>
          <w:lang w:eastAsia="zh-CN"/>
          <w14:textFill>
            <w14:solidFill>
              <w14:schemeClr w14:val="tx1"/>
            </w14:solidFill>
          </w14:textFill>
        </w:rPr>
        <w:t>八</w:t>
      </w:r>
      <w:r>
        <w:rPr>
          <w:rFonts w:hint="eastAsia" w:ascii="宋体" w:hAnsi="宋体" w:eastAsia="宋体" w:cs="宋体"/>
          <w:b/>
          <w:bCs/>
          <w:color w:val="000000" w:themeColor="text1"/>
          <w:sz w:val="24"/>
          <w:szCs w:val="24"/>
          <w14:textFill>
            <w14:solidFill>
              <w14:schemeClr w14:val="tx1"/>
            </w14:solidFill>
          </w14:textFill>
        </w:rPr>
        <w:t>条  争端的解决和法律适用</w:t>
      </w:r>
      <w:bookmarkEnd w:id="415"/>
    </w:p>
    <w:p w14:paraId="5BB5A586">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w:t>
      </w:r>
      <w:r>
        <w:rPr>
          <w:rFonts w:hint="eastAsia" w:ascii="宋体" w:hAnsi="宋体" w:eastAsia="宋体" w:cs="宋体"/>
          <w:color w:val="000000" w:themeColor="text1"/>
          <w:sz w:val="24"/>
          <w:szCs w:val="24"/>
          <w14:textFill>
            <w14:solidFill>
              <w14:schemeClr w14:val="tx1"/>
            </w14:solidFill>
          </w14:textFill>
        </w:rPr>
        <w:t>.1.合同实施或与合同有关的一切争端应通过双方友好协商解决。如果协商不成的，任何一方都可向</w:t>
      </w:r>
      <w:r>
        <w:rPr>
          <w:rFonts w:hint="eastAsia" w:ascii="宋体" w:hAnsi="宋体" w:eastAsia="宋体" w:cs="宋体"/>
          <w:color w:val="000000" w:themeColor="text1"/>
          <w:sz w:val="24"/>
          <w:szCs w:val="24"/>
          <w:lang w:val="en-US" w:eastAsia="zh-CN"/>
          <w14:textFill>
            <w14:solidFill>
              <w14:schemeClr w14:val="tx1"/>
            </w14:solidFill>
          </w14:textFill>
        </w:rPr>
        <w:t>甲方所在地有管辖权的</w:t>
      </w:r>
      <w:r>
        <w:rPr>
          <w:rFonts w:hint="eastAsia" w:ascii="宋体" w:hAnsi="宋体" w:eastAsia="宋体" w:cs="宋体"/>
          <w:color w:val="000000" w:themeColor="text1"/>
          <w:sz w:val="24"/>
          <w:szCs w:val="24"/>
          <w14:textFill>
            <w14:solidFill>
              <w14:schemeClr w14:val="tx1"/>
            </w14:solidFill>
          </w14:textFill>
        </w:rPr>
        <w:t>提起诉讼。</w:t>
      </w:r>
    </w:p>
    <w:p w14:paraId="20250021">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w:t>
      </w:r>
      <w:r>
        <w:rPr>
          <w:rFonts w:hint="eastAsia" w:ascii="宋体" w:hAnsi="宋体" w:eastAsia="宋体" w:cs="宋体"/>
          <w:color w:val="000000" w:themeColor="text1"/>
          <w:sz w:val="24"/>
          <w:szCs w:val="24"/>
          <w14:textFill>
            <w14:solidFill>
              <w14:schemeClr w14:val="tx1"/>
            </w14:solidFill>
          </w14:textFill>
        </w:rPr>
        <w:t>.2.本合同应按照中华人民共和国现行法律进行解释。</w:t>
      </w:r>
    </w:p>
    <w:p w14:paraId="1D84C0F1">
      <w:pPr>
        <w:pageBreakBefore w:val="0"/>
        <w:kinsoku/>
        <w:wordWrap/>
        <w:overflowPunct/>
        <w:topLinePunct w:val="0"/>
        <w:bidi w:val="0"/>
        <w:snapToGrid/>
        <w:spacing w:line="360" w:lineRule="auto"/>
        <w:ind w:left="0" w:leftChars="0" w:firstLine="482" w:firstLineChars="200"/>
        <w:jc w:val="center"/>
        <w:outlineLvl w:val="9"/>
        <w:rPr>
          <w:rFonts w:hint="eastAsia" w:ascii="宋体" w:hAnsi="宋体" w:eastAsia="宋体" w:cs="宋体"/>
          <w:b/>
          <w:bCs/>
          <w:color w:val="000000" w:themeColor="text1"/>
          <w:sz w:val="24"/>
          <w:szCs w:val="24"/>
          <w14:textFill>
            <w14:solidFill>
              <w14:schemeClr w14:val="tx1"/>
            </w14:solidFill>
          </w14:textFill>
        </w:rPr>
      </w:pPr>
      <w:bookmarkStart w:id="416" w:name="_Toc30320"/>
      <w:r>
        <w:rPr>
          <w:rFonts w:hint="eastAsia" w:ascii="宋体" w:hAnsi="宋体" w:eastAsia="宋体" w:cs="宋体"/>
          <w:b/>
          <w:bCs/>
          <w:color w:val="000000" w:themeColor="text1"/>
          <w:sz w:val="24"/>
          <w:szCs w:val="24"/>
          <w14:textFill>
            <w14:solidFill>
              <w14:schemeClr w14:val="tx1"/>
            </w14:solidFill>
          </w14:textFill>
        </w:rPr>
        <w:t>第</w:t>
      </w:r>
      <w:r>
        <w:rPr>
          <w:rFonts w:hint="eastAsia" w:ascii="宋体" w:hAnsi="宋体" w:eastAsia="宋体" w:cs="宋体"/>
          <w:b/>
          <w:bCs/>
          <w:color w:val="000000" w:themeColor="text1"/>
          <w:sz w:val="24"/>
          <w:szCs w:val="24"/>
          <w:lang w:eastAsia="zh-CN"/>
          <w14:textFill>
            <w14:solidFill>
              <w14:schemeClr w14:val="tx1"/>
            </w14:solidFill>
          </w14:textFill>
        </w:rPr>
        <w:t>十九</w:t>
      </w:r>
      <w:r>
        <w:rPr>
          <w:rFonts w:hint="eastAsia" w:ascii="宋体" w:hAnsi="宋体" w:eastAsia="宋体" w:cs="宋体"/>
          <w:b/>
          <w:bCs/>
          <w:color w:val="000000" w:themeColor="text1"/>
          <w:sz w:val="24"/>
          <w:szCs w:val="24"/>
          <w14:textFill>
            <w14:solidFill>
              <w14:schemeClr w14:val="tx1"/>
            </w14:solidFill>
          </w14:textFill>
        </w:rPr>
        <w:t>条  通知</w:t>
      </w:r>
      <w:bookmarkEnd w:id="416"/>
    </w:p>
    <w:p w14:paraId="65C2F792">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14:textFill>
            <w14:solidFill>
              <w14:schemeClr w14:val="tx1"/>
            </w14:solidFill>
          </w14:textFill>
        </w:rPr>
        <w:t>.1.双方在合同中标明的通讯地址，是各自现实、有效的通讯地址。本合同履行过程中的书面通知或往来函件，可以采用</w:t>
      </w:r>
      <w:r>
        <w:rPr>
          <w:rFonts w:hint="eastAsia" w:ascii="宋体" w:hAnsi="宋体" w:cs="宋体"/>
          <w:color w:val="000000" w:themeColor="text1"/>
          <w:sz w:val="24"/>
          <w:szCs w:val="24"/>
          <w:lang w:val="en-US" w:eastAsia="zh-CN"/>
          <w14:textFill>
            <w14:solidFill>
              <w14:schemeClr w14:val="tx1"/>
            </w14:solidFill>
          </w14:textFill>
        </w:rPr>
        <w:t>短信</w:t>
      </w:r>
      <w:r>
        <w:rPr>
          <w:rFonts w:hint="eastAsia" w:ascii="宋体" w:hAnsi="宋体" w:eastAsia="宋体" w:cs="宋体"/>
          <w:color w:val="000000" w:themeColor="text1"/>
          <w:sz w:val="24"/>
          <w:szCs w:val="24"/>
          <w14:textFill>
            <w14:solidFill>
              <w14:schemeClr w14:val="tx1"/>
            </w14:solidFill>
          </w14:textFill>
        </w:rPr>
        <w:t>、特快专递、电子邮件的方式，寄往各方在本协议中标明的通讯地址。一方向他方在本协议中标明的地址发送的通知、函件，以查无此人或收件人拒绝接收为由被退回的，视为已送达。一方变更通讯地址，应在变更事由发生后3日内以书面方式通知对方。因变更地址的一方未按协议约定及时通知他方地址变更事项而导致通知无法送达的，视为已送达。</w:t>
      </w:r>
    </w:p>
    <w:p w14:paraId="46F4A482">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甲方指定的联系人为：         ，联系电话：   电子邮箱号码：</w:t>
      </w:r>
    </w:p>
    <w:p w14:paraId="5C9083AD">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乙方指定的联系人为：         ，联系电话：   电子邮箱号码：</w:t>
      </w:r>
    </w:p>
    <w:p w14:paraId="02A9DB69">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双方同意，如果双方之间的纠纷以诉讼方式解决的，人民法院可以按照本合同“通知”条款约定的双方地址、联系人、电子邮箱号码完成民事审判中的所有送达程序，双方均无异议。</w:t>
      </w:r>
    </w:p>
    <w:p w14:paraId="77971FB9">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上述双方指定的联系人如需更换，应在更换后3日内以书面方式通知对方。</w:t>
      </w:r>
    </w:p>
    <w:p w14:paraId="4E645644">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14:textFill>
            <w14:solidFill>
              <w14:schemeClr w14:val="tx1"/>
            </w14:solidFill>
          </w14:textFill>
        </w:rPr>
        <w:t>.2通知以送到之日或通知书中规定的生效之日起生效，两者中以较迟之日为准。</w:t>
      </w:r>
    </w:p>
    <w:p w14:paraId="64C95C6A">
      <w:pPr>
        <w:pageBreakBefore w:val="0"/>
        <w:kinsoku/>
        <w:wordWrap/>
        <w:overflowPunct/>
        <w:topLinePunct w:val="0"/>
        <w:bidi w:val="0"/>
        <w:snapToGrid/>
        <w:spacing w:line="360" w:lineRule="auto"/>
        <w:ind w:left="0" w:leftChars="0" w:firstLine="482" w:firstLineChars="200"/>
        <w:jc w:val="center"/>
        <w:outlineLvl w:val="9"/>
        <w:rPr>
          <w:rFonts w:hint="eastAsia" w:ascii="宋体" w:hAnsi="宋体" w:eastAsia="宋体" w:cs="宋体"/>
          <w:b/>
          <w:bCs/>
          <w:color w:val="000000" w:themeColor="text1"/>
          <w:sz w:val="24"/>
          <w:szCs w:val="24"/>
          <w14:textFill>
            <w14:solidFill>
              <w14:schemeClr w14:val="tx1"/>
            </w14:solidFill>
          </w14:textFill>
        </w:rPr>
      </w:pPr>
      <w:bookmarkStart w:id="417" w:name="_Toc13600"/>
      <w:r>
        <w:rPr>
          <w:rFonts w:hint="eastAsia" w:ascii="宋体" w:hAnsi="宋体" w:eastAsia="宋体" w:cs="宋体"/>
          <w:b/>
          <w:bCs/>
          <w:color w:val="000000" w:themeColor="text1"/>
          <w:sz w:val="24"/>
          <w:szCs w:val="24"/>
          <w14:textFill>
            <w14:solidFill>
              <w14:schemeClr w14:val="tx1"/>
            </w14:solidFill>
          </w14:textFill>
        </w:rPr>
        <w:t>第二十条  税和关税</w:t>
      </w:r>
      <w:bookmarkEnd w:id="417"/>
    </w:p>
    <w:p w14:paraId="24C63DCF">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.1.中国政府根据现行税法对甲方征收的与本合同有关的一切税费均应由甲方负担。</w:t>
      </w:r>
    </w:p>
    <w:p w14:paraId="4D444975">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.2.中国政府根据现行的税法规定对乙方或其雇员征收的与本合同有关的一切税费（包括但不限于乙方为制造本合同项下的设备和部件的进口关税、所有货物的国内增值税）均应由乙方负担。</w:t>
      </w:r>
    </w:p>
    <w:p w14:paraId="1649FAFC">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.3.在中国境外发生的与本合同执行有关的一切税费均应由乙方负担。</w:t>
      </w:r>
    </w:p>
    <w:p w14:paraId="656BC85F">
      <w:pPr>
        <w:pageBreakBefore w:val="0"/>
        <w:kinsoku/>
        <w:wordWrap/>
        <w:overflowPunct/>
        <w:topLinePunct w:val="0"/>
        <w:bidi w:val="0"/>
        <w:snapToGrid/>
        <w:spacing w:line="360" w:lineRule="auto"/>
        <w:ind w:left="0" w:leftChars="0" w:firstLine="482" w:firstLineChars="200"/>
        <w:jc w:val="center"/>
        <w:outlineLvl w:val="9"/>
        <w:rPr>
          <w:rFonts w:hint="eastAsia" w:ascii="宋体" w:hAnsi="宋体" w:eastAsia="宋体" w:cs="宋体"/>
          <w:b/>
          <w:bCs/>
          <w:color w:val="000000" w:themeColor="text1"/>
          <w:sz w:val="24"/>
          <w:szCs w:val="24"/>
          <w14:textFill>
            <w14:solidFill>
              <w14:schemeClr w14:val="tx1"/>
            </w14:solidFill>
          </w14:textFill>
        </w:rPr>
      </w:pPr>
      <w:bookmarkStart w:id="418" w:name="_Toc30885"/>
      <w:r>
        <w:rPr>
          <w:rFonts w:hint="eastAsia" w:ascii="宋体" w:hAnsi="宋体" w:eastAsia="宋体" w:cs="宋体"/>
          <w:b/>
          <w:bCs/>
          <w:color w:val="000000" w:themeColor="text1"/>
          <w:sz w:val="24"/>
          <w:szCs w:val="24"/>
          <w14:textFill>
            <w14:solidFill>
              <w14:schemeClr w14:val="tx1"/>
            </w14:solidFill>
          </w14:textFill>
        </w:rPr>
        <w:t>第二十</w:t>
      </w:r>
      <w:r>
        <w:rPr>
          <w:rFonts w:hint="eastAsia" w:ascii="宋体" w:hAnsi="宋体" w:eastAsia="宋体" w:cs="宋体"/>
          <w:b/>
          <w:bCs/>
          <w:color w:val="000000" w:themeColor="text1"/>
          <w:sz w:val="24"/>
          <w:szCs w:val="24"/>
          <w:lang w:eastAsia="zh-CN"/>
          <w14:textFill>
            <w14:solidFill>
              <w14:schemeClr w14:val="tx1"/>
            </w14:solidFill>
          </w14:textFill>
        </w:rPr>
        <w:t>一</w:t>
      </w:r>
      <w:r>
        <w:rPr>
          <w:rFonts w:hint="eastAsia" w:ascii="宋体" w:hAnsi="宋体" w:eastAsia="宋体" w:cs="宋体"/>
          <w:b/>
          <w:bCs/>
          <w:color w:val="000000" w:themeColor="text1"/>
          <w:sz w:val="24"/>
          <w:szCs w:val="24"/>
          <w14:textFill>
            <w14:solidFill>
              <w14:schemeClr w14:val="tx1"/>
            </w14:solidFill>
          </w14:textFill>
        </w:rPr>
        <w:t>条  合同生效</w:t>
      </w:r>
      <w:bookmarkEnd w:id="418"/>
    </w:p>
    <w:p w14:paraId="3078FCC6">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.1.合同经双方</w:t>
      </w:r>
      <w:r>
        <w:rPr>
          <w:rFonts w:hint="eastAsia" w:ascii="宋体" w:hAnsi="宋体" w:eastAsia="宋体" w:cs="宋体"/>
          <w:color w:val="000000" w:themeColor="text1"/>
          <w:sz w:val="24"/>
          <w:szCs w:val="24"/>
          <w:lang w:val="en-US" w:eastAsia="zh-CN"/>
          <w14:textFill>
            <w14:solidFill>
              <w14:schemeClr w14:val="tx1"/>
            </w14:solidFill>
          </w14:textFill>
        </w:rPr>
        <w:t>法定代表人或</w:t>
      </w:r>
      <w:r>
        <w:rPr>
          <w:rFonts w:hint="eastAsia" w:ascii="宋体" w:hAnsi="宋体" w:eastAsia="宋体" w:cs="宋体"/>
          <w:color w:val="000000" w:themeColor="text1"/>
          <w:sz w:val="24"/>
          <w:szCs w:val="24"/>
          <w14:textFill>
            <w14:solidFill>
              <w14:schemeClr w14:val="tx1"/>
            </w14:solidFill>
          </w14:textFill>
        </w:rPr>
        <w:t>授权代表签字盖章；</w:t>
      </w:r>
    </w:p>
    <w:p w14:paraId="6E328254">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.2.满足上述第1条，以实现的日期为准本合同即时生效。</w:t>
      </w:r>
    </w:p>
    <w:p w14:paraId="284F2D4E">
      <w:pPr>
        <w:pageBreakBefore w:val="0"/>
        <w:kinsoku/>
        <w:wordWrap/>
        <w:overflowPunct/>
        <w:topLinePunct w:val="0"/>
        <w:bidi w:val="0"/>
        <w:snapToGrid/>
        <w:spacing w:line="360" w:lineRule="auto"/>
        <w:ind w:left="0" w:leftChars="0" w:firstLine="482" w:firstLineChars="200"/>
        <w:jc w:val="center"/>
        <w:outlineLvl w:val="9"/>
        <w:rPr>
          <w:rFonts w:hint="eastAsia" w:ascii="宋体" w:hAnsi="宋体" w:eastAsia="宋体" w:cs="宋体"/>
          <w:b/>
          <w:bCs/>
          <w:color w:val="000000" w:themeColor="text1"/>
          <w:sz w:val="24"/>
          <w:szCs w:val="24"/>
          <w14:textFill>
            <w14:solidFill>
              <w14:schemeClr w14:val="tx1"/>
            </w14:solidFill>
          </w14:textFill>
        </w:rPr>
      </w:pPr>
      <w:bookmarkStart w:id="419" w:name="_Toc20555"/>
      <w:r>
        <w:rPr>
          <w:rFonts w:hint="eastAsia" w:ascii="宋体" w:hAnsi="宋体" w:eastAsia="宋体" w:cs="宋体"/>
          <w:b/>
          <w:bCs/>
          <w:color w:val="000000" w:themeColor="text1"/>
          <w:sz w:val="24"/>
          <w:szCs w:val="24"/>
          <w14:textFill>
            <w14:solidFill>
              <w14:schemeClr w14:val="tx1"/>
            </w14:solidFill>
          </w14:textFill>
        </w:rPr>
        <w:t>第二十</w:t>
      </w:r>
      <w:r>
        <w:rPr>
          <w:rFonts w:hint="eastAsia" w:ascii="宋体" w:hAnsi="宋体" w:eastAsia="宋体" w:cs="宋体"/>
          <w:b/>
          <w:bCs/>
          <w:color w:val="000000" w:themeColor="text1"/>
          <w:sz w:val="24"/>
          <w:szCs w:val="24"/>
          <w:lang w:eastAsia="zh-CN"/>
          <w14:textFill>
            <w14:solidFill>
              <w14:schemeClr w14:val="tx1"/>
            </w14:solidFill>
          </w14:textFill>
        </w:rPr>
        <w:t>二</w:t>
      </w:r>
      <w:r>
        <w:rPr>
          <w:rFonts w:hint="eastAsia" w:ascii="宋体" w:hAnsi="宋体" w:eastAsia="宋体" w:cs="宋体"/>
          <w:b/>
          <w:bCs/>
          <w:color w:val="000000" w:themeColor="text1"/>
          <w:sz w:val="24"/>
          <w:szCs w:val="24"/>
          <w14:textFill>
            <w14:solidFill>
              <w14:schemeClr w14:val="tx1"/>
            </w14:solidFill>
          </w14:textFill>
        </w:rPr>
        <w:t>条  其它</w:t>
      </w:r>
      <w:bookmarkEnd w:id="419"/>
    </w:p>
    <w:p w14:paraId="5406221B">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.1.合同之所有附件均为合同的有效组成部分，与本合同具有同样法律效力。</w:t>
      </w:r>
    </w:p>
    <w:p w14:paraId="3DAC84DE">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.2.在执行本合同的过程中，所有经甲乙双方签署确认的文件（包括会议纪要、补充协议、往来信函）即成为本合同的有效组成部分，其生效日期为双方</w:t>
      </w:r>
      <w:r>
        <w:rPr>
          <w:rFonts w:hint="eastAsia" w:ascii="宋体" w:hAnsi="宋体" w:eastAsia="宋体" w:cs="宋体"/>
          <w:color w:val="000000" w:themeColor="text1"/>
          <w:sz w:val="24"/>
          <w:szCs w:val="24"/>
          <w:lang w:val="en-US" w:eastAsia="zh-CN"/>
          <w14:textFill>
            <w14:solidFill>
              <w14:schemeClr w14:val="tx1"/>
            </w14:solidFill>
          </w14:textFill>
        </w:rPr>
        <w:t>法定代表人或授权代表</w:t>
      </w:r>
      <w:r>
        <w:rPr>
          <w:rFonts w:hint="eastAsia" w:ascii="宋体" w:hAnsi="宋体" w:eastAsia="宋体" w:cs="宋体"/>
          <w:color w:val="000000" w:themeColor="text1"/>
          <w:sz w:val="24"/>
          <w:szCs w:val="24"/>
          <w14:textFill>
            <w14:solidFill>
              <w14:schemeClr w14:val="tx1"/>
            </w14:solidFill>
          </w14:textFill>
        </w:rPr>
        <w:t>签字盖章或确认之日期。除非有特别说明，本合同所有有效组成部分中相矛盾的条款以生效日期较后的条款为准。</w:t>
      </w:r>
    </w:p>
    <w:p w14:paraId="1BBEB2E1">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.3.除甲方事先书面同意外，乙方不得部分或全部转让其应履行的合同项下的义务。</w:t>
      </w:r>
    </w:p>
    <w:p w14:paraId="09936185">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.4.本合同一式  肆  份，甲方执  叁  份，乙方执  壹  份。每份正本具有同等法律效力，副本报财政部备案。</w:t>
      </w:r>
    </w:p>
    <w:p w14:paraId="5DBF633D">
      <w:pPr>
        <w:pageBreakBefore w:val="0"/>
        <w:kinsoku/>
        <w:wordWrap/>
        <w:overflowPunct/>
        <w:topLinePunct w:val="0"/>
        <w:bidi w:val="0"/>
        <w:snapToGrid/>
        <w:spacing w:line="360" w:lineRule="auto"/>
        <w:ind w:left="0" w:leftChars="0" w:firstLine="482" w:firstLineChars="200"/>
        <w:jc w:val="center"/>
        <w:outlineLvl w:val="9"/>
        <w:rPr>
          <w:rFonts w:hint="eastAsia" w:ascii="宋体" w:hAnsi="宋体" w:eastAsia="宋体" w:cs="宋体"/>
          <w:b/>
          <w:bCs/>
          <w:color w:val="000000" w:themeColor="text1"/>
          <w:sz w:val="24"/>
          <w:szCs w:val="24"/>
          <w14:textFill>
            <w14:solidFill>
              <w14:schemeClr w14:val="tx1"/>
            </w14:solidFill>
          </w14:textFill>
        </w:rPr>
      </w:pPr>
      <w:bookmarkStart w:id="420" w:name="_Toc16360"/>
    </w:p>
    <w:p w14:paraId="46435CDB">
      <w:pPr>
        <w:pageBreakBefore w:val="0"/>
        <w:kinsoku/>
        <w:wordWrap/>
        <w:overflowPunct/>
        <w:topLinePunct w:val="0"/>
        <w:bidi w:val="0"/>
        <w:snapToGrid/>
        <w:spacing w:line="360" w:lineRule="auto"/>
        <w:ind w:left="0" w:leftChars="0" w:firstLine="482" w:firstLineChars="200"/>
        <w:jc w:val="center"/>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第二十</w:t>
      </w:r>
      <w:r>
        <w:rPr>
          <w:rFonts w:hint="eastAsia" w:ascii="宋体" w:hAnsi="宋体" w:eastAsia="宋体" w:cs="宋体"/>
          <w:b/>
          <w:bCs/>
          <w:color w:val="000000" w:themeColor="text1"/>
          <w:sz w:val="24"/>
          <w:szCs w:val="24"/>
          <w:lang w:eastAsia="zh-CN"/>
          <w14:textFill>
            <w14:solidFill>
              <w14:schemeClr w14:val="tx1"/>
            </w14:solidFill>
          </w14:textFill>
        </w:rPr>
        <w:t>三</w:t>
      </w:r>
      <w:r>
        <w:rPr>
          <w:rFonts w:hint="eastAsia" w:ascii="宋体" w:hAnsi="宋体" w:eastAsia="宋体" w:cs="宋体"/>
          <w:b/>
          <w:bCs/>
          <w:color w:val="000000" w:themeColor="text1"/>
          <w:sz w:val="24"/>
          <w:szCs w:val="24"/>
          <w14:textFill>
            <w14:solidFill>
              <w14:schemeClr w14:val="tx1"/>
            </w14:solidFill>
          </w14:textFill>
        </w:rPr>
        <w:t xml:space="preserve">条 </w:t>
      </w:r>
      <w:r>
        <w:rPr>
          <w:rFonts w:hint="eastAsia" w:ascii="宋体" w:hAnsi="宋体" w:eastAsia="宋体" w:cs="宋体"/>
          <w:b/>
          <w:color w:val="000000" w:themeColor="text1"/>
          <w:sz w:val="24"/>
          <w:szCs w:val="24"/>
          <w14:textFill>
            <w14:solidFill>
              <w14:schemeClr w14:val="tx1"/>
            </w14:solidFill>
          </w14:textFill>
        </w:rPr>
        <w:t>本合同附件</w:t>
      </w:r>
      <w:bookmarkEnd w:id="420"/>
    </w:p>
    <w:p w14:paraId="4F451E17">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bookmarkStart w:id="421" w:name="_Toc13780"/>
      <w:r>
        <w:rPr>
          <w:rFonts w:hint="eastAsia" w:ascii="宋体" w:hAnsi="宋体" w:eastAsia="宋体" w:cs="宋体"/>
          <w:color w:val="000000" w:themeColor="text1"/>
          <w:sz w:val="24"/>
          <w:szCs w:val="24"/>
          <w14:textFill>
            <w14:solidFill>
              <w14:schemeClr w14:val="tx1"/>
            </w14:solidFill>
          </w14:textFill>
        </w:rPr>
        <w:t>附件一：报价清单（包括：报价明细表、报价一览表）</w:t>
      </w:r>
      <w:bookmarkEnd w:id="421"/>
    </w:p>
    <w:p w14:paraId="3201C884">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bookmarkStart w:id="422" w:name="_Toc19578"/>
      <w:r>
        <w:rPr>
          <w:rFonts w:hint="eastAsia" w:ascii="宋体" w:hAnsi="宋体" w:eastAsia="宋体" w:cs="宋体"/>
          <w:color w:val="000000" w:themeColor="text1"/>
          <w:sz w:val="24"/>
          <w:szCs w:val="24"/>
          <w14:textFill>
            <w14:solidFill>
              <w14:schemeClr w14:val="tx1"/>
            </w14:solidFill>
          </w14:textFill>
        </w:rPr>
        <w:t>附件二：服务承诺书</w:t>
      </w:r>
      <w:bookmarkEnd w:id="422"/>
    </w:p>
    <w:p w14:paraId="2A2A1EBB">
      <w:pPr>
        <w:pageBreakBefore w:val="0"/>
        <w:kinsoku/>
        <w:wordWrap/>
        <w:overflowPunct/>
        <w:topLinePunct w:val="0"/>
        <w:bidi w:val="0"/>
        <w:snapToGrid/>
        <w:spacing w:line="360" w:lineRule="auto"/>
        <w:ind w:left="0" w:leftChars="0" w:firstLine="480" w:firstLineChars="200"/>
        <w:jc w:val="left"/>
        <w:outlineLvl w:val="9"/>
        <w:rPr>
          <w:rFonts w:hint="eastAsia" w:ascii="宋体" w:hAnsi="宋体" w:eastAsia="宋体" w:cs="宋体"/>
          <w:color w:val="000000" w:themeColor="text1"/>
          <w:sz w:val="24"/>
          <w:szCs w:val="24"/>
          <w14:textFill>
            <w14:solidFill>
              <w14:schemeClr w14:val="tx1"/>
            </w14:solidFill>
          </w14:textFill>
        </w:rPr>
      </w:pPr>
      <w:bookmarkStart w:id="423" w:name="_Toc2874"/>
      <w:r>
        <w:rPr>
          <w:rFonts w:hint="eastAsia" w:ascii="宋体" w:hAnsi="宋体" w:eastAsia="宋体" w:cs="宋体"/>
          <w:color w:val="000000" w:themeColor="text1"/>
          <w:sz w:val="24"/>
          <w:szCs w:val="24"/>
          <w14:textFill>
            <w14:solidFill>
              <w14:schemeClr w14:val="tx1"/>
            </w14:solidFill>
          </w14:textFill>
        </w:rPr>
        <w:t>附件三：二次报价单</w:t>
      </w:r>
      <w:bookmarkEnd w:id="423"/>
    </w:p>
    <w:p w14:paraId="3B9FCEE6">
      <w:pPr>
        <w:pageBreakBefore w:val="0"/>
        <w:kinsoku/>
        <w:wordWrap/>
        <w:overflowPunct/>
        <w:topLinePunct w:val="0"/>
        <w:bidi w:val="0"/>
        <w:snapToGrid/>
        <w:spacing w:line="240" w:lineRule="auto"/>
        <w:ind w:left="0" w:leftChars="0" w:firstLine="0" w:firstLineChars="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5EEE12DA">
      <w:pPr>
        <w:pageBreakBefore w:val="0"/>
        <w:kinsoku/>
        <w:wordWrap/>
        <w:overflowPunct/>
        <w:topLinePunct w:val="0"/>
        <w:bidi w:val="0"/>
        <w:snapToGrid/>
        <w:spacing w:line="360" w:lineRule="auto"/>
        <w:ind w:left="0" w:leftChars="0"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以下无正文，合同签署页</w:t>
      </w:r>
    </w:p>
    <w:tbl>
      <w:tblPr>
        <w:tblStyle w:val="24"/>
        <w:tblW w:w="9930" w:type="dxa"/>
        <w:jc w:val="center"/>
        <w:tblLayout w:type="fixed"/>
        <w:tblCellMar>
          <w:top w:w="0" w:type="dxa"/>
          <w:left w:w="108" w:type="dxa"/>
          <w:bottom w:w="0" w:type="dxa"/>
          <w:right w:w="108" w:type="dxa"/>
        </w:tblCellMar>
      </w:tblPr>
      <w:tblGrid>
        <w:gridCol w:w="5284"/>
        <w:gridCol w:w="4646"/>
      </w:tblGrid>
      <w:tr w14:paraId="7C543F36">
        <w:tblPrEx>
          <w:tblCellMar>
            <w:top w:w="0" w:type="dxa"/>
            <w:left w:w="108" w:type="dxa"/>
            <w:bottom w:w="0" w:type="dxa"/>
            <w:right w:w="108" w:type="dxa"/>
          </w:tblCellMar>
        </w:tblPrEx>
        <w:trPr>
          <w:trHeight w:val="527" w:hRule="atLeast"/>
          <w:jc w:val="center"/>
        </w:trPr>
        <w:tc>
          <w:tcPr>
            <w:tcW w:w="5284" w:type="dxa"/>
            <w:noWrap w:val="0"/>
            <w:vAlign w:val="top"/>
          </w:tcPr>
          <w:p w14:paraId="664D3E7C">
            <w:pPr>
              <w:keepNext w:val="0"/>
              <w:keepLines w:val="0"/>
              <w:pageBreakBefore w:val="0"/>
              <w:widowControl w:val="0"/>
              <w:tabs>
                <w:tab w:val="left" w:pos="720"/>
              </w:tabs>
              <w:kinsoku/>
              <w:wordWrap/>
              <w:overflowPunct/>
              <w:topLinePunct w:val="0"/>
              <w:autoSpaceDE/>
              <w:autoSpaceDN/>
              <w:bidi w:val="0"/>
              <w:adjustRightInd w:val="0"/>
              <w:snapToGrid/>
              <w:spacing w:line="360" w:lineRule="auto"/>
              <w:ind w:left="0" w:leftChars="0" w:firstLine="0" w:firstLineChars="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甲方（盖章）：</w:t>
            </w:r>
            <w:r>
              <w:rPr>
                <w:rFonts w:hint="eastAsia" w:ascii="宋体" w:hAnsi="宋体" w:cs="宋体"/>
                <w:color w:val="000000" w:themeColor="text1"/>
                <w:sz w:val="24"/>
                <w:szCs w:val="24"/>
                <w:shd w:val="clear" w:color="auto" w:fill="FFFFFF"/>
                <w:lang w:val="en-US" w:eastAsia="zh-CN"/>
                <w14:textFill>
                  <w14:solidFill>
                    <w14:schemeClr w14:val="tx1"/>
                  </w14:solidFill>
                </w14:textFill>
              </w:rPr>
              <w:t>中华人民共和国</w:t>
            </w:r>
            <w:r>
              <w:rPr>
                <w:rFonts w:hint="eastAsia" w:ascii="宋体" w:hAnsi="宋体" w:eastAsia="宋体" w:cs="宋体"/>
                <w:color w:val="000000" w:themeColor="text1"/>
                <w:sz w:val="24"/>
                <w:szCs w:val="24"/>
                <w14:textFill>
                  <w14:solidFill>
                    <w14:schemeClr w14:val="tx1"/>
                  </w14:solidFill>
                </w14:textFill>
              </w:rPr>
              <w:t>新疆出入境边防检查总站</w:t>
            </w:r>
          </w:p>
        </w:tc>
        <w:tc>
          <w:tcPr>
            <w:tcW w:w="4646" w:type="dxa"/>
            <w:noWrap w:val="0"/>
            <w:vAlign w:val="top"/>
          </w:tcPr>
          <w:p w14:paraId="45590485">
            <w:pPr>
              <w:keepNext w:val="0"/>
              <w:keepLines w:val="0"/>
              <w:pageBreakBefore w:val="0"/>
              <w:widowControl w:val="0"/>
              <w:kinsoku/>
              <w:wordWrap/>
              <w:overflowPunct/>
              <w:topLinePunct w:val="0"/>
              <w:autoSpaceDE/>
              <w:autoSpaceDN/>
              <w:bidi w:val="0"/>
              <w:snapToGrid/>
              <w:spacing w:line="360" w:lineRule="auto"/>
              <w:ind w:left="0" w:leftChars="0" w:firstLine="0" w:firstLineChars="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乙方（盖章）：</w:t>
            </w:r>
          </w:p>
        </w:tc>
      </w:tr>
      <w:tr w14:paraId="111FC003">
        <w:tblPrEx>
          <w:tblCellMar>
            <w:top w:w="0" w:type="dxa"/>
            <w:left w:w="108" w:type="dxa"/>
            <w:bottom w:w="0" w:type="dxa"/>
            <w:right w:w="108" w:type="dxa"/>
          </w:tblCellMar>
        </w:tblPrEx>
        <w:trPr>
          <w:trHeight w:val="567" w:hRule="atLeast"/>
          <w:jc w:val="center"/>
        </w:trPr>
        <w:tc>
          <w:tcPr>
            <w:tcW w:w="5284" w:type="dxa"/>
            <w:noWrap w:val="0"/>
            <w:vAlign w:val="center"/>
          </w:tcPr>
          <w:p w14:paraId="6717EBB3">
            <w:pPr>
              <w:keepNext w:val="0"/>
              <w:keepLines w:val="0"/>
              <w:pageBreakBefore w:val="0"/>
              <w:widowControl w:val="0"/>
              <w:kinsoku/>
              <w:wordWrap/>
              <w:overflowPunct/>
              <w:topLinePunct w:val="0"/>
              <w:autoSpaceDE/>
              <w:autoSpaceDN/>
              <w:bidi w:val="0"/>
              <w:snapToGrid/>
              <w:spacing w:line="360" w:lineRule="auto"/>
              <w:ind w:left="0" w:leftChars="0" w:firstLine="0" w:firstLineChars="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p>
        </w:tc>
        <w:tc>
          <w:tcPr>
            <w:tcW w:w="4646" w:type="dxa"/>
            <w:noWrap w:val="0"/>
            <w:vAlign w:val="center"/>
          </w:tcPr>
          <w:p w14:paraId="0E6CA4CC">
            <w:pPr>
              <w:keepNext w:val="0"/>
              <w:keepLines w:val="0"/>
              <w:pageBreakBefore w:val="0"/>
              <w:widowControl w:val="0"/>
              <w:kinsoku/>
              <w:wordWrap/>
              <w:overflowPunct/>
              <w:topLinePunct w:val="0"/>
              <w:autoSpaceDE/>
              <w:autoSpaceDN/>
              <w:bidi w:val="0"/>
              <w:snapToGrid/>
              <w:spacing w:line="360" w:lineRule="auto"/>
              <w:ind w:left="0" w:leftChars="0" w:firstLine="0" w:firstLineChars="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法定代表人：</w:t>
            </w:r>
          </w:p>
        </w:tc>
      </w:tr>
      <w:tr w14:paraId="5AF3C4C8">
        <w:tblPrEx>
          <w:tblCellMar>
            <w:top w:w="0" w:type="dxa"/>
            <w:left w:w="108" w:type="dxa"/>
            <w:bottom w:w="0" w:type="dxa"/>
            <w:right w:w="108" w:type="dxa"/>
          </w:tblCellMar>
        </w:tblPrEx>
        <w:trPr>
          <w:trHeight w:val="654" w:hRule="atLeast"/>
          <w:jc w:val="center"/>
        </w:trPr>
        <w:tc>
          <w:tcPr>
            <w:tcW w:w="5284" w:type="dxa"/>
            <w:noWrap w:val="0"/>
            <w:vAlign w:val="center"/>
          </w:tcPr>
          <w:p w14:paraId="17B055FB">
            <w:pPr>
              <w:keepNext w:val="0"/>
              <w:keepLines w:val="0"/>
              <w:pageBreakBefore w:val="0"/>
              <w:widowControl w:val="0"/>
              <w:kinsoku/>
              <w:wordWrap/>
              <w:overflowPunct/>
              <w:topLinePunct w:val="0"/>
              <w:autoSpaceDE/>
              <w:autoSpaceDN/>
              <w:bidi w:val="0"/>
              <w:snapToGrid/>
              <w:spacing w:line="360" w:lineRule="auto"/>
              <w:ind w:left="0" w:leftChars="0" w:firstLine="0" w:firstLineChars="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甲方代表（签字）：</w:t>
            </w:r>
          </w:p>
        </w:tc>
        <w:tc>
          <w:tcPr>
            <w:tcW w:w="4646" w:type="dxa"/>
            <w:noWrap w:val="0"/>
            <w:vAlign w:val="center"/>
          </w:tcPr>
          <w:p w14:paraId="79C11B77">
            <w:pPr>
              <w:keepNext w:val="0"/>
              <w:keepLines w:val="0"/>
              <w:pageBreakBefore w:val="0"/>
              <w:widowControl w:val="0"/>
              <w:kinsoku/>
              <w:wordWrap/>
              <w:overflowPunct/>
              <w:topLinePunct w:val="0"/>
              <w:autoSpaceDE/>
              <w:autoSpaceDN/>
              <w:bidi w:val="0"/>
              <w:snapToGrid/>
              <w:spacing w:line="360" w:lineRule="auto"/>
              <w:ind w:left="0" w:leftChars="0" w:firstLine="0" w:firstLineChars="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乙方代表（签字）：</w:t>
            </w:r>
          </w:p>
        </w:tc>
      </w:tr>
      <w:tr w14:paraId="65465D8C">
        <w:tblPrEx>
          <w:tblCellMar>
            <w:top w:w="0" w:type="dxa"/>
            <w:left w:w="108" w:type="dxa"/>
            <w:bottom w:w="0" w:type="dxa"/>
            <w:right w:w="108" w:type="dxa"/>
          </w:tblCellMar>
        </w:tblPrEx>
        <w:trPr>
          <w:trHeight w:val="794" w:hRule="atLeast"/>
          <w:jc w:val="center"/>
        </w:trPr>
        <w:tc>
          <w:tcPr>
            <w:tcW w:w="5284" w:type="dxa"/>
            <w:noWrap w:val="0"/>
            <w:vAlign w:val="center"/>
          </w:tcPr>
          <w:p w14:paraId="0B524704">
            <w:pPr>
              <w:keepNext w:val="0"/>
              <w:keepLines w:val="0"/>
              <w:pageBreakBefore w:val="0"/>
              <w:widowControl w:val="0"/>
              <w:kinsoku/>
              <w:wordWrap/>
              <w:overflowPunct/>
              <w:topLinePunct w:val="0"/>
              <w:autoSpaceDE/>
              <w:autoSpaceDN/>
              <w:bidi w:val="0"/>
              <w:snapToGrid/>
              <w:spacing w:line="360" w:lineRule="auto"/>
              <w:ind w:left="0" w:leftChars="0" w:firstLine="0" w:firstLineChars="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地址：</w:t>
            </w:r>
            <w:r>
              <w:rPr>
                <w:rFonts w:hint="eastAsia" w:ascii="宋体" w:hAnsi="宋体" w:eastAsia="宋体" w:cs="宋体"/>
                <w:color w:val="000000" w:themeColor="text1"/>
                <w:sz w:val="24"/>
                <w:szCs w:val="24"/>
                <w14:textFill>
                  <w14:solidFill>
                    <w14:schemeClr w14:val="tx1"/>
                  </w14:solidFill>
                </w14:textFill>
              </w:rPr>
              <w:t>乌鲁木齐团结路1551号（新疆出入境边防检查总站）</w:t>
            </w:r>
          </w:p>
        </w:tc>
        <w:tc>
          <w:tcPr>
            <w:tcW w:w="4646" w:type="dxa"/>
            <w:noWrap w:val="0"/>
            <w:vAlign w:val="center"/>
          </w:tcPr>
          <w:p w14:paraId="214FCAC0">
            <w:pPr>
              <w:keepNext w:val="0"/>
              <w:keepLines w:val="0"/>
              <w:pageBreakBefore w:val="0"/>
              <w:widowControl w:val="0"/>
              <w:kinsoku/>
              <w:wordWrap/>
              <w:overflowPunct/>
              <w:topLinePunct w:val="0"/>
              <w:autoSpaceDE/>
              <w:autoSpaceDN/>
              <w:bidi w:val="0"/>
              <w:snapToGrid/>
              <w:spacing w:line="360" w:lineRule="auto"/>
              <w:ind w:left="0" w:leftChars="0"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地址：</w:t>
            </w:r>
          </w:p>
          <w:p w14:paraId="68364211">
            <w:pPr>
              <w:keepNext w:val="0"/>
              <w:keepLines w:val="0"/>
              <w:pageBreakBefore w:val="0"/>
              <w:widowControl w:val="0"/>
              <w:kinsoku/>
              <w:wordWrap/>
              <w:overflowPunct/>
              <w:topLinePunct w:val="0"/>
              <w:autoSpaceDE/>
              <w:autoSpaceDN/>
              <w:bidi w:val="0"/>
              <w:snapToGrid/>
              <w:spacing w:line="360" w:lineRule="auto"/>
              <w:ind w:left="0" w:leftChars="0" w:firstLine="0" w:firstLineChars="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p>
        </w:tc>
      </w:tr>
      <w:tr w14:paraId="08DB799C">
        <w:tblPrEx>
          <w:tblCellMar>
            <w:top w:w="0" w:type="dxa"/>
            <w:left w:w="108" w:type="dxa"/>
            <w:bottom w:w="0" w:type="dxa"/>
            <w:right w:w="108" w:type="dxa"/>
          </w:tblCellMar>
        </w:tblPrEx>
        <w:trPr>
          <w:trHeight w:val="432" w:hRule="atLeast"/>
          <w:jc w:val="center"/>
        </w:trPr>
        <w:tc>
          <w:tcPr>
            <w:tcW w:w="5284" w:type="dxa"/>
            <w:noWrap w:val="0"/>
            <w:vAlign w:val="center"/>
          </w:tcPr>
          <w:p w14:paraId="7C24C5BE">
            <w:pPr>
              <w:keepNext w:val="0"/>
              <w:keepLines w:val="0"/>
              <w:pageBreakBefore w:val="0"/>
              <w:widowControl w:val="0"/>
              <w:kinsoku/>
              <w:wordWrap/>
              <w:overflowPunct/>
              <w:topLinePunct w:val="0"/>
              <w:autoSpaceDE/>
              <w:autoSpaceDN/>
              <w:bidi w:val="0"/>
              <w:snapToGrid/>
              <w:spacing w:line="360" w:lineRule="auto"/>
              <w:ind w:left="0" w:leftChars="0" w:firstLine="0" w:firstLineChars="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电话：</w:t>
            </w:r>
            <w:r>
              <w:rPr>
                <w:rFonts w:hint="eastAsia" w:ascii="宋体" w:hAnsi="宋体" w:eastAsia="宋体" w:cs="宋体"/>
                <w:color w:val="000000" w:themeColor="text1"/>
                <w:sz w:val="24"/>
                <w:szCs w:val="24"/>
                <w14:textFill>
                  <w14:solidFill>
                    <w14:schemeClr w14:val="tx1"/>
                  </w14:solidFill>
                </w14:textFill>
              </w:rPr>
              <w:t>0991-8512158</w:t>
            </w:r>
          </w:p>
        </w:tc>
        <w:tc>
          <w:tcPr>
            <w:tcW w:w="4646" w:type="dxa"/>
            <w:noWrap w:val="0"/>
            <w:vAlign w:val="center"/>
          </w:tcPr>
          <w:p w14:paraId="255B9CA6">
            <w:pPr>
              <w:keepNext w:val="0"/>
              <w:keepLines w:val="0"/>
              <w:pageBreakBefore w:val="0"/>
              <w:widowControl w:val="0"/>
              <w:kinsoku/>
              <w:wordWrap/>
              <w:overflowPunct/>
              <w:topLinePunct w:val="0"/>
              <w:autoSpaceDE/>
              <w:autoSpaceDN/>
              <w:bidi w:val="0"/>
              <w:snapToGrid/>
              <w:spacing w:line="360" w:lineRule="auto"/>
              <w:ind w:left="0" w:leftChars="0"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电话： </w:t>
            </w:r>
          </w:p>
        </w:tc>
      </w:tr>
      <w:tr w14:paraId="1D8572FF">
        <w:tblPrEx>
          <w:tblCellMar>
            <w:top w:w="0" w:type="dxa"/>
            <w:left w:w="108" w:type="dxa"/>
            <w:bottom w:w="0" w:type="dxa"/>
            <w:right w:w="108" w:type="dxa"/>
          </w:tblCellMar>
        </w:tblPrEx>
        <w:trPr>
          <w:trHeight w:val="479" w:hRule="atLeast"/>
          <w:jc w:val="center"/>
        </w:trPr>
        <w:tc>
          <w:tcPr>
            <w:tcW w:w="5284" w:type="dxa"/>
            <w:noWrap w:val="0"/>
            <w:vAlign w:val="center"/>
          </w:tcPr>
          <w:p w14:paraId="08A25A3C">
            <w:pPr>
              <w:keepNext w:val="0"/>
              <w:keepLines w:val="0"/>
              <w:pageBreakBefore w:val="0"/>
              <w:widowControl w:val="0"/>
              <w:kinsoku/>
              <w:wordWrap/>
              <w:overflowPunct/>
              <w:topLinePunct w:val="0"/>
              <w:autoSpaceDE/>
              <w:autoSpaceDN/>
              <w:bidi w:val="0"/>
              <w:snapToGrid/>
              <w:spacing w:line="360" w:lineRule="auto"/>
              <w:ind w:left="0" w:leftChars="0" w:firstLine="0" w:firstLineChars="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传真：</w:t>
            </w:r>
            <w:r>
              <w:rPr>
                <w:rFonts w:hint="eastAsia" w:ascii="宋体" w:hAnsi="宋体" w:eastAsia="宋体" w:cs="宋体"/>
                <w:color w:val="000000" w:themeColor="text1"/>
                <w:sz w:val="24"/>
                <w:szCs w:val="24"/>
                <w14:textFill>
                  <w14:solidFill>
                    <w14:schemeClr w14:val="tx1"/>
                  </w14:solidFill>
                </w14:textFill>
              </w:rPr>
              <w:t>0991-8512158</w:t>
            </w:r>
          </w:p>
        </w:tc>
        <w:tc>
          <w:tcPr>
            <w:tcW w:w="4646" w:type="dxa"/>
            <w:noWrap w:val="0"/>
            <w:vAlign w:val="center"/>
          </w:tcPr>
          <w:p w14:paraId="3C80DA35">
            <w:pPr>
              <w:keepNext w:val="0"/>
              <w:keepLines w:val="0"/>
              <w:pageBreakBefore w:val="0"/>
              <w:widowControl w:val="0"/>
              <w:kinsoku/>
              <w:wordWrap/>
              <w:overflowPunct/>
              <w:topLinePunct w:val="0"/>
              <w:autoSpaceDE/>
              <w:autoSpaceDN/>
              <w:bidi w:val="0"/>
              <w:snapToGrid/>
              <w:spacing w:line="360" w:lineRule="auto"/>
              <w:ind w:left="0" w:leftChars="0"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传真：</w:t>
            </w:r>
          </w:p>
        </w:tc>
      </w:tr>
      <w:tr w14:paraId="19C6DC27">
        <w:tblPrEx>
          <w:tblCellMar>
            <w:top w:w="0" w:type="dxa"/>
            <w:left w:w="108" w:type="dxa"/>
            <w:bottom w:w="0" w:type="dxa"/>
            <w:right w:w="108" w:type="dxa"/>
          </w:tblCellMar>
        </w:tblPrEx>
        <w:trPr>
          <w:trHeight w:val="419" w:hRule="atLeast"/>
          <w:jc w:val="center"/>
        </w:trPr>
        <w:tc>
          <w:tcPr>
            <w:tcW w:w="5284" w:type="dxa"/>
            <w:noWrap w:val="0"/>
            <w:vAlign w:val="center"/>
          </w:tcPr>
          <w:p w14:paraId="4F6E46C0">
            <w:pPr>
              <w:keepNext w:val="0"/>
              <w:keepLines w:val="0"/>
              <w:pageBreakBefore w:val="0"/>
              <w:widowControl w:val="0"/>
              <w:kinsoku/>
              <w:wordWrap/>
              <w:overflowPunct/>
              <w:topLinePunct w:val="0"/>
              <w:autoSpaceDE/>
              <w:autoSpaceDN/>
              <w:bidi w:val="0"/>
              <w:snapToGrid/>
              <w:spacing w:line="360" w:lineRule="auto"/>
              <w:ind w:left="0" w:leftChars="0" w:firstLine="0" w:firstLineChars="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开户银行：</w:t>
            </w:r>
            <w:r>
              <w:rPr>
                <w:rFonts w:hint="eastAsia" w:ascii="宋体" w:hAnsi="宋体" w:eastAsia="宋体" w:cs="宋体"/>
                <w:color w:val="000000" w:themeColor="text1"/>
                <w:sz w:val="24"/>
                <w:szCs w:val="24"/>
                <w14:textFill>
                  <w14:solidFill>
                    <w14:schemeClr w14:val="tx1"/>
                  </w14:solidFill>
                </w14:textFill>
              </w:rPr>
              <w:t>中国工商银行乌鲁木齐钱塘江路支行</w:t>
            </w:r>
          </w:p>
        </w:tc>
        <w:tc>
          <w:tcPr>
            <w:tcW w:w="4646" w:type="dxa"/>
            <w:noWrap w:val="0"/>
            <w:vAlign w:val="center"/>
          </w:tcPr>
          <w:p w14:paraId="72D3746B">
            <w:pPr>
              <w:keepNext w:val="0"/>
              <w:keepLines w:val="0"/>
              <w:pageBreakBefore w:val="0"/>
              <w:widowControl w:val="0"/>
              <w:kinsoku/>
              <w:wordWrap/>
              <w:overflowPunct/>
              <w:topLinePunct w:val="0"/>
              <w:autoSpaceDE/>
              <w:autoSpaceDN/>
              <w:bidi w:val="0"/>
              <w:snapToGrid/>
              <w:spacing w:line="360" w:lineRule="auto"/>
              <w:ind w:left="0" w:leftChars="0" w:firstLine="0" w:firstLineChars="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开户银行：</w:t>
            </w:r>
          </w:p>
        </w:tc>
      </w:tr>
      <w:tr w14:paraId="46E8CC30">
        <w:tblPrEx>
          <w:tblCellMar>
            <w:top w:w="0" w:type="dxa"/>
            <w:left w:w="108" w:type="dxa"/>
            <w:bottom w:w="0" w:type="dxa"/>
            <w:right w:w="108" w:type="dxa"/>
          </w:tblCellMar>
        </w:tblPrEx>
        <w:trPr>
          <w:trHeight w:val="301" w:hRule="atLeast"/>
          <w:jc w:val="center"/>
        </w:trPr>
        <w:tc>
          <w:tcPr>
            <w:tcW w:w="5284" w:type="dxa"/>
            <w:noWrap w:val="0"/>
            <w:vAlign w:val="center"/>
          </w:tcPr>
          <w:p w14:paraId="290DEB3D">
            <w:pPr>
              <w:pageBreakBefore w:val="0"/>
              <w:kinsoku/>
              <w:wordWrap/>
              <w:overflowPunct/>
              <w:topLinePunct w:val="0"/>
              <w:bidi w:val="0"/>
              <w:snapToGrid/>
              <w:spacing w:line="360" w:lineRule="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账    号：</w:t>
            </w:r>
          </w:p>
        </w:tc>
        <w:tc>
          <w:tcPr>
            <w:tcW w:w="4646" w:type="dxa"/>
            <w:noWrap w:val="0"/>
            <w:vAlign w:val="center"/>
          </w:tcPr>
          <w:p w14:paraId="0A65B648">
            <w:pPr>
              <w:pageBreakBefore w:val="0"/>
              <w:kinsoku/>
              <w:wordWrap/>
              <w:overflowPunct/>
              <w:topLinePunct w:val="0"/>
              <w:bidi w:val="0"/>
              <w:snapToGrid/>
              <w:spacing w:line="360" w:lineRule="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 xml:space="preserve">账    号： </w:t>
            </w:r>
          </w:p>
        </w:tc>
      </w:tr>
      <w:tr w14:paraId="4BE081A9">
        <w:tblPrEx>
          <w:tblCellMar>
            <w:top w:w="0" w:type="dxa"/>
            <w:left w:w="108" w:type="dxa"/>
            <w:bottom w:w="0" w:type="dxa"/>
            <w:right w:w="108" w:type="dxa"/>
          </w:tblCellMar>
        </w:tblPrEx>
        <w:trPr>
          <w:trHeight w:val="794" w:hRule="atLeast"/>
          <w:jc w:val="center"/>
        </w:trPr>
        <w:tc>
          <w:tcPr>
            <w:tcW w:w="5284" w:type="dxa"/>
            <w:noWrap w:val="0"/>
            <w:vAlign w:val="center"/>
          </w:tcPr>
          <w:p w14:paraId="66ED67BA">
            <w:pPr>
              <w:pageBreakBefore w:val="0"/>
              <w:kinsoku/>
              <w:wordWrap/>
              <w:overflowPunct/>
              <w:topLinePunct w:val="0"/>
              <w:bidi w:val="0"/>
              <w:snapToGrid/>
              <w:spacing w:line="360" w:lineRule="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合同订立地点：乌鲁木齐团结路1551号（新疆出入境边防检查总站）</w:t>
            </w:r>
          </w:p>
        </w:tc>
        <w:tc>
          <w:tcPr>
            <w:tcW w:w="4646" w:type="dxa"/>
            <w:noWrap w:val="0"/>
            <w:vAlign w:val="center"/>
          </w:tcPr>
          <w:p w14:paraId="49A0BE4D">
            <w:pPr>
              <w:pageBreakBefore w:val="0"/>
              <w:kinsoku/>
              <w:wordWrap/>
              <w:overflowPunct/>
              <w:topLinePunct w:val="0"/>
              <w:bidi w:val="0"/>
              <w:snapToGrid/>
              <w:spacing w:line="360" w:lineRule="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合同订立地点：乌鲁木齐团结路1551号（新疆出入境边防检查总站）</w:t>
            </w:r>
          </w:p>
        </w:tc>
      </w:tr>
      <w:tr w14:paraId="467C3BA7">
        <w:tblPrEx>
          <w:tblCellMar>
            <w:top w:w="0" w:type="dxa"/>
            <w:left w:w="108" w:type="dxa"/>
            <w:bottom w:w="0" w:type="dxa"/>
            <w:right w:w="108" w:type="dxa"/>
          </w:tblCellMar>
        </w:tblPrEx>
        <w:trPr>
          <w:trHeight w:val="439" w:hRule="atLeast"/>
          <w:jc w:val="center"/>
        </w:trPr>
        <w:tc>
          <w:tcPr>
            <w:tcW w:w="5284" w:type="dxa"/>
            <w:noWrap w:val="0"/>
            <w:vAlign w:val="center"/>
          </w:tcPr>
          <w:p w14:paraId="716EA968">
            <w:pPr>
              <w:pageBreakBefore w:val="0"/>
              <w:kinsoku/>
              <w:wordWrap/>
              <w:overflowPunct/>
              <w:topLinePunct w:val="0"/>
              <w:bidi w:val="0"/>
              <w:snapToGrid/>
              <w:spacing w:line="360" w:lineRule="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合同签订日期：  年  月   日</w:t>
            </w:r>
          </w:p>
        </w:tc>
        <w:tc>
          <w:tcPr>
            <w:tcW w:w="4646" w:type="dxa"/>
            <w:noWrap w:val="0"/>
            <w:vAlign w:val="center"/>
          </w:tcPr>
          <w:p w14:paraId="1D72A395">
            <w:pPr>
              <w:pageBreakBefore w:val="0"/>
              <w:kinsoku/>
              <w:wordWrap/>
              <w:overflowPunct/>
              <w:topLinePunct w:val="0"/>
              <w:bidi w:val="0"/>
              <w:snapToGrid/>
              <w:spacing w:line="360" w:lineRule="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合同签订日期：    年  月   日</w:t>
            </w:r>
          </w:p>
        </w:tc>
      </w:tr>
    </w:tbl>
    <w:p w14:paraId="7DAF447E">
      <w:pPr>
        <w:keepNext w:val="0"/>
        <w:keepLines w:val="0"/>
        <w:pageBreakBefore w:val="0"/>
        <w:tabs>
          <w:tab w:val="left" w:pos="3060"/>
        </w:tabs>
        <w:kinsoku/>
        <w:wordWrap/>
        <w:overflowPunct/>
        <w:topLinePunct w:val="0"/>
        <w:autoSpaceDE/>
        <w:bidi w:val="0"/>
        <w:adjustRightInd/>
        <w:snapToGrid/>
        <w:spacing w:beforeAutospacing="0" w:afterAutospacing="0" w:line="400" w:lineRule="exact"/>
        <w:ind w:left="0" w:right="0" w:rightChars="0" w:firstLine="420" w:firstLineChars="200"/>
        <w:jc w:val="left"/>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br w:type="page"/>
      </w:r>
    </w:p>
    <w:p w14:paraId="1D56278C">
      <w:pPr>
        <w:rPr>
          <w:rFonts w:hint="eastAsia"/>
        </w:rPr>
      </w:pPr>
    </w:p>
    <w:p w14:paraId="434E8E27">
      <w:pPr>
        <w:rPr>
          <w:rFonts w:hint="eastAsia" w:ascii="宋体" w:hAnsi="宋体" w:eastAsia="宋体" w:cs="宋体"/>
          <w:b/>
          <w:bCs/>
          <w:sz w:val="44"/>
          <w:szCs w:val="44"/>
        </w:rPr>
      </w:pPr>
    </w:p>
    <w:p w14:paraId="5FC0084A">
      <w:pPr>
        <w:outlineLvl w:val="0"/>
        <w:rPr>
          <w:rFonts w:hint="eastAsia" w:ascii="宋体" w:hAnsi="宋体" w:eastAsia="宋体" w:cs="宋体"/>
          <w:b/>
          <w:bCs/>
          <w:sz w:val="44"/>
          <w:szCs w:val="44"/>
        </w:rPr>
      </w:pPr>
    </w:p>
    <w:p w14:paraId="6CE357CC">
      <w:pPr>
        <w:pStyle w:val="5"/>
        <w:jc w:val="center"/>
        <w:outlineLvl w:val="0"/>
        <w:rPr>
          <w:rFonts w:hint="eastAsia" w:ascii="宋体" w:hAnsi="宋体" w:eastAsia="宋体" w:cs="宋体"/>
          <w:b/>
          <w:bCs/>
          <w:sz w:val="44"/>
          <w:szCs w:val="44"/>
        </w:rPr>
      </w:pPr>
      <w:bookmarkStart w:id="424" w:name="_Toc8828"/>
      <w:r>
        <w:rPr>
          <w:rFonts w:hint="eastAsia" w:ascii="宋体" w:hAnsi="宋体" w:eastAsia="宋体" w:cs="宋体"/>
          <w:b/>
          <w:bCs/>
          <w:sz w:val="44"/>
          <w:szCs w:val="44"/>
        </w:rPr>
        <w:t>第五部分 响应文件格式</w:t>
      </w:r>
      <w:bookmarkEnd w:id="394"/>
      <w:bookmarkEnd w:id="395"/>
      <w:bookmarkEnd w:id="396"/>
      <w:bookmarkEnd w:id="397"/>
      <w:bookmarkEnd w:id="424"/>
    </w:p>
    <w:p w14:paraId="5B507C34">
      <w:pPr>
        <w:spacing w:line="360" w:lineRule="auto"/>
        <w:jc w:val="center"/>
        <w:rPr>
          <w:rFonts w:hint="eastAsia" w:ascii="宋体" w:hAnsi="宋体" w:eastAsia="宋体" w:cs="宋体"/>
          <w:b/>
          <w:bCs/>
          <w:sz w:val="36"/>
          <w:szCs w:val="36"/>
        </w:rPr>
      </w:pPr>
    </w:p>
    <w:p w14:paraId="28F6D51F">
      <w:pPr>
        <w:spacing w:line="360" w:lineRule="auto"/>
        <w:ind w:left="540"/>
        <w:jc w:val="center"/>
        <w:outlineLvl w:val="0"/>
        <w:rPr>
          <w:rFonts w:hint="eastAsia" w:ascii="宋体" w:hAnsi="宋体" w:eastAsia="宋体" w:cs="宋体"/>
          <w:sz w:val="32"/>
          <w:szCs w:val="32"/>
        </w:rPr>
      </w:pPr>
      <w:bookmarkStart w:id="425" w:name="_Toc5664"/>
      <w:bookmarkStart w:id="426" w:name="_Toc24405"/>
      <w:bookmarkStart w:id="427" w:name="_Toc20241"/>
      <w:r>
        <w:rPr>
          <w:rFonts w:hint="eastAsia" w:ascii="宋体" w:hAnsi="宋体" w:eastAsia="宋体" w:cs="宋体"/>
          <w:sz w:val="32"/>
          <w:szCs w:val="32"/>
        </w:rPr>
        <w:t>响应文件封面</w:t>
      </w:r>
      <w:bookmarkEnd w:id="425"/>
      <w:bookmarkEnd w:id="426"/>
      <w:bookmarkEnd w:id="427"/>
    </w:p>
    <w:p w14:paraId="33281056">
      <w:pPr>
        <w:spacing w:line="360" w:lineRule="auto"/>
        <w:jc w:val="right"/>
        <w:rPr>
          <w:rFonts w:hint="eastAsia" w:ascii="宋体" w:hAnsi="宋体" w:eastAsia="宋体" w:cs="宋体"/>
          <w:sz w:val="24"/>
          <w:bdr w:val="single" w:color="auto" w:sz="4" w:space="0"/>
        </w:rPr>
      </w:pPr>
      <w:r>
        <w:rPr>
          <w:rFonts w:hint="eastAsia" w:ascii="宋体" w:hAnsi="宋体" w:eastAsia="宋体" w:cs="宋体"/>
          <w:sz w:val="24"/>
          <w:bdr w:val="single" w:color="auto" w:sz="4" w:space="0"/>
        </w:rPr>
        <w:t>正本/副本</w:t>
      </w:r>
    </w:p>
    <w:p w14:paraId="6A7FCF37">
      <w:pPr>
        <w:spacing w:line="360" w:lineRule="auto"/>
        <w:ind w:firstLine="899" w:firstLineChars="281"/>
        <w:outlineLvl w:val="0"/>
        <w:rPr>
          <w:rFonts w:hint="eastAsia" w:ascii="宋体" w:hAnsi="宋体" w:eastAsia="宋体" w:cs="宋体"/>
          <w:sz w:val="32"/>
          <w:szCs w:val="32"/>
        </w:rPr>
      </w:pPr>
      <w:bookmarkStart w:id="428" w:name="_Toc20695"/>
      <w:bookmarkStart w:id="429" w:name="_Toc28934"/>
      <w:bookmarkStart w:id="430" w:name="_Toc50"/>
      <w:bookmarkStart w:id="431" w:name="_Toc19537"/>
      <w:r>
        <w:rPr>
          <w:rFonts w:hint="eastAsia" w:ascii="宋体" w:hAnsi="宋体" w:eastAsia="宋体" w:cs="宋体"/>
          <w:bCs/>
          <w:sz w:val="32"/>
          <w:szCs w:val="32"/>
        </w:rPr>
        <w:t>项目名称：</w:t>
      </w:r>
      <w:bookmarkEnd w:id="428"/>
      <w:bookmarkEnd w:id="429"/>
      <w:bookmarkEnd w:id="430"/>
      <w:bookmarkEnd w:id="431"/>
      <w:r>
        <w:rPr>
          <w:rFonts w:hint="eastAsia" w:ascii="宋体" w:hAnsi="宋体" w:eastAsia="宋体" w:cs="宋体"/>
          <w:sz w:val="32"/>
          <w:szCs w:val="32"/>
        </w:rPr>
        <w:t xml:space="preserve"> </w:t>
      </w:r>
    </w:p>
    <w:p w14:paraId="023CA2D3">
      <w:pPr>
        <w:spacing w:line="360" w:lineRule="auto"/>
        <w:ind w:firstLine="899" w:firstLineChars="281"/>
        <w:rPr>
          <w:rFonts w:hint="eastAsia" w:ascii="宋体" w:hAnsi="宋体" w:eastAsia="宋体" w:cs="宋体"/>
          <w:sz w:val="32"/>
          <w:szCs w:val="32"/>
        </w:rPr>
      </w:pPr>
    </w:p>
    <w:p w14:paraId="1F415553">
      <w:pPr>
        <w:spacing w:line="360" w:lineRule="auto"/>
        <w:ind w:firstLine="899" w:firstLineChars="281"/>
        <w:outlineLvl w:val="0"/>
        <w:rPr>
          <w:rFonts w:hint="eastAsia" w:ascii="宋体" w:hAnsi="宋体" w:eastAsia="宋体" w:cs="宋体"/>
          <w:sz w:val="32"/>
          <w:szCs w:val="32"/>
        </w:rPr>
      </w:pPr>
      <w:bookmarkStart w:id="432" w:name="_Toc2644"/>
      <w:bookmarkStart w:id="433" w:name="_Toc15870"/>
      <w:bookmarkStart w:id="434" w:name="_Toc1655"/>
      <w:bookmarkStart w:id="435" w:name="_Toc10099"/>
      <w:r>
        <w:rPr>
          <w:rFonts w:hint="eastAsia" w:ascii="宋体" w:hAnsi="宋体" w:eastAsia="宋体" w:cs="宋体"/>
          <w:sz w:val="32"/>
          <w:szCs w:val="32"/>
        </w:rPr>
        <w:t>项目编号：</w:t>
      </w:r>
      <w:bookmarkEnd w:id="432"/>
      <w:bookmarkEnd w:id="433"/>
      <w:bookmarkEnd w:id="434"/>
      <w:bookmarkEnd w:id="435"/>
    </w:p>
    <w:p w14:paraId="334812E2">
      <w:pPr>
        <w:spacing w:line="360" w:lineRule="auto"/>
        <w:ind w:firstLine="899" w:firstLineChars="281"/>
        <w:rPr>
          <w:rFonts w:hint="eastAsia" w:ascii="宋体" w:hAnsi="宋体" w:eastAsia="宋体" w:cs="宋体"/>
          <w:sz w:val="32"/>
          <w:szCs w:val="32"/>
        </w:rPr>
      </w:pPr>
    </w:p>
    <w:p w14:paraId="5EBD2AE1">
      <w:pPr>
        <w:spacing w:line="360" w:lineRule="auto"/>
        <w:ind w:firstLine="899" w:firstLineChars="281"/>
        <w:rPr>
          <w:rFonts w:hint="eastAsia" w:ascii="宋体" w:hAnsi="宋体" w:eastAsia="宋体" w:cs="宋体"/>
          <w:sz w:val="32"/>
          <w:szCs w:val="32"/>
        </w:rPr>
      </w:pPr>
    </w:p>
    <w:p w14:paraId="4D807988">
      <w:pPr>
        <w:spacing w:line="360" w:lineRule="auto"/>
        <w:jc w:val="center"/>
        <w:outlineLvl w:val="0"/>
        <w:rPr>
          <w:rFonts w:hint="eastAsia" w:ascii="宋体" w:hAnsi="宋体" w:eastAsia="宋体" w:cs="宋体"/>
          <w:b/>
          <w:sz w:val="52"/>
          <w:szCs w:val="52"/>
        </w:rPr>
      </w:pPr>
      <w:bookmarkStart w:id="436" w:name="_Toc27614"/>
      <w:bookmarkStart w:id="437" w:name="_Toc577"/>
      <w:bookmarkStart w:id="438" w:name="_Toc20902"/>
      <w:bookmarkStart w:id="439" w:name="_Toc11595"/>
      <w:r>
        <w:rPr>
          <w:rFonts w:hint="eastAsia" w:ascii="宋体" w:hAnsi="宋体" w:eastAsia="宋体" w:cs="宋体"/>
          <w:b/>
          <w:sz w:val="52"/>
          <w:szCs w:val="52"/>
        </w:rPr>
        <w:t>响 应 文 件</w:t>
      </w:r>
      <w:bookmarkEnd w:id="436"/>
      <w:bookmarkEnd w:id="437"/>
      <w:bookmarkEnd w:id="438"/>
      <w:bookmarkEnd w:id="439"/>
    </w:p>
    <w:p w14:paraId="62017501">
      <w:pPr>
        <w:spacing w:line="360" w:lineRule="auto"/>
        <w:rPr>
          <w:rFonts w:hint="eastAsia" w:ascii="宋体" w:hAnsi="宋体" w:eastAsia="宋体" w:cs="宋体"/>
          <w:sz w:val="24"/>
        </w:rPr>
      </w:pPr>
    </w:p>
    <w:p w14:paraId="6014D6E4">
      <w:pPr>
        <w:spacing w:line="360" w:lineRule="auto"/>
        <w:rPr>
          <w:rFonts w:hint="eastAsia" w:ascii="宋体" w:hAnsi="宋体" w:eastAsia="宋体" w:cs="宋体"/>
          <w:sz w:val="24"/>
        </w:rPr>
      </w:pPr>
    </w:p>
    <w:p w14:paraId="582D296F">
      <w:pPr>
        <w:spacing w:line="360" w:lineRule="auto"/>
        <w:rPr>
          <w:rFonts w:hint="eastAsia" w:ascii="宋体" w:hAnsi="宋体" w:eastAsia="宋体" w:cs="宋体"/>
          <w:sz w:val="24"/>
        </w:rPr>
      </w:pPr>
    </w:p>
    <w:p w14:paraId="43736630">
      <w:pPr>
        <w:spacing w:line="360" w:lineRule="auto"/>
        <w:rPr>
          <w:rFonts w:hint="eastAsia" w:ascii="宋体" w:hAnsi="宋体" w:eastAsia="宋体" w:cs="宋体"/>
          <w:sz w:val="24"/>
        </w:rPr>
      </w:pPr>
    </w:p>
    <w:p w14:paraId="07E3AE14">
      <w:pPr>
        <w:spacing w:line="360" w:lineRule="auto"/>
        <w:jc w:val="center"/>
        <w:outlineLvl w:val="0"/>
        <w:rPr>
          <w:rFonts w:hint="eastAsia" w:ascii="宋体" w:hAnsi="宋体" w:eastAsia="宋体" w:cs="宋体"/>
          <w:sz w:val="24"/>
        </w:rPr>
      </w:pPr>
      <w:bookmarkStart w:id="440" w:name="_Toc32239"/>
      <w:bookmarkStart w:id="441" w:name="_Toc15687"/>
      <w:bookmarkStart w:id="442" w:name="_Toc16258"/>
      <w:bookmarkStart w:id="443" w:name="_Toc19560"/>
      <w:r>
        <w:rPr>
          <w:rFonts w:hint="eastAsia" w:ascii="宋体" w:hAnsi="宋体" w:eastAsia="宋体" w:cs="宋体"/>
          <w:sz w:val="24"/>
        </w:rPr>
        <w:t>供应商：</w:t>
      </w:r>
      <w:r>
        <w:rPr>
          <w:rFonts w:hint="eastAsia" w:ascii="宋体" w:hAnsi="宋体" w:eastAsia="宋体" w:cs="宋体"/>
          <w:sz w:val="24"/>
          <w:u w:val="single"/>
        </w:rPr>
        <w:t xml:space="preserve">                              </w:t>
      </w:r>
      <w:r>
        <w:rPr>
          <w:rFonts w:hint="eastAsia" w:ascii="宋体" w:hAnsi="宋体" w:eastAsia="宋体" w:cs="宋体"/>
          <w:sz w:val="24"/>
        </w:rPr>
        <w:t>（盖单位章）</w:t>
      </w:r>
      <w:bookmarkEnd w:id="440"/>
      <w:bookmarkEnd w:id="441"/>
      <w:bookmarkEnd w:id="442"/>
      <w:bookmarkEnd w:id="443"/>
    </w:p>
    <w:p w14:paraId="21DCB271">
      <w:pPr>
        <w:spacing w:line="360" w:lineRule="auto"/>
        <w:ind w:firstLine="1440" w:firstLineChars="600"/>
        <w:rPr>
          <w:rFonts w:hint="eastAsia" w:ascii="宋体" w:hAnsi="宋体" w:eastAsia="宋体" w:cs="宋体"/>
          <w:sz w:val="24"/>
        </w:rPr>
      </w:pPr>
      <w:r>
        <w:rPr>
          <w:rFonts w:hint="eastAsia" w:ascii="宋体" w:hAnsi="宋体" w:eastAsia="宋体" w:cs="宋体"/>
          <w:sz w:val="24"/>
        </w:rPr>
        <w:t>单位地址：</w:t>
      </w:r>
      <w:r>
        <w:rPr>
          <w:rFonts w:hint="eastAsia" w:ascii="宋体" w:hAnsi="宋体" w:eastAsia="宋体" w:cs="宋体"/>
          <w:sz w:val="24"/>
          <w:u w:val="single"/>
        </w:rPr>
        <w:t xml:space="preserve">                              </w:t>
      </w:r>
    </w:p>
    <w:p w14:paraId="6C4A00CE">
      <w:pPr>
        <w:spacing w:line="360" w:lineRule="auto"/>
        <w:jc w:val="center"/>
        <w:outlineLvl w:val="0"/>
        <w:rPr>
          <w:rFonts w:hint="eastAsia" w:ascii="宋体" w:hAnsi="宋体" w:eastAsia="宋体" w:cs="宋体"/>
          <w:sz w:val="24"/>
        </w:rPr>
      </w:pPr>
      <w:r>
        <w:rPr>
          <w:rFonts w:hint="eastAsia" w:ascii="宋体" w:hAnsi="宋体" w:eastAsia="宋体" w:cs="宋体"/>
          <w:sz w:val="24"/>
        </w:rPr>
        <w:t xml:space="preserve">     </w:t>
      </w:r>
      <w:bookmarkStart w:id="444" w:name="_Toc11174"/>
      <w:bookmarkStart w:id="445" w:name="_Toc6644"/>
      <w:bookmarkStart w:id="446" w:name="_Toc16800"/>
      <w:bookmarkStart w:id="447" w:name="_Toc6360"/>
      <w:r>
        <w:rPr>
          <w:rFonts w:hint="eastAsia" w:ascii="宋体" w:hAnsi="宋体" w:eastAsia="宋体" w:cs="宋体"/>
          <w:sz w:val="24"/>
        </w:rPr>
        <w:t>法定代表人或其委托代理人：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bookmarkEnd w:id="444"/>
      <w:bookmarkEnd w:id="445"/>
      <w:bookmarkEnd w:id="446"/>
      <w:bookmarkEnd w:id="447"/>
    </w:p>
    <w:p w14:paraId="63181614">
      <w:pPr>
        <w:spacing w:line="360" w:lineRule="auto"/>
        <w:ind w:firstLine="1440" w:firstLineChars="600"/>
        <w:rPr>
          <w:rFonts w:hint="eastAsia" w:ascii="宋体" w:hAnsi="宋体" w:eastAsia="宋体" w:cs="宋体"/>
          <w:sz w:val="24"/>
          <w:u w:val="single"/>
        </w:rPr>
      </w:pPr>
      <w:r>
        <w:rPr>
          <w:rFonts w:hint="eastAsia" w:ascii="宋体" w:hAnsi="宋体" w:eastAsia="宋体" w:cs="宋体"/>
          <w:sz w:val="24"/>
        </w:rPr>
        <w:t>联系电话：</w:t>
      </w:r>
      <w:r>
        <w:rPr>
          <w:rFonts w:hint="eastAsia" w:ascii="宋体" w:hAnsi="宋体" w:eastAsia="宋体" w:cs="宋体"/>
          <w:sz w:val="24"/>
          <w:u w:val="single"/>
        </w:rPr>
        <w:t xml:space="preserve">                              </w:t>
      </w:r>
    </w:p>
    <w:p w14:paraId="1D8B039A">
      <w:pPr>
        <w:spacing w:line="360" w:lineRule="auto"/>
        <w:jc w:val="center"/>
        <w:rPr>
          <w:rFonts w:hint="eastAsia" w:ascii="宋体" w:hAnsi="宋体" w:eastAsia="宋体" w:cs="宋体"/>
          <w:sz w:val="24"/>
        </w:rPr>
      </w:pPr>
    </w:p>
    <w:p w14:paraId="0BAA1261">
      <w:pPr>
        <w:spacing w:line="360" w:lineRule="auto"/>
        <w:jc w:val="center"/>
        <w:rPr>
          <w:rFonts w:hint="eastAsia" w:ascii="宋体" w:hAnsi="宋体" w:eastAsia="宋体" w:cs="宋体"/>
          <w:sz w:val="24"/>
        </w:rPr>
      </w:pPr>
    </w:p>
    <w:p w14:paraId="105EDEAC">
      <w:pPr>
        <w:spacing w:line="360" w:lineRule="auto"/>
        <w:jc w:val="center"/>
        <w:outlineLvl w:val="0"/>
        <w:rPr>
          <w:rFonts w:hint="eastAsia" w:ascii="宋体" w:hAnsi="宋体" w:eastAsia="宋体" w:cs="宋体"/>
          <w:sz w:val="24"/>
        </w:rPr>
      </w:pPr>
      <w:r>
        <w:rPr>
          <w:rFonts w:hint="eastAsia" w:ascii="宋体" w:hAnsi="宋体" w:eastAsia="宋体" w:cs="宋体"/>
          <w:sz w:val="24"/>
          <w:u w:val="single"/>
        </w:rPr>
        <w:t xml:space="preserve">        </w:t>
      </w:r>
      <w:bookmarkStart w:id="448" w:name="_Toc21354"/>
      <w:bookmarkStart w:id="449" w:name="_Toc777"/>
      <w:bookmarkStart w:id="450" w:name="_Toc12814"/>
      <w:bookmarkStart w:id="451" w:name="_Toc28432"/>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bookmarkEnd w:id="448"/>
      <w:bookmarkEnd w:id="449"/>
      <w:bookmarkEnd w:id="450"/>
      <w:bookmarkEnd w:id="451"/>
    </w:p>
    <w:p w14:paraId="5788E472">
      <w:pPr>
        <w:spacing w:line="360" w:lineRule="auto"/>
        <w:ind w:firstLine="482" w:firstLineChars="200"/>
        <w:rPr>
          <w:rFonts w:hint="eastAsia" w:ascii="宋体" w:hAnsi="宋体" w:eastAsia="宋体" w:cs="宋体"/>
          <w:b/>
          <w:sz w:val="24"/>
        </w:rPr>
      </w:pPr>
    </w:p>
    <w:p w14:paraId="74C2654D">
      <w:pPr>
        <w:spacing w:line="360" w:lineRule="auto"/>
        <w:ind w:firstLine="643" w:firstLineChars="200"/>
        <w:jc w:val="center"/>
        <w:rPr>
          <w:rFonts w:hint="eastAsia" w:ascii="宋体" w:hAnsi="宋体" w:eastAsia="宋体" w:cs="宋体"/>
          <w:b/>
          <w:sz w:val="32"/>
          <w:szCs w:val="32"/>
        </w:rPr>
      </w:pPr>
    </w:p>
    <w:p w14:paraId="47082BD2">
      <w:pPr>
        <w:spacing w:line="360" w:lineRule="auto"/>
        <w:ind w:firstLine="643" w:firstLineChars="200"/>
        <w:jc w:val="center"/>
        <w:rPr>
          <w:rFonts w:hint="eastAsia" w:ascii="宋体" w:hAnsi="宋体" w:eastAsia="宋体" w:cs="宋体"/>
          <w:b/>
          <w:sz w:val="32"/>
          <w:szCs w:val="32"/>
        </w:rPr>
      </w:pPr>
    </w:p>
    <w:p w14:paraId="2EB3244D">
      <w:pPr>
        <w:spacing w:line="360" w:lineRule="auto"/>
        <w:ind w:firstLine="643" w:firstLineChars="200"/>
        <w:jc w:val="center"/>
        <w:rPr>
          <w:rFonts w:hint="eastAsia" w:ascii="宋体" w:hAnsi="宋体" w:eastAsia="宋体" w:cs="宋体"/>
          <w:b/>
          <w:sz w:val="32"/>
          <w:szCs w:val="32"/>
        </w:rPr>
      </w:pPr>
      <w:r>
        <w:rPr>
          <w:rFonts w:hint="eastAsia" w:ascii="宋体" w:hAnsi="宋体" w:eastAsia="宋体" w:cs="宋体"/>
          <w:b/>
          <w:sz w:val="32"/>
          <w:szCs w:val="32"/>
        </w:rPr>
        <w:t>目录</w:t>
      </w:r>
    </w:p>
    <w:p w14:paraId="6AFED7C0">
      <w:pPr>
        <w:spacing w:before="91" w:line="360" w:lineRule="auto"/>
        <w:ind w:left="14"/>
        <w:rPr>
          <w:rFonts w:hint="eastAsia" w:ascii="宋体" w:hAnsi="宋体" w:eastAsia="宋体" w:cs="宋体"/>
          <w:b/>
          <w:bCs/>
          <w:color w:val="auto"/>
          <w:sz w:val="24"/>
          <w:szCs w:val="24"/>
          <w:highlight w:val="none"/>
        </w:rPr>
      </w:pPr>
      <w:r>
        <w:rPr>
          <w:rFonts w:hint="eastAsia" w:ascii="宋体" w:hAnsi="宋体" w:eastAsia="宋体" w:cs="宋体"/>
          <w:b/>
          <w:bCs/>
          <w:color w:val="auto"/>
          <w:spacing w:val="-3"/>
          <w:sz w:val="24"/>
          <w:szCs w:val="24"/>
          <w:highlight w:val="none"/>
        </w:rPr>
        <w:t>一、价格文件</w:t>
      </w:r>
    </w:p>
    <w:p w14:paraId="57CED743">
      <w:pPr>
        <w:spacing w:before="24" w:line="360" w:lineRule="auto"/>
        <w:ind w:left="21"/>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1.1</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6"/>
          <w:sz w:val="24"/>
          <w:szCs w:val="24"/>
          <w:highlight w:val="none"/>
        </w:rPr>
        <w:t>报价一览表</w:t>
      </w:r>
    </w:p>
    <w:p w14:paraId="23597C4C">
      <w:pPr>
        <w:spacing w:before="23" w:line="360" w:lineRule="auto"/>
        <w:ind w:left="2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 xml:space="preserve">1.2 </w:t>
      </w:r>
      <w:r>
        <w:rPr>
          <w:rFonts w:hint="eastAsia" w:ascii="宋体" w:hAnsi="宋体" w:cs="宋体"/>
          <w:color w:val="auto"/>
          <w:spacing w:val="-3"/>
          <w:sz w:val="24"/>
          <w:szCs w:val="24"/>
          <w:highlight w:val="none"/>
          <w:lang w:val="en-US" w:eastAsia="zh-CN"/>
        </w:rPr>
        <w:t>报价明细表</w:t>
      </w:r>
      <w:r>
        <w:rPr>
          <w:rFonts w:hint="eastAsia" w:ascii="宋体" w:hAnsi="宋体" w:eastAsia="宋体" w:cs="宋体"/>
          <w:color w:val="auto"/>
          <w:spacing w:val="-3"/>
          <w:sz w:val="24"/>
          <w:szCs w:val="24"/>
          <w:highlight w:val="none"/>
        </w:rPr>
        <w:t>。</w:t>
      </w:r>
    </w:p>
    <w:p w14:paraId="58413BD6">
      <w:pPr>
        <w:spacing w:before="28" w:line="360" w:lineRule="auto"/>
        <w:ind w:left="18"/>
        <w:rPr>
          <w:rFonts w:hint="eastAsia" w:ascii="宋体" w:hAnsi="宋体" w:eastAsia="宋体" w:cs="宋体"/>
          <w:b/>
          <w:bCs/>
          <w:color w:val="auto"/>
          <w:sz w:val="24"/>
          <w:szCs w:val="24"/>
          <w:highlight w:val="none"/>
        </w:rPr>
      </w:pPr>
      <w:r>
        <w:rPr>
          <w:rFonts w:hint="eastAsia" w:ascii="宋体" w:hAnsi="宋体" w:eastAsia="宋体" w:cs="宋体"/>
          <w:b/>
          <w:bCs/>
          <w:color w:val="auto"/>
          <w:spacing w:val="-3"/>
          <w:sz w:val="24"/>
          <w:szCs w:val="24"/>
          <w:highlight w:val="none"/>
        </w:rPr>
        <w:t>二、资格审查资料</w:t>
      </w:r>
    </w:p>
    <w:p w14:paraId="541DEFAC">
      <w:pPr>
        <w:spacing w:before="1" w:line="360" w:lineRule="auto"/>
        <w:ind w:left="17"/>
        <w:rPr>
          <w:rFonts w:hint="eastAsia" w:ascii="宋体" w:hAnsi="宋体" w:eastAsia="宋体" w:cs="宋体"/>
          <w:b/>
          <w:bCs/>
          <w:color w:val="auto"/>
          <w:sz w:val="24"/>
          <w:szCs w:val="24"/>
          <w:highlight w:val="none"/>
        </w:rPr>
      </w:pPr>
      <w:r>
        <w:rPr>
          <w:rFonts w:hint="eastAsia" w:ascii="宋体" w:hAnsi="宋体" w:eastAsia="宋体" w:cs="宋体"/>
          <w:b/>
          <w:bCs/>
          <w:color w:val="auto"/>
          <w:spacing w:val="-3"/>
          <w:sz w:val="24"/>
          <w:szCs w:val="24"/>
          <w:highlight w:val="none"/>
        </w:rPr>
        <w:t>三、商务技术文件</w:t>
      </w:r>
    </w:p>
    <w:p w14:paraId="50CC30F8">
      <w:pPr>
        <w:spacing w:before="23" w:line="360" w:lineRule="auto"/>
        <w:ind w:left="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3.1</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4"/>
          <w:sz w:val="24"/>
          <w:szCs w:val="24"/>
          <w:highlight w:val="none"/>
          <w:lang w:eastAsia="zh-CN"/>
        </w:rPr>
        <w:t>谈判</w:t>
      </w:r>
      <w:r>
        <w:rPr>
          <w:rFonts w:hint="eastAsia" w:ascii="宋体" w:hAnsi="宋体" w:eastAsia="宋体" w:cs="宋体"/>
          <w:color w:val="auto"/>
          <w:spacing w:val="-4"/>
          <w:sz w:val="24"/>
          <w:szCs w:val="24"/>
          <w:highlight w:val="none"/>
        </w:rPr>
        <w:t>响应函</w:t>
      </w:r>
    </w:p>
    <w:p w14:paraId="14CD5DB2">
      <w:pPr>
        <w:spacing w:before="23" w:line="360" w:lineRule="auto"/>
        <w:ind w:left="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3.2</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4"/>
          <w:sz w:val="24"/>
          <w:szCs w:val="24"/>
          <w:highlight w:val="none"/>
        </w:rPr>
        <w:t>商务需求条款响应表</w:t>
      </w:r>
    </w:p>
    <w:p w14:paraId="2E3BC0E7">
      <w:pPr>
        <w:spacing w:before="27" w:line="360" w:lineRule="auto"/>
        <w:ind w:left="6"/>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3.3 拟派项目负责人及管理技术人员一览表</w:t>
      </w:r>
    </w:p>
    <w:p w14:paraId="6183DDA8">
      <w:pPr>
        <w:spacing w:before="23" w:line="360" w:lineRule="auto"/>
        <w:ind w:left="6"/>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3.4</w:t>
      </w:r>
      <w:r>
        <w:rPr>
          <w:rFonts w:hint="eastAsia" w:ascii="宋体" w:hAnsi="宋体" w:eastAsia="宋体" w:cs="宋体"/>
          <w:color w:val="auto"/>
          <w:spacing w:val="-4"/>
          <w:sz w:val="24"/>
          <w:szCs w:val="24"/>
          <w:highlight w:val="none"/>
        </w:rPr>
        <w:t>法定代表人身份证明书</w:t>
      </w:r>
    </w:p>
    <w:p w14:paraId="1C327ADB">
      <w:pPr>
        <w:spacing w:before="27" w:line="360" w:lineRule="auto"/>
        <w:ind w:left="6"/>
        <w:rPr>
          <w:rFonts w:hint="default"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3.5</w:t>
      </w:r>
      <w:r>
        <w:rPr>
          <w:rFonts w:hint="eastAsia" w:ascii="宋体" w:hAnsi="宋体" w:eastAsia="宋体" w:cs="宋体"/>
          <w:color w:val="auto"/>
          <w:spacing w:val="-1"/>
          <w:sz w:val="24"/>
          <w:szCs w:val="24"/>
          <w:highlight w:val="none"/>
        </w:rPr>
        <w:t>法定代表人授权书格式</w:t>
      </w:r>
    </w:p>
    <w:p w14:paraId="448EEC78">
      <w:pPr>
        <w:spacing w:before="27" w:line="360" w:lineRule="auto"/>
        <w:ind w:left="6"/>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3.6供应商基本情况表</w:t>
      </w:r>
    </w:p>
    <w:p w14:paraId="75F626E7">
      <w:pPr>
        <w:spacing w:before="27" w:line="360" w:lineRule="auto"/>
        <w:ind w:left="6"/>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3.7 《反商业贿赂承诺书》</w:t>
      </w:r>
    </w:p>
    <w:p w14:paraId="5B13E495">
      <w:pPr>
        <w:spacing w:before="27" w:line="360" w:lineRule="auto"/>
        <w:ind w:left="6"/>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3.8 主要股东及出资人信息</w:t>
      </w:r>
    </w:p>
    <w:p w14:paraId="56ADFE0F">
      <w:pPr>
        <w:spacing w:before="27" w:line="360" w:lineRule="auto"/>
        <w:ind w:left="6"/>
        <w:rPr>
          <w:rFonts w:hint="eastAsia" w:ascii="宋体" w:hAnsi="宋体" w:eastAsia="宋体" w:cs="宋体"/>
          <w:color w:val="auto"/>
          <w:highlight w:val="none"/>
        </w:rPr>
      </w:pPr>
      <w:r>
        <w:rPr>
          <w:rFonts w:hint="eastAsia" w:ascii="宋体" w:hAnsi="宋体" w:eastAsia="宋体" w:cs="宋体"/>
          <w:color w:val="auto"/>
          <w:spacing w:val="-1"/>
          <w:sz w:val="24"/>
          <w:szCs w:val="24"/>
          <w:highlight w:val="none"/>
        </w:rPr>
        <w:t>3.</w:t>
      </w:r>
      <w:r>
        <w:rPr>
          <w:rFonts w:hint="eastAsia" w:ascii="宋体" w:hAnsi="宋体" w:cs="宋体"/>
          <w:color w:val="auto"/>
          <w:spacing w:val="-1"/>
          <w:sz w:val="24"/>
          <w:szCs w:val="24"/>
          <w:highlight w:val="none"/>
          <w:lang w:val="en-US" w:eastAsia="zh-CN"/>
        </w:rPr>
        <w:t>9</w:t>
      </w:r>
      <w:r>
        <w:rPr>
          <w:rFonts w:hint="eastAsia" w:ascii="宋体" w:hAnsi="宋体" w:eastAsia="宋体" w:cs="宋体"/>
          <w:color w:val="auto"/>
          <w:spacing w:val="-1"/>
          <w:sz w:val="24"/>
          <w:szCs w:val="24"/>
          <w:highlight w:val="none"/>
        </w:rPr>
        <w:t xml:space="preserve"> 供应商认为需要提供的其他资料</w:t>
      </w:r>
    </w:p>
    <w:p w14:paraId="43B2419D">
      <w:pPr>
        <w:spacing w:line="256" w:lineRule="auto"/>
        <w:rPr>
          <w:rFonts w:hint="eastAsia" w:ascii="宋体" w:hAnsi="宋体" w:eastAsia="宋体" w:cs="宋体"/>
          <w:color w:val="auto"/>
          <w:sz w:val="28"/>
          <w:szCs w:val="28"/>
          <w:highlight w:val="none"/>
        </w:rPr>
        <w:sectPr>
          <w:pgSz w:w="11906" w:h="16838"/>
          <w:pgMar w:top="1417" w:right="1521" w:bottom="1347" w:left="1539" w:header="0" w:footer="1171" w:gutter="0"/>
          <w:pgNumType w:fmt="decimal"/>
          <w:cols w:space="720" w:num="1"/>
        </w:sectPr>
      </w:pPr>
    </w:p>
    <w:p w14:paraId="1CCDEDAA">
      <w:pPr>
        <w:widowControl/>
        <w:spacing w:line="360" w:lineRule="auto"/>
        <w:ind w:firstLine="422" w:firstLineChars="150"/>
        <w:jc w:val="center"/>
        <w:rPr>
          <w:rFonts w:hint="eastAsia" w:ascii="宋体" w:hAnsi="宋体" w:eastAsia="宋体" w:cs="宋体"/>
          <w:b/>
          <w:bCs/>
          <w:sz w:val="28"/>
          <w:szCs w:val="28"/>
          <w:lang w:val="en-US" w:eastAsia="zh-CN"/>
        </w:rPr>
      </w:pPr>
      <w:bookmarkStart w:id="452" w:name="_Toc20244"/>
      <w:bookmarkStart w:id="453" w:name="_Toc6306"/>
    </w:p>
    <w:p w14:paraId="459D91D2">
      <w:pPr>
        <w:widowControl/>
        <w:spacing w:line="360" w:lineRule="auto"/>
        <w:ind w:firstLine="422" w:firstLineChars="150"/>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一、</w:t>
      </w:r>
      <w:r>
        <w:rPr>
          <w:rFonts w:hint="eastAsia" w:ascii="宋体" w:hAnsi="宋体" w:cs="宋体"/>
          <w:b/>
          <w:bCs/>
          <w:sz w:val="28"/>
          <w:szCs w:val="28"/>
          <w:lang w:val="en-US" w:eastAsia="zh-CN"/>
        </w:rPr>
        <w:t>响应</w:t>
      </w:r>
      <w:r>
        <w:rPr>
          <w:rFonts w:hint="eastAsia" w:ascii="宋体" w:hAnsi="宋体" w:eastAsia="宋体" w:cs="宋体"/>
          <w:b/>
          <w:bCs/>
          <w:sz w:val="28"/>
          <w:szCs w:val="28"/>
        </w:rPr>
        <w:t>报价表</w:t>
      </w:r>
      <w:bookmarkEnd w:id="452"/>
      <w:bookmarkEnd w:id="453"/>
    </w:p>
    <w:p w14:paraId="27FC8C4B">
      <w:pPr>
        <w:spacing w:before="94" w:line="221" w:lineRule="auto"/>
        <w:ind w:left="2814"/>
        <w:rPr>
          <w:rFonts w:hint="eastAsia" w:ascii="宋体" w:hAnsi="宋体" w:eastAsia="宋体" w:cs="宋体"/>
          <w:color w:val="auto"/>
          <w:sz w:val="29"/>
          <w:szCs w:val="29"/>
          <w:highlight w:val="none"/>
        </w:rPr>
      </w:pPr>
      <w:r>
        <w:rPr>
          <w:rFonts w:hint="eastAsia" w:ascii="宋体" w:hAnsi="宋体" w:eastAsia="宋体" w:cs="宋体"/>
          <w:color w:val="auto"/>
          <w:spacing w:val="7"/>
          <w:sz w:val="29"/>
          <w:szCs w:val="29"/>
          <w:highlight w:val="none"/>
        </w:rPr>
        <w:t>1.1 报价一览表(首次报价表)</w:t>
      </w:r>
    </w:p>
    <w:tbl>
      <w:tblPr>
        <w:tblStyle w:val="82"/>
        <w:tblW w:w="88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4"/>
        <w:gridCol w:w="7305"/>
      </w:tblGrid>
      <w:tr w14:paraId="742B1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2" w:hRule="atLeast"/>
        </w:trPr>
        <w:tc>
          <w:tcPr>
            <w:tcW w:w="1504" w:type="dxa"/>
            <w:noWrap w:val="0"/>
            <w:vAlign w:val="top"/>
          </w:tcPr>
          <w:p w14:paraId="346B72DF">
            <w:pPr>
              <w:spacing w:line="407" w:lineRule="auto"/>
              <w:rPr>
                <w:rFonts w:hint="eastAsia" w:ascii="宋体" w:hAnsi="宋体" w:eastAsia="宋体" w:cs="宋体"/>
                <w:color w:val="auto"/>
                <w:sz w:val="24"/>
                <w:szCs w:val="24"/>
                <w:highlight w:val="none"/>
              </w:rPr>
            </w:pPr>
          </w:p>
          <w:p w14:paraId="5754A626">
            <w:pPr>
              <w:pStyle w:val="85"/>
              <w:spacing w:before="61" w:line="230" w:lineRule="auto"/>
              <w:ind w:left="36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项目名称</w:t>
            </w:r>
          </w:p>
        </w:tc>
        <w:tc>
          <w:tcPr>
            <w:tcW w:w="7305" w:type="dxa"/>
            <w:noWrap w:val="0"/>
            <w:vAlign w:val="top"/>
          </w:tcPr>
          <w:p w14:paraId="2ACC5081">
            <w:pPr>
              <w:rPr>
                <w:rFonts w:hint="eastAsia" w:ascii="宋体" w:hAnsi="宋体" w:eastAsia="宋体" w:cs="宋体"/>
                <w:color w:val="auto"/>
                <w:sz w:val="24"/>
                <w:szCs w:val="24"/>
                <w:highlight w:val="none"/>
              </w:rPr>
            </w:pPr>
          </w:p>
        </w:tc>
      </w:tr>
      <w:tr w14:paraId="7699F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1504" w:type="dxa"/>
            <w:noWrap w:val="0"/>
            <w:vAlign w:val="top"/>
          </w:tcPr>
          <w:p w14:paraId="07B41CC2">
            <w:pPr>
              <w:spacing w:line="404" w:lineRule="auto"/>
              <w:rPr>
                <w:rFonts w:hint="eastAsia" w:ascii="宋体" w:hAnsi="宋体" w:eastAsia="宋体" w:cs="宋体"/>
                <w:color w:val="auto"/>
                <w:sz w:val="24"/>
                <w:szCs w:val="24"/>
                <w:highlight w:val="none"/>
              </w:rPr>
            </w:pPr>
          </w:p>
          <w:p w14:paraId="02924773">
            <w:pPr>
              <w:pStyle w:val="85"/>
              <w:spacing w:before="62" w:line="233" w:lineRule="auto"/>
              <w:ind w:left="36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项目编号</w:t>
            </w:r>
          </w:p>
        </w:tc>
        <w:tc>
          <w:tcPr>
            <w:tcW w:w="7305" w:type="dxa"/>
            <w:noWrap w:val="0"/>
            <w:vAlign w:val="top"/>
          </w:tcPr>
          <w:p w14:paraId="4F2DB6CA">
            <w:pPr>
              <w:rPr>
                <w:rFonts w:hint="eastAsia" w:ascii="宋体" w:hAnsi="宋体" w:eastAsia="宋体" w:cs="宋体"/>
                <w:color w:val="auto"/>
                <w:sz w:val="24"/>
                <w:szCs w:val="24"/>
                <w:highlight w:val="none"/>
              </w:rPr>
            </w:pPr>
          </w:p>
        </w:tc>
      </w:tr>
      <w:tr w14:paraId="7D640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1504" w:type="dxa"/>
            <w:noWrap w:val="0"/>
            <w:vAlign w:val="top"/>
          </w:tcPr>
          <w:p w14:paraId="7087620B">
            <w:pPr>
              <w:spacing w:line="274" w:lineRule="auto"/>
              <w:rPr>
                <w:rFonts w:hint="eastAsia" w:ascii="宋体" w:hAnsi="宋体" w:eastAsia="宋体" w:cs="宋体"/>
                <w:color w:val="auto"/>
                <w:sz w:val="24"/>
                <w:szCs w:val="24"/>
                <w:highlight w:val="none"/>
              </w:rPr>
            </w:pPr>
          </w:p>
          <w:p w14:paraId="32DDD57B">
            <w:pPr>
              <w:pStyle w:val="85"/>
              <w:spacing w:before="62" w:line="242" w:lineRule="auto"/>
              <w:ind w:right="165"/>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lang w:eastAsia="zh-CN"/>
              </w:rPr>
              <w:t>谈判</w:t>
            </w:r>
            <w:r>
              <w:rPr>
                <w:rFonts w:hint="eastAsia" w:ascii="宋体" w:hAnsi="宋体" w:eastAsia="宋体" w:cs="宋体"/>
                <w:color w:val="auto"/>
                <w:spacing w:val="6"/>
                <w:sz w:val="24"/>
                <w:szCs w:val="24"/>
                <w:highlight w:val="none"/>
              </w:rPr>
              <w:t>报价 （人民币元）</w:t>
            </w:r>
          </w:p>
        </w:tc>
        <w:tc>
          <w:tcPr>
            <w:tcW w:w="7305" w:type="dxa"/>
            <w:noWrap w:val="0"/>
            <w:vAlign w:val="top"/>
          </w:tcPr>
          <w:p w14:paraId="4F02B6CB">
            <w:pPr>
              <w:spacing w:line="275" w:lineRule="auto"/>
              <w:rPr>
                <w:rFonts w:hint="eastAsia" w:ascii="宋体" w:hAnsi="宋体" w:eastAsia="宋体" w:cs="宋体"/>
                <w:color w:val="auto"/>
                <w:sz w:val="24"/>
                <w:szCs w:val="24"/>
                <w:highlight w:val="none"/>
              </w:rPr>
            </w:pPr>
          </w:p>
          <w:p w14:paraId="664AD7C6">
            <w:pPr>
              <w:pStyle w:val="85"/>
              <w:spacing w:before="62" w:line="259" w:lineRule="exact"/>
              <w:ind w:left="117"/>
              <w:rPr>
                <w:rFonts w:hint="eastAsia" w:ascii="宋体" w:hAnsi="宋体" w:eastAsia="宋体" w:cs="宋体"/>
                <w:color w:val="auto"/>
                <w:sz w:val="24"/>
                <w:szCs w:val="24"/>
                <w:highlight w:val="none"/>
              </w:rPr>
            </w:pPr>
            <w:r>
              <w:rPr>
                <w:rFonts w:hint="eastAsia" w:ascii="宋体" w:hAnsi="宋体" w:eastAsia="宋体" w:cs="宋体"/>
                <w:color w:val="auto"/>
                <w:spacing w:val="-7"/>
                <w:position w:val="4"/>
                <w:sz w:val="24"/>
                <w:szCs w:val="24"/>
                <w:highlight w:val="none"/>
              </w:rPr>
              <w:t>小写：</w:t>
            </w:r>
          </w:p>
          <w:p w14:paraId="79D3E0B0">
            <w:pPr>
              <w:pStyle w:val="85"/>
              <w:spacing w:line="232"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大写：</w:t>
            </w:r>
          </w:p>
        </w:tc>
      </w:tr>
      <w:tr w14:paraId="16CDE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504" w:type="dxa"/>
            <w:noWrap w:val="0"/>
            <w:vAlign w:val="top"/>
          </w:tcPr>
          <w:p w14:paraId="52D4F19E">
            <w:pPr>
              <w:pStyle w:val="85"/>
              <w:spacing w:before="62" w:line="232"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4"/>
                <w:sz w:val="24"/>
                <w:szCs w:val="24"/>
                <w:highlight w:val="none"/>
                <w:lang w:val="en-US" w:eastAsia="zh-CN"/>
              </w:rPr>
              <w:t>合同履约期限</w:t>
            </w:r>
          </w:p>
        </w:tc>
        <w:tc>
          <w:tcPr>
            <w:tcW w:w="7305" w:type="dxa"/>
            <w:noWrap w:val="0"/>
            <w:vAlign w:val="top"/>
          </w:tcPr>
          <w:p w14:paraId="07C8E69C">
            <w:pPr>
              <w:rPr>
                <w:rFonts w:hint="eastAsia" w:ascii="宋体" w:hAnsi="宋体" w:eastAsia="宋体" w:cs="宋体"/>
                <w:color w:val="auto"/>
                <w:sz w:val="24"/>
                <w:szCs w:val="24"/>
                <w:highlight w:val="none"/>
              </w:rPr>
            </w:pPr>
          </w:p>
        </w:tc>
      </w:tr>
    </w:tbl>
    <w:p w14:paraId="4E1AA8FE">
      <w:pPr>
        <w:shd w:val="clear" w:color="auto" w:fill="FFFFFF"/>
        <w:spacing w:line="360" w:lineRule="auto"/>
        <w:ind w:firstLine="480" w:firstLineChars="200"/>
        <w:rPr>
          <w:rFonts w:hint="eastAsia" w:ascii="宋体" w:hAnsi="宋体" w:eastAsia="宋体" w:cs="宋体"/>
          <w:sz w:val="24"/>
        </w:rPr>
      </w:pPr>
    </w:p>
    <w:p w14:paraId="1E6DF300">
      <w:pPr>
        <w:pStyle w:val="6"/>
        <w:spacing w:line="380" w:lineRule="exact"/>
        <w:rPr>
          <w:rFonts w:hint="eastAsia" w:ascii="宋体" w:hAnsi="宋体" w:eastAsia="宋体" w:cs="宋体"/>
        </w:rPr>
      </w:pPr>
      <w:r>
        <w:rPr>
          <w:rFonts w:hint="eastAsia" w:ascii="宋体" w:hAnsi="宋体" w:eastAsia="宋体" w:cs="宋体"/>
          <w:b/>
          <w:bCs/>
        </w:rPr>
        <w:t xml:space="preserve">注: </w:t>
      </w:r>
      <w:r>
        <w:rPr>
          <w:rFonts w:hint="eastAsia" w:ascii="宋体" w:hAnsi="宋体" w:eastAsia="宋体" w:cs="宋体"/>
        </w:rPr>
        <w:t>1、报价一经涂改，应在涂改处加盖单位公章或者由法定代表人或授权委托人签字或盖章，否则其</w:t>
      </w:r>
      <w:r>
        <w:rPr>
          <w:rFonts w:hint="eastAsia" w:ascii="宋体" w:hAnsi="宋体" w:cs="宋体"/>
          <w:lang w:val="en-US" w:eastAsia="zh-CN"/>
        </w:rPr>
        <w:t>响应文件</w:t>
      </w:r>
      <w:r>
        <w:rPr>
          <w:rFonts w:hint="eastAsia" w:ascii="宋体" w:hAnsi="宋体" w:eastAsia="宋体" w:cs="宋体"/>
        </w:rPr>
        <w:t>作无效标处理。</w:t>
      </w:r>
    </w:p>
    <w:p w14:paraId="69781D73">
      <w:pPr>
        <w:pStyle w:val="50"/>
        <w:spacing w:line="500" w:lineRule="exact"/>
        <w:ind w:firstLine="480" w:firstLineChars="200"/>
        <w:jc w:val="both"/>
        <w:rPr>
          <w:rFonts w:hint="eastAsia" w:ascii="宋体" w:hAnsi="宋体" w:eastAsia="宋体" w:cs="宋体"/>
        </w:rPr>
      </w:pPr>
      <w:r>
        <w:rPr>
          <w:rFonts w:hint="eastAsia" w:ascii="宋体" w:hAnsi="宋体" w:eastAsia="宋体" w:cs="宋体"/>
        </w:rPr>
        <w:t>2、报价包括项目实施所需的设备费、运输费、税费及其他一切费用。</w:t>
      </w:r>
    </w:p>
    <w:p w14:paraId="4CEE70C3">
      <w:pPr>
        <w:pStyle w:val="50"/>
        <w:spacing w:line="500" w:lineRule="exact"/>
        <w:ind w:firstLine="480" w:firstLineChars="200"/>
        <w:jc w:val="both"/>
        <w:rPr>
          <w:rFonts w:hint="eastAsia" w:ascii="宋体" w:hAnsi="宋体" w:eastAsia="宋体" w:cs="宋体"/>
        </w:rPr>
      </w:pPr>
      <w:r>
        <w:rPr>
          <w:rFonts w:hint="eastAsia" w:ascii="宋体" w:hAnsi="宋体" w:eastAsia="宋体" w:cs="宋体"/>
        </w:rPr>
        <w:t>3、</w:t>
      </w:r>
      <w:r>
        <w:rPr>
          <w:rFonts w:hint="eastAsia" w:ascii="宋体" w:hAnsi="宋体" w:cs="宋体"/>
          <w:lang w:val="en-US" w:eastAsia="zh-CN"/>
        </w:rPr>
        <w:t>响应</w:t>
      </w:r>
      <w:r>
        <w:rPr>
          <w:rFonts w:hint="eastAsia" w:ascii="宋体" w:hAnsi="宋体" w:eastAsia="宋体" w:cs="宋体"/>
        </w:rPr>
        <w:t>文件中报价一览表（报价表）内容与</w:t>
      </w:r>
      <w:r>
        <w:rPr>
          <w:rFonts w:hint="eastAsia" w:ascii="宋体" w:hAnsi="宋体" w:cs="宋体"/>
          <w:lang w:val="en-US" w:eastAsia="zh-CN"/>
        </w:rPr>
        <w:t>响应</w:t>
      </w:r>
      <w:r>
        <w:rPr>
          <w:rFonts w:hint="eastAsia" w:ascii="宋体" w:hAnsi="宋体" w:eastAsia="宋体" w:cs="宋体"/>
        </w:rPr>
        <w:t>文件中相应内容不一致的，以报价一览表（报价表）为准；</w:t>
      </w:r>
    </w:p>
    <w:p w14:paraId="58256294">
      <w:pPr>
        <w:pStyle w:val="50"/>
        <w:spacing w:line="500" w:lineRule="exact"/>
        <w:ind w:firstLine="480" w:firstLineChars="200"/>
        <w:jc w:val="both"/>
        <w:rPr>
          <w:rFonts w:hint="eastAsia" w:ascii="宋体" w:hAnsi="宋体" w:eastAsia="宋体" w:cs="宋体"/>
        </w:rPr>
      </w:pPr>
      <w:r>
        <w:rPr>
          <w:rFonts w:hint="eastAsia" w:ascii="宋体" w:hAnsi="宋体" w:eastAsia="宋体" w:cs="宋体"/>
        </w:rPr>
        <w:t>4、大写金额和小写金额不一致的，以大写金额为准；</w:t>
      </w:r>
    </w:p>
    <w:p w14:paraId="2301B4BD">
      <w:pPr>
        <w:pStyle w:val="50"/>
        <w:spacing w:line="500" w:lineRule="exact"/>
        <w:ind w:firstLine="480" w:firstLineChars="200"/>
        <w:jc w:val="both"/>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b/>
          <w:bCs/>
        </w:rPr>
        <w:t>总报价不得超出本项目</w:t>
      </w:r>
      <w:r>
        <w:rPr>
          <w:rFonts w:hint="eastAsia" w:ascii="宋体" w:hAnsi="宋体" w:eastAsia="宋体" w:cs="宋体"/>
          <w:b/>
          <w:bCs/>
          <w:lang w:val="en-US" w:eastAsia="zh-CN"/>
        </w:rPr>
        <w:t>最高限价</w:t>
      </w:r>
      <w:r>
        <w:rPr>
          <w:rFonts w:hint="eastAsia" w:ascii="宋体" w:hAnsi="宋体" w:eastAsia="宋体" w:cs="宋体"/>
          <w:b/>
          <w:bCs/>
        </w:rPr>
        <w:t>，否则视作无效响应文件</w:t>
      </w:r>
      <w:r>
        <w:rPr>
          <w:rFonts w:hint="eastAsia" w:ascii="宋体" w:hAnsi="宋体" w:eastAsia="宋体" w:cs="宋体"/>
        </w:rPr>
        <w:t>。</w:t>
      </w:r>
    </w:p>
    <w:p w14:paraId="2D3321AC">
      <w:pPr>
        <w:pStyle w:val="50"/>
        <w:spacing w:line="500" w:lineRule="exact"/>
        <w:ind w:firstLine="480" w:firstLineChars="200"/>
        <w:jc w:val="both"/>
        <w:rPr>
          <w:rFonts w:hint="eastAsia" w:ascii="宋体" w:hAnsi="宋体" w:eastAsia="宋体" w:cs="宋体"/>
          <w:sz w:val="24"/>
        </w:rPr>
      </w:pPr>
      <w:r>
        <w:rPr>
          <w:rFonts w:hint="eastAsia" w:ascii="宋体" w:hAnsi="宋体" w:eastAsia="宋体" w:cs="宋体"/>
          <w:sz w:val="24"/>
        </w:rPr>
        <w:t>供应商（盖公章）：</w:t>
      </w:r>
    </w:p>
    <w:p w14:paraId="615F7242">
      <w:pPr>
        <w:shd w:val="clear" w:color="auto" w:fill="FFFFFF"/>
        <w:tabs>
          <w:tab w:val="left" w:pos="3780"/>
        </w:tabs>
        <w:spacing w:line="360" w:lineRule="auto"/>
        <w:ind w:firstLine="480" w:firstLineChars="200"/>
        <w:rPr>
          <w:rFonts w:hint="eastAsia" w:ascii="宋体" w:hAnsi="宋体" w:eastAsia="宋体" w:cs="宋体"/>
          <w:sz w:val="24"/>
        </w:rPr>
      </w:pPr>
      <w:r>
        <w:rPr>
          <w:rFonts w:hint="eastAsia" w:ascii="宋体" w:hAnsi="宋体" w:eastAsia="宋体" w:cs="宋体"/>
          <w:sz w:val="24"/>
        </w:rPr>
        <w:t>法定代表人（签字或盖章）：</w:t>
      </w:r>
    </w:p>
    <w:p w14:paraId="7C0DCE77">
      <w:pPr>
        <w:shd w:val="clear" w:color="auto" w:fill="FFFFFF"/>
        <w:tabs>
          <w:tab w:val="left" w:pos="3780"/>
        </w:tabs>
        <w:spacing w:line="360" w:lineRule="auto"/>
        <w:ind w:firstLine="480" w:firstLineChars="200"/>
        <w:rPr>
          <w:rFonts w:hint="eastAsia" w:ascii="宋体" w:hAnsi="宋体" w:eastAsia="宋体" w:cs="宋体"/>
          <w:sz w:val="24"/>
        </w:rPr>
      </w:pPr>
      <w:r>
        <w:rPr>
          <w:rFonts w:hint="eastAsia" w:ascii="宋体" w:hAnsi="宋体" w:eastAsia="宋体" w:cs="宋体"/>
          <w:sz w:val="24"/>
        </w:rPr>
        <w:t>授权代理人（签字）：</w:t>
      </w:r>
    </w:p>
    <w:p w14:paraId="4096CFEE">
      <w:pPr>
        <w:shd w:val="clear" w:color="auto" w:fill="FFFFFF"/>
        <w:tabs>
          <w:tab w:val="left" w:pos="3780"/>
        </w:tabs>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日期： 年  月  日</w:t>
      </w:r>
    </w:p>
    <w:p w14:paraId="39C8EEF9">
      <w:pPr>
        <w:shd w:val="clear" w:color="auto" w:fill="FFFFFF"/>
        <w:tabs>
          <w:tab w:val="left" w:pos="3780"/>
        </w:tabs>
        <w:spacing w:line="360" w:lineRule="auto"/>
        <w:ind w:firstLine="5400" w:firstLineChars="2250"/>
        <w:rPr>
          <w:rFonts w:hint="eastAsia" w:ascii="宋体" w:hAnsi="宋体" w:eastAsia="宋体" w:cs="宋体"/>
          <w:sz w:val="24"/>
        </w:rPr>
        <w:sectPr>
          <w:footerReference r:id="rId8" w:type="default"/>
          <w:pgSz w:w="11906" w:h="16838"/>
          <w:pgMar w:top="1417" w:right="1785" w:bottom="1347" w:left="1544" w:header="0" w:footer="1171" w:gutter="0"/>
          <w:pgNumType w:fmt="decimal"/>
          <w:cols w:space="720" w:num="1"/>
        </w:sectPr>
      </w:pPr>
    </w:p>
    <w:p w14:paraId="6D5617EB">
      <w:pPr>
        <w:spacing w:before="95" w:line="227" w:lineRule="auto"/>
        <w:jc w:val="center"/>
        <w:rPr>
          <w:rFonts w:hint="default" w:ascii="宋体" w:hAnsi="宋体" w:eastAsia="宋体" w:cs="宋体"/>
          <w:color w:val="auto"/>
          <w:sz w:val="29"/>
          <w:szCs w:val="29"/>
          <w:highlight w:val="none"/>
          <w:lang w:val="en-US" w:eastAsia="zh-CN"/>
        </w:rPr>
      </w:pPr>
      <w:r>
        <w:rPr>
          <w:rFonts w:hint="eastAsia" w:ascii="宋体" w:hAnsi="宋体" w:eastAsia="宋体" w:cs="宋体"/>
          <w:color w:val="auto"/>
          <w:spacing w:val="6"/>
          <w:sz w:val="29"/>
          <w:szCs w:val="29"/>
          <w:highlight w:val="none"/>
        </w:rPr>
        <w:t xml:space="preserve">1.2 </w:t>
      </w:r>
      <w:r>
        <w:rPr>
          <w:rFonts w:hint="eastAsia" w:ascii="宋体" w:hAnsi="宋体" w:cs="宋体"/>
          <w:color w:val="auto"/>
          <w:spacing w:val="6"/>
          <w:sz w:val="29"/>
          <w:szCs w:val="29"/>
          <w:highlight w:val="none"/>
          <w:lang w:val="en-US" w:eastAsia="zh-CN"/>
        </w:rPr>
        <w:t>报价明细表</w:t>
      </w:r>
    </w:p>
    <w:p w14:paraId="113DD0CE">
      <w:pPr>
        <w:rPr>
          <w:rFonts w:hint="eastAsia" w:ascii="宋体" w:hAnsi="宋体" w:eastAsia="宋体" w:cs="宋体"/>
          <w:sz w:val="24"/>
        </w:rPr>
      </w:pPr>
    </w:p>
    <w:p w14:paraId="7CC33887">
      <w:pPr>
        <w:spacing w:before="144" w:line="439" w:lineRule="exact"/>
        <w:jc w:val="left"/>
        <w:rPr>
          <w:rFonts w:hint="eastAsia" w:ascii="宋体" w:hAnsi="宋体" w:eastAsia="宋体" w:cs="宋体"/>
          <w:color w:val="auto"/>
          <w:spacing w:val="6"/>
          <w:sz w:val="29"/>
          <w:szCs w:val="29"/>
          <w:highlight w:val="none"/>
        </w:rPr>
      </w:pPr>
      <w:r>
        <w:rPr>
          <w:rFonts w:hint="eastAsia" w:ascii="宋体" w:hAnsi="宋体" w:cs="宋体"/>
          <w:color w:val="auto"/>
          <w:spacing w:val="7"/>
          <w:position w:val="15"/>
          <w:sz w:val="23"/>
          <w:szCs w:val="23"/>
          <w:highlight w:val="none"/>
          <w:lang w:val="en-US" w:eastAsia="zh-CN"/>
        </w:rPr>
        <w:t>注：</w:t>
      </w:r>
      <w:r>
        <w:rPr>
          <w:rFonts w:hint="eastAsia" w:ascii="宋体" w:hAnsi="宋体" w:eastAsia="宋体" w:cs="宋体"/>
          <w:color w:val="auto"/>
          <w:spacing w:val="7"/>
          <w:position w:val="15"/>
          <w:sz w:val="23"/>
          <w:szCs w:val="23"/>
          <w:highlight w:val="none"/>
        </w:rPr>
        <w:t>此表为《报价一览表(首次报价表)》的报价明细表</w:t>
      </w:r>
      <w:r>
        <w:rPr>
          <w:rFonts w:hint="eastAsia" w:ascii="宋体" w:hAnsi="宋体" w:eastAsia="宋体" w:cs="宋体"/>
          <w:color w:val="auto"/>
          <w:spacing w:val="-58"/>
          <w:position w:val="15"/>
          <w:sz w:val="23"/>
          <w:szCs w:val="23"/>
          <w:highlight w:val="none"/>
        </w:rPr>
        <w:t xml:space="preserve"> </w:t>
      </w:r>
      <w:r>
        <w:rPr>
          <w:rFonts w:hint="eastAsia" w:ascii="宋体" w:hAnsi="宋体" w:cs="宋体"/>
          <w:color w:val="auto"/>
          <w:spacing w:val="-58"/>
          <w:position w:val="15"/>
          <w:sz w:val="23"/>
          <w:szCs w:val="23"/>
          <w:highlight w:val="none"/>
          <w:lang w:eastAsia="zh-CN"/>
        </w:rPr>
        <w:t>。</w:t>
      </w:r>
    </w:p>
    <w:tbl>
      <w:tblPr>
        <w:tblStyle w:val="25"/>
        <w:tblW w:w="14532" w:type="dxa"/>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749"/>
        <w:gridCol w:w="2411"/>
        <w:gridCol w:w="4307"/>
        <w:gridCol w:w="1830"/>
        <w:gridCol w:w="780"/>
        <w:gridCol w:w="990"/>
        <w:gridCol w:w="1605"/>
        <w:gridCol w:w="1215"/>
      </w:tblGrid>
      <w:tr w14:paraId="3D03D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4B2E504F">
            <w:pP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sz w:val="24"/>
              </w:rPr>
              <w:br w:type="page"/>
            </w:r>
            <w:r>
              <w:rPr>
                <w:rFonts w:hint="eastAsia" w:ascii="宋体" w:hAnsi="宋体" w:eastAsia="宋体" w:cs="宋体"/>
                <w:b/>
                <w:bCs/>
                <w:color w:val="auto"/>
                <w:kern w:val="2"/>
                <w:sz w:val="24"/>
                <w:szCs w:val="24"/>
                <w:highlight w:val="none"/>
                <w:vertAlign w:val="baseline"/>
                <w:lang w:val="en-US" w:eastAsia="zh-CN" w:bidi="ar-SA"/>
              </w:rPr>
              <w:t>序号</w:t>
            </w:r>
          </w:p>
        </w:tc>
        <w:tc>
          <w:tcPr>
            <w:tcW w:w="749" w:type="dxa"/>
            <w:vAlign w:val="center"/>
          </w:tcPr>
          <w:p w14:paraId="684444A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服务类型</w:t>
            </w:r>
          </w:p>
        </w:tc>
        <w:tc>
          <w:tcPr>
            <w:tcW w:w="2411" w:type="dxa"/>
            <w:vAlign w:val="center"/>
          </w:tcPr>
          <w:p w14:paraId="73F3C778">
            <w:pPr>
              <w:keepNext w:val="0"/>
              <w:keepLines w:val="0"/>
              <w:widowControl/>
              <w:suppressLineNumbers w:val="0"/>
              <w:jc w:val="center"/>
              <w:textAlignment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i w:val="0"/>
                <w:iCs w:val="0"/>
                <w:color w:val="000000"/>
                <w:kern w:val="0"/>
                <w:sz w:val="18"/>
                <w:szCs w:val="18"/>
                <w:u w:val="none"/>
                <w:lang w:val="en-US" w:eastAsia="zh-CN" w:bidi="ar"/>
              </w:rPr>
              <w:t>服务内容</w:t>
            </w:r>
          </w:p>
        </w:tc>
        <w:tc>
          <w:tcPr>
            <w:tcW w:w="4307" w:type="dxa"/>
            <w:vAlign w:val="center"/>
          </w:tcPr>
          <w:p w14:paraId="7395A339">
            <w:pPr>
              <w:keepNext w:val="0"/>
              <w:keepLines w:val="0"/>
              <w:widowControl/>
              <w:suppressLineNumbers w:val="0"/>
              <w:jc w:val="center"/>
              <w:textAlignment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i w:val="0"/>
                <w:iCs w:val="0"/>
                <w:color w:val="000000"/>
                <w:kern w:val="0"/>
                <w:sz w:val="18"/>
                <w:szCs w:val="18"/>
                <w:u w:val="none"/>
                <w:lang w:val="en-US" w:eastAsia="zh-CN" w:bidi="ar"/>
              </w:rPr>
              <w:t>服务方式</w:t>
            </w:r>
          </w:p>
        </w:tc>
        <w:tc>
          <w:tcPr>
            <w:tcW w:w="1830" w:type="dxa"/>
            <w:vAlign w:val="center"/>
          </w:tcPr>
          <w:p w14:paraId="73160D57">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ascii="宋体" w:hAnsi="宋体" w:eastAsia="宋体" w:cs="宋体"/>
                <w:b/>
                <w:bCs/>
                <w:spacing w:val="-4"/>
                <w:sz w:val="18"/>
                <w:szCs w:val="18"/>
              </w:rPr>
              <w:t>服务范围</w:t>
            </w:r>
          </w:p>
        </w:tc>
        <w:tc>
          <w:tcPr>
            <w:tcW w:w="780" w:type="dxa"/>
            <w:vAlign w:val="center"/>
          </w:tcPr>
          <w:p w14:paraId="5CE9598B">
            <w:pPr>
              <w:keepNext w:val="0"/>
              <w:keepLines w:val="0"/>
              <w:widowControl/>
              <w:suppressLineNumbers w:val="0"/>
              <w:jc w:val="center"/>
              <w:textAlignment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i w:val="0"/>
                <w:iCs w:val="0"/>
                <w:color w:val="000000"/>
                <w:kern w:val="0"/>
                <w:sz w:val="18"/>
                <w:szCs w:val="18"/>
                <w:u w:val="none"/>
                <w:lang w:val="en-US" w:eastAsia="zh-CN" w:bidi="ar"/>
              </w:rPr>
              <w:t>单位</w:t>
            </w:r>
          </w:p>
        </w:tc>
        <w:tc>
          <w:tcPr>
            <w:tcW w:w="990" w:type="dxa"/>
            <w:vAlign w:val="center"/>
          </w:tcPr>
          <w:p w14:paraId="01A1092A">
            <w:pPr>
              <w:keepNext w:val="0"/>
              <w:keepLines w:val="0"/>
              <w:widowControl/>
              <w:suppressLineNumbers w:val="0"/>
              <w:jc w:val="center"/>
              <w:textAlignment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i w:val="0"/>
                <w:iCs w:val="0"/>
                <w:color w:val="000000"/>
                <w:kern w:val="0"/>
                <w:sz w:val="18"/>
                <w:szCs w:val="18"/>
                <w:u w:val="none"/>
                <w:lang w:val="en-US" w:eastAsia="zh-CN" w:bidi="ar"/>
              </w:rPr>
              <w:t>数量</w:t>
            </w:r>
          </w:p>
        </w:tc>
        <w:tc>
          <w:tcPr>
            <w:tcW w:w="1605" w:type="dxa"/>
            <w:vAlign w:val="center"/>
          </w:tcPr>
          <w:p w14:paraId="4FD72DB5">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投标报价（元）</w:t>
            </w:r>
          </w:p>
        </w:tc>
        <w:tc>
          <w:tcPr>
            <w:tcW w:w="1215" w:type="dxa"/>
            <w:vAlign w:val="center"/>
          </w:tcPr>
          <w:p w14:paraId="0C14EE94">
            <w:pPr>
              <w:keepNext w:val="0"/>
              <w:keepLines w:val="0"/>
              <w:widowControl/>
              <w:suppressLineNumbers w:val="0"/>
              <w:jc w:val="center"/>
              <w:textAlignment w:val="center"/>
              <w:rPr>
                <w:rFonts w:hint="default" w:ascii="宋体" w:hAnsi="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备注</w:t>
            </w:r>
          </w:p>
        </w:tc>
      </w:tr>
      <w:tr w14:paraId="4317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4677A0E6">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w:t>
            </w:r>
          </w:p>
        </w:tc>
        <w:tc>
          <w:tcPr>
            <w:tcW w:w="749" w:type="dxa"/>
            <w:vMerge w:val="restart"/>
            <w:vAlign w:val="center"/>
          </w:tcPr>
          <w:p w14:paraId="547BE2A3">
            <w:pPr>
              <w:numPr>
                <w:ilvl w:val="0"/>
                <w:numId w:val="0"/>
              </w:numPr>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i w:val="0"/>
                <w:iCs w:val="0"/>
                <w:color w:val="000000"/>
                <w:kern w:val="2"/>
                <w:sz w:val="18"/>
                <w:szCs w:val="18"/>
                <w:u w:val="none"/>
                <w:lang w:val="en-US" w:eastAsia="zh-CN" w:bidi="ar-SA"/>
              </w:rPr>
              <w:t>安全运维和系统加固服务</w:t>
            </w:r>
          </w:p>
        </w:tc>
        <w:tc>
          <w:tcPr>
            <w:tcW w:w="2411" w:type="dxa"/>
            <w:shd w:val="clear" w:color="auto" w:fill="auto"/>
            <w:vAlign w:val="center"/>
          </w:tcPr>
          <w:p w14:paraId="12E8D1B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协助总站定期对公安网网络设备、安全设备(防火墙、IPS、洞扫描杀毒软件、堡垒机、安全态势系统等)存储系统运行状态进行检查和梳理，对申报的网络设备故障提供现场或远程支持，修复故障，提供报告。针对当前网络设备运行情况，给出优化建议并实施。</w:t>
            </w:r>
          </w:p>
        </w:tc>
        <w:tc>
          <w:tcPr>
            <w:tcW w:w="4307" w:type="dxa"/>
            <w:shd w:val="clear" w:color="auto" w:fill="auto"/>
            <w:vAlign w:val="center"/>
          </w:tcPr>
          <w:p w14:paraId="516C5DA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1.安全和网络设备日志记录检查:配置文件备份检查、记录、数据的备份检查、IP地址分配、端口、IP地址调整等日常维护报告生成并提交。</w:t>
            </w:r>
          </w:p>
          <w:p w14:paraId="06341D42">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2.故障处理:故障的排除、恢复并提交故障处理报告。</w:t>
            </w:r>
          </w:p>
          <w:p w14:paraId="567C264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3.实时监控:线路连接状态监控、设备供电状态监控、设备状态灯监控、设备风扇状态监控、网络丢包率、CPU使用率、内存使用率、网络连通性监控、网络延时监控、网络设备端口/链路流量监控等。</w:t>
            </w:r>
          </w:p>
          <w:p w14:paraId="0A38757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4.系统优化:评估网络运行状况、网络性能瓶颈原因分析、网络设备策略/配置优化方案、网络设备升级、制作网络架构图。5.系统定期按要求完成数据备份工作和安全设备特征库更新工作。</w:t>
            </w:r>
          </w:p>
          <w:p w14:paraId="7AD1515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6.协助用户按单位定期更换存储系统登录密码，定期对存储系统安全等级评测，服务规范要求。</w:t>
            </w:r>
          </w:p>
        </w:tc>
        <w:tc>
          <w:tcPr>
            <w:tcW w:w="1830" w:type="dxa"/>
            <w:vAlign w:val="top"/>
          </w:tcPr>
          <w:p w14:paraId="42FBC3E4">
            <w:pPr>
              <w:pStyle w:val="85"/>
              <w:spacing w:line="287" w:lineRule="auto"/>
            </w:pPr>
          </w:p>
          <w:p w14:paraId="2512C5A2">
            <w:pPr>
              <w:pStyle w:val="85"/>
              <w:spacing w:line="288" w:lineRule="auto"/>
            </w:pPr>
          </w:p>
          <w:p w14:paraId="7D11FD7A">
            <w:pPr>
              <w:pStyle w:val="85"/>
              <w:spacing w:line="288" w:lineRule="auto"/>
            </w:pPr>
          </w:p>
          <w:p w14:paraId="31FA3D56">
            <w:pPr>
              <w:pStyle w:val="85"/>
              <w:spacing w:line="288" w:lineRule="auto"/>
            </w:pPr>
          </w:p>
          <w:p w14:paraId="3CAFCFB4">
            <w:pPr>
              <w:spacing w:before="58" w:line="237" w:lineRule="auto"/>
              <w:ind w:left="17" w:leftChars="0"/>
              <w:jc w:val="both"/>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spacing w:val="-2"/>
                <w:sz w:val="18"/>
                <w:szCs w:val="18"/>
              </w:rPr>
              <w:t>每月对公安网网络安全</w:t>
            </w:r>
            <w:r>
              <w:rPr>
                <w:rFonts w:ascii="宋体" w:hAnsi="宋体" w:eastAsia="宋体" w:cs="宋体"/>
                <w:spacing w:val="2"/>
                <w:sz w:val="18"/>
                <w:szCs w:val="18"/>
              </w:rPr>
              <w:t xml:space="preserve">  </w:t>
            </w:r>
            <w:r>
              <w:rPr>
                <w:rFonts w:ascii="宋体" w:hAnsi="宋体" w:eastAsia="宋体" w:cs="宋体"/>
                <w:spacing w:val="8"/>
                <w:sz w:val="18"/>
                <w:szCs w:val="18"/>
              </w:rPr>
              <w:t>设备进行检查、监测、</w:t>
            </w:r>
            <w:r>
              <w:rPr>
                <w:rFonts w:ascii="宋体" w:hAnsi="宋体" w:eastAsia="宋体" w:cs="宋体"/>
                <w:sz w:val="18"/>
                <w:szCs w:val="18"/>
              </w:rPr>
              <w:t xml:space="preserve"> </w:t>
            </w:r>
            <w:r>
              <w:rPr>
                <w:rFonts w:ascii="宋体" w:hAnsi="宋体" w:eastAsia="宋体" w:cs="宋体"/>
                <w:spacing w:val="-2"/>
                <w:sz w:val="18"/>
                <w:szCs w:val="18"/>
              </w:rPr>
              <w:t>清洁。出现故障及时修</w:t>
            </w:r>
            <w:r>
              <w:rPr>
                <w:rFonts w:ascii="宋体" w:hAnsi="宋体" w:eastAsia="宋体" w:cs="宋体"/>
                <w:spacing w:val="2"/>
                <w:sz w:val="18"/>
                <w:szCs w:val="18"/>
              </w:rPr>
              <w:t xml:space="preserve">  </w:t>
            </w:r>
            <w:r>
              <w:rPr>
                <w:rFonts w:ascii="宋体" w:hAnsi="宋体" w:eastAsia="宋体" w:cs="宋体"/>
                <w:sz w:val="18"/>
                <w:szCs w:val="18"/>
              </w:rPr>
              <w:t>复，数据保全完整，需</w:t>
            </w:r>
            <w:r>
              <w:rPr>
                <w:rFonts w:ascii="宋体" w:hAnsi="宋体" w:eastAsia="宋体" w:cs="宋体"/>
                <w:spacing w:val="1"/>
                <w:sz w:val="18"/>
                <w:szCs w:val="18"/>
              </w:rPr>
              <w:t xml:space="preserve">  </w:t>
            </w:r>
            <w:r>
              <w:rPr>
                <w:rFonts w:ascii="宋体" w:hAnsi="宋体" w:eastAsia="宋体" w:cs="宋体"/>
                <w:spacing w:val="-1"/>
                <w:sz w:val="18"/>
                <w:szCs w:val="18"/>
              </w:rPr>
              <w:t>求及时完成。</w:t>
            </w:r>
          </w:p>
        </w:tc>
        <w:tc>
          <w:tcPr>
            <w:tcW w:w="780" w:type="dxa"/>
            <w:vMerge w:val="restart"/>
            <w:vAlign w:val="center"/>
          </w:tcPr>
          <w:p w14:paraId="020ED46E">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年</w:t>
            </w:r>
          </w:p>
        </w:tc>
        <w:tc>
          <w:tcPr>
            <w:tcW w:w="990" w:type="dxa"/>
            <w:vMerge w:val="restart"/>
            <w:vAlign w:val="center"/>
          </w:tcPr>
          <w:p w14:paraId="58CC2710">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w:t>
            </w:r>
          </w:p>
        </w:tc>
        <w:tc>
          <w:tcPr>
            <w:tcW w:w="1605" w:type="dxa"/>
            <w:vAlign w:val="center"/>
          </w:tcPr>
          <w:p w14:paraId="44BD73F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15" w:type="dxa"/>
            <w:vAlign w:val="center"/>
          </w:tcPr>
          <w:p w14:paraId="50ABE7D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r>
      <w:tr w14:paraId="1A0A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0BF14207">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w:t>
            </w:r>
          </w:p>
        </w:tc>
        <w:tc>
          <w:tcPr>
            <w:tcW w:w="749" w:type="dxa"/>
            <w:vMerge w:val="continue"/>
            <w:vAlign w:val="center"/>
          </w:tcPr>
          <w:p w14:paraId="0B14C376">
            <w:pPr>
              <w:numPr>
                <w:ilvl w:val="0"/>
                <w:numId w:val="0"/>
              </w:numPr>
              <w:jc w:val="center"/>
              <w:rPr>
                <w:rFonts w:hint="eastAsia" w:ascii="宋体" w:hAnsi="宋体" w:eastAsia="宋体" w:cs="宋体"/>
                <w:b/>
                <w:bCs/>
                <w:color w:val="auto"/>
                <w:kern w:val="2"/>
                <w:sz w:val="24"/>
                <w:szCs w:val="24"/>
                <w:highlight w:val="none"/>
                <w:vertAlign w:val="baseline"/>
                <w:lang w:val="en-US" w:eastAsia="zh-CN" w:bidi="ar-SA"/>
              </w:rPr>
            </w:pPr>
          </w:p>
        </w:tc>
        <w:tc>
          <w:tcPr>
            <w:tcW w:w="2411" w:type="dxa"/>
            <w:shd w:val="clear" w:color="auto" w:fill="auto"/>
            <w:vAlign w:val="center"/>
          </w:tcPr>
          <w:p w14:paraId="7D2671A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2.针对总站各类业务系统平台安全风险隐患，做好违规外联监测服务，通过网络违规行为监测分析系统识别公安网内存在的非法外联主机和网络、及时记录主机和网络IP 地址并告警并自动生成安全检测报告。</w:t>
            </w:r>
          </w:p>
        </w:tc>
        <w:tc>
          <w:tcPr>
            <w:tcW w:w="4307" w:type="dxa"/>
            <w:vAlign w:val="center"/>
          </w:tcPr>
          <w:p w14:paraId="6035EDE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1.根据总站信息系统加固要求，采用总站已有违规外联监测系统对总站各类业务系统，网络，PC终端提供违规外联监测服务，及时发现违规外联行为并通知对应单位或人员做好阻断处置工作。</w:t>
            </w:r>
          </w:p>
          <w:p w14:paraId="4CA6906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2.监测服务是指经过授权后，借助现有网络违规行为监测分析系统、一机两用等安全系统按照用户需求现场完成监测服务。</w:t>
            </w:r>
          </w:p>
        </w:tc>
        <w:tc>
          <w:tcPr>
            <w:tcW w:w="1830" w:type="dxa"/>
            <w:vAlign w:val="top"/>
          </w:tcPr>
          <w:p w14:paraId="60736EF8">
            <w:pPr>
              <w:pStyle w:val="85"/>
              <w:spacing w:line="470" w:lineRule="auto"/>
            </w:pPr>
          </w:p>
          <w:p w14:paraId="650BF4F9">
            <w:pPr>
              <w:spacing w:before="59" w:line="223" w:lineRule="auto"/>
              <w:ind w:left="17" w:leftChars="0" w:right="89" w:rightChars="0"/>
              <w:jc w:val="both"/>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spacing w:val="-1"/>
                <w:sz w:val="18"/>
                <w:szCs w:val="18"/>
              </w:rPr>
              <w:t>信息系统、网络、PC终</w:t>
            </w:r>
            <w:r>
              <w:rPr>
                <w:rFonts w:ascii="宋体" w:hAnsi="宋体" w:eastAsia="宋体" w:cs="宋体"/>
                <w:spacing w:val="2"/>
                <w:sz w:val="18"/>
                <w:szCs w:val="18"/>
              </w:rPr>
              <w:t xml:space="preserve"> </w:t>
            </w:r>
            <w:r>
              <w:rPr>
                <w:rFonts w:ascii="宋体" w:hAnsi="宋体" w:eastAsia="宋体" w:cs="宋体"/>
                <w:spacing w:val="-1"/>
                <w:sz w:val="18"/>
                <w:szCs w:val="18"/>
              </w:rPr>
              <w:t>端等可能发生网络违规</w:t>
            </w:r>
            <w:r>
              <w:rPr>
                <w:rFonts w:ascii="宋体" w:hAnsi="宋体" w:eastAsia="宋体" w:cs="宋体"/>
                <w:spacing w:val="1"/>
                <w:sz w:val="18"/>
                <w:szCs w:val="18"/>
              </w:rPr>
              <w:t xml:space="preserve"> </w:t>
            </w:r>
            <w:r>
              <w:rPr>
                <w:rFonts w:ascii="宋体" w:hAnsi="宋体" w:eastAsia="宋体" w:cs="宋体"/>
                <w:spacing w:val="-1"/>
                <w:sz w:val="18"/>
                <w:szCs w:val="18"/>
              </w:rPr>
              <w:t>外联单位。</w:t>
            </w:r>
          </w:p>
        </w:tc>
        <w:tc>
          <w:tcPr>
            <w:tcW w:w="780" w:type="dxa"/>
            <w:vMerge w:val="continue"/>
            <w:vAlign w:val="center"/>
          </w:tcPr>
          <w:p w14:paraId="6F14657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990" w:type="dxa"/>
            <w:vMerge w:val="continue"/>
            <w:vAlign w:val="center"/>
          </w:tcPr>
          <w:p w14:paraId="0691956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605" w:type="dxa"/>
            <w:vAlign w:val="center"/>
          </w:tcPr>
          <w:p w14:paraId="3F77E85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15" w:type="dxa"/>
            <w:vAlign w:val="center"/>
          </w:tcPr>
          <w:p w14:paraId="270584D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r>
      <w:tr w14:paraId="7206A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356D2AAE">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3</w:t>
            </w:r>
          </w:p>
        </w:tc>
        <w:tc>
          <w:tcPr>
            <w:tcW w:w="749" w:type="dxa"/>
            <w:vMerge w:val="continue"/>
            <w:vAlign w:val="center"/>
          </w:tcPr>
          <w:p w14:paraId="087AA209">
            <w:pPr>
              <w:numPr>
                <w:ilvl w:val="0"/>
                <w:numId w:val="0"/>
              </w:numPr>
              <w:jc w:val="center"/>
              <w:rPr>
                <w:rFonts w:hint="eastAsia" w:ascii="宋体" w:hAnsi="宋体" w:eastAsia="宋体" w:cs="宋体"/>
                <w:b/>
                <w:bCs/>
                <w:color w:val="auto"/>
                <w:kern w:val="2"/>
                <w:sz w:val="24"/>
                <w:szCs w:val="24"/>
                <w:highlight w:val="none"/>
                <w:vertAlign w:val="baseline"/>
                <w:lang w:val="en-US" w:eastAsia="zh-CN" w:bidi="ar-SA"/>
              </w:rPr>
            </w:pPr>
          </w:p>
        </w:tc>
        <w:tc>
          <w:tcPr>
            <w:tcW w:w="2411" w:type="dxa"/>
            <w:shd w:val="clear" w:color="auto" w:fill="auto"/>
            <w:vAlign w:val="center"/>
          </w:tcPr>
          <w:p w14:paraId="0771C2E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3.违规外联整改服务，根据上级通报和扫描检查发现的违规外联问题，如:终端 PC 违规外联、服务器违规外联网络设备违规外联，分析、归类并制定专项整改方案，提供 5*8驻点及远程技术支持服务，协助完成整改。</w:t>
            </w:r>
          </w:p>
        </w:tc>
        <w:tc>
          <w:tcPr>
            <w:tcW w:w="4307" w:type="dxa"/>
            <w:vAlign w:val="center"/>
          </w:tcPr>
          <w:p w14:paraId="4C59801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根据上级通报和扫描检查发现的针对终端.PC、服务器、网络设备的违规外联情，协助查明违规外联设备的责任主体，根据具体情况共同制定相应的整改方案，提供安全技术支持并协助责任主体完成整改，整改后再次进行违规外联检测以验证整改效果，撰写整改报告整改报告并上报。</w:t>
            </w:r>
          </w:p>
        </w:tc>
        <w:tc>
          <w:tcPr>
            <w:tcW w:w="1830" w:type="dxa"/>
            <w:vAlign w:val="center"/>
          </w:tcPr>
          <w:p w14:paraId="3D1E534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spacing w:val="-1"/>
                <w:sz w:val="18"/>
                <w:szCs w:val="18"/>
              </w:rPr>
              <w:t>针对发现的违规外联PC</w:t>
            </w:r>
            <w:r>
              <w:rPr>
                <w:rFonts w:ascii="宋体" w:hAnsi="宋体" w:eastAsia="宋体" w:cs="宋体"/>
                <w:spacing w:val="2"/>
                <w:sz w:val="18"/>
                <w:szCs w:val="18"/>
              </w:rPr>
              <w:t xml:space="preserve"> </w:t>
            </w:r>
            <w:r>
              <w:rPr>
                <w:rFonts w:ascii="宋体" w:hAnsi="宋体" w:eastAsia="宋体" w:cs="宋体"/>
                <w:spacing w:val="-1"/>
                <w:sz w:val="18"/>
                <w:szCs w:val="18"/>
              </w:rPr>
              <w:t>设备、数据库、服务器</w:t>
            </w:r>
            <w:r>
              <w:rPr>
                <w:rFonts w:ascii="宋体" w:hAnsi="宋体" w:eastAsia="宋体" w:cs="宋体"/>
                <w:sz w:val="18"/>
                <w:szCs w:val="18"/>
              </w:rPr>
              <w:t xml:space="preserve"> </w:t>
            </w:r>
            <w:r>
              <w:rPr>
                <w:rFonts w:ascii="宋体" w:hAnsi="宋体" w:eastAsia="宋体" w:cs="宋体"/>
                <w:spacing w:val="-1"/>
                <w:sz w:val="18"/>
                <w:szCs w:val="18"/>
              </w:rPr>
              <w:t>、网络设备等，提出整</w:t>
            </w:r>
            <w:r>
              <w:rPr>
                <w:rFonts w:ascii="宋体" w:hAnsi="宋体" w:eastAsia="宋体" w:cs="宋体"/>
                <w:spacing w:val="8"/>
                <w:sz w:val="18"/>
                <w:szCs w:val="18"/>
              </w:rPr>
              <w:t xml:space="preserve"> </w:t>
            </w:r>
            <w:r>
              <w:rPr>
                <w:rFonts w:ascii="宋体" w:hAnsi="宋体" w:eastAsia="宋体" w:cs="宋体"/>
                <w:spacing w:val="-1"/>
                <w:sz w:val="18"/>
                <w:szCs w:val="18"/>
              </w:rPr>
              <w:t>改方案。</w:t>
            </w:r>
          </w:p>
        </w:tc>
        <w:tc>
          <w:tcPr>
            <w:tcW w:w="780" w:type="dxa"/>
            <w:vMerge w:val="continue"/>
            <w:vAlign w:val="center"/>
          </w:tcPr>
          <w:p w14:paraId="79B0E41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990" w:type="dxa"/>
            <w:vMerge w:val="continue"/>
            <w:vAlign w:val="center"/>
          </w:tcPr>
          <w:p w14:paraId="6401C63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605" w:type="dxa"/>
            <w:vAlign w:val="center"/>
          </w:tcPr>
          <w:p w14:paraId="63E5F6A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15" w:type="dxa"/>
            <w:vAlign w:val="center"/>
          </w:tcPr>
          <w:p w14:paraId="2E21665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r>
      <w:tr w14:paraId="05FC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31D121C5">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4</w:t>
            </w:r>
          </w:p>
        </w:tc>
        <w:tc>
          <w:tcPr>
            <w:tcW w:w="749" w:type="dxa"/>
            <w:vMerge w:val="continue"/>
            <w:vAlign w:val="center"/>
          </w:tcPr>
          <w:p w14:paraId="4F232100">
            <w:pPr>
              <w:numPr>
                <w:ilvl w:val="0"/>
                <w:numId w:val="0"/>
              </w:numPr>
              <w:jc w:val="center"/>
              <w:rPr>
                <w:rFonts w:hint="eastAsia" w:ascii="宋体" w:hAnsi="宋体" w:eastAsia="宋体" w:cs="宋体"/>
                <w:b/>
                <w:bCs/>
                <w:color w:val="auto"/>
                <w:kern w:val="2"/>
                <w:sz w:val="24"/>
                <w:szCs w:val="24"/>
                <w:highlight w:val="none"/>
                <w:vertAlign w:val="baseline"/>
                <w:lang w:val="en-US" w:eastAsia="zh-CN" w:bidi="ar-SA"/>
              </w:rPr>
            </w:pPr>
          </w:p>
        </w:tc>
        <w:tc>
          <w:tcPr>
            <w:tcW w:w="2411" w:type="dxa"/>
            <w:shd w:val="clear" w:color="auto" w:fill="auto"/>
            <w:vAlign w:val="center"/>
          </w:tcPr>
          <w:p w14:paraId="01E30A0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4.漏洞修复服务，根据上级通报和扫描检查发现的漏洞问题，</w:t>
            </w:r>
          </w:p>
          <w:p w14:paraId="527456B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如:终端PC漏洞、服务器漏洞、数据库漏洞、网络及安全设备漏洞，分析、归类并制定专项整改方案，提供 5*8 驻点及远程技术支持服务，协助完成整改。</w:t>
            </w:r>
          </w:p>
        </w:tc>
        <w:tc>
          <w:tcPr>
            <w:tcW w:w="4307" w:type="dxa"/>
            <w:vAlign w:val="center"/>
          </w:tcPr>
          <w:p w14:paraId="4537817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漏洞整改服务根据上级通报和扫描检查发现的漏洞问题，终端PC、服务器、网络及安全设备的漏洞情况，协助查明漏洞设备的责任主体并联系责任主体，</w:t>
            </w:r>
          </w:p>
          <w:p w14:paraId="1618E49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根据具体情况共同制定相应的整改方案，提供安全技术支持并协助责任主体完成整改，整改完后再次进行漏洞检测以验证整改效果，撰写整改报告并上报。</w:t>
            </w:r>
          </w:p>
        </w:tc>
        <w:tc>
          <w:tcPr>
            <w:tcW w:w="1830" w:type="dxa"/>
            <w:vAlign w:val="center"/>
          </w:tcPr>
          <w:p w14:paraId="74970BD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spacing w:val="-1"/>
                <w:sz w:val="18"/>
                <w:szCs w:val="18"/>
              </w:rPr>
              <w:t>针对已扫描发现的设备</w:t>
            </w:r>
            <w:r>
              <w:rPr>
                <w:rFonts w:ascii="宋体" w:hAnsi="宋体" w:eastAsia="宋体" w:cs="宋体"/>
                <w:spacing w:val="1"/>
                <w:sz w:val="18"/>
                <w:szCs w:val="18"/>
              </w:rPr>
              <w:t xml:space="preserve"> </w:t>
            </w:r>
            <w:r>
              <w:rPr>
                <w:rFonts w:ascii="宋体" w:hAnsi="宋体" w:eastAsia="宋体" w:cs="宋体"/>
                <w:spacing w:val="-1"/>
                <w:sz w:val="18"/>
                <w:szCs w:val="18"/>
              </w:rPr>
              <w:t>漏洞进行整改修复和服</w:t>
            </w:r>
            <w:r>
              <w:rPr>
                <w:rFonts w:ascii="宋体" w:hAnsi="宋体" w:eastAsia="宋体" w:cs="宋体"/>
                <w:spacing w:val="1"/>
                <w:sz w:val="18"/>
                <w:szCs w:val="18"/>
              </w:rPr>
              <w:t xml:space="preserve"> </w:t>
            </w:r>
            <w:r>
              <w:rPr>
                <w:rFonts w:ascii="宋体" w:hAnsi="宋体" w:eastAsia="宋体" w:cs="宋体"/>
                <w:spacing w:val="-1"/>
                <w:sz w:val="18"/>
                <w:szCs w:val="18"/>
              </w:rPr>
              <w:t>务器加固。</w:t>
            </w:r>
          </w:p>
        </w:tc>
        <w:tc>
          <w:tcPr>
            <w:tcW w:w="780" w:type="dxa"/>
            <w:vMerge w:val="continue"/>
            <w:vAlign w:val="center"/>
          </w:tcPr>
          <w:p w14:paraId="021BB19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990" w:type="dxa"/>
            <w:vMerge w:val="continue"/>
            <w:vAlign w:val="center"/>
          </w:tcPr>
          <w:p w14:paraId="43462AD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605" w:type="dxa"/>
            <w:vAlign w:val="center"/>
          </w:tcPr>
          <w:p w14:paraId="4F1F0A6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15" w:type="dxa"/>
            <w:vAlign w:val="center"/>
          </w:tcPr>
          <w:p w14:paraId="1BC47CB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r>
      <w:tr w14:paraId="56E63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79F63508">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5</w:t>
            </w:r>
          </w:p>
        </w:tc>
        <w:tc>
          <w:tcPr>
            <w:tcW w:w="749" w:type="dxa"/>
            <w:vMerge w:val="continue"/>
            <w:vAlign w:val="center"/>
          </w:tcPr>
          <w:p w14:paraId="16AD2E9C">
            <w:pPr>
              <w:numPr>
                <w:ilvl w:val="0"/>
                <w:numId w:val="0"/>
              </w:numPr>
              <w:jc w:val="center"/>
              <w:rPr>
                <w:rFonts w:hint="eastAsia" w:ascii="宋体" w:hAnsi="宋体" w:eastAsia="宋体" w:cs="宋体"/>
                <w:b/>
                <w:bCs/>
                <w:color w:val="auto"/>
                <w:kern w:val="2"/>
                <w:sz w:val="24"/>
                <w:szCs w:val="24"/>
                <w:highlight w:val="none"/>
                <w:vertAlign w:val="baseline"/>
                <w:lang w:val="en-US" w:eastAsia="zh-CN" w:bidi="ar-SA"/>
              </w:rPr>
            </w:pPr>
          </w:p>
        </w:tc>
        <w:tc>
          <w:tcPr>
            <w:tcW w:w="2411" w:type="dxa"/>
            <w:shd w:val="clear" w:color="auto" w:fill="auto"/>
            <w:vAlign w:val="center"/>
          </w:tcPr>
          <w:p w14:paraId="5FC9F71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5.弱口令整改服务，根据上级通报和扫描检查发现的弱口令问题，如:终端 PC弱口令、服务器弱口令、数据库弱口令、网络及安全设备弱口令，分析、归类并制定专项整改方案，提供5*8 驻点及远程技术支持服务,协助完成整改。</w:t>
            </w:r>
          </w:p>
        </w:tc>
        <w:tc>
          <w:tcPr>
            <w:tcW w:w="4307" w:type="dxa"/>
            <w:vAlign w:val="center"/>
          </w:tcPr>
          <w:p w14:paraId="4ED2BF3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根据上级通报和扫描检查发现的弱口令问题，针对终端PC、服务器、数据库、</w:t>
            </w:r>
          </w:p>
          <w:p w14:paraId="7C3D9B2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网络及安全设备弱口令情况，查明弱口令设备的责任主体并联系责任主体,根据具体情况共同制定相应的整改方案，提供安全技术支持并协助责任主体完成整改，整改完后再次进行弱口令检测以验证整改效果，撰写整改报告并上报。</w:t>
            </w:r>
          </w:p>
        </w:tc>
        <w:tc>
          <w:tcPr>
            <w:tcW w:w="1830" w:type="dxa"/>
            <w:shd w:val="clear"/>
            <w:vAlign w:val="top"/>
          </w:tcPr>
          <w:p w14:paraId="210F07F8">
            <w:pPr>
              <w:pStyle w:val="85"/>
              <w:spacing w:line="259" w:lineRule="auto"/>
            </w:pPr>
          </w:p>
          <w:p w14:paraId="7341F71E">
            <w:pPr>
              <w:pStyle w:val="85"/>
              <w:spacing w:line="259" w:lineRule="auto"/>
            </w:pPr>
          </w:p>
          <w:p w14:paraId="06B9F2CD">
            <w:pPr>
              <w:spacing w:before="58" w:line="226" w:lineRule="auto"/>
              <w:ind w:left="18" w:leftChars="0" w:right="44" w:rightChars="0"/>
              <w:rPr>
                <w:rFonts w:hint="eastAsia" w:ascii="宋体" w:hAnsi="宋体" w:eastAsia="宋体" w:cs="宋体"/>
                <w:kern w:val="2"/>
                <w:sz w:val="18"/>
                <w:szCs w:val="18"/>
                <w:lang w:val="en-US" w:eastAsia="zh-CN" w:bidi="ar-SA"/>
              </w:rPr>
            </w:pPr>
            <w:r>
              <w:rPr>
                <w:rFonts w:ascii="宋体" w:hAnsi="宋体" w:eastAsia="宋体" w:cs="宋体"/>
                <w:spacing w:val="2"/>
                <w:sz w:val="18"/>
                <w:szCs w:val="18"/>
              </w:rPr>
              <w:t>针对已扫描发现的弱口</w:t>
            </w:r>
            <w:r>
              <w:rPr>
                <w:rFonts w:ascii="宋体" w:hAnsi="宋体" w:eastAsia="宋体" w:cs="宋体"/>
                <w:spacing w:val="5"/>
                <w:sz w:val="18"/>
                <w:szCs w:val="18"/>
              </w:rPr>
              <w:t xml:space="preserve"> </w:t>
            </w:r>
            <w:r>
              <w:rPr>
                <w:rFonts w:ascii="宋体" w:hAnsi="宋体" w:eastAsia="宋体" w:cs="宋体"/>
                <w:sz w:val="18"/>
                <w:szCs w:val="18"/>
              </w:rPr>
              <w:t>令设备进行修复整改。</w:t>
            </w:r>
          </w:p>
        </w:tc>
        <w:tc>
          <w:tcPr>
            <w:tcW w:w="780" w:type="dxa"/>
            <w:vMerge w:val="continue"/>
            <w:vAlign w:val="center"/>
          </w:tcPr>
          <w:p w14:paraId="25A2055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990" w:type="dxa"/>
            <w:vMerge w:val="continue"/>
            <w:vAlign w:val="center"/>
          </w:tcPr>
          <w:p w14:paraId="0009BF4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605" w:type="dxa"/>
            <w:vAlign w:val="center"/>
          </w:tcPr>
          <w:p w14:paraId="65B833F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15" w:type="dxa"/>
            <w:vAlign w:val="center"/>
          </w:tcPr>
          <w:p w14:paraId="290C775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r>
      <w:tr w14:paraId="3E76D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679B677F">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6</w:t>
            </w:r>
          </w:p>
        </w:tc>
        <w:tc>
          <w:tcPr>
            <w:tcW w:w="749" w:type="dxa"/>
            <w:vMerge w:val="continue"/>
            <w:vAlign w:val="center"/>
          </w:tcPr>
          <w:p w14:paraId="199AFC21">
            <w:pPr>
              <w:numPr>
                <w:ilvl w:val="0"/>
                <w:numId w:val="0"/>
              </w:numPr>
              <w:jc w:val="center"/>
              <w:rPr>
                <w:rFonts w:hint="eastAsia" w:ascii="宋体" w:hAnsi="宋体" w:eastAsia="宋体" w:cs="宋体"/>
                <w:b/>
                <w:bCs/>
                <w:color w:val="auto"/>
                <w:kern w:val="2"/>
                <w:sz w:val="24"/>
                <w:szCs w:val="24"/>
                <w:highlight w:val="none"/>
                <w:vertAlign w:val="baseline"/>
                <w:lang w:val="en-US" w:eastAsia="zh-CN" w:bidi="ar-SA"/>
              </w:rPr>
            </w:pPr>
          </w:p>
        </w:tc>
        <w:tc>
          <w:tcPr>
            <w:tcW w:w="2411" w:type="dxa"/>
            <w:shd w:val="clear" w:color="auto" w:fill="auto"/>
            <w:vAlign w:val="center"/>
          </w:tcPr>
          <w:p w14:paraId="190664F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6.安全策略可靠性验证服务</w:t>
            </w:r>
          </w:p>
        </w:tc>
        <w:tc>
          <w:tcPr>
            <w:tcW w:w="4307" w:type="dxa"/>
            <w:vAlign w:val="center"/>
          </w:tcPr>
          <w:p w14:paraId="4EB4B8F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针对总站及下属 28个站点单位现有网络现状，梳理网络架构，提出合理优化建议;通过模拟或实战测试，对总站网络安全策略进行可靠性验证服务，最终输出安全策略优化建议，网络安全加固方案。</w:t>
            </w:r>
          </w:p>
        </w:tc>
        <w:tc>
          <w:tcPr>
            <w:tcW w:w="1830" w:type="dxa"/>
            <w:shd w:val="clear"/>
            <w:vAlign w:val="top"/>
          </w:tcPr>
          <w:p w14:paraId="3333C274">
            <w:pPr>
              <w:spacing w:before="272" w:line="248" w:lineRule="auto"/>
              <w:ind w:left="18" w:leftChars="0" w:right="54" w:right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总站网络和安全设备以</w:t>
            </w:r>
            <w:r>
              <w:rPr>
                <w:rFonts w:ascii="宋体" w:hAnsi="宋体" w:eastAsia="宋体" w:cs="宋体"/>
                <w:spacing w:val="5"/>
                <w:sz w:val="18"/>
                <w:szCs w:val="18"/>
              </w:rPr>
              <w:t xml:space="preserve"> </w:t>
            </w:r>
            <w:r>
              <w:rPr>
                <w:rFonts w:ascii="宋体" w:hAnsi="宋体" w:eastAsia="宋体" w:cs="宋体"/>
                <w:spacing w:val="-1"/>
                <w:sz w:val="18"/>
                <w:szCs w:val="18"/>
              </w:rPr>
              <w:t>及下属单位网络。</w:t>
            </w:r>
          </w:p>
        </w:tc>
        <w:tc>
          <w:tcPr>
            <w:tcW w:w="780" w:type="dxa"/>
            <w:vMerge w:val="continue"/>
            <w:vAlign w:val="center"/>
          </w:tcPr>
          <w:p w14:paraId="1D3863C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990" w:type="dxa"/>
            <w:vMerge w:val="continue"/>
            <w:vAlign w:val="center"/>
          </w:tcPr>
          <w:p w14:paraId="2F81C45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605" w:type="dxa"/>
            <w:vAlign w:val="center"/>
          </w:tcPr>
          <w:p w14:paraId="799E13E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15" w:type="dxa"/>
            <w:vAlign w:val="center"/>
          </w:tcPr>
          <w:p w14:paraId="1349B09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r>
      <w:tr w14:paraId="4A9CC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282556B3">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7</w:t>
            </w:r>
          </w:p>
        </w:tc>
        <w:tc>
          <w:tcPr>
            <w:tcW w:w="749" w:type="dxa"/>
            <w:vMerge w:val="continue"/>
            <w:vAlign w:val="center"/>
          </w:tcPr>
          <w:p w14:paraId="2D1F08B5">
            <w:pPr>
              <w:numPr>
                <w:ilvl w:val="0"/>
                <w:numId w:val="0"/>
              </w:numPr>
              <w:jc w:val="center"/>
              <w:rPr>
                <w:rFonts w:hint="eastAsia" w:ascii="宋体" w:hAnsi="宋体" w:eastAsia="宋体" w:cs="宋体"/>
                <w:b/>
                <w:bCs/>
                <w:color w:val="auto"/>
                <w:kern w:val="2"/>
                <w:sz w:val="24"/>
                <w:szCs w:val="24"/>
                <w:highlight w:val="none"/>
                <w:vertAlign w:val="baseline"/>
                <w:lang w:val="en-US" w:eastAsia="zh-CN" w:bidi="ar-SA"/>
              </w:rPr>
            </w:pPr>
          </w:p>
        </w:tc>
        <w:tc>
          <w:tcPr>
            <w:tcW w:w="2411" w:type="dxa"/>
            <w:shd w:val="clear" w:color="auto" w:fill="auto"/>
            <w:vAlign w:val="center"/>
          </w:tcPr>
          <w:p w14:paraId="335C2F2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7.数据接入服务</w:t>
            </w:r>
          </w:p>
        </w:tc>
        <w:tc>
          <w:tcPr>
            <w:tcW w:w="4307" w:type="dxa"/>
            <w:vAlign w:val="center"/>
          </w:tcPr>
          <w:p w14:paraId="03D7BF1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针对总站不同网络安全设备(防火墙、日志审计、数据库审计、流量探针、沙箱等设备)，配置数据接入参数、协调网络通信，建立数据接入任务，进行数据采集监测。</w:t>
            </w:r>
          </w:p>
        </w:tc>
        <w:tc>
          <w:tcPr>
            <w:tcW w:w="1830" w:type="dxa"/>
            <w:shd w:val="clear"/>
            <w:vAlign w:val="top"/>
          </w:tcPr>
          <w:p w14:paraId="3B88314D">
            <w:pPr>
              <w:spacing w:before="12" w:line="224" w:lineRule="auto"/>
              <w:ind w:left="18" w:leftChars="0" w:right="62" w:rightChars="0"/>
              <w:jc w:val="both"/>
              <w:rPr>
                <w:rFonts w:hint="eastAsia" w:ascii="宋体" w:hAnsi="宋体" w:eastAsia="宋体" w:cs="宋体"/>
                <w:kern w:val="2"/>
                <w:sz w:val="18"/>
                <w:szCs w:val="18"/>
                <w:lang w:val="en-US" w:eastAsia="zh-CN" w:bidi="ar-SA"/>
              </w:rPr>
            </w:pPr>
            <w:r>
              <w:rPr>
                <w:rFonts w:ascii="宋体" w:hAnsi="宋体" w:eastAsia="宋体" w:cs="宋体"/>
                <w:sz w:val="18"/>
                <w:szCs w:val="18"/>
              </w:rPr>
              <w:t>负责与用户平台运维人</w:t>
            </w:r>
            <w:r>
              <w:rPr>
                <w:rFonts w:ascii="宋体" w:hAnsi="宋体" w:eastAsia="宋体" w:cs="宋体"/>
                <w:spacing w:val="6"/>
                <w:sz w:val="18"/>
                <w:szCs w:val="18"/>
              </w:rPr>
              <w:t xml:space="preserve"> </w:t>
            </w:r>
            <w:r>
              <w:rPr>
                <w:rFonts w:ascii="宋体" w:hAnsi="宋体" w:eastAsia="宋体" w:cs="宋体"/>
                <w:sz w:val="18"/>
                <w:szCs w:val="18"/>
              </w:rPr>
              <w:t>员对接并协调解决相关</w:t>
            </w:r>
            <w:r>
              <w:rPr>
                <w:rFonts w:ascii="宋体" w:hAnsi="宋体" w:eastAsia="宋体" w:cs="宋体"/>
                <w:spacing w:val="7"/>
                <w:sz w:val="18"/>
                <w:szCs w:val="18"/>
              </w:rPr>
              <w:t xml:space="preserve"> </w:t>
            </w:r>
            <w:r>
              <w:rPr>
                <w:rFonts w:ascii="宋体" w:hAnsi="宋体" w:eastAsia="宋体" w:cs="宋体"/>
                <w:spacing w:val="-2"/>
                <w:sz w:val="18"/>
                <w:szCs w:val="18"/>
              </w:rPr>
              <w:t>安全审计类日志对接接</w:t>
            </w:r>
            <w:r>
              <w:rPr>
                <w:rFonts w:ascii="宋体" w:hAnsi="宋体" w:eastAsia="宋体" w:cs="宋体"/>
                <w:spacing w:val="8"/>
                <w:sz w:val="18"/>
                <w:szCs w:val="18"/>
              </w:rPr>
              <w:t xml:space="preserve"> </w:t>
            </w:r>
            <w:r>
              <w:rPr>
                <w:rFonts w:ascii="宋体" w:hAnsi="宋体" w:eastAsia="宋体" w:cs="宋体"/>
                <w:spacing w:val="-1"/>
                <w:sz w:val="18"/>
                <w:szCs w:val="18"/>
              </w:rPr>
              <w:t>入和监测。</w:t>
            </w:r>
          </w:p>
        </w:tc>
        <w:tc>
          <w:tcPr>
            <w:tcW w:w="780" w:type="dxa"/>
            <w:vMerge w:val="continue"/>
            <w:vAlign w:val="center"/>
          </w:tcPr>
          <w:p w14:paraId="69587B1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990" w:type="dxa"/>
            <w:vMerge w:val="continue"/>
            <w:vAlign w:val="center"/>
          </w:tcPr>
          <w:p w14:paraId="3C9CAB7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605" w:type="dxa"/>
            <w:vAlign w:val="center"/>
          </w:tcPr>
          <w:p w14:paraId="0D21805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15" w:type="dxa"/>
            <w:vAlign w:val="center"/>
          </w:tcPr>
          <w:p w14:paraId="12FF2E3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r>
      <w:tr w14:paraId="6DC2E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74F09DED">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8</w:t>
            </w:r>
          </w:p>
        </w:tc>
        <w:tc>
          <w:tcPr>
            <w:tcW w:w="749" w:type="dxa"/>
            <w:vMerge w:val="continue"/>
            <w:vAlign w:val="center"/>
          </w:tcPr>
          <w:p w14:paraId="75C56F20">
            <w:pPr>
              <w:numPr>
                <w:ilvl w:val="0"/>
                <w:numId w:val="0"/>
              </w:numPr>
              <w:jc w:val="center"/>
              <w:rPr>
                <w:rFonts w:hint="eastAsia" w:ascii="宋体" w:hAnsi="宋体" w:eastAsia="宋体" w:cs="宋体"/>
                <w:b/>
                <w:bCs/>
                <w:color w:val="auto"/>
                <w:kern w:val="2"/>
                <w:sz w:val="24"/>
                <w:szCs w:val="24"/>
                <w:highlight w:val="none"/>
                <w:vertAlign w:val="baseline"/>
                <w:lang w:val="en-US" w:eastAsia="zh-CN" w:bidi="ar-SA"/>
              </w:rPr>
            </w:pPr>
          </w:p>
        </w:tc>
        <w:tc>
          <w:tcPr>
            <w:tcW w:w="2411" w:type="dxa"/>
            <w:shd w:val="clear" w:color="auto" w:fill="auto"/>
            <w:vAlign w:val="center"/>
          </w:tcPr>
          <w:p w14:paraId="433B8C7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8.安全边界接入平台运维服务</w:t>
            </w:r>
          </w:p>
        </w:tc>
        <w:tc>
          <w:tcPr>
            <w:tcW w:w="4307" w:type="dxa"/>
            <w:vAlign w:val="center"/>
          </w:tcPr>
          <w:p w14:paraId="10C1F36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针对总站公安网至电子政务外网边界、公安网至公共视频专网边界、公安网至移动警务网边界等边界接入平台管理和运维，协助用户对接应用接入,对安全边界接入平台巡检，补丁更新等工作</w:t>
            </w:r>
          </w:p>
        </w:tc>
        <w:tc>
          <w:tcPr>
            <w:tcW w:w="1830" w:type="dxa"/>
            <w:shd w:val="clear"/>
            <w:vAlign w:val="top"/>
          </w:tcPr>
          <w:p w14:paraId="0A4DC010">
            <w:pPr>
              <w:pStyle w:val="85"/>
              <w:spacing w:line="274" w:lineRule="auto"/>
            </w:pPr>
          </w:p>
          <w:p w14:paraId="16FE0280">
            <w:pPr>
              <w:spacing w:before="58" w:line="213" w:lineRule="auto"/>
              <w:ind w:left="18" w:leftChars="0" w:right="47" w:rightChars="0" w:firstLine="9" w:firstLine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协助总站加固已建设的</w:t>
            </w:r>
            <w:r>
              <w:rPr>
                <w:rFonts w:ascii="宋体" w:hAnsi="宋体" w:eastAsia="宋体" w:cs="宋体"/>
                <w:spacing w:val="3"/>
                <w:sz w:val="18"/>
                <w:szCs w:val="18"/>
              </w:rPr>
              <w:t xml:space="preserve"> </w:t>
            </w:r>
            <w:r>
              <w:rPr>
                <w:rFonts w:ascii="宋体" w:hAnsi="宋体" w:eastAsia="宋体" w:cs="宋体"/>
                <w:spacing w:val="-1"/>
                <w:sz w:val="18"/>
                <w:szCs w:val="18"/>
              </w:rPr>
              <w:t>网络安全边界平台。</w:t>
            </w:r>
          </w:p>
        </w:tc>
        <w:tc>
          <w:tcPr>
            <w:tcW w:w="780" w:type="dxa"/>
            <w:vMerge w:val="continue"/>
            <w:vAlign w:val="center"/>
          </w:tcPr>
          <w:p w14:paraId="38CE1CE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990" w:type="dxa"/>
            <w:vMerge w:val="continue"/>
            <w:vAlign w:val="center"/>
          </w:tcPr>
          <w:p w14:paraId="78D2CFB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605" w:type="dxa"/>
            <w:vAlign w:val="center"/>
          </w:tcPr>
          <w:p w14:paraId="728340E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15" w:type="dxa"/>
            <w:vAlign w:val="center"/>
          </w:tcPr>
          <w:p w14:paraId="3298D67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r>
      <w:tr w14:paraId="63A6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7079C8DD">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9</w:t>
            </w:r>
          </w:p>
        </w:tc>
        <w:tc>
          <w:tcPr>
            <w:tcW w:w="749" w:type="dxa"/>
            <w:vAlign w:val="center"/>
          </w:tcPr>
          <w:p w14:paraId="68D94F3A">
            <w:pPr>
              <w:numPr>
                <w:ilvl w:val="0"/>
                <w:numId w:val="0"/>
              </w:numPr>
              <w:jc w:val="center"/>
              <w:rPr>
                <w:rFonts w:hint="eastAsia" w:ascii="宋体" w:hAnsi="宋体" w:eastAsia="宋体" w:cs="宋体"/>
                <w:b/>
                <w:bCs/>
                <w:color w:val="auto"/>
                <w:kern w:val="2"/>
                <w:sz w:val="24"/>
                <w:szCs w:val="24"/>
                <w:highlight w:val="none"/>
                <w:vertAlign w:val="baseline"/>
                <w:lang w:val="en-US" w:eastAsia="zh-CN" w:bidi="ar-SA"/>
              </w:rPr>
            </w:pPr>
          </w:p>
        </w:tc>
        <w:tc>
          <w:tcPr>
            <w:tcW w:w="2411" w:type="dxa"/>
            <w:shd w:val="clear" w:color="auto" w:fill="auto"/>
            <w:vAlign w:val="center"/>
          </w:tcPr>
          <w:p w14:paraId="71B9759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9.安全服务人员资质</w:t>
            </w:r>
          </w:p>
        </w:tc>
        <w:tc>
          <w:tcPr>
            <w:tcW w:w="4307" w:type="dxa"/>
            <w:vAlign w:val="center"/>
          </w:tcPr>
          <w:p w14:paraId="6D799F6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安全服务人员应具备以下资质要求:</w:t>
            </w:r>
          </w:p>
          <w:p w14:paraId="2C3283CC">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1、计算机、通信或相关专业具备本科以上学历；</w:t>
            </w:r>
          </w:p>
          <w:p w14:paraId="5F7FA607">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2、在网络和信息安全方面具备3年以上工作经验；</w:t>
            </w:r>
          </w:p>
          <w:p w14:paraId="4EAAAFC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3、有较好的沟通能力和管理能力；</w:t>
            </w:r>
          </w:p>
          <w:p w14:paraId="1C2116B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4、具备专业管理资质，如网络管理员证、信息系统管理管理员证书、网络工程师证书、信息安全工程师证、信息系统管理工程师证、HCNP、HCIE等或相关认证资质人员；</w:t>
            </w:r>
          </w:p>
          <w:p w14:paraId="46272CD7">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5、具备服务器、存储设备、网络路由、交换、安全系统、视频监控平台等相关设备管理、调试、查错技能。</w:t>
            </w:r>
          </w:p>
        </w:tc>
        <w:tc>
          <w:tcPr>
            <w:tcW w:w="1830" w:type="dxa"/>
            <w:vAlign w:val="center"/>
          </w:tcPr>
          <w:p w14:paraId="05D7F857">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spacing w:val="1"/>
                <w:sz w:val="18"/>
                <w:szCs w:val="18"/>
              </w:rPr>
              <w:t xml:space="preserve">协助总站对安全事件溯 </w:t>
            </w:r>
            <w:r>
              <w:rPr>
                <w:rFonts w:ascii="宋体" w:hAnsi="宋体" w:eastAsia="宋体" w:cs="宋体"/>
                <w:spacing w:val="-1"/>
                <w:sz w:val="18"/>
                <w:szCs w:val="18"/>
              </w:rPr>
              <w:t>源、整改。</w:t>
            </w:r>
          </w:p>
        </w:tc>
        <w:tc>
          <w:tcPr>
            <w:tcW w:w="780" w:type="dxa"/>
            <w:vAlign w:val="center"/>
          </w:tcPr>
          <w:p w14:paraId="590BBCF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990" w:type="dxa"/>
            <w:vAlign w:val="center"/>
          </w:tcPr>
          <w:p w14:paraId="56C34C2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605" w:type="dxa"/>
            <w:vAlign w:val="center"/>
          </w:tcPr>
          <w:p w14:paraId="5290AA7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15" w:type="dxa"/>
            <w:vAlign w:val="center"/>
          </w:tcPr>
          <w:p w14:paraId="0212493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r>
      <w:tr w14:paraId="1A98A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677E6446">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10</w:t>
            </w:r>
          </w:p>
        </w:tc>
        <w:tc>
          <w:tcPr>
            <w:tcW w:w="749" w:type="dxa"/>
            <w:vMerge w:val="restart"/>
            <w:vAlign w:val="center"/>
          </w:tcPr>
          <w:p w14:paraId="59F89F3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安全渗透测试服务</w:t>
            </w:r>
          </w:p>
        </w:tc>
        <w:tc>
          <w:tcPr>
            <w:tcW w:w="2411" w:type="dxa"/>
            <w:vAlign w:val="center"/>
          </w:tcPr>
          <w:p w14:paraId="1A931F5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1.资产梳理工作:协助总站各级定期开展用户域、数据域信息系统需渗透测试业务系统及资产识别。</w:t>
            </w:r>
          </w:p>
        </w:tc>
        <w:tc>
          <w:tcPr>
            <w:tcW w:w="4307" w:type="dxa"/>
            <w:vAlign w:val="center"/>
          </w:tcPr>
          <w:p w14:paraId="62DE4C7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资产梳理工作内容包括:业务系统及资产识别，形成按照业务系统、部门、资产类型等多种维度划分的资产信息表;资产信息全面收集:资产类型、服务类型、组成、功能、开启的端口及服务所属业务系统、部门、责任人，厂商信点维护记录等，帮助掌握内部资产情况。</w:t>
            </w:r>
          </w:p>
        </w:tc>
        <w:tc>
          <w:tcPr>
            <w:tcW w:w="1830" w:type="dxa"/>
            <w:shd w:val="clear" w:color="auto" w:fill="auto"/>
            <w:vAlign w:val="center"/>
          </w:tcPr>
          <w:p w14:paraId="64430BC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spacing w:val="-1"/>
                <w:sz w:val="18"/>
                <w:szCs w:val="18"/>
              </w:rPr>
              <w:t>用户指定的用户域和数</w:t>
            </w:r>
            <w:r>
              <w:rPr>
                <w:rFonts w:ascii="宋体" w:hAnsi="宋体" w:eastAsia="宋体" w:cs="宋体"/>
                <w:sz w:val="18"/>
                <w:szCs w:val="18"/>
              </w:rPr>
              <w:t xml:space="preserve"> </w:t>
            </w:r>
            <w:r>
              <w:rPr>
                <w:rFonts w:ascii="宋体" w:hAnsi="宋体" w:eastAsia="宋体" w:cs="宋体"/>
                <w:spacing w:val="-1"/>
                <w:sz w:val="18"/>
                <w:szCs w:val="18"/>
              </w:rPr>
              <w:t>据域信息系统和硬件基</w:t>
            </w:r>
            <w:r>
              <w:rPr>
                <w:rFonts w:ascii="宋体" w:hAnsi="宋体" w:eastAsia="宋体" w:cs="宋体"/>
                <w:spacing w:val="2"/>
                <w:sz w:val="18"/>
                <w:szCs w:val="18"/>
              </w:rPr>
              <w:t xml:space="preserve"> </w:t>
            </w:r>
            <w:r>
              <w:rPr>
                <w:rFonts w:ascii="宋体" w:hAnsi="宋体" w:eastAsia="宋体" w:cs="宋体"/>
                <w:spacing w:val="-1"/>
                <w:sz w:val="18"/>
                <w:szCs w:val="18"/>
              </w:rPr>
              <w:t>础设施。</w:t>
            </w:r>
          </w:p>
        </w:tc>
        <w:tc>
          <w:tcPr>
            <w:tcW w:w="780" w:type="dxa"/>
            <w:vMerge w:val="restart"/>
            <w:shd w:val="clear" w:color="auto" w:fill="auto"/>
            <w:vAlign w:val="center"/>
          </w:tcPr>
          <w:p w14:paraId="34C3C3F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年</w:t>
            </w:r>
          </w:p>
        </w:tc>
        <w:tc>
          <w:tcPr>
            <w:tcW w:w="990" w:type="dxa"/>
            <w:vMerge w:val="restart"/>
            <w:shd w:val="clear" w:color="auto" w:fill="auto"/>
            <w:vAlign w:val="center"/>
          </w:tcPr>
          <w:p w14:paraId="065CBCC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w:t>
            </w:r>
          </w:p>
        </w:tc>
        <w:tc>
          <w:tcPr>
            <w:tcW w:w="1605" w:type="dxa"/>
            <w:shd w:val="clear" w:color="auto" w:fill="auto"/>
            <w:vAlign w:val="center"/>
          </w:tcPr>
          <w:p w14:paraId="7B83F2C6">
            <w:pPr>
              <w:keepNext w:val="0"/>
              <w:keepLines w:val="0"/>
              <w:widowControl/>
              <w:suppressLineNumbers w:val="0"/>
              <w:jc w:val="center"/>
              <w:textAlignment w:val="center"/>
              <w:rPr>
                <w:rFonts w:hint="eastAsia" w:ascii="宋体" w:hAnsi="宋体" w:cs="宋体"/>
                <w:i w:val="0"/>
                <w:iCs w:val="0"/>
                <w:color w:val="000000"/>
                <w:kern w:val="2"/>
                <w:sz w:val="18"/>
                <w:szCs w:val="18"/>
                <w:u w:val="none"/>
                <w:lang w:val="en-US" w:eastAsia="zh-CN" w:bidi="ar-SA"/>
              </w:rPr>
            </w:pPr>
          </w:p>
        </w:tc>
        <w:tc>
          <w:tcPr>
            <w:tcW w:w="1215" w:type="dxa"/>
            <w:shd w:val="clear" w:color="auto" w:fill="auto"/>
            <w:vAlign w:val="center"/>
          </w:tcPr>
          <w:p w14:paraId="3EDB1776">
            <w:pPr>
              <w:keepNext w:val="0"/>
              <w:keepLines w:val="0"/>
              <w:widowControl/>
              <w:suppressLineNumbers w:val="0"/>
              <w:jc w:val="center"/>
              <w:textAlignment w:val="center"/>
              <w:rPr>
                <w:rFonts w:hint="eastAsia" w:ascii="宋体" w:hAnsi="宋体" w:cs="宋体"/>
                <w:i w:val="0"/>
                <w:iCs w:val="0"/>
                <w:color w:val="000000"/>
                <w:kern w:val="2"/>
                <w:sz w:val="18"/>
                <w:szCs w:val="18"/>
                <w:u w:val="none"/>
                <w:lang w:val="en-US" w:eastAsia="zh-CN" w:bidi="ar-SA"/>
              </w:rPr>
            </w:pPr>
          </w:p>
        </w:tc>
      </w:tr>
      <w:tr w14:paraId="6BF0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shd w:val="clear" w:color="auto" w:fill="auto"/>
            <w:vAlign w:val="center"/>
          </w:tcPr>
          <w:p w14:paraId="0CF751DC">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11</w:t>
            </w:r>
          </w:p>
        </w:tc>
        <w:tc>
          <w:tcPr>
            <w:tcW w:w="749" w:type="dxa"/>
            <w:vMerge w:val="continue"/>
            <w:vAlign w:val="center"/>
          </w:tcPr>
          <w:p w14:paraId="2B79311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2411" w:type="dxa"/>
            <w:vAlign w:val="center"/>
          </w:tcPr>
          <w:p w14:paraId="17970D6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2.漏洞扫描和弱口令识别的内容为业务系统及支撑业务系统的软硬件设备。</w:t>
            </w:r>
          </w:p>
          <w:p w14:paraId="29D40AE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主要识别以下范围的漏洞和弱口令:操作系统、数据库系统、Web服务、Ftp服务、远程控制、网络边界、PC等IT设备。</w:t>
            </w:r>
          </w:p>
        </w:tc>
        <w:tc>
          <w:tcPr>
            <w:tcW w:w="4307" w:type="dxa"/>
            <w:vAlign w:val="center"/>
          </w:tcPr>
          <w:p w14:paraId="5F6BB53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漏洞扫描服务是指经过授权后，渗透测试人员携带议备达到工作现场，根据扫描目标接入办公网络或业务网络，用于对系统安全性探测，发现系统脆弱环节。扫描设备存在的高中危漏洞情况。按照用户需求现场完成漏洞扫描服务。</w:t>
            </w:r>
          </w:p>
          <w:p w14:paraId="5565C81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通过弱口令扫描服务及时发现安全隐患，对使用默认口令、弱口令、默认端口的安全风险隐患进行监测和发现，用户可以自定义扫描目标、类型、扫描时间策略。根据目标地址范围进行弱口令扫描，对目标系统进行探测，以确认是否存在可正常访问的弱口令。</w:t>
            </w:r>
          </w:p>
        </w:tc>
        <w:tc>
          <w:tcPr>
            <w:tcW w:w="1830" w:type="dxa"/>
            <w:vAlign w:val="top"/>
          </w:tcPr>
          <w:p w14:paraId="02A1DF21">
            <w:pPr>
              <w:spacing w:before="32" w:line="219" w:lineRule="auto"/>
              <w:ind w:left="17"/>
              <w:rPr>
                <w:rFonts w:ascii="宋体" w:hAnsi="宋体" w:eastAsia="宋体" w:cs="宋体"/>
                <w:sz w:val="18"/>
                <w:szCs w:val="18"/>
              </w:rPr>
            </w:pPr>
            <w:r>
              <w:rPr>
                <w:rFonts w:ascii="宋体" w:hAnsi="宋体" w:eastAsia="宋体" w:cs="宋体"/>
                <w:spacing w:val="-1"/>
                <w:sz w:val="18"/>
                <w:szCs w:val="18"/>
              </w:rPr>
              <w:t>操作系统包括：</w:t>
            </w:r>
          </w:p>
          <w:p w14:paraId="2C92B75A">
            <w:pPr>
              <w:spacing w:before="16" w:line="215" w:lineRule="auto"/>
              <w:ind w:left="17" w:right="93"/>
              <w:rPr>
                <w:rFonts w:ascii="宋体" w:hAnsi="宋体" w:eastAsia="宋体" w:cs="宋体"/>
                <w:sz w:val="18"/>
                <w:szCs w:val="18"/>
              </w:rPr>
            </w:pPr>
            <w:r>
              <w:rPr>
                <w:rFonts w:ascii="宋体" w:hAnsi="宋体" w:eastAsia="宋体" w:cs="宋体"/>
                <w:spacing w:val="-1"/>
                <w:sz w:val="18"/>
                <w:szCs w:val="18"/>
              </w:rPr>
              <w:t>Windows、发行版Linux</w:t>
            </w:r>
            <w:r>
              <w:rPr>
                <w:rFonts w:ascii="宋体" w:hAnsi="宋体" w:eastAsia="宋体" w:cs="宋体"/>
                <w:spacing w:val="13"/>
                <w:sz w:val="18"/>
                <w:szCs w:val="18"/>
              </w:rPr>
              <w:t xml:space="preserve"> </w:t>
            </w:r>
            <w:r>
              <w:rPr>
                <w:rFonts w:ascii="宋体" w:hAnsi="宋体" w:eastAsia="宋体" w:cs="宋体"/>
                <w:spacing w:val="-4"/>
                <w:sz w:val="18"/>
                <w:szCs w:val="18"/>
              </w:rPr>
              <w:t>、AIX、Solaris、</w:t>
            </w:r>
          </w:p>
          <w:p w14:paraId="196BBD7F">
            <w:pPr>
              <w:spacing w:line="219" w:lineRule="auto"/>
              <w:ind w:left="17"/>
              <w:rPr>
                <w:rFonts w:ascii="宋体" w:hAnsi="宋体" w:eastAsia="宋体" w:cs="宋体"/>
                <w:sz w:val="18"/>
                <w:szCs w:val="18"/>
              </w:rPr>
            </w:pPr>
            <w:r>
              <w:rPr>
                <w:rFonts w:ascii="宋体" w:hAnsi="宋体" w:eastAsia="宋体" w:cs="宋体"/>
                <w:spacing w:val="-1"/>
                <w:sz w:val="18"/>
                <w:szCs w:val="18"/>
              </w:rPr>
              <w:t>FreeBSD等主流系统等</w:t>
            </w:r>
          </w:p>
          <w:p w14:paraId="318ADC4B">
            <w:pPr>
              <w:spacing w:before="189" w:line="58" w:lineRule="exact"/>
              <w:ind w:left="17"/>
              <w:rPr>
                <w:rFonts w:ascii="宋体" w:hAnsi="宋体" w:eastAsia="宋体" w:cs="宋体"/>
                <w:sz w:val="18"/>
                <w:szCs w:val="18"/>
              </w:rPr>
            </w:pPr>
            <w:r>
              <w:rPr>
                <w:rFonts w:ascii="宋体" w:hAnsi="宋体" w:eastAsia="宋体" w:cs="宋体"/>
                <w:sz w:val="18"/>
                <w:szCs w:val="18"/>
              </w:rPr>
              <w:t>。</w:t>
            </w:r>
          </w:p>
          <w:p w14:paraId="036B4357">
            <w:pPr>
              <w:spacing w:before="1" w:line="220" w:lineRule="auto"/>
              <w:ind w:left="17"/>
              <w:rPr>
                <w:rFonts w:ascii="宋体" w:hAnsi="宋体" w:eastAsia="宋体" w:cs="宋体"/>
                <w:sz w:val="18"/>
                <w:szCs w:val="18"/>
              </w:rPr>
            </w:pPr>
            <w:r>
              <w:rPr>
                <w:rFonts w:ascii="宋体" w:hAnsi="宋体" w:eastAsia="宋体" w:cs="宋体"/>
                <w:sz w:val="18"/>
                <w:szCs w:val="18"/>
              </w:rPr>
              <w:t>应用系统包括：</w:t>
            </w:r>
          </w:p>
          <w:p w14:paraId="50645731">
            <w:pPr>
              <w:spacing w:before="28" w:line="228" w:lineRule="auto"/>
              <w:ind w:left="17" w:right="98"/>
              <w:rPr>
                <w:rFonts w:ascii="宋体" w:hAnsi="宋体" w:eastAsia="宋体" w:cs="宋体"/>
                <w:sz w:val="18"/>
                <w:szCs w:val="18"/>
              </w:rPr>
            </w:pPr>
            <w:r>
              <w:rPr>
                <w:rFonts w:ascii="宋体" w:hAnsi="宋体" w:eastAsia="宋体" w:cs="宋体"/>
                <w:spacing w:val="-1"/>
                <w:sz w:val="18"/>
                <w:szCs w:val="18"/>
              </w:rPr>
              <w:t>Oracle、MySQL、MSSQL</w:t>
            </w:r>
            <w:r>
              <w:rPr>
                <w:rFonts w:ascii="宋体" w:hAnsi="宋体" w:eastAsia="宋体" w:cs="宋体"/>
                <w:spacing w:val="10"/>
                <w:sz w:val="18"/>
                <w:szCs w:val="18"/>
              </w:rPr>
              <w:t xml:space="preserve"> </w:t>
            </w:r>
            <w:r>
              <w:rPr>
                <w:rFonts w:ascii="宋体" w:hAnsi="宋体" w:eastAsia="宋体" w:cs="宋体"/>
                <w:spacing w:val="-4"/>
                <w:sz w:val="18"/>
                <w:szCs w:val="18"/>
              </w:rPr>
              <w:t>、Sybase、DB2、</w:t>
            </w:r>
          </w:p>
          <w:p w14:paraId="3272EB38">
            <w:pPr>
              <w:spacing w:before="1" w:line="219" w:lineRule="auto"/>
              <w:ind w:left="17" w:leftChars="0"/>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sz w:val="18"/>
                <w:szCs w:val="18"/>
              </w:rPr>
              <w:t>Informix</w:t>
            </w:r>
            <w:r>
              <w:rPr>
                <w:rFonts w:ascii="宋体" w:hAnsi="宋体" w:eastAsia="宋体" w:cs="宋体"/>
                <w:spacing w:val="2"/>
                <w:sz w:val="18"/>
                <w:szCs w:val="18"/>
              </w:rPr>
              <w:t>等主流数据</w:t>
            </w:r>
          </w:p>
        </w:tc>
        <w:tc>
          <w:tcPr>
            <w:tcW w:w="780" w:type="dxa"/>
            <w:vMerge w:val="continue"/>
            <w:vAlign w:val="center"/>
          </w:tcPr>
          <w:p w14:paraId="67FD501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990" w:type="dxa"/>
            <w:vMerge w:val="continue"/>
            <w:vAlign w:val="center"/>
          </w:tcPr>
          <w:p w14:paraId="7676D76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605" w:type="dxa"/>
            <w:vAlign w:val="center"/>
          </w:tcPr>
          <w:p w14:paraId="410D667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15" w:type="dxa"/>
            <w:vAlign w:val="center"/>
          </w:tcPr>
          <w:p w14:paraId="7A81B85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r>
      <w:tr w14:paraId="7AB97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shd w:val="clear" w:color="auto" w:fill="auto"/>
            <w:vAlign w:val="center"/>
          </w:tcPr>
          <w:p w14:paraId="57FDC6A1">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12</w:t>
            </w:r>
          </w:p>
        </w:tc>
        <w:tc>
          <w:tcPr>
            <w:tcW w:w="749" w:type="dxa"/>
            <w:vMerge w:val="continue"/>
            <w:vAlign w:val="center"/>
          </w:tcPr>
          <w:p w14:paraId="7A8E786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2411" w:type="dxa"/>
            <w:vAlign w:val="center"/>
          </w:tcPr>
          <w:p w14:paraId="67724D0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3.安全渗透测试服务，根据漏洞扫描和弱口令识别结果，对总站网络、数据库、应用系统等进行白盒或黑盒渗透测试。</w:t>
            </w:r>
          </w:p>
        </w:tc>
        <w:tc>
          <w:tcPr>
            <w:tcW w:w="4307" w:type="dxa"/>
            <w:vAlign w:val="center"/>
          </w:tcPr>
          <w:p w14:paraId="0475CB6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渗透服务是指经过授权后，渗透测试人员协调工具，设备到达工作现场，根据用户指定渗透测试目标接入网络，对系统安全性完整性进行模拟渗透测试工作，发现系统脆弱性，并输出渗透测试报告，一年提供至少4次安全渗透测试服务。渗透测试前应编制测试方案，明确测试目标、测试方法、测试时间、测试范围渗透工具及其对应用途、负面影响评估及应急处置方式等。</w:t>
            </w:r>
          </w:p>
        </w:tc>
        <w:tc>
          <w:tcPr>
            <w:tcW w:w="1830" w:type="dxa"/>
            <w:vAlign w:val="top"/>
          </w:tcPr>
          <w:p w14:paraId="2D26DD71">
            <w:pPr>
              <w:pStyle w:val="85"/>
              <w:spacing w:line="318" w:lineRule="auto"/>
            </w:pPr>
          </w:p>
          <w:p w14:paraId="2FC711E9">
            <w:pPr>
              <w:pStyle w:val="85"/>
              <w:spacing w:line="319" w:lineRule="auto"/>
            </w:pPr>
          </w:p>
          <w:p w14:paraId="78FF6E92">
            <w:pPr>
              <w:spacing w:before="59" w:line="227" w:lineRule="auto"/>
              <w:ind w:left="37" w:leftChars="0" w:right="78" w:rightChars="0" w:hanging="10" w:firstLineChars="0"/>
              <w:jc w:val="both"/>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spacing w:val="-1"/>
                <w:sz w:val="18"/>
                <w:szCs w:val="18"/>
              </w:rPr>
              <w:t>用户指定的用户域和数</w:t>
            </w:r>
            <w:r>
              <w:rPr>
                <w:rFonts w:ascii="宋体" w:hAnsi="宋体" w:eastAsia="宋体" w:cs="宋体"/>
                <w:sz w:val="18"/>
                <w:szCs w:val="18"/>
              </w:rPr>
              <w:t xml:space="preserve"> </w:t>
            </w:r>
            <w:r>
              <w:rPr>
                <w:rFonts w:ascii="宋体" w:hAnsi="宋体" w:eastAsia="宋体" w:cs="宋体"/>
                <w:spacing w:val="-1"/>
                <w:sz w:val="18"/>
                <w:szCs w:val="18"/>
              </w:rPr>
              <w:t>据域信息系统、数据库</w:t>
            </w:r>
            <w:r>
              <w:rPr>
                <w:rFonts w:ascii="宋体" w:hAnsi="宋体" w:eastAsia="宋体" w:cs="宋体"/>
                <w:spacing w:val="2"/>
                <w:sz w:val="18"/>
                <w:szCs w:val="18"/>
              </w:rPr>
              <w:t xml:space="preserve"> </w:t>
            </w:r>
            <w:r>
              <w:rPr>
                <w:rFonts w:ascii="宋体" w:hAnsi="宋体" w:eastAsia="宋体" w:cs="宋体"/>
                <w:spacing w:val="4"/>
                <w:sz w:val="18"/>
                <w:szCs w:val="18"/>
              </w:rPr>
              <w:t>等。</w:t>
            </w:r>
          </w:p>
        </w:tc>
        <w:tc>
          <w:tcPr>
            <w:tcW w:w="780" w:type="dxa"/>
            <w:vMerge w:val="continue"/>
            <w:vAlign w:val="center"/>
          </w:tcPr>
          <w:p w14:paraId="732AD7F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990" w:type="dxa"/>
            <w:vMerge w:val="continue"/>
            <w:vAlign w:val="center"/>
          </w:tcPr>
          <w:p w14:paraId="6F5DAAB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605" w:type="dxa"/>
            <w:vAlign w:val="center"/>
          </w:tcPr>
          <w:p w14:paraId="1AA6312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15" w:type="dxa"/>
            <w:vAlign w:val="center"/>
          </w:tcPr>
          <w:p w14:paraId="46AA57C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r>
      <w:tr w14:paraId="7F194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45" w:type="dxa"/>
            <w:shd w:val="clear" w:color="auto" w:fill="auto"/>
            <w:vAlign w:val="center"/>
          </w:tcPr>
          <w:p w14:paraId="251AF506">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13</w:t>
            </w:r>
          </w:p>
        </w:tc>
        <w:tc>
          <w:tcPr>
            <w:tcW w:w="749" w:type="dxa"/>
            <w:vAlign w:val="center"/>
          </w:tcPr>
          <w:p w14:paraId="517F793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应急响应服务</w:t>
            </w:r>
          </w:p>
        </w:tc>
        <w:tc>
          <w:tcPr>
            <w:tcW w:w="2411" w:type="dxa"/>
            <w:vAlign w:val="center"/>
          </w:tcPr>
          <w:p w14:paraId="1188636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协助总站针对总站提供已发生安全事件的事中、事后的取证、分析及提供解决方案等工作。</w:t>
            </w:r>
          </w:p>
        </w:tc>
        <w:tc>
          <w:tcPr>
            <w:tcW w:w="4307" w:type="dxa"/>
            <w:vAlign w:val="center"/>
          </w:tcPr>
          <w:p w14:paraId="0D1C8A0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安全事件发生时快速响应并联系总站评估。现场处置与远程支持相结合，及时处理紧急情况。组织专业团队进行应急处置。进行事件调查溯源，确定事件原因和影响范围，采取措施恢复系统正常运行，降低损失。网络攻击、数据泄露、系统故障等深入调查溯源，确定事件责任主体和原因，提交报告。事件处理后，进行总结分析，评估应急响应效果，提出改进措施，完善安全保障体系。事件处理后持续跟进，检查系统，提供安全加固方案，降低再次发生风险。</w:t>
            </w:r>
          </w:p>
        </w:tc>
        <w:tc>
          <w:tcPr>
            <w:tcW w:w="1830" w:type="dxa"/>
            <w:shd w:val="clear" w:color="auto" w:fill="auto"/>
            <w:vAlign w:val="center"/>
          </w:tcPr>
          <w:p w14:paraId="69526B8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spacing w:val="-2"/>
                <w:sz w:val="18"/>
                <w:szCs w:val="18"/>
              </w:rPr>
              <w:t>总站及下属单位</w:t>
            </w:r>
          </w:p>
        </w:tc>
        <w:tc>
          <w:tcPr>
            <w:tcW w:w="780" w:type="dxa"/>
            <w:shd w:val="clear" w:color="auto" w:fill="auto"/>
            <w:vAlign w:val="center"/>
          </w:tcPr>
          <w:p w14:paraId="229DA9F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年</w:t>
            </w:r>
          </w:p>
        </w:tc>
        <w:tc>
          <w:tcPr>
            <w:tcW w:w="990" w:type="dxa"/>
            <w:shd w:val="clear" w:color="auto" w:fill="auto"/>
            <w:vAlign w:val="center"/>
          </w:tcPr>
          <w:p w14:paraId="2DA4B15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w:t>
            </w:r>
          </w:p>
        </w:tc>
        <w:tc>
          <w:tcPr>
            <w:tcW w:w="1605" w:type="dxa"/>
            <w:shd w:val="clear" w:color="auto" w:fill="auto"/>
            <w:vAlign w:val="center"/>
          </w:tcPr>
          <w:p w14:paraId="6B88A1DD">
            <w:pPr>
              <w:keepNext w:val="0"/>
              <w:keepLines w:val="0"/>
              <w:widowControl/>
              <w:suppressLineNumbers w:val="0"/>
              <w:jc w:val="center"/>
              <w:textAlignment w:val="center"/>
              <w:rPr>
                <w:rFonts w:hint="eastAsia" w:ascii="宋体" w:hAnsi="宋体" w:cs="宋体"/>
                <w:i w:val="0"/>
                <w:iCs w:val="0"/>
                <w:color w:val="000000"/>
                <w:kern w:val="2"/>
                <w:sz w:val="18"/>
                <w:szCs w:val="18"/>
                <w:u w:val="none"/>
                <w:lang w:val="en-US" w:eastAsia="zh-CN" w:bidi="ar-SA"/>
              </w:rPr>
            </w:pPr>
          </w:p>
        </w:tc>
        <w:tc>
          <w:tcPr>
            <w:tcW w:w="1215" w:type="dxa"/>
            <w:shd w:val="clear" w:color="auto" w:fill="auto"/>
            <w:vAlign w:val="center"/>
          </w:tcPr>
          <w:p w14:paraId="73430045">
            <w:pPr>
              <w:keepNext w:val="0"/>
              <w:keepLines w:val="0"/>
              <w:widowControl/>
              <w:suppressLineNumbers w:val="0"/>
              <w:jc w:val="center"/>
              <w:textAlignment w:val="center"/>
              <w:rPr>
                <w:rFonts w:hint="eastAsia" w:ascii="宋体" w:hAnsi="宋体" w:cs="宋体"/>
                <w:i w:val="0"/>
                <w:iCs w:val="0"/>
                <w:color w:val="000000"/>
                <w:kern w:val="2"/>
                <w:sz w:val="18"/>
                <w:szCs w:val="18"/>
                <w:u w:val="none"/>
                <w:lang w:val="en-US" w:eastAsia="zh-CN" w:bidi="ar-SA"/>
              </w:rPr>
            </w:pPr>
          </w:p>
        </w:tc>
      </w:tr>
      <w:tr w14:paraId="4162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shd w:val="clear" w:color="auto" w:fill="auto"/>
            <w:vAlign w:val="center"/>
          </w:tcPr>
          <w:p w14:paraId="1835D44E">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14</w:t>
            </w:r>
          </w:p>
        </w:tc>
        <w:tc>
          <w:tcPr>
            <w:tcW w:w="749" w:type="dxa"/>
            <w:vAlign w:val="center"/>
          </w:tcPr>
          <w:p w14:paraId="025CBDB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重大活动保障服务</w:t>
            </w:r>
          </w:p>
        </w:tc>
        <w:tc>
          <w:tcPr>
            <w:tcW w:w="2411" w:type="dxa"/>
            <w:vAlign w:val="center"/>
          </w:tcPr>
          <w:p w14:paraId="0681DED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重要节点安全技术支撑保障，应急演练，护网行动、重要会议或节日等重大活动提供技术支持保障，并提供专题报告。</w:t>
            </w:r>
          </w:p>
        </w:tc>
        <w:tc>
          <w:tcPr>
            <w:tcW w:w="4307" w:type="dxa"/>
            <w:vAlign w:val="center"/>
          </w:tcPr>
          <w:p w14:paraId="1E3ABC8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确保活动期间网络与信息系统的安全稳定运行。针对总站信息系统进全面的安全评估、制定并执行完善的应急预案、活动期间的实时监测与应急响应，以及与各方的紧密协作沟通等工作，以保障活动顺利进行，根据工作实际情况安排驻场人员24小时现场值守保障，避免安全事件对活动造成负面影响。</w:t>
            </w:r>
          </w:p>
          <w:p w14:paraId="187F3F9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活动期间，利用专业监测工具对网络流量、系统性能、安全设备告警进行实时监测。设定流量阈值、异常行为检测规则，及时发现和预警网络攻击、异常流量等安全威胁。一旦监测到异常情况，迅速分析评估，通知相关人员采取措施，如阻断攻击源、启动应急备份系统等。</w:t>
            </w:r>
          </w:p>
        </w:tc>
        <w:tc>
          <w:tcPr>
            <w:tcW w:w="1830" w:type="dxa"/>
            <w:shd w:val="clear" w:color="auto" w:fill="auto"/>
            <w:vAlign w:val="center"/>
          </w:tcPr>
          <w:p w14:paraId="7E9B994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spacing w:val="-2"/>
                <w:sz w:val="18"/>
                <w:szCs w:val="18"/>
              </w:rPr>
              <w:t>总站及下属单位</w:t>
            </w:r>
          </w:p>
        </w:tc>
        <w:tc>
          <w:tcPr>
            <w:tcW w:w="780" w:type="dxa"/>
            <w:shd w:val="clear" w:color="auto" w:fill="auto"/>
            <w:vAlign w:val="center"/>
          </w:tcPr>
          <w:p w14:paraId="41CFBD9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年</w:t>
            </w:r>
          </w:p>
        </w:tc>
        <w:tc>
          <w:tcPr>
            <w:tcW w:w="990" w:type="dxa"/>
            <w:shd w:val="clear" w:color="auto" w:fill="auto"/>
            <w:vAlign w:val="center"/>
          </w:tcPr>
          <w:p w14:paraId="7B56F87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w:t>
            </w:r>
          </w:p>
        </w:tc>
        <w:tc>
          <w:tcPr>
            <w:tcW w:w="1605" w:type="dxa"/>
            <w:shd w:val="clear" w:color="auto" w:fill="auto"/>
            <w:vAlign w:val="center"/>
          </w:tcPr>
          <w:p w14:paraId="083A388A">
            <w:pPr>
              <w:keepNext w:val="0"/>
              <w:keepLines w:val="0"/>
              <w:widowControl/>
              <w:suppressLineNumbers w:val="0"/>
              <w:jc w:val="center"/>
              <w:textAlignment w:val="center"/>
              <w:rPr>
                <w:rFonts w:hint="eastAsia" w:ascii="宋体" w:hAnsi="宋体" w:cs="宋体"/>
                <w:i w:val="0"/>
                <w:iCs w:val="0"/>
                <w:color w:val="000000"/>
                <w:kern w:val="2"/>
                <w:sz w:val="18"/>
                <w:szCs w:val="18"/>
                <w:u w:val="none"/>
                <w:lang w:val="en-US" w:eastAsia="zh-CN" w:bidi="ar-SA"/>
              </w:rPr>
            </w:pPr>
          </w:p>
        </w:tc>
        <w:tc>
          <w:tcPr>
            <w:tcW w:w="1215" w:type="dxa"/>
            <w:shd w:val="clear" w:color="auto" w:fill="auto"/>
            <w:vAlign w:val="center"/>
          </w:tcPr>
          <w:p w14:paraId="4C6BC654">
            <w:pPr>
              <w:keepNext w:val="0"/>
              <w:keepLines w:val="0"/>
              <w:widowControl/>
              <w:suppressLineNumbers w:val="0"/>
              <w:jc w:val="center"/>
              <w:textAlignment w:val="center"/>
              <w:rPr>
                <w:rFonts w:hint="eastAsia" w:ascii="宋体" w:hAnsi="宋体" w:cs="宋体"/>
                <w:i w:val="0"/>
                <w:iCs w:val="0"/>
                <w:color w:val="000000"/>
                <w:kern w:val="2"/>
                <w:sz w:val="18"/>
                <w:szCs w:val="18"/>
                <w:u w:val="none"/>
                <w:lang w:val="en-US" w:eastAsia="zh-CN" w:bidi="ar-SA"/>
              </w:rPr>
            </w:pPr>
          </w:p>
        </w:tc>
      </w:tr>
      <w:tr w14:paraId="638C7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645" w:type="dxa"/>
            <w:shd w:val="clear" w:color="auto" w:fill="auto"/>
            <w:vAlign w:val="center"/>
          </w:tcPr>
          <w:p w14:paraId="17527A85">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15</w:t>
            </w:r>
          </w:p>
        </w:tc>
        <w:tc>
          <w:tcPr>
            <w:tcW w:w="749" w:type="dxa"/>
            <w:vMerge w:val="restart"/>
            <w:vAlign w:val="center"/>
          </w:tcPr>
          <w:p w14:paraId="1614A4D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等保测评服务</w:t>
            </w:r>
          </w:p>
        </w:tc>
        <w:tc>
          <w:tcPr>
            <w:tcW w:w="2411" w:type="dxa"/>
            <w:vAlign w:val="center"/>
          </w:tcPr>
          <w:p w14:paraId="117D0E9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1.总站基础信息平台等级保护评定及测评工作。</w:t>
            </w:r>
          </w:p>
        </w:tc>
        <w:tc>
          <w:tcPr>
            <w:tcW w:w="4307" w:type="dxa"/>
            <w:vMerge w:val="restart"/>
            <w:vAlign w:val="center"/>
          </w:tcPr>
          <w:p w14:paraId="5387FDF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通过査阅被测系统已有资料或使用调查表格的方式，了解整个系统的构成和保护情况，明确被测系统的范围(特别是信息系统的边界)，了解被测系统的详细构成，包括网络拓扑、业务应用、业务流程、设备信息(服务器、数据库、网络设备、安全设备、数据库等）、管理制度等</w:t>
            </w:r>
          </w:p>
          <w:p w14:paraId="1AA650F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2.分别从技术上的物理安全、网络安全、主机系统安全，应用安全和数据安全五个层面和管理上的安全管理机构，安全管理制度、人员安全管理、系统</w:t>
            </w:r>
          </w:p>
          <w:p w14:paraId="011595C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建设管理和系统运维管理五个方面进行。</w:t>
            </w:r>
          </w:p>
          <w:p w14:paraId="46272B8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3.根据等级测评结论,编制测评报告，包括概述、被测系统描述、测评对象说明、测评指标说明、测评内容和方法说明、单元测评、整体测评、测评结果汇总、风险分析和评价、等级测评结论、整改建议等。</w:t>
            </w:r>
          </w:p>
        </w:tc>
        <w:tc>
          <w:tcPr>
            <w:tcW w:w="1830" w:type="dxa"/>
            <w:vAlign w:val="center"/>
          </w:tcPr>
          <w:p w14:paraId="6CBC1D3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spacing w:val="3"/>
                <w:sz w:val="19"/>
                <w:szCs w:val="19"/>
              </w:rPr>
              <w:t>信息基础平台</w:t>
            </w:r>
          </w:p>
        </w:tc>
        <w:tc>
          <w:tcPr>
            <w:tcW w:w="780" w:type="dxa"/>
            <w:vMerge w:val="restart"/>
            <w:vAlign w:val="center"/>
          </w:tcPr>
          <w:p w14:paraId="4340F1A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年</w:t>
            </w:r>
          </w:p>
        </w:tc>
        <w:tc>
          <w:tcPr>
            <w:tcW w:w="990" w:type="dxa"/>
            <w:vMerge w:val="restart"/>
            <w:vAlign w:val="center"/>
          </w:tcPr>
          <w:p w14:paraId="6E46B23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w:t>
            </w:r>
          </w:p>
        </w:tc>
        <w:tc>
          <w:tcPr>
            <w:tcW w:w="1605" w:type="dxa"/>
            <w:vAlign w:val="center"/>
          </w:tcPr>
          <w:p w14:paraId="750A622F">
            <w:pPr>
              <w:keepNext w:val="0"/>
              <w:keepLines w:val="0"/>
              <w:widowControl/>
              <w:suppressLineNumbers w:val="0"/>
              <w:jc w:val="center"/>
              <w:textAlignment w:val="center"/>
              <w:rPr>
                <w:rFonts w:hint="eastAsia" w:ascii="宋体" w:hAnsi="宋体" w:cs="宋体"/>
                <w:i w:val="0"/>
                <w:iCs w:val="0"/>
                <w:color w:val="000000"/>
                <w:kern w:val="2"/>
                <w:sz w:val="18"/>
                <w:szCs w:val="18"/>
                <w:u w:val="none"/>
                <w:lang w:val="en-US" w:eastAsia="zh-CN" w:bidi="ar-SA"/>
              </w:rPr>
            </w:pPr>
          </w:p>
        </w:tc>
        <w:tc>
          <w:tcPr>
            <w:tcW w:w="1215" w:type="dxa"/>
            <w:vAlign w:val="center"/>
          </w:tcPr>
          <w:p w14:paraId="174F3909">
            <w:pPr>
              <w:keepNext w:val="0"/>
              <w:keepLines w:val="0"/>
              <w:widowControl/>
              <w:suppressLineNumbers w:val="0"/>
              <w:jc w:val="center"/>
              <w:textAlignment w:val="center"/>
              <w:rPr>
                <w:rFonts w:hint="eastAsia" w:ascii="宋体" w:hAnsi="宋体" w:cs="宋体"/>
                <w:i w:val="0"/>
                <w:iCs w:val="0"/>
                <w:color w:val="000000"/>
                <w:kern w:val="2"/>
                <w:sz w:val="18"/>
                <w:szCs w:val="18"/>
                <w:u w:val="none"/>
                <w:lang w:val="en-US" w:eastAsia="zh-CN" w:bidi="ar-SA"/>
              </w:rPr>
            </w:pPr>
          </w:p>
        </w:tc>
      </w:tr>
      <w:tr w14:paraId="2827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trPr>
        <w:tc>
          <w:tcPr>
            <w:tcW w:w="645" w:type="dxa"/>
            <w:shd w:val="clear" w:color="auto" w:fill="auto"/>
            <w:vAlign w:val="center"/>
          </w:tcPr>
          <w:p w14:paraId="27C28E13">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16</w:t>
            </w:r>
          </w:p>
        </w:tc>
        <w:tc>
          <w:tcPr>
            <w:tcW w:w="749" w:type="dxa"/>
            <w:vMerge w:val="continue"/>
            <w:vAlign w:val="center"/>
          </w:tcPr>
          <w:p w14:paraId="77B971B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2411" w:type="dxa"/>
            <w:vAlign w:val="center"/>
          </w:tcPr>
          <w:p w14:paraId="71E6075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2.总站超融合平台等级保护评定及测评工作。</w:t>
            </w:r>
          </w:p>
        </w:tc>
        <w:tc>
          <w:tcPr>
            <w:tcW w:w="4307" w:type="dxa"/>
            <w:vMerge w:val="continue"/>
            <w:vAlign w:val="center"/>
          </w:tcPr>
          <w:p w14:paraId="4B95AA7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830" w:type="dxa"/>
            <w:vAlign w:val="center"/>
          </w:tcPr>
          <w:p w14:paraId="3818737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spacing w:val="4"/>
                <w:sz w:val="19"/>
                <w:szCs w:val="19"/>
              </w:rPr>
              <w:t>超融合平台</w:t>
            </w:r>
          </w:p>
        </w:tc>
        <w:tc>
          <w:tcPr>
            <w:tcW w:w="780" w:type="dxa"/>
            <w:vMerge w:val="continue"/>
            <w:vAlign w:val="center"/>
          </w:tcPr>
          <w:p w14:paraId="56C7001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990" w:type="dxa"/>
            <w:vMerge w:val="continue"/>
            <w:vAlign w:val="center"/>
          </w:tcPr>
          <w:p w14:paraId="597C123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605" w:type="dxa"/>
            <w:vAlign w:val="center"/>
          </w:tcPr>
          <w:p w14:paraId="12785E5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15" w:type="dxa"/>
            <w:vAlign w:val="center"/>
          </w:tcPr>
          <w:p w14:paraId="37806A2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r>
      <w:tr w14:paraId="57EFE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shd w:val="clear" w:color="auto" w:fill="auto"/>
            <w:vAlign w:val="center"/>
          </w:tcPr>
          <w:p w14:paraId="6DD7224A">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17</w:t>
            </w:r>
          </w:p>
        </w:tc>
        <w:tc>
          <w:tcPr>
            <w:tcW w:w="749" w:type="dxa"/>
            <w:vMerge w:val="continue"/>
            <w:vAlign w:val="center"/>
          </w:tcPr>
          <w:p w14:paraId="73FB6B9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2411" w:type="dxa"/>
            <w:vAlign w:val="center"/>
          </w:tcPr>
          <w:p w14:paraId="5E8B4DE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3.总站数据域数智平台安全风险评估。</w:t>
            </w:r>
          </w:p>
        </w:tc>
        <w:tc>
          <w:tcPr>
            <w:tcW w:w="4307" w:type="dxa"/>
            <w:vMerge w:val="continue"/>
            <w:vAlign w:val="center"/>
          </w:tcPr>
          <w:p w14:paraId="3DD7208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830" w:type="dxa"/>
            <w:vAlign w:val="center"/>
          </w:tcPr>
          <w:p w14:paraId="4686565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spacing w:val="5"/>
                <w:sz w:val="19"/>
                <w:szCs w:val="19"/>
              </w:rPr>
              <w:t>数智平台</w:t>
            </w:r>
          </w:p>
        </w:tc>
        <w:tc>
          <w:tcPr>
            <w:tcW w:w="780" w:type="dxa"/>
            <w:vMerge w:val="continue"/>
            <w:vAlign w:val="center"/>
          </w:tcPr>
          <w:p w14:paraId="3AC1C6F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990" w:type="dxa"/>
            <w:vMerge w:val="continue"/>
            <w:vAlign w:val="center"/>
          </w:tcPr>
          <w:p w14:paraId="44F4324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605" w:type="dxa"/>
            <w:vAlign w:val="center"/>
          </w:tcPr>
          <w:p w14:paraId="2ED37D6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15" w:type="dxa"/>
            <w:vAlign w:val="center"/>
          </w:tcPr>
          <w:p w14:paraId="58BF579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r>
      <w:tr w14:paraId="3A4B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shd w:val="clear" w:color="auto" w:fill="auto"/>
            <w:vAlign w:val="center"/>
          </w:tcPr>
          <w:p w14:paraId="32CEB988">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18</w:t>
            </w:r>
          </w:p>
        </w:tc>
        <w:tc>
          <w:tcPr>
            <w:tcW w:w="749" w:type="dxa"/>
            <w:vMerge w:val="restart"/>
            <w:vAlign w:val="center"/>
          </w:tcPr>
          <w:p w14:paraId="582E57F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设备维保服务</w:t>
            </w:r>
          </w:p>
        </w:tc>
        <w:tc>
          <w:tcPr>
            <w:tcW w:w="2411" w:type="dxa"/>
            <w:vAlign w:val="center"/>
          </w:tcPr>
          <w:p w14:paraId="01A2A06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1.网络安全软件 VSCAN1508 漏洞库升级。</w:t>
            </w:r>
          </w:p>
        </w:tc>
        <w:tc>
          <w:tcPr>
            <w:tcW w:w="4307" w:type="dxa"/>
            <w:vAlign w:val="center"/>
          </w:tcPr>
          <w:p w14:paraId="208C211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网络安全软件 License-VSCAN1508 洞库升级服务1年</w:t>
            </w:r>
          </w:p>
          <w:p w14:paraId="0556E90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license-Electronic</w:t>
            </w:r>
          </w:p>
        </w:tc>
        <w:tc>
          <w:tcPr>
            <w:tcW w:w="1830" w:type="dxa"/>
            <w:shd w:val="clear"/>
            <w:vAlign w:val="top"/>
          </w:tcPr>
          <w:p w14:paraId="2DB7B4F4">
            <w:pPr>
              <w:pStyle w:val="85"/>
              <w:spacing w:line="255" w:lineRule="auto"/>
            </w:pPr>
          </w:p>
          <w:p w14:paraId="67D31E7E">
            <w:pPr>
              <w:spacing w:before="62" w:line="185" w:lineRule="auto"/>
              <w:ind w:left="16" w:leftChars="0"/>
              <w:rPr>
                <w:rFonts w:hint="eastAsia" w:ascii="宋体" w:hAnsi="宋体" w:eastAsia="宋体" w:cs="宋体"/>
                <w:kern w:val="2"/>
                <w:sz w:val="19"/>
                <w:szCs w:val="19"/>
                <w:lang w:val="en-US" w:eastAsia="zh-CN" w:bidi="ar-SA"/>
              </w:rPr>
            </w:pPr>
            <w:r>
              <w:rPr>
                <w:rFonts w:ascii="宋体" w:hAnsi="宋体" w:eastAsia="宋体" w:cs="宋体"/>
                <w:spacing w:val="-1"/>
                <w:sz w:val="19"/>
                <w:szCs w:val="19"/>
              </w:rPr>
              <w:t>VSCAN1508</w:t>
            </w:r>
          </w:p>
        </w:tc>
        <w:tc>
          <w:tcPr>
            <w:tcW w:w="780" w:type="dxa"/>
            <w:vMerge w:val="restart"/>
            <w:shd w:val="clear" w:color="auto" w:fill="auto"/>
            <w:vAlign w:val="center"/>
          </w:tcPr>
          <w:p w14:paraId="5E665F9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年</w:t>
            </w:r>
          </w:p>
        </w:tc>
        <w:tc>
          <w:tcPr>
            <w:tcW w:w="990" w:type="dxa"/>
            <w:vMerge w:val="restart"/>
            <w:shd w:val="clear" w:color="auto" w:fill="auto"/>
            <w:vAlign w:val="center"/>
          </w:tcPr>
          <w:p w14:paraId="2FEB961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w:t>
            </w:r>
          </w:p>
        </w:tc>
        <w:tc>
          <w:tcPr>
            <w:tcW w:w="1605" w:type="dxa"/>
            <w:shd w:val="clear" w:color="auto" w:fill="auto"/>
            <w:vAlign w:val="center"/>
          </w:tcPr>
          <w:p w14:paraId="304CF506">
            <w:pPr>
              <w:keepNext w:val="0"/>
              <w:keepLines w:val="0"/>
              <w:widowControl/>
              <w:suppressLineNumbers w:val="0"/>
              <w:jc w:val="center"/>
              <w:textAlignment w:val="center"/>
              <w:rPr>
                <w:rFonts w:hint="eastAsia" w:ascii="宋体" w:hAnsi="宋体" w:cs="宋体"/>
                <w:i w:val="0"/>
                <w:iCs w:val="0"/>
                <w:color w:val="000000"/>
                <w:kern w:val="2"/>
                <w:sz w:val="18"/>
                <w:szCs w:val="18"/>
                <w:u w:val="none"/>
                <w:lang w:val="en-US" w:eastAsia="zh-CN" w:bidi="ar-SA"/>
              </w:rPr>
            </w:pPr>
          </w:p>
        </w:tc>
        <w:tc>
          <w:tcPr>
            <w:tcW w:w="1215" w:type="dxa"/>
            <w:shd w:val="clear" w:color="auto" w:fill="auto"/>
            <w:vAlign w:val="center"/>
          </w:tcPr>
          <w:p w14:paraId="5B9BFD9D">
            <w:pPr>
              <w:keepNext w:val="0"/>
              <w:keepLines w:val="0"/>
              <w:widowControl/>
              <w:suppressLineNumbers w:val="0"/>
              <w:jc w:val="center"/>
              <w:textAlignment w:val="center"/>
              <w:rPr>
                <w:rFonts w:hint="eastAsia" w:ascii="宋体" w:hAnsi="宋体" w:cs="宋体"/>
                <w:i w:val="0"/>
                <w:iCs w:val="0"/>
                <w:color w:val="000000"/>
                <w:kern w:val="2"/>
                <w:sz w:val="18"/>
                <w:szCs w:val="18"/>
                <w:u w:val="none"/>
                <w:lang w:val="en-US" w:eastAsia="zh-CN" w:bidi="ar-SA"/>
              </w:rPr>
            </w:pPr>
          </w:p>
        </w:tc>
      </w:tr>
      <w:tr w14:paraId="5146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shd w:val="clear" w:color="auto" w:fill="auto"/>
            <w:vAlign w:val="center"/>
          </w:tcPr>
          <w:p w14:paraId="085EBE3B">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19</w:t>
            </w:r>
          </w:p>
        </w:tc>
        <w:tc>
          <w:tcPr>
            <w:tcW w:w="749" w:type="dxa"/>
            <w:vMerge w:val="continue"/>
            <w:vAlign w:val="center"/>
          </w:tcPr>
          <w:p w14:paraId="1C2822F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2411" w:type="dxa"/>
            <w:vAlign w:val="center"/>
          </w:tcPr>
          <w:p w14:paraId="56F62DD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2.网络安全防火墙USG6620E特征库更新服务。</w:t>
            </w:r>
          </w:p>
        </w:tc>
        <w:tc>
          <w:tcPr>
            <w:tcW w:w="4307" w:type="dxa"/>
            <w:vAlign w:val="center"/>
          </w:tcPr>
          <w:p w14:paraId="589A28E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1.IPS特征库12个月(适用于USG6620E)。</w:t>
            </w:r>
          </w:p>
          <w:p w14:paraId="5951C9B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2.AV特征库升级12个月(适用于 USG6620E)</w:t>
            </w:r>
          </w:p>
        </w:tc>
        <w:tc>
          <w:tcPr>
            <w:tcW w:w="1830" w:type="dxa"/>
            <w:shd w:val="clear"/>
            <w:vAlign w:val="top"/>
          </w:tcPr>
          <w:p w14:paraId="795AD57F">
            <w:pPr>
              <w:pStyle w:val="85"/>
              <w:spacing w:line="248" w:lineRule="auto"/>
            </w:pPr>
          </w:p>
          <w:p w14:paraId="7268D53E">
            <w:pPr>
              <w:spacing w:before="62" w:line="183" w:lineRule="auto"/>
              <w:ind w:left="16" w:leftChars="0"/>
              <w:rPr>
                <w:rFonts w:hint="eastAsia" w:ascii="宋体" w:hAnsi="宋体" w:eastAsia="宋体" w:cs="宋体"/>
                <w:kern w:val="2"/>
                <w:sz w:val="19"/>
                <w:szCs w:val="19"/>
                <w:lang w:val="en-US" w:eastAsia="zh-CN" w:bidi="ar-SA"/>
              </w:rPr>
            </w:pPr>
            <w:r>
              <w:rPr>
                <w:rFonts w:ascii="宋体" w:hAnsi="宋体" w:eastAsia="宋体" w:cs="宋体"/>
                <w:spacing w:val="-1"/>
                <w:sz w:val="19"/>
                <w:szCs w:val="19"/>
              </w:rPr>
              <w:t>USG6620E</w:t>
            </w:r>
          </w:p>
        </w:tc>
        <w:tc>
          <w:tcPr>
            <w:tcW w:w="780" w:type="dxa"/>
            <w:vMerge w:val="continue"/>
            <w:vAlign w:val="center"/>
          </w:tcPr>
          <w:p w14:paraId="03FAD82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990" w:type="dxa"/>
            <w:vMerge w:val="continue"/>
            <w:vAlign w:val="center"/>
          </w:tcPr>
          <w:p w14:paraId="295D18E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605" w:type="dxa"/>
            <w:vAlign w:val="center"/>
          </w:tcPr>
          <w:p w14:paraId="7B9860C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215" w:type="dxa"/>
            <w:vAlign w:val="center"/>
          </w:tcPr>
          <w:p w14:paraId="34C8C8B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r>
      <w:tr w14:paraId="4B48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shd w:val="clear" w:color="auto" w:fill="auto"/>
            <w:vAlign w:val="center"/>
          </w:tcPr>
          <w:p w14:paraId="297BB814">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20</w:t>
            </w:r>
          </w:p>
        </w:tc>
        <w:tc>
          <w:tcPr>
            <w:tcW w:w="749" w:type="dxa"/>
            <w:vAlign w:val="center"/>
          </w:tcPr>
          <w:p w14:paraId="2D9DF20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安全培训服务</w:t>
            </w:r>
          </w:p>
        </w:tc>
        <w:tc>
          <w:tcPr>
            <w:tcW w:w="2411" w:type="dxa"/>
            <w:vAlign w:val="center"/>
          </w:tcPr>
          <w:p w14:paraId="4356616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针对总站要求，制定合理培训计划和培训内容。</w:t>
            </w:r>
          </w:p>
        </w:tc>
        <w:tc>
          <w:tcPr>
            <w:tcW w:w="4307" w:type="dxa"/>
            <w:vAlign w:val="center"/>
          </w:tcPr>
          <w:p w14:paraId="2E83432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每年国家网络安全宣传周供一次安全培训工作,培训内容根据当前网络安全前沿技术和发展方向制定《网络安全警示教育》《网络安全新型技术》等课题，邀请1名网络安全方面专家现场培训，最终根据用户实际需求制定培训计划和方案。</w:t>
            </w:r>
          </w:p>
          <w:p w14:paraId="1C67428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2.定期对总站技术人员开展网络安全攻防演练培训工作,攻防演练培训的内容包括黑客攻击技术、攻击手法等内容。</w:t>
            </w:r>
          </w:p>
        </w:tc>
        <w:tc>
          <w:tcPr>
            <w:tcW w:w="1830" w:type="dxa"/>
            <w:shd w:val="clear"/>
            <w:vAlign w:val="top"/>
          </w:tcPr>
          <w:p w14:paraId="3E73041E">
            <w:pPr>
              <w:pStyle w:val="85"/>
              <w:spacing w:line="244" w:lineRule="auto"/>
            </w:pPr>
          </w:p>
          <w:p w14:paraId="27B6FFC4">
            <w:pPr>
              <w:pStyle w:val="85"/>
              <w:spacing w:line="245" w:lineRule="auto"/>
            </w:pPr>
          </w:p>
          <w:p w14:paraId="47C46357">
            <w:pPr>
              <w:spacing w:before="62" w:line="217" w:lineRule="auto"/>
              <w:ind w:left="16" w:leftChars="0"/>
              <w:rPr>
                <w:rFonts w:hint="eastAsia" w:ascii="宋体" w:hAnsi="宋体" w:eastAsia="宋体" w:cs="宋体"/>
                <w:kern w:val="2"/>
                <w:sz w:val="19"/>
                <w:szCs w:val="19"/>
                <w:lang w:val="en-US" w:eastAsia="zh-CN" w:bidi="ar-SA"/>
              </w:rPr>
            </w:pPr>
            <w:r>
              <w:rPr>
                <w:rFonts w:ascii="宋体" w:hAnsi="宋体" w:eastAsia="宋体" w:cs="宋体"/>
                <w:spacing w:val="-2"/>
                <w:sz w:val="19"/>
                <w:szCs w:val="19"/>
              </w:rPr>
              <w:t>总站领导、技术管理和</w:t>
            </w:r>
            <w:r>
              <w:rPr>
                <w:rFonts w:ascii="宋体" w:hAnsi="宋体" w:eastAsia="宋体" w:cs="宋体"/>
                <w:spacing w:val="1"/>
                <w:sz w:val="19"/>
                <w:szCs w:val="19"/>
              </w:rPr>
              <w:t xml:space="preserve"> </w:t>
            </w:r>
            <w:r>
              <w:rPr>
                <w:rFonts w:ascii="宋体" w:hAnsi="宋体" w:eastAsia="宋体" w:cs="宋体"/>
                <w:spacing w:val="5"/>
                <w:sz w:val="19"/>
                <w:szCs w:val="19"/>
              </w:rPr>
              <w:t>运维人员</w:t>
            </w:r>
          </w:p>
        </w:tc>
        <w:tc>
          <w:tcPr>
            <w:tcW w:w="780" w:type="dxa"/>
            <w:shd w:val="clear" w:color="auto" w:fill="auto"/>
            <w:vAlign w:val="center"/>
          </w:tcPr>
          <w:p w14:paraId="2FB391E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年</w:t>
            </w:r>
          </w:p>
        </w:tc>
        <w:tc>
          <w:tcPr>
            <w:tcW w:w="990" w:type="dxa"/>
            <w:shd w:val="clear" w:color="auto" w:fill="auto"/>
            <w:vAlign w:val="center"/>
          </w:tcPr>
          <w:p w14:paraId="5C9B80E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w:t>
            </w:r>
          </w:p>
        </w:tc>
        <w:tc>
          <w:tcPr>
            <w:tcW w:w="1605" w:type="dxa"/>
            <w:shd w:val="clear" w:color="auto" w:fill="auto"/>
            <w:vAlign w:val="center"/>
          </w:tcPr>
          <w:p w14:paraId="4C55BDDC">
            <w:pPr>
              <w:keepNext w:val="0"/>
              <w:keepLines w:val="0"/>
              <w:widowControl/>
              <w:suppressLineNumbers w:val="0"/>
              <w:jc w:val="center"/>
              <w:textAlignment w:val="center"/>
              <w:rPr>
                <w:rFonts w:hint="eastAsia" w:ascii="宋体" w:hAnsi="宋体" w:cs="宋体"/>
                <w:i w:val="0"/>
                <w:iCs w:val="0"/>
                <w:color w:val="000000"/>
                <w:kern w:val="2"/>
                <w:sz w:val="18"/>
                <w:szCs w:val="18"/>
                <w:u w:val="none"/>
                <w:lang w:val="en-US" w:eastAsia="zh-CN" w:bidi="ar-SA"/>
              </w:rPr>
            </w:pPr>
          </w:p>
        </w:tc>
        <w:tc>
          <w:tcPr>
            <w:tcW w:w="1215" w:type="dxa"/>
            <w:shd w:val="clear" w:color="auto" w:fill="auto"/>
            <w:vAlign w:val="center"/>
          </w:tcPr>
          <w:p w14:paraId="15452F27">
            <w:pPr>
              <w:keepNext w:val="0"/>
              <w:keepLines w:val="0"/>
              <w:widowControl/>
              <w:suppressLineNumbers w:val="0"/>
              <w:jc w:val="center"/>
              <w:textAlignment w:val="center"/>
              <w:rPr>
                <w:rFonts w:hint="eastAsia" w:ascii="宋体" w:hAnsi="宋体" w:cs="宋体"/>
                <w:i w:val="0"/>
                <w:iCs w:val="0"/>
                <w:color w:val="000000"/>
                <w:kern w:val="2"/>
                <w:sz w:val="18"/>
                <w:szCs w:val="18"/>
                <w:u w:val="none"/>
                <w:lang w:val="en-US" w:eastAsia="zh-CN" w:bidi="ar-SA"/>
              </w:rPr>
            </w:pPr>
          </w:p>
        </w:tc>
      </w:tr>
      <w:tr w14:paraId="7D37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shd w:val="clear" w:color="auto" w:fill="auto"/>
            <w:vAlign w:val="center"/>
          </w:tcPr>
          <w:p w14:paraId="6285C7FC">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21</w:t>
            </w:r>
          </w:p>
        </w:tc>
        <w:tc>
          <w:tcPr>
            <w:tcW w:w="749" w:type="dxa"/>
            <w:vAlign w:val="center"/>
          </w:tcPr>
          <w:p w14:paraId="379DFFF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安全咨询服务</w:t>
            </w:r>
          </w:p>
        </w:tc>
        <w:tc>
          <w:tcPr>
            <w:tcW w:w="2411" w:type="dxa"/>
            <w:vAlign w:val="center"/>
          </w:tcPr>
          <w:p w14:paraId="451CC34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咨询服务包括风险评估咨询、合规咨询、安全策略制定、应急响应规划等</w:t>
            </w:r>
          </w:p>
        </w:tc>
        <w:tc>
          <w:tcPr>
            <w:tcW w:w="4307" w:type="dxa"/>
            <w:vAlign w:val="center"/>
          </w:tcPr>
          <w:p w14:paraId="6221F52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结合总站需求和工作特殊性，需要强调业务和网络安全的合规性。总站的业务场景，比如移动警务、视频专网、大数据安全体系等，针对这些场景定制咨询方案。</w:t>
            </w:r>
          </w:p>
        </w:tc>
        <w:tc>
          <w:tcPr>
            <w:tcW w:w="1830" w:type="dxa"/>
            <w:shd w:val="clear"/>
            <w:vAlign w:val="top"/>
          </w:tcPr>
          <w:p w14:paraId="23748E0C">
            <w:pPr>
              <w:pStyle w:val="85"/>
              <w:spacing w:line="260" w:lineRule="auto"/>
            </w:pPr>
          </w:p>
          <w:p w14:paraId="0882D6DB">
            <w:pPr>
              <w:pStyle w:val="85"/>
              <w:spacing w:line="261" w:lineRule="auto"/>
            </w:pPr>
          </w:p>
          <w:p w14:paraId="38192DAF">
            <w:pPr>
              <w:spacing w:before="62" w:line="220" w:lineRule="auto"/>
              <w:ind w:left="16" w:leftChars="0"/>
              <w:rPr>
                <w:rFonts w:hint="eastAsia" w:ascii="宋体" w:hAnsi="宋体" w:eastAsia="宋体" w:cs="宋体"/>
                <w:kern w:val="2"/>
                <w:sz w:val="19"/>
                <w:szCs w:val="19"/>
                <w:lang w:val="en-US" w:eastAsia="zh-CN" w:bidi="ar-SA"/>
              </w:rPr>
            </w:pPr>
            <w:r>
              <w:rPr>
                <w:rFonts w:ascii="宋体" w:hAnsi="宋体" w:eastAsia="宋体" w:cs="宋体"/>
                <w:spacing w:val="-2"/>
                <w:sz w:val="19"/>
                <w:szCs w:val="19"/>
              </w:rPr>
              <w:t>总站及下属单位</w:t>
            </w:r>
          </w:p>
        </w:tc>
        <w:tc>
          <w:tcPr>
            <w:tcW w:w="780" w:type="dxa"/>
            <w:vAlign w:val="center"/>
          </w:tcPr>
          <w:p w14:paraId="7241124F">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年</w:t>
            </w:r>
          </w:p>
        </w:tc>
        <w:tc>
          <w:tcPr>
            <w:tcW w:w="990" w:type="dxa"/>
            <w:vAlign w:val="center"/>
          </w:tcPr>
          <w:p w14:paraId="79F1EFE8">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w:t>
            </w:r>
          </w:p>
        </w:tc>
        <w:tc>
          <w:tcPr>
            <w:tcW w:w="1605" w:type="dxa"/>
            <w:vAlign w:val="center"/>
          </w:tcPr>
          <w:p w14:paraId="66478D55">
            <w:pPr>
              <w:keepNext w:val="0"/>
              <w:keepLines w:val="0"/>
              <w:widowControl/>
              <w:suppressLineNumbers w:val="0"/>
              <w:jc w:val="center"/>
              <w:textAlignment w:val="center"/>
              <w:rPr>
                <w:rFonts w:hint="eastAsia" w:ascii="宋体" w:hAnsi="宋体" w:cs="宋体"/>
                <w:i w:val="0"/>
                <w:iCs w:val="0"/>
                <w:color w:val="000000"/>
                <w:kern w:val="2"/>
                <w:sz w:val="18"/>
                <w:szCs w:val="18"/>
                <w:u w:val="none"/>
                <w:lang w:val="en-US" w:eastAsia="zh-CN" w:bidi="ar-SA"/>
              </w:rPr>
            </w:pPr>
          </w:p>
        </w:tc>
        <w:tc>
          <w:tcPr>
            <w:tcW w:w="1215" w:type="dxa"/>
            <w:vAlign w:val="center"/>
          </w:tcPr>
          <w:p w14:paraId="42C165F3">
            <w:pPr>
              <w:keepNext w:val="0"/>
              <w:keepLines w:val="0"/>
              <w:widowControl/>
              <w:suppressLineNumbers w:val="0"/>
              <w:jc w:val="center"/>
              <w:textAlignment w:val="center"/>
              <w:rPr>
                <w:rFonts w:hint="eastAsia" w:ascii="宋体" w:hAnsi="宋体" w:cs="宋体"/>
                <w:i w:val="0"/>
                <w:iCs w:val="0"/>
                <w:color w:val="000000"/>
                <w:kern w:val="2"/>
                <w:sz w:val="18"/>
                <w:szCs w:val="18"/>
                <w:u w:val="none"/>
                <w:lang w:val="en-US" w:eastAsia="zh-CN" w:bidi="ar-SA"/>
              </w:rPr>
            </w:pPr>
          </w:p>
        </w:tc>
      </w:tr>
      <w:tr w14:paraId="3B00B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805" w:type="dxa"/>
            <w:gridSpan w:val="3"/>
            <w:shd w:val="clear" w:color="auto" w:fill="auto"/>
            <w:vAlign w:val="center"/>
          </w:tcPr>
          <w:p w14:paraId="0F8DF144">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合计：</w:t>
            </w:r>
          </w:p>
        </w:tc>
        <w:tc>
          <w:tcPr>
            <w:tcW w:w="9512" w:type="dxa"/>
            <w:gridSpan w:val="5"/>
            <w:vAlign w:val="center"/>
          </w:tcPr>
          <w:p w14:paraId="35F3475D">
            <w:pPr>
              <w:keepNext w:val="0"/>
              <w:keepLines w:val="0"/>
              <w:widowControl/>
              <w:suppressLineNumbers w:val="0"/>
              <w:jc w:val="center"/>
              <w:textAlignment w:val="center"/>
              <w:rPr>
                <w:rFonts w:hint="eastAsia" w:ascii="宋体" w:hAnsi="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小写：</w:t>
            </w:r>
          </w:p>
          <w:p w14:paraId="392E8A2B">
            <w:pPr>
              <w:keepNext w:val="0"/>
              <w:keepLines w:val="0"/>
              <w:widowControl/>
              <w:suppressLineNumbers w:val="0"/>
              <w:jc w:val="center"/>
              <w:textAlignment w:val="center"/>
              <w:rPr>
                <w:rFonts w:hint="default" w:ascii="宋体" w:hAnsi="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大写：</w:t>
            </w:r>
          </w:p>
        </w:tc>
        <w:tc>
          <w:tcPr>
            <w:tcW w:w="1215" w:type="dxa"/>
            <w:vAlign w:val="center"/>
          </w:tcPr>
          <w:p w14:paraId="4FBCE2D9">
            <w:pPr>
              <w:keepNext w:val="0"/>
              <w:keepLines w:val="0"/>
              <w:widowControl/>
              <w:suppressLineNumbers w:val="0"/>
              <w:jc w:val="center"/>
              <w:textAlignment w:val="center"/>
              <w:rPr>
                <w:rFonts w:hint="eastAsia" w:ascii="宋体" w:hAnsi="宋体" w:cs="宋体"/>
                <w:i w:val="0"/>
                <w:iCs w:val="0"/>
                <w:color w:val="000000"/>
                <w:kern w:val="2"/>
                <w:sz w:val="18"/>
                <w:szCs w:val="18"/>
                <w:u w:val="none"/>
                <w:lang w:val="en-US" w:eastAsia="zh-CN" w:bidi="ar-SA"/>
              </w:rPr>
            </w:pPr>
          </w:p>
        </w:tc>
      </w:tr>
    </w:tbl>
    <w:p w14:paraId="535A9B7D">
      <w:pPr>
        <w:rPr>
          <w:rFonts w:hint="eastAsia" w:ascii="宋体" w:hAnsi="宋体" w:eastAsia="宋体" w:cs="宋体"/>
          <w:color w:val="auto"/>
          <w:spacing w:val="6"/>
          <w:sz w:val="29"/>
          <w:szCs w:val="29"/>
          <w:highlight w:val="none"/>
        </w:rPr>
        <w:sectPr>
          <w:pgSz w:w="16838" w:h="11906" w:orient="landscape"/>
          <w:pgMar w:top="1544" w:right="1417" w:bottom="1785" w:left="1347" w:header="0" w:footer="1171" w:gutter="0"/>
          <w:pgNumType w:fmt="decimal"/>
          <w:cols w:space="720" w:num="1"/>
        </w:sectPr>
      </w:pPr>
      <w:bookmarkStart w:id="482" w:name="_GoBack"/>
      <w:bookmarkEnd w:id="482"/>
    </w:p>
    <w:p w14:paraId="13BDCFF8">
      <w:pPr>
        <w:rPr>
          <w:rFonts w:hint="eastAsia" w:ascii="宋体" w:hAnsi="宋体" w:eastAsia="宋体" w:cs="宋体"/>
          <w:color w:val="auto"/>
          <w:spacing w:val="6"/>
          <w:sz w:val="29"/>
          <w:szCs w:val="29"/>
          <w:highlight w:val="none"/>
        </w:rPr>
      </w:pPr>
    </w:p>
    <w:p w14:paraId="30CB0E51">
      <w:pPr>
        <w:spacing w:before="114" w:line="360" w:lineRule="auto"/>
        <w:ind w:left="2999"/>
        <w:rPr>
          <w:rFonts w:hint="eastAsia" w:ascii="宋体" w:hAnsi="宋体" w:eastAsia="宋体" w:cs="宋体"/>
          <w:color w:val="auto"/>
          <w:highlight w:val="none"/>
        </w:rPr>
      </w:pPr>
      <w:r>
        <w:rPr>
          <w:rFonts w:hint="eastAsia" w:ascii="宋体" w:hAnsi="宋体" w:eastAsia="宋体" w:cs="宋体"/>
          <w:b/>
          <w:bCs/>
          <w:color w:val="auto"/>
          <w:spacing w:val="6"/>
          <w:sz w:val="28"/>
          <w:szCs w:val="28"/>
          <w:highlight w:val="none"/>
        </w:rPr>
        <w:t>二、资格审查资料</w:t>
      </w:r>
    </w:p>
    <w:p w14:paraId="40BE8557">
      <w:pPr>
        <w:widowControl w:val="0"/>
        <w:numPr>
          <w:ilvl w:val="0"/>
          <w:numId w:val="0"/>
        </w:numPr>
        <w:spacing w:line="360" w:lineRule="auto"/>
        <w:jc w:val="both"/>
        <w:rPr>
          <w:rFonts w:hint="eastAsia" w:ascii="宋体" w:hAnsi="宋体" w:eastAsia="宋体" w:cs="宋体"/>
          <w:color w:val="auto"/>
          <w:spacing w:val="13"/>
          <w:sz w:val="24"/>
          <w:szCs w:val="24"/>
          <w:highlight w:val="none"/>
        </w:rPr>
      </w:pPr>
      <w:r>
        <w:rPr>
          <w:rFonts w:hint="eastAsia" w:ascii="宋体" w:hAnsi="宋体" w:cs="宋体"/>
          <w:color w:val="auto"/>
          <w:spacing w:val="8"/>
          <w:sz w:val="24"/>
          <w:szCs w:val="24"/>
          <w:highlight w:val="none"/>
          <w:lang w:val="en-US" w:eastAsia="zh-CN"/>
        </w:rPr>
        <w:t>1.</w:t>
      </w:r>
      <w:r>
        <w:rPr>
          <w:rFonts w:hint="eastAsia" w:ascii="宋体" w:hAnsi="宋体" w:eastAsia="宋体" w:cs="宋体"/>
          <w:color w:val="auto"/>
          <w:spacing w:val="13"/>
          <w:sz w:val="24"/>
          <w:szCs w:val="24"/>
          <w:highlight w:val="none"/>
        </w:rPr>
        <w:t>法人或者其他组织的营业执照等证明文件，</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13"/>
          <w:sz w:val="24"/>
          <w:szCs w:val="24"/>
          <w:highlight w:val="none"/>
        </w:rPr>
        <w:t>自然人的身份证明（复印件加盖公章）</w:t>
      </w:r>
    </w:p>
    <w:p w14:paraId="5B527570">
      <w:pPr>
        <w:widowControl w:val="0"/>
        <w:numPr>
          <w:ilvl w:val="0"/>
          <w:numId w:val="0"/>
        </w:numPr>
        <w:spacing w:line="360" w:lineRule="auto"/>
        <w:jc w:val="both"/>
        <w:rPr>
          <w:rFonts w:hint="eastAsia" w:ascii="宋体" w:hAnsi="宋体" w:eastAsia="宋体" w:cs="宋体"/>
          <w:sz w:val="24"/>
        </w:rPr>
      </w:pPr>
      <w:r>
        <w:rPr>
          <w:rFonts w:hint="eastAsia" w:ascii="宋体" w:hAnsi="宋体" w:cs="宋体"/>
          <w:color w:val="auto"/>
          <w:spacing w:val="13"/>
          <w:sz w:val="24"/>
          <w:szCs w:val="24"/>
          <w:highlight w:val="none"/>
          <w:lang w:val="en-US" w:eastAsia="zh-CN"/>
        </w:rPr>
        <w:t>2.</w:t>
      </w:r>
      <w:r>
        <w:rPr>
          <w:rFonts w:hint="eastAsia" w:ascii="宋体" w:hAnsi="宋体" w:eastAsia="宋体" w:cs="宋体"/>
          <w:sz w:val="24"/>
        </w:rPr>
        <w:t>经审计的最近一个年度（202</w:t>
      </w:r>
      <w:r>
        <w:rPr>
          <w:rFonts w:hint="eastAsia" w:ascii="宋体" w:hAnsi="宋体" w:cs="宋体"/>
          <w:sz w:val="24"/>
          <w:lang w:val="en-US" w:eastAsia="zh-CN"/>
        </w:rPr>
        <w:t>4</w:t>
      </w:r>
      <w:r>
        <w:rPr>
          <w:rFonts w:hint="eastAsia" w:ascii="宋体" w:hAnsi="宋体" w:eastAsia="宋体" w:cs="宋体"/>
          <w:sz w:val="24"/>
        </w:rPr>
        <w:t>年）的财务状况报告或开标前一年内银行出具的资信证明（成立不满一年不需提供）；（复印件加盖公章）</w:t>
      </w:r>
    </w:p>
    <w:p w14:paraId="280BD737">
      <w:pPr>
        <w:widowControl w:val="0"/>
        <w:numPr>
          <w:ilvl w:val="0"/>
          <w:numId w:val="0"/>
        </w:numPr>
        <w:spacing w:line="360" w:lineRule="auto"/>
        <w:jc w:val="both"/>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依法缴纳税收和社会保障资金的相关材料（提供提交响应文件截止时间前</w:t>
      </w:r>
      <w:r>
        <w:rPr>
          <w:rFonts w:hint="eastAsia" w:ascii="宋体" w:hAnsi="宋体" w:cs="宋体"/>
          <w:sz w:val="24"/>
          <w:lang w:val="en-US" w:eastAsia="zh-CN"/>
        </w:rPr>
        <w:t>六个月</w:t>
      </w:r>
      <w:r>
        <w:rPr>
          <w:rFonts w:hint="eastAsia" w:ascii="宋体" w:hAnsi="宋体" w:eastAsia="宋体" w:cs="宋体"/>
          <w:sz w:val="24"/>
        </w:rPr>
        <w:t>内至少</w:t>
      </w:r>
      <w:r>
        <w:rPr>
          <w:rFonts w:hint="eastAsia" w:ascii="宋体" w:hAnsi="宋体" w:cs="宋体"/>
          <w:sz w:val="24"/>
          <w:lang w:val="en-US" w:eastAsia="zh-CN"/>
        </w:rPr>
        <w:t>一</w:t>
      </w:r>
      <w:r>
        <w:rPr>
          <w:rFonts w:hint="eastAsia" w:ascii="宋体" w:hAnsi="宋体" w:eastAsia="宋体" w:cs="宋体"/>
          <w:sz w:val="24"/>
        </w:rPr>
        <w:t>个月依法缴纳税收及缴纳社会保障资金的证明材料。投标人依法享受缓缴、免缴税收、社会保障资金的提供证明材料）（复印件加盖公章）;</w:t>
      </w:r>
    </w:p>
    <w:p w14:paraId="52D47ED1">
      <w:pPr>
        <w:widowControl w:val="0"/>
        <w:numPr>
          <w:ilvl w:val="0"/>
          <w:numId w:val="0"/>
        </w:numPr>
        <w:spacing w:line="360" w:lineRule="auto"/>
        <w:jc w:val="both"/>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具备履行合同所必需的设备和专业技术能力的证明材料（提供承诺函）；</w:t>
      </w:r>
    </w:p>
    <w:p w14:paraId="5D31B016">
      <w:pPr>
        <w:widowControl w:val="0"/>
        <w:numPr>
          <w:ilvl w:val="0"/>
          <w:numId w:val="0"/>
        </w:numPr>
        <w:spacing w:line="360" w:lineRule="auto"/>
        <w:jc w:val="both"/>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参加政府采购活动前3年内（202</w:t>
      </w:r>
      <w:r>
        <w:rPr>
          <w:rFonts w:hint="eastAsia" w:ascii="宋体" w:hAnsi="宋体" w:cs="宋体"/>
          <w:sz w:val="24"/>
          <w:lang w:val="en-US" w:eastAsia="zh-CN"/>
        </w:rPr>
        <w:t>2</w:t>
      </w:r>
      <w:r>
        <w:rPr>
          <w:rFonts w:hint="eastAsia" w:ascii="宋体" w:hAnsi="宋体" w:eastAsia="宋体" w:cs="宋体"/>
          <w:sz w:val="24"/>
        </w:rPr>
        <w:t>年1月1日-至今）在经营活动中没有重大违法记录的书面声明；</w:t>
      </w:r>
    </w:p>
    <w:p w14:paraId="1489CBD4">
      <w:pPr>
        <w:widowControl w:val="0"/>
        <w:numPr>
          <w:ilvl w:val="0"/>
          <w:numId w:val="0"/>
        </w:numPr>
        <w:spacing w:line="360" w:lineRule="auto"/>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sz w:val="24"/>
          <w:szCs w:val="24"/>
        </w:rPr>
        <w:t>供应商未被列入“信用中国”网站(www.creditchina.gov.cn)证记录失信被执行人或重大税收违法案件当事人名单或政府采购严重违法失信行为”记录名单；未处于中国政府采购 网(www.ccgp.gov.cn)当政府采购严重违法失信行为信息记录”中；</w:t>
      </w:r>
      <w:r>
        <w:rPr>
          <w:rFonts w:hint="eastAsia" w:ascii="宋体" w:hAnsi="宋体" w:eastAsia="宋体" w:cs="宋体"/>
          <w:b/>
          <w:bCs/>
          <w:sz w:val="24"/>
          <w:szCs w:val="24"/>
        </w:rPr>
        <w:t xml:space="preserve"> </w:t>
      </w:r>
    </w:p>
    <w:p w14:paraId="63763215">
      <w:pPr>
        <w:widowControl w:val="0"/>
        <w:numPr>
          <w:ilvl w:val="0"/>
          <w:numId w:val="0"/>
        </w:numPr>
        <w:spacing w:line="360" w:lineRule="auto"/>
        <w:jc w:val="both"/>
        <w:rPr>
          <w:rFonts w:hint="eastAsia" w:ascii="宋体" w:hAnsi="宋体" w:eastAsia="宋体" w:cs="宋体"/>
          <w:sz w:val="24"/>
        </w:rPr>
      </w:pPr>
      <w:r>
        <w:rPr>
          <w:rFonts w:hint="eastAsia" w:ascii="宋体" w:hAnsi="宋体" w:cs="宋体"/>
          <w:color w:val="auto"/>
          <w:spacing w:val="13"/>
          <w:sz w:val="24"/>
          <w:szCs w:val="24"/>
          <w:highlight w:val="none"/>
          <w:lang w:val="en-US" w:eastAsia="zh-CN"/>
        </w:rPr>
        <w:t>7.</w:t>
      </w:r>
      <w:r>
        <w:rPr>
          <w:rFonts w:hint="eastAsia" w:ascii="宋体" w:hAnsi="宋体" w:eastAsia="宋体" w:cs="宋体"/>
          <w:sz w:val="24"/>
        </w:rPr>
        <w:t>单位负责人为同一人或者存在控股、管理关系的不同单位，不得同时参加本项目的投标。为本项目提供整体设计、规范编制或者项目管理、监理、检测等服务的</w:t>
      </w:r>
      <w:r>
        <w:rPr>
          <w:rFonts w:hint="eastAsia" w:ascii="宋体" w:hAnsi="宋体" w:cs="宋体"/>
          <w:sz w:val="24"/>
          <w:lang w:val="en-US" w:eastAsia="zh-CN"/>
        </w:rPr>
        <w:t>供应商</w:t>
      </w:r>
      <w:r>
        <w:rPr>
          <w:rFonts w:hint="eastAsia" w:ascii="宋体" w:hAnsi="宋体" w:eastAsia="宋体" w:cs="宋体"/>
          <w:sz w:val="24"/>
        </w:rPr>
        <w:t>，不得再参加本项目</w:t>
      </w:r>
      <w:r>
        <w:rPr>
          <w:rFonts w:hint="eastAsia" w:ascii="宋体" w:hAnsi="宋体" w:cs="宋体"/>
          <w:sz w:val="24"/>
          <w:lang w:val="en-US" w:eastAsia="zh-CN"/>
        </w:rPr>
        <w:t>谈判</w:t>
      </w:r>
      <w:r>
        <w:rPr>
          <w:rFonts w:hint="eastAsia" w:ascii="宋体" w:hAnsi="宋体" w:eastAsia="宋体" w:cs="宋体"/>
          <w:sz w:val="24"/>
        </w:rPr>
        <w:t>（提供承诺函及主要出资人信息表，加盖公章）</w:t>
      </w:r>
    </w:p>
    <w:p w14:paraId="66A18C5D">
      <w:pPr>
        <w:spacing w:line="360" w:lineRule="auto"/>
        <w:jc w:val="left"/>
        <w:rPr>
          <w:rFonts w:hint="eastAsia" w:ascii="宋体" w:hAnsi="宋体" w:eastAsia="宋体" w:cs="宋体"/>
          <w:sz w:val="24"/>
        </w:rPr>
      </w:pPr>
      <w:r>
        <w:rPr>
          <w:rFonts w:hint="eastAsia" w:ascii="宋体" w:hAnsi="宋体" w:cs="宋体"/>
          <w:sz w:val="24"/>
          <w:lang w:val="en-US" w:eastAsia="zh-CN"/>
        </w:rPr>
        <w:t>8.</w:t>
      </w:r>
      <w:r>
        <w:rPr>
          <w:rFonts w:hint="eastAsia" w:ascii="宋体" w:hAnsi="宋体" w:eastAsia="宋体" w:cs="宋体"/>
          <w:sz w:val="24"/>
        </w:rPr>
        <w:t>（1）本项目专门面向中小企业采购，企业需提供《中小企业声明函》，监狱企业提供监狱企业的证明文件，残疾人福利性单位提供《残疾人福利性单位声明函》。</w:t>
      </w:r>
    </w:p>
    <w:p w14:paraId="16FFDC45">
      <w:pPr>
        <w:widowControl w:val="0"/>
        <w:numPr>
          <w:ilvl w:val="0"/>
          <w:numId w:val="0"/>
        </w:numPr>
        <w:spacing w:line="360" w:lineRule="auto"/>
        <w:jc w:val="both"/>
        <w:rPr>
          <w:rFonts w:hint="eastAsia" w:hAnsi="宋体" w:cs="宋体"/>
          <w:b/>
          <w:bCs/>
          <w:sz w:val="28"/>
          <w:szCs w:val="28"/>
          <w:lang w:val="en-US" w:eastAsia="zh-CN"/>
        </w:rPr>
      </w:pPr>
      <w:r>
        <w:rPr>
          <w:rFonts w:hint="eastAsia" w:ascii="宋体" w:hAnsi="宋体" w:cs="宋体"/>
          <w:sz w:val="24"/>
          <w:lang w:val="en-US" w:eastAsia="zh-CN"/>
        </w:rPr>
        <w:t>9.</w:t>
      </w:r>
      <w:r>
        <w:rPr>
          <w:rFonts w:hint="eastAsia" w:ascii="宋体" w:hAnsi="宋体" w:eastAsia="宋体" w:cs="宋体"/>
          <w:color w:val="auto"/>
          <w:spacing w:val="8"/>
          <w:sz w:val="24"/>
          <w:szCs w:val="24"/>
          <w:highlight w:val="none"/>
        </w:rPr>
        <w:t>提供</w:t>
      </w:r>
      <w:r>
        <w:rPr>
          <w:rFonts w:hint="eastAsia" w:ascii="宋体" w:hAnsi="宋体" w:eastAsia="宋体" w:cs="宋体"/>
          <w:color w:val="auto"/>
          <w:spacing w:val="8"/>
          <w:sz w:val="24"/>
          <w:szCs w:val="24"/>
          <w:highlight w:val="none"/>
          <w:lang w:val="en-US" w:eastAsia="zh-CN"/>
        </w:rPr>
        <w:t>谈判</w:t>
      </w:r>
      <w:r>
        <w:rPr>
          <w:rFonts w:hint="eastAsia" w:ascii="宋体" w:hAnsi="宋体" w:eastAsia="宋体" w:cs="宋体"/>
          <w:color w:val="auto"/>
          <w:spacing w:val="8"/>
          <w:sz w:val="24"/>
          <w:szCs w:val="24"/>
          <w:highlight w:val="none"/>
        </w:rPr>
        <w:t>保证金凭证或保函</w:t>
      </w:r>
    </w:p>
    <w:p w14:paraId="0A9EBE9B">
      <w:pPr>
        <w:widowControl w:val="0"/>
        <w:numPr>
          <w:ilvl w:val="0"/>
          <w:numId w:val="0"/>
        </w:numPr>
        <w:spacing w:line="360" w:lineRule="auto"/>
        <w:jc w:val="both"/>
        <w:rPr>
          <w:rFonts w:hint="eastAsia" w:hAnsi="宋体" w:cs="宋体"/>
          <w:b/>
          <w:bCs/>
          <w:sz w:val="28"/>
          <w:szCs w:val="28"/>
          <w:lang w:val="en-US" w:eastAsia="zh-CN"/>
        </w:rPr>
      </w:pPr>
    </w:p>
    <w:p w14:paraId="0867A202">
      <w:pPr>
        <w:widowControl w:val="0"/>
        <w:numPr>
          <w:ilvl w:val="0"/>
          <w:numId w:val="0"/>
        </w:numPr>
        <w:spacing w:line="360" w:lineRule="auto"/>
        <w:jc w:val="both"/>
        <w:rPr>
          <w:rFonts w:hint="eastAsia" w:hAnsi="宋体" w:cs="宋体"/>
          <w:b/>
          <w:bCs/>
          <w:sz w:val="28"/>
          <w:szCs w:val="28"/>
          <w:lang w:val="en-US" w:eastAsia="zh-CN"/>
        </w:rPr>
      </w:pPr>
    </w:p>
    <w:p w14:paraId="786E2350">
      <w:pPr>
        <w:rPr>
          <w:rFonts w:hint="eastAsia" w:hAnsi="宋体" w:cs="宋体"/>
          <w:b/>
          <w:bCs/>
          <w:sz w:val="28"/>
          <w:szCs w:val="28"/>
          <w:lang w:val="en-US" w:eastAsia="zh-CN"/>
        </w:rPr>
      </w:pPr>
      <w:r>
        <w:rPr>
          <w:rFonts w:hint="eastAsia" w:hAnsi="宋体" w:cs="宋体"/>
          <w:b/>
          <w:bCs/>
          <w:sz w:val="28"/>
          <w:szCs w:val="28"/>
          <w:lang w:val="en-US" w:eastAsia="zh-CN"/>
        </w:rPr>
        <w:br w:type="page"/>
      </w:r>
    </w:p>
    <w:p w14:paraId="55926CCC">
      <w:pPr>
        <w:widowControl w:val="0"/>
        <w:numPr>
          <w:ilvl w:val="0"/>
          <w:numId w:val="0"/>
        </w:numPr>
        <w:spacing w:line="360" w:lineRule="auto"/>
        <w:jc w:val="both"/>
        <w:rPr>
          <w:rFonts w:hint="eastAsia" w:hAnsi="宋体" w:cs="宋体"/>
          <w:b/>
          <w:bCs/>
          <w:sz w:val="28"/>
          <w:szCs w:val="28"/>
          <w:lang w:val="en-US" w:eastAsia="zh-CN"/>
        </w:rPr>
      </w:pPr>
      <w:r>
        <w:rPr>
          <w:rFonts w:hint="eastAsia" w:hAnsi="宋体" w:cs="宋体"/>
          <w:b/>
          <w:bCs/>
          <w:sz w:val="28"/>
          <w:szCs w:val="28"/>
          <w:lang w:val="en-US" w:eastAsia="zh-CN"/>
        </w:rPr>
        <w:t>2.1法人或者其他组织的营业执照等证明文件， 自然人的身份证明（复印件加盖公章）</w:t>
      </w:r>
    </w:p>
    <w:p w14:paraId="27B63810">
      <w:pPr>
        <w:widowControl w:val="0"/>
        <w:numPr>
          <w:ilvl w:val="0"/>
          <w:numId w:val="0"/>
        </w:numPr>
        <w:spacing w:line="360" w:lineRule="auto"/>
        <w:jc w:val="both"/>
        <w:rPr>
          <w:rFonts w:hint="eastAsia" w:hAnsi="宋体" w:cs="宋体"/>
          <w:b/>
          <w:bCs/>
          <w:sz w:val="28"/>
          <w:szCs w:val="28"/>
          <w:lang w:val="en-US" w:eastAsia="zh-CN"/>
        </w:rPr>
      </w:pPr>
    </w:p>
    <w:p w14:paraId="7FA7BB4E">
      <w:pPr>
        <w:widowControl w:val="0"/>
        <w:numPr>
          <w:ilvl w:val="0"/>
          <w:numId w:val="0"/>
        </w:numPr>
        <w:spacing w:line="360" w:lineRule="auto"/>
        <w:jc w:val="both"/>
        <w:rPr>
          <w:rFonts w:hint="eastAsia" w:hAnsi="宋体" w:cs="宋体"/>
          <w:b/>
          <w:bCs/>
          <w:sz w:val="28"/>
          <w:szCs w:val="28"/>
          <w:lang w:val="en-US" w:eastAsia="zh-CN"/>
        </w:rPr>
      </w:pPr>
    </w:p>
    <w:p w14:paraId="32D8775C">
      <w:pPr>
        <w:pStyle w:val="12"/>
        <w:jc w:val="center"/>
        <w:rPr>
          <w:rFonts w:hint="eastAsia" w:hAnsi="宋体" w:cs="宋体"/>
          <w:b/>
          <w:bCs/>
          <w:sz w:val="28"/>
          <w:szCs w:val="28"/>
          <w:lang w:val="en-US" w:eastAsia="zh-CN"/>
        </w:rPr>
      </w:pPr>
    </w:p>
    <w:p w14:paraId="1781CC83">
      <w:pPr>
        <w:pStyle w:val="12"/>
        <w:jc w:val="center"/>
        <w:rPr>
          <w:rFonts w:hint="eastAsia" w:hAnsi="宋体" w:cs="宋体"/>
          <w:b/>
          <w:bCs/>
          <w:sz w:val="28"/>
          <w:szCs w:val="28"/>
          <w:lang w:val="en-US" w:eastAsia="zh-CN"/>
        </w:rPr>
      </w:pPr>
    </w:p>
    <w:p w14:paraId="56B83CB9">
      <w:pPr>
        <w:pStyle w:val="12"/>
        <w:jc w:val="center"/>
        <w:rPr>
          <w:rFonts w:hint="eastAsia" w:hAnsi="宋体" w:cs="宋体"/>
          <w:b/>
          <w:bCs/>
          <w:sz w:val="28"/>
          <w:szCs w:val="28"/>
          <w:lang w:val="en-US" w:eastAsia="zh-CN"/>
        </w:rPr>
      </w:pPr>
    </w:p>
    <w:p w14:paraId="34960E28">
      <w:pPr>
        <w:pStyle w:val="12"/>
        <w:jc w:val="center"/>
        <w:rPr>
          <w:rFonts w:hint="eastAsia" w:hAnsi="宋体" w:cs="宋体"/>
          <w:b/>
          <w:bCs/>
          <w:sz w:val="28"/>
          <w:szCs w:val="28"/>
          <w:lang w:val="en-US" w:eastAsia="zh-CN"/>
        </w:rPr>
      </w:pPr>
    </w:p>
    <w:p w14:paraId="78F36004">
      <w:pPr>
        <w:pStyle w:val="12"/>
        <w:jc w:val="center"/>
        <w:rPr>
          <w:rFonts w:hint="eastAsia" w:hAnsi="宋体" w:cs="宋体"/>
          <w:b/>
          <w:bCs/>
          <w:sz w:val="28"/>
          <w:szCs w:val="28"/>
          <w:lang w:val="en-US" w:eastAsia="zh-CN"/>
        </w:rPr>
      </w:pPr>
    </w:p>
    <w:p w14:paraId="244FDC3B">
      <w:pPr>
        <w:pStyle w:val="12"/>
        <w:jc w:val="center"/>
        <w:rPr>
          <w:rFonts w:hint="eastAsia" w:hAnsi="宋体" w:cs="宋体"/>
          <w:b/>
          <w:bCs/>
          <w:sz w:val="28"/>
          <w:szCs w:val="28"/>
          <w:lang w:val="en-US" w:eastAsia="zh-CN"/>
        </w:rPr>
      </w:pPr>
    </w:p>
    <w:p w14:paraId="1CFDF70A">
      <w:pPr>
        <w:pStyle w:val="12"/>
        <w:jc w:val="center"/>
        <w:rPr>
          <w:rFonts w:hint="eastAsia" w:hAnsi="宋体" w:cs="宋体"/>
          <w:b/>
          <w:bCs/>
          <w:sz w:val="28"/>
          <w:szCs w:val="28"/>
          <w:lang w:val="en-US" w:eastAsia="zh-CN"/>
        </w:rPr>
      </w:pPr>
    </w:p>
    <w:p w14:paraId="7C83699B">
      <w:pPr>
        <w:pStyle w:val="12"/>
        <w:jc w:val="center"/>
        <w:rPr>
          <w:rFonts w:hint="eastAsia" w:hAnsi="宋体" w:cs="宋体"/>
          <w:b/>
          <w:bCs/>
          <w:sz w:val="28"/>
          <w:szCs w:val="28"/>
          <w:lang w:val="en-US" w:eastAsia="zh-CN"/>
        </w:rPr>
      </w:pPr>
    </w:p>
    <w:p w14:paraId="5391C9FF">
      <w:pPr>
        <w:pStyle w:val="12"/>
        <w:jc w:val="center"/>
        <w:rPr>
          <w:rFonts w:hint="eastAsia" w:hAnsi="宋体" w:cs="宋体"/>
          <w:b/>
          <w:bCs/>
          <w:sz w:val="28"/>
          <w:szCs w:val="28"/>
          <w:lang w:val="en-US" w:eastAsia="zh-CN"/>
        </w:rPr>
      </w:pPr>
    </w:p>
    <w:p w14:paraId="47A72B22">
      <w:pPr>
        <w:pStyle w:val="12"/>
        <w:jc w:val="center"/>
        <w:rPr>
          <w:rFonts w:hint="eastAsia" w:hAnsi="宋体" w:cs="宋体"/>
          <w:b/>
          <w:bCs/>
          <w:sz w:val="28"/>
          <w:szCs w:val="28"/>
          <w:lang w:val="en-US" w:eastAsia="zh-CN"/>
        </w:rPr>
      </w:pPr>
    </w:p>
    <w:p w14:paraId="7B412A02">
      <w:pPr>
        <w:pStyle w:val="12"/>
        <w:jc w:val="center"/>
        <w:rPr>
          <w:rFonts w:hint="eastAsia" w:hAnsi="宋体" w:cs="宋体"/>
          <w:b/>
          <w:bCs/>
          <w:sz w:val="28"/>
          <w:szCs w:val="28"/>
          <w:lang w:val="en-US" w:eastAsia="zh-CN"/>
        </w:rPr>
      </w:pPr>
    </w:p>
    <w:p w14:paraId="1C5FAFB5">
      <w:pPr>
        <w:pStyle w:val="12"/>
        <w:jc w:val="center"/>
        <w:rPr>
          <w:rFonts w:hint="eastAsia" w:hAnsi="宋体" w:cs="宋体"/>
          <w:b/>
          <w:bCs/>
          <w:sz w:val="28"/>
          <w:szCs w:val="28"/>
          <w:lang w:val="en-US" w:eastAsia="zh-CN"/>
        </w:rPr>
      </w:pPr>
    </w:p>
    <w:p w14:paraId="2BC5B5AA">
      <w:pPr>
        <w:pStyle w:val="12"/>
        <w:jc w:val="center"/>
        <w:rPr>
          <w:rFonts w:hint="eastAsia" w:hAnsi="宋体" w:cs="宋体"/>
          <w:b/>
          <w:bCs/>
          <w:sz w:val="28"/>
          <w:szCs w:val="28"/>
          <w:lang w:val="en-US" w:eastAsia="zh-CN"/>
        </w:rPr>
      </w:pPr>
    </w:p>
    <w:p w14:paraId="41F36A80">
      <w:pPr>
        <w:pStyle w:val="12"/>
        <w:jc w:val="center"/>
        <w:rPr>
          <w:rFonts w:hint="eastAsia" w:hAnsi="宋体" w:cs="宋体"/>
          <w:b/>
          <w:bCs/>
          <w:sz w:val="28"/>
          <w:szCs w:val="28"/>
          <w:lang w:val="en-US" w:eastAsia="zh-CN"/>
        </w:rPr>
      </w:pPr>
    </w:p>
    <w:p w14:paraId="47067B18">
      <w:pPr>
        <w:pStyle w:val="12"/>
        <w:jc w:val="center"/>
        <w:rPr>
          <w:rFonts w:hint="eastAsia" w:hAnsi="宋体" w:cs="宋体"/>
          <w:b/>
          <w:bCs/>
          <w:sz w:val="28"/>
          <w:szCs w:val="28"/>
          <w:lang w:val="en-US" w:eastAsia="zh-CN"/>
        </w:rPr>
      </w:pPr>
    </w:p>
    <w:p w14:paraId="2565526B">
      <w:pPr>
        <w:pStyle w:val="12"/>
        <w:jc w:val="center"/>
        <w:rPr>
          <w:rFonts w:hint="eastAsia" w:hAnsi="宋体" w:cs="宋体"/>
          <w:b/>
          <w:bCs/>
          <w:sz w:val="28"/>
          <w:szCs w:val="28"/>
          <w:lang w:val="en-US" w:eastAsia="zh-CN"/>
        </w:rPr>
      </w:pPr>
    </w:p>
    <w:p w14:paraId="091B3A63">
      <w:pPr>
        <w:pStyle w:val="12"/>
        <w:jc w:val="center"/>
        <w:rPr>
          <w:rFonts w:hint="eastAsia" w:hAnsi="宋体" w:cs="宋体"/>
          <w:b/>
          <w:bCs/>
          <w:sz w:val="28"/>
          <w:szCs w:val="28"/>
          <w:lang w:val="en-US" w:eastAsia="zh-CN"/>
        </w:rPr>
      </w:pPr>
    </w:p>
    <w:p w14:paraId="08231075">
      <w:pPr>
        <w:pStyle w:val="12"/>
        <w:jc w:val="center"/>
        <w:rPr>
          <w:rFonts w:hint="eastAsia" w:hAnsi="宋体" w:cs="宋体"/>
          <w:b/>
          <w:bCs/>
          <w:sz w:val="28"/>
          <w:szCs w:val="28"/>
          <w:lang w:val="en-US" w:eastAsia="zh-CN"/>
        </w:rPr>
      </w:pPr>
    </w:p>
    <w:p w14:paraId="1AFA4EDF">
      <w:pPr>
        <w:pStyle w:val="12"/>
        <w:jc w:val="center"/>
        <w:rPr>
          <w:rFonts w:hint="eastAsia" w:hAnsi="宋体" w:cs="宋体"/>
          <w:b/>
          <w:bCs/>
          <w:sz w:val="28"/>
          <w:szCs w:val="28"/>
          <w:lang w:val="en-US" w:eastAsia="zh-CN"/>
        </w:rPr>
      </w:pPr>
    </w:p>
    <w:p w14:paraId="6EA44802">
      <w:pPr>
        <w:pStyle w:val="12"/>
        <w:jc w:val="center"/>
        <w:rPr>
          <w:rFonts w:hint="eastAsia" w:hAnsi="宋体" w:cs="宋体"/>
          <w:b/>
          <w:bCs/>
          <w:sz w:val="28"/>
          <w:szCs w:val="28"/>
          <w:lang w:val="en-US" w:eastAsia="zh-CN"/>
        </w:rPr>
      </w:pPr>
    </w:p>
    <w:p w14:paraId="0A25316C">
      <w:pPr>
        <w:pStyle w:val="12"/>
        <w:jc w:val="center"/>
        <w:rPr>
          <w:rFonts w:hint="eastAsia" w:hAnsi="宋体" w:cs="宋体"/>
          <w:b/>
          <w:bCs/>
          <w:sz w:val="28"/>
          <w:szCs w:val="28"/>
          <w:lang w:val="en-US" w:eastAsia="zh-CN"/>
        </w:rPr>
      </w:pPr>
    </w:p>
    <w:p w14:paraId="2BF115D5">
      <w:pPr>
        <w:pStyle w:val="12"/>
        <w:jc w:val="center"/>
        <w:rPr>
          <w:rFonts w:hint="eastAsia" w:hAnsi="宋体" w:cs="宋体"/>
          <w:b/>
          <w:bCs/>
          <w:sz w:val="28"/>
          <w:szCs w:val="28"/>
          <w:lang w:val="en-US" w:eastAsia="zh-CN"/>
        </w:rPr>
      </w:pPr>
    </w:p>
    <w:p w14:paraId="5D181D70">
      <w:pPr>
        <w:pStyle w:val="12"/>
        <w:jc w:val="center"/>
        <w:rPr>
          <w:rFonts w:hint="eastAsia" w:hAnsi="宋体" w:cs="宋体"/>
          <w:b/>
          <w:bCs/>
          <w:sz w:val="28"/>
          <w:szCs w:val="28"/>
          <w:lang w:val="en-US" w:eastAsia="zh-CN"/>
        </w:rPr>
      </w:pPr>
    </w:p>
    <w:p w14:paraId="0298BEB8">
      <w:pPr>
        <w:pStyle w:val="12"/>
        <w:jc w:val="center"/>
        <w:rPr>
          <w:rFonts w:hint="eastAsia" w:hAnsi="宋体" w:cs="宋体"/>
          <w:b/>
          <w:bCs/>
          <w:sz w:val="28"/>
          <w:szCs w:val="28"/>
          <w:lang w:val="en-US" w:eastAsia="zh-CN"/>
        </w:rPr>
      </w:pPr>
    </w:p>
    <w:p w14:paraId="1D4AF1ED">
      <w:pPr>
        <w:pStyle w:val="12"/>
        <w:jc w:val="center"/>
        <w:rPr>
          <w:rFonts w:hint="eastAsia" w:hAnsi="宋体" w:cs="宋体"/>
          <w:b/>
          <w:bCs/>
          <w:sz w:val="28"/>
          <w:szCs w:val="28"/>
          <w:lang w:val="en-US" w:eastAsia="zh-CN"/>
        </w:rPr>
      </w:pPr>
    </w:p>
    <w:p w14:paraId="7FA47865">
      <w:pPr>
        <w:pStyle w:val="12"/>
        <w:jc w:val="center"/>
        <w:rPr>
          <w:rFonts w:hint="eastAsia" w:hAnsi="宋体" w:cs="宋体"/>
          <w:b/>
          <w:bCs/>
          <w:sz w:val="28"/>
          <w:szCs w:val="28"/>
          <w:lang w:val="en-US" w:eastAsia="zh-CN"/>
        </w:rPr>
      </w:pPr>
    </w:p>
    <w:p w14:paraId="6E9CA101">
      <w:pPr>
        <w:pStyle w:val="12"/>
        <w:jc w:val="center"/>
        <w:rPr>
          <w:rFonts w:hint="eastAsia" w:hAnsi="宋体" w:cs="宋体"/>
          <w:b/>
          <w:bCs/>
          <w:sz w:val="28"/>
          <w:szCs w:val="28"/>
          <w:lang w:val="en-US" w:eastAsia="zh-CN"/>
        </w:rPr>
      </w:pPr>
    </w:p>
    <w:p w14:paraId="24A28266">
      <w:pPr>
        <w:pStyle w:val="12"/>
        <w:jc w:val="center"/>
        <w:rPr>
          <w:rFonts w:hint="eastAsia" w:hAnsi="宋体" w:cs="宋体"/>
          <w:b/>
          <w:bCs/>
          <w:sz w:val="28"/>
          <w:szCs w:val="28"/>
          <w:lang w:val="en-US" w:eastAsia="zh-CN"/>
        </w:rPr>
      </w:pPr>
    </w:p>
    <w:p w14:paraId="04A76B82">
      <w:pPr>
        <w:pStyle w:val="12"/>
        <w:jc w:val="center"/>
        <w:rPr>
          <w:rFonts w:hint="eastAsia" w:hAnsi="宋体" w:cs="宋体"/>
          <w:b/>
          <w:bCs/>
          <w:sz w:val="28"/>
          <w:szCs w:val="28"/>
          <w:lang w:val="en-US" w:eastAsia="zh-CN"/>
        </w:rPr>
      </w:pPr>
    </w:p>
    <w:p w14:paraId="378D6345">
      <w:pPr>
        <w:pStyle w:val="12"/>
        <w:jc w:val="center"/>
        <w:rPr>
          <w:rFonts w:hint="eastAsia" w:hAnsi="宋体" w:cs="宋体"/>
          <w:b/>
          <w:bCs/>
          <w:sz w:val="28"/>
          <w:szCs w:val="28"/>
          <w:lang w:val="en-US" w:eastAsia="zh-CN"/>
        </w:rPr>
      </w:pPr>
    </w:p>
    <w:p w14:paraId="6E577DF0">
      <w:pPr>
        <w:pStyle w:val="12"/>
        <w:jc w:val="center"/>
        <w:rPr>
          <w:rFonts w:hint="eastAsia" w:hAnsi="宋体" w:cs="宋体"/>
          <w:b/>
          <w:bCs/>
          <w:sz w:val="28"/>
          <w:szCs w:val="28"/>
          <w:lang w:val="en-US" w:eastAsia="zh-CN"/>
        </w:rPr>
      </w:pPr>
    </w:p>
    <w:p w14:paraId="4B036BAC">
      <w:pPr>
        <w:pStyle w:val="12"/>
        <w:jc w:val="center"/>
        <w:rPr>
          <w:rFonts w:hint="eastAsia" w:hAnsi="宋体" w:cs="宋体"/>
          <w:b/>
          <w:bCs/>
          <w:sz w:val="28"/>
          <w:szCs w:val="28"/>
          <w:lang w:val="en-US" w:eastAsia="zh-CN"/>
        </w:rPr>
      </w:pPr>
    </w:p>
    <w:p w14:paraId="322616FB">
      <w:pPr>
        <w:pStyle w:val="12"/>
        <w:jc w:val="center"/>
        <w:rPr>
          <w:rFonts w:hint="eastAsia" w:hAnsi="宋体" w:cs="宋体"/>
          <w:b/>
          <w:bCs/>
          <w:sz w:val="28"/>
          <w:szCs w:val="28"/>
          <w:lang w:val="en-US" w:eastAsia="zh-CN"/>
        </w:rPr>
      </w:pPr>
    </w:p>
    <w:p w14:paraId="7FA505E7">
      <w:pPr>
        <w:pStyle w:val="12"/>
        <w:jc w:val="center"/>
        <w:rPr>
          <w:rFonts w:hint="eastAsia" w:ascii="宋体" w:hAnsi="宋体" w:eastAsia="宋体" w:cs="宋体"/>
          <w:b/>
          <w:bCs/>
          <w:sz w:val="28"/>
          <w:szCs w:val="28"/>
        </w:rPr>
      </w:pPr>
      <w:r>
        <w:rPr>
          <w:rFonts w:hint="eastAsia" w:hAnsi="宋体" w:cs="宋体"/>
          <w:b/>
          <w:bCs/>
          <w:sz w:val="28"/>
          <w:szCs w:val="28"/>
          <w:lang w:val="en-US" w:eastAsia="zh-CN"/>
        </w:rPr>
        <w:t>2.2经审计的最近一个年度（2024年）的财务状况报告或开标前一年内银行出具的资信证明（成立不满一年不需提供）；（复印件加盖公章）</w:t>
      </w:r>
    </w:p>
    <w:p w14:paraId="11EB7777">
      <w:pPr>
        <w:rPr>
          <w:rFonts w:hint="eastAsia" w:ascii="宋体" w:hAnsi="宋体" w:eastAsia="宋体" w:cs="宋体"/>
          <w:sz w:val="24"/>
        </w:rPr>
      </w:pPr>
    </w:p>
    <w:p w14:paraId="3704F206">
      <w:pPr>
        <w:pStyle w:val="12"/>
        <w:rPr>
          <w:rFonts w:hint="eastAsia" w:ascii="宋体" w:hAnsi="宋体" w:eastAsia="宋体" w:cs="宋体"/>
          <w:sz w:val="24"/>
        </w:rPr>
      </w:pPr>
    </w:p>
    <w:p w14:paraId="6874CF6E">
      <w:pPr>
        <w:rPr>
          <w:rFonts w:hint="eastAsia" w:ascii="宋体" w:hAnsi="宋体" w:eastAsia="宋体" w:cs="宋体"/>
          <w:sz w:val="24"/>
        </w:rPr>
      </w:pPr>
    </w:p>
    <w:p w14:paraId="4D849950">
      <w:pPr>
        <w:pStyle w:val="12"/>
        <w:rPr>
          <w:rFonts w:hint="eastAsia" w:ascii="宋体" w:hAnsi="宋体" w:eastAsia="宋体" w:cs="宋体"/>
          <w:sz w:val="24"/>
        </w:rPr>
      </w:pPr>
    </w:p>
    <w:p w14:paraId="56C02E44">
      <w:pPr>
        <w:rPr>
          <w:rFonts w:hint="eastAsia" w:ascii="宋体" w:hAnsi="宋体" w:eastAsia="宋体" w:cs="宋体"/>
          <w:sz w:val="24"/>
        </w:rPr>
      </w:pPr>
    </w:p>
    <w:p w14:paraId="385460E7">
      <w:pPr>
        <w:pStyle w:val="12"/>
        <w:rPr>
          <w:rFonts w:hint="eastAsia" w:ascii="宋体" w:hAnsi="宋体" w:eastAsia="宋体" w:cs="宋体"/>
          <w:sz w:val="24"/>
        </w:rPr>
      </w:pPr>
    </w:p>
    <w:p w14:paraId="25BDBD82">
      <w:pPr>
        <w:rPr>
          <w:rFonts w:hint="eastAsia" w:ascii="宋体" w:hAnsi="宋体" w:eastAsia="宋体" w:cs="宋体"/>
          <w:sz w:val="24"/>
        </w:rPr>
      </w:pPr>
    </w:p>
    <w:p w14:paraId="681645FC">
      <w:pPr>
        <w:pStyle w:val="12"/>
        <w:rPr>
          <w:rFonts w:hint="eastAsia" w:ascii="宋体" w:hAnsi="宋体" w:eastAsia="宋体" w:cs="宋体"/>
          <w:sz w:val="24"/>
        </w:rPr>
      </w:pPr>
    </w:p>
    <w:p w14:paraId="3A42DD77">
      <w:pPr>
        <w:rPr>
          <w:rFonts w:hint="eastAsia" w:ascii="宋体" w:hAnsi="宋体" w:eastAsia="宋体" w:cs="宋体"/>
          <w:sz w:val="24"/>
        </w:rPr>
      </w:pPr>
    </w:p>
    <w:p w14:paraId="008EF77D">
      <w:pPr>
        <w:pStyle w:val="12"/>
        <w:rPr>
          <w:rFonts w:hint="eastAsia" w:ascii="宋体" w:hAnsi="宋体" w:eastAsia="宋体" w:cs="宋体"/>
          <w:sz w:val="24"/>
        </w:rPr>
      </w:pPr>
    </w:p>
    <w:p w14:paraId="7E788D23">
      <w:pPr>
        <w:rPr>
          <w:rFonts w:hint="eastAsia" w:ascii="宋体" w:hAnsi="宋体" w:eastAsia="宋体" w:cs="宋体"/>
          <w:sz w:val="24"/>
        </w:rPr>
      </w:pPr>
    </w:p>
    <w:p w14:paraId="1DEF22BE">
      <w:pPr>
        <w:pStyle w:val="12"/>
        <w:rPr>
          <w:rFonts w:hint="eastAsia" w:ascii="宋体" w:hAnsi="宋体" w:eastAsia="宋体" w:cs="宋体"/>
          <w:sz w:val="24"/>
        </w:rPr>
      </w:pPr>
    </w:p>
    <w:p w14:paraId="3CFCE970">
      <w:pPr>
        <w:rPr>
          <w:rFonts w:hint="eastAsia" w:ascii="宋体" w:hAnsi="宋体" w:eastAsia="宋体" w:cs="宋体"/>
          <w:sz w:val="24"/>
        </w:rPr>
      </w:pPr>
    </w:p>
    <w:p w14:paraId="3B7EC7CA">
      <w:pPr>
        <w:pStyle w:val="12"/>
        <w:rPr>
          <w:rFonts w:hint="eastAsia" w:ascii="宋体" w:hAnsi="宋体" w:eastAsia="宋体" w:cs="宋体"/>
          <w:sz w:val="24"/>
        </w:rPr>
      </w:pPr>
    </w:p>
    <w:p w14:paraId="73C90796">
      <w:pPr>
        <w:rPr>
          <w:rFonts w:hint="eastAsia" w:ascii="宋体" w:hAnsi="宋体" w:eastAsia="宋体" w:cs="宋体"/>
          <w:sz w:val="24"/>
        </w:rPr>
      </w:pPr>
    </w:p>
    <w:p w14:paraId="5101B2ED">
      <w:pPr>
        <w:pStyle w:val="12"/>
        <w:rPr>
          <w:rFonts w:hint="eastAsia" w:ascii="宋体" w:hAnsi="宋体" w:eastAsia="宋体" w:cs="宋体"/>
          <w:sz w:val="24"/>
        </w:rPr>
      </w:pPr>
    </w:p>
    <w:p w14:paraId="3161ED17">
      <w:pPr>
        <w:rPr>
          <w:rFonts w:hint="eastAsia" w:ascii="宋体" w:hAnsi="宋体" w:eastAsia="宋体" w:cs="宋体"/>
          <w:sz w:val="24"/>
        </w:rPr>
      </w:pPr>
    </w:p>
    <w:p w14:paraId="46E0CC6F">
      <w:pPr>
        <w:pStyle w:val="12"/>
        <w:rPr>
          <w:rFonts w:hint="eastAsia" w:ascii="宋体" w:hAnsi="宋体" w:eastAsia="宋体" w:cs="宋体"/>
          <w:sz w:val="24"/>
        </w:rPr>
      </w:pPr>
    </w:p>
    <w:p w14:paraId="56190245">
      <w:pPr>
        <w:rPr>
          <w:rFonts w:hint="eastAsia" w:ascii="宋体" w:hAnsi="宋体" w:eastAsia="宋体" w:cs="宋体"/>
          <w:sz w:val="24"/>
        </w:rPr>
      </w:pPr>
    </w:p>
    <w:p w14:paraId="0B18588D">
      <w:pPr>
        <w:pStyle w:val="12"/>
        <w:rPr>
          <w:rFonts w:hint="eastAsia" w:ascii="宋体" w:hAnsi="宋体" w:eastAsia="宋体" w:cs="宋体"/>
          <w:sz w:val="24"/>
        </w:rPr>
      </w:pPr>
    </w:p>
    <w:p w14:paraId="284C3121">
      <w:pPr>
        <w:rPr>
          <w:rFonts w:hint="eastAsia" w:ascii="宋体" w:hAnsi="宋体" w:eastAsia="宋体" w:cs="宋体"/>
          <w:sz w:val="24"/>
        </w:rPr>
      </w:pPr>
    </w:p>
    <w:p w14:paraId="5AF8B7A8">
      <w:pPr>
        <w:pStyle w:val="12"/>
        <w:rPr>
          <w:rFonts w:hint="eastAsia" w:ascii="宋体" w:hAnsi="宋体" w:eastAsia="宋体" w:cs="宋体"/>
          <w:sz w:val="24"/>
        </w:rPr>
      </w:pPr>
    </w:p>
    <w:p w14:paraId="16448729">
      <w:pPr>
        <w:rPr>
          <w:rFonts w:hint="eastAsia" w:ascii="宋体" w:hAnsi="宋体" w:eastAsia="宋体" w:cs="宋体"/>
          <w:sz w:val="24"/>
        </w:rPr>
      </w:pPr>
    </w:p>
    <w:p w14:paraId="483C06B4">
      <w:pPr>
        <w:pStyle w:val="12"/>
        <w:rPr>
          <w:rFonts w:hint="eastAsia" w:ascii="宋体" w:hAnsi="宋体" w:eastAsia="宋体" w:cs="宋体"/>
          <w:sz w:val="24"/>
        </w:rPr>
      </w:pPr>
    </w:p>
    <w:p w14:paraId="5EBE7D97">
      <w:pPr>
        <w:rPr>
          <w:rFonts w:hint="eastAsia" w:ascii="宋体" w:hAnsi="宋体" w:eastAsia="宋体" w:cs="宋体"/>
        </w:rPr>
      </w:pPr>
    </w:p>
    <w:p w14:paraId="41EDD37D">
      <w:pPr>
        <w:pStyle w:val="8"/>
        <w:rPr>
          <w:rFonts w:hint="eastAsia" w:ascii="宋体" w:hAnsi="宋体" w:eastAsia="宋体" w:cs="宋体"/>
        </w:rPr>
      </w:pPr>
    </w:p>
    <w:p w14:paraId="5EBA4BEA">
      <w:pPr>
        <w:pStyle w:val="9"/>
        <w:rPr>
          <w:rFonts w:hint="eastAsia" w:ascii="宋体" w:hAnsi="宋体" w:eastAsia="宋体" w:cs="宋体"/>
        </w:rPr>
      </w:pPr>
    </w:p>
    <w:p w14:paraId="0D749E77">
      <w:pPr>
        <w:rPr>
          <w:rFonts w:hint="eastAsia" w:ascii="宋体" w:hAnsi="宋体" w:eastAsia="宋体" w:cs="宋体"/>
        </w:rPr>
      </w:pPr>
    </w:p>
    <w:p w14:paraId="53BC7EE8">
      <w:pPr>
        <w:pStyle w:val="8"/>
        <w:rPr>
          <w:rFonts w:hint="eastAsia" w:ascii="宋体" w:hAnsi="宋体" w:eastAsia="宋体" w:cs="宋体"/>
        </w:rPr>
      </w:pPr>
    </w:p>
    <w:p w14:paraId="70D29DD7">
      <w:pPr>
        <w:pStyle w:val="9"/>
        <w:rPr>
          <w:rFonts w:hint="eastAsia" w:ascii="宋体" w:hAnsi="宋体" w:eastAsia="宋体" w:cs="宋体"/>
        </w:rPr>
      </w:pPr>
    </w:p>
    <w:p w14:paraId="2CB90963">
      <w:pPr>
        <w:rPr>
          <w:rFonts w:hint="eastAsia" w:ascii="宋体" w:hAnsi="宋体" w:eastAsia="宋体" w:cs="宋体"/>
        </w:rPr>
      </w:pPr>
    </w:p>
    <w:p w14:paraId="7F902674">
      <w:pPr>
        <w:pStyle w:val="8"/>
        <w:rPr>
          <w:rFonts w:hint="eastAsia" w:ascii="宋体" w:hAnsi="宋体" w:eastAsia="宋体" w:cs="宋体"/>
        </w:rPr>
      </w:pPr>
    </w:p>
    <w:p w14:paraId="7BF8FB38">
      <w:pPr>
        <w:pStyle w:val="9"/>
        <w:rPr>
          <w:rFonts w:hint="eastAsia" w:ascii="宋体" w:hAnsi="宋体" w:eastAsia="宋体" w:cs="宋体"/>
        </w:rPr>
      </w:pPr>
    </w:p>
    <w:p w14:paraId="03E7C136">
      <w:pPr>
        <w:rPr>
          <w:rFonts w:hint="eastAsia" w:ascii="宋体" w:hAnsi="宋体" w:eastAsia="宋体" w:cs="宋体"/>
        </w:rPr>
      </w:pPr>
    </w:p>
    <w:p w14:paraId="07C71FCC">
      <w:pPr>
        <w:rPr>
          <w:rFonts w:hint="eastAsia" w:ascii="宋体" w:hAnsi="宋体" w:eastAsia="宋体" w:cs="宋体"/>
        </w:rPr>
      </w:pPr>
    </w:p>
    <w:p w14:paraId="3A5FE808">
      <w:pPr>
        <w:rPr>
          <w:rFonts w:hint="eastAsia" w:ascii="宋体" w:hAnsi="宋体" w:eastAsia="宋体" w:cs="宋体"/>
        </w:rPr>
      </w:pPr>
    </w:p>
    <w:p w14:paraId="22634058">
      <w:pPr>
        <w:rPr>
          <w:rFonts w:hint="eastAsia" w:ascii="宋体" w:hAnsi="宋体" w:eastAsia="宋体" w:cs="宋体"/>
        </w:rPr>
      </w:pPr>
    </w:p>
    <w:p w14:paraId="0DBA45E6">
      <w:pPr>
        <w:rPr>
          <w:rFonts w:hint="eastAsia" w:ascii="宋体" w:hAnsi="宋体" w:eastAsia="宋体" w:cs="宋体"/>
        </w:rPr>
      </w:pPr>
    </w:p>
    <w:p w14:paraId="6646A2C3">
      <w:pPr>
        <w:rPr>
          <w:rFonts w:hint="eastAsia" w:ascii="宋体" w:hAnsi="宋体" w:eastAsia="宋体" w:cs="宋体"/>
        </w:rPr>
      </w:pPr>
    </w:p>
    <w:p w14:paraId="330265E3">
      <w:pPr>
        <w:rPr>
          <w:rFonts w:hint="eastAsia" w:ascii="宋体" w:hAnsi="宋体" w:eastAsia="宋体" w:cs="宋体"/>
        </w:rPr>
      </w:pPr>
    </w:p>
    <w:p w14:paraId="798DCD07">
      <w:pPr>
        <w:rPr>
          <w:rFonts w:hint="eastAsia" w:ascii="宋体" w:hAnsi="宋体" w:eastAsia="宋体" w:cs="宋体"/>
        </w:rPr>
      </w:pPr>
    </w:p>
    <w:p w14:paraId="4B6F8249">
      <w:pPr>
        <w:pStyle w:val="8"/>
        <w:rPr>
          <w:rFonts w:hint="eastAsia" w:ascii="宋体" w:hAnsi="宋体" w:eastAsia="宋体" w:cs="宋体"/>
        </w:rPr>
      </w:pPr>
    </w:p>
    <w:p w14:paraId="6B5A0E9B">
      <w:pPr>
        <w:pStyle w:val="9"/>
        <w:rPr>
          <w:rFonts w:hint="eastAsia" w:ascii="宋体" w:hAnsi="宋体" w:eastAsia="宋体" w:cs="宋体"/>
        </w:rPr>
      </w:pPr>
    </w:p>
    <w:p w14:paraId="45D28D8F">
      <w:pPr>
        <w:rPr>
          <w:rFonts w:hint="eastAsia" w:ascii="宋体" w:hAnsi="宋体" w:eastAsia="宋体" w:cs="宋体"/>
        </w:rPr>
      </w:pPr>
    </w:p>
    <w:p w14:paraId="5ED98760">
      <w:pPr>
        <w:pStyle w:val="8"/>
        <w:rPr>
          <w:rFonts w:hint="eastAsia" w:ascii="宋体" w:hAnsi="宋体" w:eastAsia="宋体" w:cs="宋体"/>
        </w:rPr>
      </w:pPr>
    </w:p>
    <w:p w14:paraId="6E7896E2">
      <w:pPr>
        <w:pStyle w:val="9"/>
        <w:rPr>
          <w:rFonts w:hint="eastAsia" w:ascii="宋体" w:hAnsi="宋体" w:eastAsia="宋体" w:cs="宋体"/>
        </w:rPr>
      </w:pPr>
    </w:p>
    <w:p w14:paraId="364A663A">
      <w:pPr>
        <w:pStyle w:val="12"/>
        <w:jc w:val="center"/>
        <w:rPr>
          <w:rFonts w:hint="eastAsia" w:hAnsi="宋体" w:cs="宋体"/>
          <w:b/>
          <w:bCs/>
          <w:sz w:val="28"/>
          <w:szCs w:val="28"/>
          <w:lang w:val="en-US" w:eastAsia="zh-CN"/>
        </w:rPr>
      </w:pPr>
      <w:r>
        <w:rPr>
          <w:rFonts w:hint="eastAsia" w:ascii="宋体" w:hAnsi="宋体" w:eastAsia="宋体" w:cs="宋体"/>
          <w:b/>
          <w:bCs/>
          <w:sz w:val="28"/>
          <w:szCs w:val="28"/>
          <w:lang w:val="en-US" w:eastAsia="zh-CN"/>
        </w:rPr>
        <w:t>2.3依法缴纳税收和社会保障资金的相关材料（提供提交响应文件截止时间前</w:t>
      </w:r>
      <w:r>
        <w:rPr>
          <w:rFonts w:hint="eastAsia" w:hAnsi="宋体" w:cs="宋体"/>
          <w:b/>
          <w:bCs/>
          <w:sz w:val="28"/>
          <w:szCs w:val="28"/>
          <w:lang w:val="en-US" w:eastAsia="zh-CN"/>
        </w:rPr>
        <w:t>六个月</w:t>
      </w:r>
      <w:r>
        <w:rPr>
          <w:rFonts w:hint="eastAsia" w:ascii="宋体" w:hAnsi="宋体" w:eastAsia="宋体" w:cs="宋体"/>
          <w:b/>
          <w:bCs/>
          <w:sz w:val="28"/>
          <w:szCs w:val="28"/>
          <w:lang w:val="en-US" w:eastAsia="zh-CN"/>
        </w:rPr>
        <w:t>内至少</w:t>
      </w:r>
      <w:r>
        <w:rPr>
          <w:rFonts w:hint="eastAsia" w:hAnsi="宋体" w:cs="宋体"/>
          <w:b/>
          <w:bCs/>
          <w:sz w:val="28"/>
          <w:szCs w:val="28"/>
          <w:lang w:val="en-US" w:eastAsia="zh-CN"/>
        </w:rPr>
        <w:t>一</w:t>
      </w:r>
      <w:r>
        <w:rPr>
          <w:rFonts w:hint="eastAsia" w:ascii="宋体" w:hAnsi="宋体" w:eastAsia="宋体" w:cs="宋体"/>
          <w:b/>
          <w:bCs/>
          <w:sz w:val="28"/>
          <w:szCs w:val="28"/>
          <w:lang w:val="en-US" w:eastAsia="zh-CN"/>
        </w:rPr>
        <w:t>个月依法缴纳税收及缴纳社会保障资金的证明材料。</w:t>
      </w:r>
      <w:r>
        <w:rPr>
          <w:rFonts w:hint="eastAsia" w:hAnsi="宋体" w:cs="宋体"/>
          <w:b/>
          <w:bCs/>
          <w:sz w:val="28"/>
          <w:szCs w:val="28"/>
          <w:lang w:val="en-US" w:eastAsia="zh-CN"/>
        </w:rPr>
        <w:t>供应商</w:t>
      </w:r>
      <w:r>
        <w:rPr>
          <w:rFonts w:hint="eastAsia" w:ascii="宋体" w:hAnsi="宋体" w:eastAsia="宋体" w:cs="宋体"/>
          <w:b/>
          <w:bCs/>
          <w:sz w:val="28"/>
          <w:szCs w:val="28"/>
          <w:lang w:val="en-US" w:eastAsia="zh-CN"/>
        </w:rPr>
        <w:t>依法享受缓缴、免缴税收、社会保障资金的提供证明材料）（复印件加盖公章）;</w:t>
      </w:r>
    </w:p>
    <w:p w14:paraId="12F7A7C5">
      <w:pPr>
        <w:pStyle w:val="12"/>
        <w:jc w:val="center"/>
        <w:rPr>
          <w:rFonts w:hint="eastAsia" w:hAnsi="宋体" w:cs="宋体"/>
          <w:b/>
          <w:bCs/>
          <w:sz w:val="28"/>
          <w:szCs w:val="28"/>
          <w:lang w:val="en-US" w:eastAsia="zh-CN"/>
        </w:rPr>
      </w:pPr>
    </w:p>
    <w:p w14:paraId="1669E7FB">
      <w:pPr>
        <w:pStyle w:val="12"/>
        <w:jc w:val="center"/>
        <w:rPr>
          <w:rFonts w:hint="eastAsia" w:hAnsi="宋体" w:cs="宋体"/>
          <w:b/>
          <w:bCs/>
          <w:sz w:val="28"/>
          <w:szCs w:val="28"/>
          <w:lang w:val="en-US" w:eastAsia="zh-CN"/>
        </w:rPr>
      </w:pPr>
    </w:p>
    <w:p w14:paraId="23F50765">
      <w:pPr>
        <w:pStyle w:val="12"/>
        <w:jc w:val="center"/>
        <w:rPr>
          <w:rFonts w:hint="eastAsia" w:hAnsi="宋体" w:cs="宋体"/>
          <w:b/>
          <w:bCs/>
          <w:sz w:val="28"/>
          <w:szCs w:val="28"/>
          <w:lang w:val="en-US" w:eastAsia="zh-CN"/>
        </w:rPr>
      </w:pPr>
    </w:p>
    <w:p w14:paraId="58A0803B">
      <w:pPr>
        <w:pStyle w:val="12"/>
        <w:jc w:val="center"/>
        <w:rPr>
          <w:rFonts w:hint="eastAsia" w:hAnsi="宋体" w:cs="宋体"/>
          <w:b/>
          <w:bCs/>
          <w:sz w:val="28"/>
          <w:szCs w:val="28"/>
          <w:lang w:val="en-US" w:eastAsia="zh-CN"/>
        </w:rPr>
      </w:pPr>
    </w:p>
    <w:p w14:paraId="7F7387C1">
      <w:pPr>
        <w:jc w:val="center"/>
        <w:rPr>
          <w:rFonts w:hint="eastAsia" w:ascii="宋体" w:hAnsi="宋体" w:eastAsia="宋体" w:cs="宋体"/>
          <w:b/>
          <w:bCs/>
          <w:sz w:val="28"/>
          <w:szCs w:val="28"/>
        </w:rPr>
      </w:pPr>
    </w:p>
    <w:p w14:paraId="536FD04B">
      <w:pPr>
        <w:pStyle w:val="12"/>
        <w:jc w:val="center"/>
        <w:rPr>
          <w:rFonts w:hint="eastAsia" w:hAnsi="宋体" w:cs="宋体"/>
          <w:b/>
          <w:bCs/>
          <w:sz w:val="28"/>
          <w:szCs w:val="28"/>
          <w:lang w:val="en-US" w:eastAsia="zh-CN"/>
        </w:rPr>
      </w:pPr>
    </w:p>
    <w:p w14:paraId="7A04D247">
      <w:pPr>
        <w:pStyle w:val="12"/>
        <w:jc w:val="center"/>
        <w:rPr>
          <w:rFonts w:hint="eastAsia" w:hAnsi="宋体" w:cs="宋体"/>
          <w:b/>
          <w:bCs/>
          <w:sz w:val="28"/>
          <w:szCs w:val="28"/>
          <w:lang w:val="en-US" w:eastAsia="zh-CN"/>
        </w:rPr>
      </w:pPr>
    </w:p>
    <w:p w14:paraId="7E5A8EAF">
      <w:pPr>
        <w:rPr>
          <w:rFonts w:hint="eastAsia" w:hAnsi="宋体" w:cs="宋体"/>
          <w:b/>
          <w:bCs/>
          <w:sz w:val="28"/>
          <w:szCs w:val="28"/>
          <w:lang w:val="en-US" w:eastAsia="zh-CN"/>
        </w:rPr>
      </w:pPr>
    </w:p>
    <w:p w14:paraId="3A089EDC">
      <w:pPr>
        <w:pStyle w:val="8"/>
        <w:rPr>
          <w:rFonts w:hint="eastAsia" w:hAnsi="宋体" w:cs="宋体"/>
          <w:b/>
          <w:bCs/>
          <w:sz w:val="28"/>
          <w:szCs w:val="28"/>
          <w:lang w:val="en-US" w:eastAsia="zh-CN"/>
        </w:rPr>
      </w:pPr>
    </w:p>
    <w:p w14:paraId="4715411D">
      <w:pPr>
        <w:pStyle w:val="9"/>
        <w:rPr>
          <w:rFonts w:hint="eastAsia" w:hAnsi="宋体" w:cs="宋体"/>
          <w:b/>
          <w:bCs/>
          <w:sz w:val="28"/>
          <w:szCs w:val="28"/>
          <w:lang w:val="en-US" w:eastAsia="zh-CN"/>
        </w:rPr>
      </w:pPr>
    </w:p>
    <w:p w14:paraId="6E19F784">
      <w:pPr>
        <w:rPr>
          <w:rFonts w:hint="eastAsia" w:hAnsi="宋体" w:cs="宋体"/>
          <w:b/>
          <w:bCs/>
          <w:sz w:val="28"/>
          <w:szCs w:val="28"/>
          <w:lang w:val="en-US" w:eastAsia="zh-CN"/>
        </w:rPr>
      </w:pPr>
    </w:p>
    <w:p w14:paraId="0C8838B7">
      <w:pPr>
        <w:pStyle w:val="8"/>
        <w:rPr>
          <w:rFonts w:hint="eastAsia" w:hAnsi="宋体" w:cs="宋体"/>
          <w:b/>
          <w:bCs/>
          <w:sz w:val="28"/>
          <w:szCs w:val="28"/>
          <w:lang w:val="en-US" w:eastAsia="zh-CN"/>
        </w:rPr>
      </w:pPr>
    </w:p>
    <w:p w14:paraId="181E4311">
      <w:pPr>
        <w:pStyle w:val="9"/>
        <w:rPr>
          <w:rFonts w:hint="eastAsia" w:hAnsi="宋体" w:cs="宋体"/>
          <w:b/>
          <w:bCs/>
          <w:sz w:val="28"/>
          <w:szCs w:val="28"/>
          <w:lang w:val="en-US" w:eastAsia="zh-CN"/>
        </w:rPr>
      </w:pPr>
    </w:p>
    <w:p w14:paraId="0031BE59">
      <w:pPr>
        <w:rPr>
          <w:rFonts w:hint="eastAsia" w:hAnsi="宋体" w:cs="宋体"/>
          <w:b/>
          <w:bCs/>
          <w:sz w:val="28"/>
          <w:szCs w:val="28"/>
          <w:lang w:val="en-US" w:eastAsia="zh-CN"/>
        </w:rPr>
      </w:pPr>
    </w:p>
    <w:p w14:paraId="0892C7BA">
      <w:pPr>
        <w:pStyle w:val="8"/>
        <w:rPr>
          <w:rFonts w:hint="eastAsia" w:hAnsi="宋体" w:cs="宋体"/>
          <w:b/>
          <w:bCs/>
          <w:sz w:val="28"/>
          <w:szCs w:val="28"/>
          <w:lang w:val="en-US" w:eastAsia="zh-CN"/>
        </w:rPr>
      </w:pPr>
    </w:p>
    <w:p w14:paraId="78B7CAFD">
      <w:pPr>
        <w:pStyle w:val="9"/>
        <w:rPr>
          <w:rFonts w:hint="eastAsia" w:hAnsi="宋体" w:cs="宋体"/>
          <w:b/>
          <w:bCs/>
          <w:sz w:val="28"/>
          <w:szCs w:val="28"/>
          <w:lang w:val="en-US" w:eastAsia="zh-CN"/>
        </w:rPr>
      </w:pPr>
    </w:p>
    <w:p w14:paraId="6309DBE3">
      <w:pPr>
        <w:rPr>
          <w:rFonts w:hint="eastAsia" w:hAnsi="宋体" w:cs="宋体"/>
          <w:b/>
          <w:bCs/>
          <w:sz w:val="28"/>
          <w:szCs w:val="28"/>
          <w:lang w:val="en-US" w:eastAsia="zh-CN"/>
        </w:rPr>
      </w:pPr>
    </w:p>
    <w:p w14:paraId="7D1E4746">
      <w:pPr>
        <w:pStyle w:val="8"/>
        <w:rPr>
          <w:rFonts w:hint="eastAsia" w:hAnsi="宋体" w:cs="宋体"/>
          <w:b/>
          <w:bCs/>
          <w:sz w:val="28"/>
          <w:szCs w:val="28"/>
          <w:lang w:val="en-US" w:eastAsia="zh-CN"/>
        </w:rPr>
      </w:pPr>
    </w:p>
    <w:p w14:paraId="3C35CDAA">
      <w:pPr>
        <w:pStyle w:val="9"/>
        <w:rPr>
          <w:rFonts w:hint="eastAsia" w:hAnsi="宋体" w:cs="宋体"/>
          <w:b/>
          <w:bCs/>
          <w:sz w:val="28"/>
          <w:szCs w:val="28"/>
          <w:lang w:val="en-US" w:eastAsia="zh-CN"/>
        </w:rPr>
      </w:pPr>
    </w:p>
    <w:p w14:paraId="73573516">
      <w:pPr>
        <w:rPr>
          <w:rFonts w:hint="eastAsia" w:hAnsi="宋体" w:cs="宋体"/>
          <w:b/>
          <w:bCs/>
          <w:sz w:val="28"/>
          <w:szCs w:val="28"/>
          <w:lang w:val="en-US" w:eastAsia="zh-CN"/>
        </w:rPr>
      </w:pPr>
    </w:p>
    <w:p w14:paraId="15005BA7">
      <w:pPr>
        <w:pStyle w:val="8"/>
        <w:rPr>
          <w:rFonts w:hint="eastAsia" w:hAnsi="宋体" w:cs="宋体"/>
          <w:b/>
          <w:bCs/>
          <w:sz w:val="28"/>
          <w:szCs w:val="28"/>
          <w:lang w:val="en-US" w:eastAsia="zh-CN"/>
        </w:rPr>
      </w:pPr>
    </w:p>
    <w:p w14:paraId="5F9F96F7">
      <w:pPr>
        <w:pStyle w:val="9"/>
        <w:rPr>
          <w:rFonts w:hint="eastAsia" w:hAnsi="宋体" w:cs="宋体"/>
          <w:b/>
          <w:bCs/>
          <w:sz w:val="28"/>
          <w:szCs w:val="28"/>
          <w:lang w:val="en-US" w:eastAsia="zh-CN"/>
        </w:rPr>
      </w:pPr>
    </w:p>
    <w:p w14:paraId="30228150">
      <w:pPr>
        <w:rPr>
          <w:rFonts w:hint="eastAsia" w:hAnsi="宋体" w:cs="宋体"/>
          <w:b/>
          <w:bCs/>
          <w:sz w:val="28"/>
          <w:szCs w:val="28"/>
          <w:lang w:val="en-US" w:eastAsia="zh-CN"/>
        </w:rPr>
      </w:pPr>
    </w:p>
    <w:p w14:paraId="44B26AAE">
      <w:pPr>
        <w:pStyle w:val="8"/>
        <w:rPr>
          <w:rFonts w:hint="eastAsia" w:hAnsi="宋体" w:cs="宋体"/>
          <w:b/>
          <w:bCs/>
          <w:sz w:val="28"/>
          <w:szCs w:val="28"/>
          <w:lang w:val="en-US" w:eastAsia="zh-CN"/>
        </w:rPr>
      </w:pPr>
    </w:p>
    <w:p w14:paraId="62AEEA13">
      <w:pPr>
        <w:pStyle w:val="9"/>
        <w:rPr>
          <w:rFonts w:hint="eastAsia" w:hAnsi="宋体" w:cs="宋体"/>
          <w:b/>
          <w:bCs/>
          <w:sz w:val="28"/>
          <w:szCs w:val="28"/>
          <w:lang w:val="en-US" w:eastAsia="zh-CN"/>
        </w:rPr>
      </w:pPr>
    </w:p>
    <w:p w14:paraId="69F21280">
      <w:pPr>
        <w:rPr>
          <w:rFonts w:hint="eastAsia" w:hAnsi="宋体" w:cs="宋体"/>
          <w:b/>
          <w:bCs/>
          <w:sz w:val="28"/>
          <w:szCs w:val="28"/>
          <w:lang w:val="en-US" w:eastAsia="zh-CN"/>
        </w:rPr>
      </w:pPr>
    </w:p>
    <w:p w14:paraId="165366B5">
      <w:pPr>
        <w:pStyle w:val="8"/>
        <w:rPr>
          <w:rFonts w:hint="eastAsia" w:hAnsi="宋体" w:cs="宋体"/>
          <w:b/>
          <w:bCs/>
          <w:sz w:val="28"/>
          <w:szCs w:val="28"/>
          <w:lang w:val="en-US" w:eastAsia="zh-CN"/>
        </w:rPr>
      </w:pPr>
    </w:p>
    <w:p w14:paraId="46902C00">
      <w:pPr>
        <w:pStyle w:val="9"/>
        <w:rPr>
          <w:rFonts w:hint="eastAsia" w:hAnsi="宋体" w:cs="宋体"/>
          <w:b/>
          <w:bCs/>
          <w:sz w:val="28"/>
          <w:szCs w:val="28"/>
          <w:lang w:val="en-US" w:eastAsia="zh-CN"/>
        </w:rPr>
      </w:pPr>
    </w:p>
    <w:p w14:paraId="73D8F8FD">
      <w:pPr>
        <w:rPr>
          <w:rFonts w:hint="eastAsia" w:hAnsi="宋体" w:cs="宋体"/>
          <w:b/>
          <w:bCs/>
          <w:sz w:val="28"/>
          <w:szCs w:val="28"/>
          <w:lang w:val="en-US" w:eastAsia="zh-CN"/>
        </w:rPr>
      </w:pPr>
    </w:p>
    <w:p w14:paraId="7999224B">
      <w:pPr>
        <w:pStyle w:val="8"/>
        <w:rPr>
          <w:rFonts w:hint="eastAsia" w:hAnsi="宋体" w:cs="宋体"/>
          <w:b/>
          <w:bCs/>
          <w:sz w:val="28"/>
          <w:szCs w:val="28"/>
          <w:lang w:val="en-US" w:eastAsia="zh-CN"/>
        </w:rPr>
      </w:pPr>
    </w:p>
    <w:p w14:paraId="4039938C">
      <w:pPr>
        <w:pStyle w:val="9"/>
        <w:rPr>
          <w:rFonts w:hint="eastAsia" w:hAnsi="宋体" w:cs="宋体"/>
          <w:b/>
          <w:bCs/>
          <w:sz w:val="28"/>
          <w:szCs w:val="28"/>
          <w:lang w:val="en-US" w:eastAsia="zh-CN"/>
        </w:rPr>
      </w:pPr>
    </w:p>
    <w:p w14:paraId="526966C2">
      <w:pPr>
        <w:rPr>
          <w:rFonts w:hint="eastAsia" w:hAnsi="宋体" w:cs="宋体"/>
          <w:b/>
          <w:bCs/>
          <w:sz w:val="28"/>
          <w:szCs w:val="28"/>
          <w:lang w:val="en-US" w:eastAsia="zh-CN"/>
        </w:rPr>
      </w:pPr>
    </w:p>
    <w:p w14:paraId="2E2D6409">
      <w:pPr>
        <w:pStyle w:val="8"/>
        <w:rPr>
          <w:rFonts w:hint="eastAsia" w:hAnsi="宋体" w:cs="宋体"/>
          <w:b/>
          <w:bCs/>
          <w:sz w:val="28"/>
          <w:szCs w:val="28"/>
          <w:lang w:val="en-US" w:eastAsia="zh-CN"/>
        </w:rPr>
      </w:pPr>
    </w:p>
    <w:p w14:paraId="67E0DBD8">
      <w:pPr>
        <w:pStyle w:val="9"/>
        <w:rPr>
          <w:rFonts w:hint="eastAsia" w:hAnsi="宋体" w:cs="宋体"/>
          <w:b/>
          <w:bCs/>
          <w:sz w:val="28"/>
          <w:szCs w:val="28"/>
          <w:lang w:val="en-US" w:eastAsia="zh-CN"/>
        </w:rPr>
      </w:pPr>
    </w:p>
    <w:p w14:paraId="6E8C33DF">
      <w:pPr>
        <w:rPr>
          <w:rFonts w:hint="eastAsia" w:hAnsi="宋体" w:cs="宋体"/>
          <w:b/>
          <w:bCs/>
          <w:sz w:val="28"/>
          <w:szCs w:val="28"/>
          <w:lang w:val="en-US" w:eastAsia="zh-CN"/>
        </w:rPr>
      </w:pPr>
    </w:p>
    <w:p w14:paraId="1EE39CD8">
      <w:pPr>
        <w:pStyle w:val="8"/>
        <w:rPr>
          <w:rFonts w:hint="eastAsia" w:hAnsi="宋体" w:cs="宋体"/>
          <w:b/>
          <w:bCs/>
          <w:sz w:val="28"/>
          <w:szCs w:val="28"/>
          <w:lang w:val="en-US" w:eastAsia="zh-CN"/>
        </w:rPr>
      </w:pPr>
    </w:p>
    <w:p w14:paraId="331D973B">
      <w:pPr>
        <w:pStyle w:val="9"/>
        <w:rPr>
          <w:rFonts w:hint="eastAsia" w:hAnsi="宋体" w:cs="宋体"/>
          <w:b/>
          <w:bCs/>
          <w:sz w:val="28"/>
          <w:szCs w:val="28"/>
          <w:lang w:val="en-US" w:eastAsia="zh-CN"/>
        </w:rPr>
      </w:pPr>
    </w:p>
    <w:p w14:paraId="4E36C0FC">
      <w:pPr>
        <w:rPr>
          <w:rFonts w:hint="eastAsia" w:hAnsi="宋体" w:cs="宋体"/>
          <w:b/>
          <w:bCs/>
          <w:sz w:val="28"/>
          <w:szCs w:val="28"/>
          <w:lang w:val="en-US" w:eastAsia="zh-CN"/>
        </w:rPr>
      </w:pPr>
    </w:p>
    <w:p w14:paraId="677FB8F1">
      <w:pPr>
        <w:rPr>
          <w:rFonts w:hint="eastAsia" w:hAnsi="宋体" w:cs="宋体"/>
          <w:b/>
          <w:bCs/>
          <w:sz w:val="28"/>
          <w:szCs w:val="28"/>
          <w:lang w:val="en-US" w:eastAsia="zh-CN"/>
        </w:rPr>
      </w:pPr>
    </w:p>
    <w:p w14:paraId="57C9BA98">
      <w:pPr>
        <w:rPr>
          <w:rFonts w:hint="eastAsia" w:hAnsi="宋体" w:cs="宋体"/>
          <w:b/>
          <w:bCs/>
          <w:sz w:val="28"/>
          <w:szCs w:val="28"/>
          <w:lang w:val="en-US" w:eastAsia="zh-CN"/>
        </w:rPr>
      </w:pPr>
    </w:p>
    <w:p w14:paraId="13AE31DE">
      <w:pPr>
        <w:rPr>
          <w:rFonts w:hint="eastAsia" w:hAnsi="宋体" w:cs="宋体"/>
          <w:b/>
          <w:bCs/>
          <w:sz w:val="28"/>
          <w:szCs w:val="28"/>
          <w:lang w:val="en-US" w:eastAsia="zh-CN"/>
        </w:rPr>
      </w:pPr>
    </w:p>
    <w:p w14:paraId="1DE7C015">
      <w:pPr>
        <w:pStyle w:val="8"/>
        <w:rPr>
          <w:rFonts w:hint="eastAsia"/>
          <w:lang w:val="en-US" w:eastAsia="zh-CN"/>
        </w:rPr>
      </w:pPr>
    </w:p>
    <w:p w14:paraId="235184D5">
      <w:pPr>
        <w:pStyle w:val="12"/>
        <w:jc w:val="center"/>
        <w:rPr>
          <w:rFonts w:hint="eastAsia" w:hAnsi="宋体" w:cs="宋体"/>
          <w:b/>
          <w:bCs/>
          <w:sz w:val="28"/>
          <w:szCs w:val="28"/>
          <w:lang w:val="en-US" w:eastAsia="zh-CN"/>
        </w:rPr>
      </w:pPr>
    </w:p>
    <w:p w14:paraId="483F35C0">
      <w:pPr>
        <w:pStyle w:val="12"/>
        <w:jc w:val="center"/>
        <w:rPr>
          <w:rFonts w:hint="eastAsia" w:hAnsi="宋体" w:cs="宋体"/>
          <w:b/>
          <w:bCs/>
          <w:sz w:val="28"/>
          <w:szCs w:val="28"/>
          <w:lang w:val="en-US" w:eastAsia="zh-CN"/>
        </w:rPr>
      </w:pPr>
      <w:r>
        <w:rPr>
          <w:rFonts w:hint="eastAsia" w:hAnsi="宋体" w:cs="宋体"/>
          <w:b/>
          <w:bCs/>
          <w:sz w:val="28"/>
          <w:szCs w:val="28"/>
          <w:lang w:val="en-US" w:eastAsia="zh-CN"/>
        </w:rPr>
        <w:t>2.4具备履行合同所必需的设备和专业技术能力的证明材料</w:t>
      </w:r>
    </w:p>
    <w:p w14:paraId="71FA92D6">
      <w:pPr>
        <w:pStyle w:val="12"/>
        <w:jc w:val="center"/>
        <w:rPr>
          <w:rFonts w:hint="eastAsia" w:ascii="宋体" w:hAnsi="宋体" w:eastAsia="宋体" w:cs="宋体"/>
          <w:b/>
          <w:bCs/>
          <w:sz w:val="28"/>
          <w:szCs w:val="28"/>
        </w:rPr>
      </w:pPr>
      <w:r>
        <w:rPr>
          <w:rFonts w:hint="eastAsia" w:hAnsi="宋体" w:cs="宋体"/>
          <w:b/>
          <w:bCs/>
          <w:sz w:val="28"/>
          <w:szCs w:val="28"/>
          <w:lang w:val="en-US" w:eastAsia="zh-CN"/>
        </w:rPr>
        <w:t>（提供承诺函）</w:t>
      </w:r>
    </w:p>
    <w:p w14:paraId="2B0C271C">
      <w:pPr>
        <w:jc w:val="center"/>
        <w:rPr>
          <w:rFonts w:hint="eastAsia" w:ascii="宋体" w:hAnsi="宋体" w:eastAsia="宋体" w:cs="宋体"/>
          <w:b/>
          <w:bCs/>
          <w:sz w:val="28"/>
          <w:szCs w:val="28"/>
        </w:rPr>
      </w:pPr>
    </w:p>
    <w:p w14:paraId="11A2A28F">
      <w:pPr>
        <w:jc w:val="center"/>
        <w:rPr>
          <w:rFonts w:hint="eastAsia" w:ascii="宋体" w:hAnsi="宋体" w:eastAsia="宋体" w:cs="宋体"/>
          <w:b/>
          <w:bCs/>
          <w:sz w:val="28"/>
          <w:szCs w:val="28"/>
        </w:rPr>
      </w:pPr>
    </w:p>
    <w:p w14:paraId="6D5C42C8">
      <w:pPr>
        <w:jc w:val="center"/>
        <w:rPr>
          <w:rFonts w:hint="eastAsia" w:ascii="宋体" w:hAnsi="宋体" w:eastAsia="宋体" w:cs="宋体"/>
          <w:b/>
          <w:bCs/>
          <w:sz w:val="28"/>
          <w:szCs w:val="28"/>
        </w:rPr>
      </w:pPr>
    </w:p>
    <w:p w14:paraId="555CC5BC">
      <w:pPr>
        <w:rPr>
          <w:rFonts w:hint="eastAsia" w:ascii="宋体" w:hAnsi="宋体" w:eastAsia="宋体" w:cs="宋体"/>
          <w:sz w:val="24"/>
        </w:rPr>
      </w:pPr>
    </w:p>
    <w:p w14:paraId="4DBA4C18">
      <w:pPr>
        <w:pStyle w:val="8"/>
        <w:spacing w:line="480" w:lineRule="exact"/>
        <w:jc w:val="center"/>
        <w:rPr>
          <w:rFonts w:hint="eastAsia" w:ascii="宋体" w:hAnsi="宋体" w:eastAsia="宋体" w:cs="宋体"/>
          <w:b/>
          <w:bCs/>
          <w:sz w:val="28"/>
          <w:szCs w:val="32"/>
        </w:rPr>
      </w:pPr>
    </w:p>
    <w:p w14:paraId="3D09A477">
      <w:pPr>
        <w:pStyle w:val="9"/>
        <w:rPr>
          <w:rFonts w:hint="eastAsia" w:ascii="宋体" w:hAnsi="宋体" w:eastAsia="宋体" w:cs="宋体"/>
          <w:b/>
          <w:bCs/>
          <w:sz w:val="28"/>
          <w:szCs w:val="32"/>
        </w:rPr>
      </w:pPr>
    </w:p>
    <w:p w14:paraId="7C40B91F">
      <w:pPr>
        <w:rPr>
          <w:rFonts w:hint="eastAsia" w:ascii="宋体" w:hAnsi="宋体" w:eastAsia="宋体" w:cs="宋体"/>
          <w:b/>
          <w:bCs/>
          <w:sz w:val="28"/>
          <w:szCs w:val="32"/>
        </w:rPr>
      </w:pPr>
    </w:p>
    <w:p w14:paraId="2451C10D">
      <w:pPr>
        <w:rPr>
          <w:rFonts w:hint="eastAsia" w:ascii="宋体" w:hAnsi="宋体" w:eastAsia="宋体" w:cs="宋体"/>
          <w:b/>
          <w:bCs/>
          <w:sz w:val="28"/>
          <w:szCs w:val="32"/>
        </w:rPr>
      </w:pPr>
    </w:p>
    <w:p w14:paraId="5B19E30F">
      <w:pPr>
        <w:rPr>
          <w:rFonts w:hint="eastAsia" w:ascii="宋体" w:hAnsi="宋体" w:eastAsia="宋体" w:cs="宋体"/>
          <w:b/>
          <w:bCs/>
          <w:sz w:val="28"/>
          <w:szCs w:val="32"/>
        </w:rPr>
      </w:pPr>
    </w:p>
    <w:p w14:paraId="226531C9">
      <w:pPr>
        <w:rPr>
          <w:rFonts w:hint="eastAsia" w:ascii="宋体" w:hAnsi="宋体" w:eastAsia="宋体" w:cs="宋体"/>
          <w:b/>
          <w:bCs/>
          <w:sz w:val="28"/>
          <w:szCs w:val="32"/>
        </w:rPr>
      </w:pPr>
    </w:p>
    <w:p w14:paraId="37D46630">
      <w:pPr>
        <w:rPr>
          <w:rFonts w:hint="eastAsia" w:ascii="宋体" w:hAnsi="宋体" w:eastAsia="宋体" w:cs="宋体"/>
          <w:b/>
          <w:bCs/>
          <w:sz w:val="28"/>
          <w:szCs w:val="32"/>
        </w:rPr>
      </w:pPr>
    </w:p>
    <w:p w14:paraId="64FB47C7">
      <w:pPr>
        <w:rPr>
          <w:rFonts w:hint="eastAsia" w:ascii="宋体" w:hAnsi="宋体" w:eastAsia="宋体" w:cs="宋体"/>
          <w:b/>
          <w:bCs/>
          <w:sz w:val="28"/>
          <w:szCs w:val="32"/>
        </w:rPr>
      </w:pPr>
    </w:p>
    <w:p w14:paraId="33E642CC">
      <w:pPr>
        <w:jc w:val="center"/>
        <w:rPr>
          <w:rFonts w:hint="eastAsia" w:ascii="宋体" w:hAnsi="宋体" w:eastAsia="宋体" w:cs="宋体"/>
          <w:b/>
          <w:bCs/>
          <w:sz w:val="28"/>
          <w:szCs w:val="28"/>
        </w:rPr>
      </w:pPr>
    </w:p>
    <w:p w14:paraId="7D33E2D9">
      <w:pPr>
        <w:pStyle w:val="50"/>
        <w:spacing w:line="500" w:lineRule="exact"/>
        <w:ind w:firstLine="480" w:firstLineChars="200"/>
        <w:jc w:val="both"/>
        <w:rPr>
          <w:rFonts w:hint="eastAsia" w:ascii="宋体" w:hAnsi="宋体" w:eastAsia="宋体" w:cs="宋体"/>
          <w:sz w:val="24"/>
        </w:rPr>
      </w:pPr>
      <w:r>
        <w:rPr>
          <w:rFonts w:hint="eastAsia" w:ascii="宋体" w:hAnsi="宋体" w:eastAsia="宋体" w:cs="宋体"/>
          <w:sz w:val="24"/>
        </w:rPr>
        <w:t>供应商（盖公章）：</w:t>
      </w:r>
    </w:p>
    <w:p w14:paraId="23C6D544">
      <w:pPr>
        <w:shd w:val="clear" w:color="auto" w:fill="FFFFFF"/>
        <w:tabs>
          <w:tab w:val="left" w:pos="3780"/>
        </w:tabs>
        <w:spacing w:line="360" w:lineRule="auto"/>
        <w:ind w:firstLine="480" w:firstLineChars="200"/>
        <w:rPr>
          <w:rFonts w:hint="eastAsia" w:ascii="宋体" w:hAnsi="宋体" w:eastAsia="宋体" w:cs="宋体"/>
          <w:sz w:val="24"/>
        </w:rPr>
      </w:pPr>
      <w:r>
        <w:rPr>
          <w:rFonts w:hint="eastAsia" w:ascii="宋体" w:hAnsi="宋体" w:eastAsia="宋体" w:cs="宋体"/>
          <w:sz w:val="24"/>
        </w:rPr>
        <w:t>法定代表人或授权代理人（签字</w:t>
      </w:r>
      <w:r>
        <w:rPr>
          <w:rFonts w:hint="eastAsia" w:ascii="宋体" w:hAnsi="宋体" w:cs="宋体"/>
          <w:sz w:val="24"/>
          <w:lang w:eastAsia="zh-CN"/>
        </w:rPr>
        <w:t>或</w:t>
      </w:r>
      <w:r>
        <w:rPr>
          <w:rFonts w:hint="eastAsia" w:ascii="宋体" w:hAnsi="宋体" w:eastAsia="宋体" w:cs="宋体"/>
          <w:sz w:val="24"/>
        </w:rPr>
        <w:t>盖章）：</w:t>
      </w:r>
    </w:p>
    <w:p w14:paraId="0F717662">
      <w:pPr>
        <w:shd w:val="clear" w:color="auto" w:fill="FFFFFF"/>
        <w:tabs>
          <w:tab w:val="left" w:pos="3780"/>
        </w:tabs>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日期： 年  月  日</w:t>
      </w:r>
    </w:p>
    <w:p w14:paraId="00516066">
      <w:pPr>
        <w:pStyle w:val="8"/>
        <w:spacing w:line="480" w:lineRule="exact"/>
        <w:jc w:val="center"/>
        <w:rPr>
          <w:rFonts w:hint="eastAsia" w:ascii="宋体" w:hAnsi="宋体" w:eastAsia="宋体" w:cs="宋体"/>
          <w:b/>
          <w:bCs/>
          <w:sz w:val="28"/>
          <w:szCs w:val="32"/>
        </w:rPr>
      </w:pPr>
    </w:p>
    <w:p w14:paraId="52D086EF">
      <w:pPr>
        <w:pStyle w:val="8"/>
        <w:spacing w:line="480" w:lineRule="exact"/>
        <w:jc w:val="center"/>
        <w:rPr>
          <w:rFonts w:hint="eastAsia" w:ascii="宋体" w:hAnsi="宋体" w:eastAsia="宋体" w:cs="宋体"/>
          <w:b/>
          <w:bCs/>
          <w:sz w:val="28"/>
          <w:szCs w:val="32"/>
        </w:rPr>
      </w:pPr>
    </w:p>
    <w:p w14:paraId="12890D65">
      <w:pPr>
        <w:pStyle w:val="8"/>
        <w:spacing w:line="480" w:lineRule="exact"/>
        <w:jc w:val="center"/>
        <w:rPr>
          <w:rFonts w:hint="eastAsia" w:ascii="宋体" w:hAnsi="宋体" w:eastAsia="宋体" w:cs="宋体"/>
          <w:b/>
          <w:bCs/>
          <w:sz w:val="28"/>
          <w:szCs w:val="32"/>
        </w:rPr>
      </w:pPr>
    </w:p>
    <w:p w14:paraId="214F3D4F">
      <w:pPr>
        <w:rPr>
          <w:rFonts w:hint="eastAsia" w:ascii="宋体" w:hAnsi="宋体" w:eastAsia="宋体" w:cs="宋体"/>
          <w:b/>
          <w:bCs/>
          <w:sz w:val="28"/>
          <w:szCs w:val="32"/>
        </w:rPr>
      </w:pPr>
    </w:p>
    <w:p w14:paraId="50A74A27">
      <w:pPr>
        <w:pStyle w:val="10"/>
        <w:rPr>
          <w:rFonts w:hint="eastAsia" w:ascii="宋体" w:hAnsi="宋体" w:eastAsia="宋体" w:cs="宋体"/>
          <w:b/>
          <w:bCs/>
          <w:sz w:val="28"/>
          <w:szCs w:val="32"/>
        </w:rPr>
      </w:pPr>
    </w:p>
    <w:p w14:paraId="21C03E28">
      <w:pPr>
        <w:pStyle w:val="10"/>
        <w:rPr>
          <w:rFonts w:hint="eastAsia" w:ascii="宋体" w:hAnsi="宋体" w:eastAsia="宋体" w:cs="宋体"/>
          <w:b/>
          <w:bCs/>
          <w:sz w:val="28"/>
          <w:szCs w:val="32"/>
        </w:rPr>
      </w:pPr>
    </w:p>
    <w:p w14:paraId="4FA39EB0">
      <w:pPr>
        <w:pStyle w:val="10"/>
        <w:rPr>
          <w:rFonts w:hint="eastAsia" w:ascii="宋体" w:hAnsi="宋体" w:eastAsia="宋体" w:cs="宋体"/>
          <w:b/>
          <w:bCs/>
          <w:sz w:val="28"/>
          <w:szCs w:val="32"/>
        </w:rPr>
      </w:pPr>
    </w:p>
    <w:p w14:paraId="0529D8D3">
      <w:pPr>
        <w:pStyle w:val="10"/>
        <w:rPr>
          <w:rFonts w:hint="eastAsia" w:ascii="宋体" w:hAnsi="宋体" w:eastAsia="宋体" w:cs="宋体"/>
          <w:b/>
          <w:bCs/>
          <w:sz w:val="28"/>
          <w:szCs w:val="32"/>
        </w:rPr>
      </w:pPr>
    </w:p>
    <w:p w14:paraId="288CE648">
      <w:pPr>
        <w:pStyle w:val="10"/>
        <w:rPr>
          <w:rFonts w:hint="eastAsia" w:ascii="宋体" w:hAnsi="宋体" w:eastAsia="宋体" w:cs="宋体"/>
          <w:b/>
          <w:bCs/>
          <w:sz w:val="28"/>
          <w:szCs w:val="32"/>
        </w:rPr>
      </w:pPr>
    </w:p>
    <w:p w14:paraId="5ACB3E6B">
      <w:pPr>
        <w:pStyle w:val="10"/>
        <w:rPr>
          <w:rFonts w:hint="eastAsia" w:ascii="宋体" w:hAnsi="宋体" w:eastAsia="宋体" w:cs="宋体"/>
          <w:b/>
          <w:bCs/>
          <w:sz w:val="28"/>
          <w:szCs w:val="32"/>
        </w:rPr>
      </w:pPr>
    </w:p>
    <w:p w14:paraId="6A581BCB">
      <w:pPr>
        <w:pStyle w:val="8"/>
        <w:spacing w:line="480" w:lineRule="exact"/>
        <w:jc w:val="center"/>
        <w:rPr>
          <w:rFonts w:hint="eastAsia" w:ascii="宋体" w:hAnsi="宋体" w:eastAsia="宋体" w:cs="宋体"/>
          <w:b/>
          <w:bCs/>
          <w:sz w:val="28"/>
          <w:szCs w:val="32"/>
        </w:rPr>
      </w:pPr>
    </w:p>
    <w:p w14:paraId="746A294D">
      <w:pPr>
        <w:pStyle w:val="9"/>
        <w:rPr>
          <w:rFonts w:hint="eastAsia" w:ascii="宋体" w:hAnsi="宋体" w:eastAsia="宋体" w:cs="宋体"/>
          <w:b/>
          <w:bCs/>
          <w:sz w:val="28"/>
          <w:szCs w:val="32"/>
        </w:rPr>
      </w:pPr>
    </w:p>
    <w:p w14:paraId="3DF352FC">
      <w:pPr>
        <w:rPr>
          <w:rFonts w:hint="eastAsia" w:ascii="宋体" w:hAnsi="宋体" w:eastAsia="宋体" w:cs="宋体"/>
          <w:b/>
          <w:bCs/>
          <w:sz w:val="28"/>
          <w:szCs w:val="32"/>
        </w:rPr>
      </w:pPr>
    </w:p>
    <w:p w14:paraId="589CCA8F">
      <w:pPr>
        <w:pStyle w:val="8"/>
        <w:rPr>
          <w:rFonts w:hint="eastAsia" w:ascii="宋体" w:hAnsi="宋体" w:eastAsia="宋体" w:cs="宋体"/>
          <w:b/>
          <w:bCs/>
          <w:sz w:val="28"/>
          <w:szCs w:val="32"/>
        </w:rPr>
      </w:pPr>
    </w:p>
    <w:p w14:paraId="2C79B2A3">
      <w:pPr>
        <w:pStyle w:val="9"/>
        <w:rPr>
          <w:rFonts w:hint="eastAsia" w:ascii="宋体" w:hAnsi="宋体" w:eastAsia="宋体" w:cs="宋体"/>
          <w:b/>
          <w:bCs/>
          <w:sz w:val="28"/>
          <w:szCs w:val="32"/>
        </w:rPr>
      </w:pPr>
    </w:p>
    <w:p w14:paraId="4B7AED55">
      <w:pPr>
        <w:rPr>
          <w:rFonts w:hint="eastAsia" w:ascii="宋体" w:hAnsi="宋体" w:eastAsia="宋体" w:cs="宋体"/>
          <w:b/>
          <w:bCs/>
          <w:sz w:val="28"/>
          <w:szCs w:val="32"/>
        </w:rPr>
      </w:pPr>
    </w:p>
    <w:p w14:paraId="13C98556">
      <w:pPr>
        <w:pStyle w:val="8"/>
        <w:rPr>
          <w:rFonts w:hint="eastAsia" w:ascii="宋体" w:hAnsi="宋体" w:eastAsia="宋体" w:cs="宋体"/>
          <w:b/>
          <w:bCs/>
          <w:sz w:val="28"/>
          <w:szCs w:val="32"/>
        </w:rPr>
      </w:pPr>
    </w:p>
    <w:p w14:paraId="18663042">
      <w:pPr>
        <w:pStyle w:val="9"/>
        <w:rPr>
          <w:rFonts w:hint="eastAsia" w:ascii="宋体" w:hAnsi="宋体" w:eastAsia="宋体" w:cs="宋体"/>
          <w:b/>
          <w:bCs/>
          <w:sz w:val="28"/>
          <w:szCs w:val="32"/>
        </w:rPr>
      </w:pPr>
    </w:p>
    <w:p w14:paraId="04C8BB9D">
      <w:pPr>
        <w:rPr>
          <w:rFonts w:hint="eastAsia" w:ascii="宋体" w:hAnsi="宋体" w:eastAsia="宋体" w:cs="宋体"/>
          <w:b/>
          <w:bCs/>
          <w:sz w:val="28"/>
          <w:szCs w:val="32"/>
        </w:rPr>
      </w:pPr>
    </w:p>
    <w:p w14:paraId="36353E62">
      <w:pPr>
        <w:pStyle w:val="8"/>
        <w:rPr>
          <w:rFonts w:hint="eastAsia" w:ascii="宋体" w:hAnsi="宋体" w:eastAsia="宋体" w:cs="宋体"/>
          <w:b/>
          <w:bCs/>
          <w:sz w:val="28"/>
          <w:szCs w:val="32"/>
        </w:rPr>
      </w:pPr>
    </w:p>
    <w:p w14:paraId="76D3D27A">
      <w:pPr>
        <w:pStyle w:val="9"/>
        <w:rPr>
          <w:rFonts w:hint="eastAsia" w:ascii="宋体" w:hAnsi="宋体" w:eastAsia="宋体" w:cs="宋体"/>
          <w:b/>
          <w:bCs/>
          <w:sz w:val="28"/>
          <w:szCs w:val="32"/>
        </w:rPr>
      </w:pPr>
    </w:p>
    <w:p w14:paraId="54894E02">
      <w:pPr>
        <w:rPr>
          <w:rFonts w:hint="eastAsia" w:ascii="宋体" w:hAnsi="宋体" w:eastAsia="宋体" w:cs="宋体"/>
          <w:b/>
          <w:bCs/>
          <w:sz w:val="28"/>
          <w:szCs w:val="32"/>
        </w:rPr>
      </w:pPr>
    </w:p>
    <w:p w14:paraId="69086E0C">
      <w:pPr>
        <w:pStyle w:val="8"/>
        <w:rPr>
          <w:rFonts w:hint="eastAsia" w:ascii="宋体" w:hAnsi="宋体" w:eastAsia="宋体" w:cs="宋体"/>
          <w:b/>
          <w:bCs/>
          <w:sz w:val="28"/>
          <w:szCs w:val="32"/>
        </w:rPr>
      </w:pPr>
    </w:p>
    <w:p w14:paraId="643AACDD">
      <w:pPr>
        <w:pStyle w:val="9"/>
        <w:rPr>
          <w:rFonts w:hint="eastAsia" w:ascii="宋体" w:hAnsi="宋体" w:eastAsia="宋体" w:cs="宋体"/>
          <w:b/>
          <w:bCs/>
          <w:sz w:val="28"/>
          <w:szCs w:val="32"/>
        </w:rPr>
      </w:pPr>
    </w:p>
    <w:p w14:paraId="5F9D1A55">
      <w:pPr>
        <w:rPr>
          <w:rFonts w:hint="eastAsia" w:ascii="宋体" w:hAnsi="宋体" w:eastAsia="宋体" w:cs="宋体"/>
          <w:b/>
          <w:bCs/>
          <w:sz w:val="28"/>
          <w:szCs w:val="32"/>
        </w:rPr>
      </w:pPr>
    </w:p>
    <w:p w14:paraId="36E7F6FF">
      <w:pPr>
        <w:pStyle w:val="8"/>
        <w:spacing w:line="480" w:lineRule="exact"/>
        <w:jc w:val="both"/>
        <w:rPr>
          <w:rFonts w:hint="eastAsia" w:ascii="宋体" w:hAnsi="宋体" w:eastAsia="宋体" w:cs="宋体"/>
          <w:b/>
          <w:bCs/>
          <w:sz w:val="28"/>
          <w:szCs w:val="32"/>
        </w:rPr>
      </w:pPr>
    </w:p>
    <w:p w14:paraId="30D57CEE">
      <w:pPr>
        <w:pStyle w:val="8"/>
        <w:spacing w:line="480" w:lineRule="exact"/>
        <w:jc w:val="center"/>
        <w:rPr>
          <w:rFonts w:hint="eastAsia" w:ascii="宋体" w:hAnsi="宋体" w:eastAsia="宋体" w:cs="宋体"/>
          <w:bCs/>
          <w:sz w:val="28"/>
          <w:szCs w:val="28"/>
        </w:rPr>
      </w:pPr>
      <w:r>
        <w:rPr>
          <w:rFonts w:hint="eastAsia" w:ascii="宋体" w:hAnsi="宋体" w:eastAsia="宋体" w:cs="宋体"/>
          <w:b/>
          <w:bCs/>
          <w:sz w:val="28"/>
          <w:szCs w:val="32"/>
          <w:lang w:val="en-US" w:eastAsia="zh-CN"/>
        </w:rPr>
        <w:t>2.5参加政府采购活动前3年内（2022年1月1日-至今）在经营活动中没有重大违法记录的书面声明；</w:t>
      </w:r>
    </w:p>
    <w:p w14:paraId="5FA4EA11">
      <w:pPr>
        <w:pStyle w:val="8"/>
        <w:widowControl/>
        <w:spacing w:line="480" w:lineRule="exact"/>
        <w:ind w:firstLine="480" w:firstLineChars="200"/>
        <w:jc w:val="left"/>
        <w:rPr>
          <w:rFonts w:hint="eastAsia" w:ascii="宋体" w:hAnsi="宋体" w:eastAsia="宋体" w:cs="宋体"/>
          <w:bCs/>
          <w:color w:val="000000"/>
          <w:sz w:val="24"/>
        </w:rPr>
      </w:pPr>
    </w:p>
    <w:p w14:paraId="2A142FCA">
      <w:pPr>
        <w:pStyle w:val="8"/>
        <w:widowControl/>
        <w:spacing w:line="480" w:lineRule="exact"/>
        <w:ind w:firstLine="480" w:firstLineChars="200"/>
        <w:jc w:val="left"/>
        <w:rPr>
          <w:rFonts w:hint="eastAsia" w:ascii="宋体" w:hAnsi="宋体" w:eastAsia="宋体" w:cs="宋体"/>
          <w:bCs/>
          <w:color w:val="000000"/>
          <w:sz w:val="24"/>
        </w:rPr>
      </w:pPr>
    </w:p>
    <w:p w14:paraId="65D3B418">
      <w:pPr>
        <w:pStyle w:val="8"/>
        <w:widowControl/>
        <w:spacing w:line="480" w:lineRule="exact"/>
        <w:ind w:firstLine="480" w:firstLineChars="200"/>
        <w:jc w:val="left"/>
        <w:rPr>
          <w:rFonts w:hint="eastAsia" w:ascii="宋体" w:hAnsi="宋体" w:eastAsia="宋体" w:cs="宋体"/>
          <w:bCs/>
          <w:color w:val="000000"/>
          <w:sz w:val="24"/>
        </w:rPr>
      </w:pPr>
    </w:p>
    <w:p w14:paraId="14F9D60D">
      <w:pPr>
        <w:pStyle w:val="8"/>
        <w:widowControl/>
        <w:spacing w:line="480" w:lineRule="exact"/>
        <w:ind w:firstLine="480" w:firstLineChars="200"/>
        <w:jc w:val="left"/>
        <w:rPr>
          <w:rFonts w:hint="eastAsia" w:ascii="宋体" w:hAnsi="宋体" w:eastAsia="宋体" w:cs="宋体"/>
          <w:bCs/>
          <w:color w:val="000000"/>
          <w:sz w:val="24"/>
        </w:rPr>
      </w:pPr>
    </w:p>
    <w:p w14:paraId="68418213">
      <w:pPr>
        <w:pStyle w:val="8"/>
        <w:widowControl/>
        <w:spacing w:line="480" w:lineRule="exact"/>
        <w:ind w:firstLine="480" w:firstLineChars="200"/>
        <w:jc w:val="left"/>
        <w:rPr>
          <w:rFonts w:hint="eastAsia" w:ascii="宋体" w:hAnsi="宋体" w:eastAsia="宋体" w:cs="宋体"/>
          <w:bCs/>
          <w:color w:val="000000"/>
          <w:sz w:val="24"/>
        </w:rPr>
      </w:pPr>
    </w:p>
    <w:p w14:paraId="22550C6B">
      <w:pPr>
        <w:pStyle w:val="8"/>
        <w:widowControl/>
        <w:spacing w:line="480" w:lineRule="exact"/>
        <w:ind w:firstLine="480" w:firstLineChars="200"/>
        <w:jc w:val="left"/>
        <w:rPr>
          <w:rFonts w:hint="eastAsia" w:ascii="宋体" w:hAnsi="宋体" w:eastAsia="宋体" w:cs="宋体"/>
          <w:bCs/>
          <w:color w:val="000000"/>
          <w:sz w:val="24"/>
        </w:rPr>
      </w:pPr>
    </w:p>
    <w:p w14:paraId="1B721F6F">
      <w:pPr>
        <w:pStyle w:val="8"/>
        <w:widowControl/>
        <w:spacing w:line="480" w:lineRule="exact"/>
        <w:ind w:firstLine="480" w:firstLineChars="200"/>
        <w:jc w:val="left"/>
        <w:rPr>
          <w:rFonts w:hint="eastAsia" w:ascii="宋体" w:hAnsi="宋体" w:eastAsia="宋体" w:cs="宋体"/>
          <w:bCs/>
          <w:color w:val="000000"/>
          <w:sz w:val="24"/>
        </w:rPr>
      </w:pPr>
    </w:p>
    <w:p w14:paraId="4C9BBF91">
      <w:pPr>
        <w:pStyle w:val="8"/>
        <w:widowControl/>
        <w:spacing w:line="480" w:lineRule="exact"/>
        <w:ind w:firstLine="480" w:firstLineChars="200"/>
        <w:jc w:val="left"/>
        <w:rPr>
          <w:rFonts w:hint="eastAsia" w:ascii="宋体" w:hAnsi="宋体" w:eastAsia="宋体" w:cs="宋体"/>
          <w:bCs/>
          <w:color w:val="000000"/>
          <w:sz w:val="24"/>
        </w:rPr>
      </w:pPr>
    </w:p>
    <w:p w14:paraId="2C94EBC0">
      <w:pPr>
        <w:pStyle w:val="8"/>
        <w:widowControl/>
        <w:spacing w:line="480" w:lineRule="exact"/>
        <w:ind w:firstLine="480" w:firstLineChars="200"/>
        <w:jc w:val="left"/>
        <w:rPr>
          <w:rFonts w:hint="eastAsia" w:ascii="宋体" w:hAnsi="宋体" w:eastAsia="宋体" w:cs="宋体"/>
          <w:bCs/>
          <w:color w:val="000000"/>
          <w:sz w:val="24"/>
        </w:rPr>
      </w:pPr>
    </w:p>
    <w:p w14:paraId="4A7B236E">
      <w:pPr>
        <w:pStyle w:val="8"/>
        <w:widowControl/>
        <w:spacing w:line="480" w:lineRule="exact"/>
        <w:ind w:firstLine="480" w:firstLineChars="200"/>
        <w:jc w:val="left"/>
        <w:rPr>
          <w:rFonts w:hint="eastAsia" w:ascii="宋体" w:hAnsi="宋体" w:eastAsia="宋体" w:cs="宋体"/>
          <w:bCs/>
          <w:color w:val="000000"/>
          <w:sz w:val="24"/>
        </w:rPr>
      </w:pPr>
    </w:p>
    <w:p w14:paraId="3DCE6A43">
      <w:pPr>
        <w:pStyle w:val="8"/>
        <w:widowControl/>
        <w:spacing w:line="480" w:lineRule="exact"/>
        <w:ind w:firstLine="480" w:firstLineChars="200"/>
        <w:jc w:val="left"/>
        <w:rPr>
          <w:rFonts w:hint="eastAsia" w:ascii="宋体" w:hAnsi="宋体" w:eastAsia="宋体" w:cs="宋体"/>
          <w:bCs/>
          <w:color w:val="000000"/>
          <w:sz w:val="24"/>
        </w:rPr>
      </w:pPr>
    </w:p>
    <w:p w14:paraId="49ABBC2A">
      <w:pPr>
        <w:pStyle w:val="8"/>
        <w:widowControl/>
        <w:spacing w:line="480" w:lineRule="exact"/>
        <w:ind w:firstLine="480" w:firstLineChars="200"/>
        <w:jc w:val="left"/>
        <w:rPr>
          <w:rFonts w:hint="eastAsia" w:ascii="宋体" w:hAnsi="宋体" w:eastAsia="宋体" w:cs="宋体"/>
          <w:bCs/>
          <w:color w:val="000000"/>
          <w:sz w:val="24"/>
        </w:rPr>
      </w:pPr>
    </w:p>
    <w:p w14:paraId="05FD4177">
      <w:pPr>
        <w:pStyle w:val="8"/>
        <w:widowControl/>
        <w:spacing w:line="480" w:lineRule="exact"/>
        <w:ind w:firstLine="480" w:firstLineChars="200"/>
        <w:jc w:val="left"/>
        <w:rPr>
          <w:rFonts w:hint="eastAsia" w:ascii="宋体" w:hAnsi="宋体" w:eastAsia="宋体" w:cs="宋体"/>
          <w:bCs/>
          <w:color w:val="000000"/>
          <w:sz w:val="24"/>
        </w:rPr>
      </w:pPr>
    </w:p>
    <w:p w14:paraId="7D52E718">
      <w:pPr>
        <w:pStyle w:val="8"/>
        <w:widowControl/>
        <w:spacing w:line="480" w:lineRule="exact"/>
        <w:ind w:firstLine="480" w:firstLineChars="200"/>
        <w:jc w:val="left"/>
        <w:rPr>
          <w:rFonts w:hint="eastAsia" w:ascii="宋体" w:hAnsi="宋体" w:eastAsia="宋体" w:cs="宋体"/>
          <w:bCs/>
          <w:color w:val="000000"/>
          <w:sz w:val="24"/>
        </w:rPr>
      </w:pPr>
    </w:p>
    <w:p w14:paraId="04266ED0">
      <w:pPr>
        <w:pStyle w:val="50"/>
        <w:spacing w:line="500" w:lineRule="exact"/>
        <w:ind w:firstLine="480" w:firstLineChars="200"/>
        <w:jc w:val="both"/>
        <w:rPr>
          <w:rFonts w:hint="eastAsia" w:ascii="宋体" w:hAnsi="宋体" w:eastAsia="宋体" w:cs="宋体"/>
          <w:sz w:val="24"/>
        </w:rPr>
      </w:pPr>
      <w:r>
        <w:rPr>
          <w:rFonts w:hint="eastAsia" w:ascii="宋体" w:hAnsi="宋体" w:eastAsia="宋体" w:cs="宋体"/>
          <w:sz w:val="24"/>
        </w:rPr>
        <w:t>供应商（盖公章）：</w:t>
      </w:r>
    </w:p>
    <w:p w14:paraId="379C3520">
      <w:pPr>
        <w:shd w:val="clear" w:color="auto" w:fill="FFFFFF"/>
        <w:tabs>
          <w:tab w:val="left" w:pos="3780"/>
        </w:tabs>
        <w:spacing w:line="360" w:lineRule="auto"/>
        <w:ind w:firstLine="480" w:firstLineChars="200"/>
        <w:rPr>
          <w:rFonts w:hint="eastAsia" w:ascii="宋体" w:hAnsi="宋体" w:eastAsia="宋体" w:cs="宋体"/>
          <w:sz w:val="24"/>
        </w:rPr>
      </w:pPr>
      <w:r>
        <w:rPr>
          <w:rFonts w:hint="eastAsia" w:ascii="宋体" w:hAnsi="宋体" w:eastAsia="宋体" w:cs="宋体"/>
          <w:sz w:val="24"/>
        </w:rPr>
        <w:t>法定代表人或授权代理人（签字</w:t>
      </w:r>
      <w:r>
        <w:rPr>
          <w:rFonts w:hint="eastAsia" w:ascii="宋体" w:hAnsi="宋体" w:cs="宋体"/>
          <w:sz w:val="24"/>
          <w:lang w:eastAsia="zh-CN"/>
        </w:rPr>
        <w:t>或</w:t>
      </w:r>
      <w:r>
        <w:rPr>
          <w:rFonts w:hint="eastAsia" w:ascii="宋体" w:hAnsi="宋体" w:eastAsia="宋体" w:cs="宋体"/>
          <w:sz w:val="24"/>
        </w:rPr>
        <w:t>盖章）：</w:t>
      </w:r>
    </w:p>
    <w:p w14:paraId="4D8040C8">
      <w:pPr>
        <w:shd w:val="clear" w:color="auto" w:fill="FFFFFF"/>
        <w:tabs>
          <w:tab w:val="left" w:pos="3780"/>
        </w:tabs>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日期： 年  月  日</w:t>
      </w:r>
    </w:p>
    <w:p w14:paraId="387EF7F9">
      <w:pPr>
        <w:pStyle w:val="8"/>
        <w:widowControl/>
        <w:spacing w:line="480" w:lineRule="exact"/>
        <w:ind w:firstLine="480" w:firstLineChars="200"/>
        <w:jc w:val="left"/>
        <w:rPr>
          <w:rFonts w:hint="eastAsia" w:ascii="宋体" w:hAnsi="宋体" w:eastAsia="宋体" w:cs="宋体"/>
          <w:bCs/>
          <w:color w:val="000000"/>
          <w:sz w:val="24"/>
        </w:rPr>
      </w:pPr>
    </w:p>
    <w:p w14:paraId="6009740F">
      <w:pPr>
        <w:pStyle w:val="8"/>
        <w:widowControl/>
        <w:spacing w:line="480" w:lineRule="exact"/>
        <w:ind w:firstLine="480" w:firstLineChars="200"/>
        <w:jc w:val="left"/>
        <w:rPr>
          <w:rFonts w:hint="eastAsia" w:ascii="宋体" w:hAnsi="宋体" w:eastAsia="宋体" w:cs="宋体"/>
          <w:bCs/>
          <w:color w:val="000000"/>
          <w:sz w:val="24"/>
        </w:rPr>
      </w:pPr>
    </w:p>
    <w:p w14:paraId="318735DD">
      <w:pPr>
        <w:pStyle w:val="8"/>
        <w:widowControl/>
        <w:spacing w:line="480" w:lineRule="exact"/>
        <w:ind w:firstLine="480" w:firstLineChars="200"/>
        <w:jc w:val="left"/>
        <w:rPr>
          <w:rFonts w:hint="eastAsia" w:ascii="宋体" w:hAnsi="宋体" w:eastAsia="宋体" w:cs="宋体"/>
          <w:bCs/>
          <w:color w:val="000000"/>
          <w:sz w:val="24"/>
        </w:rPr>
      </w:pPr>
    </w:p>
    <w:p w14:paraId="6E07B717">
      <w:pPr>
        <w:pStyle w:val="8"/>
        <w:widowControl/>
        <w:spacing w:line="480" w:lineRule="exact"/>
        <w:ind w:firstLine="480" w:firstLineChars="200"/>
        <w:jc w:val="left"/>
        <w:rPr>
          <w:rFonts w:hint="eastAsia" w:ascii="宋体" w:hAnsi="宋体" w:eastAsia="宋体" w:cs="宋体"/>
          <w:bCs/>
          <w:color w:val="000000"/>
          <w:sz w:val="24"/>
        </w:rPr>
      </w:pPr>
    </w:p>
    <w:p w14:paraId="148E46B1">
      <w:pPr>
        <w:pStyle w:val="8"/>
        <w:widowControl/>
        <w:spacing w:line="480" w:lineRule="exact"/>
        <w:ind w:firstLine="480" w:firstLineChars="200"/>
        <w:jc w:val="left"/>
        <w:rPr>
          <w:rFonts w:hint="eastAsia" w:ascii="宋体" w:hAnsi="宋体" w:eastAsia="宋体" w:cs="宋体"/>
          <w:bCs/>
          <w:color w:val="000000"/>
          <w:sz w:val="24"/>
        </w:rPr>
      </w:pPr>
    </w:p>
    <w:p w14:paraId="63F6D42E">
      <w:pPr>
        <w:pStyle w:val="8"/>
        <w:widowControl/>
        <w:spacing w:line="480" w:lineRule="exact"/>
        <w:ind w:firstLine="480" w:firstLineChars="200"/>
        <w:jc w:val="left"/>
        <w:rPr>
          <w:rFonts w:hint="eastAsia" w:ascii="宋体" w:hAnsi="宋体" w:eastAsia="宋体" w:cs="宋体"/>
          <w:bCs/>
          <w:color w:val="000000"/>
          <w:sz w:val="24"/>
        </w:rPr>
      </w:pPr>
    </w:p>
    <w:p w14:paraId="2295D740">
      <w:pPr>
        <w:pStyle w:val="8"/>
        <w:widowControl/>
        <w:spacing w:line="480" w:lineRule="exact"/>
        <w:ind w:firstLine="480" w:firstLineChars="200"/>
        <w:jc w:val="left"/>
        <w:rPr>
          <w:rFonts w:hint="eastAsia" w:ascii="宋体" w:hAnsi="宋体" w:eastAsia="宋体" w:cs="宋体"/>
          <w:bCs/>
          <w:color w:val="000000"/>
          <w:sz w:val="24"/>
        </w:rPr>
      </w:pPr>
    </w:p>
    <w:p w14:paraId="7B5D3816">
      <w:pPr>
        <w:pStyle w:val="8"/>
        <w:widowControl/>
        <w:spacing w:line="480" w:lineRule="exact"/>
        <w:ind w:firstLine="480" w:firstLineChars="200"/>
        <w:jc w:val="left"/>
        <w:rPr>
          <w:rFonts w:hint="eastAsia" w:ascii="宋体" w:hAnsi="宋体" w:eastAsia="宋体" w:cs="宋体"/>
          <w:bCs/>
          <w:color w:val="000000"/>
          <w:sz w:val="24"/>
        </w:rPr>
      </w:pPr>
    </w:p>
    <w:p w14:paraId="4E6402CE">
      <w:pPr>
        <w:pStyle w:val="8"/>
        <w:widowControl/>
        <w:spacing w:line="480" w:lineRule="exact"/>
        <w:ind w:firstLine="480" w:firstLineChars="200"/>
        <w:jc w:val="left"/>
        <w:rPr>
          <w:rFonts w:hint="eastAsia" w:ascii="宋体" w:hAnsi="宋体" w:eastAsia="宋体" w:cs="宋体"/>
          <w:bCs/>
          <w:color w:val="000000"/>
          <w:sz w:val="24"/>
        </w:rPr>
      </w:pPr>
    </w:p>
    <w:p w14:paraId="0213CBD9">
      <w:pPr>
        <w:pStyle w:val="8"/>
        <w:widowControl/>
        <w:spacing w:line="480" w:lineRule="exact"/>
        <w:ind w:firstLine="562" w:firstLineChars="200"/>
        <w:jc w:val="left"/>
        <w:rPr>
          <w:rFonts w:hint="default" w:ascii="宋体" w:hAnsi="宋体" w:eastAsia="宋体" w:cs="宋体"/>
          <w:b/>
          <w:bCs/>
          <w:sz w:val="28"/>
          <w:szCs w:val="32"/>
          <w:lang w:val="en-US" w:eastAsia="zh-CN"/>
        </w:rPr>
      </w:pPr>
      <w:r>
        <w:rPr>
          <w:rFonts w:hint="eastAsia" w:ascii="宋体" w:hAnsi="宋体" w:eastAsia="宋体" w:cs="宋体"/>
          <w:b/>
          <w:bCs/>
          <w:sz w:val="28"/>
          <w:szCs w:val="32"/>
          <w:lang w:val="en-US" w:eastAsia="zh-CN"/>
        </w:rPr>
        <w:t xml:space="preserve">2.6供应商未被列入“信用中国”网站(www.creditchina.gov.cn)证记录失信被执行人或重大税收违法案件当事人名单或政府采购严重违法失信行为”记录名单；未处于中国政府采购 网(www.ccgp.gov.cn)当政府采购严重违法失信行为信息记录”中； </w:t>
      </w:r>
    </w:p>
    <w:p w14:paraId="1219F73E">
      <w:pPr>
        <w:pStyle w:val="8"/>
        <w:widowControl/>
        <w:spacing w:line="480" w:lineRule="exact"/>
        <w:ind w:firstLine="480" w:firstLineChars="200"/>
        <w:jc w:val="left"/>
        <w:rPr>
          <w:rFonts w:hint="eastAsia" w:ascii="宋体" w:hAnsi="宋体" w:eastAsia="宋体" w:cs="宋体"/>
          <w:bCs/>
          <w:color w:val="000000"/>
          <w:sz w:val="24"/>
        </w:rPr>
      </w:pPr>
    </w:p>
    <w:p w14:paraId="61CC097E">
      <w:pPr>
        <w:pStyle w:val="9"/>
        <w:rPr>
          <w:rFonts w:hint="eastAsia" w:ascii="宋体" w:hAnsi="宋体" w:eastAsia="宋体" w:cs="宋体"/>
          <w:bCs/>
          <w:color w:val="000000"/>
          <w:sz w:val="24"/>
        </w:rPr>
      </w:pPr>
    </w:p>
    <w:p w14:paraId="3F64AA5F">
      <w:pPr>
        <w:rPr>
          <w:rFonts w:hint="eastAsia" w:ascii="宋体" w:hAnsi="宋体" w:eastAsia="宋体" w:cs="宋体"/>
          <w:bCs/>
          <w:color w:val="000000"/>
          <w:sz w:val="24"/>
        </w:rPr>
      </w:pPr>
    </w:p>
    <w:p w14:paraId="2BB1935A">
      <w:pPr>
        <w:rPr>
          <w:rFonts w:hint="eastAsia" w:ascii="宋体" w:hAnsi="宋体" w:eastAsia="宋体" w:cs="宋体"/>
          <w:bCs/>
          <w:color w:val="000000"/>
          <w:sz w:val="24"/>
        </w:rPr>
      </w:pPr>
    </w:p>
    <w:p w14:paraId="6F9DC95D">
      <w:pPr>
        <w:rPr>
          <w:rFonts w:hint="eastAsia" w:ascii="宋体" w:hAnsi="宋体" w:eastAsia="宋体" w:cs="宋体"/>
          <w:bCs/>
          <w:color w:val="000000"/>
          <w:sz w:val="24"/>
        </w:rPr>
      </w:pPr>
    </w:p>
    <w:p w14:paraId="5530E423">
      <w:pPr>
        <w:rPr>
          <w:rFonts w:hint="eastAsia" w:ascii="宋体" w:hAnsi="宋体" w:eastAsia="宋体" w:cs="宋体"/>
          <w:bCs/>
          <w:color w:val="000000"/>
          <w:sz w:val="24"/>
        </w:rPr>
      </w:pPr>
    </w:p>
    <w:p w14:paraId="3B1FDE85">
      <w:pPr>
        <w:rPr>
          <w:rFonts w:hint="eastAsia" w:ascii="宋体" w:hAnsi="宋体" w:eastAsia="宋体" w:cs="宋体"/>
          <w:bCs/>
          <w:color w:val="000000"/>
          <w:sz w:val="24"/>
        </w:rPr>
      </w:pPr>
    </w:p>
    <w:p w14:paraId="4F13C089">
      <w:pPr>
        <w:rPr>
          <w:rFonts w:hint="eastAsia" w:ascii="宋体" w:hAnsi="宋体" w:eastAsia="宋体" w:cs="宋体"/>
          <w:bCs/>
          <w:color w:val="000000"/>
          <w:sz w:val="24"/>
        </w:rPr>
      </w:pPr>
    </w:p>
    <w:p w14:paraId="1865A5FE">
      <w:pPr>
        <w:rPr>
          <w:rFonts w:hint="eastAsia" w:ascii="宋体" w:hAnsi="宋体" w:eastAsia="宋体" w:cs="宋体"/>
          <w:bCs/>
          <w:color w:val="000000"/>
          <w:sz w:val="24"/>
        </w:rPr>
      </w:pPr>
    </w:p>
    <w:p w14:paraId="526CDDFD">
      <w:pPr>
        <w:rPr>
          <w:rFonts w:hint="eastAsia" w:ascii="宋体" w:hAnsi="宋体" w:eastAsia="宋体" w:cs="宋体"/>
          <w:bCs/>
          <w:color w:val="000000"/>
          <w:sz w:val="24"/>
        </w:rPr>
      </w:pPr>
    </w:p>
    <w:p w14:paraId="3186C6E6">
      <w:pPr>
        <w:rPr>
          <w:rFonts w:hint="eastAsia" w:ascii="宋体" w:hAnsi="宋体" w:eastAsia="宋体" w:cs="宋体"/>
          <w:bCs/>
          <w:color w:val="000000"/>
          <w:sz w:val="24"/>
        </w:rPr>
      </w:pPr>
    </w:p>
    <w:p w14:paraId="23FA93F1">
      <w:pPr>
        <w:rPr>
          <w:rFonts w:hint="eastAsia" w:ascii="宋体" w:hAnsi="宋体" w:eastAsia="宋体" w:cs="宋体"/>
          <w:bCs/>
          <w:color w:val="000000"/>
          <w:sz w:val="24"/>
        </w:rPr>
      </w:pPr>
    </w:p>
    <w:p w14:paraId="1EA0F1FA">
      <w:pPr>
        <w:rPr>
          <w:rFonts w:hint="eastAsia" w:ascii="宋体" w:hAnsi="宋体" w:eastAsia="宋体" w:cs="宋体"/>
          <w:bCs/>
          <w:color w:val="000000"/>
          <w:sz w:val="24"/>
        </w:rPr>
      </w:pPr>
    </w:p>
    <w:p w14:paraId="004C26E8">
      <w:pPr>
        <w:rPr>
          <w:rFonts w:hint="eastAsia" w:ascii="宋体" w:hAnsi="宋体" w:eastAsia="宋体" w:cs="宋体"/>
          <w:bCs/>
          <w:color w:val="000000"/>
          <w:sz w:val="24"/>
        </w:rPr>
      </w:pPr>
    </w:p>
    <w:p w14:paraId="22A95C7E">
      <w:pPr>
        <w:rPr>
          <w:rFonts w:hint="eastAsia" w:ascii="宋体" w:hAnsi="宋体" w:eastAsia="宋体" w:cs="宋体"/>
          <w:bCs/>
          <w:color w:val="000000"/>
          <w:sz w:val="24"/>
        </w:rPr>
      </w:pPr>
    </w:p>
    <w:p w14:paraId="5FCF60E8">
      <w:pPr>
        <w:rPr>
          <w:rFonts w:hint="eastAsia" w:ascii="宋体" w:hAnsi="宋体" w:eastAsia="宋体" w:cs="宋体"/>
          <w:bCs/>
          <w:color w:val="000000"/>
          <w:sz w:val="24"/>
        </w:rPr>
      </w:pPr>
    </w:p>
    <w:p w14:paraId="3D282232">
      <w:pPr>
        <w:rPr>
          <w:rFonts w:hint="eastAsia" w:ascii="宋体" w:hAnsi="宋体" w:eastAsia="宋体" w:cs="宋体"/>
          <w:bCs/>
          <w:color w:val="000000"/>
          <w:sz w:val="24"/>
        </w:rPr>
      </w:pPr>
    </w:p>
    <w:p w14:paraId="3D746CA7">
      <w:pPr>
        <w:rPr>
          <w:rFonts w:hint="eastAsia" w:ascii="宋体" w:hAnsi="宋体" w:eastAsia="宋体" w:cs="宋体"/>
          <w:bCs/>
          <w:color w:val="000000"/>
          <w:sz w:val="24"/>
        </w:rPr>
      </w:pPr>
    </w:p>
    <w:p w14:paraId="1E28CDFD">
      <w:pPr>
        <w:rPr>
          <w:rFonts w:hint="eastAsia" w:ascii="宋体" w:hAnsi="宋体" w:eastAsia="宋体" w:cs="宋体"/>
          <w:bCs/>
          <w:color w:val="000000"/>
          <w:sz w:val="24"/>
        </w:rPr>
      </w:pPr>
    </w:p>
    <w:p w14:paraId="1E7ABEE1">
      <w:pPr>
        <w:rPr>
          <w:rFonts w:hint="eastAsia" w:ascii="宋体" w:hAnsi="宋体" w:eastAsia="宋体" w:cs="宋体"/>
          <w:bCs/>
          <w:color w:val="000000"/>
          <w:sz w:val="24"/>
        </w:rPr>
      </w:pPr>
    </w:p>
    <w:p w14:paraId="57624BE2">
      <w:pPr>
        <w:rPr>
          <w:rFonts w:hint="eastAsia" w:ascii="宋体" w:hAnsi="宋体" w:eastAsia="宋体" w:cs="宋体"/>
          <w:bCs/>
          <w:color w:val="000000"/>
          <w:sz w:val="24"/>
        </w:rPr>
      </w:pPr>
    </w:p>
    <w:p w14:paraId="1BDB02C8">
      <w:pPr>
        <w:rPr>
          <w:rFonts w:hint="eastAsia" w:ascii="宋体" w:hAnsi="宋体" w:eastAsia="宋体" w:cs="宋体"/>
          <w:bCs/>
          <w:color w:val="000000"/>
          <w:sz w:val="24"/>
        </w:rPr>
      </w:pPr>
    </w:p>
    <w:p w14:paraId="6DB43EFB">
      <w:pPr>
        <w:rPr>
          <w:rFonts w:hint="eastAsia" w:ascii="宋体" w:hAnsi="宋体" w:eastAsia="宋体" w:cs="宋体"/>
          <w:bCs/>
          <w:color w:val="000000"/>
          <w:sz w:val="24"/>
        </w:rPr>
      </w:pPr>
    </w:p>
    <w:p w14:paraId="3F76C42D">
      <w:pPr>
        <w:rPr>
          <w:rFonts w:hint="eastAsia" w:ascii="宋体" w:hAnsi="宋体" w:eastAsia="宋体" w:cs="宋体"/>
          <w:bCs/>
          <w:color w:val="000000"/>
          <w:sz w:val="24"/>
        </w:rPr>
      </w:pPr>
    </w:p>
    <w:p w14:paraId="7C34EA9C">
      <w:pPr>
        <w:rPr>
          <w:rFonts w:hint="eastAsia" w:ascii="宋体" w:hAnsi="宋体" w:eastAsia="宋体" w:cs="宋体"/>
          <w:bCs/>
          <w:color w:val="000000"/>
          <w:sz w:val="24"/>
        </w:rPr>
      </w:pPr>
    </w:p>
    <w:p w14:paraId="4068DC31">
      <w:pPr>
        <w:rPr>
          <w:rFonts w:hint="eastAsia" w:ascii="宋体" w:hAnsi="宋体" w:eastAsia="宋体" w:cs="宋体"/>
          <w:bCs/>
          <w:color w:val="000000"/>
          <w:sz w:val="24"/>
        </w:rPr>
      </w:pPr>
    </w:p>
    <w:p w14:paraId="1C3B48E6">
      <w:pPr>
        <w:rPr>
          <w:rFonts w:hint="eastAsia" w:ascii="宋体" w:hAnsi="宋体" w:eastAsia="宋体" w:cs="宋体"/>
          <w:bCs/>
          <w:color w:val="000000"/>
          <w:sz w:val="24"/>
        </w:rPr>
      </w:pPr>
    </w:p>
    <w:p w14:paraId="6DC91037">
      <w:pPr>
        <w:rPr>
          <w:rFonts w:hint="eastAsia" w:ascii="宋体" w:hAnsi="宋体" w:eastAsia="宋体" w:cs="宋体"/>
          <w:bCs/>
          <w:color w:val="000000"/>
          <w:sz w:val="24"/>
        </w:rPr>
      </w:pPr>
    </w:p>
    <w:p w14:paraId="409C0B2E">
      <w:pPr>
        <w:rPr>
          <w:rFonts w:hint="eastAsia" w:ascii="宋体" w:hAnsi="宋体" w:eastAsia="宋体" w:cs="宋体"/>
          <w:bCs/>
          <w:color w:val="000000"/>
          <w:sz w:val="24"/>
        </w:rPr>
      </w:pPr>
    </w:p>
    <w:p w14:paraId="35F09711">
      <w:pPr>
        <w:rPr>
          <w:rFonts w:hint="eastAsia" w:ascii="宋体" w:hAnsi="宋体" w:eastAsia="宋体" w:cs="宋体"/>
          <w:bCs/>
          <w:color w:val="000000"/>
          <w:sz w:val="24"/>
        </w:rPr>
      </w:pPr>
    </w:p>
    <w:p w14:paraId="045D5A7B">
      <w:pPr>
        <w:rPr>
          <w:rFonts w:hint="eastAsia" w:ascii="宋体" w:hAnsi="宋体" w:eastAsia="宋体" w:cs="宋体"/>
          <w:bCs/>
          <w:color w:val="000000"/>
          <w:sz w:val="24"/>
        </w:rPr>
      </w:pPr>
    </w:p>
    <w:p w14:paraId="42A34C04">
      <w:pPr>
        <w:rPr>
          <w:rFonts w:hint="eastAsia" w:ascii="宋体" w:hAnsi="宋体" w:eastAsia="宋体" w:cs="宋体"/>
          <w:bCs/>
          <w:color w:val="000000"/>
          <w:sz w:val="24"/>
        </w:rPr>
      </w:pPr>
    </w:p>
    <w:p w14:paraId="67E80325">
      <w:pPr>
        <w:rPr>
          <w:rFonts w:hint="eastAsia" w:ascii="宋体" w:hAnsi="宋体" w:eastAsia="宋体" w:cs="宋体"/>
          <w:bCs/>
          <w:color w:val="000000"/>
          <w:sz w:val="24"/>
        </w:rPr>
      </w:pPr>
    </w:p>
    <w:p w14:paraId="3DEC328E">
      <w:pPr>
        <w:rPr>
          <w:rFonts w:hint="eastAsia" w:ascii="宋体" w:hAnsi="宋体" w:eastAsia="宋体" w:cs="宋体"/>
          <w:bCs/>
          <w:color w:val="000000"/>
          <w:sz w:val="24"/>
        </w:rPr>
      </w:pPr>
    </w:p>
    <w:p w14:paraId="7D499CD6">
      <w:pPr>
        <w:rPr>
          <w:rFonts w:hint="eastAsia" w:ascii="宋体" w:hAnsi="宋体" w:eastAsia="宋体" w:cs="宋体"/>
          <w:bCs/>
          <w:color w:val="000000"/>
          <w:sz w:val="24"/>
        </w:rPr>
      </w:pPr>
    </w:p>
    <w:p w14:paraId="742F8463">
      <w:pPr>
        <w:rPr>
          <w:rFonts w:hint="eastAsia" w:ascii="宋体" w:hAnsi="宋体" w:eastAsia="宋体" w:cs="宋体"/>
          <w:bCs/>
          <w:color w:val="000000"/>
          <w:sz w:val="24"/>
        </w:rPr>
      </w:pPr>
    </w:p>
    <w:p w14:paraId="49A8193E">
      <w:pPr>
        <w:rPr>
          <w:rFonts w:hint="eastAsia" w:ascii="宋体" w:hAnsi="宋体" w:eastAsia="宋体" w:cs="宋体"/>
          <w:bCs/>
          <w:color w:val="000000"/>
          <w:sz w:val="24"/>
        </w:rPr>
      </w:pPr>
    </w:p>
    <w:p w14:paraId="1848E8B6">
      <w:pPr>
        <w:rPr>
          <w:rFonts w:hint="eastAsia" w:ascii="宋体" w:hAnsi="宋体" w:eastAsia="宋体" w:cs="宋体"/>
          <w:bCs/>
          <w:color w:val="000000"/>
          <w:sz w:val="24"/>
        </w:rPr>
      </w:pPr>
    </w:p>
    <w:p w14:paraId="3381F652">
      <w:pPr>
        <w:pStyle w:val="48"/>
        <w:spacing w:line="360" w:lineRule="exact"/>
        <w:jc w:val="center"/>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2.</w:t>
      </w:r>
      <w:r>
        <w:rPr>
          <w:rFonts w:hint="eastAsia" w:ascii="宋体" w:hAnsi="宋体" w:cs="宋体"/>
          <w:b/>
          <w:bCs/>
          <w:kern w:val="2"/>
          <w:sz w:val="32"/>
          <w:szCs w:val="32"/>
          <w:lang w:val="en-US" w:eastAsia="zh-CN" w:bidi="ar-SA"/>
        </w:rPr>
        <w:t>7</w:t>
      </w:r>
      <w:r>
        <w:rPr>
          <w:rFonts w:hint="eastAsia" w:ascii="宋体" w:hAnsi="宋体" w:eastAsia="宋体" w:cs="宋体"/>
          <w:b/>
          <w:bCs/>
          <w:kern w:val="2"/>
          <w:sz w:val="32"/>
          <w:szCs w:val="32"/>
          <w:lang w:val="en-US" w:eastAsia="zh-CN" w:bidi="ar-SA"/>
        </w:rPr>
        <w:t>单位负责人为同一人或者存在直接控股、管理关系的不同供应商，不得参加同一合同项下的政府采购活动；</w:t>
      </w:r>
    </w:p>
    <w:p w14:paraId="36441D3B">
      <w:pPr>
        <w:rPr>
          <w:rFonts w:hint="eastAsia" w:ascii="宋体" w:hAnsi="宋体" w:eastAsia="宋体" w:cs="宋体"/>
        </w:rPr>
      </w:pPr>
    </w:p>
    <w:p w14:paraId="6647B6BA">
      <w:pPr>
        <w:pStyle w:val="18"/>
        <w:rPr>
          <w:rFonts w:hint="eastAsia" w:ascii="宋体" w:hAnsi="宋体" w:eastAsia="宋体" w:cs="宋体"/>
        </w:rPr>
      </w:pPr>
    </w:p>
    <w:p w14:paraId="7FA15498">
      <w:pPr>
        <w:spacing w:before="71" w:line="220" w:lineRule="auto"/>
        <w:ind w:left="3947"/>
        <w:rPr>
          <w:rFonts w:hint="eastAsia" w:ascii="宋体" w:hAnsi="宋体" w:eastAsia="宋体" w:cs="宋体"/>
          <w:b/>
          <w:bCs/>
          <w:spacing w:val="1"/>
          <w:sz w:val="28"/>
          <w:szCs w:val="28"/>
        </w:rPr>
      </w:pPr>
      <w:r>
        <w:rPr>
          <w:rFonts w:hint="eastAsia" w:ascii="宋体" w:hAnsi="宋体" w:eastAsia="宋体" w:cs="宋体"/>
          <w:b/>
          <w:bCs/>
          <w:spacing w:val="2"/>
          <w:sz w:val="28"/>
          <w:szCs w:val="28"/>
        </w:rPr>
        <w:t xml:space="preserve">声  明  </w:t>
      </w:r>
      <w:r>
        <w:rPr>
          <w:rFonts w:hint="eastAsia" w:ascii="宋体" w:hAnsi="宋体" w:eastAsia="宋体" w:cs="宋体"/>
          <w:b/>
          <w:bCs/>
          <w:spacing w:val="1"/>
          <w:sz w:val="28"/>
          <w:szCs w:val="28"/>
        </w:rPr>
        <w:t>函</w:t>
      </w:r>
    </w:p>
    <w:p w14:paraId="22633CC5">
      <w:pPr>
        <w:pStyle w:val="8"/>
        <w:rPr>
          <w:rFonts w:hint="eastAsia" w:ascii="宋体" w:hAnsi="宋体" w:eastAsia="宋体" w:cs="宋体"/>
        </w:rPr>
      </w:pPr>
    </w:p>
    <w:p w14:paraId="47ABA34C">
      <w:pPr>
        <w:spacing w:line="265" w:lineRule="auto"/>
        <w:rPr>
          <w:rFonts w:hint="eastAsia" w:ascii="宋体" w:hAnsi="宋体" w:eastAsia="宋体" w:cs="宋体"/>
          <w:sz w:val="24"/>
        </w:rPr>
      </w:pPr>
    </w:p>
    <w:p w14:paraId="2AD6B923">
      <w:pPr>
        <w:widowControl/>
        <w:adjustRightInd w:val="0"/>
        <w:snapToGrid w:val="0"/>
        <w:spacing w:line="360" w:lineRule="auto"/>
        <w:ind w:firstLine="645"/>
        <w:textAlignment w:val="baseline"/>
        <w:rPr>
          <w:rFonts w:hint="eastAsia" w:ascii="宋体" w:hAnsi="宋体" w:eastAsia="宋体" w:cs="宋体"/>
          <w:sz w:val="24"/>
        </w:rPr>
      </w:pPr>
      <w:r>
        <w:rPr>
          <w:rFonts w:hint="eastAsia" w:ascii="宋体" w:hAnsi="宋体" w:eastAsia="宋体" w:cs="宋体"/>
          <w:sz w:val="24"/>
        </w:rPr>
        <w:t>本单位在参与</w:t>
      </w:r>
      <w:r>
        <w:rPr>
          <w:rFonts w:hint="eastAsia" w:ascii="宋体" w:hAnsi="宋体" w:eastAsia="宋体" w:cs="宋体"/>
          <w:sz w:val="24"/>
          <w:u w:val="single"/>
        </w:rPr>
        <w:t xml:space="preserve">                                 </w:t>
      </w:r>
      <w:r>
        <w:rPr>
          <w:rFonts w:hint="eastAsia" w:ascii="宋体" w:hAnsi="宋体" w:eastAsia="宋体" w:cs="宋体"/>
          <w:sz w:val="24"/>
        </w:rPr>
        <w:t>项目政府采购过程中特作以下承诺：</w:t>
      </w:r>
    </w:p>
    <w:p w14:paraId="53EADB54">
      <w:pPr>
        <w:widowControl/>
        <w:adjustRightInd w:val="0"/>
        <w:snapToGrid w:val="0"/>
        <w:spacing w:line="360" w:lineRule="auto"/>
        <w:ind w:firstLine="645"/>
        <w:textAlignment w:val="baseline"/>
        <w:rPr>
          <w:rFonts w:hint="eastAsia" w:ascii="宋体" w:hAnsi="宋体" w:eastAsia="宋体" w:cs="宋体"/>
          <w:sz w:val="24"/>
        </w:rPr>
      </w:pPr>
      <w:r>
        <w:rPr>
          <w:rFonts w:hint="eastAsia" w:ascii="宋体" w:hAnsi="宋体" w:eastAsia="宋体" w:cs="宋体"/>
          <w:sz w:val="24"/>
        </w:rPr>
        <w:t>我单位负责人为同一人或者存在直接控股、管理关系的不同供应商，未同时参加本项目</w:t>
      </w:r>
      <w:r>
        <w:rPr>
          <w:rFonts w:hint="eastAsia" w:ascii="宋体" w:hAnsi="宋体" w:cs="宋体"/>
          <w:sz w:val="24"/>
          <w:lang w:val="en-US" w:eastAsia="zh-CN"/>
        </w:rPr>
        <w:t>谈判</w:t>
      </w:r>
      <w:r>
        <w:rPr>
          <w:rFonts w:hint="eastAsia" w:ascii="宋体" w:hAnsi="宋体" w:eastAsia="宋体" w:cs="宋体"/>
          <w:sz w:val="24"/>
        </w:rPr>
        <w:t>，具体信息如下：</w:t>
      </w:r>
    </w:p>
    <w:p w14:paraId="04466379">
      <w:pPr>
        <w:widowControl/>
        <w:adjustRightInd w:val="0"/>
        <w:snapToGrid w:val="0"/>
        <w:spacing w:line="360" w:lineRule="auto"/>
        <w:ind w:firstLine="645"/>
        <w:textAlignment w:val="baseline"/>
        <w:rPr>
          <w:rFonts w:hint="eastAsia" w:ascii="宋体" w:hAnsi="宋体" w:eastAsia="宋体" w:cs="宋体"/>
          <w:sz w:val="24"/>
        </w:rPr>
      </w:pPr>
    </w:p>
    <w:tbl>
      <w:tblPr>
        <w:tblStyle w:val="24"/>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05"/>
        <w:gridCol w:w="4323"/>
      </w:tblGrid>
      <w:tr w14:paraId="20136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4205" w:type="dxa"/>
            <w:vAlign w:val="top"/>
          </w:tcPr>
          <w:p w14:paraId="7EA74E81">
            <w:pPr>
              <w:widowControl/>
              <w:adjustRightInd w:val="0"/>
              <w:snapToGrid w:val="0"/>
              <w:spacing w:line="360" w:lineRule="auto"/>
              <w:ind w:firstLine="645"/>
              <w:textAlignment w:val="baseline"/>
              <w:rPr>
                <w:rFonts w:hint="eastAsia" w:ascii="宋体" w:hAnsi="宋体" w:eastAsia="宋体" w:cs="宋体"/>
                <w:sz w:val="24"/>
              </w:rPr>
            </w:pPr>
            <w:r>
              <w:rPr>
                <w:rFonts w:hint="eastAsia" w:ascii="宋体" w:hAnsi="宋体" w:eastAsia="宋体" w:cs="宋体"/>
                <w:sz w:val="24"/>
              </w:rPr>
              <w:t>与本单位单位负责人为同一人的其他单位名单</w:t>
            </w:r>
          </w:p>
        </w:tc>
        <w:tc>
          <w:tcPr>
            <w:tcW w:w="4323" w:type="dxa"/>
            <w:vAlign w:val="top"/>
          </w:tcPr>
          <w:p w14:paraId="213211D2">
            <w:pPr>
              <w:widowControl/>
              <w:adjustRightInd w:val="0"/>
              <w:snapToGrid w:val="0"/>
              <w:spacing w:line="360" w:lineRule="auto"/>
              <w:ind w:firstLine="645"/>
              <w:textAlignment w:val="baseline"/>
              <w:rPr>
                <w:rFonts w:hint="eastAsia" w:ascii="宋体" w:hAnsi="宋体" w:eastAsia="宋体" w:cs="宋体"/>
                <w:sz w:val="24"/>
              </w:rPr>
            </w:pPr>
            <w:r>
              <w:rPr>
                <w:rFonts w:hint="eastAsia" w:ascii="宋体" w:hAnsi="宋体" w:eastAsia="宋体" w:cs="宋体"/>
                <w:sz w:val="24"/>
              </w:rPr>
              <w:t>请如实填写，没有请在本栏填写“无”</w:t>
            </w:r>
          </w:p>
        </w:tc>
      </w:tr>
      <w:tr w14:paraId="64AC1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4205" w:type="dxa"/>
            <w:vAlign w:val="top"/>
          </w:tcPr>
          <w:p w14:paraId="0BFE36A0">
            <w:pPr>
              <w:widowControl/>
              <w:adjustRightInd w:val="0"/>
              <w:snapToGrid w:val="0"/>
              <w:spacing w:line="360" w:lineRule="auto"/>
              <w:ind w:firstLine="645"/>
              <w:textAlignment w:val="baseline"/>
              <w:rPr>
                <w:rFonts w:hint="eastAsia" w:ascii="宋体" w:hAnsi="宋体" w:eastAsia="宋体" w:cs="宋体"/>
                <w:sz w:val="24"/>
              </w:rPr>
            </w:pPr>
            <w:r>
              <w:rPr>
                <w:rFonts w:hint="eastAsia" w:ascii="宋体" w:hAnsi="宋体" w:eastAsia="宋体" w:cs="宋体"/>
                <w:sz w:val="24"/>
              </w:rPr>
              <w:t>与本单位存在直接控股、管理关系的其他单位名单</w:t>
            </w:r>
          </w:p>
        </w:tc>
        <w:tc>
          <w:tcPr>
            <w:tcW w:w="4323" w:type="dxa"/>
            <w:vAlign w:val="top"/>
          </w:tcPr>
          <w:p w14:paraId="530BC973">
            <w:pPr>
              <w:widowControl/>
              <w:adjustRightInd w:val="0"/>
              <w:snapToGrid w:val="0"/>
              <w:spacing w:line="360" w:lineRule="auto"/>
              <w:ind w:firstLine="645"/>
              <w:textAlignment w:val="baseline"/>
              <w:rPr>
                <w:rFonts w:hint="eastAsia" w:ascii="宋体" w:hAnsi="宋体" w:eastAsia="宋体" w:cs="宋体"/>
                <w:sz w:val="24"/>
              </w:rPr>
            </w:pPr>
            <w:r>
              <w:rPr>
                <w:rFonts w:hint="eastAsia" w:ascii="宋体" w:hAnsi="宋体" w:eastAsia="宋体" w:cs="宋体"/>
                <w:sz w:val="24"/>
              </w:rPr>
              <w:t>请如实填写，没有请在本栏填写“无”</w:t>
            </w:r>
          </w:p>
        </w:tc>
      </w:tr>
    </w:tbl>
    <w:p w14:paraId="4A469F82">
      <w:pPr>
        <w:widowControl/>
        <w:adjustRightInd w:val="0"/>
        <w:snapToGrid w:val="0"/>
        <w:spacing w:line="360" w:lineRule="auto"/>
        <w:ind w:firstLine="645"/>
        <w:textAlignment w:val="baseline"/>
        <w:rPr>
          <w:rFonts w:hint="eastAsia" w:ascii="宋体" w:hAnsi="宋体" w:eastAsia="宋体" w:cs="宋体"/>
          <w:sz w:val="24"/>
        </w:rPr>
      </w:pPr>
    </w:p>
    <w:p w14:paraId="54E9D15D">
      <w:pPr>
        <w:widowControl/>
        <w:adjustRightInd w:val="0"/>
        <w:snapToGrid w:val="0"/>
        <w:spacing w:line="360" w:lineRule="auto"/>
        <w:ind w:firstLine="645"/>
        <w:textAlignment w:val="baseline"/>
        <w:rPr>
          <w:rFonts w:hint="eastAsia" w:ascii="宋体" w:hAnsi="宋体" w:eastAsia="宋体" w:cs="宋体"/>
          <w:sz w:val="24"/>
        </w:rPr>
      </w:pPr>
    </w:p>
    <w:p w14:paraId="2637B7B9">
      <w:pPr>
        <w:widowControl/>
        <w:adjustRightInd w:val="0"/>
        <w:snapToGrid w:val="0"/>
        <w:spacing w:line="360" w:lineRule="auto"/>
        <w:ind w:firstLine="645"/>
        <w:textAlignment w:val="baseline"/>
        <w:rPr>
          <w:rFonts w:hint="eastAsia" w:ascii="宋体" w:hAnsi="宋体" w:eastAsia="宋体" w:cs="宋体"/>
          <w:sz w:val="24"/>
        </w:rPr>
      </w:pPr>
    </w:p>
    <w:p w14:paraId="6BFB4FC0">
      <w:pPr>
        <w:widowControl/>
        <w:adjustRightInd w:val="0"/>
        <w:snapToGrid w:val="0"/>
        <w:spacing w:line="360" w:lineRule="auto"/>
        <w:ind w:firstLine="645"/>
        <w:textAlignment w:val="baseline"/>
        <w:rPr>
          <w:rFonts w:hint="eastAsia" w:ascii="宋体" w:hAnsi="宋体" w:eastAsia="宋体" w:cs="宋体"/>
          <w:sz w:val="24"/>
        </w:rPr>
      </w:pPr>
    </w:p>
    <w:p w14:paraId="5D289E9B">
      <w:pPr>
        <w:widowControl/>
        <w:adjustRightInd w:val="0"/>
        <w:snapToGrid w:val="0"/>
        <w:spacing w:line="360" w:lineRule="auto"/>
        <w:ind w:firstLine="645"/>
        <w:textAlignment w:val="baseline"/>
        <w:rPr>
          <w:rFonts w:hint="eastAsia" w:ascii="宋体" w:hAnsi="宋体" w:eastAsia="宋体" w:cs="宋体"/>
          <w:sz w:val="24"/>
        </w:rPr>
      </w:pPr>
    </w:p>
    <w:p w14:paraId="4A6406A9">
      <w:pPr>
        <w:widowControl/>
        <w:adjustRightInd w:val="0"/>
        <w:snapToGrid w:val="0"/>
        <w:spacing w:line="360" w:lineRule="auto"/>
        <w:ind w:firstLine="645"/>
        <w:jc w:val="right"/>
        <w:textAlignment w:val="baseline"/>
        <w:rPr>
          <w:rFonts w:hint="eastAsia" w:ascii="宋体" w:hAnsi="宋体" w:eastAsia="宋体" w:cs="宋体"/>
          <w:sz w:val="24"/>
        </w:rPr>
      </w:pPr>
    </w:p>
    <w:p w14:paraId="6E407733">
      <w:pPr>
        <w:pStyle w:val="50"/>
        <w:spacing w:line="500" w:lineRule="exact"/>
        <w:ind w:firstLine="480" w:firstLineChars="200"/>
        <w:jc w:val="both"/>
        <w:rPr>
          <w:rFonts w:hint="eastAsia" w:ascii="宋体" w:hAnsi="宋体" w:eastAsia="宋体" w:cs="宋体"/>
          <w:sz w:val="24"/>
        </w:rPr>
      </w:pPr>
      <w:r>
        <w:rPr>
          <w:rFonts w:hint="eastAsia" w:ascii="宋体" w:hAnsi="宋体" w:eastAsia="宋体" w:cs="宋体"/>
          <w:sz w:val="24"/>
        </w:rPr>
        <w:t>供应商（盖公章）：</w:t>
      </w:r>
    </w:p>
    <w:p w14:paraId="50A2EB2B">
      <w:pPr>
        <w:shd w:val="clear" w:color="auto" w:fill="FFFFFF"/>
        <w:tabs>
          <w:tab w:val="left" w:pos="3780"/>
        </w:tabs>
        <w:spacing w:line="360" w:lineRule="auto"/>
        <w:ind w:firstLine="480" w:firstLineChars="200"/>
        <w:rPr>
          <w:rFonts w:hint="eastAsia" w:ascii="宋体" w:hAnsi="宋体" w:eastAsia="宋体" w:cs="宋体"/>
          <w:sz w:val="24"/>
        </w:rPr>
      </w:pPr>
      <w:r>
        <w:rPr>
          <w:rFonts w:hint="eastAsia" w:ascii="宋体" w:hAnsi="宋体" w:eastAsia="宋体" w:cs="宋体"/>
          <w:sz w:val="24"/>
        </w:rPr>
        <w:t>法定代表人或授权代理人（签字</w:t>
      </w:r>
      <w:r>
        <w:rPr>
          <w:rFonts w:hint="eastAsia" w:ascii="宋体" w:hAnsi="宋体" w:cs="宋体"/>
          <w:sz w:val="24"/>
          <w:lang w:eastAsia="zh-CN"/>
        </w:rPr>
        <w:t>或</w:t>
      </w:r>
      <w:r>
        <w:rPr>
          <w:rFonts w:hint="eastAsia" w:ascii="宋体" w:hAnsi="宋体" w:eastAsia="宋体" w:cs="宋体"/>
          <w:sz w:val="24"/>
        </w:rPr>
        <w:t>盖章）：</w:t>
      </w:r>
    </w:p>
    <w:p w14:paraId="0751764E">
      <w:pPr>
        <w:shd w:val="clear" w:color="auto" w:fill="FFFFFF"/>
        <w:tabs>
          <w:tab w:val="left" w:pos="3780"/>
        </w:tabs>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日期： 年  月  日</w:t>
      </w:r>
    </w:p>
    <w:p w14:paraId="4B595B13">
      <w:pPr>
        <w:numPr>
          <w:ilvl w:val="0"/>
          <w:numId w:val="0"/>
        </w:numPr>
        <w:spacing w:line="360" w:lineRule="auto"/>
        <w:jc w:val="center"/>
        <w:rPr>
          <w:rFonts w:hint="eastAsia" w:ascii="宋体" w:hAnsi="宋体" w:eastAsia="宋体" w:cs="宋体"/>
          <w:b/>
          <w:kern w:val="2"/>
          <w:sz w:val="28"/>
          <w:szCs w:val="30"/>
          <w:lang w:val="en-US" w:eastAsia="zh-CN" w:bidi="ar-SA"/>
        </w:rPr>
      </w:pPr>
    </w:p>
    <w:p w14:paraId="5BA7CF23">
      <w:pPr>
        <w:numPr>
          <w:ilvl w:val="0"/>
          <w:numId w:val="0"/>
        </w:numPr>
        <w:spacing w:line="360" w:lineRule="auto"/>
        <w:jc w:val="center"/>
        <w:rPr>
          <w:rFonts w:hint="eastAsia" w:ascii="宋体" w:hAnsi="宋体" w:eastAsia="宋体" w:cs="宋体"/>
          <w:b/>
          <w:kern w:val="2"/>
          <w:sz w:val="28"/>
          <w:szCs w:val="30"/>
          <w:lang w:val="en-US" w:eastAsia="zh-CN" w:bidi="ar-SA"/>
        </w:rPr>
      </w:pPr>
    </w:p>
    <w:p w14:paraId="3A6255A4">
      <w:pPr>
        <w:rPr>
          <w:rFonts w:hint="eastAsia" w:ascii="宋体" w:hAnsi="宋体" w:eastAsia="宋体" w:cs="宋体"/>
          <w:b/>
          <w:bCs/>
          <w:sz w:val="28"/>
          <w:szCs w:val="28"/>
        </w:rPr>
      </w:pPr>
      <w:r>
        <w:rPr>
          <w:rFonts w:hint="eastAsia" w:ascii="宋体" w:hAnsi="宋体" w:eastAsia="宋体" w:cs="宋体"/>
          <w:b/>
          <w:bCs/>
          <w:sz w:val="28"/>
          <w:szCs w:val="28"/>
        </w:rPr>
        <w:br w:type="page"/>
      </w:r>
    </w:p>
    <w:p w14:paraId="336486D1">
      <w:pPr>
        <w:pStyle w:val="8"/>
        <w:spacing w:line="480" w:lineRule="exact"/>
        <w:jc w:val="center"/>
        <w:rPr>
          <w:rFonts w:hint="eastAsia" w:ascii="宋体" w:hAnsi="宋体" w:eastAsia="宋体" w:cs="宋体"/>
          <w:b/>
          <w:bCs/>
          <w:sz w:val="28"/>
          <w:szCs w:val="28"/>
        </w:rPr>
      </w:pPr>
      <w:r>
        <w:rPr>
          <w:rFonts w:hint="eastAsia" w:ascii="宋体" w:hAnsi="宋体" w:eastAsia="宋体" w:cs="宋体"/>
          <w:b/>
          <w:bCs/>
          <w:sz w:val="28"/>
          <w:szCs w:val="28"/>
        </w:rPr>
        <w:t>主要股东及出资人信息</w:t>
      </w:r>
    </w:p>
    <w:p w14:paraId="4E90257C">
      <w:pPr>
        <w:rPr>
          <w:rFonts w:hint="eastAsia" w:ascii="宋体" w:hAnsi="宋体" w:eastAsia="宋体" w:cs="宋体"/>
          <w:kern w:val="0"/>
          <w:sz w:val="24"/>
        </w:rPr>
      </w:pPr>
    </w:p>
    <w:p w14:paraId="19D70BC6">
      <w:pPr>
        <w:pStyle w:val="8"/>
        <w:rPr>
          <w:rFonts w:hint="eastAsia" w:ascii="宋体" w:hAnsi="宋体" w:eastAsia="宋体" w:cs="宋体"/>
          <w:kern w:val="0"/>
          <w:sz w:val="24"/>
        </w:rPr>
      </w:pPr>
    </w:p>
    <w:tbl>
      <w:tblPr>
        <w:tblStyle w:val="24"/>
        <w:tblW w:w="9052"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392"/>
        <w:gridCol w:w="1666"/>
        <w:gridCol w:w="1228"/>
        <w:gridCol w:w="1189"/>
        <w:gridCol w:w="1255"/>
        <w:gridCol w:w="1101"/>
      </w:tblGrid>
      <w:tr w14:paraId="2D4C2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1221" w:type="dxa"/>
            <w:vAlign w:val="center"/>
          </w:tcPr>
          <w:p w14:paraId="288586E7">
            <w:pPr>
              <w:widowControl/>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序号</w:t>
            </w:r>
          </w:p>
        </w:tc>
        <w:tc>
          <w:tcPr>
            <w:tcW w:w="1392" w:type="dxa"/>
            <w:vAlign w:val="center"/>
          </w:tcPr>
          <w:p w14:paraId="5F5CE85D">
            <w:pPr>
              <w:widowControl/>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名称</w:t>
            </w:r>
          </w:p>
          <w:p w14:paraId="301D780E">
            <w:pPr>
              <w:widowControl/>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（姓名）</w:t>
            </w:r>
          </w:p>
        </w:tc>
        <w:tc>
          <w:tcPr>
            <w:tcW w:w="1666" w:type="dxa"/>
            <w:vAlign w:val="center"/>
          </w:tcPr>
          <w:p w14:paraId="01E2C28A">
            <w:pPr>
              <w:widowControl/>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统一社会信用代码（身份证号）</w:t>
            </w:r>
          </w:p>
        </w:tc>
        <w:tc>
          <w:tcPr>
            <w:tcW w:w="1228" w:type="dxa"/>
            <w:vAlign w:val="center"/>
          </w:tcPr>
          <w:p w14:paraId="23EF361B">
            <w:pPr>
              <w:widowControl/>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出资方式</w:t>
            </w:r>
          </w:p>
        </w:tc>
        <w:tc>
          <w:tcPr>
            <w:tcW w:w="1189" w:type="dxa"/>
            <w:vAlign w:val="center"/>
          </w:tcPr>
          <w:p w14:paraId="128B8543">
            <w:pPr>
              <w:widowControl/>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出资金额（万元）</w:t>
            </w:r>
          </w:p>
        </w:tc>
        <w:tc>
          <w:tcPr>
            <w:tcW w:w="1255" w:type="dxa"/>
            <w:vAlign w:val="center"/>
          </w:tcPr>
          <w:p w14:paraId="18C2B3EE">
            <w:pPr>
              <w:widowControl/>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占全部股份比列</w:t>
            </w:r>
          </w:p>
        </w:tc>
        <w:tc>
          <w:tcPr>
            <w:tcW w:w="1101" w:type="dxa"/>
            <w:vAlign w:val="center"/>
          </w:tcPr>
          <w:p w14:paraId="13328048">
            <w:pPr>
              <w:widowControl/>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备注</w:t>
            </w:r>
          </w:p>
        </w:tc>
      </w:tr>
      <w:tr w14:paraId="0E10B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21" w:type="dxa"/>
            <w:vAlign w:val="top"/>
          </w:tcPr>
          <w:p w14:paraId="41766690">
            <w:pPr>
              <w:widowControl/>
              <w:adjustRightInd w:val="0"/>
              <w:snapToGrid w:val="0"/>
              <w:spacing w:line="360" w:lineRule="auto"/>
              <w:ind w:firstLine="645"/>
              <w:textAlignment w:val="baseline"/>
              <w:rPr>
                <w:rFonts w:hint="eastAsia" w:ascii="宋体" w:hAnsi="宋体" w:eastAsia="宋体" w:cs="宋体"/>
                <w:sz w:val="24"/>
              </w:rPr>
            </w:pPr>
          </w:p>
        </w:tc>
        <w:tc>
          <w:tcPr>
            <w:tcW w:w="1392" w:type="dxa"/>
            <w:vAlign w:val="top"/>
          </w:tcPr>
          <w:p w14:paraId="4B7127E9">
            <w:pPr>
              <w:widowControl/>
              <w:adjustRightInd w:val="0"/>
              <w:snapToGrid w:val="0"/>
              <w:spacing w:line="360" w:lineRule="auto"/>
              <w:ind w:firstLine="645"/>
              <w:textAlignment w:val="baseline"/>
              <w:rPr>
                <w:rFonts w:hint="eastAsia" w:ascii="宋体" w:hAnsi="宋体" w:eastAsia="宋体" w:cs="宋体"/>
                <w:sz w:val="24"/>
              </w:rPr>
            </w:pPr>
          </w:p>
        </w:tc>
        <w:tc>
          <w:tcPr>
            <w:tcW w:w="1666" w:type="dxa"/>
            <w:vAlign w:val="top"/>
          </w:tcPr>
          <w:p w14:paraId="3311FE3C">
            <w:pPr>
              <w:widowControl/>
              <w:adjustRightInd w:val="0"/>
              <w:snapToGrid w:val="0"/>
              <w:spacing w:line="360" w:lineRule="auto"/>
              <w:ind w:firstLine="645"/>
              <w:textAlignment w:val="baseline"/>
              <w:rPr>
                <w:rFonts w:hint="eastAsia" w:ascii="宋体" w:hAnsi="宋体" w:eastAsia="宋体" w:cs="宋体"/>
                <w:sz w:val="24"/>
              </w:rPr>
            </w:pPr>
          </w:p>
        </w:tc>
        <w:tc>
          <w:tcPr>
            <w:tcW w:w="1228" w:type="dxa"/>
            <w:vAlign w:val="top"/>
          </w:tcPr>
          <w:p w14:paraId="72A31900">
            <w:pPr>
              <w:widowControl/>
              <w:adjustRightInd w:val="0"/>
              <w:snapToGrid w:val="0"/>
              <w:spacing w:line="360" w:lineRule="auto"/>
              <w:ind w:firstLine="645"/>
              <w:textAlignment w:val="baseline"/>
              <w:rPr>
                <w:rFonts w:hint="eastAsia" w:ascii="宋体" w:hAnsi="宋体" w:eastAsia="宋体" w:cs="宋体"/>
                <w:sz w:val="24"/>
              </w:rPr>
            </w:pPr>
          </w:p>
        </w:tc>
        <w:tc>
          <w:tcPr>
            <w:tcW w:w="1189" w:type="dxa"/>
            <w:vAlign w:val="top"/>
          </w:tcPr>
          <w:p w14:paraId="61B24047">
            <w:pPr>
              <w:widowControl/>
              <w:adjustRightInd w:val="0"/>
              <w:snapToGrid w:val="0"/>
              <w:spacing w:line="360" w:lineRule="auto"/>
              <w:ind w:firstLine="645"/>
              <w:textAlignment w:val="baseline"/>
              <w:rPr>
                <w:rFonts w:hint="eastAsia" w:ascii="宋体" w:hAnsi="宋体" w:eastAsia="宋体" w:cs="宋体"/>
                <w:sz w:val="24"/>
              </w:rPr>
            </w:pPr>
          </w:p>
        </w:tc>
        <w:tc>
          <w:tcPr>
            <w:tcW w:w="1255" w:type="dxa"/>
            <w:vAlign w:val="top"/>
          </w:tcPr>
          <w:p w14:paraId="055A3C06">
            <w:pPr>
              <w:widowControl/>
              <w:adjustRightInd w:val="0"/>
              <w:snapToGrid w:val="0"/>
              <w:spacing w:line="360" w:lineRule="auto"/>
              <w:ind w:firstLine="645"/>
              <w:textAlignment w:val="baseline"/>
              <w:rPr>
                <w:rFonts w:hint="eastAsia" w:ascii="宋体" w:hAnsi="宋体" w:eastAsia="宋体" w:cs="宋体"/>
                <w:sz w:val="24"/>
              </w:rPr>
            </w:pPr>
          </w:p>
        </w:tc>
        <w:tc>
          <w:tcPr>
            <w:tcW w:w="1101" w:type="dxa"/>
            <w:vAlign w:val="top"/>
          </w:tcPr>
          <w:p w14:paraId="510461E2">
            <w:pPr>
              <w:widowControl/>
              <w:adjustRightInd w:val="0"/>
              <w:snapToGrid w:val="0"/>
              <w:spacing w:line="360" w:lineRule="auto"/>
              <w:ind w:firstLine="645"/>
              <w:textAlignment w:val="baseline"/>
              <w:rPr>
                <w:rFonts w:hint="eastAsia" w:ascii="宋体" w:hAnsi="宋体" w:eastAsia="宋体" w:cs="宋体"/>
                <w:sz w:val="24"/>
              </w:rPr>
            </w:pPr>
          </w:p>
        </w:tc>
      </w:tr>
      <w:tr w14:paraId="1761A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21" w:type="dxa"/>
            <w:vAlign w:val="top"/>
          </w:tcPr>
          <w:p w14:paraId="2AE074D4">
            <w:pPr>
              <w:widowControl/>
              <w:adjustRightInd w:val="0"/>
              <w:snapToGrid w:val="0"/>
              <w:spacing w:line="360" w:lineRule="auto"/>
              <w:ind w:firstLine="645"/>
              <w:textAlignment w:val="baseline"/>
              <w:rPr>
                <w:rFonts w:hint="eastAsia" w:ascii="宋体" w:hAnsi="宋体" w:eastAsia="宋体" w:cs="宋体"/>
                <w:sz w:val="24"/>
              </w:rPr>
            </w:pPr>
          </w:p>
        </w:tc>
        <w:tc>
          <w:tcPr>
            <w:tcW w:w="1392" w:type="dxa"/>
            <w:vAlign w:val="top"/>
          </w:tcPr>
          <w:p w14:paraId="1742261C">
            <w:pPr>
              <w:widowControl/>
              <w:adjustRightInd w:val="0"/>
              <w:snapToGrid w:val="0"/>
              <w:spacing w:line="360" w:lineRule="auto"/>
              <w:ind w:firstLine="645"/>
              <w:textAlignment w:val="baseline"/>
              <w:rPr>
                <w:rFonts w:hint="eastAsia" w:ascii="宋体" w:hAnsi="宋体" w:eastAsia="宋体" w:cs="宋体"/>
                <w:sz w:val="24"/>
              </w:rPr>
            </w:pPr>
          </w:p>
        </w:tc>
        <w:tc>
          <w:tcPr>
            <w:tcW w:w="1666" w:type="dxa"/>
            <w:vAlign w:val="top"/>
          </w:tcPr>
          <w:p w14:paraId="0231C93D">
            <w:pPr>
              <w:widowControl/>
              <w:adjustRightInd w:val="0"/>
              <w:snapToGrid w:val="0"/>
              <w:spacing w:line="360" w:lineRule="auto"/>
              <w:ind w:firstLine="645"/>
              <w:textAlignment w:val="baseline"/>
              <w:rPr>
                <w:rFonts w:hint="eastAsia" w:ascii="宋体" w:hAnsi="宋体" w:eastAsia="宋体" w:cs="宋体"/>
                <w:sz w:val="24"/>
              </w:rPr>
            </w:pPr>
          </w:p>
        </w:tc>
        <w:tc>
          <w:tcPr>
            <w:tcW w:w="1228" w:type="dxa"/>
            <w:vAlign w:val="top"/>
          </w:tcPr>
          <w:p w14:paraId="4BEF9262">
            <w:pPr>
              <w:widowControl/>
              <w:adjustRightInd w:val="0"/>
              <w:snapToGrid w:val="0"/>
              <w:spacing w:line="360" w:lineRule="auto"/>
              <w:ind w:firstLine="645"/>
              <w:textAlignment w:val="baseline"/>
              <w:rPr>
                <w:rFonts w:hint="eastAsia" w:ascii="宋体" w:hAnsi="宋体" w:eastAsia="宋体" w:cs="宋体"/>
                <w:sz w:val="24"/>
              </w:rPr>
            </w:pPr>
          </w:p>
        </w:tc>
        <w:tc>
          <w:tcPr>
            <w:tcW w:w="1189" w:type="dxa"/>
            <w:vAlign w:val="top"/>
          </w:tcPr>
          <w:p w14:paraId="0A8E81BF">
            <w:pPr>
              <w:widowControl/>
              <w:adjustRightInd w:val="0"/>
              <w:snapToGrid w:val="0"/>
              <w:spacing w:line="360" w:lineRule="auto"/>
              <w:ind w:firstLine="645"/>
              <w:textAlignment w:val="baseline"/>
              <w:rPr>
                <w:rFonts w:hint="eastAsia" w:ascii="宋体" w:hAnsi="宋体" w:eastAsia="宋体" w:cs="宋体"/>
                <w:sz w:val="24"/>
              </w:rPr>
            </w:pPr>
          </w:p>
        </w:tc>
        <w:tc>
          <w:tcPr>
            <w:tcW w:w="1255" w:type="dxa"/>
            <w:vAlign w:val="top"/>
          </w:tcPr>
          <w:p w14:paraId="6EFE9E48">
            <w:pPr>
              <w:widowControl/>
              <w:adjustRightInd w:val="0"/>
              <w:snapToGrid w:val="0"/>
              <w:spacing w:line="360" w:lineRule="auto"/>
              <w:ind w:firstLine="645"/>
              <w:textAlignment w:val="baseline"/>
              <w:rPr>
                <w:rFonts w:hint="eastAsia" w:ascii="宋体" w:hAnsi="宋体" w:eastAsia="宋体" w:cs="宋体"/>
                <w:sz w:val="24"/>
              </w:rPr>
            </w:pPr>
          </w:p>
        </w:tc>
        <w:tc>
          <w:tcPr>
            <w:tcW w:w="1101" w:type="dxa"/>
            <w:vAlign w:val="top"/>
          </w:tcPr>
          <w:p w14:paraId="29A924B8">
            <w:pPr>
              <w:widowControl/>
              <w:adjustRightInd w:val="0"/>
              <w:snapToGrid w:val="0"/>
              <w:spacing w:line="360" w:lineRule="auto"/>
              <w:ind w:firstLine="645"/>
              <w:textAlignment w:val="baseline"/>
              <w:rPr>
                <w:rFonts w:hint="eastAsia" w:ascii="宋体" w:hAnsi="宋体" w:eastAsia="宋体" w:cs="宋体"/>
                <w:sz w:val="24"/>
              </w:rPr>
            </w:pPr>
          </w:p>
        </w:tc>
      </w:tr>
      <w:tr w14:paraId="3111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21" w:type="dxa"/>
            <w:vAlign w:val="top"/>
          </w:tcPr>
          <w:p w14:paraId="7E9D61C5">
            <w:pPr>
              <w:widowControl/>
              <w:adjustRightInd w:val="0"/>
              <w:snapToGrid w:val="0"/>
              <w:spacing w:line="360" w:lineRule="auto"/>
              <w:ind w:firstLine="645"/>
              <w:textAlignment w:val="baseline"/>
              <w:rPr>
                <w:rFonts w:hint="eastAsia" w:ascii="宋体" w:hAnsi="宋体" w:eastAsia="宋体" w:cs="宋体"/>
                <w:sz w:val="24"/>
              </w:rPr>
            </w:pPr>
          </w:p>
        </w:tc>
        <w:tc>
          <w:tcPr>
            <w:tcW w:w="1392" w:type="dxa"/>
            <w:vAlign w:val="top"/>
          </w:tcPr>
          <w:p w14:paraId="6DB03A3B">
            <w:pPr>
              <w:widowControl/>
              <w:adjustRightInd w:val="0"/>
              <w:snapToGrid w:val="0"/>
              <w:spacing w:line="360" w:lineRule="auto"/>
              <w:ind w:firstLine="645"/>
              <w:textAlignment w:val="baseline"/>
              <w:rPr>
                <w:rFonts w:hint="eastAsia" w:ascii="宋体" w:hAnsi="宋体" w:eastAsia="宋体" w:cs="宋体"/>
                <w:sz w:val="24"/>
              </w:rPr>
            </w:pPr>
          </w:p>
        </w:tc>
        <w:tc>
          <w:tcPr>
            <w:tcW w:w="1666" w:type="dxa"/>
            <w:vAlign w:val="top"/>
          </w:tcPr>
          <w:p w14:paraId="6DD13EEF">
            <w:pPr>
              <w:widowControl/>
              <w:adjustRightInd w:val="0"/>
              <w:snapToGrid w:val="0"/>
              <w:spacing w:line="360" w:lineRule="auto"/>
              <w:ind w:firstLine="645"/>
              <w:textAlignment w:val="baseline"/>
              <w:rPr>
                <w:rFonts w:hint="eastAsia" w:ascii="宋体" w:hAnsi="宋体" w:eastAsia="宋体" w:cs="宋体"/>
                <w:sz w:val="24"/>
              </w:rPr>
            </w:pPr>
          </w:p>
        </w:tc>
        <w:tc>
          <w:tcPr>
            <w:tcW w:w="1228" w:type="dxa"/>
            <w:vAlign w:val="top"/>
          </w:tcPr>
          <w:p w14:paraId="0FCA5033">
            <w:pPr>
              <w:widowControl/>
              <w:adjustRightInd w:val="0"/>
              <w:snapToGrid w:val="0"/>
              <w:spacing w:line="360" w:lineRule="auto"/>
              <w:ind w:firstLine="645"/>
              <w:textAlignment w:val="baseline"/>
              <w:rPr>
                <w:rFonts w:hint="eastAsia" w:ascii="宋体" w:hAnsi="宋体" w:eastAsia="宋体" w:cs="宋体"/>
                <w:sz w:val="24"/>
              </w:rPr>
            </w:pPr>
          </w:p>
        </w:tc>
        <w:tc>
          <w:tcPr>
            <w:tcW w:w="1189" w:type="dxa"/>
            <w:vAlign w:val="top"/>
          </w:tcPr>
          <w:p w14:paraId="1FFB71EC">
            <w:pPr>
              <w:widowControl/>
              <w:adjustRightInd w:val="0"/>
              <w:snapToGrid w:val="0"/>
              <w:spacing w:line="360" w:lineRule="auto"/>
              <w:ind w:firstLine="645"/>
              <w:textAlignment w:val="baseline"/>
              <w:rPr>
                <w:rFonts w:hint="eastAsia" w:ascii="宋体" w:hAnsi="宋体" w:eastAsia="宋体" w:cs="宋体"/>
                <w:sz w:val="24"/>
              </w:rPr>
            </w:pPr>
          </w:p>
        </w:tc>
        <w:tc>
          <w:tcPr>
            <w:tcW w:w="1255" w:type="dxa"/>
            <w:vAlign w:val="top"/>
          </w:tcPr>
          <w:p w14:paraId="5680D139">
            <w:pPr>
              <w:widowControl/>
              <w:adjustRightInd w:val="0"/>
              <w:snapToGrid w:val="0"/>
              <w:spacing w:line="360" w:lineRule="auto"/>
              <w:ind w:firstLine="645"/>
              <w:textAlignment w:val="baseline"/>
              <w:rPr>
                <w:rFonts w:hint="eastAsia" w:ascii="宋体" w:hAnsi="宋体" w:eastAsia="宋体" w:cs="宋体"/>
                <w:sz w:val="24"/>
              </w:rPr>
            </w:pPr>
          </w:p>
        </w:tc>
        <w:tc>
          <w:tcPr>
            <w:tcW w:w="1101" w:type="dxa"/>
            <w:vAlign w:val="top"/>
          </w:tcPr>
          <w:p w14:paraId="778B9136">
            <w:pPr>
              <w:widowControl/>
              <w:adjustRightInd w:val="0"/>
              <w:snapToGrid w:val="0"/>
              <w:spacing w:line="360" w:lineRule="auto"/>
              <w:ind w:firstLine="645"/>
              <w:textAlignment w:val="baseline"/>
              <w:rPr>
                <w:rFonts w:hint="eastAsia" w:ascii="宋体" w:hAnsi="宋体" w:eastAsia="宋体" w:cs="宋体"/>
                <w:sz w:val="24"/>
              </w:rPr>
            </w:pPr>
          </w:p>
        </w:tc>
      </w:tr>
      <w:tr w14:paraId="07B44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21" w:type="dxa"/>
            <w:vAlign w:val="top"/>
          </w:tcPr>
          <w:p w14:paraId="343944DE">
            <w:pPr>
              <w:widowControl/>
              <w:adjustRightInd w:val="0"/>
              <w:snapToGrid w:val="0"/>
              <w:spacing w:line="360" w:lineRule="auto"/>
              <w:ind w:firstLine="645"/>
              <w:textAlignment w:val="baseline"/>
              <w:rPr>
                <w:rFonts w:hint="eastAsia" w:ascii="宋体" w:hAnsi="宋体" w:eastAsia="宋体" w:cs="宋体"/>
                <w:sz w:val="24"/>
              </w:rPr>
            </w:pPr>
          </w:p>
        </w:tc>
        <w:tc>
          <w:tcPr>
            <w:tcW w:w="1392" w:type="dxa"/>
            <w:vAlign w:val="top"/>
          </w:tcPr>
          <w:p w14:paraId="6BF20AB2">
            <w:pPr>
              <w:widowControl/>
              <w:adjustRightInd w:val="0"/>
              <w:snapToGrid w:val="0"/>
              <w:spacing w:line="360" w:lineRule="auto"/>
              <w:ind w:firstLine="645"/>
              <w:textAlignment w:val="baseline"/>
              <w:rPr>
                <w:rFonts w:hint="eastAsia" w:ascii="宋体" w:hAnsi="宋体" w:eastAsia="宋体" w:cs="宋体"/>
                <w:sz w:val="24"/>
              </w:rPr>
            </w:pPr>
          </w:p>
        </w:tc>
        <w:tc>
          <w:tcPr>
            <w:tcW w:w="1666" w:type="dxa"/>
            <w:vAlign w:val="top"/>
          </w:tcPr>
          <w:p w14:paraId="5E624164">
            <w:pPr>
              <w:widowControl/>
              <w:adjustRightInd w:val="0"/>
              <w:snapToGrid w:val="0"/>
              <w:spacing w:line="360" w:lineRule="auto"/>
              <w:ind w:firstLine="645"/>
              <w:textAlignment w:val="baseline"/>
              <w:rPr>
                <w:rFonts w:hint="eastAsia" w:ascii="宋体" w:hAnsi="宋体" w:eastAsia="宋体" w:cs="宋体"/>
                <w:sz w:val="24"/>
              </w:rPr>
            </w:pPr>
          </w:p>
        </w:tc>
        <w:tc>
          <w:tcPr>
            <w:tcW w:w="1228" w:type="dxa"/>
            <w:vAlign w:val="top"/>
          </w:tcPr>
          <w:p w14:paraId="39A6F5B2">
            <w:pPr>
              <w:widowControl/>
              <w:adjustRightInd w:val="0"/>
              <w:snapToGrid w:val="0"/>
              <w:spacing w:line="360" w:lineRule="auto"/>
              <w:ind w:firstLine="645"/>
              <w:textAlignment w:val="baseline"/>
              <w:rPr>
                <w:rFonts w:hint="eastAsia" w:ascii="宋体" w:hAnsi="宋体" w:eastAsia="宋体" w:cs="宋体"/>
                <w:sz w:val="24"/>
              </w:rPr>
            </w:pPr>
          </w:p>
        </w:tc>
        <w:tc>
          <w:tcPr>
            <w:tcW w:w="1189" w:type="dxa"/>
            <w:vAlign w:val="top"/>
          </w:tcPr>
          <w:p w14:paraId="205C6902">
            <w:pPr>
              <w:widowControl/>
              <w:adjustRightInd w:val="0"/>
              <w:snapToGrid w:val="0"/>
              <w:spacing w:line="360" w:lineRule="auto"/>
              <w:ind w:firstLine="645"/>
              <w:textAlignment w:val="baseline"/>
              <w:rPr>
                <w:rFonts w:hint="eastAsia" w:ascii="宋体" w:hAnsi="宋体" w:eastAsia="宋体" w:cs="宋体"/>
                <w:sz w:val="24"/>
              </w:rPr>
            </w:pPr>
          </w:p>
        </w:tc>
        <w:tc>
          <w:tcPr>
            <w:tcW w:w="1255" w:type="dxa"/>
            <w:vAlign w:val="top"/>
          </w:tcPr>
          <w:p w14:paraId="44EFC31C">
            <w:pPr>
              <w:widowControl/>
              <w:adjustRightInd w:val="0"/>
              <w:snapToGrid w:val="0"/>
              <w:spacing w:line="360" w:lineRule="auto"/>
              <w:ind w:firstLine="645"/>
              <w:textAlignment w:val="baseline"/>
              <w:rPr>
                <w:rFonts w:hint="eastAsia" w:ascii="宋体" w:hAnsi="宋体" w:eastAsia="宋体" w:cs="宋体"/>
                <w:sz w:val="24"/>
              </w:rPr>
            </w:pPr>
          </w:p>
        </w:tc>
        <w:tc>
          <w:tcPr>
            <w:tcW w:w="1101" w:type="dxa"/>
            <w:vAlign w:val="top"/>
          </w:tcPr>
          <w:p w14:paraId="79C1E270">
            <w:pPr>
              <w:widowControl/>
              <w:adjustRightInd w:val="0"/>
              <w:snapToGrid w:val="0"/>
              <w:spacing w:line="360" w:lineRule="auto"/>
              <w:ind w:firstLine="645"/>
              <w:textAlignment w:val="baseline"/>
              <w:rPr>
                <w:rFonts w:hint="eastAsia" w:ascii="宋体" w:hAnsi="宋体" w:eastAsia="宋体" w:cs="宋体"/>
                <w:sz w:val="24"/>
              </w:rPr>
            </w:pPr>
          </w:p>
        </w:tc>
      </w:tr>
      <w:tr w14:paraId="2F420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21" w:type="dxa"/>
            <w:vAlign w:val="top"/>
          </w:tcPr>
          <w:p w14:paraId="29A7B467">
            <w:pPr>
              <w:widowControl/>
              <w:adjustRightInd w:val="0"/>
              <w:snapToGrid w:val="0"/>
              <w:spacing w:line="360" w:lineRule="auto"/>
              <w:ind w:firstLine="645"/>
              <w:textAlignment w:val="baseline"/>
              <w:rPr>
                <w:rFonts w:hint="eastAsia" w:ascii="宋体" w:hAnsi="宋体" w:eastAsia="宋体" w:cs="宋体"/>
                <w:sz w:val="24"/>
              </w:rPr>
            </w:pPr>
            <w:r>
              <w:rPr>
                <w:rFonts w:hint="eastAsia" w:ascii="宋体" w:hAnsi="宋体" w:eastAsia="宋体" w:cs="宋体"/>
                <w:sz w:val="24"/>
              </w:rPr>
              <w:t>......</w:t>
            </w:r>
          </w:p>
        </w:tc>
        <w:tc>
          <w:tcPr>
            <w:tcW w:w="1392" w:type="dxa"/>
            <w:vAlign w:val="top"/>
          </w:tcPr>
          <w:p w14:paraId="37F98641">
            <w:pPr>
              <w:widowControl/>
              <w:adjustRightInd w:val="0"/>
              <w:snapToGrid w:val="0"/>
              <w:spacing w:line="360" w:lineRule="auto"/>
              <w:ind w:firstLine="645"/>
              <w:textAlignment w:val="baseline"/>
              <w:rPr>
                <w:rFonts w:hint="eastAsia" w:ascii="宋体" w:hAnsi="宋体" w:eastAsia="宋体" w:cs="宋体"/>
                <w:sz w:val="24"/>
              </w:rPr>
            </w:pPr>
          </w:p>
        </w:tc>
        <w:tc>
          <w:tcPr>
            <w:tcW w:w="1666" w:type="dxa"/>
            <w:vAlign w:val="top"/>
          </w:tcPr>
          <w:p w14:paraId="54D15610">
            <w:pPr>
              <w:widowControl/>
              <w:adjustRightInd w:val="0"/>
              <w:snapToGrid w:val="0"/>
              <w:spacing w:line="360" w:lineRule="auto"/>
              <w:ind w:firstLine="645"/>
              <w:textAlignment w:val="baseline"/>
              <w:rPr>
                <w:rFonts w:hint="eastAsia" w:ascii="宋体" w:hAnsi="宋体" w:eastAsia="宋体" w:cs="宋体"/>
                <w:sz w:val="24"/>
              </w:rPr>
            </w:pPr>
          </w:p>
        </w:tc>
        <w:tc>
          <w:tcPr>
            <w:tcW w:w="1228" w:type="dxa"/>
            <w:vAlign w:val="top"/>
          </w:tcPr>
          <w:p w14:paraId="4CE3BFDB">
            <w:pPr>
              <w:widowControl/>
              <w:adjustRightInd w:val="0"/>
              <w:snapToGrid w:val="0"/>
              <w:spacing w:line="360" w:lineRule="auto"/>
              <w:ind w:firstLine="645"/>
              <w:textAlignment w:val="baseline"/>
              <w:rPr>
                <w:rFonts w:hint="eastAsia" w:ascii="宋体" w:hAnsi="宋体" w:eastAsia="宋体" w:cs="宋体"/>
                <w:sz w:val="24"/>
              </w:rPr>
            </w:pPr>
          </w:p>
        </w:tc>
        <w:tc>
          <w:tcPr>
            <w:tcW w:w="1189" w:type="dxa"/>
            <w:vAlign w:val="top"/>
          </w:tcPr>
          <w:p w14:paraId="746566BE">
            <w:pPr>
              <w:widowControl/>
              <w:adjustRightInd w:val="0"/>
              <w:snapToGrid w:val="0"/>
              <w:spacing w:line="360" w:lineRule="auto"/>
              <w:ind w:firstLine="645"/>
              <w:textAlignment w:val="baseline"/>
              <w:rPr>
                <w:rFonts w:hint="eastAsia" w:ascii="宋体" w:hAnsi="宋体" w:eastAsia="宋体" w:cs="宋体"/>
                <w:sz w:val="24"/>
              </w:rPr>
            </w:pPr>
          </w:p>
        </w:tc>
        <w:tc>
          <w:tcPr>
            <w:tcW w:w="1255" w:type="dxa"/>
            <w:vAlign w:val="top"/>
          </w:tcPr>
          <w:p w14:paraId="314B7D7F">
            <w:pPr>
              <w:widowControl/>
              <w:adjustRightInd w:val="0"/>
              <w:snapToGrid w:val="0"/>
              <w:spacing w:line="360" w:lineRule="auto"/>
              <w:ind w:firstLine="645"/>
              <w:textAlignment w:val="baseline"/>
              <w:rPr>
                <w:rFonts w:hint="eastAsia" w:ascii="宋体" w:hAnsi="宋体" w:eastAsia="宋体" w:cs="宋体"/>
                <w:sz w:val="24"/>
              </w:rPr>
            </w:pPr>
          </w:p>
        </w:tc>
        <w:tc>
          <w:tcPr>
            <w:tcW w:w="1101" w:type="dxa"/>
            <w:vAlign w:val="top"/>
          </w:tcPr>
          <w:p w14:paraId="7C216A85">
            <w:pPr>
              <w:widowControl/>
              <w:adjustRightInd w:val="0"/>
              <w:snapToGrid w:val="0"/>
              <w:spacing w:line="360" w:lineRule="auto"/>
              <w:ind w:firstLine="645"/>
              <w:textAlignment w:val="baseline"/>
              <w:rPr>
                <w:rFonts w:hint="eastAsia" w:ascii="宋体" w:hAnsi="宋体" w:eastAsia="宋体" w:cs="宋体"/>
                <w:sz w:val="24"/>
              </w:rPr>
            </w:pPr>
          </w:p>
        </w:tc>
      </w:tr>
    </w:tbl>
    <w:p w14:paraId="1B4C0362">
      <w:pPr>
        <w:widowControl/>
        <w:adjustRightInd w:val="0"/>
        <w:snapToGrid w:val="0"/>
        <w:spacing w:line="360" w:lineRule="auto"/>
        <w:ind w:firstLine="645"/>
        <w:textAlignment w:val="baseline"/>
        <w:rPr>
          <w:rFonts w:hint="eastAsia" w:ascii="宋体" w:hAnsi="宋体" w:eastAsia="宋体" w:cs="宋体"/>
          <w:sz w:val="24"/>
        </w:rPr>
      </w:pPr>
    </w:p>
    <w:p w14:paraId="11063CA5">
      <w:pPr>
        <w:widowControl/>
        <w:adjustRightInd w:val="0"/>
        <w:snapToGrid w:val="0"/>
        <w:spacing w:line="360" w:lineRule="auto"/>
        <w:ind w:firstLine="645"/>
        <w:textAlignment w:val="baseline"/>
        <w:rPr>
          <w:rFonts w:hint="eastAsia" w:ascii="宋体" w:hAnsi="宋体" w:eastAsia="宋体" w:cs="宋体"/>
          <w:sz w:val="24"/>
        </w:rPr>
      </w:pPr>
      <w:r>
        <w:rPr>
          <w:rFonts w:hint="eastAsia" w:ascii="宋体" w:hAnsi="宋体" w:eastAsia="宋体" w:cs="宋体"/>
          <w:sz w:val="24"/>
        </w:rPr>
        <w:t>我方承诺，以上信息真实可靠，如填报的股东出资额、出资比例等与实际不符，视为放弃</w:t>
      </w:r>
      <w:r>
        <w:rPr>
          <w:rFonts w:hint="eastAsia" w:ascii="宋体" w:hAnsi="宋体" w:cs="宋体"/>
          <w:sz w:val="24"/>
          <w:lang w:val="en-US" w:eastAsia="zh-CN"/>
        </w:rPr>
        <w:t>成交</w:t>
      </w:r>
      <w:r>
        <w:rPr>
          <w:rFonts w:hint="eastAsia" w:ascii="宋体" w:hAnsi="宋体" w:eastAsia="宋体" w:cs="宋体"/>
          <w:sz w:val="24"/>
        </w:rPr>
        <w:t>资格。</w:t>
      </w:r>
    </w:p>
    <w:p w14:paraId="5C2162C4">
      <w:pPr>
        <w:widowControl/>
        <w:adjustRightInd w:val="0"/>
        <w:snapToGrid w:val="0"/>
        <w:spacing w:line="360" w:lineRule="auto"/>
        <w:ind w:firstLine="645"/>
        <w:textAlignment w:val="baseline"/>
        <w:rPr>
          <w:rFonts w:hint="eastAsia" w:ascii="宋体" w:hAnsi="宋体" w:eastAsia="宋体" w:cs="宋体"/>
          <w:sz w:val="24"/>
        </w:rPr>
      </w:pPr>
    </w:p>
    <w:p w14:paraId="400C77D6">
      <w:pPr>
        <w:widowControl/>
        <w:adjustRightInd w:val="0"/>
        <w:snapToGrid w:val="0"/>
        <w:spacing w:line="360" w:lineRule="auto"/>
        <w:ind w:firstLine="645"/>
        <w:textAlignment w:val="baseline"/>
        <w:rPr>
          <w:rFonts w:hint="eastAsia" w:ascii="宋体" w:hAnsi="宋体" w:eastAsia="宋体" w:cs="宋体"/>
          <w:sz w:val="24"/>
        </w:rPr>
      </w:pPr>
      <w:r>
        <w:rPr>
          <w:rFonts w:hint="eastAsia" w:ascii="宋体" w:hAnsi="宋体" w:eastAsia="宋体" w:cs="宋体"/>
          <w:sz w:val="24"/>
        </w:rPr>
        <w:t>备注：</w:t>
      </w:r>
    </w:p>
    <w:p w14:paraId="70BB181D">
      <w:pPr>
        <w:widowControl/>
        <w:adjustRightInd w:val="0"/>
        <w:snapToGrid w:val="0"/>
        <w:spacing w:line="360" w:lineRule="auto"/>
        <w:ind w:firstLine="645"/>
        <w:textAlignment w:val="baseline"/>
        <w:rPr>
          <w:rFonts w:hint="eastAsia" w:ascii="宋体" w:hAnsi="宋体" w:eastAsia="宋体" w:cs="宋体"/>
          <w:sz w:val="24"/>
        </w:rPr>
      </w:pPr>
      <w:r>
        <w:rPr>
          <w:rFonts w:hint="eastAsia" w:ascii="宋体" w:hAnsi="宋体" w:eastAsia="宋体" w:cs="宋体"/>
          <w:sz w:val="24"/>
        </w:rPr>
        <w:t>1.主要股东或出资人为法人的，填写法人全称及统一社会信用代码（尚未办理三证合一的填写组织机构代码）；为自然人的，填写自然人姓名和身份证号。</w:t>
      </w:r>
    </w:p>
    <w:p w14:paraId="59675812">
      <w:pPr>
        <w:widowControl/>
        <w:adjustRightInd w:val="0"/>
        <w:snapToGrid w:val="0"/>
        <w:spacing w:line="360" w:lineRule="auto"/>
        <w:ind w:firstLine="645"/>
        <w:textAlignment w:val="baseline"/>
        <w:rPr>
          <w:rFonts w:hint="eastAsia" w:ascii="宋体" w:hAnsi="宋体" w:eastAsia="宋体" w:cs="宋体"/>
          <w:sz w:val="24"/>
        </w:rPr>
      </w:pPr>
      <w:r>
        <w:rPr>
          <w:rFonts w:hint="eastAsia" w:ascii="宋体" w:hAnsi="宋体" w:eastAsia="宋体" w:cs="宋体"/>
          <w:sz w:val="24"/>
        </w:rPr>
        <w:t>2.出资方式填写货币、实物、工艺产权和非专利技术、土地使用权等。</w:t>
      </w:r>
    </w:p>
    <w:p w14:paraId="117A0BA6">
      <w:pPr>
        <w:widowControl/>
        <w:adjustRightInd w:val="0"/>
        <w:snapToGrid w:val="0"/>
        <w:spacing w:line="360" w:lineRule="auto"/>
        <w:ind w:firstLine="645"/>
        <w:textAlignment w:val="baseline"/>
        <w:rPr>
          <w:rFonts w:hint="eastAsia" w:ascii="宋体" w:hAnsi="宋体" w:eastAsia="宋体" w:cs="宋体"/>
          <w:sz w:val="24"/>
        </w:rPr>
      </w:pPr>
      <w:r>
        <w:rPr>
          <w:rFonts w:hint="eastAsia" w:ascii="宋体" w:hAnsi="宋体" w:eastAsia="宋体" w:cs="宋体"/>
          <w:sz w:val="24"/>
        </w:rPr>
        <w:t>★供应商应按照占全部股份比例从大到小依次逐个股东填写，股东数量多于10个的，填写前10名，不足10个的全部填写。</w:t>
      </w:r>
    </w:p>
    <w:p w14:paraId="34D26BF2">
      <w:pPr>
        <w:widowControl/>
        <w:adjustRightInd w:val="0"/>
        <w:snapToGrid w:val="0"/>
        <w:spacing w:line="360" w:lineRule="auto"/>
        <w:ind w:firstLine="645"/>
        <w:textAlignment w:val="baseline"/>
        <w:rPr>
          <w:rFonts w:hint="eastAsia" w:ascii="宋体" w:hAnsi="宋体" w:eastAsia="宋体" w:cs="宋体"/>
          <w:sz w:val="24"/>
        </w:rPr>
      </w:pPr>
      <w:r>
        <w:rPr>
          <w:rFonts w:hint="eastAsia" w:ascii="宋体" w:hAnsi="宋体" w:cs="宋体"/>
          <w:sz w:val="24"/>
          <w:lang w:val="en-US" w:eastAsia="zh-CN"/>
        </w:rPr>
        <w:t>供应商</w:t>
      </w:r>
      <w:r>
        <w:rPr>
          <w:rFonts w:hint="eastAsia" w:ascii="宋体" w:hAnsi="宋体" w:eastAsia="宋体" w:cs="宋体"/>
          <w:sz w:val="24"/>
        </w:rPr>
        <w:t>：</w:t>
      </w:r>
      <w:r>
        <w:rPr>
          <w:rFonts w:hint="eastAsia" w:ascii="宋体" w:hAnsi="宋体" w:eastAsia="宋体" w:cs="宋体"/>
          <w:sz w:val="24"/>
        </w:rPr>
        <w:tab/>
      </w:r>
      <w:r>
        <w:rPr>
          <w:rFonts w:hint="eastAsia" w:ascii="宋体" w:hAnsi="宋体" w:eastAsia="宋体" w:cs="宋体"/>
          <w:sz w:val="24"/>
        </w:rPr>
        <w:t xml:space="preserve">（盖章） </w:t>
      </w:r>
    </w:p>
    <w:p w14:paraId="1A3270AC">
      <w:pPr>
        <w:widowControl/>
        <w:adjustRightInd w:val="0"/>
        <w:snapToGrid w:val="0"/>
        <w:spacing w:line="360" w:lineRule="auto"/>
        <w:ind w:firstLine="645"/>
        <w:textAlignment w:val="baseline"/>
        <w:rPr>
          <w:rFonts w:hint="eastAsia" w:ascii="宋体" w:hAnsi="宋体" w:eastAsia="宋体" w:cs="宋体"/>
          <w:sz w:val="24"/>
        </w:rPr>
      </w:pPr>
      <w:r>
        <w:rPr>
          <w:rFonts w:hint="eastAsia" w:ascii="宋体" w:hAnsi="宋体" w:eastAsia="宋体" w:cs="宋体"/>
          <w:sz w:val="24"/>
        </w:rPr>
        <w:t>法定代表人或被授权人：</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（签字或盖章）</w:t>
      </w:r>
    </w:p>
    <w:p w14:paraId="11F44270">
      <w:pPr>
        <w:widowControl/>
        <w:adjustRightInd w:val="0"/>
        <w:snapToGrid w:val="0"/>
        <w:spacing w:line="360" w:lineRule="auto"/>
        <w:ind w:firstLine="645"/>
        <w:textAlignment w:val="baseline"/>
        <w:rPr>
          <w:rFonts w:hint="eastAsia" w:ascii="宋体" w:hAnsi="宋体" w:eastAsia="宋体" w:cs="宋体"/>
          <w:sz w:val="24"/>
        </w:rPr>
      </w:pPr>
      <w:r>
        <w:rPr>
          <w:rFonts w:hint="eastAsia" w:ascii="宋体" w:hAnsi="宋体" w:eastAsia="宋体" w:cs="宋体"/>
          <w:sz w:val="24"/>
        </w:rPr>
        <w:t>日</w:t>
      </w:r>
      <w:r>
        <w:rPr>
          <w:rFonts w:hint="eastAsia" w:ascii="宋体" w:hAnsi="宋体" w:eastAsia="宋体" w:cs="宋体"/>
          <w:sz w:val="24"/>
        </w:rPr>
        <w:tab/>
      </w:r>
      <w:r>
        <w:rPr>
          <w:rFonts w:hint="eastAsia" w:ascii="宋体" w:hAnsi="宋体" w:eastAsia="宋体" w:cs="宋体"/>
          <w:sz w:val="24"/>
        </w:rPr>
        <w:t>期：</w:t>
      </w:r>
      <w:r>
        <w:rPr>
          <w:rFonts w:hint="eastAsia" w:ascii="宋体" w:hAnsi="宋体" w:eastAsia="宋体" w:cs="宋体"/>
          <w:sz w:val="24"/>
        </w:rPr>
        <w:tab/>
      </w:r>
      <w:r>
        <w:rPr>
          <w:rFonts w:hint="eastAsia" w:ascii="宋体" w:hAnsi="宋体" w:eastAsia="宋体" w:cs="宋体"/>
          <w:sz w:val="24"/>
        </w:rPr>
        <w:t>年</w:t>
      </w:r>
      <w:r>
        <w:rPr>
          <w:rFonts w:hint="eastAsia" w:ascii="宋体" w:hAnsi="宋体" w:eastAsia="宋体" w:cs="宋体"/>
          <w:sz w:val="24"/>
        </w:rPr>
        <w:tab/>
      </w:r>
      <w:r>
        <w:rPr>
          <w:rFonts w:hint="eastAsia" w:ascii="宋体" w:hAnsi="宋体" w:eastAsia="宋体" w:cs="宋体"/>
          <w:sz w:val="24"/>
        </w:rPr>
        <w:t>月</w:t>
      </w:r>
      <w:r>
        <w:rPr>
          <w:rFonts w:hint="eastAsia" w:ascii="宋体" w:hAnsi="宋体" w:eastAsia="宋体" w:cs="宋体"/>
          <w:sz w:val="24"/>
        </w:rPr>
        <w:tab/>
      </w:r>
      <w:r>
        <w:rPr>
          <w:rFonts w:hint="eastAsia" w:ascii="宋体" w:hAnsi="宋体" w:eastAsia="宋体" w:cs="宋体"/>
          <w:sz w:val="24"/>
        </w:rPr>
        <w:t>日</w:t>
      </w:r>
    </w:p>
    <w:p w14:paraId="1D2E5122">
      <w:pPr>
        <w:numPr>
          <w:ilvl w:val="0"/>
          <w:numId w:val="0"/>
        </w:numPr>
        <w:spacing w:line="360" w:lineRule="auto"/>
        <w:jc w:val="center"/>
        <w:rPr>
          <w:rFonts w:hint="eastAsia" w:ascii="宋体" w:hAnsi="宋体" w:eastAsia="宋体" w:cs="宋体"/>
          <w:b/>
          <w:kern w:val="2"/>
          <w:sz w:val="28"/>
          <w:szCs w:val="30"/>
          <w:lang w:val="en-US" w:eastAsia="zh-CN" w:bidi="ar-SA"/>
        </w:rPr>
      </w:pPr>
    </w:p>
    <w:p w14:paraId="21C95484">
      <w:pPr>
        <w:numPr>
          <w:ilvl w:val="0"/>
          <w:numId w:val="0"/>
        </w:numPr>
        <w:spacing w:line="360" w:lineRule="auto"/>
        <w:jc w:val="center"/>
        <w:rPr>
          <w:rFonts w:hint="eastAsia" w:ascii="宋体" w:hAnsi="宋体" w:eastAsia="宋体" w:cs="宋体"/>
          <w:b/>
          <w:kern w:val="2"/>
          <w:sz w:val="28"/>
          <w:szCs w:val="30"/>
          <w:lang w:val="en-US" w:eastAsia="zh-CN" w:bidi="ar-SA"/>
        </w:rPr>
      </w:pPr>
    </w:p>
    <w:p w14:paraId="65FB016A">
      <w:pPr>
        <w:numPr>
          <w:ilvl w:val="0"/>
          <w:numId w:val="0"/>
        </w:numPr>
        <w:spacing w:line="360" w:lineRule="auto"/>
        <w:jc w:val="center"/>
        <w:rPr>
          <w:rFonts w:hint="eastAsia" w:ascii="宋体" w:hAnsi="宋体" w:eastAsia="宋体" w:cs="宋体"/>
          <w:b/>
          <w:kern w:val="2"/>
          <w:sz w:val="28"/>
          <w:szCs w:val="30"/>
          <w:lang w:val="en-US" w:eastAsia="zh-CN" w:bidi="ar-SA"/>
        </w:rPr>
      </w:pPr>
    </w:p>
    <w:p w14:paraId="30B4B528">
      <w:pPr>
        <w:numPr>
          <w:ilvl w:val="0"/>
          <w:numId w:val="0"/>
        </w:numPr>
        <w:spacing w:line="360" w:lineRule="auto"/>
        <w:jc w:val="center"/>
        <w:rPr>
          <w:rFonts w:hint="eastAsia" w:ascii="宋体" w:hAnsi="宋体" w:eastAsia="宋体" w:cs="宋体"/>
          <w:b/>
          <w:kern w:val="2"/>
          <w:sz w:val="28"/>
          <w:szCs w:val="30"/>
          <w:lang w:val="en-US" w:eastAsia="zh-CN" w:bidi="ar-SA"/>
        </w:rPr>
      </w:pPr>
    </w:p>
    <w:p w14:paraId="3FFE57FA">
      <w:pPr>
        <w:numPr>
          <w:ilvl w:val="0"/>
          <w:numId w:val="0"/>
        </w:numPr>
        <w:spacing w:line="360" w:lineRule="auto"/>
        <w:jc w:val="center"/>
        <w:rPr>
          <w:rFonts w:hint="eastAsia" w:ascii="宋体" w:hAnsi="宋体" w:eastAsia="宋体" w:cs="宋体"/>
          <w:b/>
          <w:kern w:val="2"/>
          <w:sz w:val="28"/>
          <w:szCs w:val="30"/>
          <w:lang w:val="en-US" w:eastAsia="zh-CN" w:bidi="ar-SA"/>
        </w:rPr>
      </w:pPr>
    </w:p>
    <w:p w14:paraId="10DDFCE7">
      <w:pPr>
        <w:numPr>
          <w:ilvl w:val="0"/>
          <w:numId w:val="0"/>
        </w:numPr>
        <w:spacing w:line="360" w:lineRule="auto"/>
        <w:jc w:val="center"/>
        <w:rPr>
          <w:rFonts w:hint="default"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2.</w:t>
      </w:r>
      <w:r>
        <w:rPr>
          <w:rFonts w:hint="eastAsia" w:ascii="宋体" w:hAnsi="宋体" w:cs="宋体"/>
          <w:b/>
          <w:bCs/>
          <w:kern w:val="2"/>
          <w:sz w:val="32"/>
          <w:szCs w:val="32"/>
          <w:lang w:val="en-US" w:eastAsia="zh-CN" w:bidi="ar-SA"/>
        </w:rPr>
        <w:t>8</w:t>
      </w:r>
      <w:r>
        <w:rPr>
          <w:rFonts w:hint="eastAsia" w:ascii="宋体" w:hAnsi="宋体" w:eastAsia="宋体" w:cs="宋体"/>
          <w:b/>
          <w:bCs/>
          <w:kern w:val="2"/>
          <w:sz w:val="32"/>
          <w:szCs w:val="32"/>
          <w:lang w:val="en-US" w:eastAsia="zh-CN" w:bidi="ar-SA"/>
        </w:rPr>
        <w:t>为本项目提供整体</w:t>
      </w:r>
      <w:r>
        <w:rPr>
          <w:rFonts w:hint="eastAsia" w:ascii="宋体" w:hAnsi="宋体" w:cs="宋体"/>
          <w:b/>
          <w:bCs/>
          <w:kern w:val="2"/>
          <w:sz w:val="32"/>
          <w:szCs w:val="32"/>
          <w:lang w:val="en-US" w:eastAsia="zh-CN" w:bidi="ar-SA"/>
        </w:rPr>
        <w:t>设计、规范编制或者项目管理、监理、检测服务的供应商</w:t>
      </w:r>
      <w:r>
        <w:rPr>
          <w:rFonts w:hint="eastAsia" w:ascii="宋体" w:hAnsi="宋体" w:eastAsia="宋体" w:cs="宋体"/>
          <w:b/>
          <w:bCs/>
          <w:kern w:val="2"/>
          <w:sz w:val="32"/>
          <w:szCs w:val="32"/>
          <w:lang w:val="en-US" w:eastAsia="zh-CN" w:bidi="ar-SA"/>
        </w:rPr>
        <w:t>，不得再参加本项目</w:t>
      </w:r>
      <w:r>
        <w:rPr>
          <w:rFonts w:hint="eastAsia" w:ascii="宋体" w:hAnsi="宋体" w:cs="宋体"/>
          <w:b/>
          <w:bCs/>
          <w:kern w:val="2"/>
          <w:sz w:val="32"/>
          <w:szCs w:val="32"/>
          <w:lang w:val="en-US" w:eastAsia="zh-CN" w:bidi="ar-SA"/>
        </w:rPr>
        <w:t>谈判</w:t>
      </w:r>
      <w:r>
        <w:rPr>
          <w:rFonts w:hint="eastAsia" w:ascii="宋体" w:hAnsi="宋体" w:eastAsia="宋体" w:cs="宋体"/>
          <w:b/>
          <w:bCs/>
          <w:kern w:val="2"/>
          <w:sz w:val="32"/>
          <w:szCs w:val="32"/>
          <w:lang w:val="en-US" w:eastAsia="zh-CN" w:bidi="ar-SA"/>
        </w:rPr>
        <w:t>；</w:t>
      </w:r>
    </w:p>
    <w:p w14:paraId="38E7C993">
      <w:pPr>
        <w:numPr>
          <w:ilvl w:val="0"/>
          <w:numId w:val="0"/>
        </w:numPr>
        <w:spacing w:line="360" w:lineRule="auto"/>
        <w:jc w:val="center"/>
        <w:rPr>
          <w:rFonts w:hint="eastAsia" w:ascii="宋体" w:hAnsi="宋体" w:eastAsia="宋体" w:cs="宋体"/>
          <w:b/>
          <w:kern w:val="2"/>
          <w:sz w:val="28"/>
          <w:szCs w:val="30"/>
          <w:lang w:val="en-US" w:eastAsia="zh-CN" w:bidi="ar-SA"/>
        </w:rPr>
      </w:pPr>
    </w:p>
    <w:p w14:paraId="48F16BFE">
      <w:pPr>
        <w:numPr>
          <w:ilvl w:val="0"/>
          <w:numId w:val="0"/>
        </w:numPr>
        <w:spacing w:line="360" w:lineRule="auto"/>
        <w:jc w:val="center"/>
        <w:rPr>
          <w:rFonts w:hint="eastAsia" w:ascii="宋体" w:hAnsi="宋体" w:eastAsia="宋体" w:cs="宋体"/>
          <w:b/>
          <w:kern w:val="2"/>
          <w:sz w:val="28"/>
          <w:szCs w:val="30"/>
          <w:lang w:val="en-US" w:eastAsia="zh-CN" w:bidi="ar-SA"/>
        </w:rPr>
      </w:pPr>
      <w:r>
        <w:rPr>
          <w:rFonts w:hint="eastAsia" w:ascii="宋体" w:hAnsi="宋体" w:cs="宋体"/>
          <w:b/>
          <w:kern w:val="2"/>
          <w:sz w:val="28"/>
          <w:szCs w:val="30"/>
          <w:lang w:val="en-US" w:eastAsia="zh-CN" w:bidi="ar-SA"/>
        </w:rPr>
        <w:t>承诺函</w:t>
      </w:r>
    </w:p>
    <w:p w14:paraId="7F2A70EA">
      <w:pPr>
        <w:pStyle w:val="8"/>
        <w:rPr>
          <w:rFonts w:hint="eastAsia" w:ascii="宋体" w:hAnsi="宋体" w:eastAsia="宋体" w:cs="宋体"/>
        </w:rPr>
      </w:pPr>
    </w:p>
    <w:p w14:paraId="428AD4D8">
      <w:pPr>
        <w:spacing w:line="265" w:lineRule="auto"/>
        <w:rPr>
          <w:rFonts w:hint="eastAsia" w:ascii="宋体" w:hAnsi="宋体" w:eastAsia="宋体" w:cs="宋体"/>
          <w:sz w:val="24"/>
        </w:rPr>
      </w:pPr>
    </w:p>
    <w:p w14:paraId="738DA526">
      <w:pPr>
        <w:widowControl/>
        <w:adjustRightInd w:val="0"/>
        <w:snapToGrid w:val="0"/>
        <w:spacing w:line="360" w:lineRule="auto"/>
        <w:ind w:firstLine="645"/>
        <w:textAlignment w:val="baseline"/>
        <w:rPr>
          <w:rFonts w:hint="eastAsia" w:ascii="宋体" w:hAnsi="宋体" w:eastAsia="宋体" w:cs="宋体"/>
          <w:sz w:val="24"/>
        </w:rPr>
      </w:pPr>
      <w:r>
        <w:rPr>
          <w:rFonts w:hint="eastAsia" w:ascii="宋体" w:hAnsi="宋体" w:eastAsia="宋体" w:cs="宋体"/>
          <w:sz w:val="24"/>
        </w:rPr>
        <w:t>本单位在参与</w:t>
      </w:r>
      <w:r>
        <w:rPr>
          <w:rFonts w:hint="eastAsia" w:ascii="宋体" w:hAnsi="宋体" w:eastAsia="宋体" w:cs="宋体"/>
          <w:sz w:val="24"/>
          <w:u w:val="single"/>
        </w:rPr>
        <w:t xml:space="preserve">                                 </w:t>
      </w:r>
      <w:r>
        <w:rPr>
          <w:rFonts w:hint="eastAsia" w:ascii="宋体" w:hAnsi="宋体" w:eastAsia="宋体" w:cs="宋体"/>
          <w:sz w:val="24"/>
        </w:rPr>
        <w:t>项目政府采购过程中特作以下承诺：</w:t>
      </w:r>
    </w:p>
    <w:p w14:paraId="4391DF4D">
      <w:pPr>
        <w:widowControl/>
        <w:adjustRightInd w:val="0"/>
        <w:snapToGrid w:val="0"/>
        <w:spacing w:line="360" w:lineRule="auto"/>
        <w:ind w:firstLine="645"/>
        <w:textAlignment w:val="baseline"/>
        <w:rPr>
          <w:rFonts w:hint="eastAsia" w:ascii="宋体" w:hAnsi="宋体" w:eastAsia="宋体" w:cs="宋体"/>
          <w:sz w:val="24"/>
        </w:rPr>
      </w:pPr>
      <w:r>
        <w:rPr>
          <w:rFonts w:hint="eastAsia" w:ascii="宋体" w:hAnsi="宋体" w:eastAsia="宋体" w:cs="宋体"/>
          <w:sz w:val="24"/>
        </w:rPr>
        <w:t>我单位</w:t>
      </w:r>
      <w:r>
        <w:rPr>
          <w:rFonts w:hint="eastAsia" w:ascii="宋体" w:hAnsi="宋体" w:cs="宋体"/>
          <w:sz w:val="24"/>
          <w:lang w:eastAsia="zh-CN"/>
        </w:rPr>
        <w:t>没有为</w:t>
      </w:r>
      <w:r>
        <w:rPr>
          <w:rFonts w:hint="eastAsia" w:ascii="宋体" w:hAnsi="宋体" w:eastAsia="宋体" w:cs="宋体"/>
          <w:sz w:val="24"/>
          <w:lang w:val="en-US" w:eastAsia="zh-CN"/>
        </w:rPr>
        <w:t>本项目提供整体设计、规范编制或者项目管理、监理、检测等服务</w:t>
      </w:r>
      <w:r>
        <w:rPr>
          <w:rFonts w:hint="eastAsia" w:ascii="宋体" w:hAnsi="宋体" w:cs="宋体"/>
          <w:sz w:val="24"/>
          <w:lang w:val="en-US" w:eastAsia="zh-CN"/>
        </w:rPr>
        <w:t>。</w:t>
      </w:r>
    </w:p>
    <w:p w14:paraId="06B37E50">
      <w:pPr>
        <w:numPr>
          <w:ilvl w:val="0"/>
          <w:numId w:val="0"/>
        </w:numPr>
        <w:spacing w:line="360" w:lineRule="auto"/>
        <w:jc w:val="center"/>
        <w:rPr>
          <w:rFonts w:hint="eastAsia" w:ascii="宋体" w:hAnsi="宋体" w:eastAsia="宋体" w:cs="宋体"/>
          <w:b/>
          <w:kern w:val="2"/>
          <w:sz w:val="28"/>
          <w:szCs w:val="30"/>
          <w:lang w:val="en-US" w:eastAsia="zh-CN" w:bidi="ar-SA"/>
        </w:rPr>
      </w:pPr>
    </w:p>
    <w:p w14:paraId="297DF5E7">
      <w:pPr>
        <w:numPr>
          <w:ilvl w:val="0"/>
          <w:numId w:val="0"/>
        </w:numPr>
        <w:spacing w:line="360" w:lineRule="auto"/>
        <w:jc w:val="center"/>
        <w:rPr>
          <w:rFonts w:hint="eastAsia" w:ascii="宋体" w:hAnsi="宋体" w:eastAsia="宋体" w:cs="宋体"/>
          <w:b/>
          <w:kern w:val="2"/>
          <w:sz w:val="28"/>
          <w:szCs w:val="30"/>
          <w:lang w:val="en-US" w:eastAsia="zh-CN" w:bidi="ar-SA"/>
        </w:rPr>
      </w:pPr>
    </w:p>
    <w:p w14:paraId="058BA62B">
      <w:pPr>
        <w:numPr>
          <w:ilvl w:val="0"/>
          <w:numId w:val="0"/>
        </w:numPr>
        <w:spacing w:line="360" w:lineRule="auto"/>
        <w:jc w:val="center"/>
        <w:rPr>
          <w:rFonts w:hint="eastAsia" w:ascii="宋体" w:hAnsi="宋体" w:eastAsia="宋体" w:cs="宋体"/>
          <w:b/>
          <w:kern w:val="2"/>
          <w:sz w:val="28"/>
          <w:szCs w:val="30"/>
          <w:lang w:val="en-US" w:eastAsia="zh-CN" w:bidi="ar-SA"/>
        </w:rPr>
      </w:pPr>
    </w:p>
    <w:p w14:paraId="1110ACBA">
      <w:pPr>
        <w:pStyle w:val="8"/>
        <w:rPr>
          <w:rFonts w:hint="eastAsia" w:ascii="宋体" w:hAnsi="宋体" w:eastAsia="宋体" w:cs="宋体"/>
          <w:b/>
          <w:kern w:val="2"/>
          <w:sz w:val="28"/>
          <w:szCs w:val="30"/>
          <w:lang w:val="en-US" w:eastAsia="zh-CN" w:bidi="ar-SA"/>
        </w:rPr>
      </w:pPr>
    </w:p>
    <w:p w14:paraId="069F3194">
      <w:pPr>
        <w:pStyle w:val="9"/>
        <w:rPr>
          <w:rFonts w:hint="eastAsia" w:ascii="宋体" w:hAnsi="宋体" w:eastAsia="宋体" w:cs="宋体"/>
          <w:b/>
          <w:kern w:val="2"/>
          <w:sz w:val="28"/>
          <w:szCs w:val="30"/>
          <w:lang w:val="en-US" w:eastAsia="zh-CN" w:bidi="ar-SA"/>
        </w:rPr>
      </w:pPr>
    </w:p>
    <w:p w14:paraId="03D2D5E9">
      <w:pPr>
        <w:rPr>
          <w:rFonts w:hint="eastAsia" w:ascii="宋体" w:hAnsi="宋体" w:eastAsia="宋体" w:cs="宋体"/>
          <w:b/>
          <w:kern w:val="2"/>
          <w:sz w:val="28"/>
          <w:szCs w:val="30"/>
          <w:lang w:val="en-US" w:eastAsia="zh-CN" w:bidi="ar-SA"/>
        </w:rPr>
      </w:pPr>
    </w:p>
    <w:p w14:paraId="57130C59">
      <w:pPr>
        <w:pStyle w:val="8"/>
        <w:rPr>
          <w:rFonts w:hint="eastAsia" w:ascii="宋体" w:hAnsi="宋体" w:eastAsia="宋体" w:cs="宋体"/>
          <w:b/>
          <w:kern w:val="2"/>
          <w:sz w:val="28"/>
          <w:szCs w:val="30"/>
          <w:lang w:val="en-US" w:eastAsia="zh-CN" w:bidi="ar-SA"/>
        </w:rPr>
      </w:pPr>
    </w:p>
    <w:p w14:paraId="51D79A9C">
      <w:pPr>
        <w:pStyle w:val="9"/>
        <w:rPr>
          <w:rFonts w:hint="eastAsia" w:ascii="宋体" w:hAnsi="宋体" w:eastAsia="宋体" w:cs="宋体"/>
          <w:b/>
          <w:kern w:val="2"/>
          <w:sz w:val="28"/>
          <w:szCs w:val="30"/>
          <w:lang w:val="en-US" w:eastAsia="zh-CN" w:bidi="ar-SA"/>
        </w:rPr>
      </w:pPr>
    </w:p>
    <w:p w14:paraId="2DEB01B9">
      <w:pPr>
        <w:rPr>
          <w:rFonts w:hint="eastAsia" w:ascii="宋体" w:hAnsi="宋体" w:eastAsia="宋体" w:cs="宋体"/>
          <w:b/>
          <w:kern w:val="2"/>
          <w:sz w:val="28"/>
          <w:szCs w:val="30"/>
          <w:lang w:val="en-US" w:eastAsia="zh-CN" w:bidi="ar-SA"/>
        </w:rPr>
      </w:pPr>
    </w:p>
    <w:p w14:paraId="095C45DA">
      <w:pPr>
        <w:pStyle w:val="8"/>
        <w:rPr>
          <w:rFonts w:hint="eastAsia" w:ascii="宋体" w:hAnsi="宋体" w:eastAsia="宋体" w:cs="宋体"/>
          <w:b/>
          <w:kern w:val="2"/>
          <w:sz w:val="28"/>
          <w:szCs w:val="30"/>
          <w:lang w:val="en-US" w:eastAsia="zh-CN" w:bidi="ar-SA"/>
        </w:rPr>
      </w:pPr>
    </w:p>
    <w:p w14:paraId="5C846562">
      <w:pPr>
        <w:pStyle w:val="9"/>
        <w:rPr>
          <w:rFonts w:hint="eastAsia" w:ascii="宋体" w:hAnsi="宋体" w:eastAsia="宋体" w:cs="宋体"/>
          <w:b/>
          <w:kern w:val="2"/>
          <w:sz w:val="28"/>
          <w:szCs w:val="30"/>
          <w:lang w:val="en-US" w:eastAsia="zh-CN" w:bidi="ar-SA"/>
        </w:rPr>
      </w:pPr>
    </w:p>
    <w:p w14:paraId="3A66A067">
      <w:pPr>
        <w:rPr>
          <w:rFonts w:hint="eastAsia" w:ascii="宋体" w:hAnsi="宋体" w:eastAsia="宋体" w:cs="宋体"/>
          <w:b/>
          <w:kern w:val="2"/>
          <w:sz w:val="28"/>
          <w:szCs w:val="30"/>
          <w:lang w:val="en-US" w:eastAsia="zh-CN" w:bidi="ar-SA"/>
        </w:rPr>
      </w:pPr>
    </w:p>
    <w:p w14:paraId="6C52125A">
      <w:pPr>
        <w:pStyle w:val="8"/>
        <w:rPr>
          <w:rFonts w:hint="eastAsia" w:ascii="宋体" w:hAnsi="宋体" w:eastAsia="宋体" w:cs="宋体"/>
          <w:b/>
          <w:kern w:val="2"/>
          <w:sz w:val="28"/>
          <w:szCs w:val="30"/>
          <w:lang w:val="en-US" w:eastAsia="zh-CN" w:bidi="ar-SA"/>
        </w:rPr>
      </w:pPr>
    </w:p>
    <w:p w14:paraId="528CFC73">
      <w:pPr>
        <w:pStyle w:val="9"/>
        <w:rPr>
          <w:rFonts w:hint="eastAsia" w:ascii="宋体" w:hAnsi="宋体" w:eastAsia="宋体" w:cs="宋体"/>
          <w:b/>
          <w:kern w:val="2"/>
          <w:sz w:val="28"/>
          <w:szCs w:val="30"/>
          <w:lang w:val="en-US" w:eastAsia="zh-CN" w:bidi="ar-SA"/>
        </w:rPr>
      </w:pPr>
    </w:p>
    <w:p w14:paraId="7536E637">
      <w:pPr>
        <w:rPr>
          <w:rFonts w:hint="eastAsia" w:ascii="宋体" w:hAnsi="宋体" w:eastAsia="宋体" w:cs="宋体"/>
          <w:b/>
          <w:kern w:val="2"/>
          <w:sz w:val="28"/>
          <w:szCs w:val="30"/>
          <w:lang w:val="en-US" w:eastAsia="zh-CN" w:bidi="ar-SA"/>
        </w:rPr>
      </w:pPr>
    </w:p>
    <w:p w14:paraId="356A106F">
      <w:pPr>
        <w:pStyle w:val="8"/>
        <w:rPr>
          <w:rFonts w:hint="eastAsia" w:ascii="宋体" w:hAnsi="宋体" w:eastAsia="宋体" w:cs="宋体"/>
          <w:b/>
          <w:kern w:val="2"/>
          <w:sz w:val="28"/>
          <w:szCs w:val="30"/>
          <w:lang w:val="en-US" w:eastAsia="zh-CN" w:bidi="ar-SA"/>
        </w:rPr>
      </w:pPr>
    </w:p>
    <w:p w14:paraId="6C87018C">
      <w:pPr>
        <w:pStyle w:val="9"/>
        <w:rPr>
          <w:rFonts w:hint="eastAsia" w:ascii="宋体" w:hAnsi="宋体" w:eastAsia="宋体" w:cs="宋体"/>
          <w:b/>
          <w:kern w:val="2"/>
          <w:sz w:val="28"/>
          <w:szCs w:val="30"/>
          <w:lang w:val="en-US" w:eastAsia="zh-CN" w:bidi="ar-SA"/>
        </w:rPr>
      </w:pPr>
    </w:p>
    <w:p w14:paraId="269C88D6">
      <w:pPr>
        <w:rPr>
          <w:rFonts w:hint="eastAsia" w:ascii="宋体" w:hAnsi="宋体" w:eastAsia="宋体" w:cs="宋体"/>
          <w:b/>
          <w:kern w:val="2"/>
          <w:sz w:val="28"/>
          <w:szCs w:val="30"/>
          <w:lang w:val="en-US" w:eastAsia="zh-CN" w:bidi="ar-SA"/>
        </w:rPr>
      </w:pPr>
    </w:p>
    <w:p w14:paraId="24A83697">
      <w:pPr>
        <w:pStyle w:val="8"/>
        <w:rPr>
          <w:rFonts w:hint="eastAsia" w:ascii="宋体" w:hAnsi="宋体" w:eastAsia="宋体" w:cs="宋体"/>
          <w:b/>
          <w:kern w:val="2"/>
          <w:sz w:val="28"/>
          <w:szCs w:val="30"/>
          <w:lang w:val="en-US" w:eastAsia="zh-CN" w:bidi="ar-SA"/>
        </w:rPr>
      </w:pPr>
    </w:p>
    <w:p w14:paraId="20C9A060">
      <w:pPr>
        <w:pStyle w:val="50"/>
        <w:spacing w:line="500" w:lineRule="exact"/>
        <w:ind w:firstLine="480" w:firstLineChars="200"/>
        <w:jc w:val="both"/>
        <w:rPr>
          <w:rFonts w:hint="eastAsia" w:ascii="宋体" w:hAnsi="宋体" w:eastAsia="宋体" w:cs="宋体"/>
          <w:sz w:val="24"/>
        </w:rPr>
      </w:pPr>
      <w:r>
        <w:rPr>
          <w:rFonts w:hint="eastAsia" w:ascii="宋体" w:hAnsi="宋体" w:eastAsia="宋体" w:cs="宋体"/>
          <w:sz w:val="24"/>
        </w:rPr>
        <w:t>供应商（盖公章）：</w:t>
      </w:r>
    </w:p>
    <w:p w14:paraId="09C3A92B">
      <w:pPr>
        <w:shd w:val="clear" w:color="auto" w:fill="FFFFFF"/>
        <w:tabs>
          <w:tab w:val="left" w:pos="3780"/>
        </w:tabs>
        <w:spacing w:line="360" w:lineRule="auto"/>
        <w:ind w:firstLine="480" w:firstLineChars="200"/>
        <w:rPr>
          <w:rFonts w:hint="eastAsia" w:ascii="宋体" w:hAnsi="宋体" w:eastAsia="宋体" w:cs="宋体"/>
          <w:sz w:val="24"/>
        </w:rPr>
      </w:pPr>
      <w:r>
        <w:rPr>
          <w:rFonts w:hint="eastAsia" w:ascii="宋体" w:hAnsi="宋体" w:eastAsia="宋体" w:cs="宋体"/>
          <w:sz w:val="24"/>
        </w:rPr>
        <w:t>法定代表人或授权代理人（签字</w:t>
      </w:r>
      <w:r>
        <w:rPr>
          <w:rFonts w:hint="eastAsia" w:ascii="宋体" w:hAnsi="宋体" w:cs="宋体"/>
          <w:sz w:val="24"/>
          <w:lang w:eastAsia="zh-CN"/>
        </w:rPr>
        <w:t>或</w:t>
      </w:r>
      <w:r>
        <w:rPr>
          <w:rFonts w:hint="eastAsia" w:ascii="宋体" w:hAnsi="宋体" w:eastAsia="宋体" w:cs="宋体"/>
          <w:sz w:val="24"/>
        </w:rPr>
        <w:t>盖章）：</w:t>
      </w:r>
    </w:p>
    <w:p w14:paraId="0124EECB">
      <w:pPr>
        <w:shd w:val="clear" w:color="auto" w:fill="FFFFFF"/>
        <w:tabs>
          <w:tab w:val="left" w:pos="3780"/>
        </w:tabs>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日期： 年  月  日</w:t>
      </w:r>
    </w:p>
    <w:p w14:paraId="211F1ABD">
      <w:pPr>
        <w:rPr>
          <w:rFonts w:hint="eastAsia" w:ascii="宋体" w:hAnsi="宋体" w:eastAsia="宋体" w:cs="宋体"/>
          <w:bCs/>
          <w:color w:val="000000"/>
          <w:sz w:val="24"/>
        </w:rPr>
      </w:pPr>
    </w:p>
    <w:p w14:paraId="0AD4C9F2">
      <w:pPr>
        <w:rPr>
          <w:rFonts w:hint="eastAsia" w:ascii="宋体" w:hAnsi="宋体" w:eastAsia="宋体" w:cs="宋体"/>
          <w:bCs/>
          <w:color w:val="000000"/>
          <w:sz w:val="24"/>
        </w:rPr>
      </w:pPr>
    </w:p>
    <w:p w14:paraId="1B830653">
      <w:pPr>
        <w:rPr>
          <w:rFonts w:hint="eastAsia" w:ascii="宋体" w:hAnsi="宋体" w:eastAsia="宋体" w:cs="宋体"/>
          <w:bCs/>
          <w:color w:val="000000"/>
          <w:sz w:val="24"/>
        </w:rPr>
      </w:pPr>
    </w:p>
    <w:p w14:paraId="7CE1FD6E">
      <w:pPr>
        <w:rPr>
          <w:rFonts w:hint="eastAsia" w:ascii="宋体" w:hAnsi="宋体" w:eastAsia="宋体" w:cs="宋体"/>
          <w:bCs/>
          <w:color w:val="000000"/>
          <w:sz w:val="24"/>
        </w:rPr>
      </w:pPr>
    </w:p>
    <w:p w14:paraId="69898442">
      <w:pPr>
        <w:rPr>
          <w:rFonts w:hint="eastAsia" w:ascii="宋体" w:hAnsi="宋体" w:eastAsia="宋体" w:cs="宋体"/>
          <w:bCs/>
          <w:color w:val="000000"/>
          <w:sz w:val="24"/>
        </w:rPr>
      </w:pPr>
    </w:p>
    <w:p w14:paraId="70395437">
      <w:pPr>
        <w:numPr>
          <w:ilvl w:val="0"/>
          <w:numId w:val="0"/>
        </w:numPr>
        <w:spacing w:line="360" w:lineRule="auto"/>
        <w:jc w:val="center"/>
        <w:rPr>
          <w:rFonts w:hint="eastAsia" w:ascii="宋体" w:hAnsi="宋体" w:eastAsia="宋体" w:cs="宋体"/>
          <w:b/>
          <w:bCs/>
          <w:kern w:val="2"/>
          <w:sz w:val="32"/>
          <w:szCs w:val="32"/>
          <w:lang w:val="en-US" w:eastAsia="zh-CN" w:bidi="ar-SA"/>
        </w:rPr>
      </w:pPr>
    </w:p>
    <w:p w14:paraId="71846CD9">
      <w:pPr>
        <w:numPr>
          <w:ilvl w:val="0"/>
          <w:numId w:val="0"/>
        </w:numPr>
        <w:spacing w:line="360" w:lineRule="auto"/>
        <w:jc w:val="center"/>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2.</w:t>
      </w:r>
      <w:r>
        <w:rPr>
          <w:rFonts w:hint="eastAsia" w:ascii="宋体" w:hAnsi="宋体" w:cs="宋体"/>
          <w:b/>
          <w:bCs/>
          <w:kern w:val="2"/>
          <w:sz w:val="32"/>
          <w:szCs w:val="32"/>
          <w:lang w:val="en-US" w:eastAsia="zh-CN" w:bidi="ar-SA"/>
        </w:rPr>
        <w:t>9</w:t>
      </w:r>
      <w:r>
        <w:rPr>
          <w:rFonts w:hint="eastAsia" w:ascii="宋体" w:hAnsi="宋体" w:eastAsia="宋体" w:cs="宋体"/>
          <w:b/>
          <w:bCs/>
          <w:kern w:val="2"/>
          <w:sz w:val="32"/>
          <w:szCs w:val="32"/>
          <w:lang w:val="en-US" w:eastAsia="zh-CN" w:bidi="ar-SA"/>
        </w:rPr>
        <w:t>《中小企业声明函》</w:t>
      </w:r>
    </w:p>
    <w:p w14:paraId="5D4D4BF1">
      <w:pPr>
        <w:spacing w:line="460" w:lineRule="exact"/>
        <w:ind w:firstLine="540" w:firstLineChars="225"/>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本公司郑重声明，根据《政府采购促进中小企业发展管理办法》（财库﹝2020﹞46号）的规定，本公司参加</w:t>
      </w:r>
      <w:r>
        <w:rPr>
          <w:rFonts w:hint="eastAsia" w:ascii="宋体" w:hAnsi="宋体" w:eastAsia="宋体" w:cs="宋体"/>
          <w:bCs/>
          <w:kern w:val="2"/>
          <w:sz w:val="24"/>
          <w:szCs w:val="24"/>
          <w:u w:val="single"/>
          <w:lang w:val="en-US" w:eastAsia="zh-CN" w:bidi="ar-SA"/>
        </w:rPr>
        <w:t xml:space="preserve">（单位名称）  </w:t>
      </w:r>
      <w:r>
        <w:rPr>
          <w:rFonts w:hint="eastAsia" w:ascii="宋体" w:hAnsi="宋体" w:eastAsia="宋体" w:cs="宋体"/>
          <w:bCs/>
          <w:kern w:val="2"/>
          <w:sz w:val="24"/>
          <w:szCs w:val="24"/>
          <w:lang w:val="en-US" w:eastAsia="zh-CN" w:bidi="ar-SA"/>
        </w:rPr>
        <w:t>的</w:t>
      </w:r>
      <w:r>
        <w:rPr>
          <w:rFonts w:hint="eastAsia" w:ascii="宋体" w:hAnsi="宋体" w:eastAsia="宋体" w:cs="宋体"/>
          <w:bCs/>
          <w:kern w:val="2"/>
          <w:sz w:val="24"/>
          <w:szCs w:val="24"/>
          <w:u w:val="single"/>
          <w:lang w:val="en-US" w:eastAsia="zh-CN" w:bidi="ar-SA"/>
        </w:rPr>
        <w:t xml:space="preserve">（项目名称） </w:t>
      </w:r>
      <w:r>
        <w:rPr>
          <w:rFonts w:hint="eastAsia" w:ascii="宋体" w:hAnsi="宋体" w:eastAsia="宋体" w:cs="宋体"/>
          <w:bCs/>
          <w:kern w:val="2"/>
          <w:sz w:val="24"/>
          <w:szCs w:val="24"/>
          <w:lang w:val="en-US" w:eastAsia="zh-CN" w:bidi="ar-SA"/>
        </w:rPr>
        <w:t>采购活动，</w:t>
      </w:r>
      <w:r>
        <w:rPr>
          <w:rFonts w:hint="eastAsia" w:ascii="宋体" w:hAnsi="宋体" w:cs="宋体"/>
          <w:bCs/>
          <w:kern w:val="2"/>
          <w:sz w:val="24"/>
          <w:szCs w:val="24"/>
          <w:lang w:val="en-US" w:eastAsia="zh-CN" w:bidi="ar-SA"/>
        </w:rPr>
        <w:t>服务</w:t>
      </w:r>
      <w:r>
        <w:rPr>
          <w:rFonts w:hint="eastAsia" w:ascii="宋体" w:hAnsi="宋体" w:eastAsia="宋体" w:cs="宋体"/>
          <w:bCs/>
          <w:kern w:val="2"/>
          <w:sz w:val="24"/>
          <w:szCs w:val="24"/>
          <w:lang w:val="en-US" w:eastAsia="zh-CN" w:bidi="ar-SA"/>
        </w:rPr>
        <w:t>全部由符合政策要求的中小企业承接。相关企业的具体情况如下：</w:t>
      </w:r>
    </w:p>
    <w:p w14:paraId="59031DC7">
      <w:pPr>
        <w:numPr>
          <w:ilvl w:val="0"/>
          <w:numId w:val="3"/>
        </w:numPr>
        <w:spacing w:line="460" w:lineRule="exact"/>
        <w:ind w:firstLine="540" w:firstLineChars="225"/>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u w:val="single"/>
          <w:lang w:val="en-US" w:eastAsia="zh-CN" w:bidi="ar-SA"/>
        </w:rPr>
        <w:t>（</w:t>
      </w:r>
      <w:r>
        <w:rPr>
          <w:rFonts w:hint="eastAsia" w:ascii="宋体" w:hAnsi="宋体" w:cs="宋体"/>
          <w:bCs/>
          <w:kern w:val="2"/>
          <w:sz w:val="24"/>
          <w:szCs w:val="24"/>
          <w:u w:val="single"/>
          <w:lang w:val="en-US" w:eastAsia="zh-CN" w:bidi="ar-SA"/>
        </w:rPr>
        <w:t>项目</w:t>
      </w:r>
      <w:r>
        <w:rPr>
          <w:rFonts w:hint="eastAsia" w:ascii="宋体" w:hAnsi="宋体" w:eastAsia="宋体" w:cs="宋体"/>
          <w:bCs/>
          <w:kern w:val="2"/>
          <w:sz w:val="24"/>
          <w:szCs w:val="24"/>
          <w:u w:val="single"/>
          <w:lang w:val="en-US" w:eastAsia="zh-CN" w:bidi="ar-SA"/>
        </w:rPr>
        <w:t xml:space="preserve">名称）               </w:t>
      </w:r>
      <w:r>
        <w:rPr>
          <w:rFonts w:hint="eastAsia" w:ascii="宋体" w:hAnsi="宋体" w:eastAsia="宋体" w:cs="宋体"/>
          <w:bCs/>
          <w:kern w:val="2"/>
          <w:sz w:val="24"/>
          <w:szCs w:val="24"/>
          <w:lang w:val="en-US" w:eastAsia="zh-CN" w:bidi="ar-SA"/>
        </w:rPr>
        <w:t xml:space="preserve"> ，属于</w:t>
      </w:r>
      <w:r>
        <w:rPr>
          <w:rFonts w:hint="eastAsia" w:ascii="宋体" w:hAnsi="宋体" w:eastAsia="宋体" w:cs="宋体"/>
          <w:bCs/>
          <w:kern w:val="2"/>
          <w:sz w:val="24"/>
          <w:szCs w:val="24"/>
          <w:u w:val="single"/>
          <w:lang w:val="en-US" w:eastAsia="zh-CN" w:bidi="ar-SA"/>
        </w:rPr>
        <w:t>（采购文件中明确的所属行业 ）</w:t>
      </w:r>
      <w:r>
        <w:rPr>
          <w:rFonts w:hint="eastAsia" w:ascii="宋体" w:hAnsi="宋体" w:eastAsia="宋体" w:cs="宋体"/>
          <w:bCs/>
          <w:kern w:val="2"/>
          <w:sz w:val="24"/>
          <w:szCs w:val="24"/>
          <w:lang w:val="en-US" w:eastAsia="zh-CN" w:bidi="ar-SA"/>
        </w:rPr>
        <w:t>；承接企业为</w:t>
      </w:r>
      <w:r>
        <w:rPr>
          <w:rFonts w:hint="eastAsia" w:ascii="宋体" w:hAnsi="宋体" w:eastAsia="宋体" w:cs="宋体"/>
          <w:bCs/>
          <w:kern w:val="2"/>
          <w:sz w:val="24"/>
          <w:szCs w:val="24"/>
          <w:u w:val="single"/>
          <w:lang w:val="en-US" w:eastAsia="zh-CN" w:bidi="ar-SA"/>
        </w:rPr>
        <w:t>（企业名称）</w:t>
      </w:r>
      <w:r>
        <w:rPr>
          <w:rFonts w:hint="eastAsia" w:ascii="宋体" w:hAnsi="宋体" w:cs="宋体"/>
          <w:bCs/>
          <w:kern w:val="2"/>
          <w:sz w:val="24"/>
          <w:szCs w:val="24"/>
          <w:u w:val="single"/>
          <w:lang w:val="en-US" w:eastAsia="zh-CN" w:bidi="ar-SA"/>
        </w:rPr>
        <w:t xml:space="preserve">  </w:t>
      </w:r>
      <w:r>
        <w:rPr>
          <w:rFonts w:hint="eastAsia" w:ascii="宋体" w:hAnsi="宋体" w:eastAsia="宋体" w:cs="宋体"/>
          <w:bCs/>
          <w:kern w:val="2"/>
          <w:sz w:val="24"/>
          <w:szCs w:val="24"/>
          <w:u w:val="single"/>
          <w:lang w:val="en-US" w:eastAsia="zh-CN" w:bidi="ar-SA"/>
        </w:rPr>
        <w:t xml:space="preserve">   </w:t>
      </w:r>
      <w:r>
        <w:rPr>
          <w:rFonts w:hint="eastAsia" w:ascii="宋体" w:hAnsi="宋体" w:eastAsia="宋体" w:cs="宋体"/>
          <w:bCs/>
          <w:kern w:val="2"/>
          <w:sz w:val="24"/>
          <w:szCs w:val="24"/>
          <w:lang w:val="en-US" w:eastAsia="zh-CN" w:bidi="ar-SA"/>
        </w:rPr>
        <w:t>，从业人员</w:t>
      </w:r>
      <w:r>
        <w:rPr>
          <w:rFonts w:hint="eastAsia" w:ascii="宋体" w:hAnsi="宋体" w:eastAsia="宋体" w:cs="宋体"/>
          <w:bCs/>
          <w:kern w:val="2"/>
          <w:sz w:val="24"/>
          <w:szCs w:val="24"/>
          <w:u w:val="single"/>
          <w:lang w:val="en-US" w:eastAsia="zh-CN" w:bidi="ar-SA"/>
        </w:rPr>
        <w:t xml:space="preserve">       </w:t>
      </w:r>
      <w:r>
        <w:rPr>
          <w:rFonts w:hint="eastAsia" w:ascii="宋体" w:hAnsi="宋体" w:eastAsia="宋体" w:cs="宋体"/>
          <w:bCs/>
          <w:kern w:val="2"/>
          <w:sz w:val="24"/>
          <w:szCs w:val="24"/>
          <w:lang w:val="en-US" w:eastAsia="zh-CN" w:bidi="ar-SA"/>
        </w:rPr>
        <w:t xml:space="preserve">人，营业收入为 </w:t>
      </w:r>
      <w:r>
        <w:rPr>
          <w:rFonts w:hint="eastAsia" w:ascii="宋体" w:hAnsi="宋体" w:eastAsia="宋体" w:cs="宋体"/>
          <w:bCs/>
          <w:kern w:val="2"/>
          <w:sz w:val="24"/>
          <w:szCs w:val="24"/>
          <w:u w:val="single"/>
          <w:lang w:val="en-US" w:eastAsia="zh-CN" w:bidi="ar-SA"/>
        </w:rPr>
        <w:t xml:space="preserve">          </w:t>
      </w:r>
      <w:r>
        <w:rPr>
          <w:rFonts w:hint="eastAsia" w:ascii="宋体" w:hAnsi="宋体" w:eastAsia="宋体" w:cs="宋体"/>
          <w:bCs/>
          <w:kern w:val="2"/>
          <w:sz w:val="24"/>
          <w:szCs w:val="24"/>
          <w:lang w:val="en-US" w:eastAsia="zh-CN" w:bidi="ar-SA"/>
        </w:rPr>
        <w:t>万元，资产总额为</w:t>
      </w:r>
      <w:r>
        <w:rPr>
          <w:rFonts w:hint="eastAsia" w:ascii="宋体" w:hAnsi="宋体" w:eastAsia="宋体" w:cs="宋体"/>
          <w:bCs/>
          <w:kern w:val="2"/>
          <w:sz w:val="24"/>
          <w:szCs w:val="24"/>
          <w:u w:val="single"/>
          <w:lang w:val="en-US" w:eastAsia="zh-CN" w:bidi="ar-SA"/>
        </w:rPr>
        <w:t xml:space="preserve">          </w:t>
      </w:r>
      <w:r>
        <w:rPr>
          <w:rFonts w:hint="eastAsia" w:ascii="宋体" w:hAnsi="宋体" w:eastAsia="宋体" w:cs="宋体"/>
          <w:bCs/>
          <w:kern w:val="2"/>
          <w:sz w:val="24"/>
          <w:szCs w:val="24"/>
          <w:lang w:val="en-US" w:eastAsia="zh-CN" w:bidi="ar-SA"/>
        </w:rPr>
        <w:t>万元，属于</w:t>
      </w:r>
      <w:r>
        <w:rPr>
          <w:rFonts w:hint="eastAsia" w:ascii="宋体" w:hAnsi="宋体" w:eastAsia="宋体" w:cs="宋体"/>
          <w:bCs/>
          <w:kern w:val="2"/>
          <w:sz w:val="24"/>
          <w:szCs w:val="24"/>
          <w:u w:val="single"/>
          <w:lang w:val="en-US" w:eastAsia="zh-CN" w:bidi="ar-SA"/>
        </w:rPr>
        <w:t xml:space="preserve">        </w:t>
      </w:r>
      <w:r>
        <w:rPr>
          <w:rFonts w:hint="eastAsia" w:ascii="宋体" w:hAnsi="宋体" w:eastAsia="宋体" w:cs="宋体"/>
          <w:bCs/>
          <w:kern w:val="2"/>
          <w:sz w:val="24"/>
          <w:szCs w:val="24"/>
          <w:lang w:val="en-US" w:eastAsia="zh-CN" w:bidi="ar-SA"/>
        </w:rPr>
        <w:t>（中型企业、小型企业、微型企业）；</w:t>
      </w:r>
    </w:p>
    <w:p w14:paraId="4E4B68A6">
      <w:pPr>
        <w:spacing w:line="460" w:lineRule="exact"/>
        <w:ind w:firstLine="540" w:firstLineChars="225"/>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w:t>
      </w:r>
    </w:p>
    <w:p w14:paraId="60497B6A">
      <w:pPr>
        <w:spacing w:line="460" w:lineRule="exact"/>
        <w:ind w:firstLine="540" w:firstLineChars="225"/>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以上企业，不属于大企业的分支机构，不存在控股股东为大企业的情形，也不存在与大企业的负责人为同一人的情形。</w:t>
      </w:r>
    </w:p>
    <w:p w14:paraId="6284DC39">
      <w:pPr>
        <w:spacing w:line="460" w:lineRule="exact"/>
        <w:ind w:firstLine="540" w:firstLineChars="225"/>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本企业对上述声明内容的真实性负责。如有虚假，将依法承担相应责任。</w:t>
      </w:r>
    </w:p>
    <w:p w14:paraId="26C49301">
      <w:pPr>
        <w:spacing w:line="460" w:lineRule="exact"/>
        <w:ind w:firstLine="540" w:firstLineChars="225"/>
        <w:rPr>
          <w:rFonts w:hint="eastAsia" w:ascii="宋体" w:hAnsi="宋体" w:eastAsia="宋体" w:cs="宋体"/>
          <w:bCs/>
          <w:kern w:val="2"/>
          <w:sz w:val="24"/>
          <w:szCs w:val="24"/>
          <w:lang w:val="en-US" w:eastAsia="zh-CN" w:bidi="ar-SA"/>
        </w:rPr>
      </w:pPr>
    </w:p>
    <w:p w14:paraId="08F76D72">
      <w:pPr>
        <w:spacing w:line="460" w:lineRule="exact"/>
        <w:ind w:firstLine="540" w:firstLineChars="225"/>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企业名称（盖章）：</w:t>
      </w:r>
    </w:p>
    <w:p w14:paraId="776092BE">
      <w:pPr>
        <w:spacing w:line="460" w:lineRule="exact"/>
        <w:ind w:firstLine="540" w:firstLineChars="225"/>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日 期：</w:t>
      </w:r>
    </w:p>
    <w:p w14:paraId="2C5D11CA">
      <w:pPr>
        <w:spacing w:line="460" w:lineRule="exact"/>
        <w:ind w:firstLine="540" w:firstLineChars="225"/>
        <w:rPr>
          <w:rFonts w:hint="eastAsia" w:ascii="宋体" w:hAnsi="宋体" w:eastAsia="宋体" w:cs="宋体"/>
          <w:bCs/>
          <w:kern w:val="2"/>
          <w:sz w:val="24"/>
          <w:szCs w:val="24"/>
          <w:lang w:val="en-US" w:eastAsia="zh-CN" w:bidi="ar-SA"/>
        </w:rPr>
      </w:pPr>
    </w:p>
    <w:p w14:paraId="5F739698">
      <w:pPr>
        <w:spacing w:line="460" w:lineRule="exact"/>
        <w:ind w:firstLine="540" w:firstLineChars="225"/>
        <w:rPr>
          <w:rFonts w:hint="eastAsia" w:ascii="宋体" w:hAnsi="宋体" w:eastAsia="宋体" w:cs="宋体"/>
          <w:bCs/>
          <w:kern w:val="2"/>
          <w:sz w:val="24"/>
          <w:szCs w:val="24"/>
          <w:lang w:val="en-US" w:eastAsia="zh-CN" w:bidi="ar-SA"/>
        </w:rPr>
      </w:pPr>
    </w:p>
    <w:p w14:paraId="7185CFC2">
      <w:pPr>
        <w:spacing w:line="460" w:lineRule="exact"/>
        <w:ind w:firstLine="540" w:firstLineChars="225"/>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注：1、从业人员、营业收入、资产总额填报上一年度数据，无上一年度数据的新成立企业可不填报。</w:t>
      </w:r>
    </w:p>
    <w:p w14:paraId="671E7498">
      <w:pPr>
        <w:spacing w:line="460" w:lineRule="exact"/>
        <w:ind w:firstLine="540" w:firstLineChars="225"/>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2、未按上述要求提供、填写的，评审时不予以考虑。</w:t>
      </w:r>
    </w:p>
    <w:p w14:paraId="698EDF30">
      <w:pPr>
        <w:pStyle w:val="8"/>
        <w:spacing w:line="480" w:lineRule="exact"/>
        <w:rPr>
          <w:rFonts w:hint="eastAsia" w:ascii="宋体" w:hAnsi="宋体" w:eastAsia="宋体" w:cs="宋体"/>
          <w:b/>
          <w:sz w:val="28"/>
          <w:szCs w:val="28"/>
        </w:rPr>
      </w:pPr>
    </w:p>
    <w:p w14:paraId="7DB1038E">
      <w:pPr>
        <w:pStyle w:val="9"/>
        <w:rPr>
          <w:rFonts w:hint="eastAsia" w:ascii="宋体" w:hAnsi="宋体" w:eastAsia="宋体" w:cs="宋体"/>
          <w:b/>
          <w:sz w:val="28"/>
          <w:szCs w:val="28"/>
        </w:rPr>
      </w:pPr>
    </w:p>
    <w:p w14:paraId="7AF7505B">
      <w:pPr>
        <w:rPr>
          <w:rFonts w:hint="eastAsia" w:ascii="宋体" w:hAnsi="宋体" w:eastAsia="宋体" w:cs="宋体"/>
          <w:b/>
          <w:sz w:val="28"/>
          <w:szCs w:val="28"/>
        </w:rPr>
      </w:pPr>
    </w:p>
    <w:p w14:paraId="6B815F0C">
      <w:pPr>
        <w:pStyle w:val="8"/>
        <w:spacing w:line="480" w:lineRule="exact"/>
        <w:rPr>
          <w:rFonts w:hint="eastAsia" w:ascii="宋体" w:hAnsi="宋体" w:eastAsia="宋体" w:cs="宋体"/>
          <w:b/>
          <w:sz w:val="28"/>
          <w:szCs w:val="28"/>
        </w:rPr>
      </w:pPr>
    </w:p>
    <w:p w14:paraId="59C01F3A">
      <w:pPr>
        <w:pStyle w:val="8"/>
        <w:spacing w:line="480" w:lineRule="exact"/>
        <w:rPr>
          <w:rFonts w:hint="eastAsia" w:ascii="宋体" w:hAnsi="宋体" w:eastAsia="宋体" w:cs="宋体"/>
          <w:b/>
          <w:sz w:val="28"/>
          <w:szCs w:val="28"/>
        </w:rPr>
      </w:pPr>
    </w:p>
    <w:p w14:paraId="683CB91C">
      <w:pPr>
        <w:pStyle w:val="8"/>
        <w:spacing w:line="480" w:lineRule="exact"/>
        <w:rPr>
          <w:rFonts w:hint="eastAsia" w:ascii="宋体" w:hAnsi="宋体" w:eastAsia="宋体" w:cs="宋体"/>
          <w:b/>
          <w:sz w:val="28"/>
          <w:szCs w:val="28"/>
        </w:rPr>
      </w:pPr>
    </w:p>
    <w:p w14:paraId="29782AD8">
      <w:pPr>
        <w:pStyle w:val="8"/>
        <w:spacing w:line="480" w:lineRule="exact"/>
        <w:rPr>
          <w:rFonts w:hint="eastAsia" w:ascii="宋体" w:hAnsi="宋体" w:eastAsia="宋体" w:cs="宋体"/>
          <w:b/>
          <w:sz w:val="28"/>
          <w:szCs w:val="28"/>
        </w:rPr>
      </w:pPr>
    </w:p>
    <w:p w14:paraId="06AC8811">
      <w:pPr>
        <w:pStyle w:val="8"/>
        <w:spacing w:line="480" w:lineRule="exact"/>
        <w:rPr>
          <w:rFonts w:hint="eastAsia" w:ascii="宋体" w:hAnsi="宋体" w:eastAsia="宋体" w:cs="宋体"/>
          <w:b/>
          <w:sz w:val="28"/>
          <w:szCs w:val="28"/>
        </w:rPr>
      </w:pPr>
    </w:p>
    <w:p w14:paraId="047209AC">
      <w:pPr>
        <w:pStyle w:val="8"/>
        <w:spacing w:line="480" w:lineRule="exact"/>
        <w:rPr>
          <w:rFonts w:hint="eastAsia" w:ascii="宋体" w:hAnsi="宋体" w:eastAsia="宋体" w:cs="宋体"/>
          <w:b/>
          <w:sz w:val="28"/>
          <w:szCs w:val="28"/>
        </w:rPr>
      </w:pPr>
    </w:p>
    <w:p w14:paraId="46B35CF6">
      <w:pPr>
        <w:pStyle w:val="8"/>
        <w:spacing w:line="480" w:lineRule="exact"/>
        <w:jc w:val="center"/>
        <w:rPr>
          <w:rFonts w:hint="eastAsia" w:ascii="宋体" w:hAnsi="宋体" w:eastAsia="宋体" w:cs="宋体"/>
          <w:b/>
          <w:bCs/>
          <w:sz w:val="28"/>
          <w:szCs w:val="28"/>
        </w:rPr>
      </w:pPr>
      <w:r>
        <w:rPr>
          <w:rFonts w:hint="eastAsia" w:ascii="宋体" w:hAnsi="宋体" w:eastAsia="宋体" w:cs="宋体"/>
          <w:b/>
          <w:bCs/>
          <w:sz w:val="28"/>
          <w:szCs w:val="28"/>
        </w:rPr>
        <w:t>残疾人福利性单位声明函（符合本声明函填写）</w:t>
      </w:r>
    </w:p>
    <w:p w14:paraId="4DC2AC21">
      <w:pPr>
        <w:pStyle w:val="8"/>
        <w:spacing w:line="480" w:lineRule="exact"/>
        <w:ind w:firstLine="480" w:firstLineChars="200"/>
        <w:rPr>
          <w:rFonts w:hint="eastAsia" w:ascii="宋体" w:hAnsi="宋体" w:eastAsia="宋体" w:cs="宋体"/>
          <w:bCs/>
          <w:sz w:val="24"/>
        </w:rPr>
      </w:pPr>
      <w:r>
        <w:rPr>
          <w:rFonts w:hint="eastAsia" w:ascii="宋体" w:hAnsi="宋体" w:eastAsia="宋体" w:cs="宋体"/>
          <w:bCs/>
          <w:sz w:val="24"/>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eastAsia="宋体" w:cs="宋体"/>
          <w:bCs/>
          <w:sz w:val="24"/>
          <w:u w:val="single"/>
        </w:rPr>
        <w:tab/>
      </w:r>
      <w:r>
        <w:rPr>
          <w:rFonts w:hint="eastAsia" w:ascii="宋体" w:hAnsi="宋体" w:eastAsia="宋体" w:cs="宋体"/>
          <w:bCs/>
          <w:sz w:val="24"/>
        </w:rPr>
        <w:t>单位的</w:t>
      </w:r>
      <w:r>
        <w:rPr>
          <w:rFonts w:hint="eastAsia" w:ascii="宋体" w:hAnsi="宋体" w:eastAsia="宋体" w:cs="宋体"/>
          <w:bCs/>
          <w:sz w:val="24"/>
          <w:u w:val="single"/>
        </w:rPr>
        <w:tab/>
      </w:r>
      <w:r>
        <w:rPr>
          <w:rFonts w:hint="eastAsia" w:ascii="宋体" w:hAnsi="宋体" w:eastAsia="宋体" w:cs="宋体"/>
          <w:bCs/>
          <w:sz w:val="24"/>
        </w:rPr>
        <w:t>项目采购活动提供本单位制造的货物（由本单位承担工程/提供服务及供货），或者提供其他残疾人福利性单位制造的货物（不包括使用非残疾人福利性单位注册商标的货物）。 本单位对上述声明的真实性负责，如有虚假，将依法承担相应责任。</w:t>
      </w:r>
    </w:p>
    <w:p w14:paraId="59A5E4BB">
      <w:pPr>
        <w:pStyle w:val="8"/>
        <w:spacing w:line="480" w:lineRule="exact"/>
        <w:ind w:firstLine="480" w:firstLineChars="200"/>
        <w:rPr>
          <w:rFonts w:hint="eastAsia" w:ascii="宋体" w:hAnsi="宋体" w:eastAsia="宋体" w:cs="宋体"/>
          <w:bCs/>
          <w:sz w:val="24"/>
        </w:rPr>
      </w:pPr>
    </w:p>
    <w:p w14:paraId="64D79BFE">
      <w:pPr>
        <w:pStyle w:val="8"/>
        <w:spacing w:line="480" w:lineRule="exact"/>
        <w:ind w:firstLine="480" w:firstLineChars="200"/>
        <w:rPr>
          <w:rFonts w:hint="eastAsia" w:ascii="宋体" w:hAnsi="宋体" w:eastAsia="宋体" w:cs="宋体"/>
          <w:bCs/>
          <w:sz w:val="24"/>
        </w:rPr>
      </w:pPr>
    </w:p>
    <w:p w14:paraId="74C93A0D">
      <w:pPr>
        <w:pStyle w:val="8"/>
        <w:spacing w:line="480" w:lineRule="exact"/>
        <w:ind w:firstLine="480" w:firstLineChars="200"/>
        <w:rPr>
          <w:rFonts w:hint="eastAsia" w:ascii="宋体" w:hAnsi="宋体" w:eastAsia="宋体" w:cs="宋体"/>
          <w:bCs/>
          <w:sz w:val="24"/>
        </w:rPr>
      </w:pPr>
    </w:p>
    <w:p w14:paraId="3C4B6F0D">
      <w:pPr>
        <w:pStyle w:val="50"/>
        <w:spacing w:line="500" w:lineRule="exact"/>
        <w:ind w:firstLine="480" w:firstLineChars="200"/>
        <w:jc w:val="both"/>
        <w:rPr>
          <w:rFonts w:hint="eastAsia" w:ascii="宋体" w:hAnsi="宋体" w:eastAsia="宋体" w:cs="宋体"/>
          <w:sz w:val="24"/>
        </w:rPr>
      </w:pPr>
      <w:r>
        <w:rPr>
          <w:rFonts w:hint="eastAsia" w:ascii="宋体" w:hAnsi="宋体" w:eastAsia="宋体" w:cs="宋体"/>
          <w:sz w:val="24"/>
        </w:rPr>
        <w:t>供应商（盖公章）：</w:t>
      </w:r>
    </w:p>
    <w:p w14:paraId="2695F42D">
      <w:pPr>
        <w:shd w:val="clear" w:color="auto" w:fill="FFFFFF"/>
        <w:tabs>
          <w:tab w:val="left" w:pos="3780"/>
        </w:tabs>
        <w:spacing w:line="360" w:lineRule="auto"/>
        <w:ind w:firstLine="480" w:firstLineChars="200"/>
        <w:rPr>
          <w:rFonts w:hint="eastAsia" w:ascii="宋体" w:hAnsi="宋体" w:eastAsia="宋体" w:cs="宋体"/>
          <w:sz w:val="24"/>
        </w:rPr>
      </w:pPr>
      <w:r>
        <w:rPr>
          <w:rFonts w:hint="eastAsia" w:ascii="宋体" w:hAnsi="宋体" w:eastAsia="宋体" w:cs="宋体"/>
          <w:sz w:val="24"/>
        </w:rPr>
        <w:t>法定代表人（签字或盖章）：</w:t>
      </w:r>
    </w:p>
    <w:p w14:paraId="58F12237">
      <w:pPr>
        <w:shd w:val="clear" w:color="auto" w:fill="FFFFFF"/>
        <w:tabs>
          <w:tab w:val="left" w:pos="3780"/>
        </w:tabs>
        <w:spacing w:line="360" w:lineRule="auto"/>
        <w:ind w:firstLine="480" w:firstLineChars="200"/>
        <w:rPr>
          <w:rFonts w:hint="eastAsia" w:ascii="宋体" w:hAnsi="宋体" w:eastAsia="宋体" w:cs="宋体"/>
          <w:sz w:val="24"/>
        </w:rPr>
      </w:pPr>
      <w:r>
        <w:rPr>
          <w:rFonts w:hint="eastAsia" w:ascii="宋体" w:hAnsi="宋体" w:eastAsia="宋体" w:cs="宋体"/>
          <w:sz w:val="24"/>
        </w:rPr>
        <w:t>授权代理人（签字）：</w:t>
      </w:r>
    </w:p>
    <w:p w14:paraId="399CCB54">
      <w:pPr>
        <w:shd w:val="clear" w:color="auto" w:fill="FFFFFF"/>
        <w:tabs>
          <w:tab w:val="left" w:pos="3780"/>
        </w:tabs>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日期： 年  月  日</w:t>
      </w:r>
    </w:p>
    <w:p w14:paraId="38E900B8">
      <w:pPr>
        <w:pStyle w:val="8"/>
        <w:spacing w:line="480" w:lineRule="exact"/>
        <w:ind w:firstLine="480" w:firstLineChars="200"/>
        <w:rPr>
          <w:rFonts w:hint="eastAsia" w:ascii="宋体" w:hAnsi="宋体" w:eastAsia="宋体" w:cs="宋体"/>
          <w:bCs/>
          <w:sz w:val="24"/>
        </w:rPr>
      </w:pPr>
    </w:p>
    <w:p w14:paraId="7A9A6577">
      <w:pPr>
        <w:pStyle w:val="8"/>
        <w:spacing w:line="480" w:lineRule="exact"/>
        <w:ind w:firstLine="480" w:firstLineChars="200"/>
        <w:rPr>
          <w:rFonts w:hint="eastAsia" w:ascii="宋体" w:hAnsi="宋体" w:eastAsia="宋体" w:cs="宋体"/>
          <w:bCs/>
          <w:sz w:val="24"/>
        </w:rPr>
      </w:pPr>
    </w:p>
    <w:p w14:paraId="0A9BB56B">
      <w:pPr>
        <w:pStyle w:val="8"/>
        <w:spacing w:line="480" w:lineRule="exact"/>
        <w:ind w:firstLine="480" w:firstLineChars="200"/>
        <w:rPr>
          <w:rFonts w:hint="eastAsia" w:ascii="宋体" w:hAnsi="宋体" w:eastAsia="宋体" w:cs="宋体"/>
          <w:bCs/>
          <w:sz w:val="24"/>
        </w:rPr>
      </w:pPr>
    </w:p>
    <w:p w14:paraId="71BF9D06">
      <w:pPr>
        <w:pStyle w:val="8"/>
        <w:spacing w:line="480" w:lineRule="exact"/>
        <w:ind w:firstLine="480" w:firstLineChars="200"/>
        <w:rPr>
          <w:rFonts w:hint="eastAsia" w:ascii="宋体" w:hAnsi="宋体" w:eastAsia="宋体" w:cs="宋体"/>
          <w:bCs/>
          <w:sz w:val="24"/>
        </w:rPr>
      </w:pPr>
      <w:r>
        <w:rPr>
          <w:rFonts w:hint="eastAsia" w:ascii="宋体" w:hAnsi="宋体" w:eastAsia="宋体" w:cs="宋体"/>
          <w:bCs/>
          <w:sz w:val="24"/>
        </w:rPr>
        <w:t>说明：1.填写前请认真阅读《财政部 民政部 中国残疾人联合会关于促进残疾人就业政府采购政策的通知》（财库〔2017〕141 号）相关规定。</w:t>
      </w:r>
    </w:p>
    <w:p w14:paraId="4E936842">
      <w:pPr>
        <w:pStyle w:val="8"/>
        <w:spacing w:line="480" w:lineRule="exact"/>
        <w:ind w:firstLine="480" w:firstLineChars="200"/>
        <w:rPr>
          <w:rFonts w:hint="eastAsia" w:ascii="宋体" w:hAnsi="宋体" w:eastAsia="宋体" w:cs="宋体"/>
          <w:bCs/>
          <w:sz w:val="24"/>
        </w:rPr>
      </w:pPr>
      <w:r>
        <w:rPr>
          <w:rFonts w:hint="eastAsia" w:ascii="宋体" w:hAnsi="宋体" w:eastAsia="宋体" w:cs="宋体"/>
          <w:bCs/>
          <w:sz w:val="24"/>
        </w:rPr>
        <w:t xml:space="preserve"> 2.残疾人福利性单位应在本声明函后提供相关证明材料。</w:t>
      </w:r>
    </w:p>
    <w:p w14:paraId="248B1131">
      <w:pPr>
        <w:pStyle w:val="8"/>
        <w:spacing w:line="480" w:lineRule="exact"/>
        <w:ind w:firstLine="480" w:firstLineChars="200"/>
        <w:rPr>
          <w:rFonts w:hint="eastAsia" w:ascii="宋体" w:hAnsi="宋体" w:eastAsia="宋体" w:cs="宋体"/>
          <w:bCs/>
          <w:sz w:val="24"/>
        </w:rPr>
      </w:pPr>
      <w:r>
        <w:rPr>
          <w:rFonts w:hint="eastAsia" w:ascii="宋体" w:hAnsi="宋体" w:eastAsia="宋体" w:cs="宋体"/>
          <w:bCs/>
          <w:sz w:val="24"/>
        </w:rPr>
        <w:t>3.未按上述要求提供、填写的，评审时不予以考虑。</w:t>
      </w:r>
    </w:p>
    <w:p w14:paraId="6EC6F186">
      <w:pPr>
        <w:rPr>
          <w:rFonts w:hint="eastAsia" w:ascii="宋体" w:hAnsi="宋体" w:eastAsia="宋体" w:cs="宋体"/>
          <w:sz w:val="15"/>
          <w:szCs w:val="15"/>
        </w:rPr>
      </w:pPr>
    </w:p>
    <w:p w14:paraId="63D167FD">
      <w:pPr>
        <w:widowControl/>
        <w:jc w:val="center"/>
        <w:rPr>
          <w:rFonts w:hint="eastAsia" w:ascii="宋体" w:hAnsi="宋体" w:eastAsia="宋体" w:cs="宋体"/>
          <w:b/>
          <w:sz w:val="28"/>
          <w:szCs w:val="28"/>
        </w:rPr>
      </w:pPr>
      <w:r>
        <w:rPr>
          <w:rFonts w:hint="eastAsia" w:ascii="宋体" w:hAnsi="宋体" w:eastAsia="宋体" w:cs="宋体"/>
          <w:b/>
          <w:sz w:val="28"/>
          <w:szCs w:val="28"/>
        </w:rPr>
        <w:br w:type="page"/>
      </w:r>
    </w:p>
    <w:p w14:paraId="01914679">
      <w:pPr>
        <w:pStyle w:val="8"/>
        <w:rPr>
          <w:rFonts w:hint="eastAsia" w:ascii="宋体" w:hAnsi="宋体" w:eastAsia="宋体" w:cs="宋体"/>
          <w:b/>
          <w:kern w:val="2"/>
          <w:sz w:val="28"/>
          <w:szCs w:val="30"/>
          <w:lang w:val="en-US" w:eastAsia="zh-CN" w:bidi="ar-SA"/>
        </w:rPr>
      </w:pPr>
    </w:p>
    <w:p w14:paraId="48913892">
      <w:pPr>
        <w:rPr>
          <w:rFonts w:hint="eastAsia" w:ascii="宋体" w:hAnsi="宋体" w:eastAsia="宋体" w:cs="宋体"/>
          <w:b/>
          <w:kern w:val="2"/>
          <w:sz w:val="28"/>
          <w:szCs w:val="30"/>
          <w:lang w:val="en-US" w:eastAsia="zh-CN" w:bidi="ar-SA"/>
        </w:rPr>
      </w:pPr>
    </w:p>
    <w:p w14:paraId="356E8604">
      <w:pPr>
        <w:numPr>
          <w:ilvl w:val="0"/>
          <w:numId w:val="0"/>
        </w:numPr>
        <w:spacing w:line="360" w:lineRule="auto"/>
        <w:jc w:val="center"/>
        <w:rPr>
          <w:rFonts w:hint="default" w:ascii="宋体" w:hAnsi="宋体" w:eastAsia="宋体" w:cs="宋体"/>
          <w:b/>
          <w:kern w:val="2"/>
          <w:sz w:val="28"/>
          <w:szCs w:val="30"/>
          <w:lang w:val="en-US" w:eastAsia="zh-CN" w:bidi="ar-SA"/>
        </w:rPr>
      </w:pPr>
      <w:r>
        <w:rPr>
          <w:rFonts w:hint="eastAsia" w:ascii="宋体" w:hAnsi="宋体" w:eastAsia="宋体" w:cs="宋体"/>
          <w:b/>
          <w:bCs/>
          <w:kern w:val="2"/>
          <w:sz w:val="32"/>
          <w:szCs w:val="32"/>
          <w:lang w:val="en-US" w:eastAsia="zh-CN" w:bidi="ar-SA"/>
        </w:rPr>
        <w:t>2.</w:t>
      </w:r>
      <w:r>
        <w:rPr>
          <w:rFonts w:hint="eastAsia" w:ascii="宋体" w:hAnsi="宋体" w:cs="宋体"/>
          <w:b/>
          <w:bCs/>
          <w:kern w:val="2"/>
          <w:sz w:val="32"/>
          <w:szCs w:val="32"/>
          <w:lang w:val="en-US" w:eastAsia="zh-CN" w:bidi="ar-SA"/>
        </w:rPr>
        <w:t>10提供谈判保证金凭证或保函</w:t>
      </w:r>
    </w:p>
    <w:p w14:paraId="3664039A">
      <w:pPr>
        <w:numPr>
          <w:ilvl w:val="0"/>
          <w:numId w:val="0"/>
        </w:numPr>
        <w:spacing w:line="360" w:lineRule="auto"/>
        <w:jc w:val="center"/>
        <w:rPr>
          <w:rFonts w:hint="eastAsia" w:ascii="宋体" w:hAnsi="宋体" w:eastAsia="宋体" w:cs="宋体"/>
          <w:b/>
          <w:kern w:val="2"/>
          <w:sz w:val="28"/>
          <w:szCs w:val="30"/>
          <w:lang w:val="en-US" w:eastAsia="zh-CN" w:bidi="ar-SA"/>
        </w:rPr>
      </w:pPr>
    </w:p>
    <w:p w14:paraId="56D12E59">
      <w:pPr>
        <w:numPr>
          <w:ilvl w:val="0"/>
          <w:numId w:val="0"/>
        </w:numPr>
        <w:spacing w:line="360" w:lineRule="auto"/>
        <w:jc w:val="center"/>
        <w:rPr>
          <w:rFonts w:hint="eastAsia" w:ascii="宋体" w:hAnsi="宋体" w:eastAsia="宋体" w:cs="宋体"/>
          <w:b/>
          <w:kern w:val="2"/>
          <w:sz w:val="28"/>
          <w:szCs w:val="30"/>
          <w:lang w:val="en-US" w:eastAsia="zh-CN" w:bidi="ar-SA"/>
        </w:rPr>
      </w:pPr>
    </w:p>
    <w:p w14:paraId="35F66551">
      <w:pPr>
        <w:numPr>
          <w:ilvl w:val="0"/>
          <w:numId w:val="0"/>
        </w:numPr>
        <w:spacing w:line="360" w:lineRule="auto"/>
        <w:jc w:val="center"/>
        <w:rPr>
          <w:rFonts w:hint="eastAsia" w:ascii="宋体" w:hAnsi="宋体" w:eastAsia="宋体" w:cs="宋体"/>
          <w:b/>
          <w:kern w:val="2"/>
          <w:sz w:val="28"/>
          <w:szCs w:val="30"/>
          <w:lang w:val="en-US" w:eastAsia="zh-CN" w:bidi="ar-SA"/>
        </w:rPr>
      </w:pPr>
    </w:p>
    <w:p w14:paraId="3FCC9261">
      <w:pPr>
        <w:numPr>
          <w:ilvl w:val="0"/>
          <w:numId w:val="0"/>
        </w:numPr>
        <w:spacing w:line="360" w:lineRule="auto"/>
        <w:jc w:val="center"/>
        <w:rPr>
          <w:rFonts w:hint="eastAsia" w:ascii="宋体" w:hAnsi="宋体" w:eastAsia="宋体" w:cs="宋体"/>
          <w:b/>
          <w:kern w:val="2"/>
          <w:sz w:val="28"/>
          <w:szCs w:val="30"/>
          <w:lang w:val="en-US" w:eastAsia="zh-CN" w:bidi="ar-SA"/>
        </w:rPr>
      </w:pPr>
    </w:p>
    <w:p w14:paraId="30544372">
      <w:pPr>
        <w:numPr>
          <w:ilvl w:val="0"/>
          <w:numId w:val="0"/>
        </w:numPr>
        <w:spacing w:line="360" w:lineRule="auto"/>
        <w:jc w:val="center"/>
        <w:rPr>
          <w:rFonts w:hint="eastAsia" w:ascii="宋体" w:hAnsi="宋体" w:eastAsia="宋体" w:cs="宋体"/>
          <w:b/>
          <w:kern w:val="2"/>
          <w:sz w:val="28"/>
          <w:szCs w:val="30"/>
          <w:lang w:val="en-US" w:eastAsia="zh-CN" w:bidi="ar-SA"/>
        </w:rPr>
      </w:pPr>
    </w:p>
    <w:p w14:paraId="62149661">
      <w:pPr>
        <w:numPr>
          <w:ilvl w:val="0"/>
          <w:numId w:val="0"/>
        </w:numPr>
        <w:spacing w:line="360" w:lineRule="auto"/>
        <w:jc w:val="center"/>
        <w:rPr>
          <w:rFonts w:hint="eastAsia" w:ascii="宋体" w:hAnsi="宋体" w:eastAsia="宋体" w:cs="宋体"/>
          <w:b/>
          <w:kern w:val="2"/>
          <w:sz w:val="28"/>
          <w:szCs w:val="30"/>
          <w:lang w:val="en-US" w:eastAsia="zh-CN" w:bidi="ar-SA"/>
        </w:rPr>
      </w:pPr>
    </w:p>
    <w:p w14:paraId="3704AD38">
      <w:pPr>
        <w:pStyle w:val="8"/>
        <w:rPr>
          <w:rFonts w:hint="eastAsia" w:ascii="宋体" w:hAnsi="宋体" w:eastAsia="宋体" w:cs="宋体"/>
          <w:b/>
          <w:kern w:val="2"/>
          <w:sz w:val="28"/>
          <w:szCs w:val="30"/>
          <w:lang w:val="en-US" w:eastAsia="zh-CN" w:bidi="ar-SA"/>
        </w:rPr>
      </w:pPr>
    </w:p>
    <w:p w14:paraId="3E51A46E">
      <w:pPr>
        <w:pStyle w:val="9"/>
        <w:rPr>
          <w:rFonts w:hint="eastAsia" w:ascii="宋体" w:hAnsi="宋体" w:eastAsia="宋体" w:cs="宋体"/>
          <w:b/>
          <w:kern w:val="2"/>
          <w:sz w:val="28"/>
          <w:szCs w:val="30"/>
          <w:lang w:val="en-US" w:eastAsia="zh-CN" w:bidi="ar-SA"/>
        </w:rPr>
      </w:pPr>
    </w:p>
    <w:p w14:paraId="314356A0">
      <w:pPr>
        <w:rPr>
          <w:rFonts w:hint="eastAsia" w:ascii="宋体" w:hAnsi="宋体" w:eastAsia="宋体" w:cs="宋体"/>
          <w:b/>
          <w:kern w:val="2"/>
          <w:sz w:val="28"/>
          <w:szCs w:val="30"/>
          <w:lang w:val="en-US" w:eastAsia="zh-CN" w:bidi="ar-SA"/>
        </w:rPr>
      </w:pPr>
    </w:p>
    <w:p w14:paraId="2D38CB35">
      <w:pPr>
        <w:pStyle w:val="8"/>
        <w:rPr>
          <w:rFonts w:hint="eastAsia" w:ascii="宋体" w:hAnsi="宋体" w:eastAsia="宋体" w:cs="宋体"/>
          <w:b/>
          <w:kern w:val="2"/>
          <w:sz w:val="28"/>
          <w:szCs w:val="30"/>
          <w:lang w:val="en-US" w:eastAsia="zh-CN" w:bidi="ar-SA"/>
        </w:rPr>
      </w:pPr>
    </w:p>
    <w:p w14:paraId="02ABD452">
      <w:pPr>
        <w:pStyle w:val="9"/>
        <w:rPr>
          <w:rFonts w:hint="eastAsia" w:ascii="宋体" w:hAnsi="宋体" w:eastAsia="宋体" w:cs="宋体"/>
          <w:b/>
          <w:kern w:val="2"/>
          <w:sz w:val="28"/>
          <w:szCs w:val="30"/>
          <w:lang w:val="en-US" w:eastAsia="zh-CN" w:bidi="ar-SA"/>
        </w:rPr>
      </w:pPr>
    </w:p>
    <w:p w14:paraId="73BF4DB5">
      <w:pPr>
        <w:rPr>
          <w:rFonts w:hint="eastAsia" w:ascii="宋体" w:hAnsi="宋体" w:eastAsia="宋体" w:cs="宋体"/>
          <w:b/>
          <w:kern w:val="2"/>
          <w:sz w:val="28"/>
          <w:szCs w:val="30"/>
          <w:lang w:val="en-US" w:eastAsia="zh-CN" w:bidi="ar-SA"/>
        </w:rPr>
      </w:pPr>
    </w:p>
    <w:p w14:paraId="296FF4DF">
      <w:pPr>
        <w:pStyle w:val="8"/>
        <w:rPr>
          <w:rFonts w:hint="eastAsia" w:ascii="宋体" w:hAnsi="宋体" w:eastAsia="宋体" w:cs="宋体"/>
          <w:b/>
          <w:kern w:val="2"/>
          <w:sz w:val="28"/>
          <w:szCs w:val="30"/>
          <w:lang w:val="en-US" w:eastAsia="zh-CN" w:bidi="ar-SA"/>
        </w:rPr>
      </w:pPr>
    </w:p>
    <w:p w14:paraId="188BD4B6">
      <w:pPr>
        <w:pStyle w:val="9"/>
        <w:rPr>
          <w:rFonts w:hint="eastAsia" w:ascii="宋体" w:hAnsi="宋体" w:eastAsia="宋体" w:cs="宋体"/>
          <w:b/>
          <w:kern w:val="2"/>
          <w:sz w:val="28"/>
          <w:szCs w:val="30"/>
          <w:lang w:val="en-US" w:eastAsia="zh-CN" w:bidi="ar-SA"/>
        </w:rPr>
      </w:pPr>
    </w:p>
    <w:p w14:paraId="72EC1ECF">
      <w:pPr>
        <w:rPr>
          <w:rFonts w:hint="eastAsia" w:ascii="宋体" w:hAnsi="宋体" w:eastAsia="宋体" w:cs="宋体"/>
          <w:b/>
          <w:kern w:val="2"/>
          <w:sz w:val="28"/>
          <w:szCs w:val="30"/>
          <w:lang w:val="en-US" w:eastAsia="zh-CN" w:bidi="ar-SA"/>
        </w:rPr>
      </w:pPr>
    </w:p>
    <w:p w14:paraId="1885D450">
      <w:pPr>
        <w:pStyle w:val="8"/>
        <w:rPr>
          <w:rFonts w:hint="eastAsia" w:ascii="宋体" w:hAnsi="宋体" w:eastAsia="宋体" w:cs="宋体"/>
          <w:b/>
          <w:kern w:val="2"/>
          <w:sz w:val="28"/>
          <w:szCs w:val="30"/>
          <w:lang w:val="en-US" w:eastAsia="zh-CN" w:bidi="ar-SA"/>
        </w:rPr>
      </w:pPr>
    </w:p>
    <w:p w14:paraId="4DEB6CD8">
      <w:pPr>
        <w:pStyle w:val="9"/>
        <w:rPr>
          <w:rFonts w:hint="eastAsia" w:ascii="宋体" w:hAnsi="宋体" w:eastAsia="宋体" w:cs="宋体"/>
          <w:b/>
          <w:kern w:val="2"/>
          <w:sz w:val="28"/>
          <w:szCs w:val="30"/>
          <w:lang w:val="en-US" w:eastAsia="zh-CN" w:bidi="ar-SA"/>
        </w:rPr>
      </w:pPr>
    </w:p>
    <w:p w14:paraId="6BBBF24E">
      <w:pPr>
        <w:rPr>
          <w:rFonts w:hint="eastAsia" w:ascii="宋体" w:hAnsi="宋体" w:eastAsia="宋体" w:cs="宋体"/>
          <w:b/>
          <w:kern w:val="2"/>
          <w:sz w:val="28"/>
          <w:szCs w:val="30"/>
          <w:lang w:val="en-US" w:eastAsia="zh-CN" w:bidi="ar-SA"/>
        </w:rPr>
      </w:pPr>
    </w:p>
    <w:p w14:paraId="5072291B">
      <w:pPr>
        <w:pStyle w:val="8"/>
        <w:rPr>
          <w:rFonts w:hint="eastAsia" w:ascii="宋体" w:hAnsi="宋体" w:eastAsia="宋体" w:cs="宋体"/>
          <w:b/>
          <w:kern w:val="2"/>
          <w:sz w:val="28"/>
          <w:szCs w:val="30"/>
          <w:lang w:val="en-US" w:eastAsia="zh-CN" w:bidi="ar-SA"/>
        </w:rPr>
      </w:pPr>
    </w:p>
    <w:p w14:paraId="7D304844">
      <w:pPr>
        <w:pStyle w:val="9"/>
        <w:rPr>
          <w:rFonts w:hint="eastAsia" w:ascii="宋体" w:hAnsi="宋体" w:eastAsia="宋体" w:cs="宋体"/>
          <w:b/>
          <w:kern w:val="2"/>
          <w:sz w:val="28"/>
          <w:szCs w:val="30"/>
          <w:lang w:val="en-US" w:eastAsia="zh-CN" w:bidi="ar-SA"/>
        </w:rPr>
      </w:pPr>
    </w:p>
    <w:p w14:paraId="3A8C7FF5">
      <w:pPr>
        <w:rPr>
          <w:rFonts w:hint="eastAsia" w:ascii="宋体" w:hAnsi="宋体" w:eastAsia="宋体" w:cs="宋体"/>
          <w:b/>
          <w:kern w:val="2"/>
          <w:sz w:val="28"/>
          <w:szCs w:val="30"/>
          <w:lang w:val="en-US" w:eastAsia="zh-CN" w:bidi="ar-SA"/>
        </w:rPr>
      </w:pPr>
    </w:p>
    <w:p w14:paraId="3F681229">
      <w:pPr>
        <w:pStyle w:val="8"/>
        <w:rPr>
          <w:rFonts w:hint="eastAsia"/>
          <w:lang w:val="en-US" w:eastAsia="zh-CN"/>
        </w:rPr>
      </w:pPr>
    </w:p>
    <w:p w14:paraId="3CFC802E">
      <w:pPr>
        <w:numPr>
          <w:ilvl w:val="0"/>
          <w:numId w:val="0"/>
        </w:numPr>
        <w:spacing w:line="360" w:lineRule="auto"/>
        <w:jc w:val="center"/>
        <w:rPr>
          <w:rFonts w:hint="eastAsia" w:ascii="宋体" w:hAnsi="宋体" w:eastAsia="宋体" w:cs="宋体"/>
          <w:b/>
          <w:kern w:val="2"/>
          <w:sz w:val="28"/>
          <w:szCs w:val="30"/>
          <w:lang w:val="en-US" w:eastAsia="zh-CN" w:bidi="ar-SA"/>
        </w:rPr>
      </w:pPr>
    </w:p>
    <w:p w14:paraId="5B7BBC68">
      <w:pPr>
        <w:numPr>
          <w:ilvl w:val="0"/>
          <w:numId w:val="0"/>
        </w:numPr>
        <w:spacing w:line="360" w:lineRule="auto"/>
        <w:jc w:val="center"/>
        <w:rPr>
          <w:rFonts w:hint="eastAsia" w:ascii="宋体" w:hAnsi="宋体" w:eastAsia="宋体" w:cs="宋体"/>
          <w:b/>
          <w:kern w:val="2"/>
          <w:sz w:val="28"/>
          <w:szCs w:val="30"/>
          <w:lang w:val="en-US" w:eastAsia="zh-CN" w:bidi="ar-SA"/>
        </w:rPr>
      </w:pPr>
    </w:p>
    <w:p w14:paraId="0456AE79">
      <w:pPr>
        <w:pStyle w:val="8"/>
        <w:rPr>
          <w:rFonts w:hint="eastAsia" w:ascii="宋体" w:hAnsi="宋体" w:eastAsia="宋体" w:cs="宋体"/>
          <w:b/>
          <w:kern w:val="2"/>
          <w:sz w:val="28"/>
          <w:szCs w:val="30"/>
          <w:lang w:val="en-US" w:eastAsia="zh-CN" w:bidi="ar-SA"/>
        </w:rPr>
      </w:pPr>
    </w:p>
    <w:p w14:paraId="500717AA">
      <w:pPr>
        <w:pStyle w:val="9"/>
        <w:rPr>
          <w:rFonts w:hint="eastAsia"/>
          <w:lang w:val="en-US" w:eastAsia="zh-CN"/>
        </w:rPr>
      </w:pPr>
    </w:p>
    <w:p w14:paraId="4D14FF1B">
      <w:pPr>
        <w:numPr>
          <w:ilvl w:val="0"/>
          <w:numId w:val="0"/>
        </w:numPr>
        <w:spacing w:line="360" w:lineRule="auto"/>
        <w:jc w:val="center"/>
        <w:rPr>
          <w:rFonts w:hint="eastAsia" w:ascii="宋体" w:hAnsi="宋体" w:eastAsia="宋体" w:cs="宋体"/>
          <w:b/>
          <w:kern w:val="2"/>
          <w:sz w:val="28"/>
          <w:szCs w:val="30"/>
          <w:lang w:val="en-US" w:eastAsia="zh-CN" w:bidi="ar-SA"/>
        </w:rPr>
      </w:pPr>
    </w:p>
    <w:p w14:paraId="7823572B">
      <w:pPr>
        <w:numPr>
          <w:ilvl w:val="0"/>
          <w:numId w:val="0"/>
        </w:numPr>
        <w:spacing w:line="360" w:lineRule="auto"/>
        <w:jc w:val="center"/>
        <w:rPr>
          <w:rFonts w:hint="eastAsia" w:ascii="宋体" w:hAnsi="宋体" w:eastAsia="宋体" w:cs="宋体"/>
          <w:b/>
          <w:kern w:val="2"/>
          <w:sz w:val="28"/>
          <w:szCs w:val="30"/>
          <w:lang w:val="en-US" w:eastAsia="zh-CN" w:bidi="ar-SA"/>
        </w:rPr>
      </w:pPr>
    </w:p>
    <w:p w14:paraId="31D487F3">
      <w:pPr>
        <w:numPr>
          <w:ilvl w:val="0"/>
          <w:numId w:val="0"/>
        </w:numPr>
        <w:spacing w:line="360" w:lineRule="auto"/>
        <w:jc w:val="center"/>
        <w:rPr>
          <w:rFonts w:hint="eastAsia" w:ascii="宋体" w:hAnsi="宋体" w:eastAsia="宋体" w:cs="宋体"/>
          <w:b/>
          <w:kern w:val="2"/>
          <w:sz w:val="28"/>
          <w:szCs w:val="30"/>
          <w:lang w:val="en-US" w:eastAsia="zh-CN" w:bidi="ar-SA"/>
        </w:rPr>
      </w:pPr>
    </w:p>
    <w:p w14:paraId="17EF484F">
      <w:pPr>
        <w:numPr>
          <w:ilvl w:val="0"/>
          <w:numId w:val="0"/>
        </w:numPr>
        <w:spacing w:line="360" w:lineRule="auto"/>
        <w:jc w:val="center"/>
        <w:rPr>
          <w:rFonts w:hint="eastAsia" w:ascii="宋体" w:hAnsi="宋体" w:eastAsia="宋体" w:cs="宋体"/>
          <w:b/>
          <w:kern w:val="2"/>
          <w:sz w:val="28"/>
          <w:szCs w:val="30"/>
          <w:lang w:val="en-US" w:eastAsia="zh-CN" w:bidi="ar-SA"/>
        </w:rPr>
      </w:pPr>
    </w:p>
    <w:p w14:paraId="25ADBA34">
      <w:pPr>
        <w:numPr>
          <w:ilvl w:val="0"/>
          <w:numId w:val="0"/>
        </w:numPr>
        <w:spacing w:line="360" w:lineRule="auto"/>
        <w:jc w:val="center"/>
        <w:rPr>
          <w:rFonts w:hint="eastAsia" w:ascii="宋体" w:hAnsi="宋体" w:eastAsia="宋体" w:cs="宋体"/>
          <w:b/>
          <w:kern w:val="2"/>
          <w:sz w:val="28"/>
          <w:szCs w:val="30"/>
          <w:lang w:val="en-US" w:eastAsia="zh-CN" w:bidi="ar-SA"/>
        </w:rPr>
      </w:pPr>
    </w:p>
    <w:p w14:paraId="136B9A1A">
      <w:pPr>
        <w:numPr>
          <w:ilvl w:val="0"/>
          <w:numId w:val="0"/>
        </w:numPr>
        <w:spacing w:line="360" w:lineRule="auto"/>
        <w:jc w:val="center"/>
        <w:rPr>
          <w:rFonts w:hint="eastAsia" w:ascii="宋体" w:hAnsi="宋体" w:eastAsia="宋体" w:cs="宋体"/>
          <w:b/>
          <w:kern w:val="2"/>
          <w:sz w:val="28"/>
          <w:szCs w:val="30"/>
          <w:lang w:val="en-US" w:eastAsia="zh-CN" w:bidi="ar-SA"/>
        </w:rPr>
      </w:pPr>
    </w:p>
    <w:p w14:paraId="25AD0BAC">
      <w:pPr>
        <w:numPr>
          <w:ilvl w:val="0"/>
          <w:numId w:val="0"/>
        </w:numPr>
        <w:spacing w:line="360" w:lineRule="auto"/>
        <w:jc w:val="both"/>
        <w:rPr>
          <w:rFonts w:hint="eastAsia" w:ascii="宋体" w:hAnsi="宋体" w:eastAsia="宋体" w:cs="宋体"/>
          <w:b/>
          <w:kern w:val="2"/>
          <w:sz w:val="28"/>
          <w:szCs w:val="30"/>
          <w:lang w:val="en-US" w:eastAsia="zh-CN" w:bidi="ar-SA"/>
        </w:rPr>
      </w:pPr>
    </w:p>
    <w:p w14:paraId="17031C18">
      <w:pPr>
        <w:numPr>
          <w:ilvl w:val="0"/>
          <w:numId w:val="0"/>
        </w:numPr>
        <w:spacing w:line="360" w:lineRule="auto"/>
        <w:jc w:val="center"/>
        <w:rPr>
          <w:rFonts w:hint="eastAsia" w:ascii="宋体" w:hAnsi="宋体" w:eastAsia="宋体" w:cs="宋体"/>
          <w:b/>
          <w:sz w:val="28"/>
          <w:szCs w:val="30"/>
          <w:lang w:eastAsia="zh-CN"/>
        </w:rPr>
      </w:pPr>
      <w:r>
        <w:rPr>
          <w:rFonts w:hint="eastAsia" w:ascii="宋体" w:hAnsi="宋体" w:eastAsia="宋体" w:cs="宋体"/>
          <w:b/>
          <w:kern w:val="2"/>
          <w:sz w:val="28"/>
          <w:szCs w:val="30"/>
          <w:lang w:val="en-US" w:eastAsia="zh-CN" w:bidi="ar-SA"/>
        </w:rPr>
        <w:t>三、</w:t>
      </w:r>
      <w:r>
        <w:rPr>
          <w:rFonts w:hint="eastAsia" w:ascii="宋体" w:hAnsi="宋体" w:eastAsia="宋体" w:cs="宋体"/>
          <w:b/>
          <w:sz w:val="28"/>
          <w:szCs w:val="30"/>
          <w:lang w:eastAsia="zh-CN"/>
        </w:rPr>
        <w:t>商务技术文件</w:t>
      </w:r>
    </w:p>
    <w:p w14:paraId="4CA06AFF">
      <w:pPr>
        <w:numPr>
          <w:ilvl w:val="0"/>
          <w:numId w:val="0"/>
        </w:numPr>
        <w:spacing w:line="360" w:lineRule="auto"/>
        <w:jc w:val="center"/>
        <w:rPr>
          <w:rFonts w:hint="default" w:ascii="宋体" w:hAnsi="宋体" w:eastAsia="宋体" w:cs="宋体"/>
          <w:b w:val="0"/>
          <w:bCs/>
          <w:sz w:val="24"/>
          <w:szCs w:val="28"/>
          <w:lang w:val="en-US" w:eastAsia="zh-CN"/>
        </w:rPr>
      </w:pPr>
      <w:r>
        <w:rPr>
          <w:rFonts w:hint="eastAsia" w:ascii="宋体" w:hAnsi="宋体" w:eastAsia="宋体" w:cs="宋体"/>
          <w:b w:val="0"/>
          <w:bCs/>
          <w:sz w:val="24"/>
          <w:szCs w:val="28"/>
          <w:lang w:val="en-US" w:eastAsia="zh-CN"/>
        </w:rPr>
        <w:t>3.1谈判响应函</w:t>
      </w:r>
    </w:p>
    <w:p w14:paraId="5F15BEA9">
      <w:pPr>
        <w:spacing w:line="360" w:lineRule="auto"/>
        <w:rPr>
          <w:rFonts w:hint="eastAsia"/>
          <w:sz w:val="24"/>
          <w:szCs w:val="24"/>
          <w:lang w:eastAsia="zh-CN"/>
        </w:rPr>
      </w:pPr>
      <w:r>
        <w:rPr>
          <w:rFonts w:hint="eastAsia"/>
          <w:sz w:val="24"/>
          <w:szCs w:val="24"/>
        </w:rPr>
        <w:t>致：</w:t>
      </w:r>
      <w:r>
        <w:rPr>
          <w:rFonts w:hint="eastAsia"/>
          <w:sz w:val="24"/>
          <w:szCs w:val="24"/>
          <w:lang w:val="en-US" w:eastAsia="zh-CN"/>
        </w:rPr>
        <w:t xml:space="preserve"> </w:t>
      </w:r>
    </w:p>
    <w:p w14:paraId="7FEEFBEC">
      <w:pPr>
        <w:spacing w:line="360" w:lineRule="auto"/>
        <w:ind w:firstLine="480" w:firstLineChars="200"/>
        <w:rPr>
          <w:rFonts w:hint="eastAsia"/>
          <w:sz w:val="24"/>
          <w:szCs w:val="24"/>
        </w:rPr>
      </w:pPr>
      <w:r>
        <w:rPr>
          <w:rFonts w:hint="eastAsia"/>
          <w:sz w:val="24"/>
          <w:szCs w:val="24"/>
        </w:rPr>
        <w:t>我方确认收到贵方</w:t>
      </w:r>
      <w:r>
        <w:rPr>
          <w:rFonts w:hint="eastAsia"/>
          <w:sz w:val="24"/>
          <w:szCs w:val="24"/>
          <w:u w:val="single"/>
          <w:lang w:val="en-US" w:eastAsia="zh-CN"/>
        </w:rPr>
        <w:t xml:space="preserve">               </w:t>
      </w:r>
      <w:r>
        <w:rPr>
          <w:rFonts w:hint="eastAsia"/>
          <w:sz w:val="24"/>
          <w:szCs w:val="24"/>
          <w:lang w:eastAsia="zh-CN"/>
        </w:rPr>
        <w:t>谈判</w:t>
      </w:r>
      <w:r>
        <w:rPr>
          <w:rFonts w:hint="eastAsia"/>
          <w:sz w:val="24"/>
          <w:szCs w:val="24"/>
        </w:rPr>
        <w:t>文件（项目编号：</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rPr>
        <w:t xml:space="preserve"> </w:t>
      </w:r>
      <w:r>
        <w:rPr>
          <w:rFonts w:hint="eastAsia"/>
          <w:sz w:val="24"/>
          <w:szCs w:val="24"/>
        </w:rPr>
        <w:t>） ，</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(供应商名称、地址)</w:t>
      </w:r>
      <w:r>
        <w:rPr>
          <w:rFonts w:hint="eastAsia"/>
          <w:sz w:val="24"/>
          <w:szCs w:val="24"/>
        </w:rPr>
        <w:t>作为供应商已正式授权</w:t>
      </w:r>
      <w:r>
        <w:rPr>
          <w:rFonts w:hint="eastAsia"/>
          <w:sz w:val="24"/>
          <w:szCs w:val="24"/>
          <w:u w:val="single"/>
          <w:lang w:val="en-US" w:eastAsia="zh-CN"/>
        </w:rPr>
        <w:t xml:space="preserve">           </w:t>
      </w:r>
      <w:r>
        <w:rPr>
          <w:rFonts w:hint="eastAsia"/>
          <w:sz w:val="24"/>
          <w:szCs w:val="24"/>
        </w:rPr>
        <w:t>(被供应商授权代表全名、职务)为我方签名代表，签名代表在此声明并同意：</w:t>
      </w:r>
    </w:p>
    <w:p w14:paraId="03B32882">
      <w:pPr>
        <w:spacing w:line="360" w:lineRule="auto"/>
        <w:rPr>
          <w:rFonts w:hint="eastAsia"/>
          <w:sz w:val="24"/>
          <w:szCs w:val="24"/>
        </w:rPr>
      </w:pPr>
      <w:r>
        <w:rPr>
          <w:rFonts w:hint="eastAsia"/>
          <w:sz w:val="24"/>
          <w:szCs w:val="24"/>
        </w:rPr>
        <w:t>1.我们愿意遵守</w:t>
      </w:r>
      <w:r>
        <w:rPr>
          <w:rFonts w:hint="eastAsia"/>
          <w:sz w:val="24"/>
          <w:szCs w:val="24"/>
          <w:lang w:eastAsia="zh-CN"/>
        </w:rPr>
        <w:t>谈判</w:t>
      </w:r>
      <w:r>
        <w:rPr>
          <w:rFonts w:hint="eastAsia"/>
          <w:sz w:val="24"/>
          <w:szCs w:val="24"/>
        </w:rPr>
        <w:t>文件的各项规定， 自愿参加</w:t>
      </w:r>
      <w:r>
        <w:rPr>
          <w:rFonts w:hint="eastAsia"/>
          <w:sz w:val="24"/>
          <w:szCs w:val="24"/>
          <w:lang w:eastAsia="zh-CN"/>
        </w:rPr>
        <w:t>谈判</w:t>
      </w:r>
      <w:r>
        <w:rPr>
          <w:rFonts w:hint="eastAsia"/>
          <w:sz w:val="24"/>
          <w:szCs w:val="24"/>
        </w:rPr>
        <w:t>，并已清楚</w:t>
      </w:r>
      <w:r>
        <w:rPr>
          <w:rFonts w:hint="eastAsia"/>
          <w:sz w:val="24"/>
          <w:szCs w:val="24"/>
          <w:lang w:eastAsia="zh-CN"/>
        </w:rPr>
        <w:t>谈判</w:t>
      </w:r>
      <w:r>
        <w:rPr>
          <w:rFonts w:hint="eastAsia"/>
          <w:sz w:val="24"/>
          <w:szCs w:val="24"/>
        </w:rPr>
        <w:t>文件的要求及有关文件规定，并严格按照</w:t>
      </w:r>
      <w:r>
        <w:rPr>
          <w:rFonts w:hint="eastAsia"/>
          <w:sz w:val="24"/>
          <w:szCs w:val="24"/>
          <w:lang w:eastAsia="zh-CN"/>
        </w:rPr>
        <w:t>谈判</w:t>
      </w:r>
      <w:r>
        <w:rPr>
          <w:rFonts w:hint="eastAsia"/>
          <w:sz w:val="24"/>
          <w:szCs w:val="24"/>
        </w:rPr>
        <w:t>文件的规定履行全部责任和义务。</w:t>
      </w:r>
    </w:p>
    <w:p w14:paraId="533D25D2">
      <w:pPr>
        <w:spacing w:line="360" w:lineRule="auto"/>
        <w:rPr>
          <w:rFonts w:hint="eastAsia"/>
          <w:sz w:val="24"/>
          <w:szCs w:val="24"/>
        </w:rPr>
      </w:pPr>
      <w:r>
        <w:rPr>
          <w:rFonts w:hint="eastAsia"/>
          <w:sz w:val="24"/>
          <w:szCs w:val="24"/>
        </w:rPr>
        <w:t>2.我们同意本响应文件自</w:t>
      </w:r>
      <w:r>
        <w:rPr>
          <w:rFonts w:hint="eastAsia"/>
          <w:sz w:val="24"/>
          <w:szCs w:val="24"/>
          <w:lang w:eastAsia="zh-CN"/>
        </w:rPr>
        <w:t>谈判</w:t>
      </w:r>
      <w:r>
        <w:rPr>
          <w:rFonts w:hint="eastAsia"/>
          <w:sz w:val="24"/>
          <w:szCs w:val="24"/>
        </w:rPr>
        <w:t>截止之日起</w:t>
      </w:r>
      <w:r>
        <w:rPr>
          <w:rFonts w:hint="eastAsia"/>
          <w:sz w:val="24"/>
          <w:szCs w:val="24"/>
          <w:u w:val="single"/>
        </w:rPr>
        <w:t xml:space="preserve"> 90 </w:t>
      </w:r>
      <w:r>
        <w:rPr>
          <w:rFonts w:hint="eastAsia"/>
          <w:sz w:val="24"/>
          <w:szCs w:val="24"/>
        </w:rPr>
        <w:t>天内有效。如果我们的响应文件被接受， 则直至合同生效时止，本响应文件始终有效并不撤回已递交的响应文件。</w:t>
      </w:r>
    </w:p>
    <w:p w14:paraId="6A114609">
      <w:pPr>
        <w:spacing w:line="360" w:lineRule="auto"/>
        <w:rPr>
          <w:rFonts w:hint="eastAsia"/>
          <w:sz w:val="24"/>
          <w:szCs w:val="24"/>
        </w:rPr>
      </w:pPr>
      <w:r>
        <w:rPr>
          <w:rFonts w:hint="eastAsia"/>
          <w:sz w:val="24"/>
          <w:szCs w:val="24"/>
        </w:rPr>
        <w:t>3.我们已经详细地阅读并完全明白了全部</w:t>
      </w:r>
      <w:r>
        <w:rPr>
          <w:rFonts w:hint="eastAsia"/>
          <w:sz w:val="24"/>
          <w:szCs w:val="24"/>
          <w:lang w:eastAsia="zh-CN"/>
        </w:rPr>
        <w:t>谈判</w:t>
      </w:r>
      <w:r>
        <w:rPr>
          <w:rFonts w:hint="eastAsia"/>
          <w:sz w:val="24"/>
          <w:szCs w:val="24"/>
        </w:rPr>
        <w:t>文件及附件， 包括澄清（如有） 及参考文件， 我们完全理解本</w:t>
      </w:r>
      <w:r>
        <w:rPr>
          <w:rFonts w:hint="eastAsia"/>
          <w:sz w:val="24"/>
          <w:szCs w:val="24"/>
          <w:lang w:eastAsia="zh-CN"/>
        </w:rPr>
        <w:t>谈判</w:t>
      </w:r>
      <w:r>
        <w:rPr>
          <w:rFonts w:hint="eastAsia"/>
          <w:sz w:val="24"/>
          <w:szCs w:val="24"/>
        </w:rPr>
        <w:t>文件的要求， 我们同意放弃对</w:t>
      </w:r>
      <w:r>
        <w:rPr>
          <w:rFonts w:hint="eastAsia"/>
          <w:sz w:val="24"/>
          <w:szCs w:val="24"/>
          <w:lang w:eastAsia="zh-CN"/>
        </w:rPr>
        <w:t>谈判</w:t>
      </w:r>
      <w:r>
        <w:rPr>
          <w:rFonts w:hint="eastAsia"/>
          <w:sz w:val="24"/>
          <w:szCs w:val="24"/>
        </w:rPr>
        <w:t>文件提出不明或误解的一切权力。</w:t>
      </w:r>
    </w:p>
    <w:p w14:paraId="3F3D9D3A">
      <w:pPr>
        <w:spacing w:line="360" w:lineRule="auto"/>
        <w:rPr>
          <w:rFonts w:hint="eastAsia"/>
          <w:sz w:val="24"/>
          <w:szCs w:val="24"/>
        </w:rPr>
      </w:pPr>
      <w:r>
        <w:rPr>
          <w:rFonts w:hint="eastAsia"/>
          <w:sz w:val="24"/>
          <w:szCs w:val="24"/>
        </w:rPr>
        <w:t>4.我们同意提供采购人、采购代理机构及</w:t>
      </w:r>
      <w:r>
        <w:rPr>
          <w:rFonts w:hint="eastAsia"/>
          <w:sz w:val="24"/>
          <w:szCs w:val="24"/>
          <w:lang w:eastAsia="zh-CN"/>
        </w:rPr>
        <w:t>谈判</w:t>
      </w:r>
      <w:r>
        <w:rPr>
          <w:rFonts w:hint="eastAsia"/>
          <w:sz w:val="24"/>
          <w:szCs w:val="24"/>
        </w:rPr>
        <w:t>小组要求的有关</w:t>
      </w:r>
      <w:r>
        <w:rPr>
          <w:rFonts w:hint="eastAsia"/>
          <w:sz w:val="24"/>
          <w:szCs w:val="24"/>
          <w:lang w:eastAsia="zh-CN"/>
        </w:rPr>
        <w:t>谈判</w:t>
      </w:r>
      <w:r>
        <w:rPr>
          <w:rFonts w:hint="eastAsia"/>
          <w:sz w:val="24"/>
          <w:szCs w:val="24"/>
        </w:rPr>
        <w:t>的一切据或资料。</w:t>
      </w:r>
    </w:p>
    <w:p w14:paraId="57C278DF">
      <w:pPr>
        <w:spacing w:line="360" w:lineRule="auto"/>
        <w:rPr>
          <w:rFonts w:hint="eastAsia"/>
          <w:sz w:val="24"/>
          <w:szCs w:val="24"/>
        </w:rPr>
      </w:pPr>
      <w:r>
        <w:rPr>
          <w:rFonts w:hint="eastAsia"/>
          <w:sz w:val="24"/>
          <w:szCs w:val="24"/>
        </w:rPr>
        <w:t>5.我们理解采购人、采购代理机构及</w:t>
      </w:r>
      <w:r>
        <w:rPr>
          <w:rFonts w:hint="eastAsia"/>
          <w:sz w:val="24"/>
          <w:szCs w:val="24"/>
          <w:lang w:eastAsia="zh-CN"/>
        </w:rPr>
        <w:t>谈判</w:t>
      </w:r>
      <w:r>
        <w:rPr>
          <w:rFonts w:hint="eastAsia"/>
          <w:sz w:val="24"/>
          <w:szCs w:val="24"/>
        </w:rPr>
        <w:t>小组与</w:t>
      </w:r>
      <w:r>
        <w:rPr>
          <w:rFonts w:hint="eastAsia"/>
          <w:sz w:val="24"/>
          <w:szCs w:val="24"/>
          <w:lang w:eastAsia="zh-CN"/>
        </w:rPr>
        <w:t>谈判</w:t>
      </w:r>
      <w:r>
        <w:rPr>
          <w:rFonts w:hint="eastAsia"/>
          <w:sz w:val="24"/>
          <w:szCs w:val="24"/>
        </w:rPr>
        <w:t>小组并无义务必须接受最低报价的</w:t>
      </w:r>
      <w:r>
        <w:rPr>
          <w:rFonts w:hint="eastAsia"/>
          <w:sz w:val="24"/>
          <w:szCs w:val="24"/>
          <w:lang w:eastAsia="zh-CN"/>
        </w:rPr>
        <w:t>谈判</w:t>
      </w:r>
      <w:r>
        <w:rPr>
          <w:rFonts w:hint="eastAsia"/>
          <w:sz w:val="24"/>
          <w:szCs w:val="24"/>
        </w:rPr>
        <w:t>或其它任何</w:t>
      </w:r>
      <w:r>
        <w:rPr>
          <w:rFonts w:hint="eastAsia"/>
          <w:sz w:val="24"/>
          <w:szCs w:val="24"/>
          <w:lang w:val="en-US" w:eastAsia="zh-CN"/>
        </w:rPr>
        <w:t>谈判响应</w:t>
      </w:r>
      <w:r>
        <w:rPr>
          <w:rFonts w:hint="eastAsia"/>
          <w:sz w:val="24"/>
          <w:szCs w:val="24"/>
        </w:rPr>
        <w:t>，完全理解采购代理机构拒绝迟到的任何</w:t>
      </w:r>
      <w:r>
        <w:rPr>
          <w:rFonts w:hint="eastAsia"/>
          <w:sz w:val="24"/>
          <w:szCs w:val="24"/>
          <w:lang w:eastAsia="zh-CN"/>
        </w:rPr>
        <w:t>谈判</w:t>
      </w:r>
      <w:r>
        <w:rPr>
          <w:rFonts w:hint="eastAsia"/>
          <w:sz w:val="24"/>
          <w:szCs w:val="24"/>
        </w:rPr>
        <w:t>和最低</w:t>
      </w:r>
      <w:r>
        <w:rPr>
          <w:rFonts w:hint="eastAsia"/>
          <w:sz w:val="24"/>
          <w:szCs w:val="24"/>
          <w:lang w:eastAsia="zh-CN"/>
        </w:rPr>
        <w:t>谈判</w:t>
      </w:r>
      <w:r>
        <w:rPr>
          <w:rFonts w:hint="eastAsia"/>
          <w:sz w:val="24"/>
          <w:szCs w:val="24"/>
        </w:rPr>
        <w:t>报价不是被授予成交的唯一条件。</w:t>
      </w:r>
    </w:p>
    <w:p w14:paraId="0BDC457A">
      <w:pPr>
        <w:spacing w:line="360" w:lineRule="auto"/>
        <w:rPr>
          <w:rFonts w:hint="eastAsia"/>
          <w:sz w:val="24"/>
          <w:szCs w:val="24"/>
        </w:rPr>
      </w:pPr>
      <w:r>
        <w:rPr>
          <w:rFonts w:hint="eastAsia"/>
          <w:sz w:val="24"/>
          <w:szCs w:val="24"/>
        </w:rPr>
        <w:t>6.如果我们未对</w:t>
      </w:r>
      <w:r>
        <w:rPr>
          <w:rFonts w:hint="eastAsia"/>
          <w:sz w:val="24"/>
          <w:szCs w:val="24"/>
          <w:lang w:eastAsia="zh-CN"/>
        </w:rPr>
        <w:t>谈判</w:t>
      </w:r>
      <w:r>
        <w:rPr>
          <w:rFonts w:hint="eastAsia"/>
          <w:sz w:val="24"/>
          <w:szCs w:val="24"/>
        </w:rPr>
        <w:t>文件全部要求作出实质性响应，则完全同意并接受按无效响应处理。</w:t>
      </w:r>
    </w:p>
    <w:p w14:paraId="722F1275">
      <w:pPr>
        <w:spacing w:line="360" w:lineRule="auto"/>
        <w:rPr>
          <w:rFonts w:hint="eastAsia"/>
          <w:sz w:val="24"/>
          <w:szCs w:val="24"/>
        </w:rPr>
      </w:pPr>
      <w:r>
        <w:rPr>
          <w:rFonts w:hint="eastAsia"/>
          <w:sz w:val="24"/>
          <w:szCs w:val="24"/>
        </w:rPr>
        <w:t>7.我们证明提交的一切文件，无论是原件还是复印件均为准确、真实、有效、 完整的，绝无任何虚假、伪造或者夸大。我们在此郑重承诺：在本次采购活动中， 如有违法、违规、弄虚作假行为，所造成的损失、不良后果及法律责任，一律由我公司（企业）承担。</w:t>
      </w:r>
    </w:p>
    <w:p w14:paraId="002D0D2E">
      <w:pPr>
        <w:spacing w:line="360" w:lineRule="auto"/>
        <w:rPr>
          <w:rFonts w:hint="eastAsia" w:ascii="宋体" w:hAnsi="宋体" w:eastAsia="宋体" w:cs="宋体"/>
          <w:color w:val="auto"/>
          <w:sz w:val="24"/>
          <w:szCs w:val="24"/>
          <w:highlight w:val="none"/>
        </w:rPr>
      </w:pPr>
      <w:r>
        <w:rPr>
          <w:rFonts w:hint="eastAsia"/>
          <w:sz w:val="24"/>
          <w:szCs w:val="24"/>
        </w:rPr>
        <w:t>8.如果我们提供的声明或承诺不真实，则完全同意认定为我司提供虚假材料，并同意作相应处理</w:t>
      </w:r>
      <w:r>
        <w:rPr>
          <w:rFonts w:hint="eastAsia"/>
          <w:sz w:val="24"/>
          <w:szCs w:val="24"/>
          <w:lang w:eastAsia="zh-CN"/>
        </w:rPr>
        <w:t>。</w:t>
      </w:r>
    </w:p>
    <w:p w14:paraId="37999AF7">
      <w:pPr>
        <w:spacing w:before="75" w:line="360" w:lineRule="auto"/>
        <w:ind w:left="3"/>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供应商名称（单位盖公章</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59"/>
          <w:sz w:val="24"/>
          <w:szCs w:val="24"/>
          <w:highlight w:val="none"/>
        </w:rPr>
        <w:t xml:space="preserve"> </w:t>
      </w:r>
      <w:r>
        <w:rPr>
          <w:rFonts w:hint="eastAsia" w:ascii="宋体" w:hAnsi="宋体" w:eastAsia="宋体" w:cs="宋体"/>
          <w:color w:val="auto"/>
          <w:sz w:val="24"/>
          <w:szCs w:val="24"/>
          <w:highlight w:val="none"/>
          <w:u w:val="single" w:color="auto"/>
        </w:rPr>
        <w:t xml:space="preserve">                 </w:t>
      </w:r>
    </w:p>
    <w:p w14:paraId="4C568804">
      <w:pPr>
        <w:pStyle w:val="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法定代表人或供应商授权代表（签名或盖章</w:t>
      </w:r>
      <w:r>
        <w:rPr>
          <w:rFonts w:hint="eastAsia" w:ascii="宋体" w:hAnsi="宋体" w:eastAsia="宋体" w:cs="宋体"/>
          <w:color w:val="auto"/>
          <w:spacing w:val="8"/>
          <w:sz w:val="24"/>
          <w:szCs w:val="24"/>
          <w:highlight w:val="none"/>
        </w:rPr>
        <w:t>）：</w:t>
      </w:r>
    </w:p>
    <w:p w14:paraId="47D2C0AA">
      <w:pPr>
        <w:spacing w:before="75" w:line="360" w:lineRule="auto"/>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联</w:t>
      </w:r>
      <w:r>
        <w:rPr>
          <w:rFonts w:hint="eastAsia" w:ascii="宋体" w:hAnsi="宋体" w:eastAsia="宋体" w:cs="宋体"/>
          <w:color w:val="auto"/>
          <w:spacing w:val="37"/>
          <w:sz w:val="24"/>
          <w:szCs w:val="24"/>
          <w:highlight w:val="none"/>
        </w:rPr>
        <w:t xml:space="preserve"> </w:t>
      </w:r>
      <w:r>
        <w:rPr>
          <w:rFonts w:hint="eastAsia" w:ascii="宋体" w:hAnsi="宋体" w:eastAsia="宋体" w:cs="宋体"/>
          <w:color w:val="auto"/>
          <w:spacing w:val="-15"/>
          <w:sz w:val="24"/>
          <w:szCs w:val="24"/>
          <w:highlight w:val="none"/>
        </w:rPr>
        <w:t>系</w:t>
      </w:r>
      <w:r>
        <w:rPr>
          <w:rFonts w:hint="eastAsia" w:ascii="宋体" w:hAnsi="宋体" w:eastAsia="宋体" w:cs="宋体"/>
          <w:color w:val="auto"/>
          <w:spacing w:val="47"/>
          <w:sz w:val="24"/>
          <w:szCs w:val="24"/>
          <w:highlight w:val="none"/>
        </w:rPr>
        <w:t xml:space="preserve"> </w:t>
      </w:r>
      <w:r>
        <w:rPr>
          <w:rFonts w:hint="eastAsia" w:ascii="宋体" w:hAnsi="宋体" w:eastAsia="宋体" w:cs="宋体"/>
          <w:color w:val="auto"/>
          <w:spacing w:val="-15"/>
          <w:sz w:val="24"/>
          <w:szCs w:val="24"/>
          <w:highlight w:val="none"/>
        </w:rPr>
        <w:t>电</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15"/>
          <w:sz w:val="24"/>
          <w:szCs w:val="24"/>
          <w:highlight w:val="none"/>
        </w:rPr>
        <w:t>话</w:t>
      </w:r>
      <w:r>
        <w:rPr>
          <w:rFonts w:hint="eastAsia" w:ascii="宋体" w:hAnsi="宋体" w:eastAsia="宋体" w:cs="宋体"/>
          <w:color w:val="auto"/>
          <w:spacing w:val="39"/>
          <w:sz w:val="24"/>
          <w:szCs w:val="24"/>
          <w:highlight w:val="none"/>
        </w:rPr>
        <w:t xml:space="preserve"> </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71"/>
          <w:sz w:val="24"/>
          <w:szCs w:val="24"/>
          <w:highlight w:val="none"/>
        </w:rPr>
        <w:t xml:space="preserve"> </w:t>
      </w:r>
      <w:r>
        <w:rPr>
          <w:rFonts w:hint="eastAsia" w:ascii="宋体" w:hAnsi="宋体" w:eastAsia="宋体" w:cs="宋体"/>
          <w:color w:val="auto"/>
          <w:spacing w:val="-15"/>
          <w:sz w:val="24"/>
          <w:szCs w:val="24"/>
          <w:highlight w:val="none"/>
        </w:rPr>
        <w:t>日</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15"/>
          <w:sz w:val="24"/>
          <w:szCs w:val="24"/>
          <w:highlight w:val="none"/>
        </w:rPr>
        <w:t>期</w:t>
      </w:r>
      <w:r>
        <w:rPr>
          <w:rFonts w:hint="eastAsia" w:ascii="宋体" w:hAnsi="宋体" w:eastAsia="宋体" w:cs="宋体"/>
          <w:color w:val="auto"/>
          <w:spacing w:val="39"/>
          <w:sz w:val="24"/>
          <w:szCs w:val="24"/>
          <w:highlight w:val="none"/>
        </w:rPr>
        <w:t xml:space="preserve"> </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15"/>
          <w:sz w:val="24"/>
          <w:szCs w:val="24"/>
          <w:highlight w:val="none"/>
          <w:u w:val="single" w:color="auto"/>
        </w:rPr>
        <w:t xml:space="preserve">              </w:t>
      </w:r>
    </w:p>
    <w:p w14:paraId="1DB30AA3">
      <w:pPr>
        <w:spacing w:line="360" w:lineRule="auto"/>
        <w:rPr>
          <w:rFonts w:hint="eastAsia" w:ascii="宋体" w:hAnsi="宋体" w:eastAsia="宋体" w:cs="宋体"/>
          <w:color w:val="auto"/>
          <w:sz w:val="24"/>
          <w:szCs w:val="24"/>
          <w:highlight w:val="none"/>
        </w:rPr>
        <w:sectPr>
          <w:pgSz w:w="11906" w:h="16838"/>
          <w:pgMar w:top="1417" w:right="1785" w:bottom="1347" w:left="1544" w:header="0" w:footer="1171" w:gutter="0"/>
          <w:pgNumType w:fmt="decimal"/>
          <w:cols w:space="720" w:num="1"/>
        </w:sectPr>
      </w:pPr>
    </w:p>
    <w:p w14:paraId="26AA2D85">
      <w:pPr>
        <w:spacing w:before="94" w:line="360" w:lineRule="auto"/>
        <w:ind w:left="3196"/>
        <w:rPr>
          <w:rFonts w:hint="eastAsia" w:ascii="宋体" w:hAnsi="宋体" w:eastAsia="宋体" w:cs="宋体"/>
          <w:color w:val="auto"/>
          <w:sz w:val="29"/>
          <w:szCs w:val="29"/>
          <w:highlight w:val="none"/>
        </w:rPr>
      </w:pPr>
      <w:r>
        <w:rPr>
          <w:rFonts w:hint="eastAsia" w:ascii="宋体" w:hAnsi="宋体" w:eastAsia="宋体" w:cs="宋体"/>
          <w:color w:val="auto"/>
          <w:spacing w:val="5"/>
          <w:sz w:val="29"/>
          <w:szCs w:val="29"/>
          <w:highlight w:val="none"/>
        </w:rPr>
        <w:t>3.2</w:t>
      </w:r>
      <w:r>
        <w:rPr>
          <w:rFonts w:hint="eastAsia" w:ascii="宋体" w:hAnsi="宋体" w:eastAsia="宋体" w:cs="宋体"/>
          <w:color w:val="auto"/>
          <w:spacing w:val="46"/>
          <w:sz w:val="29"/>
          <w:szCs w:val="29"/>
          <w:highlight w:val="none"/>
        </w:rPr>
        <w:t xml:space="preserve"> </w:t>
      </w:r>
      <w:r>
        <w:rPr>
          <w:rFonts w:hint="eastAsia" w:ascii="宋体" w:hAnsi="宋体" w:eastAsia="宋体" w:cs="宋体"/>
          <w:color w:val="auto"/>
          <w:spacing w:val="5"/>
          <w:sz w:val="29"/>
          <w:szCs w:val="29"/>
          <w:highlight w:val="none"/>
        </w:rPr>
        <w:t>商务需求条款响应表</w:t>
      </w:r>
    </w:p>
    <w:p w14:paraId="1C865251">
      <w:pPr>
        <w:spacing w:line="360" w:lineRule="auto"/>
        <w:rPr>
          <w:rFonts w:hint="eastAsia"/>
          <w:sz w:val="24"/>
          <w:szCs w:val="24"/>
        </w:rPr>
      </w:pPr>
      <w:r>
        <w:rPr>
          <w:rFonts w:hint="eastAsia"/>
          <w:sz w:val="24"/>
          <w:szCs w:val="24"/>
        </w:rPr>
        <w:t>采购项目名称：</w:t>
      </w:r>
      <w:r>
        <w:rPr>
          <w:rFonts w:hint="eastAsia"/>
          <w:sz w:val="24"/>
          <w:szCs w:val="24"/>
          <w:lang w:val="en-US" w:eastAsia="zh-CN"/>
        </w:rPr>
        <w:t xml:space="preserve">                                        </w:t>
      </w:r>
      <w:r>
        <w:rPr>
          <w:rFonts w:hint="eastAsia"/>
          <w:sz w:val="24"/>
          <w:szCs w:val="24"/>
        </w:rPr>
        <w:t>项目编号：</w:t>
      </w:r>
    </w:p>
    <w:tbl>
      <w:tblPr>
        <w:tblStyle w:val="82"/>
        <w:tblW w:w="90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5562"/>
        <w:gridCol w:w="1514"/>
        <w:gridCol w:w="1288"/>
      </w:tblGrid>
      <w:tr w14:paraId="0EF48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704" w:type="dxa"/>
            <w:noWrap w:val="0"/>
            <w:vAlign w:val="top"/>
          </w:tcPr>
          <w:p w14:paraId="63434924">
            <w:pPr>
              <w:pStyle w:val="85"/>
              <w:spacing w:before="158" w:line="360" w:lineRule="auto"/>
              <w:ind w:left="12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序号</w:t>
            </w:r>
          </w:p>
        </w:tc>
        <w:tc>
          <w:tcPr>
            <w:tcW w:w="5562" w:type="dxa"/>
            <w:noWrap w:val="0"/>
            <w:vAlign w:val="top"/>
          </w:tcPr>
          <w:p w14:paraId="7C03862A">
            <w:pPr>
              <w:pStyle w:val="85"/>
              <w:spacing w:before="158" w:line="360" w:lineRule="auto"/>
              <w:ind w:left="1941"/>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商务条款要求</w:t>
            </w:r>
          </w:p>
        </w:tc>
        <w:tc>
          <w:tcPr>
            <w:tcW w:w="1514" w:type="dxa"/>
            <w:noWrap w:val="0"/>
            <w:vAlign w:val="top"/>
          </w:tcPr>
          <w:p w14:paraId="46F9EB88">
            <w:pPr>
              <w:pStyle w:val="85"/>
              <w:spacing w:before="159" w:line="360" w:lineRule="auto"/>
              <w:ind w:left="33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是否响应</w:t>
            </w:r>
          </w:p>
        </w:tc>
        <w:tc>
          <w:tcPr>
            <w:tcW w:w="1288" w:type="dxa"/>
            <w:noWrap w:val="0"/>
            <w:vAlign w:val="top"/>
          </w:tcPr>
          <w:p w14:paraId="700E17B8">
            <w:pPr>
              <w:pStyle w:val="85"/>
              <w:spacing w:before="158" w:line="360" w:lineRule="auto"/>
              <w:ind w:left="282"/>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偏离说明</w:t>
            </w:r>
          </w:p>
        </w:tc>
      </w:tr>
      <w:tr w14:paraId="2F233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04" w:type="dxa"/>
            <w:noWrap w:val="0"/>
            <w:vAlign w:val="top"/>
          </w:tcPr>
          <w:p w14:paraId="2A2F513F">
            <w:pPr>
              <w:pStyle w:val="85"/>
              <w:spacing w:before="195" w:line="360" w:lineRule="auto"/>
              <w:ind w:left="31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562" w:type="dxa"/>
            <w:noWrap w:val="0"/>
            <w:vAlign w:val="top"/>
          </w:tcPr>
          <w:p w14:paraId="524FDE1A">
            <w:pPr>
              <w:pStyle w:val="85"/>
              <w:spacing w:before="156" w:line="360"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完全理解并接受合同条款要求</w:t>
            </w:r>
          </w:p>
        </w:tc>
        <w:tc>
          <w:tcPr>
            <w:tcW w:w="1514" w:type="dxa"/>
            <w:noWrap w:val="0"/>
            <w:vAlign w:val="top"/>
          </w:tcPr>
          <w:p w14:paraId="77EB935B">
            <w:pPr>
              <w:spacing w:line="360" w:lineRule="auto"/>
              <w:rPr>
                <w:rFonts w:hint="eastAsia" w:ascii="宋体" w:hAnsi="宋体" w:eastAsia="宋体" w:cs="宋体"/>
                <w:color w:val="auto"/>
                <w:sz w:val="24"/>
                <w:szCs w:val="24"/>
                <w:highlight w:val="none"/>
              </w:rPr>
            </w:pPr>
          </w:p>
        </w:tc>
        <w:tc>
          <w:tcPr>
            <w:tcW w:w="1288" w:type="dxa"/>
            <w:noWrap w:val="0"/>
            <w:vAlign w:val="top"/>
          </w:tcPr>
          <w:p w14:paraId="7025451F">
            <w:pPr>
              <w:spacing w:line="360" w:lineRule="auto"/>
              <w:rPr>
                <w:rFonts w:hint="eastAsia" w:ascii="宋体" w:hAnsi="宋体" w:eastAsia="宋体" w:cs="宋体"/>
                <w:color w:val="auto"/>
                <w:sz w:val="24"/>
                <w:szCs w:val="24"/>
                <w:highlight w:val="none"/>
              </w:rPr>
            </w:pPr>
          </w:p>
        </w:tc>
      </w:tr>
      <w:tr w14:paraId="071E1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04" w:type="dxa"/>
            <w:noWrap w:val="0"/>
            <w:vAlign w:val="top"/>
          </w:tcPr>
          <w:p w14:paraId="2A8956C0">
            <w:pPr>
              <w:pStyle w:val="85"/>
              <w:spacing w:before="195" w:line="360" w:lineRule="auto"/>
              <w:ind w:left="3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562" w:type="dxa"/>
            <w:noWrap w:val="0"/>
            <w:vAlign w:val="top"/>
          </w:tcPr>
          <w:p w14:paraId="1A41108C">
            <w:pPr>
              <w:pStyle w:val="85"/>
              <w:spacing w:before="154" w:line="360"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完全理解并接受对合格供应商、合格的服务要求</w:t>
            </w:r>
          </w:p>
        </w:tc>
        <w:tc>
          <w:tcPr>
            <w:tcW w:w="1514" w:type="dxa"/>
            <w:noWrap w:val="0"/>
            <w:vAlign w:val="top"/>
          </w:tcPr>
          <w:p w14:paraId="7F9F6A66">
            <w:pPr>
              <w:spacing w:line="360" w:lineRule="auto"/>
              <w:rPr>
                <w:rFonts w:hint="eastAsia" w:ascii="宋体" w:hAnsi="宋体" w:eastAsia="宋体" w:cs="宋体"/>
                <w:color w:val="auto"/>
                <w:sz w:val="24"/>
                <w:szCs w:val="24"/>
                <w:highlight w:val="none"/>
              </w:rPr>
            </w:pPr>
          </w:p>
        </w:tc>
        <w:tc>
          <w:tcPr>
            <w:tcW w:w="1288" w:type="dxa"/>
            <w:noWrap w:val="0"/>
            <w:vAlign w:val="top"/>
          </w:tcPr>
          <w:p w14:paraId="7CBE6658">
            <w:pPr>
              <w:spacing w:line="360" w:lineRule="auto"/>
              <w:rPr>
                <w:rFonts w:hint="eastAsia" w:ascii="宋体" w:hAnsi="宋体" w:eastAsia="宋体" w:cs="宋体"/>
                <w:color w:val="auto"/>
                <w:sz w:val="24"/>
                <w:szCs w:val="24"/>
                <w:highlight w:val="none"/>
              </w:rPr>
            </w:pPr>
          </w:p>
        </w:tc>
      </w:tr>
      <w:tr w14:paraId="14A7C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7" w:hRule="atLeast"/>
        </w:trPr>
        <w:tc>
          <w:tcPr>
            <w:tcW w:w="704" w:type="dxa"/>
            <w:noWrap w:val="0"/>
            <w:vAlign w:val="top"/>
          </w:tcPr>
          <w:p w14:paraId="0CD0F6F5">
            <w:pPr>
              <w:pStyle w:val="85"/>
              <w:spacing w:before="195" w:line="360" w:lineRule="auto"/>
              <w:ind w:left="316"/>
              <w:rPr>
                <w:rFonts w:hint="eastAsia" w:ascii="宋体" w:hAnsi="宋体" w:eastAsia="宋体" w:cs="宋体"/>
                <w:color w:val="auto"/>
                <w:sz w:val="24"/>
                <w:szCs w:val="24"/>
                <w:highlight w:val="none"/>
              </w:rPr>
            </w:pPr>
          </w:p>
          <w:p w14:paraId="7A0F49D6">
            <w:pPr>
              <w:pStyle w:val="85"/>
              <w:spacing w:before="195" w:line="360" w:lineRule="auto"/>
              <w:ind w:left="31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562" w:type="dxa"/>
            <w:noWrap w:val="0"/>
            <w:vAlign w:val="top"/>
          </w:tcPr>
          <w:p w14:paraId="4E8CD3B0">
            <w:pPr>
              <w:pStyle w:val="85"/>
              <w:spacing w:before="195"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完全理解并接受对供应商的各项须知、规约要求和责任义务。</w:t>
            </w:r>
          </w:p>
        </w:tc>
        <w:tc>
          <w:tcPr>
            <w:tcW w:w="1514" w:type="dxa"/>
            <w:noWrap w:val="0"/>
            <w:vAlign w:val="top"/>
          </w:tcPr>
          <w:p w14:paraId="50F32B01">
            <w:pPr>
              <w:pStyle w:val="85"/>
              <w:spacing w:before="195" w:line="360" w:lineRule="auto"/>
              <w:ind w:left="316"/>
              <w:rPr>
                <w:rFonts w:hint="eastAsia" w:ascii="宋体" w:hAnsi="宋体" w:eastAsia="宋体" w:cs="宋体"/>
                <w:color w:val="auto"/>
                <w:sz w:val="24"/>
                <w:szCs w:val="24"/>
                <w:highlight w:val="none"/>
              </w:rPr>
            </w:pPr>
          </w:p>
        </w:tc>
        <w:tc>
          <w:tcPr>
            <w:tcW w:w="1288" w:type="dxa"/>
            <w:noWrap w:val="0"/>
            <w:vAlign w:val="top"/>
          </w:tcPr>
          <w:p w14:paraId="0DFB9A54">
            <w:pPr>
              <w:pStyle w:val="85"/>
              <w:spacing w:before="195" w:line="360" w:lineRule="auto"/>
              <w:ind w:left="316"/>
              <w:rPr>
                <w:rFonts w:hint="eastAsia" w:ascii="宋体" w:hAnsi="宋体" w:eastAsia="宋体" w:cs="宋体"/>
                <w:color w:val="auto"/>
                <w:sz w:val="24"/>
                <w:szCs w:val="24"/>
                <w:highlight w:val="none"/>
              </w:rPr>
            </w:pPr>
          </w:p>
        </w:tc>
      </w:tr>
      <w:tr w14:paraId="48F5A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04" w:type="dxa"/>
            <w:noWrap w:val="0"/>
            <w:vAlign w:val="top"/>
          </w:tcPr>
          <w:p w14:paraId="53C17948">
            <w:pPr>
              <w:pStyle w:val="85"/>
              <w:spacing w:before="196" w:line="360" w:lineRule="auto"/>
              <w:ind w:left="2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562" w:type="dxa"/>
            <w:noWrap w:val="0"/>
            <w:vAlign w:val="top"/>
          </w:tcPr>
          <w:p w14:paraId="73425CF1">
            <w:pPr>
              <w:pStyle w:val="85"/>
              <w:spacing w:before="154" w:line="360" w:lineRule="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拟派</w:t>
            </w:r>
            <w:r>
              <w:rPr>
                <w:rFonts w:hint="eastAsia" w:cs="宋体"/>
                <w:color w:val="auto"/>
                <w:spacing w:val="8"/>
                <w:sz w:val="24"/>
                <w:szCs w:val="24"/>
                <w:highlight w:val="none"/>
                <w:lang w:val="en-US" w:eastAsia="zh-CN"/>
              </w:rPr>
              <w:t>团队人员</w:t>
            </w:r>
            <w:r>
              <w:rPr>
                <w:rFonts w:hint="eastAsia" w:ascii="宋体" w:hAnsi="宋体" w:eastAsia="宋体" w:cs="宋体"/>
                <w:color w:val="auto"/>
                <w:spacing w:val="8"/>
                <w:sz w:val="24"/>
                <w:szCs w:val="24"/>
                <w:highlight w:val="none"/>
              </w:rPr>
              <w:t>要求</w:t>
            </w:r>
          </w:p>
        </w:tc>
        <w:tc>
          <w:tcPr>
            <w:tcW w:w="1514" w:type="dxa"/>
            <w:noWrap w:val="0"/>
            <w:vAlign w:val="top"/>
          </w:tcPr>
          <w:p w14:paraId="7AD41EFB">
            <w:pPr>
              <w:spacing w:line="360" w:lineRule="auto"/>
              <w:rPr>
                <w:rFonts w:hint="eastAsia" w:ascii="宋体" w:hAnsi="宋体" w:eastAsia="宋体" w:cs="宋体"/>
                <w:color w:val="auto"/>
                <w:sz w:val="24"/>
                <w:szCs w:val="24"/>
                <w:highlight w:val="none"/>
              </w:rPr>
            </w:pPr>
          </w:p>
        </w:tc>
        <w:tc>
          <w:tcPr>
            <w:tcW w:w="1288" w:type="dxa"/>
            <w:noWrap w:val="0"/>
            <w:vAlign w:val="top"/>
          </w:tcPr>
          <w:p w14:paraId="313451A3">
            <w:pPr>
              <w:spacing w:line="360" w:lineRule="auto"/>
              <w:rPr>
                <w:rFonts w:hint="eastAsia" w:ascii="宋体" w:hAnsi="宋体" w:eastAsia="宋体" w:cs="宋体"/>
                <w:color w:val="auto"/>
                <w:sz w:val="24"/>
                <w:szCs w:val="24"/>
                <w:highlight w:val="none"/>
              </w:rPr>
            </w:pPr>
          </w:p>
        </w:tc>
      </w:tr>
      <w:tr w14:paraId="3EB17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704" w:type="dxa"/>
            <w:noWrap w:val="0"/>
            <w:vAlign w:val="top"/>
          </w:tcPr>
          <w:p w14:paraId="72357AA4">
            <w:pPr>
              <w:pStyle w:val="85"/>
              <w:spacing w:before="195" w:line="360" w:lineRule="auto"/>
              <w:ind w:left="316"/>
              <w:rPr>
                <w:rFonts w:hint="eastAsia" w:ascii="宋体" w:hAnsi="宋体" w:eastAsia="宋体" w:cs="宋体"/>
                <w:color w:val="auto"/>
                <w:sz w:val="24"/>
                <w:szCs w:val="24"/>
                <w:highlight w:val="none"/>
              </w:rPr>
            </w:pPr>
          </w:p>
          <w:p w14:paraId="7398183D">
            <w:pPr>
              <w:pStyle w:val="85"/>
              <w:spacing w:before="195" w:line="360" w:lineRule="auto"/>
              <w:ind w:left="31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562" w:type="dxa"/>
            <w:noWrap w:val="0"/>
            <w:vAlign w:val="top"/>
          </w:tcPr>
          <w:p w14:paraId="5D45CA3A">
            <w:pPr>
              <w:pStyle w:val="85"/>
              <w:spacing w:before="195" w:line="360" w:lineRule="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谈判</w:t>
            </w:r>
            <w:r>
              <w:rPr>
                <w:rFonts w:hint="eastAsia" w:ascii="宋体" w:hAnsi="宋体" w:eastAsia="宋体" w:cs="宋体"/>
                <w:color w:val="auto"/>
                <w:sz w:val="24"/>
                <w:szCs w:val="24"/>
                <w:highlight w:val="none"/>
              </w:rPr>
              <w:t>有效期：</w:t>
            </w:r>
            <w:r>
              <w:rPr>
                <w:rFonts w:hint="eastAsia" w:cs="宋体"/>
                <w:color w:val="auto"/>
                <w:sz w:val="24"/>
                <w:szCs w:val="24"/>
                <w:highlight w:val="none"/>
                <w:lang w:eastAsia="zh-CN"/>
              </w:rPr>
              <w:t>谈判</w:t>
            </w:r>
            <w:r>
              <w:rPr>
                <w:rFonts w:hint="eastAsia" w:ascii="宋体" w:hAnsi="宋体" w:eastAsia="宋体" w:cs="宋体"/>
                <w:color w:val="auto"/>
                <w:sz w:val="24"/>
                <w:szCs w:val="24"/>
                <w:highlight w:val="none"/>
              </w:rPr>
              <w:t>有效期为自递交</w:t>
            </w:r>
            <w:r>
              <w:rPr>
                <w:rFonts w:hint="eastAsia" w:cs="宋体"/>
                <w:color w:val="auto"/>
                <w:sz w:val="24"/>
                <w:szCs w:val="24"/>
                <w:highlight w:val="none"/>
                <w:lang w:val="en-US" w:eastAsia="zh-CN"/>
              </w:rPr>
              <w:t>响应</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起不</w:t>
            </w:r>
            <w:r>
              <w:rPr>
                <w:rFonts w:hint="eastAsia" w:ascii="宋体" w:hAnsi="宋体" w:eastAsia="宋体" w:cs="宋体"/>
                <w:color w:val="auto"/>
                <w:sz w:val="24"/>
                <w:szCs w:val="24"/>
                <w:highlight w:val="none"/>
              </w:rPr>
              <w:t>少于 90 天</w:t>
            </w:r>
          </w:p>
        </w:tc>
        <w:tc>
          <w:tcPr>
            <w:tcW w:w="1514" w:type="dxa"/>
            <w:noWrap w:val="0"/>
            <w:vAlign w:val="top"/>
          </w:tcPr>
          <w:p w14:paraId="0EED3FC6">
            <w:pPr>
              <w:pStyle w:val="85"/>
              <w:spacing w:before="195" w:line="360" w:lineRule="auto"/>
              <w:ind w:left="316"/>
              <w:rPr>
                <w:rFonts w:hint="eastAsia" w:ascii="宋体" w:hAnsi="宋体" w:eastAsia="宋体" w:cs="宋体"/>
                <w:color w:val="auto"/>
                <w:sz w:val="24"/>
                <w:szCs w:val="24"/>
                <w:highlight w:val="none"/>
              </w:rPr>
            </w:pPr>
          </w:p>
        </w:tc>
        <w:tc>
          <w:tcPr>
            <w:tcW w:w="1288" w:type="dxa"/>
            <w:noWrap w:val="0"/>
            <w:vAlign w:val="top"/>
          </w:tcPr>
          <w:p w14:paraId="1FB1A62B">
            <w:pPr>
              <w:pStyle w:val="85"/>
              <w:spacing w:before="195" w:line="360" w:lineRule="auto"/>
              <w:ind w:left="316"/>
              <w:rPr>
                <w:rFonts w:hint="eastAsia" w:ascii="宋体" w:hAnsi="宋体" w:eastAsia="宋体" w:cs="宋体"/>
                <w:color w:val="auto"/>
                <w:sz w:val="24"/>
                <w:szCs w:val="24"/>
                <w:highlight w:val="none"/>
              </w:rPr>
            </w:pPr>
          </w:p>
        </w:tc>
      </w:tr>
      <w:tr w14:paraId="6CE94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704" w:type="dxa"/>
            <w:noWrap w:val="0"/>
            <w:vAlign w:val="top"/>
          </w:tcPr>
          <w:p w14:paraId="61E4FCC9">
            <w:pPr>
              <w:pStyle w:val="85"/>
              <w:spacing w:before="199" w:line="360" w:lineRule="auto"/>
              <w:ind w:left="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562" w:type="dxa"/>
            <w:noWrap w:val="0"/>
            <w:vAlign w:val="top"/>
          </w:tcPr>
          <w:p w14:paraId="66C746E7">
            <w:pPr>
              <w:pStyle w:val="85"/>
              <w:spacing w:before="158" w:line="360" w:lineRule="auto"/>
              <w:ind w:left="12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报价内容均涵盖报价要求之一切费用和伴随服务</w:t>
            </w:r>
          </w:p>
        </w:tc>
        <w:tc>
          <w:tcPr>
            <w:tcW w:w="1514" w:type="dxa"/>
            <w:noWrap w:val="0"/>
            <w:vAlign w:val="top"/>
          </w:tcPr>
          <w:p w14:paraId="618FB897">
            <w:pPr>
              <w:spacing w:line="360" w:lineRule="auto"/>
              <w:rPr>
                <w:rFonts w:hint="eastAsia" w:ascii="宋体" w:hAnsi="宋体" w:eastAsia="宋体" w:cs="宋体"/>
                <w:color w:val="auto"/>
                <w:sz w:val="24"/>
                <w:szCs w:val="24"/>
                <w:highlight w:val="none"/>
              </w:rPr>
            </w:pPr>
          </w:p>
        </w:tc>
        <w:tc>
          <w:tcPr>
            <w:tcW w:w="1288" w:type="dxa"/>
            <w:noWrap w:val="0"/>
            <w:vAlign w:val="top"/>
          </w:tcPr>
          <w:p w14:paraId="39875039">
            <w:pPr>
              <w:spacing w:line="360" w:lineRule="auto"/>
              <w:rPr>
                <w:rFonts w:hint="eastAsia" w:ascii="宋体" w:hAnsi="宋体" w:eastAsia="宋体" w:cs="宋体"/>
                <w:color w:val="auto"/>
                <w:sz w:val="24"/>
                <w:szCs w:val="24"/>
                <w:highlight w:val="none"/>
              </w:rPr>
            </w:pPr>
          </w:p>
        </w:tc>
      </w:tr>
      <w:tr w14:paraId="7A596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04" w:type="dxa"/>
            <w:noWrap w:val="0"/>
            <w:vAlign w:val="top"/>
          </w:tcPr>
          <w:p w14:paraId="11292D1D">
            <w:pPr>
              <w:pStyle w:val="85"/>
              <w:spacing w:before="201" w:line="360" w:lineRule="auto"/>
              <w:ind w:left="3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5562" w:type="dxa"/>
            <w:noWrap w:val="0"/>
            <w:vAlign w:val="top"/>
          </w:tcPr>
          <w:p w14:paraId="393BFF05">
            <w:pPr>
              <w:pStyle w:val="85"/>
              <w:spacing w:before="157" w:line="360" w:lineRule="auto"/>
              <w:ind w:left="148"/>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同意接受</w:t>
            </w:r>
            <w:r>
              <w:rPr>
                <w:rFonts w:hint="eastAsia" w:ascii="宋体" w:hAnsi="宋体" w:eastAsia="宋体" w:cs="宋体"/>
                <w:color w:val="auto"/>
                <w:spacing w:val="6"/>
                <w:sz w:val="24"/>
                <w:szCs w:val="24"/>
                <w:highlight w:val="none"/>
                <w:lang w:eastAsia="zh-CN"/>
              </w:rPr>
              <w:t>谈判</w:t>
            </w:r>
            <w:r>
              <w:rPr>
                <w:rFonts w:hint="eastAsia" w:ascii="宋体" w:hAnsi="宋体" w:eastAsia="宋体" w:cs="宋体"/>
                <w:color w:val="auto"/>
                <w:spacing w:val="6"/>
                <w:sz w:val="24"/>
                <w:szCs w:val="24"/>
                <w:highlight w:val="none"/>
              </w:rPr>
              <w:t>文件的各项要求</w:t>
            </w:r>
          </w:p>
        </w:tc>
        <w:tc>
          <w:tcPr>
            <w:tcW w:w="1514" w:type="dxa"/>
            <w:noWrap w:val="0"/>
            <w:vAlign w:val="top"/>
          </w:tcPr>
          <w:p w14:paraId="3E67676A">
            <w:pPr>
              <w:spacing w:line="360" w:lineRule="auto"/>
              <w:rPr>
                <w:rFonts w:hint="eastAsia" w:ascii="宋体" w:hAnsi="宋体" w:eastAsia="宋体" w:cs="宋体"/>
                <w:color w:val="auto"/>
                <w:sz w:val="24"/>
                <w:szCs w:val="24"/>
                <w:highlight w:val="none"/>
              </w:rPr>
            </w:pPr>
          </w:p>
        </w:tc>
        <w:tc>
          <w:tcPr>
            <w:tcW w:w="1288" w:type="dxa"/>
            <w:noWrap w:val="0"/>
            <w:vAlign w:val="top"/>
          </w:tcPr>
          <w:p w14:paraId="27566C67">
            <w:pPr>
              <w:spacing w:line="360" w:lineRule="auto"/>
              <w:rPr>
                <w:rFonts w:hint="eastAsia" w:ascii="宋体" w:hAnsi="宋体" w:eastAsia="宋体" w:cs="宋体"/>
                <w:color w:val="auto"/>
                <w:sz w:val="24"/>
                <w:szCs w:val="24"/>
                <w:highlight w:val="none"/>
              </w:rPr>
            </w:pPr>
          </w:p>
        </w:tc>
      </w:tr>
      <w:tr w14:paraId="3E377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04" w:type="dxa"/>
            <w:noWrap w:val="0"/>
            <w:vAlign w:val="top"/>
          </w:tcPr>
          <w:p w14:paraId="56E06B6F">
            <w:pPr>
              <w:pStyle w:val="85"/>
              <w:spacing w:before="199" w:line="360" w:lineRule="auto"/>
              <w:ind w:left="2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5562" w:type="dxa"/>
            <w:noWrap w:val="0"/>
            <w:vAlign w:val="top"/>
          </w:tcPr>
          <w:p w14:paraId="2BB7E90F">
            <w:pPr>
              <w:pStyle w:val="85"/>
              <w:spacing w:before="157" w:line="360" w:lineRule="auto"/>
              <w:ind w:left="148"/>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同意接受合同范本所列的各项条款</w:t>
            </w:r>
          </w:p>
        </w:tc>
        <w:tc>
          <w:tcPr>
            <w:tcW w:w="1514" w:type="dxa"/>
            <w:noWrap w:val="0"/>
            <w:vAlign w:val="top"/>
          </w:tcPr>
          <w:p w14:paraId="43F38F9D">
            <w:pPr>
              <w:spacing w:line="360" w:lineRule="auto"/>
              <w:rPr>
                <w:rFonts w:hint="eastAsia" w:ascii="宋体" w:hAnsi="宋体" w:eastAsia="宋体" w:cs="宋体"/>
                <w:color w:val="auto"/>
                <w:sz w:val="24"/>
                <w:szCs w:val="24"/>
                <w:highlight w:val="none"/>
              </w:rPr>
            </w:pPr>
          </w:p>
        </w:tc>
        <w:tc>
          <w:tcPr>
            <w:tcW w:w="1288" w:type="dxa"/>
            <w:noWrap w:val="0"/>
            <w:vAlign w:val="top"/>
          </w:tcPr>
          <w:p w14:paraId="76DCE175">
            <w:pPr>
              <w:spacing w:line="360" w:lineRule="auto"/>
              <w:rPr>
                <w:rFonts w:hint="eastAsia" w:ascii="宋体" w:hAnsi="宋体" w:eastAsia="宋体" w:cs="宋体"/>
                <w:color w:val="auto"/>
                <w:sz w:val="24"/>
                <w:szCs w:val="24"/>
                <w:highlight w:val="none"/>
              </w:rPr>
            </w:pPr>
          </w:p>
        </w:tc>
      </w:tr>
      <w:tr w14:paraId="4C33A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04" w:type="dxa"/>
            <w:noWrap w:val="0"/>
            <w:vAlign w:val="top"/>
          </w:tcPr>
          <w:p w14:paraId="37575B54">
            <w:pPr>
              <w:pStyle w:val="85"/>
              <w:spacing w:before="197" w:line="360" w:lineRule="auto"/>
              <w:ind w:left="2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5562" w:type="dxa"/>
            <w:noWrap w:val="0"/>
            <w:vAlign w:val="top"/>
          </w:tcPr>
          <w:p w14:paraId="2B973791">
            <w:pPr>
              <w:pStyle w:val="85"/>
              <w:spacing w:before="156" w:line="360" w:lineRule="auto"/>
              <w:ind w:left="148"/>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同意按本项目要求缴付相关款项</w:t>
            </w:r>
          </w:p>
        </w:tc>
        <w:tc>
          <w:tcPr>
            <w:tcW w:w="1514" w:type="dxa"/>
            <w:noWrap w:val="0"/>
            <w:vAlign w:val="top"/>
          </w:tcPr>
          <w:p w14:paraId="1E84B7AE">
            <w:pPr>
              <w:spacing w:line="360" w:lineRule="auto"/>
              <w:rPr>
                <w:rFonts w:hint="eastAsia" w:ascii="宋体" w:hAnsi="宋体" w:eastAsia="宋体" w:cs="宋体"/>
                <w:color w:val="auto"/>
                <w:sz w:val="24"/>
                <w:szCs w:val="24"/>
                <w:highlight w:val="none"/>
              </w:rPr>
            </w:pPr>
          </w:p>
        </w:tc>
        <w:tc>
          <w:tcPr>
            <w:tcW w:w="1288" w:type="dxa"/>
            <w:noWrap w:val="0"/>
            <w:vAlign w:val="top"/>
          </w:tcPr>
          <w:p w14:paraId="3835E660">
            <w:pPr>
              <w:spacing w:line="360" w:lineRule="auto"/>
              <w:rPr>
                <w:rFonts w:hint="eastAsia" w:ascii="宋体" w:hAnsi="宋体" w:eastAsia="宋体" w:cs="宋体"/>
                <w:color w:val="auto"/>
                <w:sz w:val="24"/>
                <w:szCs w:val="24"/>
                <w:highlight w:val="none"/>
              </w:rPr>
            </w:pPr>
          </w:p>
        </w:tc>
      </w:tr>
      <w:tr w14:paraId="3BF52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7" w:hRule="atLeast"/>
        </w:trPr>
        <w:tc>
          <w:tcPr>
            <w:tcW w:w="704" w:type="dxa"/>
            <w:noWrap w:val="0"/>
            <w:vAlign w:val="top"/>
          </w:tcPr>
          <w:p w14:paraId="5CB2F81A">
            <w:pPr>
              <w:spacing w:line="360" w:lineRule="auto"/>
              <w:rPr>
                <w:rFonts w:hint="eastAsia" w:ascii="宋体" w:hAnsi="宋体" w:eastAsia="宋体" w:cs="宋体"/>
                <w:color w:val="auto"/>
                <w:sz w:val="24"/>
                <w:szCs w:val="24"/>
                <w:highlight w:val="none"/>
              </w:rPr>
            </w:pPr>
          </w:p>
          <w:p w14:paraId="2DEB334B">
            <w:pPr>
              <w:pStyle w:val="85"/>
              <w:spacing w:before="75" w:line="360" w:lineRule="auto"/>
              <w:ind w:left="256"/>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10</w:t>
            </w:r>
          </w:p>
        </w:tc>
        <w:tc>
          <w:tcPr>
            <w:tcW w:w="5562" w:type="dxa"/>
            <w:noWrap w:val="0"/>
            <w:vAlign w:val="top"/>
          </w:tcPr>
          <w:p w14:paraId="3FA8A37E">
            <w:pPr>
              <w:pStyle w:val="85"/>
              <w:spacing w:before="157" w:line="360" w:lineRule="auto"/>
              <w:ind w:left="148"/>
              <w:rPr>
                <w:rFonts w:hint="eastAsia" w:ascii="宋体" w:hAnsi="宋体" w:eastAsia="宋体" w:cs="宋体"/>
                <w:color w:val="auto"/>
                <w:sz w:val="24"/>
                <w:szCs w:val="24"/>
                <w:highlight w:val="none"/>
              </w:rPr>
            </w:pPr>
            <w:r>
              <w:rPr>
                <w:rFonts w:hint="eastAsia" w:ascii="宋体" w:hAnsi="宋体" w:eastAsia="宋体" w:cs="宋体"/>
                <w:color w:val="auto"/>
                <w:spacing w:val="7"/>
                <w:position w:val="17"/>
                <w:sz w:val="24"/>
                <w:szCs w:val="24"/>
                <w:highlight w:val="none"/>
              </w:rPr>
              <w:t>同意采购人以任何形式对我方</w:t>
            </w:r>
            <w:r>
              <w:rPr>
                <w:rFonts w:hint="eastAsia" w:cs="宋体"/>
                <w:color w:val="auto"/>
                <w:spacing w:val="7"/>
                <w:position w:val="17"/>
                <w:sz w:val="24"/>
                <w:szCs w:val="24"/>
                <w:highlight w:val="none"/>
                <w:lang w:val="en-US" w:eastAsia="zh-CN"/>
              </w:rPr>
              <w:t>响应</w:t>
            </w:r>
            <w:r>
              <w:rPr>
                <w:rFonts w:hint="eastAsia" w:ascii="宋体" w:hAnsi="宋体" w:eastAsia="宋体" w:cs="宋体"/>
                <w:color w:val="auto"/>
                <w:spacing w:val="7"/>
                <w:position w:val="17"/>
                <w:sz w:val="24"/>
                <w:szCs w:val="24"/>
                <w:highlight w:val="none"/>
              </w:rPr>
              <w:t>文件内容的</w:t>
            </w:r>
          </w:p>
          <w:p w14:paraId="640F3598">
            <w:pPr>
              <w:pStyle w:val="85"/>
              <w:spacing w:line="360"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lang w:val="en-US" w:eastAsia="zh-CN"/>
              </w:rPr>
              <w:t>真</w:t>
            </w:r>
            <w:r>
              <w:rPr>
                <w:rFonts w:hint="eastAsia" w:ascii="宋体" w:hAnsi="宋体" w:eastAsia="宋体" w:cs="宋体"/>
                <w:color w:val="auto"/>
                <w:spacing w:val="8"/>
                <w:sz w:val="24"/>
                <w:szCs w:val="24"/>
                <w:highlight w:val="none"/>
              </w:rPr>
              <w:t>实性和有效性进行审查、验证</w:t>
            </w:r>
          </w:p>
        </w:tc>
        <w:tc>
          <w:tcPr>
            <w:tcW w:w="1514" w:type="dxa"/>
            <w:noWrap w:val="0"/>
            <w:vAlign w:val="top"/>
          </w:tcPr>
          <w:p w14:paraId="75076100">
            <w:pPr>
              <w:spacing w:line="360" w:lineRule="auto"/>
              <w:rPr>
                <w:rFonts w:hint="eastAsia" w:ascii="宋体" w:hAnsi="宋体" w:eastAsia="宋体" w:cs="宋体"/>
                <w:color w:val="auto"/>
                <w:sz w:val="24"/>
                <w:szCs w:val="24"/>
                <w:highlight w:val="none"/>
              </w:rPr>
            </w:pPr>
          </w:p>
        </w:tc>
        <w:tc>
          <w:tcPr>
            <w:tcW w:w="1288" w:type="dxa"/>
            <w:noWrap w:val="0"/>
            <w:vAlign w:val="top"/>
          </w:tcPr>
          <w:p w14:paraId="4877F003">
            <w:pPr>
              <w:spacing w:line="360" w:lineRule="auto"/>
              <w:rPr>
                <w:rFonts w:hint="eastAsia" w:ascii="宋体" w:hAnsi="宋体" w:eastAsia="宋体" w:cs="宋体"/>
                <w:color w:val="auto"/>
                <w:sz w:val="24"/>
                <w:szCs w:val="24"/>
                <w:highlight w:val="none"/>
              </w:rPr>
            </w:pPr>
          </w:p>
        </w:tc>
      </w:tr>
      <w:tr w14:paraId="65A1F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6" w:hRule="atLeast"/>
        </w:trPr>
        <w:tc>
          <w:tcPr>
            <w:tcW w:w="704" w:type="dxa"/>
            <w:noWrap w:val="0"/>
            <w:vAlign w:val="top"/>
          </w:tcPr>
          <w:p w14:paraId="5A6D0122">
            <w:pPr>
              <w:pStyle w:val="85"/>
              <w:spacing w:before="198" w:line="360" w:lineRule="auto"/>
              <w:ind w:left="256"/>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11</w:t>
            </w:r>
          </w:p>
        </w:tc>
        <w:tc>
          <w:tcPr>
            <w:tcW w:w="5562" w:type="dxa"/>
            <w:noWrap w:val="0"/>
            <w:vAlign w:val="top"/>
          </w:tcPr>
          <w:p w14:paraId="3D03C2A2">
            <w:pPr>
              <w:pStyle w:val="85"/>
              <w:spacing w:before="157" w:line="360" w:lineRule="auto"/>
              <w:ind w:left="12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其它商务条款偏离说明（若有</w:t>
            </w:r>
            <w:r>
              <w:rPr>
                <w:rFonts w:hint="eastAsia" w:ascii="宋体" w:hAnsi="宋体" w:eastAsia="宋体" w:cs="宋体"/>
                <w:color w:val="auto"/>
                <w:spacing w:val="10"/>
                <w:sz w:val="24"/>
                <w:szCs w:val="24"/>
                <w:highlight w:val="none"/>
              </w:rPr>
              <w:t>）：</w:t>
            </w:r>
          </w:p>
        </w:tc>
        <w:tc>
          <w:tcPr>
            <w:tcW w:w="1514" w:type="dxa"/>
            <w:noWrap w:val="0"/>
            <w:vAlign w:val="top"/>
          </w:tcPr>
          <w:p w14:paraId="73915600">
            <w:pPr>
              <w:spacing w:line="360" w:lineRule="auto"/>
              <w:rPr>
                <w:rFonts w:hint="eastAsia" w:ascii="宋体" w:hAnsi="宋体" w:eastAsia="宋体" w:cs="宋体"/>
                <w:color w:val="auto"/>
                <w:sz w:val="24"/>
                <w:szCs w:val="24"/>
                <w:highlight w:val="none"/>
              </w:rPr>
            </w:pPr>
          </w:p>
        </w:tc>
        <w:tc>
          <w:tcPr>
            <w:tcW w:w="1288" w:type="dxa"/>
            <w:noWrap w:val="0"/>
            <w:vAlign w:val="top"/>
          </w:tcPr>
          <w:p w14:paraId="45BB33B8">
            <w:pPr>
              <w:spacing w:line="360" w:lineRule="auto"/>
              <w:rPr>
                <w:rFonts w:hint="eastAsia" w:ascii="宋体" w:hAnsi="宋体" w:eastAsia="宋体" w:cs="宋体"/>
                <w:color w:val="auto"/>
                <w:sz w:val="24"/>
                <w:szCs w:val="24"/>
                <w:highlight w:val="none"/>
              </w:rPr>
            </w:pPr>
          </w:p>
        </w:tc>
      </w:tr>
    </w:tbl>
    <w:p w14:paraId="5B369A0C">
      <w:pPr>
        <w:spacing w:before="31" w:line="360" w:lineRule="auto"/>
        <w:ind w:left="133"/>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18"/>
          <w:sz w:val="24"/>
          <w:szCs w:val="24"/>
          <w:highlight w:val="none"/>
        </w:rPr>
        <w:t>注：</w:t>
      </w:r>
      <w:r>
        <w:rPr>
          <w:rFonts w:hint="eastAsia" w:ascii="宋体" w:hAnsi="宋体" w:eastAsia="宋体" w:cs="宋体"/>
          <w:color w:val="auto"/>
          <w:sz w:val="24"/>
          <w:szCs w:val="24"/>
          <w:highlight w:val="none"/>
        </w:rPr>
        <w:t>1. 对于上述要求，如供应商完全响应，则请</w:t>
      </w:r>
      <w:r>
        <w:rPr>
          <w:rFonts w:hint="eastAsia" w:ascii="宋体" w:hAnsi="宋体" w:eastAsia="宋体" w:cs="宋体"/>
          <w:color w:val="auto"/>
          <w:spacing w:val="-1"/>
          <w:sz w:val="24"/>
          <w:szCs w:val="24"/>
          <w:highlight w:val="none"/>
        </w:rPr>
        <w:t>在“是否响应</w:t>
      </w:r>
      <w:r>
        <w:rPr>
          <w:rFonts w:hint="eastAsia" w:ascii="宋体" w:hAnsi="宋体" w:eastAsia="宋体" w:cs="宋体"/>
          <w:color w:val="auto"/>
          <w:spacing w:val="-77"/>
          <w:sz w:val="24"/>
          <w:szCs w:val="24"/>
          <w:highlight w:val="none"/>
        </w:rPr>
        <w:t xml:space="preserve"> </w:t>
      </w:r>
      <w:r>
        <w:rPr>
          <w:rFonts w:hint="eastAsia" w:ascii="宋体" w:hAnsi="宋体" w:eastAsia="宋体" w:cs="宋体"/>
          <w:color w:val="auto"/>
          <w:spacing w:val="-1"/>
          <w:sz w:val="24"/>
          <w:szCs w:val="24"/>
          <w:highlight w:val="none"/>
        </w:rPr>
        <w:t>”栏内打“√</w:t>
      </w:r>
      <w:r>
        <w:rPr>
          <w:rFonts w:hint="eastAsia" w:ascii="宋体" w:hAnsi="宋体" w:eastAsia="宋体" w:cs="宋体"/>
          <w:color w:val="auto"/>
          <w:spacing w:val="-76"/>
          <w:sz w:val="24"/>
          <w:szCs w:val="24"/>
          <w:highlight w:val="none"/>
        </w:rPr>
        <w:t xml:space="preserve"> </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65"/>
          <w:sz w:val="24"/>
          <w:szCs w:val="24"/>
          <w:highlight w:val="none"/>
        </w:rPr>
        <w:t xml:space="preserve"> </w:t>
      </w:r>
      <w:r>
        <w:rPr>
          <w:rFonts w:hint="eastAsia" w:ascii="宋体" w:hAnsi="宋体" w:cs="宋体"/>
          <w:color w:val="auto"/>
          <w:spacing w:val="-1"/>
          <w:sz w:val="24"/>
          <w:szCs w:val="24"/>
          <w:highlight w:val="none"/>
          <w:lang w:val="en-US" w:eastAsia="zh-CN"/>
        </w:rPr>
        <w:t>如有一项负偏离，则视为不响应谈判文件，符合性审查不通过。</w:t>
      </w:r>
    </w:p>
    <w:p w14:paraId="712F1775">
      <w:pPr>
        <w:spacing w:before="17" w:line="360" w:lineRule="auto"/>
        <w:ind w:left="128"/>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供应商法定代表人（或法定代表人授权代表） 签字或盖章：</w:t>
      </w:r>
    </w:p>
    <w:p w14:paraId="2CC4839D">
      <w:pPr>
        <w:spacing w:before="1" w:line="360" w:lineRule="auto"/>
        <w:ind w:left="12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供应商名称（盖公章</w:t>
      </w:r>
      <w:r>
        <w:rPr>
          <w:rFonts w:hint="eastAsia" w:ascii="宋体" w:hAnsi="宋体" w:eastAsia="宋体" w:cs="宋体"/>
          <w:color w:val="auto"/>
          <w:spacing w:val="-4"/>
          <w:sz w:val="24"/>
          <w:szCs w:val="24"/>
          <w:highlight w:val="none"/>
        </w:rPr>
        <w:t>）：</w:t>
      </w:r>
    </w:p>
    <w:p w14:paraId="7153E9D2">
      <w:pPr>
        <w:spacing w:before="22" w:line="360" w:lineRule="auto"/>
        <w:ind w:left="174"/>
        <w:rPr>
          <w:rFonts w:hint="eastAsia" w:ascii="宋体" w:hAnsi="宋体" w:eastAsia="宋体" w:cs="宋体"/>
          <w:color w:val="auto"/>
          <w:sz w:val="22"/>
          <w:szCs w:val="22"/>
          <w:highlight w:val="none"/>
        </w:rPr>
        <w:sectPr>
          <w:footerReference r:id="rId9" w:type="default"/>
          <w:pgSz w:w="11906" w:h="16838"/>
          <w:pgMar w:top="1417" w:right="1413" w:bottom="1347" w:left="1418" w:header="0" w:footer="1171" w:gutter="0"/>
          <w:pgNumType w:fmt="decimal"/>
          <w:cols w:space="720" w:num="1"/>
        </w:sectPr>
      </w:pPr>
      <w:r>
        <w:rPr>
          <w:rFonts w:hint="eastAsia" w:ascii="宋体" w:hAnsi="宋体" w:eastAsia="宋体" w:cs="宋体"/>
          <w:color w:val="auto"/>
          <w:spacing w:val="-32"/>
          <w:sz w:val="24"/>
          <w:szCs w:val="24"/>
          <w:highlight w:val="none"/>
        </w:rPr>
        <w:t>日</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32"/>
          <w:sz w:val="24"/>
          <w:szCs w:val="24"/>
          <w:highlight w:val="none"/>
        </w:rPr>
        <w:t>期：</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32"/>
          <w:sz w:val="24"/>
          <w:szCs w:val="24"/>
          <w:highlight w:val="none"/>
        </w:rPr>
        <w:t>年</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32"/>
          <w:sz w:val="24"/>
          <w:szCs w:val="24"/>
          <w:highlight w:val="none"/>
        </w:rPr>
        <w:t>月</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32"/>
          <w:sz w:val="24"/>
          <w:szCs w:val="24"/>
          <w:highlight w:val="none"/>
        </w:rPr>
        <w:t>日</w:t>
      </w:r>
    </w:p>
    <w:p w14:paraId="5B0F7CAE">
      <w:pPr>
        <w:spacing w:before="94" w:line="360" w:lineRule="auto"/>
        <w:ind w:left="3196"/>
        <w:rPr>
          <w:rFonts w:hint="eastAsia" w:ascii="宋体" w:hAnsi="宋体" w:eastAsia="宋体" w:cs="宋体"/>
          <w:color w:val="auto"/>
          <w:sz w:val="29"/>
          <w:szCs w:val="29"/>
          <w:highlight w:val="none"/>
        </w:rPr>
      </w:pPr>
      <w:r>
        <w:rPr>
          <w:rFonts w:hint="eastAsia" w:ascii="宋体" w:hAnsi="宋体" w:eastAsia="宋体" w:cs="宋体"/>
          <w:color w:val="auto"/>
          <w:spacing w:val="5"/>
          <w:sz w:val="29"/>
          <w:szCs w:val="29"/>
          <w:highlight w:val="none"/>
        </w:rPr>
        <w:t>3.</w:t>
      </w:r>
      <w:r>
        <w:rPr>
          <w:rFonts w:hint="eastAsia" w:ascii="宋体" w:hAnsi="宋体" w:cs="宋体"/>
          <w:color w:val="auto"/>
          <w:spacing w:val="5"/>
          <w:sz w:val="29"/>
          <w:szCs w:val="29"/>
          <w:highlight w:val="none"/>
          <w:lang w:val="en-US" w:eastAsia="zh-CN"/>
        </w:rPr>
        <w:t>3</w:t>
      </w:r>
      <w:r>
        <w:rPr>
          <w:rFonts w:hint="eastAsia" w:ascii="宋体" w:hAnsi="宋体" w:eastAsia="宋体" w:cs="宋体"/>
          <w:color w:val="auto"/>
          <w:spacing w:val="46"/>
          <w:sz w:val="29"/>
          <w:szCs w:val="29"/>
          <w:highlight w:val="none"/>
        </w:rPr>
        <w:t xml:space="preserve"> </w:t>
      </w:r>
      <w:r>
        <w:rPr>
          <w:rFonts w:hint="eastAsia" w:ascii="宋体" w:hAnsi="宋体" w:cs="宋体"/>
          <w:color w:val="auto"/>
          <w:spacing w:val="5"/>
          <w:sz w:val="29"/>
          <w:szCs w:val="29"/>
          <w:highlight w:val="none"/>
          <w:lang w:val="en-US" w:eastAsia="zh-CN"/>
        </w:rPr>
        <w:t>技术</w:t>
      </w:r>
      <w:r>
        <w:rPr>
          <w:rFonts w:hint="eastAsia" w:ascii="宋体" w:hAnsi="宋体" w:eastAsia="宋体" w:cs="宋体"/>
          <w:color w:val="auto"/>
          <w:spacing w:val="5"/>
          <w:sz w:val="29"/>
          <w:szCs w:val="29"/>
          <w:highlight w:val="none"/>
        </w:rPr>
        <w:t>需求条款响应表</w:t>
      </w:r>
    </w:p>
    <w:p w14:paraId="0E7C2813">
      <w:pPr>
        <w:spacing w:line="360" w:lineRule="auto"/>
        <w:rPr>
          <w:rFonts w:hint="eastAsia"/>
          <w:sz w:val="24"/>
          <w:szCs w:val="24"/>
        </w:rPr>
      </w:pPr>
      <w:r>
        <w:rPr>
          <w:rFonts w:hint="eastAsia"/>
          <w:sz w:val="24"/>
          <w:szCs w:val="24"/>
        </w:rPr>
        <w:t>采购项目名称：</w:t>
      </w:r>
      <w:r>
        <w:rPr>
          <w:rFonts w:hint="eastAsia"/>
          <w:sz w:val="24"/>
          <w:szCs w:val="24"/>
          <w:lang w:val="en-US" w:eastAsia="zh-CN"/>
        </w:rPr>
        <w:t xml:space="preserve">                                        </w:t>
      </w:r>
      <w:r>
        <w:rPr>
          <w:rFonts w:hint="eastAsia"/>
          <w:sz w:val="24"/>
          <w:szCs w:val="24"/>
        </w:rPr>
        <w:t>项目编号：</w:t>
      </w:r>
    </w:p>
    <w:tbl>
      <w:tblPr>
        <w:tblStyle w:val="82"/>
        <w:tblW w:w="90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5562"/>
        <w:gridCol w:w="1514"/>
        <w:gridCol w:w="1288"/>
      </w:tblGrid>
      <w:tr w14:paraId="036FC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704" w:type="dxa"/>
            <w:noWrap w:val="0"/>
            <w:vAlign w:val="top"/>
          </w:tcPr>
          <w:p w14:paraId="1E15403A">
            <w:pPr>
              <w:pStyle w:val="85"/>
              <w:spacing w:before="158" w:line="360" w:lineRule="auto"/>
              <w:ind w:left="12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序号</w:t>
            </w:r>
          </w:p>
        </w:tc>
        <w:tc>
          <w:tcPr>
            <w:tcW w:w="5562" w:type="dxa"/>
            <w:noWrap w:val="0"/>
            <w:vAlign w:val="top"/>
          </w:tcPr>
          <w:p w14:paraId="5CA6DB2C">
            <w:pPr>
              <w:pStyle w:val="85"/>
              <w:spacing w:before="158" w:line="360" w:lineRule="auto"/>
              <w:ind w:left="1941"/>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商务条款要求</w:t>
            </w:r>
          </w:p>
        </w:tc>
        <w:tc>
          <w:tcPr>
            <w:tcW w:w="1514" w:type="dxa"/>
            <w:noWrap w:val="0"/>
            <w:vAlign w:val="top"/>
          </w:tcPr>
          <w:p w14:paraId="4C67BAC2">
            <w:pPr>
              <w:pStyle w:val="85"/>
              <w:spacing w:before="159" w:line="360" w:lineRule="auto"/>
              <w:ind w:left="33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是否响应</w:t>
            </w:r>
          </w:p>
        </w:tc>
        <w:tc>
          <w:tcPr>
            <w:tcW w:w="1288" w:type="dxa"/>
            <w:noWrap w:val="0"/>
            <w:vAlign w:val="top"/>
          </w:tcPr>
          <w:p w14:paraId="680D16E4">
            <w:pPr>
              <w:pStyle w:val="85"/>
              <w:spacing w:before="158" w:line="360" w:lineRule="auto"/>
              <w:ind w:left="282"/>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偏离说明</w:t>
            </w:r>
          </w:p>
        </w:tc>
      </w:tr>
      <w:tr w14:paraId="17330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04" w:type="dxa"/>
            <w:noWrap w:val="0"/>
            <w:vAlign w:val="top"/>
          </w:tcPr>
          <w:p w14:paraId="288A3D09">
            <w:pPr>
              <w:pStyle w:val="85"/>
              <w:spacing w:before="195" w:line="360" w:lineRule="auto"/>
              <w:ind w:left="31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562" w:type="dxa"/>
            <w:noWrap w:val="0"/>
            <w:vAlign w:val="top"/>
          </w:tcPr>
          <w:p w14:paraId="2A45AA41">
            <w:pPr>
              <w:pStyle w:val="85"/>
              <w:spacing w:before="156" w:line="360"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完全</w:t>
            </w:r>
            <w:r>
              <w:rPr>
                <w:rFonts w:hint="eastAsia" w:cs="宋体"/>
                <w:color w:val="auto"/>
                <w:spacing w:val="8"/>
                <w:sz w:val="24"/>
                <w:szCs w:val="24"/>
                <w:highlight w:val="none"/>
                <w:lang w:val="en-US" w:eastAsia="zh-CN"/>
              </w:rPr>
              <w:t>响应项目技术服务</w:t>
            </w:r>
            <w:r>
              <w:rPr>
                <w:rFonts w:hint="eastAsia" w:ascii="宋体" w:hAnsi="宋体" w:eastAsia="宋体" w:cs="宋体"/>
                <w:color w:val="auto"/>
                <w:spacing w:val="8"/>
                <w:sz w:val="24"/>
                <w:szCs w:val="24"/>
                <w:highlight w:val="none"/>
              </w:rPr>
              <w:t>要求</w:t>
            </w:r>
          </w:p>
        </w:tc>
        <w:tc>
          <w:tcPr>
            <w:tcW w:w="1514" w:type="dxa"/>
            <w:noWrap w:val="0"/>
            <w:vAlign w:val="top"/>
          </w:tcPr>
          <w:p w14:paraId="05F7C3DC">
            <w:pPr>
              <w:spacing w:line="360" w:lineRule="auto"/>
              <w:rPr>
                <w:rFonts w:hint="eastAsia" w:ascii="宋体" w:hAnsi="宋体" w:eastAsia="宋体" w:cs="宋体"/>
                <w:color w:val="auto"/>
                <w:sz w:val="24"/>
                <w:szCs w:val="24"/>
                <w:highlight w:val="none"/>
              </w:rPr>
            </w:pPr>
          </w:p>
        </w:tc>
        <w:tc>
          <w:tcPr>
            <w:tcW w:w="1288" w:type="dxa"/>
            <w:noWrap w:val="0"/>
            <w:vAlign w:val="top"/>
          </w:tcPr>
          <w:p w14:paraId="1B672BB4">
            <w:pPr>
              <w:spacing w:line="360" w:lineRule="auto"/>
              <w:rPr>
                <w:rFonts w:hint="eastAsia" w:ascii="宋体" w:hAnsi="宋体" w:eastAsia="宋体" w:cs="宋体"/>
                <w:color w:val="auto"/>
                <w:sz w:val="24"/>
                <w:szCs w:val="24"/>
                <w:highlight w:val="none"/>
              </w:rPr>
            </w:pPr>
          </w:p>
        </w:tc>
      </w:tr>
      <w:tr w14:paraId="3906B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04" w:type="dxa"/>
            <w:noWrap w:val="0"/>
            <w:vAlign w:val="top"/>
          </w:tcPr>
          <w:p w14:paraId="0ACCDB22">
            <w:pPr>
              <w:pStyle w:val="85"/>
              <w:spacing w:before="195" w:line="360" w:lineRule="auto"/>
              <w:ind w:left="3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562" w:type="dxa"/>
            <w:noWrap w:val="0"/>
            <w:vAlign w:val="top"/>
          </w:tcPr>
          <w:p w14:paraId="4F048E0F">
            <w:pPr>
              <w:pStyle w:val="85"/>
              <w:spacing w:before="154" w:line="360" w:lineRule="auto"/>
              <w:ind w:lef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9"/>
                <w:sz w:val="24"/>
                <w:szCs w:val="24"/>
                <w:highlight w:val="none"/>
              </w:rPr>
              <w:t>完全</w:t>
            </w:r>
            <w:r>
              <w:rPr>
                <w:rFonts w:hint="eastAsia" w:cs="宋体"/>
                <w:color w:val="auto"/>
                <w:spacing w:val="9"/>
                <w:sz w:val="24"/>
                <w:szCs w:val="24"/>
                <w:highlight w:val="none"/>
                <w:lang w:val="en-US" w:eastAsia="zh-CN"/>
              </w:rPr>
              <w:t>理解并满足</w:t>
            </w:r>
            <w:r>
              <w:rPr>
                <w:rFonts w:hint="eastAsia" w:cs="宋体"/>
                <w:color w:val="auto"/>
                <w:spacing w:val="8"/>
                <w:sz w:val="24"/>
                <w:szCs w:val="24"/>
                <w:highlight w:val="none"/>
                <w:lang w:val="en-US" w:eastAsia="zh-CN"/>
              </w:rPr>
              <w:t>项目</w:t>
            </w:r>
            <w:r>
              <w:rPr>
                <w:rFonts w:hint="eastAsia" w:ascii="宋体" w:hAnsi="宋体" w:eastAsia="宋体" w:cs="宋体"/>
                <w:b w:val="0"/>
                <w:bCs w:val="0"/>
                <w:color w:val="auto"/>
                <w:spacing w:val="8"/>
                <w:kern w:val="2"/>
                <w:sz w:val="24"/>
                <w:szCs w:val="24"/>
                <w:highlight w:val="none"/>
                <w:lang w:val="en-US" w:eastAsia="zh-CN" w:bidi="ar-SA"/>
              </w:rPr>
              <w:t>技术指标</w:t>
            </w:r>
            <w:r>
              <w:rPr>
                <w:rFonts w:hint="eastAsia" w:cs="宋体"/>
                <w:b w:val="0"/>
                <w:bCs w:val="0"/>
                <w:color w:val="auto"/>
                <w:spacing w:val="8"/>
                <w:kern w:val="2"/>
                <w:sz w:val="24"/>
                <w:szCs w:val="24"/>
                <w:highlight w:val="none"/>
                <w:lang w:val="en-US" w:eastAsia="zh-CN" w:bidi="ar-SA"/>
              </w:rPr>
              <w:t>及</w:t>
            </w:r>
            <w:r>
              <w:rPr>
                <w:rFonts w:hint="eastAsia" w:ascii="宋体" w:hAnsi="宋体" w:eastAsia="宋体" w:cs="宋体"/>
                <w:b w:val="0"/>
                <w:bCs w:val="0"/>
                <w:color w:val="auto"/>
                <w:spacing w:val="8"/>
                <w:kern w:val="2"/>
                <w:sz w:val="24"/>
                <w:szCs w:val="24"/>
                <w:highlight w:val="none"/>
                <w:lang w:val="en-US" w:eastAsia="zh-CN" w:bidi="ar-SA"/>
              </w:rPr>
              <w:t>服务标准</w:t>
            </w:r>
          </w:p>
        </w:tc>
        <w:tc>
          <w:tcPr>
            <w:tcW w:w="1514" w:type="dxa"/>
            <w:noWrap w:val="0"/>
            <w:vAlign w:val="top"/>
          </w:tcPr>
          <w:p w14:paraId="403BA682">
            <w:pPr>
              <w:spacing w:line="360" w:lineRule="auto"/>
              <w:rPr>
                <w:rFonts w:hint="eastAsia" w:ascii="宋体" w:hAnsi="宋体" w:eastAsia="宋体" w:cs="宋体"/>
                <w:color w:val="auto"/>
                <w:sz w:val="24"/>
                <w:szCs w:val="24"/>
                <w:highlight w:val="none"/>
              </w:rPr>
            </w:pPr>
          </w:p>
        </w:tc>
        <w:tc>
          <w:tcPr>
            <w:tcW w:w="1288" w:type="dxa"/>
            <w:noWrap w:val="0"/>
            <w:vAlign w:val="top"/>
          </w:tcPr>
          <w:p w14:paraId="27605DCF">
            <w:pPr>
              <w:spacing w:line="360" w:lineRule="auto"/>
              <w:rPr>
                <w:rFonts w:hint="eastAsia" w:ascii="宋体" w:hAnsi="宋体" w:eastAsia="宋体" w:cs="宋体"/>
                <w:color w:val="auto"/>
                <w:sz w:val="24"/>
                <w:szCs w:val="24"/>
                <w:highlight w:val="none"/>
              </w:rPr>
            </w:pPr>
          </w:p>
        </w:tc>
      </w:tr>
      <w:tr w14:paraId="26BD5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704" w:type="dxa"/>
            <w:noWrap w:val="0"/>
            <w:vAlign w:val="top"/>
          </w:tcPr>
          <w:p w14:paraId="5B09AF0C">
            <w:pPr>
              <w:pStyle w:val="85"/>
              <w:spacing w:before="195" w:line="360" w:lineRule="auto"/>
              <w:ind w:lef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562" w:type="dxa"/>
            <w:noWrap w:val="0"/>
            <w:vAlign w:val="top"/>
          </w:tcPr>
          <w:p w14:paraId="30BFF3A1">
            <w:pPr>
              <w:pStyle w:val="85"/>
              <w:spacing w:before="195" w:line="360" w:lineRule="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完全满足项目</w:t>
            </w:r>
            <w:r>
              <w:rPr>
                <w:rFonts w:hint="default" w:ascii="宋体" w:hAnsi="宋体" w:eastAsia="宋体" w:cs="宋体"/>
                <w:b w:val="0"/>
                <w:bCs w:val="0"/>
                <w:color w:val="auto"/>
                <w:kern w:val="2"/>
                <w:sz w:val="24"/>
                <w:szCs w:val="24"/>
                <w:highlight w:val="none"/>
                <w:lang w:val="en-US" w:eastAsia="zh-CN" w:bidi="ar-SA"/>
              </w:rPr>
              <w:t>标的需实现的功能</w:t>
            </w:r>
            <w:r>
              <w:rPr>
                <w:rFonts w:hint="eastAsia" w:cs="宋体"/>
                <w:b w:val="0"/>
                <w:bCs w:val="0"/>
                <w:color w:val="auto"/>
                <w:kern w:val="2"/>
                <w:sz w:val="24"/>
                <w:szCs w:val="24"/>
                <w:highlight w:val="none"/>
                <w:lang w:val="en-US" w:eastAsia="zh-CN" w:bidi="ar-SA"/>
              </w:rPr>
              <w:t>及目标</w:t>
            </w:r>
          </w:p>
        </w:tc>
        <w:tc>
          <w:tcPr>
            <w:tcW w:w="1514" w:type="dxa"/>
            <w:noWrap w:val="0"/>
            <w:vAlign w:val="top"/>
          </w:tcPr>
          <w:p w14:paraId="0F03EF88">
            <w:pPr>
              <w:pStyle w:val="85"/>
              <w:spacing w:before="195" w:line="360" w:lineRule="auto"/>
              <w:ind w:left="316"/>
              <w:rPr>
                <w:rFonts w:hint="eastAsia" w:ascii="宋体" w:hAnsi="宋体" w:eastAsia="宋体" w:cs="宋体"/>
                <w:color w:val="auto"/>
                <w:sz w:val="24"/>
                <w:szCs w:val="24"/>
                <w:highlight w:val="none"/>
              </w:rPr>
            </w:pPr>
          </w:p>
        </w:tc>
        <w:tc>
          <w:tcPr>
            <w:tcW w:w="1288" w:type="dxa"/>
            <w:noWrap w:val="0"/>
            <w:vAlign w:val="top"/>
          </w:tcPr>
          <w:p w14:paraId="5E5322B9">
            <w:pPr>
              <w:pStyle w:val="85"/>
              <w:spacing w:before="195" w:line="360" w:lineRule="auto"/>
              <w:ind w:left="316"/>
              <w:rPr>
                <w:rFonts w:hint="eastAsia" w:ascii="宋体" w:hAnsi="宋体" w:eastAsia="宋体" w:cs="宋体"/>
                <w:color w:val="auto"/>
                <w:sz w:val="24"/>
                <w:szCs w:val="24"/>
                <w:highlight w:val="none"/>
              </w:rPr>
            </w:pPr>
          </w:p>
        </w:tc>
      </w:tr>
      <w:tr w14:paraId="386FA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04" w:type="dxa"/>
            <w:noWrap w:val="0"/>
            <w:vAlign w:val="top"/>
          </w:tcPr>
          <w:p w14:paraId="576DD7D5">
            <w:pPr>
              <w:pStyle w:val="85"/>
              <w:spacing w:before="196" w:line="360" w:lineRule="auto"/>
              <w:ind w:left="2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562" w:type="dxa"/>
            <w:noWrap w:val="0"/>
            <w:vAlign w:val="top"/>
          </w:tcPr>
          <w:p w14:paraId="2B6BCA9A">
            <w:pPr>
              <w:pStyle w:val="85"/>
              <w:spacing w:before="154" w:line="360" w:lineRule="auto"/>
              <w:rPr>
                <w:rFonts w:hint="default" w:ascii="宋体" w:hAnsi="宋体" w:eastAsia="宋体" w:cs="宋体"/>
                <w:color w:val="auto"/>
                <w:sz w:val="24"/>
                <w:szCs w:val="24"/>
                <w:highlight w:val="none"/>
                <w:lang w:val="en-US" w:eastAsia="zh-CN"/>
              </w:rPr>
            </w:pPr>
            <w:r>
              <w:rPr>
                <w:rFonts w:hint="eastAsia" w:cs="宋体"/>
                <w:color w:val="auto"/>
                <w:spacing w:val="8"/>
                <w:sz w:val="24"/>
                <w:szCs w:val="24"/>
                <w:highlight w:val="none"/>
                <w:lang w:val="en-US" w:eastAsia="zh-CN"/>
              </w:rPr>
              <w:t>完全满足本项目质量</w:t>
            </w:r>
            <w:r>
              <w:rPr>
                <w:rFonts w:hint="eastAsia" w:ascii="宋体" w:hAnsi="宋体" w:eastAsia="宋体" w:cs="宋体"/>
                <w:b w:val="0"/>
                <w:bCs w:val="0"/>
                <w:color w:val="auto"/>
                <w:kern w:val="2"/>
                <w:sz w:val="24"/>
                <w:szCs w:val="24"/>
                <w:highlight w:val="none"/>
                <w:lang w:val="en-US" w:eastAsia="zh-CN" w:bidi="ar-SA"/>
              </w:rPr>
              <w:t>保证期</w:t>
            </w:r>
            <w:r>
              <w:rPr>
                <w:rFonts w:hint="eastAsia" w:cs="宋体"/>
                <w:b w:val="0"/>
                <w:bCs w:val="0"/>
                <w:color w:val="auto"/>
                <w:kern w:val="2"/>
                <w:sz w:val="24"/>
                <w:szCs w:val="24"/>
                <w:highlight w:val="none"/>
                <w:lang w:val="en-US" w:eastAsia="zh-CN" w:bidi="ar-SA"/>
              </w:rPr>
              <w:t>要求：</w:t>
            </w:r>
            <w:r>
              <w:rPr>
                <w:rFonts w:hint="eastAsia" w:ascii="宋体" w:hAnsi="宋体" w:eastAsia="宋体" w:cs="宋体"/>
                <w:b w:val="0"/>
                <w:bCs w:val="0"/>
                <w:color w:val="auto"/>
                <w:kern w:val="2"/>
                <w:sz w:val="24"/>
                <w:szCs w:val="24"/>
                <w:highlight w:val="none"/>
                <w:lang w:val="en-US" w:eastAsia="zh-CN" w:bidi="ar-SA"/>
              </w:rPr>
              <w:t>本项目质量保证期要求不低于 1 年。质量保证期从货物供货、安装、调试正常且验收合格后开始计算。</w:t>
            </w:r>
          </w:p>
        </w:tc>
        <w:tc>
          <w:tcPr>
            <w:tcW w:w="1514" w:type="dxa"/>
            <w:noWrap w:val="0"/>
            <w:vAlign w:val="top"/>
          </w:tcPr>
          <w:p w14:paraId="1B58969B">
            <w:pPr>
              <w:spacing w:line="360" w:lineRule="auto"/>
              <w:rPr>
                <w:rFonts w:hint="eastAsia" w:ascii="宋体" w:hAnsi="宋体" w:eastAsia="宋体" w:cs="宋体"/>
                <w:color w:val="auto"/>
                <w:sz w:val="24"/>
                <w:szCs w:val="24"/>
                <w:highlight w:val="none"/>
              </w:rPr>
            </w:pPr>
          </w:p>
        </w:tc>
        <w:tc>
          <w:tcPr>
            <w:tcW w:w="1288" w:type="dxa"/>
            <w:noWrap w:val="0"/>
            <w:vAlign w:val="top"/>
          </w:tcPr>
          <w:p w14:paraId="1D30F55C">
            <w:pPr>
              <w:spacing w:line="360" w:lineRule="auto"/>
              <w:rPr>
                <w:rFonts w:hint="eastAsia" w:ascii="宋体" w:hAnsi="宋体" w:eastAsia="宋体" w:cs="宋体"/>
                <w:color w:val="auto"/>
                <w:sz w:val="24"/>
                <w:szCs w:val="24"/>
                <w:highlight w:val="none"/>
              </w:rPr>
            </w:pPr>
          </w:p>
        </w:tc>
      </w:tr>
      <w:tr w14:paraId="141EE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704" w:type="dxa"/>
            <w:noWrap w:val="0"/>
            <w:vAlign w:val="top"/>
          </w:tcPr>
          <w:p w14:paraId="5B9900BE">
            <w:pPr>
              <w:pStyle w:val="85"/>
              <w:spacing w:before="195" w:line="360" w:lineRule="auto"/>
              <w:ind w:left="316"/>
              <w:rPr>
                <w:rFonts w:hint="eastAsia" w:ascii="宋体" w:hAnsi="宋体" w:eastAsia="宋体" w:cs="宋体"/>
                <w:color w:val="auto"/>
                <w:sz w:val="24"/>
                <w:szCs w:val="24"/>
                <w:highlight w:val="none"/>
              </w:rPr>
            </w:pPr>
          </w:p>
          <w:p w14:paraId="6FCB5FE4">
            <w:pPr>
              <w:pStyle w:val="85"/>
              <w:spacing w:before="195" w:line="360" w:lineRule="auto"/>
              <w:ind w:left="31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562" w:type="dxa"/>
            <w:noWrap w:val="0"/>
            <w:vAlign w:val="top"/>
          </w:tcPr>
          <w:p w14:paraId="2843DE63">
            <w:pPr>
              <w:pStyle w:val="31"/>
              <w:adjustRightInd w:val="0"/>
              <w:spacing w:line="360" w:lineRule="auto"/>
              <w:textAlignment w:val="baseline"/>
              <w:outlineLvl w:val="2"/>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完全满足项目</w:t>
            </w:r>
            <w:r>
              <w:rPr>
                <w:rFonts w:hint="eastAsia" w:ascii="宋体" w:hAnsi="宋体" w:eastAsia="宋体" w:cs="宋体"/>
                <w:b w:val="0"/>
                <w:bCs w:val="0"/>
                <w:color w:val="auto"/>
                <w:kern w:val="2"/>
                <w:sz w:val="24"/>
                <w:szCs w:val="24"/>
                <w:highlight w:val="none"/>
                <w:lang w:val="en-US" w:eastAsia="zh-CN" w:bidi="ar-SA"/>
              </w:rPr>
              <w:t>服务响应</w:t>
            </w:r>
            <w:r>
              <w:rPr>
                <w:rFonts w:hint="eastAsia" w:ascii="宋体" w:hAnsi="宋体" w:cs="宋体"/>
                <w:b w:val="0"/>
                <w:bCs w:val="0"/>
                <w:color w:val="auto"/>
                <w:kern w:val="2"/>
                <w:sz w:val="24"/>
                <w:szCs w:val="24"/>
                <w:highlight w:val="none"/>
                <w:lang w:val="en-US" w:eastAsia="zh-CN" w:bidi="ar-SA"/>
              </w:rPr>
              <w:t>要求：</w:t>
            </w:r>
            <w:r>
              <w:rPr>
                <w:rFonts w:hint="eastAsia" w:ascii="宋体" w:hAnsi="宋体" w:eastAsia="宋体" w:cs="宋体"/>
                <w:b w:val="0"/>
                <w:bCs w:val="0"/>
                <w:color w:val="auto"/>
                <w:kern w:val="2"/>
                <w:sz w:val="24"/>
                <w:szCs w:val="24"/>
                <w:highlight w:val="none"/>
                <w:lang w:val="en-US" w:eastAsia="zh-CN" w:bidi="ar-SA"/>
              </w:rPr>
              <w:t>（1）全力保障各级应用系统平台的正常运行；（2）建立高效的服务组织，保证服务请求能够得到及时有效的响应；（3）组建专业的服务队伍，以便出现问题时迅速判明问题根源，采取有效措施解决问题；（4）建立快速响应机制，保证在特殊情况下，能够通过快速机制提供响应。</w:t>
            </w:r>
          </w:p>
        </w:tc>
        <w:tc>
          <w:tcPr>
            <w:tcW w:w="1514" w:type="dxa"/>
            <w:noWrap w:val="0"/>
            <w:vAlign w:val="top"/>
          </w:tcPr>
          <w:p w14:paraId="2E5CCE55">
            <w:pPr>
              <w:pStyle w:val="85"/>
              <w:spacing w:before="195" w:line="360" w:lineRule="auto"/>
              <w:ind w:left="316"/>
              <w:rPr>
                <w:rFonts w:hint="eastAsia" w:ascii="宋体" w:hAnsi="宋体" w:eastAsia="宋体" w:cs="宋体"/>
                <w:color w:val="auto"/>
                <w:sz w:val="24"/>
                <w:szCs w:val="24"/>
                <w:highlight w:val="none"/>
              </w:rPr>
            </w:pPr>
          </w:p>
        </w:tc>
        <w:tc>
          <w:tcPr>
            <w:tcW w:w="1288" w:type="dxa"/>
            <w:noWrap w:val="0"/>
            <w:vAlign w:val="top"/>
          </w:tcPr>
          <w:p w14:paraId="1DEE7680">
            <w:pPr>
              <w:pStyle w:val="85"/>
              <w:spacing w:before="195" w:line="360" w:lineRule="auto"/>
              <w:ind w:left="316"/>
              <w:rPr>
                <w:rFonts w:hint="eastAsia" w:ascii="宋体" w:hAnsi="宋体" w:eastAsia="宋体" w:cs="宋体"/>
                <w:color w:val="auto"/>
                <w:sz w:val="24"/>
                <w:szCs w:val="24"/>
                <w:highlight w:val="none"/>
              </w:rPr>
            </w:pPr>
          </w:p>
        </w:tc>
      </w:tr>
      <w:tr w14:paraId="4DA42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704" w:type="dxa"/>
            <w:noWrap w:val="0"/>
            <w:vAlign w:val="top"/>
          </w:tcPr>
          <w:p w14:paraId="2B86F166">
            <w:pPr>
              <w:pStyle w:val="85"/>
              <w:spacing w:before="199" w:line="360" w:lineRule="auto"/>
              <w:ind w:left="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562" w:type="dxa"/>
            <w:noWrap w:val="0"/>
            <w:vAlign w:val="top"/>
          </w:tcPr>
          <w:p w14:paraId="2FA09837">
            <w:pPr>
              <w:pStyle w:val="85"/>
              <w:spacing w:before="158" w:line="360" w:lineRule="auto"/>
              <w:ind w:left="12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同意接受</w:t>
            </w:r>
            <w:r>
              <w:rPr>
                <w:rFonts w:hint="eastAsia" w:ascii="宋体" w:hAnsi="宋体" w:eastAsia="宋体" w:cs="宋体"/>
                <w:color w:val="auto"/>
                <w:spacing w:val="6"/>
                <w:sz w:val="24"/>
                <w:szCs w:val="24"/>
                <w:highlight w:val="none"/>
                <w:lang w:eastAsia="zh-CN"/>
              </w:rPr>
              <w:t>谈判</w:t>
            </w:r>
            <w:r>
              <w:rPr>
                <w:rFonts w:hint="eastAsia" w:ascii="宋体" w:hAnsi="宋体" w:eastAsia="宋体" w:cs="宋体"/>
                <w:color w:val="auto"/>
                <w:spacing w:val="6"/>
                <w:sz w:val="24"/>
                <w:szCs w:val="24"/>
                <w:highlight w:val="none"/>
              </w:rPr>
              <w:t>文件的各项</w:t>
            </w:r>
            <w:r>
              <w:rPr>
                <w:rFonts w:hint="eastAsia" w:cs="宋体"/>
                <w:color w:val="auto"/>
                <w:spacing w:val="6"/>
                <w:sz w:val="24"/>
                <w:szCs w:val="24"/>
                <w:highlight w:val="none"/>
                <w:lang w:val="en-US" w:eastAsia="zh-CN"/>
              </w:rPr>
              <w:t>技术</w:t>
            </w:r>
            <w:r>
              <w:rPr>
                <w:rFonts w:hint="eastAsia" w:ascii="宋体" w:hAnsi="宋体" w:eastAsia="宋体" w:cs="宋体"/>
                <w:color w:val="auto"/>
                <w:spacing w:val="6"/>
                <w:sz w:val="24"/>
                <w:szCs w:val="24"/>
                <w:highlight w:val="none"/>
              </w:rPr>
              <w:t>要求</w:t>
            </w:r>
          </w:p>
        </w:tc>
        <w:tc>
          <w:tcPr>
            <w:tcW w:w="1514" w:type="dxa"/>
            <w:noWrap w:val="0"/>
            <w:vAlign w:val="top"/>
          </w:tcPr>
          <w:p w14:paraId="320B7F0C">
            <w:pPr>
              <w:spacing w:line="360" w:lineRule="auto"/>
              <w:rPr>
                <w:rFonts w:hint="eastAsia" w:ascii="宋体" w:hAnsi="宋体" w:eastAsia="宋体" w:cs="宋体"/>
                <w:color w:val="auto"/>
                <w:sz w:val="24"/>
                <w:szCs w:val="24"/>
                <w:highlight w:val="none"/>
              </w:rPr>
            </w:pPr>
          </w:p>
        </w:tc>
        <w:tc>
          <w:tcPr>
            <w:tcW w:w="1288" w:type="dxa"/>
            <w:noWrap w:val="0"/>
            <w:vAlign w:val="top"/>
          </w:tcPr>
          <w:p w14:paraId="34C4CCDB">
            <w:pPr>
              <w:spacing w:line="360" w:lineRule="auto"/>
              <w:rPr>
                <w:rFonts w:hint="eastAsia" w:ascii="宋体" w:hAnsi="宋体" w:eastAsia="宋体" w:cs="宋体"/>
                <w:color w:val="auto"/>
                <w:sz w:val="24"/>
                <w:szCs w:val="24"/>
                <w:highlight w:val="none"/>
              </w:rPr>
            </w:pPr>
          </w:p>
        </w:tc>
      </w:tr>
      <w:tr w14:paraId="20CB6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04" w:type="dxa"/>
            <w:noWrap w:val="0"/>
            <w:vAlign w:val="top"/>
          </w:tcPr>
          <w:p w14:paraId="6920B167">
            <w:pPr>
              <w:pStyle w:val="85"/>
              <w:spacing w:before="201" w:line="360" w:lineRule="auto"/>
              <w:ind w:left="3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5562" w:type="dxa"/>
            <w:noWrap w:val="0"/>
            <w:vAlign w:val="top"/>
          </w:tcPr>
          <w:p w14:paraId="7DAF1FF9">
            <w:pPr>
              <w:pStyle w:val="85"/>
              <w:spacing w:before="157" w:line="360" w:lineRule="auto"/>
              <w:ind w:left="14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其它商</w:t>
            </w:r>
            <w:r>
              <w:rPr>
                <w:rFonts w:hint="eastAsia" w:cs="宋体"/>
                <w:color w:val="auto"/>
                <w:spacing w:val="4"/>
                <w:sz w:val="24"/>
                <w:szCs w:val="24"/>
                <w:highlight w:val="none"/>
                <w:lang w:val="en-US" w:eastAsia="zh-CN"/>
              </w:rPr>
              <w:t>技术</w:t>
            </w:r>
            <w:r>
              <w:rPr>
                <w:rFonts w:hint="eastAsia" w:ascii="宋体" w:hAnsi="宋体" w:eastAsia="宋体" w:cs="宋体"/>
                <w:color w:val="auto"/>
                <w:spacing w:val="4"/>
                <w:sz w:val="24"/>
                <w:szCs w:val="24"/>
                <w:highlight w:val="none"/>
              </w:rPr>
              <w:t>条款偏离说明（若有</w:t>
            </w:r>
            <w:r>
              <w:rPr>
                <w:rFonts w:hint="eastAsia" w:ascii="宋体" w:hAnsi="宋体" w:eastAsia="宋体" w:cs="宋体"/>
                <w:color w:val="auto"/>
                <w:spacing w:val="10"/>
                <w:sz w:val="24"/>
                <w:szCs w:val="24"/>
                <w:highlight w:val="none"/>
              </w:rPr>
              <w:t>）：</w:t>
            </w:r>
          </w:p>
        </w:tc>
        <w:tc>
          <w:tcPr>
            <w:tcW w:w="1514" w:type="dxa"/>
            <w:noWrap w:val="0"/>
            <w:vAlign w:val="top"/>
          </w:tcPr>
          <w:p w14:paraId="1F86C11E">
            <w:pPr>
              <w:spacing w:line="360" w:lineRule="auto"/>
              <w:rPr>
                <w:rFonts w:hint="eastAsia" w:ascii="宋体" w:hAnsi="宋体" w:eastAsia="宋体" w:cs="宋体"/>
                <w:color w:val="auto"/>
                <w:sz w:val="24"/>
                <w:szCs w:val="24"/>
                <w:highlight w:val="none"/>
              </w:rPr>
            </w:pPr>
          </w:p>
        </w:tc>
        <w:tc>
          <w:tcPr>
            <w:tcW w:w="1288" w:type="dxa"/>
            <w:noWrap w:val="0"/>
            <w:vAlign w:val="top"/>
          </w:tcPr>
          <w:p w14:paraId="3409347D">
            <w:pPr>
              <w:spacing w:line="360" w:lineRule="auto"/>
              <w:rPr>
                <w:rFonts w:hint="eastAsia" w:ascii="宋体" w:hAnsi="宋体" w:eastAsia="宋体" w:cs="宋体"/>
                <w:color w:val="auto"/>
                <w:sz w:val="24"/>
                <w:szCs w:val="24"/>
                <w:highlight w:val="none"/>
              </w:rPr>
            </w:pPr>
          </w:p>
        </w:tc>
      </w:tr>
    </w:tbl>
    <w:p w14:paraId="07439BEE">
      <w:pPr>
        <w:spacing w:before="31" w:line="360" w:lineRule="auto"/>
        <w:ind w:left="133"/>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18"/>
          <w:sz w:val="24"/>
          <w:szCs w:val="24"/>
          <w:highlight w:val="none"/>
        </w:rPr>
        <w:t>注：</w:t>
      </w:r>
      <w:r>
        <w:rPr>
          <w:rFonts w:hint="eastAsia" w:ascii="宋体" w:hAnsi="宋体" w:eastAsia="宋体" w:cs="宋体"/>
          <w:color w:val="auto"/>
          <w:sz w:val="24"/>
          <w:szCs w:val="24"/>
          <w:highlight w:val="none"/>
        </w:rPr>
        <w:t>1. 对于上述要求，如供应商完全响应，则请</w:t>
      </w:r>
      <w:r>
        <w:rPr>
          <w:rFonts w:hint="eastAsia" w:ascii="宋体" w:hAnsi="宋体" w:eastAsia="宋体" w:cs="宋体"/>
          <w:color w:val="auto"/>
          <w:spacing w:val="-1"/>
          <w:sz w:val="24"/>
          <w:szCs w:val="24"/>
          <w:highlight w:val="none"/>
        </w:rPr>
        <w:t>在“是否响应</w:t>
      </w:r>
      <w:r>
        <w:rPr>
          <w:rFonts w:hint="eastAsia" w:ascii="宋体" w:hAnsi="宋体" w:eastAsia="宋体" w:cs="宋体"/>
          <w:color w:val="auto"/>
          <w:spacing w:val="-77"/>
          <w:sz w:val="24"/>
          <w:szCs w:val="24"/>
          <w:highlight w:val="none"/>
        </w:rPr>
        <w:t xml:space="preserve"> </w:t>
      </w:r>
      <w:r>
        <w:rPr>
          <w:rFonts w:hint="eastAsia" w:ascii="宋体" w:hAnsi="宋体" w:eastAsia="宋体" w:cs="宋体"/>
          <w:color w:val="auto"/>
          <w:spacing w:val="-1"/>
          <w:sz w:val="24"/>
          <w:szCs w:val="24"/>
          <w:highlight w:val="none"/>
        </w:rPr>
        <w:t>”</w:t>
      </w:r>
      <w:r>
        <w:rPr>
          <w:rFonts w:hint="eastAsia" w:ascii="宋体" w:hAnsi="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栏内打“√</w:t>
      </w:r>
      <w:r>
        <w:rPr>
          <w:rFonts w:hint="eastAsia" w:ascii="宋体" w:hAnsi="宋体" w:eastAsia="宋体" w:cs="宋体"/>
          <w:color w:val="auto"/>
          <w:spacing w:val="-76"/>
          <w:sz w:val="24"/>
          <w:szCs w:val="24"/>
          <w:highlight w:val="none"/>
        </w:rPr>
        <w:t xml:space="preserve"> </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65"/>
          <w:sz w:val="24"/>
          <w:szCs w:val="24"/>
          <w:highlight w:val="none"/>
        </w:rPr>
        <w:t xml:space="preserve"> </w:t>
      </w:r>
      <w:r>
        <w:rPr>
          <w:rFonts w:hint="eastAsia" w:ascii="宋体" w:hAnsi="宋体" w:cs="宋体"/>
          <w:color w:val="auto"/>
          <w:spacing w:val="-1"/>
          <w:sz w:val="24"/>
          <w:szCs w:val="24"/>
          <w:highlight w:val="none"/>
          <w:lang w:val="en-US" w:eastAsia="zh-CN"/>
        </w:rPr>
        <w:t>如有一项负偏离，则视为不响应谈判文件，符合性审查不通过。</w:t>
      </w:r>
    </w:p>
    <w:p w14:paraId="630E2F58">
      <w:pPr>
        <w:spacing w:before="17" w:line="360" w:lineRule="auto"/>
        <w:ind w:left="128"/>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供应商法定代表人（或法定代表人授权代表） 签字或盖章：</w:t>
      </w:r>
    </w:p>
    <w:p w14:paraId="5A50ED3A">
      <w:pPr>
        <w:spacing w:before="1" w:line="360" w:lineRule="auto"/>
        <w:ind w:left="12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供应商名称（盖公章</w:t>
      </w:r>
      <w:r>
        <w:rPr>
          <w:rFonts w:hint="eastAsia" w:ascii="宋体" w:hAnsi="宋体" w:eastAsia="宋体" w:cs="宋体"/>
          <w:color w:val="auto"/>
          <w:spacing w:val="-4"/>
          <w:sz w:val="24"/>
          <w:szCs w:val="24"/>
          <w:highlight w:val="none"/>
        </w:rPr>
        <w:t>）：</w:t>
      </w:r>
    </w:p>
    <w:p w14:paraId="1C116AE9">
      <w:pPr>
        <w:spacing w:before="22" w:line="360" w:lineRule="auto"/>
        <w:ind w:left="174"/>
        <w:rPr>
          <w:rFonts w:hint="eastAsia" w:ascii="宋体" w:hAnsi="宋体" w:eastAsia="宋体" w:cs="宋体"/>
          <w:color w:val="auto"/>
          <w:sz w:val="22"/>
          <w:szCs w:val="22"/>
          <w:highlight w:val="none"/>
        </w:rPr>
        <w:sectPr>
          <w:footerReference r:id="rId10" w:type="default"/>
          <w:pgSz w:w="11906" w:h="16838"/>
          <w:pgMar w:top="1417" w:right="1413" w:bottom="1347" w:left="1418" w:header="0" w:footer="1171" w:gutter="0"/>
          <w:pgNumType w:fmt="decimal"/>
          <w:cols w:space="720" w:num="1"/>
        </w:sectPr>
      </w:pPr>
      <w:r>
        <w:rPr>
          <w:rFonts w:hint="eastAsia" w:ascii="宋体" w:hAnsi="宋体" w:eastAsia="宋体" w:cs="宋体"/>
          <w:color w:val="auto"/>
          <w:spacing w:val="-32"/>
          <w:sz w:val="24"/>
          <w:szCs w:val="24"/>
          <w:highlight w:val="none"/>
        </w:rPr>
        <w:t>日</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32"/>
          <w:sz w:val="24"/>
          <w:szCs w:val="24"/>
          <w:highlight w:val="none"/>
        </w:rPr>
        <w:t>期：</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32"/>
          <w:sz w:val="24"/>
          <w:szCs w:val="24"/>
          <w:highlight w:val="none"/>
        </w:rPr>
        <w:t>年</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32"/>
          <w:sz w:val="24"/>
          <w:szCs w:val="24"/>
          <w:highlight w:val="none"/>
        </w:rPr>
        <w:t>月</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32"/>
          <w:sz w:val="24"/>
          <w:szCs w:val="24"/>
          <w:highlight w:val="none"/>
        </w:rPr>
        <w:t>日</w:t>
      </w:r>
    </w:p>
    <w:p w14:paraId="63E9F625">
      <w:pPr>
        <w:spacing w:before="0" w:line="240" w:lineRule="auto"/>
        <w:ind w:left="0"/>
        <w:rPr>
          <w:rFonts w:hint="eastAsia" w:ascii="宋体" w:hAnsi="宋体" w:eastAsia="宋体" w:cs="宋体"/>
          <w:color w:val="auto"/>
          <w:spacing w:val="9"/>
          <w:sz w:val="28"/>
          <w:szCs w:val="28"/>
          <w:highlight w:val="none"/>
        </w:rPr>
      </w:pPr>
    </w:p>
    <w:p w14:paraId="2B10439C">
      <w:pPr>
        <w:spacing w:before="94" w:line="229" w:lineRule="auto"/>
        <w:ind w:left="2399"/>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3.</w:t>
      </w:r>
      <w:r>
        <w:rPr>
          <w:rFonts w:hint="eastAsia" w:ascii="宋体" w:hAnsi="宋体" w:cs="宋体"/>
          <w:color w:val="auto"/>
          <w:spacing w:val="9"/>
          <w:sz w:val="28"/>
          <w:szCs w:val="28"/>
          <w:highlight w:val="none"/>
          <w:lang w:val="en-US" w:eastAsia="zh-CN"/>
        </w:rPr>
        <w:t xml:space="preserve">4 </w:t>
      </w:r>
      <w:r>
        <w:rPr>
          <w:rFonts w:hint="eastAsia" w:ascii="宋体" w:hAnsi="宋体" w:eastAsia="宋体" w:cs="宋体"/>
          <w:color w:val="auto"/>
          <w:spacing w:val="9"/>
          <w:sz w:val="28"/>
          <w:szCs w:val="28"/>
          <w:highlight w:val="none"/>
        </w:rPr>
        <w:t xml:space="preserve"> 拟派项目负责人及</w:t>
      </w:r>
      <w:r>
        <w:rPr>
          <w:rFonts w:hint="eastAsia" w:ascii="宋体" w:hAnsi="宋体" w:cs="宋体"/>
          <w:color w:val="auto"/>
          <w:spacing w:val="9"/>
          <w:sz w:val="28"/>
          <w:szCs w:val="28"/>
          <w:highlight w:val="none"/>
          <w:lang w:val="en-US" w:eastAsia="zh-CN"/>
        </w:rPr>
        <w:t>团队</w:t>
      </w:r>
      <w:r>
        <w:rPr>
          <w:rFonts w:hint="eastAsia" w:ascii="宋体" w:hAnsi="宋体" w:eastAsia="宋体" w:cs="宋体"/>
          <w:color w:val="auto"/>
          <w:spacing w:val="9"/>
          <w:sz w:val="28"/>
          <w:szCs w:val="28"/>
          <w:highlight w:val="none"/>
        </w:rPr>
        <w:t>人员一览表</w:t>
      </w:r>
    </w:p>
    <w:p w14:paraId="191D655E">
      <w:pPr>
        <w:spacing w:before="74" w:line="440" w:lineRule="exact"/>
        <w:ind w:left="536"/>
        <w:rPr>
          <w:rFonts w:hint="eastAsia" w:ascii="宋体" w:hAnsi="宋体" w:eastAsia="宋体" w:cs="宋体"/>
          <w:color w:val="auto"/>
          <w:sz w:val="24"/>
          <w:szCs w:val="24"/>
          <w:highlight w:val="none"/>
        </w:rPr>
      </w:pPr>
      <w:r>
        <w:rPr>
          <w:rFonts w:hint="eastAsia" w:ascii="宋体" w:hAnsi="宋体" w:eastAsia="宋体" w:cs="宋体"/>
          <w:color w:val="auto"/>
          <w:spacing w:val="-1"/>
          <w:position w:val="15"/>
          <w:sz w:val="24"/>
          <w:szCs w:val="24"/>
          <w:highlight w:val="none"/>
        </w:rPr>
        <w:t>采购项目名称：</w:t>
      </w:r>
    </w:p>
    <w:p w14:paraId="525EE364">
      <w:pPr>
        <w:spacing w:before="1" w:line="231" w:lineRule="auto"/>
        <w:ind w:left="535"/>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项目编号：</w:t>
      </w:r>
    </w:p>
    <w:p w14:paraId="009F91AA">
      <w:pPr>
        <w:spacing w:line="34" w:lineRule="exact"/>
        <w:rPr>
          <w:rFonts w:hint="eastAsia" w:ascii="宋体" w:hAnsi="宋体" w:eastAsia="宋体" w:cs="宋体"/>
          <w:color w:val="auto"/>
          <w:sz w:val="24"/>
          <w:szCs w:val="24"/>
          <w:highlight w:val="none"/>
        </w:rPr>
      </w:pPr>
    </w:p>
    <w:tbl>
      <w:tblPr>
        <w:tblStyle w:val="82"/>
        <w:tblW w:w="985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3"/>
        <w:gridCol w:w="1587"/>
        <w:gridCol w:w="1262"/>
        <w:gridCol w:w="1613"/>
        <w:gridCol w:w="1710"/>
        <w:gridCol w:w="2787"/>
      </w:tblGrid>
      <w:tr w14:paraId="5E592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93" w:type="dxa"/>
            <w:tcBorders>
              <w:top w:val="single" w:color="000000" w:sz="10" w:space="0"/>
              <w:left w:val="single" w:color="000000" w:sz="10" w:space="0"/>
            </w:tcBorders>
            <w:shd w:val="clear" w:color="auto" w:fill="EDEBE0"/>
            <w:noWrap w:val="0"/>
            <w:vAlign w:val="top"/>
          </w:tcPr>
          <w:p w14:paraId="701E0D0F">
            <w:pPr>
              <w:pStyle w:val="85"/>
              <w:spacing w:before="199" w:line="231" w:lineRule="auto"/>
              <w:ind w:left="29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序号</w:t>
            </w:r>
          </w:p>
        </w:tc>
        <w:tc>
          <w:tcPr>
            <w:tcW w:w="1587" w:type="dxa"/>
            <w:tcBorders>
              <w:top w:val="single" w:color="000000" w:sz="10" w:space="0"/>
            </w:tcBorders>
            <w:shd w:val="clear" w:color="auto" w:fill="EDEBE0"/>
            <w:noWrap w:val="0"/>
            <w:vAlign w:val="top"/>
          </w:tcPr>
          <w:p w14:paraId="2EC9650C">
            <w:pPr>
              <w:pStyle w:val="85"/>
              <w:spacing w:before="199" w:line="233" w:lineRule="auto"/>
              <w:ind w:left="65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姓名</w:t>
            </w:r>
          </w:p>
        </w:tc>
        <w:tc>
          <w:tcPr>
            <w:tcW w:w="1262" w:type="dxa"/>
            <w:tcBorders>
              <w:top w:val="single" w:color="000000" w:sz="10" w:space="0"/>
            </w:tcBorders>
            <w:shd w:val="clear" w:color="auto" w:fill="EDEBE0"/>
            <w:noWrap w:val="0"/>
            <w:vAlign w:val="top"/>
          </w:tcPr>
          <w:p w14:paraId="23F93BAE">
            <w:pPr>
              <w:pStyle w:val="85"/>
              <w:spacing w:before="198" w:line="232" w:lineRule="auto"/>
              <w:ind w:left="50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学历</w:t>
            </w:r>
          </w:p>
        </w:tc>
        <w:tc>
          <w:tcPr>
            <w:tcW w:w="1613" w:type="dxa"/>
            <w:tcBorders>
              <w:top w:val="single" w:color="000000" w:sz="10" w:space="0"/>
            </w:tcBorders>
            <w:shd w:val="clear" w:color="auto" w:fill="EDEBE0"/>
            <w:noWrap w:val="0"/>
            <w:vAlign w:val="top"/>
          </w:tcPr>
          <w:p w14:paraId="1CDE7B5E">
            <w:pPr>
              <w:pStyle w:val="85"/>
              <w:spacing w:before="199" w:line="229" w:lineRule="auto"/>
              <w:ind w:left="67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职称</w:t>
            </w:r>
          </w:p>
        </w:tc>
        <w:tc>
          <w:tcPr>
            <w:tcW w:w="1710" w:type="dxa"/>
            <w:tcBorders>
              <w:top w:val="single" w:color="000000" w:sz="10" w:space="0"/>
            </w:tcBorders>
            <w:shd w:val="clear" w:color="auto" w:fill="EDEBE0"/>
            <w:noWrap w:val="0"/>
            <w:vAlign w:val="top"/>
          </w:tcPr>
          <w:p w14:paraId="27FC7CF9">
            <w:pPr>
              <w:pStyle w:val="85"/>
              <w:spacing w:before="199" w:line="231" w:lineRule="auto"/>
              <w:ind w:left="475"/>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经验年限</w:t>
            </w:r>
          </w:p>
        </w:tc>
        <w:tc>
          <w:tcPr>
            <w:tcW w:w="2787" w:type="dxa"/>
            <w:tcBorders>
              <w:top w:val="single" w:color="000000" w:sz="10" w:space="0"/>
              <w:right w:val="single" w:color="000000" w:sz="10" w:space="0"/>
            </w:tcBorders>
            <w:shd w:val="clear" w:color="auto" w:fill="EDEBE0"/>
            <w:noWrap w:val="0"/>
            <w:vAlign w:val="top"/>
          </w:tcPr>
          <w:p w14:paraId="2F005582">
            <w:pPr>
              <w:pStyle w:val="85"/>
              <w:spacing w:before="198" w:line="229" w:lineRule="auto"/>
              <w:ind w:left="19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拟担任职务或承担工作内容</w:t>
            </w:r>
          </w:p>
        </w:tc>
      </w:tr>
      <w:tr w14:paraId="7F88F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893" w:type="dxa"/>
            <w:tcBorders>
              <w:left w:val="single" w:color="000000" w:sz="10" w:space="0"/>
            </w:tcBorders>
            <w:noWrap w:val="0"/>
            <w:vAlign w:val="top"/>
          </w:tcPr>
          <w:p w14:paraId="566C12C0">
            <w:pPr>
              <w:rPr>
                <w:rFonts w:hint="eastAsia" w:ascii="宋体" w:hAnsi="宋体" w:eastAsia="宋体" w:cs="宋体"/>
                <w:color w:val="auto"/>
                <w:sz w:val="24"/>
                <w:szCs w:val="24"/>
                <w:highlight w:val="none"/>
              </w:rPr>
            </w:pPr>
          </w:p>
        </w:tc>
        <w:tc>
          <w:tcPr>
            <w:tcW w:w="1587" w:type="dxa"/>
            <w:noWrap w:val="0"/>
            <w:vAlign w:val="top"/>
          </w:tcPr>
          <w:p w14:paraId="4CDD6E7B">
            <w:pPr>
              <w:rPr>
                <w:rFonts w:hint="eastAsia" w:ascii="宋体" w:hAnsi="宋体" w:eastAsia="宋体" w:cs="宋体"/>
                <w:color w:val="auto"/>
                <w:sz w:val="24"/>
                <w:szCs w:val="24"/>
                <w:highlight w:val="none"/>
              </w:rPr>
            </w:pPr>
          </w:p>
        </w:tc>
        <w:tc>
          <w:tcPr>
            <w:tcW w:w="1262" w:type="dxa"/>
            <w:noWrap w:val="0"/>
            <w:vAlign w:val="top"/>
          </w:tcPr>
          <w:p w14:paraId="135A0532">
            <w:pPr>
              <w:rPr>
                <w:rFonts w:hint="eastAsia" w:ascii="宋体" w:hAnsi="宋体" w:eastAsia="宋体" w:cs="宋体"/>
                <w:color w:val="auto"/>
                <w:sz w:val="24"/>
                <w:szCs w:val="24"/>
                <w:highlight w:val="none"/>
              </w:rPr>
            </w:pPr>
          </w:p>
        </w:tc>
        <w:tc>
          <w:tcPr>
            <w:tcW w:w="1613" w:type="dxa"/>
            <w:noWrap w:val="0"/>
            <w:vAlign w:val="top"/>
          </w:tcPr>
          <w:p w14:paraId="67C321F2">
            <w:pPr>
              <w:rPr>
                <w:rFonts w:hint="eastAsia" w:ascii="宋体" w:hAnsi="宋体" w:eastAsia="宋体" w:cs="宋体"/>
                <w:color w:val="auto"/>
                <w:sz w:val="24"/>
                <w:szCs w:val="24"/>
                <w:highlight w:val="none"/>
              </w:rPr>
            </w:pPr>
          </w:p>
        </w:tc>
        <w:tc>
          <w:tcPr>
            <w:tcW w:w="1710" w:type="dxa"/>
            <w:noWrap w:val="0"/>
            <w:vAlign w:val="top"/>
          </w:tcPr>
          <w:p w14:paraId="672AD919">
            <w:pPr>
              <w:rPr>
                <w:rFonts w:hint="eastAsia" w:ascii="宋体" w:hAnsi="宋体" w:eastAsia="宋体" w:cs="宋体"/>
                <w:color w:val="auto"/>
                <w:sz w:val="24"/>
                <w:szCs w:val="24"/>
                <w:highlight w:val="none"/>
              </w:rPr>
            </w:pPr>
          </w:p>
        </w:tc>
        <w:tc>
          <w:tcPr>
            <w:tcW w:w="2787" w:type="dxa"/>
            <w:tcBorders>
              <w:right w:val="single" w:color="000000" w:sz="10" w:space="0"/>
            </w:tcBorders>
            <w:noWrap w:val="0"/>
            <w:vAlign w:val="top"/>
          </w:tcPr>
          <w:p w14:paraId="6265B62E">
            <w:pPr>
              <w:rPr>
                <w:rFonts w:hint="eastAsia" w:ascii="宋体" w:hAnsi="宋体" w:eastAsia="宋体" w:cs="宋体"/>
                <w:color w:val="auto"/>
                <w:sz w:val="24"/>
                <w:szCs w:val="24"/>
                <w:highlight w:val="none"/>
              </w:rPr>
            </w:pPr>
          </w:p>
        </w:tc>
      </w:tr>
      <w:tr w14:paraId="234BB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93" w:type="dxa"/>
            <w:tcBorders>
              <w:left w:val="single" w:color="000000" w:sz="10" w:space="0"/>
            </w:tcBorders>
            <w:noWrap w:val="0"/>
            <w:vAlign w:val="top"/>
          </w:tcPr>
          <w:p w14:paraId="02210954">
            <w:pPr>
              <w:rPr>
                <w:rFonts w:hint="eastAsia" w:ascii="宋体" w:hAnsi="宋体" w:eastAsia="宋体" w:cs="宋体"/>
                <w:color w:val="auto"/>
                <w:sz w:val="24"/>
                <w:szCs w:val="24"/>
                <w:highlight w:val="none"/>
              </w:rPr>
            </w:pPr>
          </w:p>
        </w:tc>
        <w:tc>
          <w:tcPr>
            <w:tcW w:w="1587" w:type="dxa"/>
            <w:noWrap w:val="0"/>
            <w:vAlign w:val="top"/>
          </w:tcPr>
          <w:p w14:paraId="10F83CA3">
            <w:pPr>
              <w:rPr>
                <w:rFonts w:hint="eastAsia" w:ascii="宋体" w:hAnsi="宋体" w:eastAsia="宋体" w:cs="宋体"/>
                <w:color w:val="auto"/>
                <w:sz w:val="24"/>
                <w:szCs w:val="24"/>
                <w:highlight w:val="none"/>
              </w:rPr>
            </w:pPr>
          </w:p>
        </w:tc>
        <w:tc>
          <w:tcPr>
            <w:tcW w:w="1262" w:type="dxa"/>
            <w:noWrap w:val="0"/>
            <w:vAlign w:val="top"/>
          </w:tcPr>
          <w:p w14:paraId="1B8B1FD3">
            <w:pPr>
              <w:rPr>
                <w:rFonts w:hint="eastAsia" w:ascii="宋体" w:hAnsi="宋体" w:eastAsia="宋体" w:cs="宋体"/>
                <w:color w:val="auto"/>
                <w:sz w:val="24"/>
                <w:szCs w:val="24"/>
                <w:highlight w:val="none"/>
              </w:rPr>
            </w:pPr>
          </w:p>
        </w:tc>
        <w:tc>
          <w:tcPr>
            <w:tcW w:w="1613" w:type="dxa"/>
            <w:noWrap w:val="0"/>
            <w:vAlign w:val="top"/>
          </w:tcPr>
          <w:p w14:paraId="6C4F91BE">
            <w:pPr>
              <w:rPr>
                <w:rFonts w:hint="eastAsia" w:ascii="宋体" w:hAnsi="宋体" w:eastAsia="宋体" w:cs="宋体"/>
                <w:color w:val="auto"/>
                <w:sz w:val="24"/>
                <w:szCs w:val="24"/>
                <w:highlight w:val="none"/>
              </w:rPr>
            </w:pPr>
          </w:p>
        </w:tc>
        <w:tc>
          <w:tcPr>
            <w:tcW w:w="1710" w:type="dxa"/>
            <w:noWrap w:val="0"/>
            <w:vAlign w:val="top"/>
          </w:tcPr>
          <w:p w14:paraId="0BAE0F07">
            <w:pPr>
              <w:rPr>
                <w:rFonts w:hint="eastAsia" w:ascii="宋体" w:hAnsi="宋体" w:eastAsia="宋体" w:cs="宋体"/>
                <w:color w:val="auto"/>
                <w:sz w:val="24"/>
                <w:szCs w:val="24"/>
                <w:highlight w:val="none"/>
              </w:rPr>
            </w:pPr>
          </w:p>
        </w:tc>
        <w:tc>
          <w:tcPr>
            <w:tcW w:w="2787" w:type="dxa"/>
            <w:tcBorders>
              <w:right w:val="single" w:color="000000" w:sz="10" w:space="0"/>
            </w:tcBorders>
            <w:noWrap w:val="0"/>
            <w:vAlign w:val="top"/>
          </w:tcPr>
          <w:p w14:paraId="2A28FC6B">
            <w:pPr>
              <w:rPr>
                <w:rFonts w:hint="eastAsia" w:ascii="宋体" w:hAnsi="宋体" w:eastAsia="宋体" w:cs="宋体"/>
                <w:color w:val="auto"/>
                <w:sz w:val="24"/>
                <w:szCs w:val="24"/>
                <w:highlight w:val="none"/>
              </w:rPr>
            </w:pPr>
          </w:p>
        </w:tc>
      </w:tr>
      <w:tr w14:paraId="2BF11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93" w:type="dxa"/>
            <w:tcBorders>
              <w:left w:val="single" w:color="000000" w:sz="10" w:space="0"/>
            </w:tcBorders>
            <w:noWrap w:val="0"/>
            <w:vAlign w:val="top"/>
          </w:tcPr>
          <w:p w14:paraId="7A5867CF">
            <w:pPr>
              <w:rPr>
                <w:rFonts w:hint="eastAsia" w:ascii="宋体" w:hAnsi="宋体" w:eastAsia="宋体" w:cs="宋体"/>
                <w:color w:val="auto"/>
                <w:sz w:val="24"/>
                <w:szCs w:val="24"/>
                <w:highlight w:val="none"/>
              </w:rPr>
            </w:pPr>
          </w:p>
        </w:tc>
        <w:tc>
          <w:tcPr>
            <w:tcW w:w="1587" w:type="dxa"/>
            <w:noWrap w:val="0"/>
            <w:vAlign w:val="top"/>
          </w:tcPr>
          <w:p w14:paraId="59D2327C">
            <w:pPr>
              <w:rPr>
                <w:rFonts w:hint="eastAsia" w:ascii="宋体" w:hAnsi="宋体" w:eastAsia="宋体" w:cs="宋体"/>
                <w:color w:val="auto"/>
                <w:sz w:val="24"/>
                <w:szCs w:val="24"/>
                <w:highlight w:val="none"/>
              </w:rPr>
            </w:pPr>
          </w:p>
        </w:tc>
        <w:tc>
          <w:tcPr>
            <w:tcW w:w="1262" w:type="dxa"/>
            <w:noWrap w:val="0"/>
            <w:vAlign w:val="top"/>
          </w:tcPr>
          <w:p w14:paraId="5F78C6BA">
            <w:pPr>
              <w:rPr>
                <w:rFonts w:hint="eastAsia" w:ascii="宋体" w:hAnsi="宋体" w:eastAsia="宋体" w:cs="宋体"/>
                <w:color w:val="auto"/>
                <w:sz w:val="24"/>
                <w:szCs w:val="24"/>
                <w:highlight w:val="none"/>
              </w:rPr>
            </w:pPr>
          </w:p>
        </w:tc>
        <w:tc>
          <w:tcPr>
            <w:tcW w:w="1613" w:type="dxa"/>
            <w:noWrap w:val="0"/>
            <w:vAlign w:val="top"/>
          </w:tcPr>
          <w:p w14:paraId="1DD7EA86">
            <w:pPr>
              <w:rPr>
                <w:rFonts w:hint="eastAsia" w:ascii="宋体" w:hAnsi="宋体" w:eastAsia="宋体" w:cs="宋体"/>
                <w:color w:val="auto"/>
                <w:sz w:val="24"/>
                <w:szCs w:val="24"/>
                <w:highlight w:val="none"/>
              </w:rPr>
            </w:pPr>
          </w:p>
        </w:tc>
        <w:tc>
          <w:tcPr>
            <w:tcW w:w="1710" w:type="dxa"/>
            <w:noWrap w:val="0"/>
            <w:vAlign w:val="top"/>
          </w:tcPr>
          <w:p w14:paraId="3E2DB937">
            <w:pPr>
              <w:rPr>
                <w:rFonts w:hint="eastAsia" w:ascii="宋体" w:hAnsi="宋体" w:eastAsia="宋体" w:cs="宋体"/>
                <w:color w:val="auto"/>
                <w:sz w:val="24"/>
                <w:szCs w:val="24"/>
                <w:highlight w:val="none"/>
              </w:rPr>
            </w:pPr>
          </w:p>
        </w:tc>
        <w:tc>
          <w:tcPr>
            <w:tcW w:w="2787" w:type="dxa"/>
            <w:tcBorders>
              <w:right w:val="single" w:color="000000" w:sz="10" w:space="0"/>
            </w:tcBorders>
            <w:noWrap w:val="0"/>
            <w:vAlign w:val="top"/>
          </w:tcPr>
          <w:p w14:paraId="066A143D">
            <w:pPr>
              <w:rPr>
                <w:rFonts w:hint="eastAsia" w:ascii="宋体" w:hAnsi="宋体" w:eastAsia="宋体" w:cs="宋体"/>
                <w:color w:val="auto"/>
                <w:sz w:val="24"/>
                <w:szCs w:val="24"/>
                <w:highlight w:val="none"/>
              </w:rPr>
            </w:pPr>
          </w:p>
        </w:tc>
      </w:tr>
      <w:tr w14:paraId="160AB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93" w:type="dxa"/>
            <w:tcBorders>
              <w:left w:val="single" w:color="000000" w:sz="10" w:space="0"/>
            </w:tcBorders>
            <w:noWrap w:val="0"/>
            <w:vAlign w:val="top"/>
          </w:tcPr>
          <w:p w14:paraId="7BAD5F58">
            <w:pPr>
              <w:rPr>
                <w:rFonts w:hint="eastAsia" w:ascii="宋体" w:hAnsi="宋体" w:eastAsia="宋体" w:cs="宋体"/>
                <w:color w:val="auto"/>
                <w:sz w:val="24"/>
                <w:szCs w:val="24"/>
                <w:highlight w:val="none"/>
              </w:rPr>
            </w:pPr>
          </w:p>
        </w:tc>
        <w:tc>
          <w:tcPr>
            <w:tcW w:w="1587" w:type="dxa"/>
            <w:noWrap w:val="0"/>
            <w:vAlign w:val="top"/>
          </w:tcPr>
          <w:p w14:paraId="420795FC">
            <w:pPr>
              <w:rPr>
                <w:rFonts w:hint="eastAsia" w:ascii="宋体" w:hAnsi="宋体" w:eastAsia="宋体" w:cs="宋体"/>
                <w:color w:val="auto"/>
                <w:sz w:val="24"/>
                <w:szCs w:val="24"/>
                <w:highlight w:val="none"/>
              </w:rPr>
            </w:pPr>
          </w:p>
        </w:tc>
        <w:tc>
          <w:tcPr>
            <w:tcW w:w="1262" w:type="dxa"/>
            <w:noWrap w:val="0"/>
            <w:vAlign w:val="top"/>
          </w:tcPr>
          <w:p w14:paraId="42D341E1">
            <w:pPr>
              <w:rPr>
                <w:rFonts w:hint="eastAsia" w:ascii="宋体" w:hAnsi="宋体" w:eastAsia="宋体" w:cs="宋体"/>
                <w:color w:val="auto"/>
                <w:sz w:val="24"/>
                <w:szCs w:val="24"/>
                <w:highlight w:val="none"/>
              </w:rPr>
            </w:pPr>
          </w:p>
        </w:tc>
        <w:tc>
          <w:tcPr>
            <w:tcW w:w="1613" w:type="dxa"/>
            <w:noWrap w:val="0"/>
            <w:vAlign w:val="top"/>
          </w:tcPr>
          <w:p w14:paraId="69A43926">
            <w:pPr>
              <w:rPr>
                <w:rFonts w:hint="eastAsia" w:ascii="宋体" w:hAnsi="宋体" w:eastAsia="宋体" w:cs="宋体"/>
                <w:color w:val="auto"/>
                <w:sz w:val="24"/>
                <w:szCs w:val="24"/>
                <w:highlight w:val="none"/>
              </w:rPr>
            </w:pPr>
          </w:p>
        </w:tc>
        <w:tc>
          <w:tcPr>
            <w:tcW w:w="1710" w:type="dxa"/>
            <w:noWrap w:val="0"/>
            <w:vAlign w:val="top"/>
          </w:tcPr>
          <w:p w14:paraId="390459ED">
            <w:pPr>
              <w:rPr>
                <w:rFonts w:hint="eastAsia" w:ascii="宋体" w:hAnsi="宋体" w:eastAsia="宋体" w:cs="宋体"/>
                <w:color w:val="auto"/>
                <w:sz w:val="24"/>
                <w:szCs w:val="24"/>
                <w:highlight w:val="none"/>
              </w:rPr>
            </w:pPr>
          </w:p>
        </w:tc>
        <w:tc>
          <w:tcPr>
            <w:tcW w:w="2787" w:type="dxa"/>
            <w:tcBorders>
              <w:right w:val="single" w:color="000000" w:sz="10" w:space="0"/>
            </w:tcBorders>
            <w:noWrap w:val="0"/>
            <w:vAlign w:val="top"/>
          </w:tcPr>
          <w:p w14:paraId="30B56A9B">
            <w:pPr>
              <w:rPr>
                <w:rFonts w:hint="eastAsia" w:ascii="宋体" w:hAnsi="宋体" w:eastAsia="宋体" w:cs="宋体"/>
                <w:color w:val="auto"/>
                <w:sz w:val="24"/>
                <w:szCs w:val="24"/>
                <w:highlight w:val="none"/>
              </w:rPr>
            </w:pPr>
          </w:p>
        </w:tc>
      </w:tr>
      <w:tr w14:paraId="32D62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93" w:type="dxa"/>
            <w:tcBorders>
              <w:left w:val="single" w:color="000000" w:sz="10" w:space="0"/>
            </w:tcBorders>
            <w:noWrap w:val="0"/>
            <w:vAlign w:val="top"/>
          </w:tcPr>
          <w:p w14:paraId="751A33A2">
            <w:pPr>
              <w:rPr>
                <w:rFonts w:hint="eastAsia" w:ascii="宋体" w:hAnsi="宋体" w:eastAsia="宋体" w:cs="宋体"/>
                <w:color w:val="auto"/>
                <w:sz w:val="24"/>
                <w:szCs w:val="24"/>
                <w:highlight w:val="none"/>
              </w:rPr>
            </w:pPr>
          </w:p>
        </w:tc>
        <w:tc>
          <w:tcPr>
            <w:tcW w:w="1587" w:type="dxa"/>
            <w:noWrap w:val="0"/>
            <w:vAlign w:val="top"/>
          </w:tcPr>
          <w:p w14:paraId="0F82DF7E">
            <w:pPr>
              <w:rPr>
                <w:rFonts w:hint="eastAsia" w:ascii="宋体" w:hAnsi="宋体" w:eastAsia="宋体" w:cs="宋体"/>
                <w:color w:val="auto"/>
                <w:sz w:val="24"/>
                <w:szCs w:val="24"/>
                <w:highlight w:val="none"/>
              </w:rPr>
            </w:pPr>
          </w:p>
        </w:tc>
        <w:tc>
          <w:tcPr>
            <w:tcW w:w="1262" w:type="dxa"/>
            <w:noWrap w:val="0"/>
            <w:vAlign w:val="top"/>
          </w:tcPr>
          <w:p w14:paraId="1C932C88">
            <w:pPr>
              <w:rPr>
                <w:rFonts w:hint="eastAsia" w:ascii="宋体" w:hAnsi="宋体" w:eastAsia="宋体" w:cs="宋体"/>
                <w:color w:val="auto"/>
                <w:sz w:val="24"/>
                <w:szCs w:val="24"/>
                <w:highlight w:val="none"/>
              </w:rPr>
            </w:pPr>
          </w:p>
        </w:tc>
        <w:tc>
          <w:tcPr>
            <w:tcW w:w="1613" w:type="dxa"/>
            <w:noWrap w:val="0"/>
            <w:vAlign w:val="top"/>
          </w:tcPr>
          <w:p w14:paraId="3D5F8B15">
            <w:pPr>
              <w:rPr>
                <w:rFonts w:hint="eastAsia" w:ascii="宋体" w:hAnsi="宋体" w:eastAsia="宋体" w:cs="宋体"/>
                <w:color w:val="auto"/>
                <w:sz w:val="24"/>
                <w:szCs w:val="24"/>
                <w:highlight w:val="none"/>
              </w:rPr>
            </w:pPr>
          </w:p>
        </w:tc>
        <w:tc>
          <w:tcPr>
            <w:tcW w:w="1710" w:type="dxa"/>
            <w:noWrap w:val="0"/>
            <w:vAlign w:val="top"/>
          </w:tcPr>
          <w:p w14:paraId="02622A8E">
            <w:pPr>
              <w:rPr>
                <w:rFonts w:hint="eastAsia" w:ascii="宋体" w:hAnsi="宋体" w:eastAsia="宋体" w:cs="宋体"/>
                <w:color w:val="auto"/>
                <w:sz w:val="24"/>
                <w:szCs w:val="24"/>
                <w:highlight w:val="none"/>
              </w:rPr>
            </w:pPr>
          </w:p>
        </w:tc>
        <w:tc>
          <w:tcPr>
            <w:tcW w:w="2787" w:type="dxa"/>
            <w:tcBorders>
              <w:right w:val="single" w:color="000000" w:sz="10" w:space="0"/>
            </w:tcBorders>
            <w:noWrap w:val="0"/>
            <w:vAlign w:val="top"/>
          </w:tcPr>
          <w:p w14:paraId="466CDDDF">
            <w:pPr>
              <w:rPr>
                <w:rFonts w:hint="eastAsia" w:ascii="宋体" w:hAnsi="宋体" w:eastAsia="宋体" w:cs="宋体"/>
                <w:color w:val="auto"/>
                <w:sz w:val="24"/>
                <w:szCs w:val="24"/>
                <w:highlight w:val="none"/>
              </w:rPr>
            </w:pPr>
          </w:p>
        </w:tc>
      </w:tr>
      <w:tr w14:paraId="6605E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93" w:type="dxa"/>
            <w:tcBorders>
              <w:left w:val="single" w:color="000000" w:sz="10" w:space="0"/>
            </w:tcBorders>
            <w:noWrap w:val="0"/>
            <w:vAlign w:val="top"/>
          </w:tcPr>
          <w:p w14:paraId="73E6E18A">
            <w:pPr>
              <w:rPr>
                <w:rFonts w:hint="eastAsia" w:ascii="宋体" w:hAnsi="宋体" w:eastAsia="宋体" w:cs="宋体"/>
                <w:color w:val="auto"/>
                <w:sz w:val="24"/>
                <w:szCs w:val="24"/>
                <w:highlight w:val="none"/>
              </w:rPr>
            </w:pPr>
          </w:p>
        </w:tc>
        <w:tc>
          <w:tcPr>
            <w:tcW w:w="1587" w:type="dxa"/>
            <w:noWrap w:val="0"/>
            <w:vAlign w:val="top"/>
          </w:tcPr>
          <w:p w14:paraId="275622E4">
            <w:pPr>
              <w:rPr>
                <w:rFonts w:hint="eastAsia" w:ascii="宋体" w:hAnsi="宋体" w:eastAsia="宋体" w:cs="宋体"/>
                <w:color w:val="auto"/>
                <w:sz w:val="24"/>
                <w:szCs w:val="24"/>
                <w:highlight w:val="none"/>
              </w:rPr>
            </w:pPr>
          </w:p>
        </w:tc>
        <w:tc>
          <w:tcPr>
            <w:tcW w:w="1262" w:type="dxa"/>
            <w:noWrap w:val="0"/>
            <w:vAlign w:val="top"/>
          </w:tcPr>
          <w:p w14:paraId="6DE31B49">
            <w:pPr>
              <w:rPr>
                <w:rFonts w:hint="eastAsia" w:ascii="宋体" w:hAnsi="宋体" w:eastAsia="宋体" w:cs="宋体"/>
                <w:color w:val="auto"/>
                <w:sz w:val="24"/>
                <w:szCs w:val="24"/>
                <w:highlight w:val="none"/>
              </w:rPr>
            </w:pPr>
          </w:p>
        </w:tc>
        <w:tc>
          <w:tcPr>
            <w:tcW w:w="1613" w:type="dxa"/>
            <w:noWrap w:val="0"/>
            <w:vAlign w:val="top"/>
          </w:tcPr>
          <w:p w14:paraId="3C2C7771">
            <w:pPr>
              <w:rPr>
                <w:rFonts w:hint="eastAsia" w:ascii="宋体" w:hAnsi="宋体" w:eastAsia="宋体" w:cs="宋体"/>
                <w:color w:val="auto"/>
                <w:sz w:val="24"/>
                <w:szCs w:val="24"/>
                <w:highlight w:val="none"/>
              </w:rPr>
            </w:pPr>
          </w:p>
        </w:tc>
        <w:tc>
          <w:tcPr>
            <w:tcW w:w="1710" w:type="dxa"/>
            <w:noWrap w:val="0"/>
            <w:vAlign w:val="top"/>
          </w:tcPr>
          <w:p w14:paraId="43D1A14F">
            <w:pPr>
              <w:rPr>
                <w:rFonts w:hint="eastAsia" w:ascii="宋体" w:hAnsi="宋体" w:eastAsia="宋体" w:cs="宋体"/>
                <w:color w:val="auto"/>
                <w:sz w:val="24"/>
                <w:szCs w:val="24"/>
                <w:highlight w:val="none"/>
              </w:rPr>
            </w:pPr>
          </w:p>
        </w:tc>
        <w:tc>
          <w:tcPr>
            <w:tcW w:w="2787" w:type="dxa"/>
            <w:tcBorders>
              <w:right w:val="single" w:color="000000" w:sz="10" w:space="0"/>
            </w:tcBorders>
            <w:noWrap w:val="0"/>
            <w:vAlign w:val="top"/>
          </w:tcPr>
          <w:p w14:paraId="5DA04DF3">
            <w:pPr>
              <w:rPr>
                <w:rFonts w:hint="eastAsia" w:ascii="宋体" w:hAnsi="宋体" w:eastAsia="宋体" w:cs="宋体"/>
                <w:color w:val="auto"/>
                <w:sz w:val="24"/>
                <w:szCs w:val="24"/>
                <w:highlight w:val="none"/>
              </w:rPr>
            </w:pPr>
          </w:p>
        </w:tc>
      </w:tr>
      <w:tr w14:paraId="6C6A4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93" w:type="dxa"/>
            <w:tcBorders>
              <w:left w:val="single" w:color="000000" w:sz="10" w:space="0"/>
            </w:tcBorders>
            <w:noWrap w:val="0"/>
            <w:vAlign w:val="top"/>
          </w:tcPr>
          <w:p w14:paraId="3ECCDA40">
            <w:pPr>
              <w:rPr>
                <w:rFonts w:hint="eastAsia" w:ascii="宋体" w:hAnsi="宋体" w:eastAsia="宋体" w:cs="宋体"/>
                <w:color w:val="auto"/>
                <w:sz w:val="24"/>
                <w:szCs w:val="24"/>
                <w:highlight w:val="none"/>
              </w:rPr>
            </w:pPr>
          </w:p>
        </w:tc>
        <w:tc>
          <w:tcPr>
            <w:tcW w:w="1587" w:type="dxa"/>
            <w:noWrap w:val="0"/>
            <w:vAlign w:val="top"/>
          </w:tcPr>
          <w:p w14:paraId="48F2CD56">
            <w:pPr>
              <w:rPr>
                <w:rFonts w:hint="eastAsia" w:ascii="宋体" w:hAnsi="宋体" w:eastAsia="宋体" w:cs="宋体"/>
                <w:color w:val="auto"/>
                <w:sz w:val="24"/>
                <w:szCs w:val="24"/>
                <w:highlight w:val="none"/>
              </w:rPr>
            </w:pPr>
          </w:p>
        </w:tc>
        <w:tc>
          <w:tcPr>
            <w:tcW w:w="1262" w:type="dxa"/>
            <w:noWrap w:val="0"/>
            <w:vAlign w:val="top"/>
          </w:tcPr>
          <w:p w14:paraId="3244B24E">
            <w:pPr>
              <w:rPr>
                <w:rFonts w:hint="eastAsia" w:ascii="宋体" w:hAnsi="宋体" w:eastAsia="宋体" w:cs="宋体"/>
                <w:color w:val="auto"/>
                <w:sz w:val="24"/>
                <w:szCs w:val="24"/>
                <w:highlight w:val="none"/>
              </w:rPr>
            </w:pPr>
          </w:p>
        </w:tc>
        <w:tc>
          <w:tcPr>
            <w:tcW w:w="1613" w:type="dxa"/>
            <w:noWrap w:val="0"/>
            <w:vAlign w:val="top"/>
          </w:tcPr>
          <w:p w14:paraId="0DEFC67F">
            <w:pPr>
              <w:rPr>
                <w:rFonts w:hint="eastAsia" w:ascii="宋体" w:hAnsi="宋体" w:eastAsia="宋体" w:cs="宋体"/>
                <w:color w:val="auto"/>
                <w:sz w:val="24"/>
                <w:szCs w:val="24"/>
                <w:highlight w:val="none"/>
              </w:rPr>
            </w:pPr>
          </w:p>
        </w:tc>
        <w:tc>
          <w:tcPr>
            <w:tcW w:w="1710" w:type="dxa"/>
            <w:noWrap w:val="0"/>
            <w:vAlign w:val="top"/>
          </w:tcPr>
          <w:p w14:paraId="136EAB4A">
            <w:pPr>
              <w:rPr>
                <w:rFonts w:hint="eastAsia" w:ascii="宋体" w:hAnsi="宋体" w:eastAsia="宋体" w:cs="宋体"/>
                <w:color w:val="auto"/>
                <w:sz w:val="24"/>
                <w:szCs w:val="24"/>
                <w:highlight w:val="none"/>
              </w:rPr>
            </w:pPr>
          </w:p>
        </w:tc>
        <w:tc>
          <w:tcPr>
            <w:tcW w:w="2787" w:type="dxa"/>
            <w:tcBorders>
              <w:right w:val="single" w:color="000000" w:sz="10" w:space="0"/>
            </w:tcBorders>
            <w:noWrap w:val="0"/>
            <w:vAlign w:val="top"/>
          </w:tcPr>
          <w:p w14:paraId="799F6863">
            <w:pPr>
              <w:rPr>
                <w:rFonts w:hint="eastAsia" w:ascii="宋体" w:hAnsi="宋体" w:eastAsia="宋体" w:cs="宋体"/>
                <w:color w:val="auto"/>
                <w:sz w:val="24"/>
                <w:szCs w:val="24"/>
                <w:highlight w:val="none"/>
              </w:rPr>
            </w:pPr>
          </w:p>
        </w:tc>
      </w:tr>
      <w:tr w14:paraId="1AE02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893" w:type="dxa"/>
            <w:tcBorders>
              <w:left w:val="single" w:color="000000" w:sz="10" w:space="0"/>
              <w:bottom w:val="single" w:color="000000" w:sz="10" w:space="0"/>
            </w:tcBorders>
            <w:noWrap w:val="0"/>
            <w:vAlign w:val="top"/>
          </w:tcPr>
          <w:p w14:paraId="7DA6982D">
            <w:pPr>
              <w:rPr>
                <w:rFonts w:hint="eastAsia" w:ascii="宋体" w:hAnsi="宋体" w:eastAsia="宋体" w:cs="宋体"/>
                <w:color w:val="auto"/>
                <w:sz w:val="24"/>
                <w:szCs w:val="24"/>
                <w:highlight w:val="none"/>
              </w:rPr>
            </w:pPr>
          </w:p>
        </w:tc>
        <w:tc>
          <w:tcPr>
            <w:tcW w:w="1587" w:type="dxa"/>
            <w:tcBorders>
              <w:bottom w:val="single" w:color="000000" w:sz="10" w:space="0"/>
            </w:tcBorders>
            <w:noWrap w:val="0"/>
            <w:vAlign w:val="top"/>
          </w:tcPr>
          <w:p w14:paraId="0F89C22B">
            <w:pPr>
              <w:rPr>
                <w:rFonts w:hint="eastAsia" w:ascii="宋体" w:hAnsi="宋体" w:eastAsia="宋体" w:cs="宋体"/>
                <w:color w:val="auto"/>
                <w:sz w:val="24"/>
                <w:szCs w:val="24"/>
                <w:highlight w:val="none"/>
              </w:rPr>
            </w:pPr>
          </w:p>
        </w:tc>
        <w:tc>
          <w:tcPr>
            <w:tcW w:w="1262" w:type="dxa"/>
            <w:tcBorders>
              <w:bottom w:val="single" w:color="000000" w:sz="10" w:space="0"/>
            </w:tcBorders>
            <w:noWrap w:val="0"/>
            <w:vAlign w:val="top"/>
          </w:tcPr>
          <w:p w14:paraId="64DDA5B9">
            <w:pPr>
              <w:rPr>
                <w:rFonts w:hint="eastAsia" w:ascii="宋体" w:hAnsi="宋体" w:eastAsia="宋体" w:cs="宋体"/>
                <w:color w:val="auto"/>
                <w:sz w:val="24"/>
                <w:szCs w:val="24"/>
                <w:highlight w:val="none"/>
              </w:rPr>
            </w:pPr>
          </w:p>
        </w:tc>
        <w:tc>
          <w:tcPr>
            <w:tcW w:w="1613" w:type="dxa"/>
            <w:tcBorders>
              <w:bottom w:val="single" w:color="000000" w:sz="10" w:space="0"/>
            </w:tcBorders>
            <w:noWrap w:val="0"/>
            <w:vAlign w:val="top"/>
          </w:tcPr>
          <w:p w14:paraId="290FD2E8">
            <w:pPr>
              <w:rPr>
                <w:rFonts w:hint="eastAsia" w:ascii="宋体" w:hAnsi="宋体" w:eastAsia="宋体" w:cs="宋体"/>
                <w:color w:val="auto"/>
                <w:sz w:val="24"/>
                <w:szCs w:val="24"/>
                <w:highlight w:val="none"/>
              </w:rPr>
            </w:pPr>
          </w:p>
        </w:tc>
        <w:tc>
          <w:tcPr>
            <w:tcW w:w="1710" w:type="dxa"/>
            <w:tcBorders>
              <w:bottom w:val="single" w:color="000000" w:sz="10" w:space="0"/>
            </w:tcBorders>
            <w:noWrap w:val="0"/>
            <w:vAlign w:val="top"/>
          </w:tcPr>
          <w:p w14:paraId="1236ED2E">
            <w:pPr>
              <w:rPr>
                <w:rFonts w:hint="eastAsia" w:ascii="宋体" w:hAnsi="宋体" w:eastAsia="宋体" w:cs="宋体"/>
                <w:color w:val="auto"/>
                <w:sz w:val="24"/>
                <w:szCs w:val="24"/>
                <w:highlight w:val="none"/>
              </w:rPr>
            </w:pPr>
          </w:p>
        </w:tc>
        <w:tc>
          <w:tcPr>
            <w:tcW w:w="2787" w:type="dxa"/>
            <w:tcBorders>
              <w:bottom w:val="single" w:color="000000" w:sz="10" w:space="0"/>
              <w:right w:val="single" w:color="000000" w:sz="10" w:space="0"/>
            </w:tcBorders>
            <w:noWrap w:val="0"/>
            <w:vAlign w:val="top"/>
          </w:tcPr>
          <w:p w14:paraId="355B60F7">
            <w:pPr>
              <w:rPr>
                <w:rFonts w:hint="eastAsia" w:ascii="宋体" w:hAnsi="宋体" w:eastAsia="宋体" w:cs="宋体"/>
                <w:color w:val="auto"/>
                <w:sz w:val="24"/>
                <w:szCs w:val="24"/>
                <w:highlight w:val="none"/>
              </w:rPr>
            </w:pPr>
          </w:p>
        </w:tc>
      </w:tr>
    </w:tbl>
    <w:p w14:paraId="38C8CED9">
      <w:pPr>
        <w:spacing w:before="151" w:line="360" w:lineRule="auto"/>
        <w:ind w:left="532" w:right="503" w:firstLine="2"/>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 xml:space="preserve">备注： </w:t>
      </w:r>
      <w:r>
        <w:rPr>
          <w:rFonts w:hint="eastAsia" w:ascii="宋体" w:hAnsi="宋体" w:eastAsia="宋体" w:cs="宋体"/>
          <w:b/>
          <w:bCs/>
          <w:color w:val="auto"/>
          <w:spacing w:val="-2"/>
          <w:sz w:val="24"/>
          <w:szCs w:val="24"/>
          <w:highlight w:val="none"/>
          <w:lang w:eastAsia="zh-CN"/>
        </w:rPr>
        <w:t>须提供人员</w:t>
      </w:r>
      <w:r>
        <w:rPr>
          <w:rFonts w:hint="eastAsia" w:ascii="宋体" w:hAnsi="宋体" w:eastAsia="宋体" w:cs="宋体"/>
          <w:b/>
          <w:bCs/>
          <w:color w:val="auto"/>
          <w:spacing w:val="-2"/>
          <w:sz w:val="24"/>
          <w:szCs w:val="24"/>
          <w:highlight w:val="none"/>
        </w:rPr>
        <w:t>身份证、</w:t>
      </w:r>
      <w:r>
        <w:rPr>
          <w:rFonts w:hint="eastAsia" w:ascii="宋体" w:hAnsi="宋体" w:cs="宋体"/>
          <w:b/>
          <w:bCs/>
          <w:color w:val="auto"/>
          <w:spacing w:val="-2"/>
          <w:sz w:val="24"/>
          <w:szCs w:val="24"/>
          <w:highlight w:val="none"/>
          <w:lang w:val="en-US" w:eastAsia="zh-CN"/>
        </w:rPr>
        <w:t>学历证书、相关资质证书、</w:t>
      </w:r>
      <w:r>
        <w:rPr>
          <w:rFonts w:hint="eastAsia" w:ascii="宋体" w:hAnsi="宋体" w:eastAsia="宋体" w:cs="宋体"/>
          <w:b/>
          <w:bCs/>
          <w:color w:val="auto"/>
          <w:spacing w:val="-3"/>
          <w:sz w:val="24"/>
          <w:szCs w:val="24"/>
          <w:highlight w:val="none"/>
        </w:rPr>
        <w:t>社保证明（需提供近三个月，指扣除发布釆购</w:t>
      </w:r>
      <w:r>
        <w:rPr>
          <w:rFonts w:hint="eastAsia" w:ascii="宋体" w:hAnsi="宋体" w:eastAsia="宋体" w:cs="宋体"/>
          <w:b/>
          <w:bCs/>
          <w:color w:val="auto"/>
          <w:spacing w:val="4"/>
          <w:sz w:val="24"/>
          <w:szCs w:val="24"/>
          <w:highlight w:val="none"/>
        </w:rPr>
        <w:t>公告当月往前顺推3个月）</w:t>
      </w:r>
    </w:p>
    <w:p w14:paraId="329E1EF3">
      <w:pPr>
        <w:pStyle w:val="8"/>
        <w:spacing w:line="258" w:lineRule="auto"/>
        <w:rPr>
          <w:rFonts w:hint="eastAsia" w:ascii="宋体" w:hAnsi="宋体" w:eastAsia="宋体" w:cs="宋体"/>
          <w:color w:val="auto"/>
          <w:sz w:val="24"/>
          <w:szCs w:val="24"/>
          <w:highlight w:val="none"/>
        </w:rPr>
      </w:pPr>
    </w:p>
    <w:p w14:paraId="5AB57EC2">
      <w:pPr>
        <w:pStyle w:val="8"/>
        <w:spacing w:line="258" w:lineRule="auto"/>
        <w:rPr>
          <w:rFonts w:hint="eastAsia" w:ascii="宋体" w:hAnsi="宋体" w:eastAsia="宋体" w:cs="宋体"/>
          <w:color w:val="auto"/>
          <w:sz w:val="24"/>
          <w:szCs w:val="24"/>
          <w:highlight w:val="none"/>
        </w:rPr>
      </w:pPr>
    </w:p>
    <w:p w14:paraId="3FF7D620">
      <w:pPr>
        <w:spacing w:before="71" w:line="701" w:lineRule="exact"/>
        <w:ind w:left="534"/>
        <w:rPr>
          <w:rFonts w:hint="eastAsia" w:ascii="宋体" w:hAnsi="宋体" w:eastAsia="宋体" w:cs="宋体"/>
          <w:color w:val="auto"/>
          <w:sz w:val="24"/>
          <w:szCs w:val="24"/>
          <w:highlight w:val="none"/>
        </w:rPr>
      </w:pPr>
      <w:r>
        <w:rPr>
          <w:rFonts w:hint="eastAsia" w:ascii="宋体" w:hAnsi="宋体" w:eastAsia="宋体" w:cs="宋体"/>
          <w:color w:val="auto"/>
          <w:spacing w:val="-2"/>
          <w:position w:val="37"/>
          <w:sz w:val="24"/>
          <w:szCs w:val="24"/>
          <w:highlight w:val="none"/>
        </w:rPr>
        <w:t>供应商名称（单位盖公章</w:t>
      </w:r>
      <w:r>
        <w:rPr>
          <w:rFonts w:hint="eastAsia" w:ascii="宋体" w:hAnsi="宋体" w:eastAsia="宋体" w:cs="宋体"/>
          <w:color w:val="auto"/>
          <w:spacing w:val="-8"/>
          <w:position w:val="37"/>
          <w:sz w:val="24"/>
          <w:szCs w:val="24"/>
          <w:highlight w:val="none"/>
        </w:rPr>
        <w:t>）：</w:t>
      </w:r>
    </w:p>
    <w:p w14:paraId="6451EB5D">
      <w:pPr>
        <w:spacing w:line="223" w:lineRule="auto"/>
        <w:ind w:left="579"/>
        <w:rPr>
          <w:rFonts w:hint="eastAsia" w:ascii="宋体" w:hAnsi="宋体" w:eastAsia="宋体" w:cs="宋体"/>
          <w:color w:val="auto"/>
          <w:sz w:val="24"/>
          <w:szCs w:val="24"/>
          <w:highlight w:val="none"/>
        </w:rPr>
        <w:sectPr>
          <w:footerReference r:id="rId11" w:type="default"/>
          <w:pgSz w:w="11906" w:h="16838"/>
          <w:pgMar w:top="1417" w:right="1015" w:bottom="1347" w:left="1012" w:header="0" w:footer="1171" w:gutter="0"/>
          <w:pgNumType w:fmt="decimal"/>
          <w:cols w:space="720" w:num="1"/>
        </w:sectPr>
      </w:pPr>
      <w:r>
        <w:rPr>
          <w:rFonts w:hint="eastAsia" w:ascii="宋体" w:hAnsi="宋体" w:eastAsia="宋体" w:cs="宋体"/>
          <w:color w:val="auto"/>
          <w:spacing w:val="-32"/>
          <w:sz w:val="24"/>
          <w:szCs w:val="24"/>
          <w:highlight w:val="none"/>
        </w:rPr>
        <w:t>日</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32"/>
          <w:sz w:val="24"/>
          <w:szCs w:val="24"/>
          <w:highlight w:val="none"/>
        </w:rPr>
        <w:t>期：</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32"/>
          <w:sz w:val="24"/>
          <w:szCs w:val="24"/>
          <w:highlight w:val="none"/>
        </w:rPr>
        <w:t>年</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32"/>
          <w:sz w:val="24"/>
          <w:szCs w:val="24"/>
          <w:highlight w:val="none"/>
        </w:rPr>
        <w:t>月</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32"/>
          <w:sz w:val="24"/>
          <w:szCs w:val="24"/>
          <w:highlight w:val="none"/>
        </w:rPr>
        <w:t>日</w:t>
      </w:r>
    </w:p>
    <w:p w14:paraId="13B88442">
      <w:pPr>
        <w:spacing w:line="360" w:lineRule="auto"/>
        <w:jc w:val="both"/>
        <w:rPr>
          <w:rFonts w:hint="eastAsia" w:ascii="宋体" w:hAnsi="宋体" w:eastAsia="宋体" w:cs="宋体"/>
          <w:b/>
          <w:sz w:val="28"/>
          <w:szCs w:val="30"/>
        </w:rPr>
      </w:pPr>
    </w:p>
    <w:p w14:paraId="57B3BCCA">
      <w:pPr>
        <w:spacing w:line="360" w:lineRule="auto"/>
        <w:jc w:val="center"/>
        <w:rPr>
          <w:rFonts w:hint="eastAsia" w:ascii="宋体" w:hAnsi="宋体" w:eastAsia="宋体" w:cs="宋体"/>
          <w:b/>
          <w:sz w:val="28"/>
          <w:szCs w:val="30"/>
        </w:rPr>
      </w:pPr>
      <w:r>
        <w:rPr>
          <w:rFonts w:hint="eastAsia" w:ascii="宋体" w:hAnsi="宋体" w:eastAsia="宋体" w:cs="宋体"/>
          <w:b/>
          <w:sz w:val="28"/>
          <w:szCs w:val="30"/>
        </w:rPr>
        <w:t>法定代表人身份证明书</w:t>
      </w:r>
    </w:p>
    <w:p w14:paraId="4F6C167B">
      <w:pPr>
        <w:spacing w:line="360" w:lineRule="auto"/>
        <w:jc w:val="center"/>
        <w:rPr>
          <w:rFonts w:hint="eastAsia" w:ascii="宋体" w:hAnsi="宋体" w:eastAsia="宋体" w:cs="宋体"/>
          <w:sz w:val="24"/>
        </w:rPr>
      </w:pPr>
    </w:p>
    <w:p w14:paraId="7A274F8C">
      <w:pPr>
        <w:spacing w:line="360" w:lineRule="auto"/>
        <w:rPr>
          <w:rFonts w:hint="eastAsia" w:ascii="宋体" w:hAnsi="宋体" w:eastAsia="宋体" w:cs="宋体"/>
          <w:sz w:val="24"/>
          <w:u w:val="single"/>
        </w:rPr>
      </w:pPr>
      <w:r>
        <w:rPr>
          <w:rFonts w:hint="eastAsia" w:ascii="宋体" w:hAnsi="宋体" w:eastAsia="宋体" w:cs="宋体"/>
          <w:sz w:val="24"/>
        </w:rPr>
        <w:t>单位名称：</w:t>
      </w:r>
    </w:p>
    <w:p w14:paraId="1866F4A5">
      <w:pPr>
        <w:spacing w:line="360" w:lineRule="auto"/>
        <w:rPr>
          <w:rFonts w:hint="eastAsia" w:ascii="宋体" w:hAnsi="宋体" w:eastAsia="宋体" w:cs="宋体"/>
          <w:sz w:val="24"/>
          <w:u w:val="single"/>
        </w:rPr>
      </w:pPr>
      <w:r>
        <w:rPr>
          <w:rFonts w:hint="eastAsia" w:ascii="宋体" w:hAnsi="宋体" w:eastAsia="宋体" w:cs="宋体"/>
          <w:sz w:val="24"/>
        </w:rPr>
        <w:t>类    型：</w:t>
      </w:r>
    </w:p>
    <w:p w14:paraId="56B6522D">
      <w:pPr>
        <w:spacing w:line="360" w:lineRule="auto"/>
        <w:rPr>
          <w:rFonts w:hint="eastAsia" w:ascii="宋体" w:hAnsi="宋体" w:eastAsia="宋体" w:cs="宋体"/>
          <w:sz w:val="24"/>
          <w:u w:val="single"/>
        </w:rPr>
      </w:pPr>
      <w:r>
        <w:rPr>
          <w:rFonts w:hint="eastAsia" w:ascii="宋体" w:hAnsi="宋体" w:eastAsia="宋体" w:cs="宋体"/>
          <w:sz w:val="24"/>
        </w:rPr>
        <w:t>地    址：</w:t>
      </w:r>
    </w:p>
    <w:p w14:paraId="387BF5B0">
      <w:pPr>
        <w:spacing w:line="360" w:lineRule="auto"/>
        <w:rPr>
          <w:rFonts w:hint="eastAsia" w:ascii="宋体" w:hAnsi="宋体" w:eastAsia="宋体" w:cs="宋体"/>
          <w:sz w:val="24"/>
          <w:u w:val="single"/>
        </w:rPr>
      </w:pPr>
      <w:r>
        <w:rPr>
          <w:rFonts w:hint="eastAsia" w:ascii="宋体" w:hAnsi="宋体" w:eastAsia="宋体" w:cs="宋体"/>
          <w:sz w:val="24"/>
        </w:rPr>
        <w:t>营业期限：</w:t>
      </w:r>
    </w:p>
    <w:p w14:paraId="237FFF37">
      <w:pPr>
        <w:spacing w:line="360" w:lineRule="auto"/>
        <w:rPr>
          <w:rFonts w:hint="eastAsia" w:ascii="宋体" w:hAnsi="宋体" w:eastAsia="宋体" w:cs="宋体"/>
          <w:sz w:val="24"/>
          <w:u w:val="single"/>
        </w:rPr>
      </w:pPr>
      <w:r>
        <w:rPr>
          <w:rFonts w:hint="eastAsia" w:ascii="宋体" w:hAnsi="宋体" w:eastAsia="宋体" w:cs="宋体"/>
          <w:sz w:val="24"/>
        </w:rPr>
        <w:t>成立时间：</w:t>
      </w:r>
    </w:p>
    <w:p w14:paraId="4621A07B">
      <w:pPr>
        <w:spacing w:line="360" w:lineRule="auto"/>
        <w:rPr>
          <w:rFonts w:hint="eastAsia" w:ascii="宋体" w:hAnsi="宋体" w:eastAsia="宋体" w:cs="宋体"/>
          <w:sz w:val="24"/>
          <w:u w:val="single"/>
        </w:rPr>
      </w:pPr>
    </w:p>
    <w:p w14:paraId="116B5FD4">
      <w:pPr>
        <w:spacing w:line="360" w:lineRule="auto"/>
        <w:rPr>
          <w:rFonts w:hint="eastAsia" w:ascii="宋体" w:hAnsi="宋体" w:eastAsia="宋体" w:cs="宋体"/>
          <w:sz w:val="24"/>
          <w:u w:val="single"/>
        </w:rPr>
      </w:pPr>
      <w:r>
        <w:rPr>
          <w:rFonts w:hint="eastAsia" w:ascii="宋体" w:hAnsi="宋体" w:eastAsia="宋体" w:cs="宋体"/>
          <w:sz w:val="24"/>
        </w:rPr>
        <w:t>姓名：   性别：   年龄：  职务：</w:t>
      </w:r>
    </w:p>
    <w:p w14:paraId="148517B2">
      <w:pPr>
        <w:spacing w:line="360" w:lineRule="auto"/>
        <w:rPr>
          <w:rFonts w:hint="eastAsia" w:ascii="宋体" w:hAnsi="宋体" w:eastAsia="宋体" w:cs="宋体"/>
          <w:sz w:val="24"/>
        </w:rPr>
      </w:pPr>
      <w:r>
        <w:rPr>
          <w:rFonts w:hint="eastAsia" w:ascii="宋体" w:hAnsi="宋体" w:eastAsia="宋体" w:cs="宋体"/>
          <w:sz w:val="24"/>
        </w:rPr>
        <w:t xml:space="preserve">系 </w:t>
      </w:r>
      <w:r>
        <w:rPr>
          <w:rFonts w:hint="eastAsia" w:ascii="宋体" w:hAnsi="宋体" w:eastAsia="宋体" w:cs="宋体"/>
          <w:sz w:val="24"/>
          <w:u w:val="single"/>
        </w:rPr>
        <w:t xml:space="preserve">         （</w:t>
      </w:r>
      <w:r>
        <w:rPr>
          <w:rFonts w:hint="eastAsia" w:ascii="宋体" w:hAnsi="宋体" w:cs="宋体"/>
          <w:sz w:val="24"/>
          <w:u w:val="single"/>
          <w:lang w:val="en-US" w:eastAsia="zh-CN"/>
        </w:rPr>
        <w:t>供应商</w:t>
      </w:r>
      <w:r>
        <w:rPr>
          <w:rFonts w:hint="eastAsia" w:ascii="宋体" w:hAnsi="宋体" w:eastAsia="宋体" w:cs="宋体"/>
          <w:sz w:val="24"/>
          <w:u w:val="single"/>
        </w:rPr>
        <w:t xml:space="preserve">名称）               </w:t>
      </w:r>
      <w:r>
        <w:rPr>
          <w:rFonts w:hint="eastAsia" w:ascii="宋体" w:hAnsi="宋体" w:eastAsia="宋体" w:cs="宋体"/>
          <w:sz w:val="24"/>
        </w:rPr>
        <w:t>的法定代表人。</w:t>
      </w:r>
    </w:p>
    <w:p w14:paraId="0C56815C">
      <w:pPr>
        <w:spacing w:line="360" w:lineRule="auto"/>
        <w:rPr>
          <w:rFonts w:hint="eastAsia" w:ascii="宋体" w:hAnsi="宋体" w:eastAsia="宋体" w:cs="宋体"/>
          <w:sz w:val="24"/>
        </w:rPr>
      </w:pPr>
    </w:p>
    <w:p w14:paraId="27DE558E">
      <w:pPr>
        <w:spacing w:line="360" w:lineRule="auto"/>
        <w:rPr>
          <w:rFonts w:hint="eastAsia" w:ascii="宋体" w:hAnsi="宋体" w:eastAsia="宋体" w:cs="宋体"/>
          <w:sz w:val="24"/>
        </w:rPr>
      </w:pPr>
      <w:r>
        <w:rPr>
          <w:rFonts w:hint="eastAsia" w:ascii="宋体" w:hAnsi="宋体" w:eastAsia="宋体" w:cs="宋体"/>
          <w:sz w:val="24"/>
        </w:rPr>
        <w:t>特此证明。</w:t>
      </w:r>
    </w:p>
    <w:tbl>
      <w:tblPr>
        <w:tblStyle w:val="24"/>
        <w:tblW w:w="8019" w:type="dxa"/>
        <w:tblInd w:w="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0"/>
        <w:gridCol w:w="3969"/>
      </w:tblGrid>
      <w:tr w14:paraId="5645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trPr>
        <w:tc>
          <w:tcPr>
            <w:tcW w:w="4050" w:type="dxa"/>
            <w:vAlign w:val="top"/>
          </w:tcPr>
          <w:p w14:paraId="2E732A10">
            <w:pPr>
              <w:spacing w:line="360" w:lineRule="auto"/>
              <w:rPr>
                <w:rFonts w:hint="eastAsia" w:ascii="宋体" w:hAnsi="宋体" w:eastAsia="宋体" w:cs="宋体"/>
                <w:sz w:val="24"/>
              </w:rPr>
            </w:pPr>
          </w:p>
          <w:p w14:paraId="37A0DE40">
            <w:pPr>
              <w:spacing w:line="360" w:lineRule="auto"/>
              <w:rPr>
                <w:rFonts w:hint="eastAsia" w:ascii="宋体" w:hAnsi="宋体" w:eastAsia="宋体" w:cs="宋体"/>
                <w:sz w:val="24"/>
              </w:rPr>
            </w:pPr>
          </w:p>
          <w:p w14:paraId="10D9FB98">
            <w:pPr>
              <w:spacing w:line="360" w:lineRule="auto"/>
              <w:rPr>
                <w:rFonts w:hint="eastAsia" w:ascii="宋体" w:hAnsi="宋体" w:eastAsia="宋体" w:cs="宋体"/>
                <w:sz w:val="24"/>
              </w:rPr>
            </w:pPr>
            <w:r>
              <w:rPr>
                <w:rFonts w:hint="eastAsia" w:ascii="宋体" w:hAnsi="宋体" w:eastAsia="宋体" w:cs="宋体"/>
                <w:sz w:val="24"/>
              </w:rPr>
              <w:t>法定代表人身份证正面</w:t>
            </w:r>
          </w:p>
        </w:tc>
        <w:tc>
          <w:tcPr>
            <w:tcW w:w="3969" w:type="dxa"/>
            <w:vAlign w:val="top"/>
          </w:tcPr>
          <w:p w14:paraId="4D77E992">
            <w:pPr>
              <w:spacing w:line="360" w:lineRule="auto"/>
              <w:rPr>
                <w:rFonts w:hint="eastAsia" w:ascii="宋体" w:hAnsi="宋体" w:eastAsia="宋体" w:cs="宋体"/>
                <w:sz w:val="24"/>
              </w:rPr>
            </w:pPr>
          </w:p>
          <w:p w14:paraId="791DD84F">
            <w:pPr>
              <w:spacing w:line="360" w:lineRule="auto"/>
              <w:rPr>
                <w:rFonts w:hint="eastAsia" w:ascii="宋体" w:hAnsi="宋体" w:eastAsia="宋体" w:cs="宋体"/>
                <w:sz w:val="24"/>
              </w:rPr>
            </w:pPr>
          </w:p>
          <w:p w14:paraId="76A97317">
            <w:pPr>
              <w:spacing w:line="360" w:lineRule="auto"/>
              <w:ind w:firstLine="240" w:firstLineChars="100"/>
              <w:rPr>
                <w:rFonts w:hint="eastAsia" w:ascii="宋体" w:hAnsi="宋体" w:eastAsia="宋体" w:cs="宋体"/>
                <w:sz w:val="24"/>
              </w:rPr>
            </w:pPr>
            <w:r>
              <w:rPr>
                <w:rFonts w:hint="eastAsia" w:ascii="宋体" w:hAnsi="宋体" w:eastAsia="宋体" w:cs="宋体"/>
                <w:sz w:val="24"/>
              </w:rPr>
              <w:t>法定代表人身份证反面</w:t>
            </w:r>
          </w:p>
        </w:tc>
      </w:tr>
    </w:tbl>
    <w:p w14:paraId="2C4F9459">
      <w:pPr>
        <w:wordWrap w:val="0"/>
        <w:spacing w:line="360" w:lineRule="auto"/>
        <w:jc w:val="right"/>
        <w:rPr>
          <w:rFonts w:hint="eastAsia" w:ascii="宋体" w:hAnsi="宋体" w:eastAsia="宋体" w:cs="宋体"/>
          <w:sz w:val="24"/>
        </w:rPr>
      </w:pPr>
    </w:p>
    <w:p w14:paraId="256DA8AF">
      <w:pPr>
        <w:spacing w:line="360" w:lineRule="auto"/>
        <w:jc w:val="center"/>
        <w:outlineLvl w:val="0"/>
        <w:rPr>
          <w:rFonts w:hint="eastAsia" w:ascii="宋体" w:hAnsi="宋体" w:eastAsia="宋体" w:cs="宋体"/>
          <w:sz w:val="24"/>
          <w:u w:val="single"/>
        </w:rPr>
      </w:pPr>
      <w:r>
        <w:rPr>
          <w:rFonts w:hint="eastAsia" w:ascii="宋体" w:hAnsi="宋体" w:eastAsia="宋体" w:cs="宋体"/>
          <w:sz w:val="24"/>
        </w:rPr>
        <w:t xml:space="preserve">                              </w:t>
      </w:r>
      <w:bookmarkStart w:id="454" w:name="_Toc2724"/>
      <w:bookmarkStart w:id="455" w:name="_Toc14508"/>
      <w:bookmarkStart w:id="456" w:name="_Toc958"/>
      <w:bookmarkStart w:id="457" w:name="_Toc14946"/>
      <w:r>
        <w:rPr>
          <w:rFonts w:hint="eastAsia" w:ascii="宋体" w:hAnsi="宋体" w:eastAsia="宋体" w:cs="宋体"/>
          <w:sz w:val="24"/>
        </w:rPr>
        <w:t>供应商：（盖章）</w:t>
      </w:r>
      <w:bookmarkEnd w:id="454"/>
      <w:bookmarkEnd w:id="455"/>
      <w:bookmarkEnd w:id="456"/>
      <w:bookmarkEnd w:id="457"/>
    </w:p>
    <w:p w14:paraId="156AF3D2">
      <w:pPr>
        <w:spacing w:line="360" w:lineRule="auto"/>
        <w:ind w:firstLine="570"/>
        <w:jc w:val="center"/>
        <w:outlineLvl w:val="0"/>
        <w:rPr>
          <w:rFonts w:hint="eastAsia" w:ascii="宋体" w:hAnsi="宋体" w:eastAsia="宋体" w:cs="宋体"/>
          <w:sz w:val="24"/>
        </w:rPr>
      </w:pPr>
      <w:r>
        <w:rPr>
          <w:rFonts w:hint="eastAsia" w:ascii="宋体" w:hAnsi="宋体" w:eastAsia="宋体" w:cs="宋体"/>
          <w:sz w:val="24"/>
        </w:rPr>
        <w:t xml:space="preserve">                         </w:t>
      </w:r>
      <w:bookmarkStart w:id="458" w:name="_Toc30448"/>
      <w:bookmarkStart w:id="459" w:name="_Toc18209"/>
      <w:bookmarkStart w:id="460" w:name="_Toc29772"/>
      <w:bookmarkStart w:id="461" w:name="_Toc25585"/>
      <w:r>
        <w:rPr>
          <w:rFonts w:hint="eastAsia" w:ascii="宋体" w:hAnsi="宋体" w:eastAsia="宋体" w:cs="宋体"/>
          <w:sz w:val="24"/>
        </w:rPr>
        <w:t>日  期：20 年 月 日</w:t>
      </w:r>
      <w:bookmarkEnd w:id="458"/>
      <w:bookmarkEnd w:id="459"/>
      <w:bookmarkEnd w:id="460"/>
      <w:bookmarkEnd w:id="461"/>
    </w:p>
    <w:p w14:paraId="03AC7C2B">
      <w:pPr>
        <w:spacing w:line="360" w:lineRule="auto"/>
        <w:ind w:firstLine="570"/>
        <w:jc w:val="center"/>
        <w:rPr>
          <w:rFonts w:hint="eastAsia" w:ascii="宋体" w:hAnsi="宋体" w:eastAsia="宋体" w:cs="宋体"/>
          <w:sz w:val="24"/>
        </w:rPr>
      </w:pPr>
    </w:p>
    <w:p w14:paraId="02D0CB62">
      <w:pPr>
        <w:spacing w:line="360" w:lineRule="auto"/>
        <w:ind w:firstLine="570"/>
        <w:jc w:val="center"/>
        <w:rPr>
          <w:rFonts w:hint="eastAsia" w:ascii="宋体" w:hAnsi="宋体" w:eastAsia="宋体" w:cs="宋体"/>
          <w:sz w:val="24"/>
        </w:rPr>
      </w:pPr>
    </w:p>
    <w:p w14:paraId="22B18693">
      <w:pPr>
        <w:spacing w:line="360" w:lineRule="auto"/>
        <w:jc w:val="center"/>
        <w:rPr>
          <w:rFonts w:hint="eastAsia" w:ascii="宋体" w:hAnsi="宋体" w:eastAsia="宋体" w:cs="宋体"/>
          <w:b/>
          <w:sz w:val="28"/>
          <w:szCs w:val="30"/>
        </w:rPr>
      </w:pPr>
    </w:p>
    <w:p w14:paraId="0392171B">
      <w:pPr>
        <w:spacing w:line="360" w:lineRule="auto"/>
        <w:jc w:val="center"/>
        <w:rPr>
          <w:rFonts w:hint="eastAsia" w:ascii="宋体" w:hAnsi="宋体" w:eastAsia="宋体" w:cs="宋体"/>
          <w:b/>
          <w:sz w:val="28"/>
          <w:szCs w:val="30"/>
        </w:rPr>
      </w:pPr>
    </w:p>
    <w:p w14:paraId="7239D55F">
      <w:pPr>
        <w:spacing w:line="360" w:lineRule="auto"/>
        <w:jc w:val="both"/>
        <w:rPr>
          <w:rFonts w:hint="eastAsia" w:ascii="宋体" w:hAnsi="宋体" w:eastAsia="宋体" w:cs="宋体"/>
          <w:b/>
          <w:sz w:val="28"/>
          <w:szCs w:val="30"/>
        </w:rPr>
      </w:pPr>
    </w:p>
    <w:p w14:paraId="06D8BDAD">
      <w:pPr>
        <w:spacing w:line="360" w:lineRule="auto"/>
        <w:jc w:val="center"/>
        <w:rPr>
          <w:rFonts w:hint="eastAsia" w:ascii="宋体" w:hAnsi="宋体" w:eastAsia="宋体" w:cs="宋体"/>
          <w:b/>
          <w:sz w:val="28"/>
          <w:szCs w:val="30"/>
        </w:rPr>
      </w:pPr>
      <w:r>
        <w:rPr>
          <w:rFonts w:hint="eastAsia" w:ascii="宋体" w:hAnsi="宋体" w:eastAsia="宋体" w:cs="宋体"/>
          <w:b/>
          <w:sz w:val="28"/>
          <w:szCs w:val="30"/>
        </w:rPr>
        <w:t>法定代表人授权书格式</w:t>
      </w:r>
    </w:p>
    <w:p w14:paraId="3835EA1B">
      <w:pPr>
        <w:spacing w:line="360" w:lineRule="auto"/>
        <w:jc w:val="center"/>
        <w:rPr>
          <w:rFonts w:hint="eastAsia" w:ascii="宋体" w:hAnsi="宋体" w:eastAsia="宋体" w:cs="宋体"/>
          <w:b/>
          <w:sz w:val="24"/>
        </w:rPr>
      </w:pPr>
    </w:p>
    <w:p w14:paraId="37026607">
      <w:pPr>
        <w:spacing w:line="360" w:lineRule="auto"/>
        <w:ind w:firstLine="435"/>
        <w:rPr>
          <w:rFonts w:hint="eastAsia" w:ascii="宋体" w:hAnsi="宋体" w:eastAsia="宋体" w:cs="宋体"/>
          <w:sz w:val="24"/>
        </w:rPr>
      </w:pPr>
      <w:r>
        <w:rPr>
          <w:rFonts w:hint="eastAsia" w:ascii="宋体" w:hAnsi="宋体" w:eastAsia="宋体" w:cs="宋体"/>
          <w:sz w:val="24"/>
        </w:rPr>
        <w:t xml:space="preserve"> 本授权书声明：注册于</w:t>
      </w:r>
      <w:r>
        <w:rPr>
          <w:rFonts w:hint="eastAsia" w:ascii="宋体" w:hAnsi="宋体" w:eastAsia="宋体" w:cs="宋体"/>
          <w:sz w:val="24"/>
          <w:u w:val="single"/>
        </w:rPr>
        <w:t>（地区的名称）</w:t>
      </w:r>
      <w:r>
        <w:rPr>
          <w:rFonts w:hint="eastAsia" w:ascii="宋体" w:hAnsi="宋体" w:eastAsia="宋体" w:cs="宋体"/>
          <w:sz w:val="24"/>
        </w:rPr>
        <w:t>的（</w:t>
      </w:r>
      <w:r>
        <w:rPr>
          <w:rFonts w:hint="eastAsia" w:ascii="宋体" w:hAnsi="宋体" w:eastAsia="宋体" w:cs="宋体"/>
          <w:sz w:val="24"/>
          <w:u w:val="single"/>
        </w:rPr>
        <w:t>单位名称），</w:t>
      </w:r>
      <w:r>
        <w:rPr>
          <w:rFonts w:hint="eastAsia" w:ascii="宋体" w:hAnsi="宋体" w:eastAsia="宋体" w:cs="宋体"/>
          <w:sz w:val="24"/>
        </w:rPr>
        <w:t>在下面签字的法定代表人</w:t>
      </w:r>
      <w:r>
        <w:rPr>
          <w:rFonts w:hint="eastAsia" w:ascii="宋体" w:hAnsi="宋体" w:eastAsia="宋体" w:cs="宋体"/>
          <w:sz w:val="24"/>
          <w:u w:val="single"/>
        </w:rPr>
        <w:t>（姓名、职务、身份证号码），</w:t>
      </w:r>
      <w:r>
        <w:rPr>
          <w:rFonts w:hint="eastAsia" w:ascii="宋体" w:hAnsi="宋体" w:eastAsia="宋体" w:cs="宋体"/>
          <w:sz w:val="24"/>
        </w:rPr>
        <w:t>代表本公司授权在下面签字的</w:t>
      </w:r>
      <w:r>
        <w:rPr>
          <w:rFonts w:hint="eastAsia" w:ascii="宋体" w:hAnsi="宋体" w:eastAsia="宋体" w:cs="宋体"/>
          <w:sz w:val="24"/>
          <w:u w:val="single"/>
        </w:rPr>
        <w:t>（被授权人的姓名、职务、身份证号码）</w:t>
      </w:r>
      <w:r>
        <w:rPr>
          <w:rFonts w:hint="eastAsia" w:ascii="宋体" w:hAnsi="宋体" w:eastAsia="宋体" w:cs="宋体"/>
          <w:sz w:val="24"/>
        </w:rPr>
        <w:t>为本公司的合法代理人，就</w:t>
      </w:r>
      <w:r>
        <w:rPr>
          <w:rFonts w:hint="eastAsia" w:ascii="宋体" w:hAnsi="宋体" w:eastAsia="宋体" w:cs="宋体"/>
          <w:sz w:val="24"/>
          <w:u w:val="single"/>
        </w:rPr>
        <w:t>（项目名称/编号）</w:t>
      </w:r>
      <w:r>
        <w:rPr>
          <w:rFonts w:hint="eastAsia" w:ascii="宋体" w:hAnsi="宋体" w:eastAsia="宋体" w:cs="宋体"/>
          <w:sz w:val="24"/>
        </w:rPr>
        <w:t>的</w:t>
      </w:r>
      <w:r>
        <w:rPr>
          <w:rFonts w:hint="eastAsia" w:ascii="宋体" w:hAnsi="宋体" w:cs="宋体"/>
          <w:sz w:val="24"/>
          <w:lang w:val="en-US" w:eastAsia="zh-CN"/>
        </w:rPr>
        <w:t>谈判响应</w:t>
      </w:r>
      <w:r>
        <w:rPr>
          <w:rFonts w:hint="eastAsia" w:ascii="宋体" w:hAnsi="宋体" w:eastAsia="宋体" w:cs="宋体"/>
          <w:sz w:val="24"/>
        </w:rPr>
        <w:t>，以本公司的名义处理一切与之有关的事务。</w:t>
      </w:r>
    </w:p>
    <w:p w14:paraId="49B2BC2B">
      <w:pPr>
        <w:spacing w:line="360" w:lineRule="auto"/>
        <w:ind w:firstLine="435"/>
        <w:rPr>
          <w:rFonts w:hint="eastAsia" w:ascii="宋体" w:hAnsi="宋体" w:eastAsia="宋体" w:cs="宋体"/>
          <w:b/>
          <w:bCs/>
          <w:sz w:val="24"/>
        </w:rPr>
      </w:pPr>
      <w:r>
        <w:rPr>
          <w:rFonts w:hint="eastAsia" w:ascii="宋体" w:hAnsi="宋体" w:eastAsia="宋体" w:cs="宋体"/>
          <w:b/>
          <w:bCs/>
          <w:sz w:val="24"/>
        </w:rPr>
        <w:t>本授权书于</w:t>
      </w:r>
      <w:r>
        <w:rPr>
          <w:rFonts w:hint="eastAsia" w:ascii="宋体" w:hAnsi="宋体" w:cs="宋体"/>
          <w:b/>
          <w:bCs/>
          <w:sz w:val="24"/>
          <w:u w:val="single"/>
          <w:lang w:val="en-US" w:eastAsia="zh-CN"/>
        </w:rPr>
        <w:t xml:space="preserve">      </w:t>
      </w:r>
      <w:r>
        <w:rPr>
          <w:rFonts w:hint="eastAsia" w:ascii="宋体" w:hAnsi="宋体" w:eastAsia="宋体" w:cs="宋体"/>
          <w:b/>
          <w:bCs/>
          <w:sz w:val="24"/>
        </w:rPr>
        <w:t>年</w:t>
      </w:r>
      <w:r>
        <w:rPr>
          <w:rFonts w:hint="eastAsia" w:ascii="宋体" w:hAnsi="宋体" w:cs="宋体"/>
          <w:b/>
          <w:bCs/>
          <w:sz w:val="24"/>
          <w:lang w:val="en-US" w:eastAsia="zh-CN"/>
        </w:rPr>
        <w:t xml:space="preserve">         </w:t>
      </w:r>
      <w:r>
        <w:rPr>
          <w:rFonts w:hint="eastAsia" w:ascii="宋体" w:hAnsi="宋体" w:eastAsia="宋体" w:cs="宋体"/>
          <w:b/>
          <w:bCs/>
          <w:sz w:val="24"/>
        </w:rPr>
        <w:t>月</w:t>
      </w:r>
      <w:r>
        <w:rPr>
          <w:rFonts w:hint="eastAsia" w:ascii="宋体" w:hAnsi="宋体" w:cs="宋体"/>
          <w:b/>
          <w:bCs/>
          <w:sz w:val="24"/>
          <w:lang w:val="en-US" w:eastAsia="zh-CN"/>
        </w:rPr>
        <w:t xml:space="preserve">           </w:t>
      </w:r>
      <w:r>
        <w:rPr>
          <w:rFonts w:hint="eastAsia" w:ascii="宋体" w:hAnsi="宋体" w:eastAsia="宋体" w:cs="宋体"/>
          <w:b/>
          <w:bCs/>
          <w:sz w:val="24"/>
        </w:rPr>
        <w:t>日签字生效，特此声明。</w:t>
      </w:r>
    </w:p>
    <w:tbl>
      <w:tblPr>
        <w:tblStyle w:val="24"/>
        <w:tblW w:w="8929" w:type="dxa"/>
        <w:tblInd w:w="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4"/>
        <w:gridCol w:w="4465"/>
      </w:tblGrid>
      <w:tr w14:paraId="5DCA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4464" w:type="dxa"/>
            <w:vAlign w:val="top"/>
          </w:tcPr>
          <w:p w14:paraId="34C856CD">
            <w:pPr>
              <w:spacing w:line="360" w:lineRule="auto"/>
              <w:ind w:firstLine="435"/>
              <w:rPr>
                <w:rFonts w:hint="eastAsia" w:ascii="宋体" w:hAnsi="宋体" w:eastAsia="宋体" w:cs="宋体"/>
                <w:sz w:val="24"/>
              </w:rPr>
            </w:pPr>
          </w:p>
          <w:p w14:paraId="001A35B4">
            <w:pPr>
              <w:spacing w:line="360" w:lineRule="auto"/>
              <w:ind w:firstLine="435"/>
              <w:rPr>
                <w:rFonts w:hint="eastAsia" w:ascii="宋体" w:hAnsi="宋体" w:eastAsia="宋体" w:cs="宋体"/>
                <w:sz w:val="24"/>
              </w:rPr>
            </w:pPr>
          </w:p>
          <w:p w14:paraId="5F01E9C0">
            <w:pPr>
              <w:spacing w:line="360" w:lineRule="auto"/>
              <w:ind w:firstLine="435"/>
              <w:rPr>
                <w:rFonts w:hint="eastAsia" w:ascii="宋体" w:hAnsi="宋体" w:eastAsia="宋体" w:cs="宋体"/>
                <w:sz w:val="24"/>
              </w:rPr>
            </w:pPr>
            <w:r>
              <w:rPr>
                <w:rFonts w:hint="eastAsia" w:ascii="宋体" w:hAnsi="宋体" w:eastAsia="宋体" w:cs="宋体"/>
                <w:sz w:val="24"/>
              </w:rPr>
              <w:t>法定代表人身份证正面</w:t>
            </w:r>
          </w:p>
        </w:tc>
        <w:tc>
          <w:tcPr>
            <w:tcW w:w="4465" w:type="dxa"/>
            <w:vAlign w:val="top"/>
          </w:tcPr>
          <w:p w14:paraId="134B119F">
            <w:pPr>
              <w:spacing w:line="360" w:lineRule="auto"/>
              <w:ind w:firstLine="435"/>
              <w:rPr>
                <w:rFonts w:hint="eastAsia" w:ascii="宋体" w:hAnsi="宋体" w:eastAsia="宋体" w:cs="宋体"/>
                <w:sz w:val="24"/>
              </w:rPr>
            </w:pPr>
          </w:p>
          <w:p w14:paraId="221E36F2">
            <w:pPr>
              <w:spacing w:line="360" w:lineRule="auto"/>
              <w:ind w:firstLine="435"/>
              <w:rPr>
                <w:rFonts w:hint="eastAsia" w:ascii="宋体" w:hAnsi="宋体" w:eastAsia="宋体" w:cs="宋体"/>
                <w:sz w:val="24"/>
              </w:rPr>
            </w:pPr>
          </w:p>
          <w:p w14:paraId="51C1755F">
            <w:pPr>
              <w:spacing w:line="360" w:lineRule="auto"/>
              <w:ind w:firstLine="435"/>
              <w:rPr>
                <w:rFonts w:hint="eastAsia" w:ascii="宋体" w:hAnsi="宋体" w:eastAsia="宋体" w:cs="宋体"/>
                <w:sz w:val="24"/>
              </w:rPr>
            </w:pPr>
            <w:r>
              <w:rPr>
                <w:rFonts w:hint="eastAsia" w:ascii="宋体" w:hAnsi="宋体" w:eastAsia="宋体" w:cs="宋体"/>
                <w:sz w:val="24"/>
              </w:rPr>
              <w:t>法定代表人身份证反面</w:t>
            </w:r>
          </w:p>
        </w:tc>
      </w:tr>
    </w:tbl>
    <w:p w14:paraId="4D7CB62F">
      <w:pPr>
        <w:spacing w:line="360" w:lineRule="auto"/>
        <w:ind w:firstLine="435"/>
        <w:rPr>
          <w:rFonts w:hint="eastAsia" w:ascii="宋体" w:hAnsi="宋体" w:eastAsia="宋体" w:cs="宋体"/>
          <w:sz w:val="24"/>
        </w:rPr>
      </w:pPr>
    </w:p>
    <w:tbl>
      <w:tblPr>
        <w:tblStyle w:val="24"/>
        <w:tblW w:w="8869" w:type="dxa"/>
        <w:tblInd w:w="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5"/>
        <w:gridCol w:w="4394"/>
      </w:tblGrid>
      <w:tr w14:paraId="2073A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trPr>
        <w:tc>
          <w:tcPr>
            <w:tcW w:w="4475" w:type="dxa"/>
            <w:vAlign w:val="top"/>
          </w:tcPr>
          <w:p w14:paraId="76DFA09A">
            <w:pPr>
              <w:spacing w:line="360" w:lineRule="auto"/>
              <w:ind w:firstLine="435"/>
              <w:rPr>
                <w:rFonts w:hint="eastAsia" w:ascii="宋体" w:hAnsi="宋体" w:eastAsia="宋体" w:cs="宋体"/>
                <w:sz w:val="24"/>
              </w:rPr>
            </w:pPr>
          </w:p>
          <w:p w14:paraId="188D2AA9">
            <w:pPr>
              <w:spacing w:line="360" w:lineRule="auto"/>
              <w:ind w:firstLine="435"/>
              <w:rPr>
                <w:rFonts w:hint="eastAsia" w:ascii="宋体" w:hAnsi="宋体" w:eastAsia="宋体" w:cs="宋体"/>
                <w:sz w:val="24"/>
              </w:rPr>
            </w:pPr>
          </w:p>
          <w:p w14:paraId="74C42F91">
            <w:pPr>
              <w:spacing w:line="360" w:lineRule="auto"/>
              <w:ind w:firstLine="435"/>
              <w:rPr>
                <w:rFonts w:hint="eastAsia" w:ascii="宋体" w:hAnsi="宋体" w:eastAsia="宋体" w:cs="宋体"/>
                <w:sz w:val="24"/>
              </w:rPr>
            </w:pPr>
            <w:r>
              <w:rPr>
                <w:rFonts w:hint="eastAsia" w:ascii="宋体" w:hAnsi="宋体" w:eastAsia="宋体" w:cs="宋体"/>
                <w:sz w:val="24"/>
              </w:rPr>
              <w:t>被授权人身份证正面</w:t>
            </w:r>
          </w:p>
        </w:tc>
        <w:tc>
          <w:tcPr>
            <w:tcW w:w="4394" w:type="dxa"/>
            <w:vAlign w:val="top"/>
          </w:tcPr>
          <w:p w14:paraId="658D92D3">
            <w:pPr>
              <w:spacing w:line="360" w:lineRule="auto"/>
              <w:ind w:firstLine="435"/>
              <w:rPr>
                <w:rFonts w:hint="eastAsia" w:ascii="宋体" w:hAnsi="宋体" w:eastAsia="宋体" w:cs="宋体"/>
                <w:sz w:val="24"/>
              </w:rPr>
            </w:pPr>
          </w:p>
          <w:p w14:paraId="6C568409">
            <w:pPr>
              <w:spacing w:line="360" w:lineRule="auto"/>
              <w:ind w:firstLine="435"/>
              <w:rPr>
                <w:rFonts w:hint="eastAsia" w:ascii="宋体" w:hAnsi="宋体" w:eastAsia="宋体" w:cs="宋体"/>
                <w:sz w:val="24"/>
              </w:rPr>
            </w:pPr>
          </w:p>
          <w:p w14:paraId="2FFF28BE">
            <w:pPr>
              <w:spacing w:line="360" w:lineRule="auto"/>
              <w:ind w:firstLine="435"/>
              <w:rPr>
                <w:rFonts w:hint="eastAsia" w:ascii="宋体" w:hAnsi="宋体" w:eastAsia="宋体" w:cs="宋体"/>
                <w:sz w:val="24"/>
              </w:rPr>
            </w:pPr>
            <w:r>
              <w:rPr>
                <w:rFonts w:hint="eastAsia" w:ascii="宋体" w:hAnsi="宋体" w:eastAsia="宋体" w:cs="宋体"/>
                <w:sz w:val="24"/>
              </w:rPr>
              <w:t>被授权人身份证反面</w:t>
            </w:r>
          </w:p>
        </w:tc>
      </w:tr>
    </w:tbl>
    <w:p w14:paraId="34AEA92B">
      <w:pPr>
        <w:spacing w:line="360" w:lineRule="auto"/>
        <w:ind w:firstLine="480" w:firstLineChars="200"/>
        <w:rPr>
          <w:rFonts w:hint="eastAsia" w:ascii="宋体" w:hAnsi="宋体" w:eastAsia="宋体" w:cs="宋体"/>
          <w:sz w:val="24"/>
        </w:rPr>
      </w:pPr>
      <w:r>
        <w:rPr>
          <w:rFonts w:hint="eastAsia" w:ascii="宋体" w:hAnsi="宋体" w:eastAsia="宋体" w:cs="宋体"/>
          <w:sz w:val="24"/>
        </w:rPr>
        <w:t>法定代表人盖章：</w:t>
      </w:r>
    </w:p>
    <w:p w14:paraId="58D1FD76">
      <w:pPr>
        <w:spacing w:line="360" w:lineRule="auto"/>
        <w:ind w:firstLine="435"/>
        <w:rPr>
          <w:rFonts w:hint="eastAsia" w:ascii="宋体" w:hAnsi="宋体" w:eastAsia="宋体" w:cs="宋体"/>
          <w:sz w:val="24"/>
          <w:u w:val="single"/>
        </w:rPr>
      </w:pPr>
      <w:r>
        <w:rPr>
          <w:rFonts w:hint="eastAsia" w:ascii="宋体" w:hAnsi="宋体" w:eastAsia="宋体" w:cs="宋体"/>
          <w:sz w:val="24"/>
        </w:rPr>
        <w:t>被授权人签字或盖章：</w:t>
      </w:r>
    </w:p>
    <w:p w14:paraId="2B0A98EF">
      <w:pPr>
        <w:spacing w:line="360" w:lineRule="auto"/>
        <w:ind w:firstLine="435"/>
        <w:rPr>
          <w:rFonts w:hint="eastAsia" w:ascii="宋体" w:hAnsi="宋体" w:eastAsia="宋体" w:cs="宋体"/>
          <w:sz w:val="24"/>
          <w:u w:val="single"/>
        </w:rPr>
      </w:pPr>
      <w:r>
        <w:rPr>
          <w:rFonts w:hint="eastAsia" w:ascii="宋体" w:hAnsi="宋体" w:eastAsia="宋体" w:cs="宋体"/>
          <w:sz w:val="24"/>
        </w:rPr>
        <w:t>公      章：</w:t>
      </w:r>
    </w:p>
    <w:p w14:paraId="61EA7409">
      <w:pPr>
        <w:spacing w:line="360" w:lineRule="auto"/>
        <w:ind w:firstLine="435"/>
        <w:jc w:val="center"/>
        <w:outlineLvl w:val="0"/>
        <w:rPr>
          <w:rFonts w:hint="eastAsia" w:ascii="宋体" w:hAnsi="宋体" w:eastAsia="宋体" w:cs="宋体"/>
          <w:sz w:val="24"/>
          <w:u w:val="single"/>
        </w:rPr>
      </w:pPr>
      <w:r>
        <w:rPr>
          <w:rFonts w:hint="eastAsia" w:ascii="宋体" w:hAnsi="宋体" w:eastAsia="宋体" w:cs="宋体"/>
          <w:sz w:val="24"/>
        </w:rPr>
        <w:t xml:space="preserve">                        </w:t>
      </w:r>
      <w:bookmarkStart w:id="462" w:name="_Toc19677"/>
      <w:bookmarkStart w:id="463" w:name="_Toc4853"/>
      <w:bookmarkStart w:id="464" w:name="_Toc2068"/>
      <w:bookmarkStart w:id="465" w:name="_Toc21357"/>
      <w:r>
        <w:rPr>
          <w:rFonts w:hint="eastAsia" w:ascii="宋体" w:hAnsi="宋体" w:eastAsia="宋体" w:cs="宋体"/>
          <w:sz w:val="24"/>
        </w:rPr>
        <w:t>授权日期：20 年 月 日</w:t>
      </w:r>
      <w:bookmarkEnd w:id="462"/>
      <w:bookmarkEnd w:id="463"/>
      <w:bookmarkEnd w:id="464"/>
      <w:bookmarkEnd w:id="465"/>
      <w:r>
        <w:rPr>
          <w:rFonts w:hint="eastAsia" w:ascii="宋体" w:hAnsi="宋体" w:eastAsia="宋体" w:cs="宋体"/>
          <w:sz w:val="24"/>
        </w:rPr>
        <w:t xml:space="preserve"> </w:t>
      </w:r>
    </w:p>
    <w:p w14:paraId="4A2410C8">
      <w:pPr>
        <w:spacing w:line="360" w:lineRule="auto"/>
        <w:ind w:firstLine="480" w:firstLineChars="200"/>
        <w:jc w:val="center"/>
        <w:rPr>
          <w:rFonts w:hint="eastAsia" w:ascii="宋体" w:hAnsi="宋体" w:eastAsia="宋体" w:cs="宋体"/>
          <w:sz w:val="24"/>
        </w:rPr>
      </w:pPr>
    </w:p>
    <w:p w14:paraId="250873B5">
      <w:pPr>
        <w:spacing w:line="360" w:lineRule="auto"/>
        <w:ind w:firstLine="480" w:firstLineChars="200"/>
        <w:jc w:val="center"/>
        <w:rPr>
          <w:rFonts w:hint="eastAsia" w:ascii="宋体" w:hAnsi="宋体" w:eastAsia="宋体" w:cs="宋体"/>
          <w:sz w:val="24"/>
        </w:rPr>
      </w:pPr>
    </w:p>
    <w:p w14:paraId="67425262">
      <w:pPr>
        <w:pStyle w:val="8"/>
        <w:spacing w:before="159" w:beforeLines="50" w:line="360" w:lineRule="auto"/>
        <w:jc w:val="both"/>
        <w:outlineLvl w:val="0"/>
        <w:rPr>
          <w:rFonts w:hint="eastAsia" w:ascii="宋体" w:hAnsi="宋体" w:eastAsia="宋体" w:cs="宋体"/>
          <w:b/>
          <w:sz w:val="24"/>
        </w:rPr>
      </w:pPr>
      <w:bookmarkStart w:id="466" w:name="_Toc23675"/>
      <w:bookmarkStart w:id="467" w:name="_Toc21655"/>
    </w:p>
    <w:p w14:paraId="62E8C26F">
      <w:pPr>
        <w:pStyle w:val="9"/>
        <w:rPr>
          <w:rFonts w:hint="eastAsia"/>
        </w:rPr>
      </w:pPr>
    </w:p>
    <w:p w14:paraId="2421EF5D">
      <w:pPr>
        <w:pStyle w:val="8"/>
        <w:spacing w:before="159" w:beforeLines="50" w:line="360" w:lineRule="auto"/>
        <w:jc w:val="center"/>
        <w:outlineLvl w:val="0"/>
        <w:rPr>
          <w:rFonts w:hint="eastAsia" w:ascii="宋体" w:hAnsi="宋体" w:eastAsia="宋体" w:cs="宋体"/>
          <w:b/>
          <w:sz w:val="24"/>
        </w:rPr>
      </w:pPr>
      <w:bookmarkStart w:id="468" w:name="_Toc2254"/>
      <w:bookmarkStart w:id="469" w:name="_Toc27116"/>
      <w:r>
        <w:rPr>
          <w:rFonts w:hint="eastAsia" w:ascii="宋体" w:hAnsi="宋体" w:eastAsia="宋体" w:cs="宋体"/>
          <w:b/>
          <w:sz w:val="24"/>
        </w:rPr>
        <w:t>供应商基本情况表</w:t>
      </w:r>
      <w:bookmarkEnd w:id="466"/>
      <w:bookmarkEnd w:id="467"/>
      <w:bookmarkEnd w:id="468"/>
      <w:bookmarkEnd w:id="469"/>
    </w:p>
    <w:p w14:paraId="3C300439">
      <w:pPr>
        <w:rPr>
          <w:rFonts w:hint="eastAsia" w:ascii="宋体" w:hAnsi="宋体" w:eastAsia="宋体" w:cs="宋体"/>
          <w:sz w:val="24"/>
        </w:rPr>
      </w:pPr>
    </w:p>
    <w:tbl>
      <w:tblPr>
        <w:tblStyle w:val="24"/>
        <w:tblW w:w="89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16"/>
        <w:gridCol w:w="2109"/>
        <w:gridCol w:w="2417"/>
        <w:gridCol w:w="1727"/>
      </w:tblGrid>
      <w:tr w14:paraId="1FA19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2716" w:type="dxa"/>
            <w:tcBorders>
              <w:top w:val="single" w:color="auto" w:sz="4" w:space="0"/>
              <w:left w:val="single" w:color="auto" w:sz="4" w:space="0"/>
              <w:bottom w:val="single" w:color="auto" w:sz="4" w:space="0"/>
              <w:right w:val="single" w:color="auto" w:sz="4" w:space="0"/>
            </w:tcBorders>
            <w:vAlign w:val="center"/>
          </w:tcPr>
          <w:p w14:paraId="022FBC3B">
            <w:pPr>
              <w:jc w:val="center"/>
              <w:rPr>
                <w:rFonts w:hint="eastAsia" w:ascii="宋体" w:hAnsi="宋体" w:eastAsia="宋体" w:cs="宋体"/>
                <w:sz w:val="22"/>
                <w:szCs w:val="28"/>
              </w:rPr>
            </w:pPr>
            <w:r>
              <w:rPr>
                <w:rFonts w:hint="eastAsia" w:ascii="宋体" w:hAnsi="宋体" w:eastAsia="宋体" w:cs="宋体"/>
                <w:sz w:val="22"/>
                <w:szCs w:val="28"/>
              </w:rPr>
              <w:t>单位名称</w:t>
            </w:r>
          </w:p>
        </w:tc>
        <w:tc>
          <w:tcPr>
            <w:tcW w:w="6253" w:type="dxa"/>
            <w:gridSpan w:val="3"/>
            <w:tcBorders>
              <w:top w:val="single" w:color="auto" w:sz="4" w:space="0"/>
              <w:left w:val="single" w:color="auto" w:sz="4" w:space="0"/>
              <w:bottom w:val="single" w:color="auto" w:sz="4" w:space="0"/>
              <w:right w:val="single" w:color="auto" w:sz="4" w:space="0"/>
            </w:tcBorders>
            <w:vAlign w:val="center"/>
          </w:tcPr>
          <w:p w14:paraId="0D482F21">
            <w:pPr>
              <w:jc w:val="center"/>
              <w:rPr>
                <w:rFonts w:hint="eastAsia" w:ascii="宋体" w:hAnsi="宋体" w:eastAsia="宋体" w:cs="宋体"/>
                <w:sz w:val="22"/>
                <w:szCs w:val="28"/>
              </w:rPr>
            </w:pPr>
          </w:p>
        </w:tc>
      </w:tr>
      <w:tr w14:paraId="451DD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2716" w:type="dxa"/>
            <w:tcBorders>
              <w:top w:val="single" w:color="auto" w:sz="4" w:space="0"/>
              <w:left w:val="single" w:color="auto" w:sz="4" w:space="0"/>
              <w:bottom w:val="single" w:color="auto" w:sz="4" w:space="0"/>
              <w:right w:val="single" w:color="auto" w:sz="4" w:space="0"/>
            </w:tcBorders>
            <w:vAlign w:val="center"/>
          </w:tcPr>
          <w:p w14:paraId="0761DAE5">
            <w:pPr>
              <w:jc w:val="center"/>
              <w:rPr>
                <w:rFonts w:hint="eastAsia" w:ascii="宋体" w:hAnsi="宋体" w:eastAsia="宋体" w:cs="宋体"/>
                <w:sz w:val="22"/>
                <w:szCs w:val="28"/>
              </w:rPr>
            </w:pPr>
            <w:r>
              <w:rPr>
                <w:rFonts w:hint="eastAsia" w:ascii="宋体" w:hAnsi="宋体" w:eastAsia="宋体" w:cs="宋体"/>
                <w:sz w:val="22"/>
                <w:szCs w:val="28"/>
              </w:rPr>
              <w:t>资质等级</w:t>
            </w:r>
          </w:p>
        </w:tc>
        <w:tc>
          <w:tcPr>
            <w:tcW w:w="6253" w:type="dxa"/>
            <w:gridSpan w:val="3"/>
            <w:tcBorders>
              <w:top w:val="single" w:color="auto" w:sz="4" w:space="0"/>
              <w:left w:val="single" w:color="auto" w:sz="4" w:space="0"/>
              <w:bottom w:val="single" w:color="auto" w:sz="4" w:space="0"/>
              <w:right w:val="single" w:color="auto" w:sz="4" w:space="0"/>
            </w:tcBorders>
            <w:vAlign w:val="center"/>
          </w:tcPr>
          <w:p w14:paraId="2E6F09C7">
            <w:pPr>
              <w:jc w:val="center"/>
              <w:rPr>
                <w:rFonts w:hint="eastAsia" w:ascii="宋体" w:hAnsi="宋体" w:eastAsia="宋体" w:cs="宋体"/>
                <w:sz w:val="22"/>
                <w:szCs w:val="28"/>
              </w:rPr>
            </w:pPr>
          </w:p>
        </w:tc>
      </w:tr>
      <w:tr w14:paraId="367DB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2716" w:type="dxa"/>
            <w:tcBorders>
              <w:top w:val="single" w:color="auto" w:sz="4" w:space="0"/>
              <w:left w:val="single" w:color="auto" w:sz="4" w:space="0"/>
              <w:bottom w:val="single" w:color="auto" w:sz="4" w:space="0"/>
              <w:right w:val="single" w:color="auto" w:sz="4" w:space="0"/>
            </w:tcBorders>
            <w:vAlign w:val="center"/>
          </w:tcPr>
          <w:p w14:paraId="3AB5C2EA">
            <w:pPr>
              <w:jc w:val="center"/>
              <w:rPr>
                <w:rFonts w:hint="eastAsia" w:ascii="宋体" w:hAnsi="宋体" w:eastAsia="宋体" w:cs="宋体"/>
                <w:sz w:val="22"/>
                <w:szCs w:val="28"/>
              </w:rPr>
            </w:pPr>
            <w:r>
              <w:rPr>
                <w:rFonts w:hint="eastAsia" w:ascii="宋体" w:hAnsi="宋体" w:eastAsia="宋体" w:cs="宋体"/>
                <w:sz w:val="22"/>
                <w:szCs w:val="28"/>
              </w:rPr>
              <w:t>营业范围</w:t>
            </w:r>
          </w:p>
        </w:tc>
        <w:tc>
          <w:tcPr>
            <w:tcW w:w="6253" w:type="dxa"/>
            <w:gridSpan w:val="3"/>
            <w:tcBorders>
              <w:top w:val="single" w:color="auto" w:sz="4" w:space="0"/>
              <w:left w:val="single" w:color="auto" w:sz="4" w:space="0"/>
              <w:bottom w:val="single" w:color="auto" w:sz="4" w:space="0"/>
              <w:right w:val="single" w:color="auto" w:sz="4" w:space="0"/>
            </w:tcBorders>
            <w:vAlign w:val="center"/>
          </w:tcPr>
          <w:p w14:paraId="12219C8C">
            <w:pPr>
              <w:jc w:val="center"/>
              <w:rPr>
                <w:rFonts w:hint="eastAsia" w:ascii="宋体" w:hAnsi="宋体" w:eastAsia="宋体" w:cs="宋体"/>
                <w:sz w:val="22"/>
                <w:szCs w:val="28"/>
              </w:rPr>
            </w:pPr>
          </w:p>
        </w:tc>
      </w:tr>
      <w:tr w14:paraId="472F3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2716" w:type="dxa"/>
            <w:tcBorders>
              <w:top w:val="single" w:color="auto" w:sz="4" w:space="0"/>
              <w:left w:val="single" w:color="auto" w:sz="4" w:space="0"/>
              <w:bottom w:val="single" w:color="auto" w:sz="4" w:space="0"/>
              <w:right w:val="single" w:color="auto" w:sz="4" w:space="0"/>
            </w:tcBorders>
            <w:vAlign w:val="center"/>
          </w:tcPr>
          <w:p w14:paraId="3DDF9162">
            <w:pPr>
              <w:jc w:val="center"/>
              <w:rPr>
                <w:rFonts w:hint="eastAsia" w:ascii="宋体" w:hAnsi="宋体" w:eastAsia="宋体" w:cs="宋体"/>
                <w:sz w:val="22"/>
                <w:szCs w:val="28"/>
              </w:rPr>
            </w:pPr>
            <w:r>
              <w:rPr>
                <w:rFonts w:hint="eastAsia" w:ascii="宋体" w:hAnsi="宋体" w:eastAsia="宋体" w:cs="宋体"/>
                <w:sz w:val="22"/>
                <w:szCs w:val="28"/>
              </w:rPr>
              <w:t>单位地址</w:t>
            </w:r>
          </w:p>
        </w:tc>
        <w:tc>
          <w:tcPr>
            <w:tcW w:w="6253" w:type="dxa"/>
            <w:gridSpan w:val="3"/>
            <w:tcBorders>
              <w:top w:val="single" w:color="auto" w:sz="4" w:space="0"/>
              <w:left w:val="single" w:color="auto" w:sz="4" w:space="0"/>
              <w:bottom w:val="single" w:color="auto" w:sz="4" w:space="0"/>
              <w:right w:val="single" w:color="auto" w:sz="4" w:space="0"/>
            </w:tcBorders>
            <w:vAlign w:val="center"/>
          </w:tcPr>
          <w:p w14:paraId="50165D07">
            <w:pPr>
              <w:jc w:val="center"/>
              <w:rPr>
                <w:rFonts w:hint="eastAsia" w:ascii="宋体" w:hAnsi="宋体" w:eastAsia="宋体" w:cs="宋体"/>
                <w:sz w:val="22"/>
                <w:szCs w:val="28"/>
              </w:rPr>
            </w:pPr>
          </w:p>
        </w:tc>
      </w:tr>
      <w:tr w14:paraId="7B0F2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2716" w:type="dxa"/>
            <w:tcBorders>
              <w:top w:val="single" w:color="auto" w:sz="4" w:space="0"/>
              <w:left w:val="single" w:color="auto" w:sz="4" w:space="0"/>
              <w:bottom w:val="single" w:color="auto" w:sz="4" w:space="0"/>
              <w:right w:val="single" w:color="auto" w:sz="4" w:space="0"/>
            </w:tcBorders>
            <w:vAlign w:val="center"/>
          </w:tcPr>
          <w:p w14:paraId="5CB49D43">
            <w:pPr>
              <w:jc w:val="center"/>
              <w:rPr>
                <w:rFonts w:hint="eastAsia" w:ascii="宋体" w:hAnsi="宋体" w:eastAsia="宋体" w:cs="宋体"/>
                <w:sz w:val="22"/>
                <w:szCs w:val="28"/>
              </w:rPr>
            </w:pPr>
            <w:r>
              <w:rPr>
                <w:rFonts w:hint="eastAsia" w:ascii="宋体" w:hAnsi="宋体" w:eastAsia="宋体" w:cs="宋体"/>
                <w:sz w:val="22"/>
                <w:szCs w:val="28"/>
              </w:rPr>
              <w:t>法定代表人</w:t>
            </w:r>
          </w:p>
        </w:tc>
        <w:tc>
          <w:tcPr>
            <w:tcW w:w="6253" w:type="dxa"/>
            <w:gridSpan w:val="3"/>
            <w:tcBorders>
              <w:top w:val="single" w:color="auto" w:sz="4" w:space="0"/>
              <w:left w:val="single" w:color="auto" w:sz="4" w:space="0"/>
              <w:bottom w:val="single" w:color="auto" w:sz="4" w:space="0"/>
              <w:right w:val="single" w:color="auto" w:sz="4" w:space="0"/>
            </w:tcBorders>
            <w:vAlign w:val="center"/>
          </w:tcPr>
          <w:p w14:paraId="0247F826">
            <w:pPr>
              <w:jc w:val="center"/>
              <w:rPr>
                <w:rFonts w:hint="eastAsia" w:ascii="宋体" w:hAnsi="宋体" w:eastAsia="宋体" w:cs="宋体"/>
                <w:sz w:val="22"/>
                <w:szCs w:val="28"/>
              </w:rPr>
            </w:pPr>
          </w:p>
        </w:tc>
      </w:tr>
      <w:tr w14:paraId="2DDE8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2716" w:type="dxa"/>
            <w:tcBorders>
              <w:top w:val="single" w:color="auto" w:sz="4" w:space="0"/>
              <w:left w:val="single" w:color="auto" w:sz="4" w:space="0"/>
              <w:bottom w:val="single" w:color="auto" w:sz="4" w:space="0"/>
              <w:right w:val="single" w:color="auto" w:sz="4" w:space="0"/>
            </w:tcBorders>
            <w:vAlign w:val="center"/>
          </w:tcPr>
          <w:p w14:paraId="18D741CF">
            <w:pPr>
              <w:jc w:val="center"/>
              <w:rPr>
                <w:rFonts w:hint="eastAsia" w:ascii="宋体" w:hAnsi="宋体" w:eastAsia="宋体" w:cs="宋体"/>
                <w:sz w:val="22"/>
                <w:szCs w:val="28"/>
              </w:rPr>
            </w:pPr>
            <w:r>
              <w:rPr>
                <w:rFonts w:hint="eastAsia" w:ascii="宋体" w:hAnsi="宋体" w:eastAsia="宋体" w:cs="宋体"/>
                <w:sz w:val="22"/>
                <w:szCs w:val="28"/>
              </w:rPr>
              <w:t>经济类型</w:t>
            </w:r>
          </w:p>
        </w:tc>
        <w:tc>
          <w:tcPr>
            <w:tcW w:w="6253" w:type="dxa"/>
            <w:gridSpan w:val="3"/>
            <w:tcBorders>
              <w:top w:val="single" w:color="auto" w:sz="4" w:space="0"/>
              <w:left w:val="single" w:color="auto" w:sz="4" w:space="0"/>
              <w:bottom w:val="single" w:color="auto" w:sz="4" w:space="0"/>
              <w:right w:val="single" w:color="auto" w:sz="4" w:space="0"/>
            </w:tcBorders>
            <w:vAlign w:val="center"/>
          </w:tcPr>
          <w:p w14:paraId="0F8101A3">
            <w:pPr>
              <w:jc w:val="center"/>
              <w:rPr>
                <w:rFonts w:hint="eastAsia" w:ascii="宋体" w:hAnsi="宋体" w:eastAsia="宋体" w:cs="宋体"/>
                <w:sz w:val="22"/>
                <w:szCs w:val="28"/>
              </w:rPr>
            </w:pPr>
          </w:p>
        </w:tc>
      </w:tr>
      <w:tr w14:paraId="406C5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2716" w:type="dxa"/>
            <w:tcBorders>
              <w:top w:val="single" w:color="auto" w:sz="4" w:space="0"/>
              <w:left w:val="single" w:color="auto" w:sz="4" w:space="0"/>
              <w:bottom w:val="single" w:color="auto" w:sz="4" w:space="0"/>
              <w:right w:val="single" w:color="auto" w:sz="4" w:space="0"/>
            </w:tcBorders>
            <w:vAlign w:val="center"/>
          </w:tcPr>
          <w:p w14:paraId="53CFF6CC">
            <w:pPr>
              <w:jc w:val="center"/>
              <w:rPr>
                <w:rFonts w:hint="eastAsia" w:ascii="宋体" w:hAnsi="宋体" w:eastAsia="宋体" w:cs="宋体"/>
                <w:sz w:val="22"/>
                <w:szCs w:val="28"/>
              </w:rPr>
            </w:pPr>
            <w:r>
              <w:rPr>
                <w:rFonts w:hint="eastAsia" w:ascii="宋体" w:hAnsi="宋体" w:eastAsia="宋体" w:cs="宋体"/>
                <w:sz w:val="22"/>
                <w:szCs w:val="28"/>
              </w:rPr>
              <w:t>工商登记号</w:t>
            </w:r>
          </w:p>
        </w:tc>
        <w:tc>
          <w:tcPr>
            <w:tcW w:w="6253" w:type="dxa"/>
            <w:gridSpan w:val="3"/>
            <w:tcBorders>
              <w:top w:val="single" w:color="auto" w:sz="4" w:space="0"/>
              <w:left w:val="single" w:color="auto" w:sz="4" w:space="0"/>
              <w:bottom w:val="single" w:color="auto" w:sz="4" w:space="0"/>
              <w:right w:val="single" w:color="auto" w:sz="4" w:space="0"/>
            </w:tcBorders>
            <w:vAlign w:val="center"/>
          </w:tcPr>
          <w:p w14:paraId="1F1A65E8">
            <w:pPr>
              <w:jc w:val="center"/>
              <w:rPr>
                <w:rFonts w:hint="eastAsia" w:ascii="宋体" w:hAnsi="宋体" w:eastAsia="宋体" w:cs="宋体"/>
                <w:sz w:val="22"/>
                <w:szCs w:val="28"/>
              </w:rPr>
            </w:pPr>
          </w:p>
        </w:tc>
      </w:tr>
      <w:tr w14:paraId="10E0A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2716" w:type="dxa"/>
            <w:tcBorders>
              <w:top w:val="single" w:color="auto" w:sz="4" w:space="0"/>
              <w:left w:val="single" w:color="auto" w:sz="4" w:space="0"/>
              <w:bottom w:val="single" w:color="auto" w:sz="4" w:space="0"/>
              <w:right w:val="single" w:color="auto" w:sz="4" w:space="0"/>
            </w:tcBorders>
            <w:vAlign w:val="center"/>
          </w:tcPr>
          <w:p w14:paraId="17E68F4D">
            <w:pPr>
              <w:jc w:val="center"/>
              <w:rPr>
                <w:rFonts w:hint="eastAsia" w:ascii="宋体" w:hAnsi="宋体" w:eastAsia="宋体" w:cs="宋体"/>
                <w:sz w:val="22"/>
                <w:szCs w:val="28"/>
              </w:rPr>
            </w:pPr>
            <w:r>
              <w:rPr>
                <w:rFonts w:hint="eastAsia" w:ascii="宋体" w:hAnsi="宋体" w:eastAsia="宋体" w:cs="宋体"/>
                <w:sz w:val="22"/>
                <w:szCs w:val="28"/>
              </w:rPr>
              <w:t>税务登记号</w:t>
            </w:r>
          </w:p>
        </w:tc>
        <w:tc>
          <w:tcPr>
            <w:tcW w:w="6253" w:type="dxa"/>
            <w:gridSpan w:val="3"/>
            <w:tcBorders>
              <w:top w:val="single" w:color="auto" w:sz="4" w:space="0"/>
              <w:left w:val="single" w:color="auto" w:sz="4" w:space="0"/>
              <w:bottom w:val="single" w:color="auto" w:sz="4" w:space="0"/>
              <w:right w:val="single" w:color="auto" w:sz="4" w:space="0"/>
            </w:tcBorders>
            <w:vAlign w:val="center"/>
          </w:tcPr>
          <w:p w14:paraId="29C2326A">
            <w:pPr>
              <w:jc w:val="center"/>
              <w:rPr>
                <w:rFonts w:hint="eastAsia" w:ascii="宋体" w:hAnsi="宋体" w:eastAsia="宋体" w:cs="宋体"/>
                <w:sz w:val="22"/>
                <w:szCs w:val="28"/>
              </w:rPr>
            </w:pPr>
          </w:p>
        </w:tc>
      </w:tr>
      <w:tr w14:paraId="59873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2716" w:type="dxa"/>
            <w:tcBorders>
              <w:top w:val="single" w:color="auto" w:sz="4" w:space="0"/>
              <w:left w:val="single" w:color="auto" w:sz="4" w:space="0"/>
              <w:bottom w:val="single" w:color="auto" w:sz="4" w:space="0"/>
              <w:right w:val="single" w:color="auto" w:sz="4" w:space="0"/>
            </w:tcBorders>
            <w:vAlign w:val="center"/>
          </w:tcPr>
          <w:p w14:paraId="7F675E14">
            <w:pPr>
              <w:jc w:val="center"/>
              <w:rPr>
                <w:rFonts w:hint="eastAsia" w:ascii="宋体" w:hAnsi="宋体" w:eastAsia="宋体" w:cs="宋体"/>
                <w:sz w:val="22"/>
                <w:szCs w:val="28"/>
              </w:rPr>
            </w:pPr>
            <w:r>
              <w:rPr>
                <w:rFonts w:hint="eastAsia" w:ascii="宋体" w:hAnsi="宋体" w:eastAsia="宋体" w:cs="宋体"/>
                <w:sz w:val="22"/>
                <w:szCs w:val="28"/>
              </w:rPr>
              <w:t>开户银行及帐号</w:t>
            </w:r>
          </w:p>
        </w:tc>
        <w:tc>
          <w:tcPr>
            <w:tcW w:w="6253" w:type="dxa"/>
            <w:gridSpan w:val="3"/>
            <w:tcBorders>
              <w:top w:val="single" w:color="auto" w:sz="4" w:space="0"/>
              <w:left w:val="single" w:color="auto" w:sz="4" w:space="0"/>
              <w:bottom w:val="single" w:color="auto" w:sz="4" w:space="0"/>
              <w:right w:val="single" w:color="auto" w:sz="4" w:space="0"/>
            </w:tcBorders>
            <w:vAlign w:val="center"/>
          </w:tcPr>
          <w:p w14:paraId="1EA21CD7">
            <w:pPr>
              <w:jc w:val="center"/>
              <w:rPr>
                <w:rFonts w:hint="eastAsia" w:ascii="宋体" w:hAnsi="宋体" w:eastAsia="宋体" w:cs="宋体"/>
                <w:sz w:val="22"/>
                <w:szCs w:val="28"/>
              </w:rPr>
            </w:pPr>
          </w:p>
        </w:tc>
      </w:tr>
      <w:tr w14:paraId="3486C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2716" w:type="dxa"/>
            <w:tcBorders>
              <w:top w:val="single" w:color="auto" w:sz="4" w:space="0"/>
              <w:left w:val="single" w:color="auto" w:sz="4" w:space="0"/>
              <w:bottom w:val="single" w:color="auto" w:sz="4" w:space="0"/>
              <w:right w:val="single" w:color="auto" w:sz="4" w:space="0"/>
            </w:tcBorders>
            <w:vAlign w:val="center"/>
          </w:tcPr>
          <w:p w14:paraId="1D57124F">
            <w:pPr>
              <w:ind w:left="-105" w:leftChars="-50" w:right="-105" w:rightChars="-50"/>
              <w:jc w:val="center"/>
              <w:rPr>
                <w:rFonts w:hint="eastAsia" w:ascii="宋体" w:hAnsi="宋体" w:eastAsia="宋体" w:cs="宋体"/>
                <w:sz w:val="22"/>
                <w:szCs w:val="28"/>
              </w:rPr>
            </w:pPr>
            <w:r>
              <w:rPr>
                <w:rFonts w:hint="eastAsia" w:ascii="宋体" w:hAnsi="宋体" w:eastAsia="宋体" w:cs="宋体"/>
                <w:sz w:val="22"/>
                <w:szCs w:val="28"/>
              </w:rPr>
              <w:t>单位信用等级</w:t>
            </w:r>
          </w:p>
        </w:tc>
        <w:tc>
          <w:tcPr>
            <w:tcW w:w="6253" w:type="dxa"/>
            <w:gridSpan w:val="3"/>
            <w:tcBorders>
              <w:top w:val="single" w:color="auto" w:sz="4" w:space="0"/>
              <w:left w:val="single" w:color="auto" w:sz="4" w:space="0"/>
              <w:bottom w:val="single" w:color="auto" w:sz="4" w:space="0"/>
              <w:right w:val="single" w:color="auto" w:sz="4" w:space="0"/>
            </w:tcBorders>
            <w:vAlign w:val="center"/>
          </w:tcPr>
          <w:p w14:paraId="50E714AA">
            <w:pPr>
              <w:jc w:val="center"/>
              <w:rPr>
                <w:rFonts w:hint="eastAsia" w:ascii="宋体" w:hAnsi="宋体" w:eastAsia="宋体" w:cs="宋体"/>
                <w:sz w:val="22"/>
                <w:szCs w:val="28"/>
              </w:rPr>
            </w:pPr>
          </w:p>
        </w:tc>
      </w:tr>
      <w:tr w14:paraId="3B8C3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2716" w:type="dxa"/>
            <w:tcBorders>
              <w:top w:val="single" w:color="auto" w:sz="4" w:space="0"/>
              <w:left w:val="single" w:color="auto" w:sz="4" w:space="0"/>
              <w:bottom w:val="single" w:color="auto" w:sz="4" w:space="0"/>
              <w:right w:val="single" w:color="auto" w:sz="4" w:space="0"/>
            </w:tcBorders>
            <w:vAlign w:val="center"/>
          </w:tcPr>
          <w:p w14:paraId="26AE703B">
            <w:pPr>
              <w:jc w:val="center"/>
              <w:rPr>
                <w:rFonts w:hint="eastAsia" w:ascii="宋体" w:hAnsi="宋体" w:eastAsia="宋体" w:cs="宋体"/>
                <w:sz w:val="22"/>
                <w:szCs w:val="28"/>
              </w:rPr>
            </w:pPr>
            <w:r>
              <w:rPr>
                <w:rFonts w:hint="eastAsia" w:ascii="宋体" w:hAnsi="宋体" w:eastAsia="宋体" w:cs="宋体"/>
                <w:sz w:val="22"/>
                <w:szCs w:val="28"/>
              </w:rPr>
              <w:t>联系人</w:t>
            </w:r>
          </w:p>
        </w:tc>
        <w:tc>
          <w:tcPr>
            <w:tcW w:w="2109" w:type="dxa"/>
            <w:tcBorders>
              <w:top w:val="single" w:color="auto" w:sz="4" w:space="0"/>
              <w:left w:val="single" w:color="auto" w:sz="4" w:space="0"/>
              <w:bottom w:val="single" w:color="auto" w:sz="4" w:space="0"/>
              <w:right w:val="single" w:color="auto" w:sz="4" w:space="0"/>
            </w:tcBorders>
            <w:vAlign w:val="center"/>
          </w:tcPr>
          <w:p w14:paraId="78CC956C">
            <w:pPr>
              <w:jc w:val="center"/>
              <w:rPr>
                <w:rFonts w:hint="eastAsia" w:ascii="宋体" w:hAnsi="宋体" w:eastAsia="宋体" w:cs="宋体"/>
                <w:sz w:val="22"/>
                <w:szCs w:val="28"/>
              </w:rPr>
            </w:pPr>
          </w:p>
        </w:tc>
        <w:tc>
          <w:tcPr>
            <w:tcW w:w="2417" w:type="dxa"/>
            <w:tcBorders>
              <w:top w:val="single" w:color="auto" w:sz="4" w:space="0"/>
              <w:left w:val="single" w:color="auto" w:sz="4" w:space="0"/>
              <w:bottom w:val="single" w:color="auto" w:sz="4" w:space="0"/>
              <w:right w:val="single" w:color="auto" w:sz="4" w:space="0"/>
            </w:tcBorders>
            <w:vAlign w:val="center"/>
          </w:tcPr>
          <w:p w14:paraId="0119B7EF">
            <w:pPr>
              <w:jc w:val="center"/>
              <w:rPr>
                <w:rFonts w:hint="eastAsia" w:ascii="宋体" w:hAnsi="宋体" w:eastAsia="宋体" w:cs="宋体"/>
                <w:sz w:val="22"/>
                <w:szCs w:val="28"/>
              </w:rPr>
            </w:pPr>
            <w:r>
              <w:rPr>
                <w:rFonts w:hint="eastAsia" w:ascii="宋体" w:hAnsi="宋体" w:eastAsia="宋体" w:cs="宋体"/>
                <w:sz w:val="22"/>
                <w:szCs w:val="28"/>
              </w:rPr>
              <w:t>联系电话</w:t>
            </w:r>
          </w:p>
        </w:tc>
        <w:tc>
          <w:tcPr>
            <w:tcW w:w="1727" w:type="dxa"/>
            <w:tcBorders>
              <w:top w:val="single" w:color="auto" w:sz="4" w:space="0"/>
              <w:left w:val="single" w:color="auto" w:sz="4" w:space="0"/>
              <w:bottom w:val="single" w:color="auto" w:sz="4" w:space="0"/>
              <w:right w:val="single" w:color="auto" w:sz="4" w:space="0"/>
            </w:tcBorders>
            <w:vAlign w:val="center"/>
          </w:tcPr>
          <w:p w14:paraId="2FB7420F">
            <w:pPr>
              <w:jc w:val="center"/>
              <w:rPr>
                <w:rFonts w:hint="eastAsia" w:ascii="宋体" w:hAnsi="宋体" w:eastAsia="宋体" w:cs="宋体"/>
                <w:sz w:val="22"/>
                <w:szCs w:val="28"/>
              </w:rPr>
            </w:pPr>
          </w:p>
        </w:tc>
      </w:tr>
      <w:tr w14:paraId="1CB36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2716" w:type="dxa"/>
            <w:tcBorders>
              <w:top w:val="single" w:color="auto" w:sz="4" w:space="0"/>
              <w:left w:val="single" w:color="auto" w:sz="4" w:space="0"/>
              <w:bottom w:val="single" w:color="auto" w:sz="4" w:space="0"/>
              <w:right w:val="single" w:color="auto" w:sz="4" w:space="0"/>
            </w:tcBorders>
            <w:vAlign w:val="center"/>
          </w:tcPr>
          <w:p w14:paraId="5FA5D0EE">
            <w:pPr>
              <w:jc w:val="center"/>
              <w:rPr>
                <w:rFonts w:hint="eastAsia" w:ascii="宋体" w:hAnsi="宋体" w:eastAsia="宋体" w:cs="宋体"/>
                <w:sz w:val="22"/>
                <w:szCs w:val="28"/>
              </w:rPr>
            </w:pPr>
            <w:r>
              <w:rPr>
                <w:rFonts w:hint="eastAsia" w:ascii="宋体" w:hAnsi="宋体" w:eastAsia="宋体" w:cs="宋体"/>
                <w:sz w:val="22"/>
                <w:szCs w:val="28"/>
              </w:rPr>
              <w:t>传真号</w:t>
            </w:r>
          </w:p>
        </w:tc>
        <w:tc>
          <w:tcPr>
            <w:tcW w:w="2109" w:type="dxa"/>
            <w:tcBorders>
              <w:top w:val="single" w:color="auto" w:sz="4" w:space="0"/>
              <w:left w:val="single" w:color="auto" w:sz="4" w:space="0"/>
              <w:bottom w:val="single" w:color="auto" w:sz="4" w:space="0"/>
              <w:right w:val="single" w:color="auto" w:sz="4" w:space="0"/>
            </w:tcBorders>
            <w:vAlign w:val="center"/>
          </w:tcPr>
          <w:p w14:paraId="5E31D372">
            <w:pPr>
              <w:jc w:val="center"/>
              <w:rPr>
                <w:rFonts w:hint="eastAsia" w:ascii="宋体" w:hAnsi="宋体" w:eastAsia="宋体" w:cs="宋体"/>
                <w:sz w:val="22"/>
                <w:szCs w:val="28"/>
              </w:rPr>
            </w:pPr>
          </w:p>
        </w:tc>
        <w:tc>
          <w:tcPr>
            <w:tcW w:w="2417" w:type="dxa"/>
            <w:tcBorders>
              <w:top w:val="single" w:color="auto" w:sz="4" w:space="0"/>
              <w:left w:val="single" w:color="auto" w:sz="4" w:space="0"/>
              <w:bottom w:val="single" w:color="auto" w:sz="4" w:space="0"/>
              <w:right w:val="single" w:color="auto" w:sz="4" w:space="0"/>
            </w:tcBorders>
            <w:vAlign w:val="center"/>
          </w:tcPr>
          <w:p w14:paraId="25B2E7D9">
            <w:pPr>
              <w:jc w:val="center"/>
              <w:rPr>
                <w:rFonts w:hint="eastAsia" w:ascii="宋体" w:hAnsi="宋体" w:eastAsia="宋体" w:cs="宋体"/>
                <w:sz w:val="22"/>
                <w:szCs w:val="28"/>
              </w:rPr>
            </w:pPr>
            <w:r>
              <w:rPr>
                <w:rFonts w:hint="eastAsia" w:ascii="宋体" w:hAnsi="宋体" w:eastAsia="宋体" w:cs="宋体"/>
                <w:sz w:val="22"/>
                <w:szCs w:val="28"/>
              </w:rPr>
              <w:t>电子邮箱</w:t>
            </w:r>
          </w:p>
        </w:tc>
        <w:tc>
          <w:tcPr>
            <w:tcW w:w="1727" w:type="dxa"/>
            <w:tcBorders>
              <w:top w:val="single" w:color="auto" w:sz="4" w:space="0"/>
              <w:left w:val="single" w:color="auto" w:sz="4" w:space="0"/>
              <w:bottom w:val="single" w:color="auto" w:sz="4" w:space="0"/>
              <w:right w:val="single" w:color="auto" w:sz="4" w:space="0"/>
            </w:tcBorders>
            <w:vAlign w:val="center"/>
          </w:tcPr>
          <w:p w14:paraId="42D30155">
            <w:pPr>
              <w:jc w:val="center"/>
              <w:rPr>
                <w:rFonts w:hint="eastAsia" w:ascii="宋体" w:hAnsi="宋体" w:eastAsia="宋体" w:cs="宋体"/>
                <w:sz w:val="22"/>
                <w:szCs w:val="28"/>
              </w:rPr>
            </w:pPr>
          </w:p>
        </w:tc>
      </w:tr>
      <w:tr w14:paraId="591B8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716" w:type="dxa"/>
            <w:tcBorders>
              <w:top w:val="single" w:color="auto" w:sz="4" w:space="0"/>
              <w:left w:val="single" w:color="auto" w:sz="4" w:space="0"/>
              <w:bottom w:val="single" w:color="auto" w:sz="4" w:space="0"/>
              <w:right w:val="single" w:color="auto" w:sz="4" w:space="0"/>
            </w:tcBorders>
            <w:vAlign w:val="center"/>
          </w:tcPr>
          <w:p w14:paraId="0B9B6B65">
            <w:pPr>
              <w:jc w:val="center"/>
              <w:rPr>
                <w:rFonts w:hint="eastAsia" w:ascii="宋体" w:hAnsi="宋体" w:eastAsia="宋体" w:cs="宋体"/>
                <w:sz w:val="22"/>
                <w:szCs w:val="28"/>
              </w:rPr>
            </w:pPr>
            <w:r>
              <w:rPr>
                <w:rFonts w:hint="eastAsia" w:ascii="宋体" w:hAnsi="宋体" w:eastAsia="宋体" w:cs="宋体"/>
                <w:sz w:val="22"/>
                <w:szCs w:val="28"/>
              </w:rPr>
              <w:t>说明</w:t>
            </w:r>
          </w:p>
        </w:tc>
        <w:tc>
          <w:tcPr>
            <w:tcW w:w="6253" w:type="dxa"/>
            <w:gridSpan w:val="3"/>
            <w:tcBorders>
              <w:top w:val="single" w:color="auto" w:sz="4" w:space="0"/>
              <w:left w:val="single" w:color="auto" w:sz="4" w:space="0"/>
              <w:bottom w:val="single" w:color="auto" w:sz="4" w:space="0"/>
              <w:right w:val="single" w:color="auto" w:sz="4" w:space="0"/>
            </w:tcBorders>
            <w:vAlign w:val="center"/>
          </w:tcPr>
          <w:p w14:paraId="2B95D833">
            <w:pPr>
              <w:jc w:val="center"/>
              <w:rPr>
                <w:rFonts w:hint="eastAsia" w:ascii="宋体" w:hAnsi="宋体" w:eastAsia="宋体" w:cs="宋体"/>
                <w:sz w:val="22"/>
                <w:szCs w:val="28"/>
              </w:rPr>
            </w:pPr>
          </w:p>
          <w:p w14:paraId="0FA3C0FC">
            <w:pPr>
              <w:jc w:val="center"/>
              <w:rPr>
                <w:rFonts w:hint="eastAsia" w:ascii="宋体" w:hAnsi="宋体" w:eastAsia="宋体" w:cs="宋体"/>
                <w:sz w:val="22"/>
                <w:szCs w:val="28"/>
              </w:rPr>
            </w:pPr>
          </w:p>
          <w:p w14:paraId="4A19EC46">
            <w:pPr>
              <w:jc w:val="center"/>
              <w:rPr>
                <w:rFonts w:hint="eastAsia" w:ascii="宋体" w:hAnsi="宋体" w:eastAsia="宋体" w:cs="宋体"/>
                <w:sz w:val="22"/>
                <w:szCs w:val="28"/>
              </w:rPr>
            </w:pPr>
          </w:p>
          <w:p w14:paraId="69CA5406">
            <w:pPr>
              <w:jc w:val="center"/>
              <w:rPr>
                <w:rFonts w:hint="eastAsia" w:ascii="宋体" w:hAnsi="宋体" w:eastAsia="宋体" w:cs="宋体"/>
                <w:sz w:val="22"/>
                <w:szCs w:val="28"/>
              </w:rPr>
            </w:pPr>
          </w:p>
          <w:p w14:paraId="0D519EBA">
            <w:pPr>
              <w:rPr>
                <w:rFonts w:hint="eastAsia" w:ascii="宋体" w:hAnsi="宋体" w:eastAsia="宋体" w:cs="宋体"/>
                <w:sz w:val="22"/>
                <w:szCs w:val="28"/>
              </w:rPr>
            </w:pPr>
          </w:p>
        </w:tc>
      </w:tr>
    </w:tbl>
    <w:p w14:paraId="4B45B11E">
      <w:pPr>
        <w:pStyle w:val="8"/>
        <w:spacing w:line="480" w:lineRule="exact"/>
        <w:rPr>
          <w:rFonts w:hint="eastAsia" w:ascii="宋体" w:hAnsi="宋体" w:eastAsia="宋体" w:cs="宋体"/>
          <w:sz w:val="24"/>
        </w:rPr>
      </w:pPr>
      <w:r>
        <w:rPr>
          <w:rFonts w:hint="eastAsia" w:ascii="宋体" w:hAnsi="宋体" w:eastAsia="宋体" w:cs="宋体"/>
          <w:sz w:val="24"/>
        </w:rPr>
        <w:t>附：法人营业执照</w:t>
      </w:r>
      <w:r>
        <w:rPr>
          <w:rFonts w:hint="eastAsia" w:ascii="宋体" w:hAnsi="宋体" w:eastAsia="宋体" w:cs="宋体"/>
          <w:bCs/>
          <w:kern w:val="0"/>
          <w:sz w:val="24"/>
        </w:rPr>
        <w:t>等相关材料</w:t>
      </w:r>
    </w:p>
    <w:p w14:paraId="44F0060C">
      <w:pPr>
        <w:pStyle w:val="8"/>
        <w:spacing w:line="480" w:lineRule="exact"/>
        <w:rPr>
          <w:rFonts w:hint="eastAsia" w:ascii="宋体" w:hAnsi="宋体" w:eastAsia="宋体" w:cs="宋体"/>
          <w:sz w:val="24"/>
        </w:rPr>
      </w:pPr>
    </w:p>
    <w:p w14:paraId="2C9BA068">
      <w:pPr>
        <w:tabs>
          <w:tab w:val="center" w:pos="4629"/>
        </w:tabs>
        <w:spacing w:before="240" w:after="480"/>
        <w:jc w:val="left"/>
        <w:rPr>
          <w:rFonts w:hint="eastAsia" w:ascii="宋体" w:hAnsi="宋体" w:eastAsia="宋体" w:cs="宋体"/>
          <w:sz w:val="24"/>
        </w:rPr>
      </w:pPr>
      <w:r>
        <w:rPr>
          <w:rFonts w:hint="eastAsia" w:ascii="宋体" w:hAnsi="宋体" w:eastAsia="宋体" w:cs="宋体"/>
          <w:b/>
          <w:sz w:val="28"/>
          <w:szCs w:val="28"/>
        </w:rPr>
        <w:br w:type="page"/>
      </w:r>
    </w:p>
    <w:p w14:paraId="328385EE">
      <w:pPr>
        <w:spacing w:line="360" w:lineRule="auto"/>
        <w:jc w:val="both"/>
        <w:rPr>
          <w:rFonts w:hint="eastAsia" w:ascii="宋体" w:hAnsi="宋体" w:eastAsia="宋体" w:cs="宋体"/>
          <w:b/>
          <w:sz w:val="28"/>
          <w:szCs w:val="32"/>
        </w:rPr>
      </w:pPr>
    </w:p>
    <w:p w14:paraId="1C115230">
      <w:pPr>
        <w:spacing w:line="360" w:lineRule="auto"/>
        <w:jc w:val="center"/>
        <w:rPr>
          <w:rFonts w:hint="eastAsia" w:ascii="宋体" w:hAnsi="宋体" w:eastAsia="宋体" w:cs="宋体"/>
          <w:b/>
          <w:sz w:val="32"/>
          <w:szCs w:val="32"/>
        </w:rPr>
      </w:pPr>
      <w:r>
        <w:rPr>
          <w:rFonts w:hint="eastAsia" w:ascii="宋体" w:hAnsi="宋体" w:eastAsia="宋体" w:cs="宋体"/>
          <w:b/>
          <w:sz w:val="28"/>
          <w:szCs w:val="32"/>
        </w:rPr>
        <w:t>（供应商）《反商业贿赂承诺书》</w:t>
      </w:r>
    </w:p>
    <w:p w14:paraId="139B6B21">
      <w:pPr>
        <w:pStyle w:val="9"/>
        <w:spacing w:line="360" w:lineRule="auto"/>
        <w:ind w:firstLine="540"/>
        <w:rPr>
          <w:rFonts w:hint="eastAsia" w:ascii="宋体" w:hAnsi="宋体" w:eastAsia="宋体" w:cs="宋体"/>
          <w:sz w:val="24"/>
        </w:rPr>
      </w:pPr>
    </w:p>
    <w:p w14:paraId="6664036A">
      <w:pPr>
        <w:pStyle w:val="9"/>
        <w:spacing w:line="360" w:lineRule="auto"/>
        <w:ind w:firstLine="540"/>
        <w:rPr>
          <w:rFonts w:hint="eastAsia" w:ascii="宋体" w:hAnsi="宋体" w:eastAsia="宋体" w:cs="宋体"/>
          <w:sz w:val="24"/>
        </w:rPr>
      </w:pPr>
      <w:r>
        <w:rPr>
          <w:rFonts w:hint="eastAsia" w:ascii="宋体" w:hAnsi="宋体" w:eastAsia="宋体" w:cs="宋体"/>
          <w:sz w:val="24"/>
        </w:rPr>
        <w:t>我公司承诺在</w:t>
      </w:r>
      <w:r>
        <w:rPr>
          <w:rFonts w:hint="eastAsia" w:ascii="宋体" w:hAnsi="宋体" w:eastAsia="宋体" w:cs="宋体"/>
          <w:sz w:val="24"/>
          <w:u w:val="single"/>
        </w:rPr>
        <w:t>（项目名称、项目编号、合同包号）</w:t>
      </w:r>
      <w:r>
        <w:rPr>
          <w:rFonts w:hint="eastAsia" w:ascii="宋体" w:hAnsi="宋体" w:eastAsia="宋体" w:cs="宋体"/>
          <w:sz w:val="24"/>
        </w:rPr>
        <w:t xml:space="preserve">招标活动中，不给予国家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6C8B02B9">
      <w:pPr>
        <w:pStyle w:val="9"/>
        <w:spacing w:line="360" w:lineRule="auto"/>
        <w:ind w:firstLine="540"/>
        <w:rPr>
          <w:rFonts w:hint="eastAsia" w:ascii="宋体" w:hAnsi="宋体" w:eastAsia="宋体" w:cs="宋体"/>
          <w:sz w:val="24"/>
        </w:rPr>
      </w:pPr>
    </w:p>
    <w:p w14:paraId="061CD10F">
      <w:pPr>
        <w:pStyle w:val="9"/>
        <w:spacing w:line="360" w:lineRule="auto"/>
        <w:ind w:firstLine="540"/>
        <w:jc w:val="center"/>
        <w:outlineLvl w:val="0"/>
        <w:rPr>
          <w:rFonts w:hint="eastAsia" w:ascii="宋体" w:hAnsi="宋体" w:eastAsia="宋体" w:cs="宋体"/>
          <w:sz w:val="24"/>
        </w:rPr>
      </w:pPr>
      <w:r>
        <w:rPr>
          <w:rFonts w:hint="eastAsia" w:ascii="宋体" w:hAnsi="宋体" w:eastAsia="宋体" w:cs="宋体"/>
          <w:sz w:val="24"/>
        </w:rPr>
        <w:t xml:space="preserve">                         </w:t>
      </w:r>
      <w:bookmarkStart w:id="470" w:name="_Toc18881"/>
      <w:bookmarkStart w:id="471" w:name="_Toc12619"/>
      <w:bookmarkStart w:id="472" w:name="_Toc23816"/>
      <w:bookmarkStart w:id="473" w:name="_Toc1929"/>
      <w:r>
        <w:rPr>
          <w:rFonts w:hint="eastAsia" w:ascii="宋体" w:hAnsi="宋体" w:eastAsia="宋体" w:cs="宋体"/>
          <w:sz w:val="24"/>
        </w:rPr>
        <w:t>供应商（单位盖章）：</w:t>
      </w:r>
      <w:bookmarkEnd w:id="470"/>
      <w:bookmarkEnd w:id="471"/>
      <w:bookmarkEnd w:id="472"/>
      <w:bookmarkEnd w:id="473"/>
    </w:p>
    <w:p w14:paraId="50ACE34C">
      <w:pPr>
        <w:pStyle w:val="9"/>
        <w:spacing w:line="360" w:lineRule="auto"/>
        <w:ind w:firstLine="540"/>
        <w:jc w:val="center"/>
        <w:outlineLvl w:val="0"/>
        <w:rPr>
          <w:rFonts w:hint="eastAsia" w:ascii="宋体" w:hAnsi="宋体" w:eastAsia="宋体" w:cs="宋体"/>
          <w:sz w:val="24"/>
        </w:rPr>
      </w:pPr>
      <w:r>
        <w:rPr>
          <w:rFonts w:hint="eastAsia" w:ascii="宋体" w:hAnsi="宋体" w:eastAsia="宋体" w:cs="宋体"/>
          <w:sz w:val="24"/>
        </w:rPr>
        <w:t xml:space="preserve">                           </w:t>
      </w:r>
      <w:bookmarkStart w:id="474" w:name="_Toc28967"/>
      <w:bookmarkStart w:id="475" w:name="_Toc7285"/>
      <w:bookmarkStart w:id="476" w:name="_Toc8597"/>
      <w:bookmarkStart w:id="477" w:name="_Toc12712"/>
      <w:r>
        <w:rPr>
          <w:rFonts w:hint="eastAsia" w:ascii="宋体" w:hAnsi="宋体" w:eastAsia="宋体" w:cs="宋体"/>
          <w:sz w:val="24"/>
        </w:rPr>
        <w:t>法定代表人或授权代理人（签字或盖章）：</w:t>
      </w:r>
      <w:bookmarkEnd w:id="474"/>
      <w:bookmarkEnd w:id="475"/>
      <w:bookmarkEnd w:id="476"/>
      <w:bookmarkEnd w:id="477"/>
    </w:p>
    <w:p w14:paraId="73F561EE">
      <w:pPr>
        <w:pStyle w:val="48"/>
        <w:spacing w:line="360" w:lineRule="exact"/>
        <w:outlineLvl w:val="0"/>
        <w:rPr>
          <w:rFonts w:hint="eastAsia" w:ascii="宋体" w:hAnsi="宋体" w:eastAsia="宋体" w:cs="宋体"/>
        </w:rPr>
      </w:pPr>
      <w:r>
        <w:rPr>
          <w:rFonts w:hint="eastAsia" w:ascii="宋体" w:hAnsi="宋体" w:eastAsia="宋体" w:cs="宋体"/>
          <w:b/>
          <w:szCs w:val="24"/>
        </w:rPr>
        <w:t xml:space="preserve">　　　　　　　　　　　              </w:t>
      </w:r>
      <w:r>
        <w:rPr>
          <w:rFonts w:hint="eastAsia" w:ascii="宋体" w:hAnsi="宋体" w:eastAsia="宋体" w:cs="宋体"/>
        </w:rPr>
        <w:t xml:space="preserve">             </w:t>
      </w:r>
      <w:bookmarkStart w:id="478" w:name="_Toc25470"/>
      <w:bookmarkStart w:id="479" w:name="_Toc27548"/>
      <w:r>
        <w:rPr>
          <w:rFonts w:hint="eastAsia" w:ascii="宋体" w:hAnsi="宋体" w:eastAsia="宋体" w:cs="宋体"/>
        </w:rPr>
        <w:t xml:space="preserve"> </w:t>
      </w:r>
      <w:bookmarkStart w:id="480" w:name="_Toc22373"/>
      <w:bookmarkStart w:id="481" w:name="_Toc11991"/>
      <w:r>
        <w:rPr>
          <w:rFonts w:hint="eastAsia" w:ascii="宋体" w:hAnsi="宋体" w:eastAsia="宋体" w:cs="宋体"/>
        </w:rPr>
        <w:t>年 月 日</w:t>
      </w:r>
      <w:bookmarkEnd w:id="478"/>
      <w:bookmarkEnd w:id="479"/>
      <w:bookmarkEnd w:id="480"/>
      <w:bookmarkEnd w:id="481"/>
    </w:p>
    <w:p w14:paraId="30A64C40">
      <w:pPr>
        <w:pStyle w:val="48"/>
        <w:spacing w:line="360" w:lineRule="exact"/>
        <w:rPr>
          <w:rFonts w:hint="eastAsia" w:ascii="宋体" w:hAnsi="宋体" w:eastAsia="宋体" w:cs="宋体"/>
        </w:rPr>
      </w:pPr>
    </w:p>
    <w:p w14:paraId="753320B3">
      <w:pPr>
        <w:pStyle w:val="48"/>
        <w:spacing w:line="360" w:lineRule="exact"/>
        <w:rPr>
          <w:rFonts w:hint="eastAsia" w:ascii="宋体" w:hAnsi="宋体" w:eastAsia="宋体" w:cs="宋体"/>
        </w:rPr>
      </w:pPr>
    </w:p>
    <w:p w14:paraId="1586EDEE">
      <w:pPr>
        <w:pStyle w:val="48"/>
        <w:spacing w:line="360" w:lineRule="exact"/>
        <w:rPr>
          <w:rFonts w:hint="eastAsia" w:ascii="宋体" w:hAnsi="宋体" w:eastAsia="宋体" w:cs="宋体"/>
        </w:rPr>
      </w:pPr>
    </w:p>
    <w:p w14:paraId="4EFBC511">
      <w:pPr>
        <w:pStyle w:val="48"/>
        <w:spacing w:line="360" w:lineRule="exact"/>
        <w:rPr>
          <w:rFonts w:hint="eastAsia" w:ascii="宋体" w:hAnsi="宋体" w:eastAsia="宋体" w:cs="宋体"/>
        </w:rPr>
      </w:pPr>
    </w:p>
    <w:p w14:paraId="46C4A8C9">
      <w:pPr>
        <w:pStyle w:val="48"/>
        <w:spacing w:line="360" w:lineRule="exact"/>
        <w:rPr>
          <w:rFonts w:hint="eastAsia" w:ascii="宋体" w:hAnsi="宋体" w:eastAsia="宋体" w:cs="宋体"/>
        </w:rPr>
      </w:pPr>
    </w:p>
    <w:p w14:paraId="2896DEF1">
      <w:pPr>
        <w:pStyle w:val="48"/>
        <w:spacing w:line="360" w:lineRule="exact"/>
        <w:rPr>
          <w:rFonts w:hint="eastAsia" w:ascii="宋体" w:hAnsi="宋体" w:eastAsia="宋体" w:cs="宋体"/>
        </w:rPr>
      </w:pPr>
    </w:p>
    <w:p w14:paraId="507E1927">
      <w:pPr>
        <w:pStyle w:val="48"/>
        <w:spacing w:line="360" w:lineRule="exact"/>
        <w:rPr>
          <w:rFonts w:hint="eastAsia" w:ascii="宋体" w:hAnsi="宋体" w:eastAsia="宋体" w:cs="宋体"/>
        </w:rPr>
      </w:pPr>
    </w:p>
    <w:p w14:paraId="40074A9D">
      <w:pPr>
        <w:pStyle w:val="48"/>
        <w:spacing w:line="360" w:lineRule="exact"/>
        <w:rPr>
          <w:rFonts w:hint="eastAsia" w:ascii="宋体" w:hAnsi="宋体" w:eastAsia="宋体" w:cs="宋体"/>
        </w:rPr>
      </w:pPr>
    </w:p>
    <w:p w14:paraId="7FFC0856">
      <w:pPr>
        <w:pStyle w:val="48"/>
        <w:spacing w:line="360" w:lineRule="exact"/>
        <w:rPr>
          <w:rFonts w:hint="eastAsia" w:ascii="宋体" w:hAnsi="宋体" w:eastAsia="宋体" w:cs="宋体"/>
        </w:rPr>
      </w:pPr>
    </w:p>
    <w:p w14:paraId="3071B703">
      <w:pPr>
        <w:pStyle w:val="48"/>
        <w:spacing w:line="360" w:lineRule="exact"/>
        <w:rPr>
          <w:rFonts w:hint="eastAsia" w:ascii="宋体" w:hAnsi="宋体" w:eastAsia="宋体" w:cs="宋体"/>
        </w:rPr>
      </w:pPr>
    </w:p>
    <w:p w14:paraId="11DF803D">
      <w:pPr>
        <w:pStyle w:val="48"/>
        <w:spacing w:line="360" w:lineRule="exact"/>
        <w:rPr>
          <w:rFonts w:hint="eastAsia" w:ascii="宋体" w:hAnsi="宋体" w:eastAsia="宋体" w:cs="宋体"/>
        </w:rPr>
      </w:pPr>
    </w:p>
    <w:p w14:paraId="32B6E3E2">
      <w:pPr>
        <w:pStyle w:val="48"/>
        <w:spacing w:line="360" w:lineRule="exact"/>
        <w:rPr>
          <w:rFonts w:hint="eastAsia" w:ascii="宋体" w:hAnsi="宋体" w:eastAsia="宋体" w:cs="宋体"/>
        </w:rPr>
      </w:pPr>
    </w:p>
    <w:p w14:paraId="25D38175">
      <w:pPr>
        <w:pStyle w:val="48"/>
        <w:spacing w:line="360" w:lineRule="exact"/>
        <w:rPr>
          <w:rFonts w:hint="eastAsia" w:ascii="宋体" w:hAnsi="宋体" w:eastAsia="宋体" w:cs="宋体"/>
        </w:rPr>
      </w:pPr>
    </w:p>
    <w:p w14:paraId="4723C4AA">
      <w:pPr>
        <w:pStyle w:val="48"/>
        <w:spacing w:line="360" w:lineRule="exact"/>
        <w:rPr>
          <w:rFonts w:hint="eastAsia" w:ascii="宋体" w:hAnsi="宋体" w:eastAsia="宋体" w:cs="宋体"/>
        </w:rPr>
      </w:pPr>
    </w:p>
    <w:p w14:paraId="402C06E6">
      <w:pPr>
        <w:pStyle w:val="48"/>
        <w:spacing w:line="360" w:lineRule="exact"/>
        <w:rPr>
          <w:rFonts w:hint="eastAsia" w:ascii="宋体" w:hAnsi="宋体" w:eastAsia="宋体" w:cs="宋体"/>
        </w:rPr>
      </w:pPr>
    </w:p>
    <w:p w14:paraId="26F94463">
      <w:pPr>
        <w:pStyle w:val="48"/>
        <w:spacing w:line="360" w:lineRule="exact"/>
        <w:rPr>
          <w:rFonts w:hint="eastAsia" w:ascii="宋体" w:hAnsi="宋体" w:eastAsia="宋体" w:cs="宋体"/>
        </w:rPr>
      </w:pPr>
    </w:p>
    <w:p w14:paraId="19A2FC6B">
      <w:pPr>
        <w:pStyle w:val="48"/>
        <w:spacing w:line="360" w:lineRule="exact"/>
        <w:rPr>
          <w:rFonts w:hint="eastAsia" w:ascii="宋体" w:hAnsi="宋体" w:eastAsia="宋体" w:cs="宋体"/>
        </w:rPr>
      </w:pPr>
    </w:p>
    <w:p w14:paraId="7B06B093">
      <w:pPr>
        <w:pStyle w:val="48"/>
        <w:spacing w:line="360" w:lineRule="exact"/>
        <w:rPr>
          <w:rFonts w:hint="eastAsia" w:ascii="宋体" w:hAnsi="宋体" w:eastAsia="宋体" w:cs="宋体"/>
        </w:rPr>
      </w:pPr>
    </w:p>
    <w:p w14:paraId="5FCC7129">
      <w:pPr>
        <w:pStyle w:val="18"/>
        <w:rPr>
          <w:rFonts w:hint="eastAsia" w:ascii="宋体" w:hAnsi="宋体" w:eastAsia="宋体" w:cs="宋体"/>
        </w:rPr>
      </w:pPr>
    </w:p>
    <w:p w14:paraId="3AAA8A34">
      <w:pPr>
        <w:pStyle w:val="18"/>
        <w:rPr>
          <w:rFonts w:hint="eastAsia" w:ascii="宋体" w:hAnsi="宋体" w:eastAsia="宋体" w:cs="宋体"/>
        </w:rPr>
      </w:pPr>
    </w:p>
    <w:p w14:paraId="5E1DB1CC">
      <w:pPr>
        <w:widowControl/>
        <w:jc w:val="both"/>
        <w:rPr>
          <w:rFonts w:hint="eastAsia" w:ascii="宋体" w:hAnsi="宋体" w:eastAsia="宋体" w:cs="宋体"/>
          <w:b/>
          <w:bCs/>
          <w:sz w:val="28"/>
          <w:szCs w:val="28"/>
        </w:rPr>
      </w:pPr>
    </w:p>
    <w:p w14:paraId="110C936A">
      <w:pPr>
        <w:widowControl/>
        <w:jc w:val="center"/>
        <w:rPr>
          <w:rFonts w:hint="eastAsia" w:ascii="宋体" w:hAnsi="宋体" w:eastAsia="宋体" w:cs="宋体"/>
          <w:b/>
          <w:bCs/>
          <w:sz w:val="28"/>
          <w:szCs w:val="28"/>
        </w:rPr>
      </w:pPr>
    </w:p>
    <w:p w14:paraId="657CFBD5">
      <w:pPr>
        <w:widowControl/>
        <w:jc w:val="center"/>
        <w:rPr>
          <w:rFonts w:hint="eastAsia" w:ascii="宋体" w:hAnsi="宋体" w:eastAsia="宋体" w:cs="宋体"/>
          <w:b/>
          <w:bCs/>
          <w:sz w:val="28"/>
          <w:szCs w:val="28"/>
          <w:lang w:eastAsia="zh-CN"/>
        </w:rPr>
      </w:pPr>
      <w:r>
        <w:rPr>
          <w:rFonts w:hint="eastAsia" w:ascii="宋体" w:hAnsi="宋体" w:eastAsia="宋体" w:cs="宋体"/>
          <w:b/>
          <w:bCs/>
          <w:sz w:val="28"/>
          <w:szCs w:val="28"/>
        </w:rPr>
        <w:t>供应商认为需要</w:t>
      </w:r>
      <w:r>
        <w:rPr>
          <w:rFonts w:hint="eastAsia" w:ascii="宋体" w:hAnsi="宋体" w:cs="宋体"/>
          <w:b/>
          <w:bCs/>
          <w:sz w:val="28"/>
          <w:szCs w:val="28"/>
          <w:lang w:eastAsia="zh-CN"/>
        </w:rPr>
        <w:t>提供的其他材料</w:t>
      </w:r>
    </w:p>
    <w:sectPr>
      <w:pgSz w:w="11906" w:h="16838"/>
      <w:pgMar w:top="1871" w:right="1587" w:bottom="1871" w:left="1587"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auto"/>
    <w:pitch w:val="default"/>
    <w:sig w:usb0="A00002AF" w:usb1="400078FB" w:usb2="00000000" w:usb3="00000000" w:csb0="6000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1E890">
    <w:pPr>
      <w:pStyle w:val="15"/>
      <w:ind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2AECF">
    <w:pPr>
      <w:pStyle w:val="15"/>
      <w:ind w:firstLine="360"/>
      <w:jc w:val="right"/>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048E898">
                          <w:pPr>
                            <w:pStyle w:val="15"/>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lAJp5xQEAAJEDAAAOAAAAAAAAAAEAIAAAAB8BAABkcnMvZTJvRG9jLnht&#10;bFBLBQYAAAAABgAGAFkBAABWBQAAAAA=&#10;">
              <v:fill on="f" focussize="0,0"/>
              <v:stroke on="f"/>
              <v:imagedata o:title=""/>
              <o:lock v:ext="edit" aspectratio="f"/>
              <v:textbox inset="0mm,0mm,0mm,0mm" style="mso-fit-shape-to-text:t;">
                <w:txbxContent>
                  <w:p w14:paraId="1048E898">
                    <w:pPr>
                      <w:pStyle w:val="15"/>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216CA">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9C81F2D">
                          <w:pPr>
                            <w:pStyle w:val="15"/>
                          </w:pPr>
                          <w:r>
                            <w:fldChar w:fldCharType="begin"/>
                          </w:r>
                          <w:r>
                            <w:instrText xml:space="preserve"> PAGE  \* MERGEFORMAT </w:instrText>
                          </w:r>
                          <w:r>
                            <w:fldChar w:fldCharType="separate"/>
                          </w:r>
                          <w:r>
                            <w:t>- 124 -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CYMlztIBAAClAwAADgAAAAAAAAABACAAAAAi&#10;AQAAZHJzL2Uyb0RvYy54bWxQSwUGAAAAAAYABgBZAQAAZgUAAAAA&#10;">
              <v:fill on="f" focussize="0,0"/>
              <v:stroke on="f" weight="1.25pt"/>
              <v:imagedata o:title=""/>
              <o:lock v:ext="edit" aspectratio="f"/>
              <v:textbox inset="0mm,0mm,0mm,0mm" style="mso-fit-shape-to-text:t;">
                <w:txbxContent>
                  <w:p w14:paraId="79C81F2D">
                    <w:pPr>
                      <w:pStyle w:val="15"/>
                    </w:pPr>
                    <w:r>
                      <w:fldChar w:fldCharType="begin"/>
                    </w:r>
                    <w:r>
                      <w:instrText xml:space="preserve"> PAGE  \* MERGEFORMAT </w:instrText>
                    </w:r>
                    <w:r>
                      <w:fldChar w:fldCharType="separate"/>
                    </w:r>
                    <w:r>
                      <w:t>- 124 -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4CFCB">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993FAFD">
                          <w:pPr>
                            <w:pStyle w:val="15"/>
                          </w:pPr>
                          <w:r>
                            <w:fldChar w:fldCharType="begin"/>
                          </w:r>
                          <w:r>
                            <w:instrText xml:space="preserve"> PAGE  \* MERGEFORMAT </w:instrText>
                          </w:r>
                          <w:r>
                            <w:fldChar w:fldCharType="separate"/>
                          </w:r>
                          <w:r>
                            <w:t>- 129 -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Mb59e7TAQAApQMAAA4AAAAAAAAAAQAgAAAA&#10;IgEAAGRycy9lMm9Eb2MueG1sUEsFBgAAAAAGAAYAWQEAAGcFAAAAAA==&#10;">
              <v:fill on="f" focussize="0,0"/>
              <v:stroke on="f" weight="1.25pt"/>
              <v:imagedata o:title=""/>
              <o:lock v:ext="edit" aspectratio="f"/>
              <v:textbox inset="0mm,0mm,0mm,0mm" style="mso-fit-shape-to-text:t;">
                <w:txbxContent>
                  <w:p w14:paraId="4993FAFD">
                    <w:pPr>
                      <w:pStyle w:val="15"/>
                    </w:pPr>
                    <w:r>
                      <w:fldChar w:fldCharType="begin"/>
                    </w:r>
                    <w:r>
                      <w:instrText xml:space="preserve"> PAGE  \* MERGEFORMAT </w:instrText>
                    </w:r>
                    <w:r>
                      <w:fldChar w:fldCharType="separate"/>
                    </w:r>
                    <w:r>
                      <w:t>- 129 -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9A00A">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35D99ED">
                          <w:pPr>
                            <w:pStyle w:val="15"/>
                          </w:pPr>
                          <w:r>
                            <w:fldChar w:fldCharType="begin"/>
                          </w:r>
                          <w:r>
                            <w:instrText xml:space="preserve"> PAGE  \* MERGEFORMAT </w:instrText>
                          </w:r>
                          <w:r>
                            <w:fldChar w:fldCharType="separate"/>
                          </w:r>
                          <w:r>
                            <w:t>- 130 -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CBPZg7TAQAApQMAAA4AAAAAAAAAAQAgAAAA&#10;IgEAAGRycy9lMm9Eb2MueG1sUEsFBgAAAAAGAAYAWQEAAGcFAAAAAA==&#10;">
              <v:fill on="f" focussize="0,0"/>
              <v:stroke on="f" weight="1.25pt"/>
              <v:imagedata o:title=""/>
              <o:lock v:ext="edit" aspectratio="f"/>
              <v:textbox inset="0mm,0mm,0mm,0mm" style="mso-fit-shape-to-text:t;">
                <w:txbxContent>
                  <w:p w14:paraId="735D99ED">
                    <w:pPr>
                      <w:pStyle w:val="15"/>
                    </w:pPr>
                    <w:r>
                      <w:fldChar w:fldCharType="begin"/>
                    </w:r>
                    <w:r>
                      <w:instrText xml:space="preserve"> PAGE  \* MERGEFORMAT </w:instrText>
                    </w:r>
                    <w:r>
                      <w:fldChar w:fldCharType="separate"/>
                    </w:r>
                    <w:r>
                      <w:t>- 130 -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AC873">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E888E11">
                          <w:pPr>
                            <w:pStyle w:val="15"/>
                          </w:pPr>
                          <w:r>
                            <w:fldChar w:fldCharType="begin"/>
                          </w:r>
                          <w:r>
                            <w:instrText xml:space="preserve"> PAGE  \* MERGEFORMAT </w:instrText>
                          </w:r>
                          <w:r>
                            <w:fldChar w:fldCharType="separate"/>
                          </w:r>
                          <w:r>
                            <w:t>- 130 -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7E888E11">
                    <w:pPr>
                      <w:pStyle w:val="15"/>
                    </w:pPr>
                    <w:r>
                      <w:fldChar w:fldCharType="begin"/>
                    </w:r>
                    <w:r>
                      <w:instrText xml:space="preserve"> PAGE  \* MERGEFORMAT </w:instrText>
                    </w:r>
                    <w:r>
                      <w:fldChar w:fldCharType="separate"/>
                    </w:r>
                    <w:r>
                      <w:t>- 130 -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0E9C0">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37D2984">
                          <w:pPr>
                            <w:pStyle w:val="15"/>
                          </w:pPr>
                          <w:r>
                            <w:fldChar w:fldCharType="begin"/>
                          </w:r>
                          <w:r>
                            <w:instrText xml:space="preserve"> PAGE  \* MERGEFORMAT </w:instrText>
                          </w:r>
                          <w:r>
                            <w:fldChar w:fldCharType="separate"/>
                          </w:r>
                          <w:r>
                            <w:t>- 131 -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EuSo/TTAQAApQMAAA4AAAAAAAAAAQAgAAAA&#10;IgEAAGRycy9lMm9Eb2MueG1sUEsFBgAAAAAGAAYAWQEAAGcFAAAAAA==&#10;">
              <v:fill on="f" focussize="0,0"/>
              <v:stroke on="f" weight="1.25pt"/>
              <v:imagedata o:title=""/>
              <o:lock v:ext="edit" aspectratio="f"/>
              <v:textbox inset="0mm,0mm,0mm,0mm" style="mso-fit-shape-to-text:t;">
                <w:txbxContent>
                  <w:p w14:paraId="437D2984">
                    <w:pPr>
                      <w:pStyle w:val="15"/>
                    </w:pPr>
                    <w:r>
                      <w:fldChar w:fldCharType="begin"/>
                    </w:r>
                    <w:r>
                      <w:instrText xml:space="preserve"> PAGE  \* MERGEFORMAT </w:instrText>
                    </w:r>
                    <w:r>
                      <w:fldChar w:fldCharType="separate"/>
                    </w:r>
                    <w:r>
                      <w:t>- 131 -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B9C8C">
    <w:pPr>
      <w:pStyle w:val="16"/>
      <w:pBdr>
        <w:bottom w:val="none" w:color="auto" w:sz="0" w:space="0"/>
      </w:pBdr>
      <w:jc w:val="left"/>
    </w:pPr>
    <w:r>
      <w:rPr>
        <w:rFonts w:ascii="宋体" w:hAnsi="宋体" w:eastAsia="宋体" w:cs="宋体"/>
        <w:kern w:val="2"/>
        <w:sz w:val="18"/>
        <w:szCs w:val="18"/>
        <w:lang w:val="en-US" w:eastAsia="zh-CN" w:bidi="ar-SA"/>
      </w:rPr>
      <w:drawing>
        <wp:inline distT="0" distB="0" distL="114300" distR="114300">
          <wp:extent cx="362585" cy="612775"/>
          <wp:effectExtent l="0" t="0" r="18415" b="15875"/>
          <wp:docPr id="1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
                  <pic:cNvPicPr>
                    <a:picLocks noChangeAspect="1"/>
                  </pic:cNvPicPr>
                </pic:nvPicPr>
                <pic:blipFill>
                  <a:blip r:embed="rId1">
                    <a:lum/>
                  </a:blip>
                  <a:stretch>
                    <a:fillRect/>
                  </a:stretch>
                </pic:blipFill>
                <pic:spPr>
                  <a:xfrm>
                    <a:off x="0" y="0"/>
                    <a:ext cx="362585" cy="612775"/>
                  </a:xfrm>
                  <a:prstGeom prst="rect">
                    <a:avLst/>
                  </a:prstGeom>
                  <a:noFill/>
                  <a:ln>
                    <a:noFill/>
                  </a:ln>
                </pic:spPr>
              </pic:pic>
            </a:graphicData>
          </a:graphic>
        </wp:inline>
      </w:drawing>
    </w:r>
    <w:r>
      <w:rPr>
        <w:rFonts w:hint="eastAsia" w:ascii="仿宋_GB2312" w:eastAsia="仿宋_GB2312"/>
        <w:b/>
        <w:bCs/>
        <w:spacing w:val="20"/>
        <w:sz w:val="28"/>
        <w:szCs w:val="28"/>
      </w:rPr>
      <w:t>华春建设工程项目管理有限责任公司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FA30E">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56B544"/>
    <w:multiLevelType w:val="singleLevel"/>
    <w:tmpl w:val="EE56B544"/>
    <w:lvl w:ilvl="0" w:tentative="0">
      <w:start w:val="1"/>
      <w:numFmt w:val="decimal"/>
      <w:suff w:val="space"/>
      <w:lvlText w:val="%1."/>
      <w:lvlJc w:val="left"/>
    </w:lvl>
  </w:abstractNum>
  <w:abstractNum w:abstractNumId="1">
    <w:nsid w:val="00000008"/>
    <w:multiLevelType w:val="multilevel"/>
    <w:tmpl w:val="00000008"/>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73"/>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142" w:firstLine="0"/>
      </w:pPr>
      <w:rPr>
        <w:rFonts w:hint="eastAsia" w:ascii="黑体" w:hAnsi="Times New Roman" w:eastAsia="黑体"/>
        <w:b w:val="0"/>
        <w:i w:val="0"/>
        <w:color w:val="auto"/>
        <w:sz w:val="21"/>
      </w:rPr>
    </w:lvl>
    <w:lvl w:ilvl="3" w:tentative="0">
      <w:start w:val="1"/>
      <w:numFmt w:val="decimal"/>
      <w:suff w:val="nothing"/>
      <w:lvlText w:val="%1%2.%3.%4　"/>
      <w:lvlJc w:val="left"/>
      <w:pPr>
        <w:ind w:left="426" w:firstLine="0"/>
      </w:pPr>
      <w:rPr>
        <w:rFonts w:hint="eastAsia" w:ascii="黑体" w:hAnsi="Times New Roman" w:eastAsia="黑体"/>
        <w:b w:val="0"/>
        <w:i w:val="0"/>
        <w:sz w:val="21"/>
      </w:rPr>
    </w:lvl>
    <w:lvl w:ilvl="4" w:tentative="0">
      <w:start w:val="1"/>
      <w:numFmt w:val="decimal"/>
      <w:suff w:val="nothing"/>
      <w:lvlText w:val="%1%2.%3.%4.%5　"/>
      <w:lvlJc w:val="left"/>
      <w:pPr>
        <w:ind w:left="945"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chineseCountingThousand"/>
      <w:lvlText w:val="%2、"/>
      <w:lvlJc w:val="right"/>
      <w:pPr>
        <w:ind w:left="1078" w:hanging="794"/>
      </w:pPr>
      <w:rPr>
        <w:rFonts w:hint="eastAsia"/>
        <w:b w:val="0"/>
        <w:bCs w:val="0"/>
        <w:i w:val="0"/>
        <w:iCs w:val="0"/>
        <w:caps w:val="0"/>
        <w:smallCaps w:val="0"/>
        <w:strike w:val="0"/>
        <w:dstrike w:val="0"/>
        <w:snapToGrid w:val="0"/>
        <w:vanish w:val="0"/>
        <w:color w:val="000000"/>
        <w:spacing w:val="0"/>
        <w:w w:val="0"/>
        <w:kern w:val="0"/>
        <w:position w:val="0"/>
        <w:sz w:val="21"/>
        <w:szCs w:val="21"/>
        <w:u w:val="none"/>
        <w:vertAlign w:val="baseline"/>
      </w:rPr>
    </w:lvl>
    <w:lvl w:ilvl="2" w:tentative="0">
      <w:start w:val="1"/>
      <w:numFmt w:val="decimal"/>
      <w:lvlText w:val="%3.5.1."/>
      <w:lvlJc w:val="left"/>
      <w:pPr>
        <w:ind w:left="907" w:hanging="907"/>
      </w:pPr>
      <w:rPr>
        <w:rFonts w:hint="eastAsia"/>
      </w:rPr>
    </w:lvl>
    <w:lvl w:ilvl="3" w:tentative="0">
      <w:start w:val="1"/>
      <w:numFmt w:val="decimal"/>
      <w:lvlText w:val="1.4.3.%4."/>
      <w:lvlJc w:val="left"/>
      <w:pPr>
        <w:ind w:left="1021" w:hanging="1021"/>
      </w:pPr>
      <w:rPr>
        <w:rFonts w:hint="eastAsia"/>
      </w:rPr>
    </w:lvl>
    <w:lvl w:ilvl="4" w:tentative="0">
      <w:start w:val="1"/>
      <w:numFmt w:val="decimal"/>
      <w:pStyle w:val="83"/>
      <w:isLgl/>
      <w:suff w:val="space"/>
      <w:lvlText w:val="%1.%2.%3.%4.%5 "/>
      <w:lvlJc w:val="left"/>
      <w:pPr>
        <w:ind w:left="1134" w:hanging="1134"/>
      </w:pPr>
      <w:rPr>
        <w:rFonts w:hint="eastAsia" w:cs="Times New Roman"/>
      </w:rPr>
    </w:lvl>
    <w:lvl w:ilvl="5" w:tentative="0">
      <w:start w:val="1"/>
      <w:numFmt w:val="decimal"/>
      <w:isLgl/>
      <w:suff w:val="space"/>
      <w:lvlText w:val="%1.%2.%3.%4.%5.%6 "/>
      <w:lvlJc w:val="left"/>
      <w:pPr>
        <w:ind w:left="1247" w:hanging="1247"/>
      </w:pPr>
      <w:rPr>
        <w:rFonts w:hint="eastAsia" w:cs="Times New Roman"/>
      </w:rPr>
    </w:lvl>
    <w:lvl w:ilvl="6" w:tentative="0">
      <w:start w:val="1"/>
      <w:numFmt w:val="decimal"/>
      <w:lvlRestart w:val="0"/>
      <w:isLgl/>
      <w:suff w:val="space"/>
      <w:lvlText w:val="图 %1.%7 "/>
      <w:lvlJc w:val="left"/>
      <w:rPr>
        <w:rFonts w:hint="eastAsia" w:cs="Times New Roman"/>
      </w:rPr>
    </w:lvl>
    <w:lvl w:ilvl="7" w:tentative="0">
      <w:start w:val="1"/>
      <w:numFmt w:val="decimal"/>
      <w:lvlRestart w:val="0"/>
      <w:isLgl/>
      <w:suff w:val="space"/>
      <w:lvlText w:val="表 %1.%8 "/>
      <w:lvlJc w:val="left"/>
      <w:rPr>
        <w:rFonts w:hint="eastAsia" w:cs="Times New Roman"/>
      </w:rPr>
    </w:lvl>
    <w:lvl w:ilvl="8" w:tentative="0">
      <w:start w:val="0"/>
      <w:numFmt w:val="decimal"/>
      <w:lvlText w:val=""/>
      <w:lvlJc w:val="left"/>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ZWM2ODI3ZmQ1ZDE5NTczY2JmNTUxOTJlYTNkNmYifQ=="/>
  </w:docVars>
  <w:rsids>
    <w:rsidRoot w:val="46F364C7"/>
    <w:rsid w:val="00051001"/>
    <w:rsid w:val="00062170"/>
    <w:rsid w:val="0008388B"/>
    <w:rsid w:val="00084D3B"/>
    <w:rsid w:val="000A17C1"/>
    <w:rsid w:val="000A2A47"/>
    <w:rsid w:val="000D6423"/>
    <w:rsid w:val="000E5AEC"/>
    <w:rsid w:val="000F3BD8"/>
    <w:rsid w:val="00101B52"/>
    <w:rsid w:val="001371F0"/>
    <w:rsid w:val="00160E08"/>
    <w:rsid w:val="0016339C"/>
    <w:rsid w:val="001834E0"/>
    <w:rsid w:val="0020219D"/>
    <w:rsid w:val="0028039D"/>
    <w:rsid w:val="002C5AA6"/>
    <w:rsid w:val="002D2946"/>
    <w:rsid w:val="002D7E46"/>
    <w:rsid w:val="002F11ED"/>
    <w:rsid w:val="003024D8"/>
    <w:rsid w:val="00316330"/>
    <w:rsid w:val="00356A27"/>
    <w:rsid w:val="00385622"/>
    <w:rsid w:val="003C338B"/>
    <w:rsid w:val="004368FF"/>
    <w:rsid w:val="00473E41"/>
    <w:rsid w:val="00485693"/>
    <w:rsid w:val="004D5647"/>
    <w:rsid w:val="00570808"/>
    <w:rsid w:val="00571876"/>
    <w:rsid w:val="00573CDD"/>
    <w:rsid w:val="005969D2"/>
    <w:rsid w:val="005A5B73"/>
    <w:rsid w:val="005B4B66"/>
    <w:rsid w:val="005B4B9E"/>
    <w:rsid w:val="005F3D52"/>
    <w:rsid w:val="006262FF"/>
    <w:rsid w:val="0066766F"/>
    <w:rsid w:val="006C5EE6"/>
    <w:rsid w:val="006D57C8"/>
    <w:rsid w:val="007D16CF"/>
    <w:rsid w:val="007E0D4E"/>
    <w:rsid w:val="007F12B1"/>
    <w:rsid w:val="008A04F1"/>
    <w:rsid w:val="008D5127"/>
    <w:rsid w:val="008F5F89"/>
    <w:rsid w:val="009203BF"/>
    <w:rsid w:val="009A3DDB"/>
    <w:rsid w:val="009A4A84"/>
    <w:rsid w:val="00A03B1F"/>
    <w:rsid w:val="00B534BC"/>
    <w:rsid w:val="00B57017"/>
    <w:rsid w:val="00B662D9"/>
    <w:rsid w:val="00B67F40"/>
    <w:rsid w:val="00B906B5"/>
    <w:rsid w:val="00B90B9F"/>
    <w:rsid w:val="00BE0C32"/>
    <w:rsid w:val="00C734B8"/>
    <w:rsid w:val="00C92B98"/>
    <w:rsid w:val="00CA580B"/>
    <w:rsid w:val="00CC1D40"/>
    <w:rsid w:val="00D576C9"/>
    <w:rsid w:val="00D616C8"/>
    <w:rsid w:val="00EA0795"/>
    <w:rsid w:val="00EF2B04"/>
    <w:rsid w:val="00F377A0"/>
    <w:rsid w:val="00FA7C83"/>
    <w:rsid w:val="010063C4"/>
    <w:rsid w:val="010E5246"/>
    <w:rsid w:val="011D4D76"/>
    <w:rsid w:val="015F3F76"/>
    <w:rsid w:val="01630F53"/>
    <w:rsid w:val="0176597C"/>
    <w:rsid w:val="01A1683A"/>
    <w:rsid w:val="01B13CC2"/>
    <w:rsid w:val="01C527FF"/>
    <w:rsid w:val="01C94B8B"/>
    <w:rsid w:val="0235774B"/>
    <w:rsid w:val="025D08EA"/>
    <w:rsid w:val="026E5D3B"/>
    <w:rsid w:val="02896D23"/>
    <w:rsid w:val="02CD1F13"/>
    <w:rsid w:val="03156361"/>
    <w:rsid w:val="033A5DE0"/>
    <w:rsid w:val="035D1706"/>
    <w:rsid w:val="03777FAC"/>
    <w:rsid w:val="03A429D4"/>
    <w:rsid w:val="03AF53E0"/>
    <w:rsid w:val="04E35A1E"/>
    <w:rsid w:val="05537AB1"/>
    <w:rsid w:val="0579374A"/>
    <w:rsid w:val="058040D7"/>
    <w:rsid w:val="05E77F94"/>
    <w:rsid w:val="06001C23"/>
    <w:rsid w:val="062448EC"/>
    <w:rsid w:val="06286486"/>
    <w:rsid w:val="069D16DE"/>
    <w:rsid w:val="06B4436E"/>
    <w:rsid w:val="06C62BEE"/>
    <w:rsid w:val="06E86AE6"/>
    <w:rsid w:val="073161DB"/>
    <w:rsid w:val="07C531CC"/>
    <w:rsid w:val="07CB4D04"/>
    <w:rsid w:val="07DE24CD"/>
    <w:rsid w:val="07E93C4C"/>
    <w:rsid w:val="07F17208"/>
    <w:rsid w:val="08091901"/>
    <w:rsid w:val="084622B2"/>
    <w:rsid w:val="08790168"/>
    <w:rsid w:val="08A03BB2"/>
    <w:rsid w:val="090A5A61"/>
    <w:rsid w:val="0959780A"/>
    <w:rsid w:val="097A4BB4"/>
    <w:rsid w:val="09B87DA9"/>
    <w:rsid w:val="09F263C8"/>
    <w:rsid w:val="0A1238AB"/>
    <w:rsid w:val="0A3D2B8E"/>
    <w:rsid w:val="0A627318"/>
    <w:rsid w:val="0A825391"/>
    <w:rsid w:val="0AB05ECE"/>
    <w:rsid w:val="0AC7437E"/>
    <w:rsid w:val="0B1669F7"/>
    <w:rsid w:val="0B1E1EBA"/>
    <w:rsid w:val="0B272E8F"/>
    <w:rsid w:val="0B2C313A"/>
    <w:rsid w:val="0B466162"/>
    <w:rsid w:val="0B630E65"/>
    <w:rsid w:val="0BE40F62"/>
    <w:rsid w:val="0BE87E35"/>
    <w:rsid w:val="0C301B14"/>
    <w:rsid w:val="0C786606"/>
    <w:rsid w:val="0D8256A8"/>
    <w:rsid w:val="0D921D8F"/>
    <w:rsid w:val="0DBA601D"/>
    <w:rsid w:val="0DE7465B"/>
    <w:rsid w:val="0E1F1557"/>
    <w:rsid w:val="0E252C04"/>
    <w:rsid w:val="0E265444"/>
    <w:rsid w:val="0E7263A9"/>
    <w:rsid w:val="0EFE5203"/>
    <w:rsid w:val="0F120717"/>
    <w:rsid w:val="0F6C6610"/>
    <w:rsid w:val="0FD21AE8"/>
    <w:rsid w:val="0FD516DF"/>
    <w:rsid w:val="0FF83141"/>
    <w:rsid w:val="10035B1C"/>
    <w:rsid w:val="1007211E"/>
    <w:rsid w:val="10185003"/>
    <w:rsid w:val="10313107"/>
    <w:rsid w:val="10350237"/>
    <w:rsid w:val="108B4B31"/>
    <w:rsid w:val="10D41719"/>
    <w:rsid w:val="10DE709A"/>
    <w:rsid w:val="11960FE4"/>
    <w:rsid w:val="11C627B9"/>
    <w:rsid w:val="11E14889"/>
    <w:rsid w:val="1213600C"/>
    <w:rsid w:val="123F3C81"/>
    <w:rsid w:val="125606A2"/>
    <w:rsid w:val="126D0740"/>
    <w:rsid w:val="12766490"/>
    <w:rsid w:val="12B8398B"/>
    <w:rsid w:val="12C84E03"/>
    <w:rsid w:val="13113756"/>
    <w:rsid w:val="1317547E"/>
    <w:rsid w:val="133E02C4"/>
    <w:rsid w:val="13B11F83"/>
    <w:rsid w:val="13B95F69"/>
    <w:rsid w:val="13D308CF"/>
    <w:rsid w:val="140B4870"/>
    <w:rsid w:val="142C636E"/>
    <w:rsid w:val="144F625E"/>
    <w:rsid w:val="145D47CA"/>
    <w:rsid w:val="146111C1"/>
    <w:rsid w:val="146756AF"/>
    <w:rsid w:val="14B828DA"/>
    <w:rsid w:val="14BB6070"/>
    <w:rsid w:val="14E45C97"/>
    <w:rsid w:val="15595A55"/>
    <w:rsid w:val="15A62093"/>
    <w:rsid w:val="15B04B8A"/>
    <w:rsid w:val="15C54CCC"/>
    <w:rsid w:val="16437993"/>
    <w:rsid w:val="16534086"/>
    <w:rsid w:val="16775FC6"/>
    <w:rsid w:val="167F089A"/>
    <w:rsid w:val="16AC4CA9"/>
    <w:rsid w:val="16F5610D"/>
    <w:rsid w:val="17113072"/>
    <w:rsid w:val="174076D1"/>
    <w:rsid w:val="175D573C"/>
    <w:rsid w:val="17B43AA8"/>
    <w:rsid w:val="184052C7"/>
    <w:rsid w:val="186A50BE"/>
    <w:rsid w:val="188C1357"/>
    <w:rsid w:val="189F77F2"/>
    <w:rsid w:val="18AD7A85"/>
    <w:rsid w:val="18E256E2"/>
    <w:rsid w:val="193C323C"/>
    <w:rsid w:val="19516FA3"/>
    <w:rsid w:val="19526B79"/>
    <w:rsid w:val="199240D4"/>
    <w:rsid w:val="19C938C8"/>
    <w:rsid w:val="1A352420"/>
    <w:rsid w:val="1A3D3A01"/>
    <w:rsid w:val="1A3E73C6"/>
    <w:rsid w:val="1A71315E"/>
    <w:rsid w:val="1AB02A55"/>
    <w:rsid w:val="1AEB54BE"/>
    <w:rsid w:val="1AF82F2E"/>
    <w:rsid w:val="1B2651FE"/>
    <w:rsid w:val="1B501A61"/>
    <w:rsid w:val="1C9F0025"/>
    <w:rsid w:val="1CD00D31"/>
    <w:rsid w:val="1D4A6916"/>
    <w:rsid w:val="1D6507D9"/>
    <w:rsid w:val="1DC57776"/>
    <w:rsid w:val="1DCA5AAA"/>
    <w:rsid w:val="1DD90F03"/>
    <w:rsid w:val="1DDB32DF"/>
    <w:rsid w:val="1DF60118"/>
    <w:rsid w:val="1E1D208E"/>
    <w:rsid w:val="1E915A8A"/>
    <w:rsid w:val="1F6D153B"/>
    <w:rsid w:val="1F792DAF"/>
    <w:rsid w:val="1F914DBB"/>
    <w:rsid w:val="1F9C76EA"/>
    <w:rsid w:val="1FB00B3F"/>
    <w:rsid w:val="20051F6D"/>
    <w:rsid w:val="200E30EB"/>
    <w:rsid w:val="201C16A7"/>
    <w:rsid w:val="204C79C6"/>
    <w:rsid w:val="205D5775"/>
    <w:rsid w:val="206B48C0"/>
    <w:rsid w:val="20766B68"/>
    <w:rsid w:val="20E737C9"/>
    <w:rsid w:val="20F841A8"/>
    <w:rsid w:val="20FD6D8B"/>
    <w:rsid w:val="2119701F"/>
    <w:rsid w:val="211C2FCC"/>
    <w:rsid w:val="21311468"/>
    <w:rsid w:val="21326860"/>
    <w:rsid w:val="21507B40"/>
    <w:rsid w:val="21A86502"/>
    <w:rsid w:val="21C64025"/>
    <w:rsid w:val="221D7603"/>
    <w:rsid w:val="22595D24"/>
    <w:rsid w:val="229A458D"/>
    <w:rsid w:val="23086A7B"/>
    <w:rsid w:val="230C7214"/>
    <w:rsid w:val="2316449E"/>
    <w:rsid w:val="235C6D33"/>
    <w:rsid w:val="23734BA3"/>
    <w:rsid w:val="23894AA1"/>
    <w:rsid w:val="241330BC"/>
    <w:rsid w:val="241F195A"/>
    <w:rsid w:val="243E3D0B"/>
    <w:rsid w:val="247C7880"/>
    <w:rsid w:val="251D242F"/>
    <w:rsid w:val="253758C7"/>
    <w:rsid w:val="25380CA0"/>
    <w:rsid w:val="253B210F"/>
    <w:rsid w:val="254D4B3D"/>
    <w:rsid w:val="25700997"/>
    <w:rsid w:val="257827BE"/>
    <w:rsid w:val="25BF3991"/>
    <w:rsid w:val="25CD4EE1"/>
    <w:rsid w:val="25CD5AD7"/>
    <w:rsid w:val="25E92E8C"/>
    <w:rsid w:val="262F5CA4"/>
    <w:rsid w:val="266E1471"/>
    <w:rsid w:val="26A461EC"/>
    <w:rsid w:val="26A54532"/>
    <w:rsid w:val="26F575D6"/>
    <w:rsid w:val="27181D01"/>
    <w:rsid w:val="271E248E"/>
    <w:rsid w:val="277B39BD"/>
    <w:rsid w:val="277C6FC5"/>
    <w:rsid w:val="27991704"/>
    <w:rsid w:val="27A943D1"/>
    <w:rsid w:val="27DC037F"/>
    <w:rsid w:val="28246DAB"/>
    <w:rsid w:val="2830097E"/>
    <w:rsid w:val="283D7C94"/>
    <w:rsid w:val="28AB02C8"/>
    <w:rsid w:val="28C16772"/>
    <w:rsid w:val="28C736D2"/>
    <w:rsid w:val="294007BB"/>
    <w:rsid w:val="295B4EC7"/>
    <w:rsid w:val="296A3769"/>
    <w:rsid w:val="29E03690"/>
    <w:rsid w:val="2A112E66"/>
    <w:rsid w:val="2A2E0BE6"/>
    <w:rsid w:val="2A971642"/>
    <w:rsid w:val="2A9B13E5"/>
    <w:rsid w:val="2AD9418F"/>
    <w:rsid w:val="2AE412F9"/>
    <w:rsid w:val="2B176C28"/>
    <w:rsid w:val="2B1D22CA"/>
    <w:rsid w:val="2B252A91"/>
    <w:rsid w:val="2B560D77"/>
    <w:rsid w:val="2BC404DA"/>
    <w:rsid w:val="2C9C273B"/>
    <w:rsid w:val="2CED0939"/>
    <w:rsid w:val="2D285E15"/>
    <w:rsid w:val="2D2F296B"/>
    <w:rsid w:val="2D476A73"/>
    <w:rsid w:val="2DAA331F"/>
    <w:rsid w:val="2DFE602E"/>
    <w:rsid w:val="2E137A59"/>
    <w:rsid w:val="2E3D2305"/>
    <w:rsid w:val="2E616BA4"/>
    <w:rsid w:val="2EE62680"/>
    <w:rsid w:val="2EF97F40"/>
    <w:rsid w:val="2F321DC9"/>
    <w:rsid w:val="2F4F129A"/>
    <w:rsid w:val="2FA71273"/>
    <w:rsid w:val="2FAD0A9E"/>
    <w:rsid w:val="2FC516F9"/>
    <w:rsid w:val="300338C1"/>
    <w:rsid w:val="30276ADB"/>
    <w:rsid w:val="30AA0A45"/>
    <w:rsid w:val="310B4584"/>
    <w:rsid w:val="31272161"/>
    <w:rsid w:val="3172765E"/>
    <w:rsid w:val="31BF7BC9"/>
    <w:rsid w:val="31C75BFC"/>
    <w:rsid w:val="31E00A6C"/>
    <w:rsid w:val="320F12CA"/>
    <w:rsid w:val="3271734E"/>
    <w:rsid w:val="327D0BE3"/>
    <w:rsid w:val="328468BB"/>
    <w:rsid w:val="333316F2"/>
    <w:rsid w:val="33E8399E"/>
    <w:rsid w:val="33F13559"/>
    <w:rsid w:val="3411487C"/>
    <w:rsid w:val="34226D15"/>
    <w:rsid w:val="344778C7"/>
    <w:rsid w:val="344872CF"/>
    <w:rsid w:val="34B0375F"/>
    <w:rsid w:val="34B87A7E"/>
    <w:rsid w:val="350C3926"/>
    <w:rsid w:val="352B0250"/>
    <w:rsid w:val="35B26796"/>
    <w:rsid w:val="35BE7510"/>
    <w:rsid w:val="35DF4ECF"/>
    <w:rsid w:val="35E32778"/>
    <w:rsid w:val="35F77FC0"/>
    <w:rsid w:val="365D08DD"/>
    <w:rsid w:val="36843E76"/>
    <w:rsid w:val="36A56D0C"/>
    <w:rsid w:val="36B204FD"/>
    <w:rsid w:val="36FE0747"/>
    <w:rsid w:val="372F6D3F"/>
    <w:rsid w:val="3786367F"/>
    <w:rsid w:val="37A669FD"/>
    <w:rsid w:val="37BD5302"/>
    <w:rsid w:val="37ED3AC8"/>
    <w:rsid w:val="38486C73"/>
    <w:rsid w:val="3856659D"/>
    <w:rsid w:val="38566789"/>
    <w:rsid w:val="385971DA"/>
    <w:rsid w:val="38793A92"/>
    <w:rsid w:val="38966328"/>
    <w:rsid w:val="38FB2318"/>
    <w:rsid w:val="3914531B"/>
    <w:rsid w:val="392E06DB"/>
    <w:rsid w:val="394F4851"/>
    <w:rsid w:val="395D6163"/>
    <w:rsid w:val="397F0BE7"/>
    <w:rsid w:val="3A015025"/>
    <w:rsid w:val="3A2D4A6A"/>
    <w:rsid w:val="3A830B2E"/>
    <w:rsid w:val="3AD84051"/>
    <w:rsid w:val="3BC526A2"/>
    <w:rsid w:val="3BC62A80"/>
    <w:rsid w:val="3BE86E9B"/>
    <w:rsid w:val="3C236125"/>
    <w:rsid w:val="3C355E58"/>
    <w:rsid w:val="3C462C18"/>
    <w:rsid w:val="3C512802"/>
    <w:rsid w:val="3C5F68AB"/>
    <w:rsid w:val="3C6B0D35"/>
    <w:rsid w:val="3C6F4812"/>
    <w:rsid w:val="3CC372BE"/>
    <w:rsid w:val="3D734907"/>
    <w:rsid w:val="3D981E20"/>
    <w:rsid w:val="3DCE704B"/>
    <w:rsid w:val="3DDC7D8B"/>
    <w:rsid w:val="3E0E185F"/>
    <w:rsid w:val="3E945F71"/>
    <w:rsid w:val="3EBD6A38"/>
    <w:rsid w:val="3EFB495F"/>
    <w:rsid w:val="3F177A97"/>
    <w:rsid w:val="3F495DC3"/>
    <w:rsid w:val="3F865BC8"/>
    <w:rsid w:val="40AE6C66"/>
    <w:rsid w:val="40F623B9"/>
    <w:rsid w:val="41306BEE"/>
    <w:rsid w:val="41456556"/>
    <w:rsid w:val="415034FB"/>
    <w:rsid w:val="416A51B0"/>
    <w:rsid w:val="41C932CA"/>
    <w:rsid w:val="41E50BAA"/>
    <w:rsid w:val="4217504C"/>
    <w:rsid w:val="4228799D"/>
    <w:rsid w:val="428B67D2"/>
    <w:rsid w:val="428D7D89"/>
    <w:rsid w:val="429C7054"/>
    <w:rsid w:val="42A812A5"/>
    <w:rsid w:val="42B042C8"/>
    <w:rsid w:val="43086074"/>
    <w:rsid w:val="431E7309"/>
    <w:rsid w:val="433144FA"/>
    <w:rsid w:val="438B6434"/>
    <w:rsid w:val="43924F67"/>
    <w:rsid w:val="43A14703"/>
    <w:rsid w:val="43A31E05"/>
    <w:rsid w:val="43C44769"/>
    <w:rsid w:val="43F45C54"/>
    <w:rsid w:val="43F7072E"/>
    <w:rsid w:val="445C1A7D"/>
    <w:rsid w:val="44600EB5"/>
    <w:rsid w:val="449965DA"/>
    <w:rsid w:val="44BC306E"/>
    <w:rsid w:val="45092F6F"/>
    <w:rsid w:val="45713C91"/>
    <w:rsid w:val="459A1A7E"/>
    <w:rsid w:val="45AB7482"/>
    <w:rsid w:val="45DE42C0"/>
    <w:rsid w:val="45FB325E"/>
    <w:rsid w:val="461D3BE5"/>
    <w:rsid w:val="46AF5157"/>
    <w:rsid w:val="46F364C7"/>
    <w:rsid w:val="472F0B5E"/>
    <w:rsid w:val="4757351A"/>
    <w:rsid w:val="477F0BDD"/>
    <w:rsid w:val="47CF63F6"/>
    <w:rsid w:val="47D042A2"/>
    <w:rsid w:val="47E80223"/>
    <w:rsid w:val="48361286"/>
    <w:rsid w:val="483F61E8"/>
    <w:rsid w:val="48CA5D34"/>
    <w:rsid w:val="4900213D"/>
    <w:rsid w:val="491364E6"/>
    <w:rsid w:val="495A66E1"/>
    <w:rsid w:val="49B66DD4"/>
    <w:rsid w:val="49BE45E7"/>
    <w:rsid w:val="49D96075"/>
    <w:rsid w:val="4A2C4321"/>
    <w:rsid w:val="4A2D23EF"/>
    <w:rsid w:val="4A590F64"/>
    <w:rsid w:val="4AA448D5"/>
    <w:rsid w:val="4AC47435"/>
    <w:rsid w:val="4AF8490A"/>
    <w:rsid w:val="4B3C4AFB"/>
    <w:rsid w:val="4B700C5B"/>
    <w:rsid w:val="4C1B3768"/>
    <w:rsid w:val="4C5F7209"/>
    <w:rsid w:val="4C6A29AF"/>
    <w:rsid w:val="4CF61D24"/>
    <w:rsid w:val="4D692255"/>
    <w:rsid w:val="4D6A458F"/>
    <w:rsid w:val="4D6C0FAE"/>
    <w:rsid w:val="4D814A59"/>
    <w:rsid w:val="4DC537A4"/>
    <w:rsid w:val="4E772300"/>
    <w:rsid w:val="4E835879"/>
    <w:rsid w:val="4EA817D5"/>
    <w:rsid w:val="4F231B40"/>
    <w:rsid w:val="4F2B1DF9"/>
    <w:rsid w:val="4F4579AE"/>
    <w:rsid w:val="4F85164D"/>
    <w:rsid w:val="4F8A5F30"/>
    <w:rsid w:val="4F8C7020"/>
    <w:rsid w:val="50483F54"/>
    <w:rsid w:val="50B35C28"/>
    <w:rsid w:val="50EA0A54"/>
    <w:rsid w:val="510A120A"/>
    <w:rsid w:val="510E0CFA"/>
    <w:rsid w:val="515B7CB7"/>
    <w:rsid w:val="523C2F3A"/>
    <w:rsid w:val="5268268C"/>
    <w:rsid w:val="52EC1956"/>
    <w:rsid w:val="531225F7"/>
    <w:rsid w:val="5347092C"/>
    <w:rsid w:val="5376727D"/>
    <w:rsid w:val="53CF4DB7"/>
    <w:rsid w:val="53F66412"/>
    <w:rsid w:val="540657AC"/>
    <w:rsid w:val="54085F89"/>
    <w:rsid w:val="546B44AA"/>
    <w:rsid w:val="54D56E3A"/>
    <w:rsid w:val="54E53788"/>
    <w:rsid w:val="54E621D7"/>
    <w:rsid w:val="54F1359D"/>
    <w:rsid w:val="55236D3E"/>
    <w:rsid w:val="552F47B1"/>
    <w:rsid w:val="554C1D3B"/>
    <w:rsid w:val="55AD6B1D"/>
    <w:rsid w:val="55AF05D2"/>
    <w:rsid w:val="55AF43B3"/>
    <w:rsid w:val="55C135BF"/>
    <w:rsid w:val="55D13557"/>
    <w:rsid w:val="56375C2E"/>
    <w:rsid w:val="56411B39"/>
    <w:rsid w:val="56727A06"/>
    <w:rsid w:val="568571B0"/>
    <w:rsid w:val="56E853B8"/>
    <w:rsid w:val="56FC70DF"/>
    <w:rsid w:val="573817F8"/>
    <w:rsid w:val="57D91936"/>
    <w:rsid w:val="58130651"/>
    <w:rsid w:val="58315248"/>
    <w:rsid w:val="58866916"/>
    <w:rsid w:val="59483404"/>
    <w:rsid w:val="59AB75EF"/>
    <w:rsid w:val="59EB4913"/>
    <w:rsid w:val="5A4545DF"/>
    <w:rsid w:val="5A89308E"/>
    <w:rsid w:val="5AE623A0"/>
    <w:rsid w:val="5B011EAF"/>
    <w:rsid w:val="5B174C4F"/>
    <w:rsid w:val="5BB86302"/>
    <w:rsid w:val="5BCA2953"/>
    <w:rsid w:val="5BD7333D"/>
    <w:rsid w:val="5C4F5C8E"/>
    <w:rsid w:val="5C8A4963"/>
    <w:rsid w:val="5CC434A0"/>
    <w:rsid w:val="5CEF0CC1"/>
    <w:rsid w:val="5CEF6EDE"/>
    <w:rsid w:val="5D254161"/>
    <w:rsid w:val="5D8338DF"/>
    <w:rsid w:val="5DFA311E"/>
    <w:rsid w:val="5E6351E8"/>
    <w:rsid w:val="5E7E6D93"/>
    <w:rsid w:val="5EB153BA"/>
    <w:rsid w:val="5EDA221B"/>
    <w:rsid w:val="5EEA6AC8"/>
    <w:rsid w:val="5EEE0C54"/>
    <w:rsid w:val="5F27461C"/>
    <w:rsid w:val="5F394324"/>
    <w:rsid w:val="5F7851C7"/>
    <w:rsid w:val="5FB6248A"/>
    <w:rsid w:val="5FCF5BFA"/>
    <w:rsid w:val="5FCF62BD"/>
    <w:rsid w:val="5FD62A55"/>
    <w:rsid w:val="5FEF45F4"/>
    <w:rsid w:val="605204D7"/>
    <w:rsid w:val="60BB607C"/>
    <w:rsid w:val="60BC66B4"/>
    <w:rsid w:val="60E369E7"/>
    <w:rsid w:val="60F8107F"/>
    <w:rsid w:val="61151C31"/>
    <w:rsid w:val="611B6569"/>
    <w:rsid w:val="613100ED"/>
    <w:rsid w:val="615970D9"/>
    <w:rsid w:val="6199699C"/>
    <w:rsid w:val="61DC32F2"/>
    <w:rsid w:val="61E14C5F"/>
    <w:rsid w:val="620B4DF1"/>
    <w:rsid w:val="62145C62"/>
    <w:rsid w:val="622A5046"/>
    <w:rsid w:val="62B42798"/>
    <w:rsid w:val="632D40C5"/>
    <w:rsid w:val="635C2454"/>
    <w:rsid w:val="63656342"/>
    <w:rsid w:val="636B6307"/>
    <w:rsid w:val="63793840"/>
    <w:rsid w:val="64265F03"/>
    <w:rsid w:val="6593581A"/>
    <w:rsid w:val="65E174B2"/>
    <w:rsid w:val="662602CC"/>
    <w:rsid w:val="663729BF"/>
    <w:rsid w:val="663A741F"/>
    <w:rsid w:val="663B696B"/>
    <w:rsid w:val="664408C2"/>
    <w:rsid w:val="667C333B"/>
    <w:rsid w:val="66A441C7"/>
    <w:rsid w:val="6732696D"/>
    <w:rsid w:val="674071A8"/>
    <w:rsid w:val="67C223E6"/>
    <w:rsid w:val="67FC5CBA"/>
    <w:rsid w:val="6814419E"/>
    <w:rsid w:val="685D6BD7"/>
    <w:rsid w:val="68D37194"/>
    <w:rsid w:val="693D4BBF"/>
    <w:rsid w:val="697D65C5"/>
    <w:rsid w:val="69876357"/>
    <w:rsid w:val="69DA0037"/>
    <w:rsid w:val="6AB029CA"/>
    <w:rsid w:val="6ABC136F"/>
    <w:rsid w:val="6ACB3360"/>
    <w:rsid w:val="6AD62431"/>
    <w:rsid w:val="6AF74F8C"/>
    <w:rsid w:val="6B4F54EA"/>
    <w:rsid w:val="6B7C3835"/>
    <w:rsid w:val="6BCD07B2"/>
    <w:rsid w:val="6BF460A5"/>
    <w:rsid w:val="6BF80185"/>
    <w:rsid w:val="6C120795"/>
    <w:rsid w:val="6C1F1C09"/>
    <w:rsid w:val="6C785DF4"/>
    <w:rsid w:val="6C7F4170"/>
    <w:rsid w:val="6D170A6E"/>
    <w:rsid w:val="6DCA3FC4"/>
    <w:rsid w:val="6DD509D3"/>
    <w:rsid w:val="6DF56B72"/>
    <w:rsid w:val="6E1B5FD7"/>
    <w:rsid w:val="6E580E15"/>
    <w:rsid w:val="6E5871DA"/>
    <w:rsid w:val="6E6A0ABA"/>
    <w:rsid w:val="6E7234A6"/>
    <w:rsid w:val="6E8E397C"/>
    <w:rsid w:val="6EA94E3C"/>
    <w:rsid w:val="6F0F0944"/>
    <w:rsid w:val="6FD74B0A"/>
    <w:rsid w:val="6FF03A52"/>
    <w:rsid w:val="6FF90541"/>
    <w:rsid w:val="70053699"/>
    <w:rsid w:val="70225ACD"/>
    <w:rsid w:val="702552C0"/>
    <w:rsid w:val="71155816"/>
    <w:rsid w:val="71714F9D"/>
    <w:rsid w:val="71866371"/>
    <w:rsid w:val="718A4A21"/>
    <w:rsid w:val="719F40F5"/>
    <w:rsid w:val="71D216F8"/>
    <w:rsid w:val="71FD1E9F"/>
    <w:rsid w:val="721C0443"/>
    <w:rsid w:val="72227D09"/>
    <w:rsid w:val="72930C07"/>
    <w:rsid w:val="72CA3A26"/>
    <w:rsid w:val="72CF2BE9"/>
    <w:rsid w:val="72DC7380"/>
    <w:rsid w:val="73B07962"/>
    <w:rsid w:val="73B139FB"/>
    <w:rsid w:val="7440059C"/>
    <w:rsid w:val="74A04393"/>
    <w:rsid w:val="74C4061D"/>
    <w:rsid w:val="74FA2C27"/>
    <w:rsid w:val="75422471"/>
    <w:rsid w:val="757C314C"/>
    <w:rsid w:val="75DC397E"/>
    <w:rsid w:val="75EC5EA7"/>
    <w:rsid w:val="75F56B71"/>
    <w:rsid w:val="76010E26"/>
    <w:rsid w:val="76260127"/>
    <w:rsid w:val="76366479"/>
    <w:rsid w:val="76377AFB"/>
    <w:rsid w:val="76F16531"/>
    <w:rsid w:val="76F352B7"/>
    <w:rsid w:val="770B76E1"/>
    <w:rsid w:val="77113A71"/>
    <w:rsid w:val="7711659E"/>
    <w:rsid w:val="773932D2"/>
    <w:rsid w:val="77A85155"/>
    <w:rsid w:val="7855586D"/>
    <w:rsid w:val="78970D25"/>
    <w:rsid w:val="78986F77"/>
    <w:rsid w:val="78E270D6"/>
    <w:rsid w:val="78F02B51"/>
    <w:rsid w:val="78F03A78"/>
    <w:rsid w:val="79157702"/>
    <w:rsid w:val="79971937"/>
    <w:rsid w:val="79B84622"/>
    <w:rsid w:val="79F006ED"/>
    <w:rsid w:val="7A052EA1"/>
    <w:rsid w:val="7A253FAE"/>
    <w:rsid w:val="7A927B04"/>
    <w:rsid w:val="7AB84753"/>
    <w:rsid w:val="7B282207"/>
    <w:rsid w:val="7B4A0209"/>
    <w:rsid w:val="7B8B4B71"/>
    <w:rsid w:val="7BB83A10"/>
    <w:rsid w:val="7C1C072C"/>
    <w:rsid w:val="7C4C312A"/>
    <w:rsid w:val="7C4F5CA5"/>
    <w:rsid w:val="7C7747B3"/>
    <w:rsid w:val="7C9B0569"/>
    <w:rsid w:val="7CAD4A9D"/>
    <w:rsid w:val="7CB92E6E"/>
    <w:rsid w:val="7CC61BD9"/>
    <w:rsid w:val="7D5207A9"/>
    <w:rsid w:val="7D700863"/>
    <w:rsid w:val="7D7654E6"/>
    <w:rsid w:val="7D8775BA"/>
    <w:rsid w:val="7D9B4421"/>
    <w:rsid w:val="7DA431C5"/>
    <w:rsid w:val="7DC526C1"/>
    <w:rsid w:val="7DD047CF"/>
    <w:rsid w:val="7E192908"/>
    <w:rsid w:val="7E427B19"/>
    <w:rsid w:val="7E503E50"/>
    <w:rsid w:val="7E5356EF"/>
    <w:rsid w:val="7F1D6B1B"/>
    <w:rsid w:val="7FFB603E"/>
    <w:rsid w:val="7FFD61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iPriority="99"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20" w:after="120" w:line="360" w:lineRule="auto"/>
      <w:jc w:val="center"/>
      <w:outlineLvl w:val="0"/>
    </w:pPr>
    <w:rPr>
      <w:rFonts w:eastAsia="黑体"/>
      <w:b/>
      <w:bCs/>
      <w:kern w:val="44"/>
      <w:sz w:val="32"/>
      <w:szCs w:val="44"/>
    </w:rPr>
  </w:style>
  <w:style w:type="paragraph" w:styleId="3">
    <w:name w:val="heading 2"/>
    <w:basedOn w:val="1"/>
    <w:next w:val="1"/>
    <w:qFormat/>
    <w:uiPriority w:val="0"/>
    <w:pPr>
      <w:keepNext/>
      <w:keepLines/>
      <w:spacing w:before="260" w:after="260" w:line="416" w:lineRule="auto"/>
      <w:outlineLvl w:val="1"/>
    </w:pPr>
    <w:rPr>
      <w:rFonts w:ascii="Arial Black" w:hAnsi="Arial Black" w:eastAsia="黑体"/>
      <w:b/>
      <w:bCs/>
      <w:sz w:val="32"/>
      <w:szCs w:val="32"/>
    </w:rPr>
  </w:style>
  <w:style w:type="paragraph" w:styleId="4">
    <w:name w:val="heading 3"/>
    <w:basedOn w:val="1"/>
    <w:next w:val="5"/>
    <w:qFormat/>
    <w:uiPriority w:val="0"/>
    <w:pPr>
      <w:keepNext/>
      <w:keepLines/>
      <w:spacing w:before="260" w:after="260" w:line="416" w:lineRule="auto"/>
      <w:outlineLvl w:val="2"/>
    </w:pPr>
    <w:rPr>
      <w:rFonts w:eastAsia="黑体"/>
      <w:b/>
      <w:bCs/>
      <w:sz w:val="32"/>
      <w:szCs w:val="32"/>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spacing w:after="120"/>
      <w:ind w:firstLine="420"/>
    </w:pPr>
    <w:rPr>
      <w:szCs w:val="20"/>
    </w:rPr>
  </w:style>
  <w:style w:type="paragraph" w:styleId="6">
    <w:name w:val="toa heading"/>
    <w:basedOn w:val="1"/>
    <w:next w:val="1"/>
    <w:qFormat/>
    <w:uiPriority w:val="0"/>
    <w:pPr>
      <w:spacing w:before="120"/>
    </w:pPr>
    <w:rPr>
      <w:rFonts w:ascii="Arial" w:hAnsi="Arial"/>
      <w:sz w:val="24"/>
      <w:szCs w:val="20"/>
    </w:rPr>
  </w:style>
  <w:style w:type="paragraph" w:styleId="7">
    <w:name w:val="annotation text"/>
    <w:basedOn w:val="1"/>
    <w:link w:val="78"/>
    <w:qFormat/>
    <w:uiPriority w:val="0"/>
    <w:pPr>
      <w:jc w:val="left"/>
    </w:pPr>
  </w:style>
  <w:style w:type="paragraph" w:styleId="8">
    <w:name w:val="Body Text"/>
    <w:basedOn w:val="1"/>
    <w:next w:val="1"/>
    <w:qFormat/>
    <w:uiPriority w:val="0"/>
    <w:pPr>
      <w:spacing w:line="60" w:lineRule="auto"/>
    </w:pPr>
    <w:rPr>
      <w:rFonts w:ascii="仿宋_GB2312" w:eastAsia="仿宋_GB2312"/>
      <w:sz w:val="32"/>
    </w:rPr>
  </w:style>
  <w:style w:type="paragraph" w:styleId="9">
    <w:name w:val="Body Text Indent"/>
    <w:basedOn w:val="1"/>
    <w:qFormat/>
    <w:uiPriority w:val="0"/>
    <w:pPr>
      <w:ind w:firstLine="720" w:firstLineChars="225"/>
    </w:pPr>
    <w:rPr>
      <w:rFonts w:ascii="仿宋_GB2312" w:eastAsia="仿宋_GB2312"/>
      <w:sz w:val="32"/>
    </w:rPr>
  </w:style>
  <w:style w:type="paragraph" w:styleId="10">
    <w:name w:val="Block Text"/>
    <w:basedOn w:val="8"/>
    <w:qFormat/>
    <w:uiPriority w:val="0"/>
    <w:pPr>
      <w:jc w:val="left"/>
    </w:pPr>
    <w:rPr>
      <w:rFonts w:ascii="Times New Roman"/>
      <w:szCs w:val="30"/>
    </w:rPr>
  </w:style>
  <w:style w:type="paragraph" w:styleId="11">
    <w:name w:val="toc 3"/>
    <w:basedOn w:val="1"/>
    <w:next w:val="1"/>
    <w:unhideWhenUsed/>
    <w:qFormat/>
    <w:uiPriority w:val="39"/>
    <w:pPr>
      <w:ind w:left="840" w:leftChars="400"/>
    </w:pPr>
  </w:style>
  <w:style w:type="paragraph" w:styleId="12">
    <w:name w:val="Plain Text"/>
    <w:basedOn w:val="1"/>
    <w:qFormat/>
    <w:uiPriority w:val="0"/>
    <w:rPr>
      <w:rFonts w:ascii="宋体" w:hAnsi="Courier New"/>
      <w:szCs w:val="20"/>
    </w:rPr>
  </w:style>
  <w:style w:type="paragraph" w:styleId="13">
    <w:name w:val="Date"/>
    <w:basedOn w:val="1"/>
    <w:next w:val="1"/>
    <w:qFormat/>
    <w:uiPriority w:val="0"/>
    <w:pPr>
      <w:ind w:left="100" w:leftChars="2500"/>
    </w:pPr>
    <w:rPr>
      <w:lang w:val="zh-CN"/>
    </w:rPr>
  </w:style>
  <w:style w:type="paragraph" w:styleId="14">
    <w:name w:val="Balloon Text"/>
    <w:basedOn w:val="1"/>
    <w:link w:val="80"/>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b/>
      <w:caps/>
      <w:sz w:val="20"/>
      <w:szCs w:val="20"/>
    </w:rPr>
  </w:style>
  <w:style w:type="paragraph" w:styleId="18">
    <w:name w:val="footnote text"/>
    <w:basedOn w:val="19"/>
    <w:qFormat/>
    <w:uiPriority w:val="0"/>
    <w:pPr>
      <w:snapToGrid w:val="0"/>
    </w:pPr>
    <w:rPr>
      <w:sz w:val="18"/>
    </w:rPr>
  </w:style>
  <w:style w:type="paragraph" w:customStyle="1" w:styleId="19">
    <w:name w:val="正文_1"/>
    <w:qFormat/>
    <w:uiPriority w:val="0"/>
    <w:pPr>
      <w:widowControl w:val="0"/>
      <w:jc w:val="both"/>
    </w:pPr>
    <w:rPr>
      <w:rFonts w:ascii="Calibri" w:hAnsi="Calibri" w:eastAsia="宋体" w:cs="Times New Roman"/>
      <w:kern w:val="2"/>
      <w:sz w:val="21"/>
      <w:szCs w:val="22"/>
      <w:lang w:val="en-US" w:eastAsia="zh-CN" w:bidi="ar-SA"/>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next w:val="1"/>
    <w:qFormat/>
    <w:uiPriority w:val="0"/>
    <w:pPr>
      <w:widowControl/>
      <w:spacing w:before="240" w:after="60" w:line="351" w:lineRule="atLeast"/>
      <w:ind w:firstLine="419"/>
      <w:jc w:val="center"/>
      <w:textAlignment w:val="baseline"/>
      <w:outlineLvl w:val="0"/>
    </w:pPr>
    <w:rPr>
      <w:rFonts w:ascii="Cambria" w:hAnsi="Cambria"/>
      <w:b/>
      <w:bCs/>
      <w:color w:val="000000"/>
      <w:kern w:val="0"/>
      <w:sz w:val="32"/>
      <w:szCs w:val="32"/>
      <w:u w:val="none" w:color="000000"/>
    </w:rPr>
  </w:style>
  <w:style w:type="paragraph" w:styleId="22">
    <w:name w:val="annotation subject"/>
    <w:basedOn w:val="7"/>
    <w:next w:val="7"/>
    <w:link w:val="79"/>
    <w:qFormat/>
    <w:uiPriority w:val="0"/>
    <w:rPr>
      <w:b/>
      <w:bCs/>
    </w:rPr>
  </w:style>
  <w:style w:type="paragraph" w:styleId="23">
    <w:name w:val="Body Text First Indent"/>
    <w:basedOn w:val="8"/>
    <w:next w:val="1"/>
    <w:qFormat/>
    <w:uiPriority w:val="0"/>
    <w:pPr>
      <w:autoSpaceDE w:val="0"/>
      <w:autoSpaceDN w:val="0"/>
      <w:adjustRightInd w:val="0"/>
      <w:spacing w:line="312" w:lineRule="atLeast"/>
      <w:ind w:firstLine="420"/>
    </w:pPr>
    <w:rPr>
      <w:rFonts w:ascii="宋体"/>
      <w:kern w:val="0"/>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bCs/>
    </w:rPr>
  </w:style>
  <w:style w:type="character" w:styleId="28">
    <w:name w:val="Hyperlink"/>
    <w:qFormat/>
    <w:uiPriority w:val="0"/>
    <w:rPr>
      <w:color w:val="000000"/>
      <w:u w:val="none"/>
    </w:rPr>
  </w:style>
  <w:style w:type="character" w:styleId="29">
    <w:name w:val="annotation reference"/>
    <w:qFormat/>
    <w:uiPriority w:val="0"/>
    <w:rPr>
      <w:sz w:val="21"/>
      <w:szCs w:val="21"/>
    </w:rPr>
  </w:style>
  <w:style w:type="character" w:styleId="30">
    <w:name w:val="HTML Sample"/>
    <w:unhideWhenUsed/>
    <w:qFormat/>
    <w:uiPriority w:val="99"/>
    <w:rPr>
      <w:rFonts w:ascii="宋体" w:hAnsi="宋体" w:eastAsia="宋体" w:cs="宋体"/>
    </w:rPr>
  </w:style>
  <w:style w:type="paragraph" w:customStyle="1" w:styleId="31">
    <w:name w:val="BodyText"/>
    <w:basedOn w:val="1"/>
    <w:qFormat/>
    <w:uiPriority w:val="0"/>
    <w:pPr>
      <w:spacing w:after="120"/>
    </w:pPr>
  </w:style>
  <w:style w:type="paragraph" w:customStyle="1" w:styleId="32">
    <w:name w:val="正文_0_3"/>
    <w:qFormat/>
    <w:uiPriority w:val="0"/>
    <w:pPr>
      <w:widowControl w:val="0"/>
      <w:jc w:val="both"/>
    </w:pPr>
    <w:rPr>
      <w:rFonts w:ascii="Calibri" w:hAnsi="Calibri" w:eastAsia="仿宋_GB2312" w:cs="Times New Roman"/>
      <w:kern w:val="2"/>
      <w:sz w:val="28"/>
      <w:szCs w:val="24"/>
      <w:lang w:val="en-US" w:eastAsia="zh-CN" w:bidi="ar-SA"/>
    </w:rPr>
  </w:style>
  <w:style w:type="paragraph" w:customStyle="1" w:styleId="33">
    <w:name w:val="Normal_0_0"/>
    <w:qFormat/>
    <w:uiPriority w:val="0"/>
    <w:pPr>
      <w:widowControl w:val="0"/>
      <w:jc w:val="both"/>
    </w:pPr>
    <w:rPr>
      <w:rFonts w:ascii="Calibri" w:hAnsi="Calibri" w:eastAsia="Times New Roman" w:cs="Times New Roman"/>
      <w:lang w:val="en-US" w:eastAsia="zh-CN" w:bidi="ar-SA"/>
    </w:rPr>
  </w:style>
  <w:style w:type="paragraph" w:customStyle="1" w:styleId="34">
    <w:name w:val="正文_0_1"/>
    <w:qFormat/>
    <w:uiPriority w:val="0"/>
    <w:pPr>
      <w:widowControl w:val="0"/>
      <w:jc w:val="both"/>
    </w:pPr>
    <w:rPr>
      <w:rFonts w:ascii="Calibri" w:hAnsi="Calibri" w:eastAsia="宋体" w:cs="Times New Roman"/>
      <w:lang w:val="en-US" w:eastAsia="zh-CN" w:bidi="ar-SA"/>
    </w:rPr>
  </w:style>
  <w:style w:type="paragraph" w:customStyle="1" w:styleId="35">
    <w:name w:val="正文_1_0"/>
    <w:basedOn w:val="36"/>
    <w:next w:val="39"/>
    <w:qFormat/>
    <w:uiPriority w:val="0"/>
    <w:rPr>
      <w:rFonts w:ascii="Times New Roman" w:hAnsi="Times New Roman"/>
      <w:szCs w:val="24"/>
    </w:rPr>
  </w:style>
  <w:style w:type="paragraph" w:customStyle="1" w:styleId="36">
    <w:name w:val="正文_1_1"/>
    <w:basedOn w:val="37"/>
    <w:qFormat/>
    <w:uiPriority w:val="0"/>
    <w:rPr>
      <w:rFonts w:ascii="Calibri" w:hAnsi="Calibri"/>
      <w:szCs w:val="22"/>
    </w:rPr>
  </w:style>
  <w:style w:type="paragraph" w:customStyle="1" w:styleId="37">
    <w:name w:val="正文_5"/>
    <w:next w:val="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引文目录标题_0"/>
    <w:basedOn w:val="37"/>
    <w:next w:val="37"/>
    <w:qFormat/>
    <w:uiPriority w:val="0"/>
    <w:pPr>
      <w:spacing w:before="120"/>
    </w:pPr>
    <w:rPr>
      <w:rFonts w:ascii="Arial" w:hAnsi="Arial"/>
      <w:sz w:val="24"/>
    </w:rPr>
  </w:style>
  <w:style w:type="paragraph" w:customStyle="1" w:styleId="39">
    <w:name w:val="正文首行缩进1"/>
    <w:basedOn w:val="40"/>
    <w:unhideWhenUsed/>
    <w:qFormat/>
    <w:uiPriority w:val="99"/>
    <w:pPr>
      <w:ind w:firstLine="420" w:firstLineChars="100"/>
    </w:pPr>
    <w:rPr>
      <w:szCs w:val="22"/>
    </w:rPr>
  </w:style>
  <w:style w:type="paragraph" w:customStyle="1" w:styleId="40">
    <w:name w:val="正文文本_0_0"/>
    <w:basedOn w:val="41"/>
    <w:qFormat/>
    <w:uiPriority w:val="0"/>
    <w:pPr>
      <w:spacing w:after="120"/>
    </w:pPr>
    <w:rPr>
      <w:rFonts w:ascii="Calibri" w:hAnsi="Calibri"/>
      <w:kern w:val="0"/>
      <w:sz w:val="20"/>
    </w:rPr>
  </w:style>
  <w:style w:type="paragraph" w:customStyle="1" w:styleId="41">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2_0"/>
    <w:basedOn w:val="43"/>
    <w:qFormat/>
    <w:uiPriority w:val="0"/>
  </w:style>
  <w:style w:type="paragraph" w:customStyle="1" w:styleId="43">
    <w:name w:val="正文_2"/>
    <w:basedOn w:val="44"/>
    <w:next w:val="6"/>
    <w:qFormat/>
    <w:uiPriority w:val="0"/>
  </w:style>
  <w:style w:type="paragraph" w:customStyle="1" w:styleId="44">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正文_0"/>
    <w:basedOn w:val="19"/>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46">
    <w:name w:val="批注文字_0"/>
    <w:basedOn w:val="19"/>
    <w:unhideWhenUsed/>
    <w:qFormat/>
    <w:uiPriority w:val="99"/>
    <w:pPr>
      <w:jc w:val="left"/>
    </w:pPr>
  </w:style>
  <w:style w:type="paragraph" w:customStyle="1" w:styleId="47">
    <w:name w:val="正文_0_0_1"/>
    <w:qFormat/>
    <w:uiPriority w:val="0"/>
    <w:pPr>
      <w:widowControl w:val="0"/>
      <w:jc w:val="both"/>
    </w:pPr>
    <w:rPr>
      <w:rFonts w:ascii="Calibri" w:hAnsi="Calibri" w:eastAsia="宋体" w:cs="Times New Roman"/>
      <w:kern w:val="2"/>
      <w:sz w:val="28"/>
      <w:szCs w:val="22"/>
      <w:lang w:val="en-US" w:eastAsia="zh-CN" w:bidi="ar-SA"/>
    </w:rPr>
  </w:style>
  <w:style w:type="paragraph" w:customStyle="1" w:styleId="48">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49">
    <w:name w:val="缺省文本"/>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50">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1">
    <w:name w:val="正文_0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文本_0"/>
    <w:basedOn w:val="36"/>
    <w:next w:val="53"/>
    <w:qFormat/>
    <w:uiPriority w:val="0"/>
    <w:pPr>
      <w:spacing w:after="120"/>
    </w:pPr>
    <w:rPr>
      <w:kern w:val="0"/>
      <w:sz w:val="20"/>
    </w:rPr>
  </w:style>
  <w:style w:type="paragraph" w:customStyle="1" w:styleId="53">
    <w:name w:val="日期_0"/>
    <w:basedOn w:val="45"/>
    <w:next w:val="45"/>
    <w:semiHidden/>
    <w:qFormat/>
    <w:uiPriority w:val="0"/>
    <w:pPr>
      <w:spacing w:before="100" w:beforeAutospacing="1" w:after="100" w:afterAutospacing="1"/>
      <w:ind w:left="100" w:leftChars="2500"/>
    </w:pPr>
    <w:rPr>
      <w:rFonts w:ascii="宋体"/>
      <w:kern w:val="0"/>
      <w:sz w:val="28"/>
      <w:szCs w:val="28"/>
    </w:rPr>
  </w:style>
  <w:style w:type="paragraph" w:customStyle="1" w:styleId="5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5">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56">
    <w:name w:val="宁波正文"/>
    <w:basedOn w:val="1"/>
    <w:qFormat/>
    <w:uiPriority w:val="0"/>
    <w:pPr>
      <w:spacing w:line="360" w:lineRule="auto"/>
      <w:ind w:firstLine="480" w:firstLineChars="200"/>
    </w:pPr>
    <w:rPr>
      <w:rFonts w:ascii="仿宋_GB2312" w:hAnsi="Calibri" w:eastAsia="仿宋_GB2312"/>
      <w:sz w:val="24"/>
    </w:rPr>
  </w:style>
  <w:style w:type="paragraph" w:customStyle="1" w:styleId="57">
    <w:name w:val="空格"/>
    <w:basedOn w:val="1"/>
    <w:next w:val="1"/>
    <w:qFormat/>
    <w:uiPriority w:val="0"/>
    <w:pPr>
      <w:autoSpaceDE w:val="0"/>
      <w:autoSpaceDN w:val="0"/>
      <w:adjustRightInd w:val="0"/>
      <w:snapToGrid w:val="0"/>
      <w:spacing w:line="360" w:lineRule="auto"/>
      <w:ind w:firstLine="200" w:firstLineChars="200"/>
      <w:jc w:val="left"/>
    </w:pPr>
    <w:rPr>
      <w:rFonts w:ascii="Calibri" w:hAnsi="Calibri"/>
      <w:snapToGrid w:val="0"/>
      <w:kern w:val="0"/>
      <w:sz w:val="24"/>
      <w:szCs w:val="21"/>
    </w:rPr>
  </w:style>
  <w:style w:type="paragraph" w:customStyle="1" w:styleId="58">
    <w:name w:val="Heading #1|1"/>
    <w:basedOn w:val="1"/>
    <w:qFormat/>
    <w:uiPriority w:val="0"/>
    <w:pPr>
      <w:spacing w:after="3140"/>
      <w:jc w:val="center"/>
      <w:outlineLvl w:val="0"/>
    </w:pPr>
    <w:rPr>
      <w:rFonts w:ascii="宋体" w:cs="宋体"/>
      <w:sz w:val="50"/>
      <w:szCs w:val="50"/>
      <w:lang w:val="zh-TW" w:eastAsia="zh-TW" w:bidi="zh-TW"/>
    </w:rPr>
  </w:style>
  <w:style w:type="paragraph" w:customStyle="1" w:styleId="59">
    <w:name w:val="Body text|2"/>
    <w:basedOn w:val="1"/>
    <w:qFormat/>
    <w:uiPriority w:val="0"/>
    <w:pPr>
      <w:spacing w:after="260"/>
      <w:ind w:left="1880"/>
    </w:pPr>
    <w:rPr>
      <w:rFonts w:ascii="宋体" w:cs="宋体"/>
      <w:sz w:val="30"/>
      <w:szCs w:val="30"/>
      <w:u w:val="single"/>
      <w:lang w:val="zh-TW" w:eastAsia="zh-TW" w:bidi="zh-TW"/>
    </w:rPr>
  </w:style>
  <w:style w:type="paragraph" w:customStyle="1" w:styleId="60">
    <w:name w:val="Body text|3"/>
    <w:basedOn w:val="1"/>
    <w:qFormat/>
    <w:uiPriority w:val="0"/>
    <w:pPr>
      <w:spacing w:after="1540"/>
      <w:ind w:left="1880"/>
    </w:pPr>
    <w:rPr>
      <w:sz w:val="30"/>
      <w:szCs w:val="30"/>
      <w:u w:val="single"/>
    </w:rPr>
  </w:style>
  <w:style w:type="paragraph" w:customStyle="1" w:styleId="61">
    <w:name w:val="Body text|1"/>
    <w:basedOn w:val="1"/>
    <w:qFormat/>
    <w:uiPriority w:val="0"/>
    <w:pPr>
      <w:spacing w:line="480" w:lineRule="auto"/>
      <w:ind w:firstLine="400"/>
    </w:pPr>
    <w:rPr>
      <w:rFonts w:ascii="宋体" w:cs="宋体"/>
      <w:sz w:val="20"/>
      <w:szCs w:val="20"/>
      <w:lang w:val="zh-TW" w:eastAsia="zh-TW" w:bidi="zh-TW"/>
    </w:rPr>
  </w:style>
  <w:style w:type="paragraph" w:customStyle="1" w:styleId="62">
    <w:name w:val="Other|1"/>
    <w:basedOn w:val="1"/>
    <w:qFormat/>
    <w:uiPriority w:val="0"/>
    <w:rPr>
      <w:rFonts w:ascii="宋体" w:cs="宋体"/>
      <w:sz w:val="20"/>
      <w:szCs w:val="20"/>
      <w:lang w:val="zh-TW" w:eastAsia="zh-TW" w:bidi="zh-TW"/>
    </w:rPr>
  </w:style>
  <w:style w:type="paragraph" w:customStyle="1" w:styleId="63">
    <w:name w:val="WPSOffice手动目录 1"/>
    <w:qFormat/>
    <w:uiPriority w:val="0"/>
    <w:rPr>
      <w:rFonts w:ascii="Calibri" w:hAnsi="Calibri" w:eastAsia="宋体" w:cs="黑体"/>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5">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66">
    <w:name w:val="Table Paragraph"/>
    <w:basedOn w:val="35"/>
    <w:qFormat/>
    <w:uiPriority w:val="0"/>
    <w:rPr>
      <w:rFonts w:ascii="宋体" w:hAnsi="宋体"/>
    </w:rPr>
  </w:style>
  <w:style w:type="paragraph" w:customStyle="1" w:styleId="6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8">
    <w:name w:val="正文缩进_2"/>
    <w:basedOn w:val="69"/>
    <w:unhideWhenUsed/>
    <w:qFormat/>
    <w:uiPriority w:val="0"/>
    <w:pPr>
      <w:ind w:firstLine="420" w:firstLineChars="200"/>
    </w:pPr>
    <w:rPr>
      <w:rFonts w:ascii="Calibri" w:hAnsi="Calibri"/>
    </w:rPr>
  </w:style>
  <w:style w:type="paragraph" w:customStyle="1" w:styleId="69">
    <w:name w:val="正文_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页脚_2"/>
    <w:basedOn w:val="69"/>
    <w:unhideWhenUsed/>
    <w:qFormat/>
    <w:uiPriority w:val="99"/>
    <w:pPr>
      <w:tabs>
        <w:tab w:val="center" w:pos="4153"/>
        <w:tab w:val="right" w:pos="8306"/>
      </w:tabs>
      <w:snapToGrid w:val="0"/>
      <w:jc w:val="left"/>
    </w:pPr>
    <w:rPr>
      <w:rFonts w:ascii="Calibri" w:hAnsi="Calibri"/>
      <w:sz w:val="18"/>
      <w:szCs w:val="18"/>
    </w:rPr>
  </w:style>
  <w:style w:type="paragraph" w:customStyle="1" w:styleId="71">
    <w:name w:val="二级条标题"/>
    <w:basedOn w:val="72"/>
    <w:next w:val="74"/>
    <w:qFormat/>
    <w:uiPriority w:val="0"/>
    <w:pPr>
      <w:outlineLvl w:val="3"/>
    </w:pPr>
  </w:style>
  <w:style w:type="paragraph" w:customStyle="1" w:styleId="72">
    <w:name w:val="一级条标题"/>
    <w:basedOn w:val="73"/>
    <w:next w:val="74"/>
    <w:qFormat/>
    <w:uiPriority w:val="0"/>
    <w:pPr>
      <w:numPr>
        <w:ilvl w:val="1"/>
        <w:numId w:val="0"/>
      </w:numPr>
      <w:outlineLvl w:val="2"/>
    </w:pPr>
  </w:style>
  <w:style w:type="paragraph" w:customStyle="1" w:styleId="73">
    <w:name w:val="章标题"/>
    <w:next w:val="74"/>
    <w:qFormat/>
    <w:uiPriority w:val="0"/>
    <w:pPr>
      <w:numPr>
        <w:ilvl w:val="1"/>
        <w:numId w:val="1"/>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7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5">
    <w:name w:val="表格文字"/>
    <w:basedOn w:val="76"/>
    <w:next w:val="8"/>
    <w:qFormat/>
    <w:uiPriority w:val="99"/>
    <w:pPr>
      <w:snapToGrid w:val="0"/>
      <w:spacing w:before="120"/>
    </w:pPr>
    <w:rPr>
      <w:szCs w:val="20"/>
    </w:rPr>
  </w:style>
  <w:style w:type="paragraph" w:customStyle="1" w:styleId="76">
    <w:name w:val="方案正文"/>
    <w:basedOn w:val="9"/>
    <w:qFormat/>
    <w:uiPriority w:val="0"/>
    <w:pPr>
      <w:spacing w:before="156" w:line="360" w:lineRule="auto"/>
      <w:ind w:firstLine="359" w:firstLineChars="171"/>
      <w:jc w:val="left"/>
    </w:pPr>
    <w:rPr>
      <w:rFonts w:cs="宋体"/>
      <w:sz w:val="24"/>
    </w:rPr>
  </w:style>
  <w:style w:type="character" w:customStyle="1" w:styleId="77">
    <w:name w:val="bookmark-item"/>
    <w:qFormat/>
    <w:uiPriority w:val="0"/>
  </w:style>
  <w:style w:type="character" w:customStyle="1" w:styleId="78">
    <w:name w:val="批注文字 Char"/>
    <w:link w:val="7"/>
    <w:qFormat/>
    <w:uiPriority w:val="0"/>
    <w:rPr>
      <w:rFonts w:ascii="Times New Roman" w:hAnsi="Times New Roman" w:eastAsia="宋体" w:cs="Times New Roman"/>
      <w:kern w:val="2"/>
      <w:sz w:val="21"/>
      <w:szCs w:val="24"/>
    </w:rPr>
  </w:style>
  <w:style w:type="character" w:customStyle="1" w:styleId="79">
    <w:name w:val="批注主题 Char"/>
    <w:link w:val="22"/>
    <w:qFormat/>
    <w:uiPriority w:val="0"/>
    <w:rPr>
      <w:rFonts w:ascii="Times New Roman" w:hAnsi="Times New Roman" w:eastAsia="宋体" w:cs="Times New Roman"/>
      <w:b/>
      <w:bCs/>
      <w:kern w:val="2"/>
      <w:sz w:val="21"/>
      <w:szCs w:val="24"/>
    </w:rPr>
  </w:style>
  <w:style w:type="character" w:customStyle="1" w:styleId="80">
    <w:name w:val="批注框文本 Char"/>
    <w:link w:val="14"/>
    <w:qFormat/>
    <w:uiPriority w:val="0"/>
    <w:rPr>
      <w:kern w:val="2"/>
      <w:sz w:val="18"/>
      <w:szCs w:val="18"/>
    </w:rPr>
  </w:style>
  <w:style w:type="character" w:customStyle="1" w:styleId="81">
    <w:name w:val="font01"/>
    <w:qFormat/>
    <w:uiPriority w:val="0"/>
    <w:rPr>
      <w:rFonts w:hint="eastAsia" w:ascii="宋体" w:hAnsi="宋体" w:eastAsia="宋体" w:cs="宋体"/>
      <w:b/>
      <w:color w:val="002060"/>
      <w:sz w:val="24"/>
      <w:szCs w:val="24"/>
      <w:u w:val="none"/>
    </w:rPr>
  </w:style>
  <w:style w:type="table" w:customStyle="1" w:styleId="82">
    <w:name w:val="Table Normal"/>
    <w:unhideWhenUsed/>
    <w:qFormat/>
    <w:uiPriority w:val="0"/>
    <w:tblPr>
      <w:tblCellMar>
        <w:top w:w="0" w:type="dxa"/>
        <w:left w:w="0" w:type="dxa"/>
        <w:bottom w:w="0" w:type="dxa"/>
        <w:right w:w="0" w:type="dxa"/>
      </w:tblCellMar>
    </w:tblPr>
  </w:style>
  <w:style w:type="paragraph" w:customStyle="1" w:styleId="83">
    <w:name w:val="标题 5（有编号）（绿盟科技）"/>
    <w:basedOn w:val="1"/>
    <w:next w:val="84"/>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8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85">
    <w:name w:val="Table Text"/>
    <w:basedOn w:val="1"/>
    <w:semiHidden/>
    <w:qFormat/>
    <w:uiPriority w:val="0"/>
    <w:rPr>
      <w:rFonts w:ascii="宋体" w:hAnsi="宋体" w:eastAsia="宋体" w:cs="宋体"/>
      <w:sz w:val="24"/>
      <w:szCs w:val="24"/>
      <w:lang w:val="en-US" w:eastAsia="en-US" w:bidi="ar-SA"/>
    </w:rPr>
  </w:style>
  <w:style w:type="character" w:customStyle="1" w:styleId="86">
    <w:name w:val="10"/>
    <w:qFormat/>
    <w:uiPriority w:val="0"/>
    <w:rPr>
      <w:rFonts w:hint="default" w:ascii="Calibri" w:hAnsi="Calibri"/>
    </w:rPr>
  </w:style>
  <w:style w:type="paragraph" w:customStyle="1" w:styleId="87">
    <w:name w:val="正文缩进_0"/>
    <w:basedOn w:val="45"/>
    <w:semiHidden/>
    <w:qFormat/>
    <w:uiPriority w:val="0"/>
    <w:pPr>
      <w:adjustRightInd w:val="0"/>
      <w:spacing w:line="360" w:lineRule="atLeast"/>
      <w:ind w:firstLine="482"/>
      <w:textAlignment w:val="baseline"/>
    </w:pPr>
    <w:rPr>
      <w:rFonts w:ascii="Times New Roman" w:hAnsi="Times New Roman"/>
      <w:kern w:val="0"/>
      <w:sz w:val="24"/>
      <w:szCs w:val="24"/>
    </w:rPr>
  </w:style>
  <w:style w:type="paragraph" w:customStyle="1" w:styleId="88">
    <w:name w:val="Default Text: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89">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文本缩进_2"/>
    <w:basedOn w:val="89"/>
    <w:qFormat/>
    <w:uiPriority w:val="0"/>
    <w:pPr>
      <w:spacing w:line="500" w:lineRule="exact"/>
      <w:ind w:left="1588" w:leftChars="832" w:firstLine="433" w:firstLineChars="196"/>
    </w:pPr>
    <w:rPr>
      <w:kern w:val="0"/>
      <w:sz w:val="24"/>
    </w:rPr>
  </w:style>
  <w:style w:type="paragraph" w:styleId="91">
    <w:name w:val="List Paragraph"/>
    <w:basedOn w:val="1"/>
    <w:unhideWhenUsed/>
    <w:qFormat/>
    <w:uiPriority w:val="99"/>
    <w:pPr>
      <w:ind w:firstLine="420" w:firstLineChars="200"/>
    </w:pPr>
  </w:style>
  <w:style w:type="paragraph" w:customStyle="1" w:styleId="92">
    <w:name w:val="列出段落2"/>
    <w:basedOn w:val="1"/>
    <w:qFormat/>
    <w:uiPriority w:val="0"/>
    <w:pPr>
      <w:spacing w:line="500" w:lineRule="exact"/>
      <w:ind w:firstLine="420"/>
    </w:pPr>
    <w:rPr>
      <w:rFonts w:ascii="Calibri" w:hAnsi="Calibri" w:eastAsia="仿宋" w:cs="黑体"/>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85</Pages>
  <Words>10770</Words>
  <Characters>11907</Characters>
  <Lines>325</Lines>
  <Paragraphs>91</Paragraphs>
  <TotalTime>0</TotalTime>
  <ScaleCrop>false</ScaleCrop>
  <LinksUpToDate>false</LinksUpToDate>
  <CharactersWithSpaces>12377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2023-01-18T18:50:00Z</dcterms:created>
  <dc:creator>园子</dc:creator>
  <cp:lastModifiedBy>En.</cp:lastModifiedBy>
  <cp:lastPrinted>2023-01-28T02:15:00Z</cp:lastPrinted>
  <dcterms:modified xsi:type="dcterms:W3CDTF">2025-07-04T08:07:02Z</dcterms:modified>
  <dc:title>中华人民共和国新疆出入境边防检查总站乌鲁木齐警犬训练基地犬用品采购项目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9BBC03743EAA4F9C97A82D15E0B96393_13</vt:lpwstr>
  </property>
  <property fmtid="{D5CDD505-2E9C-101B-9397-08002B2CF9AE}" pid="4" name="KSOTemplateDocerSaveRecord">
    <vt:lpwstr>eyJoZGlkIjoiNTQxZWM2ODI3ZmQ1ZDE5NTczY2JmNTUxOTJlYTNkNmYiLCJ1c2VySWQiOiI1MzUyMjcwODIifQ==</vt:lpwstr>
  </property>
</Properties>
</file>