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F7A9A">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400" w:firstLineChars="200"/>
        <w:rPr>
          <w:rFonts w:hint="eastAsia" w:ascii="宋体" w:hAnsi="宋体" w:eastAsia="宋体" w:cs="宋体"/>
          <w:color w:val="auto"/>
          <w:sz w:val="20"/>
          <w:highlight w:val="none"/>
        </w:rPr>
      </w:pPr>
    </w:p>
    <w:p w14:paraId="54629AE1">
      <w:pPr>
        <w:keepNext w:val="0"/>
        <w:keepLines w:val="0"/>
        <w:pageBreakBefore w:val="0"/>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宋体"/>
          <w:b/>
          <w:color w:val="auto"/>
          <w:sz w:val="280"/>
          <w:szCs w:val="52"/>
          <w:highlight w:val="none"/>
          <w:lang w:val="en-US"/>
        </w:rPr>
      </w:pPr>
      <w:r>
        <w:rPr>
          <w:rFonts w:hint="eastAsia" w:ascii="宋体" w:hAnsi="宋体" w:eastAsia="宋体" w:cs="宋体"/>
          <w:b/>
          <w:color w:val="auto"/>
          <w:sz w:val="60"/>
          <w:szCs w:val="60"/>
          <w:highlight w:val="none"/>
          <w:lang w:val="en-US" w:eastAsia="zh-CN"/>
        </w:rPr>
        <w:t>新疆维吾尔自治区兽药饲料监察所实验室辅助设备采购项目</w:t>
      </w:r>
    </w:p>
    <w:p w14:paraId="1C76E44E">
      <w:pPr>
        <w:keepNext w:val="0"/>
        <w:keepLines w:val="0"/>
        <w:pageBreakBefore w:val="0"/>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宋体"/>
          <w:b/>
          <w:color w:val="auto"/>
          <w:sz w:val="144"/>
          <w:szCs w:val="28"/>
          <w:highlight w:val="none"/>
          <w:lang w:val="en-US"/>
        </w:rPr>
      </w:pPr>
    </w:p>
    <w:p w14:paraId="5020BD99">
      <w:pPr>
        <w:keepNext w:val="0"/>
        <w:keepLines w:val="0"/>
        <w:pageBreakBefore w:val="0"/>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宋体"/>
          <w:b/>
          <w:color w:val="auto"/>
          <w:sz w:val="144"/>
          <w:szCs w:val="28"/>
          <w:highlight w:val="none"/>
        </w:rPr>
      </w:pPr>
      <w:r>
        <w:rPr>
          <w:rFonts w:hint="eastAsia" w:ascii="宋体" w:hAnsi="宋体" w:eastAsia="宋体" w:cs="宋体"/>
          <w:b/>
          <w:color w:val="auto"/>
          <w:sz w:val="144"/>
          <w:szCs w:val="28"/>
          <w:highlight w:val="none"/>
          <w:lang w:val="en-US"/>
        </w:rPr>
        <w:t>招标</w:t>
      </w:r>
      <w:r>
        <w:rPr>
          <w:rFonts w:hint="eastAsia" w:ascii="宋体" w:hAnsi="宋体" w:eastAsia="宋体" w:cs="宋体"/>
          <w:b/>
          <w:color w:val="auto"/>
          <w:sz w:val="144"/>
          <w:szCs w:val="28"/>
          <w:highlight w:val="none"/>
        </w:rPr>
        <w:t>文件</w:t>
      </w:r>
    </w:p>
    <w:p w14:paraId="5F7B3805">
      <w:pPr>
        <w:keepNext w:val="0"/>
        <w:keepLines w:val="0"/>
        <w:pageBreakBefore w:val="0"/>
        <w:overflowPunct/>
        <w:topLinePunct w:val="0"/>
        <w:bidi w:val="0"/>
        <w:spacing w:beforeAutospacing="0" w:afterAutospacing="0" w:line="240" w:lineRule="auto"/>
        <w:ind w:left="0" w:leftChars="0" w:right="0" w:rightChars="0"/>
        <w:rPr>
          <w:rFonts w:hint="eastAsia" w:ascii="宋体" w:hAnsi="宋体" w:eastAsia="宋体" w:cs="宋体"/>
          <w:b/>
          <w:color w:val="auto"/>
          <w:sz w:val="28"/>
          <w:szCs w:val="28"/>
          <w:highlight w:val="none"/>
        </w:rPr>
      </w:pPr>
    </w:p>
    <w:p w14:paraId="2EACA4F0">
      <w:pPr>
        <w:keepNext w:val="0"/>
        <w:keepLines w:val="0"/>
        <w:pageBreakBefore w:val="0"/>
        <w:overflowPunct/>
        <w:topLinePunct w:val="0"/>
        <w:bidi w:val="0"/>
        <w:spacing w:beforeAutospacing="0" w:afterAutospacing="0" w:line="240" w:lineRule="auto"/>
        <w:ind w:left="0" w:leftChars="0" w:right="0" w:rightChars="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项目名称：新疆维吾尔自治区兽药饲料监察所实验室辅助设备采购项目</w:t>
      </w:r>
    </w:p>
    <w:p w14:paraId="2A04B646">
      <w:pPr>
        <w:keepNext w:val="0"/>
        <w:keepLines w:val="0"/>
        <w:pageBreakBefore w:val="0"/>
        <w:overflowPunct/>
        <w:topLinePunct w:val="0"/>
        <w:bidi w:val="0"/>
        <w:spacing w:beforeAutospacing="0" w:afterAutospacing="0" w:line="240" w:lineRule="auto"/>
        <w:ind w:left="0" w:leftChars="0" w:right="0" w:rightChars="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项目编号：hcxj/czt-2025-312</w:t>
      </w:r>
    </w:p>
    <w:p w14:paraId="2808E9C3">
      <w:pPr>
        <w:keepNext w:val="0"/>
        <w:keepLines w:val="0"/>
        <w:pageBreakBefore w:val="0"/>
        <w:overflowPunct/>
        <w:topLinePunct w:val="0"/>
        <w:bidi w:val="0"/>
        <w:spacing w:beforeAutospacing="0" w:afterAutospacing="0" w:line="240" w:lineRule="auto"/>
        <w:ind w:left="0" w:leftChars="0" w:right="0" w:rightChars="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采购单位：新疆维吾尔自治区兽药饲料监察所</w:t>
      </w:r>
    </w:p>
    <w:p w14:paraId="4E0D51EF">
      <w:pPr>
        <w:keepNext w:val="0"/>
        <w:keepLines w:val="0"/>
        <w:pageBreakBefore w:val="0"/>
        <w:overflowPunct/>
        <w:topLinePunct w:val="0"/>
        <w:bidi w:val="0"/>
        <w:spacing w:beforeAutospacing="0" w:afterAutospacing="0" w:line="240" w:lineRule="auto"/>
        <w:ind w:left="0" w:leftChars="0" w:right="0" w:rightChars="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采购代理机构 ：华春建设工程项目管理有限责任公司</w:t>
      </w:r>
    </w:p>
    <w:p w14:paraId="42165F36">
      <w:pPr>
        <w:keepNext w:val="0"/>
        <w:keepLines w:val="0"/>
        <w:pageBreakBefore w:val="0"/>
        <w:overflowPunct/>
        <w:topLinePunct w:val="0"/>
        <w:bidi w:val="0"/>
        <w:spacing w:beforeAutospacing="0" w:afterAutospacing="0" w:line="240" w:lineRule="auto"/>
        <w:ind w:left="0" w:leftChars="0" w:right="0" w:rightChars="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联   系  人：孔伟国、周惠、冯建正</w:t>
      </w:r>
    </w:p>
    <w:p w14:paraId="5F3617CB">
      <w:pPr>
        <w:keepNext w:val="0"/>
        <w:keepLines w:val="0"/>
        <w:pageBreakBefore w:val="0"/>
        <w:overflowPunct/>
        <w:topLinePunct w:val="0"/>
        <w:bidi w:val="0"/>
        <w:spacing w:beforeAutospacing="0" w:afterAutospacing="0" w:line="240" w:lineRule="auto"/>
        <w:ind w:left="0" w:leftChars="0" w:right="0" w:rightChars="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联 系 电 话：0991-2629781、18097782413</w:t>
      </w:r>
    </w:p>
    <w:p w14:paraId="738DEF50">
      <w:pPr>
        <w:keepNext w:val="0"/>
        <w:keepLines w:val="0"/>
        <w:pageBreakBefore w:val="0"/>
        <w:overflowPunct/>
        <w:topLinePunct w:val="0"/>
        <w:bidi w:val="0"/>
        <w:spacing w:beforeAutospacing="0" w:afterAutospacing="0" w:line="240" w:lineRule="auto"/>
        <w:ind w:left="0" w:leftChars="0" w:right="0" w:rightChars="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联系地址：新疆乌鲁木齐市水磨沟区浙商大厦15楼1505室</w:t>
      </w:r>
    </w:p>
    <w:p w14:paraId="14AE41FF">
      <w:pPr>
        <w:keepNext w:val="0"/>
        <w:keepLines w:val="0"/>
        <w:pageBreakBefore w:val="0"/>
        <w:overflowPunct/>
        <w:topLinePunct w:val="0"/>
        <w:bidi w:val="0"/>
        <w:spacing w:beforeAutospacing="0" w:afterAutospacing="0" w:line="240" w:lineRule="auto"/>
        <w:ind w:left="0" w:leftChars="0" w:right="0" w:right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二〇二五年六月</w:t>
      </w:r>
    </w:p>
    <w:p w14:paraId="01E7D78D">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1B329DE6">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4F9B30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sdt>
      <w:sdtPr>
        <w:rPr>
          <w:rFonts w:hint="eastAsia" w:ascii="宋体" w:hAnsi="宋体" w:eastAsia="宋体" w:cs="宋体"/>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宋体" w:hAnsi="宋体" w:eastAsia="宋体" w:cs="宋体"/>
          <w:b/>
          <w:color w:val="auto"/>
          <w:kern w:val="2"/>
          <w:sz w:val="21"/>
          <w:szCs w:val="32"/>
          <w:highlight w:val="none"/>
          <w:lang w:val="en-US" w:eastAsia="zh-CN" w:bidi="ar-SA"/>
        </w:rPr>
      </w:sdtEndPr>
      <w:sdtContent>
        <w:p w14:paraId="2BFC50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rPr>
              <w:rFonts w:hint="eastAsia" w:ascii="宋体" w:hAnsi="宋体" w:eastAsia="宋体" w:cs="宋体"/>
              <w:color w:val="auto"/>
              <w:highlight w:val="none"/>
            </w:rPr>
          </w:pPr>
        </w:p>
        <w:p w14:paraId="5D9C419F">
          <w:pPr>
            <w:pStyle w:val="2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"1-2"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13DFD36">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一、项目基本情况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7A79668">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_Toc6535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二、申请人的资格要求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_Toc6535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A50683">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_Toc11484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三、获取招标文件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_Toc11484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5D4B4F9">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四、提交投标文件截止时间、开标时间和地点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_Toc25587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DF909C">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五、公告期限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5975429">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_Toc14151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六、其他补充事宜</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_Toc14151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B6AD90C">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七、对本次采购提出询问，请按以下方式联系</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_Toc28291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991217">
          <w:pPr>
            <w:pStyle w:val="2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_Toc29573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_Toc29573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732DE7B">
          <w:pPr>
            <w:pStyle w:val="2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C02308">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 说 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_Toc8877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08104F">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_Toc30930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二、 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F26CE7">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_Toc14420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三、 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_Toc14420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B1433A">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四、 投标文件的提交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_Toc17647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A0EDF4D">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五、 开标、资格审查及评标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379AFE6">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_Toc19972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六、 确定中标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A75B31">
          <w:pPr>
            <w:pStyle w:val="2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_Toc31806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第四章 政府采购合同（参考模板）</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B54802">
          <w:pPr>
            <w:pStyle w:val="2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第五章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D0735F">
          <w:pPr>
            <w:pStyle w:val="2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_Toc31731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第六章 评标程序、评标方法和评标标准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_Toc31731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2CA9F2">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_Toc8575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1.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_Toc8575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360D67">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_Toc12398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2. 评标原则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_Toc12398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1DE8A28">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3. 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_Toc22364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881C152">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_Toc12308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4. 符合性审查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_Toc12308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4C1759">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_Toc9049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5. 投标文件有关事项的澄清或者说明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B53D8B">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6. 详细评审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79072B9">
          <w:pPr>
            <w:pStyle w:val="2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_Toc32490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第七章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_Toc32490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1B3BA35">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40" w:lineRule="exact"/>
            <w:ind w:left="0" w:leftChars="0" w:right="0" w:rightChars="0" w:firstLine="0" w:firstLineChars="0"/>
            <w:textAlignment w:val="auto"/>
            <w:rPr>
              <w:rFonts w:hint="eastAsia" w:ascii="宋体" w:hAnsi="宋体" w:eastAsia="宋体" w:cs="宋体"/>
              <w:color w:val="auto"/>
              <w:highlight w:val="none"/>
            </w:rPr>
          </w:pPr>
        </w:p>
        <w:p w14:paraId="09ADE86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Cs w:val="32"/>
              <w:highlight w:val="none"/>
            </w:rPr>
            <w:fldChar w:fldCharType="end"/>
          </w:r>
        </w:p>
      </w:sdtContent>
    </w:sdt>
    <w:p w14:paraId="59266D5E">
      <w:pPr>
        <w:pStyle w:val="3"/>
        <w:pageBreakBefore w:val="0"/>
        <w:numPr>
          <w:ilvl w:val="0"/>
          <w:numId w:val="1"/>
        </w:numPr>
        <w:overflowPunct/>
        <w:topLinePunct w:val="0"/>
        <w:bidi w:val="0"/>
        <w:spacing w:before="0" w:beforeLines="0" w:beforeAutospacing="0" w:after="0" w:afterLines="0" w:afterAutospacing="0" w:line="460" w:lineRule="exact"/>
        <w:ind w:left="0" w:leftChars="0" w:right="0" w:rightChars="0"/>
        <w:jc w:val="center"/>
        <w:rPr>
          <w:rFonts w:hint="eastAsia" w:ascii="宋体" w:hAnsi="宋体" w:eastAsia="宋体" w:cs="宋体"/>
          <w:color w:val="auto"/>
          <w:sz w:val="32"/>
          <w:szCs w:val="32"/>
          <w:highlight w:val="none"/>
        </w:rPr>
        <w:sectPr>
          <w:headerReference r:id="rId3" w:type="default"/>
          <w:pgSz w:w="11906" w:h="16838"/>
          <w:pgMar w:top="1587" w:right="1984" w:bottom="1474" w:left="2098" w:header="851" w:footer="992" w:gutter="0"/>
          <w:pgBorders>
            <w:top w:val="none" w:sz="0" w:space="0"/>
            <w:left w:val="none" w:sz="0" w:space="0"/>
            <w:bottom w:val="none" w:sz="0" w:space="0"/>
            <w:right w:val="none" w:sz="0" w:space="0"/>
          </w:pgBorders>
          <w:cols w:space="0" w:num="1"/>
          <w:rtlGutter w:val="0"/>
          <w:docGrid w:type="lines" w:linePitch="312" w:charSpace="0"/>
        </w:sectPr>
      </w:pPr>
    </w:p>
    <w:p w14:paraId="1360760E">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jc w:val="center"/>
        <w:textAlignment w:val="auto"/>
        <w:rPr>
          <w:rFonts w:hint="eastAsia" w:ascii="宋体" w:hAnsi="宋体" w:eastAsia="宋体" w:cs="宋体"/>
          <w:color w:val="auto"/>
          <w:sz w:val="32"/>
          <w:szCs w:val="32"/>
          <w:highlight w:val="none"/>
        </w:rPr>
      </w:pPr>
      <w:bookmarkStart w:id="0" w:name="_Toc16595"/>
      <w:bookmarkStart w:id="1" w:name="_Toc17828"/>
      <w:r>
        <w:rPr>
          <w:rFonts w:hint="eastAsia" w:ascii="宋体" w:hAnsi="宋体" w:eastAsia="宋体" w:cs="宋体"/>
          <w:color w:val="auto"/>
          <w:sz w:val="32"/>
          <w:szCs w:val="32"/>
          <w:highlight w:val="none"/>
          <w:lang w:val="en-US" w:eastAsia="zh-CN"/>
        </w:rPr>
        <w:t>公开招标</w:t>
      </w:r>
      <w:r>
        <w:rPr>
          <w:rFonts w:hint="eastAsia" w:ascii="宋体" w:hAnsi="宋体" w:eastAsia="宋体" w:cs="宋体"/>
          <w:color w:val="auto"/>
          <w:sz w:val="32"/>
          <w:szCs w:val="32"/>
          <w:highlight w:val="none"/>
        </w:rPr>
        <w:t>公告</w:t>
      </w:r>
      <w:bookmarkEnd w:id="0"/>
      <w:bookmarkEnd w:id="1"/>
    </w:p>
    <w:p w14:paraId="4A7AE06E">
      <w:pPr>
        <w:pStyle w:val="29"/>
        <w:keepNext w:val="0"/>
        <w:keepLines w:val="0"/>
        <w:pageBreakBefore w:val="0"/>
        <w:kinsoku/>
        <w:wordWrap/>
        <w:overflowPunct/>
        <w:topLinePunct w:val="0"/>
        <w:autoSpaceDE w:val="0"/>
        <w:autoSpaceDN w:val="0"/>
        <w:bidi w:val="0"/>
        <w:spacing w:before="0" w:beforeAutospacing="0" w:after="0" w:afterAutospacing="0" w:line="460" w:lineRule="exact"/>
        <w:ind w:left="0" w:leftChars="0" w:right="0" w:rightChars="0"/>
        <w:jc w:val="left"/>
        <w:textAlignment w:val="auto"/>
        <w:rPr>
          <w:rFonts w:hint="eastAsia" w:ascii="宋体" w:hAnsi="宋体" w:eastAsia="宋体" w:cs="宋体"/>
          <w:color w:val="auto"/>
          <w:highlight w:val="none"/>
        </w:rPr>
      </w:pPr>
      <w:bookmarkStart w:id="2" w:name="_Toc20000"/>
      <w:r>
        <w:rPr>
          <w:rFonts w:hint="eastAsia" w:ascii="宋体" w:hAnsi="宋体" w:eastAsia="宋体" w:cs="宋体"/>
          <w:color w:val="auto"/>
          <w:sz w:val="27"/>
          <w:szCs w:val="27"/>
          <w:highlight w:val="none"/>
        </w:rPr>
        <w:t>项目概况</w:t>
      </w:r>
    </w:p>
    <w:p w14:paraId="4DA2BF70">
      <w:pPr>
        <w:keepNext w:val="0"/>
        <w:keepLines w:val="0"/>
        <w:pageBreakBefore w:val="0"/>
        <w:kinsoku/>
        <w:wordWrap/>
        <w:overflowPunct/>
        <w:topLinePunct w:val="0"/>
        <w:autoSpaceDE w:val="0"/>
        <w:autoSpaceDN w:val="0"/>
        <w:bidi w:val="0"/>
        <w:spacing w:beforeAutospacing="0" w:afterAutospacing="0" w:line="460" w:lineRule="exact"/>
        <w:ind w:left="0" w:leftChars="0" w:right="0" w:rightChars="0" w:firstLine="480" w:firstLineChars="200"/>
        <w:textAlignment w:val="auto"/>
        <w:rPr>
          <w:rFonts w:hint="eastAsia" w:ascii="宋体" w:hAnsi="宋体" w:eastAsia="宋体" w:cs="宋体"/>
          <w:b/>
          <w:bCs/>
          <w:color w:val="auto"/>
          <w:sz w:val="24"/>
          <w:szCs w:val="24"/>
          <w:highlight w:val="none"/>
        </w:rPr>
      </w:pPr>
      <w:r>
        <w:rPr>
          <w:rStyle w:val="36"/>
          <w:rFonts w:hint="eastAsia" w:ascii="宋体" w:hAnsi="宋体" w:eastAsia="宋体" w:cs="宋体"/>
          <w:b w:val="0"/>
          <w:bCs w:val="0"/>
          <w:color w:val="auto"/>
          <w:sz w:val="24"/>
          <w:szCs w:val="24"/>
          <w:highlight w:val="none"/>
          <w:lang w:eastAsia="zh-CN"/>
        </w:rPr>
        <w:t>新疆维吾尔自治区兽药饲料监察所实验室辅助设备采购项目</w:t>
      </w:r>
      <w:r>
        <w:rPr>
          <w:rStyle w:val="36"/>
          <w:rFonts w:hint="eastAsia" w:ascii="宋体" w:hAnsi="宋体" w:eastAsia="宋体" w:cs="宋体"/>
          <w:b w:val="0"/>
          <w:bCs w:val="0"/>
          <w:color w:val="auto"/>
          <w:sz w:val="24"/>
          <w:szCs w:val="24"/>
          <w:highlight w:val="none"/>
        </w:rPr>
        <w:t>的潜在</w:t>
      </w:r>
      <w:r>
        <w:rPr>
          <w:rFonts w:hint="eastAsia" w:ascii="宋体" w:hAnsi="宋体" w:eastAsia="宋体" w:cs="宋体"/>
          <w:color w:val="auto"/>
          <w:spacing w:val="-3"/>
          <w:sz w:val="24"/>
          <w:szCs w:val="24"/>
          <w:highlight w:val="none"/>
          <w:lang w:val="en-US"/>
        </w:rPr>
        <w:t>投标人</w:t>
      </w:r>
      <w:r>
        <w:rPr>
          <w:rStyle w:val="36"/>
          <w:rFonts w:hint="eastAsia" w:ascii="宋体" w:hAnsi="宋体" w:eastAsia="宋体" w:cs="宋体"/>
          <w:b w:val="0"/>
          <w:bCs w:val="0"/>
          <w:color w:val="auto"/>
          <w:sz w:val="24"/>
          <w:szCs w:val="24"/>
          <w:highlight w:val="none"/>
        </w:rPr>
        <w:t>应在新疆政府采购云</w:t>
      </w:r>
      <w:r>
        <w:rPr>
          <w:rStyle w:val="36"/>
          <w:rFonts w:hint="eastAsia" w:ascii="宋体" w:hAnsi="宋体" w:eastAsia="宋体" w:cs="宋体"/>
          <w:b w:val="0"/>
          <w:bCs w:val="0"/>
          <w:color w:val="auto"/>
          <w:sz w:val="24"/>
          <w:szCs w:val="24"/>
          <w:highlight w:val="none"/>
          <w:lang w:eastAsia="zh-CN"/>
        </w:rPr>
        <w:t>平台https://www.zcygov.cn/线上获取招标文件，并于2025年07月0</w:t>
      </w:r>
      <w:r>
        <w:rPr>
          <w:rStyle w:val="36"/>
          <w:rFonts w:hint="eastAsia" w:ascii="宋体" w:hAnsi="宋体" w:eastAsia="宋体" w:cs="宋体"/>
          <w:b w:val="0"/>
          <w:bCs w:val="0"/>
          <w:color w:val="auto"/>
          <w:sz w:val="24"/>
          <w:szCs w:val="24"/>
          <w:highlight w:val="none"/>
          <w:lang w:val="en-US" w:eastAsia="zh-CN"/>
        </w:rPr>
        <w:t>9</w:t>
      </w:r>
      <w:r>
        <w:rPr>
          <w:rStyle w:val="36"/>
          <w:rFonts w:hint="eastAsia" w:ascii="宋体" w:hAnsi="宋体" w:eastAsia="宋体" w:cs="宋体"/>
          <w:b w:val="0"/>
          <w:bCs w:val="0"/>
          <w:color w:val="auto"/>
          <w:sz w:val="24"/>
          <w:szCs w:val="24"/>
          <w:highlight w:val="none"/>
          <w:lang w:eastAsia="zh-CN"/>
        </w:rPr>
        <w:t>日 1</w:t>
      </w:r>
      <w:r>
        <w:rPr>
          <w:rStyle w:val="36"/>
          <w:rFonts w:hint="eastAsia" w:ascii="宋体" w:hAnsi="宋体" w:eastAsia="宋体" w:cs="宋体"/>
          <w:b w:val="0"/>
          <w:bCs w:val="0"/>
          <w:color w:val="auto"/>
          <w:sz w:val="24"/>
          <w:szCs w:val="24"/>
          <w:highlight w:val="none"/>
          <w:lang w:val="en-US" w:eastAsia="zh-CN"/>
        </w:rPr>
        <w:t>1</w:t>
      </w:r>
      <w:r>
        <w:rPr>
          <w:rStyle w:val="36"/>
          <w:rFonts w:hint="eastAsia" w:ascii="宋体" w:hAnsi="宋体" w:eastAsia="宋体" w:cs="宋体"/>
          <w:b w:val="0"/>
          <w:bCs w:val="0"/>
          <w:color w:val="auto"/>
          <w:sz w:val="24"/>
          <w:szCs w:val="24"/>
          <w:highlight w:val="none"/>
          <w:lang w:eastAsia="zh-CN"/>
        </w:rPr>
        <w:t>:00（</w:t>
      </w:r>
      <w:r>
        <w:rPr>
          <w:rFonts w:hint="eastAsia" w:ascii="宋体" w:hAnsi="宋体" w:eastAsia="宋体" w:cs="宋体"/>
          <w:color w:val="auto"/>
          <w:sz w:val="24"/>
          <w:szCs w:val="24"/>
          <w:highlight w:val="none"/>
        </w:rPr>
        <w:t>北京时间）</w:t>
      </w:r>
      <w:r>
        <w:rPr>
          <w:rStyle w:val="36"/>
          <w:rFonts w:hint="eastAsia" w:ascii="宋体" w:hAnsi="宋体" w:eastAsia="宋体" w:cs="宋体"/>
          <w:b w:val="0"/>
          <w:bCs w:val="0"/>
          <w:color w:val="auto"/>
          <w:sz w:val="24"/>
          <w:szCs w:val="24"/>
          <w:highlight w:val="none"/>
        </w:rPr>
        <w:t>前递交投标文件。</w:t>
      </w:r>
    </w:p>
    <w:p w14:paraId="0F11FC1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1"/>
        <w:rPr>
          <w:rFonts w:hint="eastAsia" w:ascii="宋体" w:hAnsi="宋体" w:eastAsia="宋体" w:cs="宋体"/>
          <w:b/>
          <w:bCs/>
          <w:color w:val="auto"/>
          <w:sz w:val="24"/>
          <w:szCs w:val="24"/>
          <w:highlight w:val="none"/>
        </w:rPr>
      </w:pPr>
      <w:bookmarkStart w:id="3" w:name="_Toc20469"/>
      <w:r>
        <w:rPr>
          <w:rFonts w:hint="eastAsia" w:ascii="宋体" w:hAnsi="宋体" w:eastAsia="宋体" w:cs="宋体"/>
          <w:b/>
          <w:bCs/>
          <w:color w:val="auto"/>
          <w:sz w:val="24"/>
          <w:szCs w:val="24"/>
          <w:highlight w:val="none"/>
        </w:rPr>
        <w:t>一、项目基本情况</w:t>
      </w:r>
      <w:bookmarkEnd w:id="2"/>
      <w:bookmarkEnd w:id="3"/>
    </w:p>
    <w:p w14:paraId="09C9582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hcxj/czt-2025-312</w:t>
      </w:r>
    </w:p>
    <w:p w14:paraId="28319A6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新疆维吾尔自治区兽药饲料监察所实验室辅助设备采购项目</w:t>
      </w:r>
    </w:p>
    <w:p w14:paraId="454193A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采购方式：公开招标</w:t>
      </w:r>
    </w:p>
    <w:p w14:paraId="5A5B3B3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lang w:eastAsia="zh-CN"/>
        </w:rPr>
        <w:t>金额（元）：</w:t>
      </w:r>
      <w:r>
        <w:rPr>
          <w:rFonts w:hint="eastAsia" w:ascii="宋体" w:hAnsi="宋体" w:eastAsia="宋体" w:cs="宋体"/>
          <w:color w:val="auto"/>
          <w:sz w:val="24"/>
          <w:szCs w:val="24"/>
          <w:highlight w:val="none"/>
          <w:lang w:val="en-US" w:eastAsia="zh-CN"/>
        </w:rPr>
        <w:t>283200元</w:t>
      </w:r>
    </w:p>
    <w:p w14:paraId="6318EDA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其中：全自动智能氮吹仪：230000元；真空机械泵：49600元（该设备关联两条预算指标）；涡旋震荡器：3600元 </w:t>
      </w:r>
    </w:p>
    <w:p w14:paraId="29935B7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r>
        <w:rPr>
          <w:rFonts w:hint="eastAsia" w:ascii="宋体" w:hAnsi="宋体" w:eastAsia="宋体" w:cs="宋体"/>
          <w:color w:val="auto"/>
          <w:sz w:val="24"/>
          <w:szCs w:val="24"/>
          <w:highlight w:val="none"/>
          <w:lang w:val="en-US" w:eastAsia="zh-CN"/>
        </w:rPr>
        <w:t>283200元</w:t>
      </w:r>
    </w:p>
    <w:p w14:paraId="34A2B54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其中：全自动智能氮吹仪：230000元；真空机械泵：49600元（该设备关联两条预算指标）；涡旋震荡器：3600元 </w:t>
      </w:r>
    </w:p>
    <w:p w14:paraId="50943C4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4F38C11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标项一:</w:t>
      </w:r>
    </w:p>
    <w:p w14:paraId="09A4ED7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标项名称:新疆维吾尔自治区兽药饲料监察所实验室辅助设备采购项目</w:t>
      </w:r>
    </w:p>
    <w:p w14:paraId="54B3CF5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3台</w:t>
      </w:r>
    </w:p>
    <w:p w14:paraId="54FADCE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p>
    <w:p w14:paraId="0736F30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lang w:eastAsia="zh-CN"/>
        </w:rPr>
        <w:t>金额（元）：</w:t>
      </w:r>
      <w:r>
        <w:rPr>
          <w:rFonts w:hint="eastAsia" w:ascii="宋体" w:hAnsi="宋体" w:eastAsia="宋体" w:cs="宋体"/>
          <w:color w:val="auto"/>
          <w:sz w:val="24"/>
          <w:szCs w:val="24"/>
          <w:highlight w:val="none"/>
          <w:lang w:val="en-US" w:eastAsia="zh-CN"/>
        </w:rPr>
        <w:t>283200元</w:t>
      </w:r>
    </w:p>
    <w:p w14:paraId="25875E3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其中：全自动智能氮吹仪：230000元；真空机械泵：49600元（该设备关联两条预算指标）；涡旋震荡器：3600元 </w:t>
      </w:r>
    </w:p>
    <w:p w14:paraId="1D4E37A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简要规格描述或项目基本概况介绍、用途：用于实验室检测前处理；用于液质沃特世TQ联用仪的真空泵;按压式涡旋震荡。</w:t>
      </w:r>
    </w:p>
    <w:p w14:paraId="63EB91D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备注：</w:t>
      </w:r>
    </w:p>
    <w:p w14:paraId="1D001B4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sz w:val="24"/>
          <w:szCs w:val="24"/>
          <w:highlight w:val="none"/>
          <w:lang w:val="en-US" w:eastAsia="zh-CN"/>
        </w:rPr>
        <w:t>40天</w:t>
      </w:r>
      <w:r>
        <w:rPr>
          <w:rFonts w:hint="eastAsia" w:ascii="宋体" w:hAnsi="宋体" w:eastAsia="宋体" w:cs="宋体"/>
          <w:color w:val="auto"/>
          <w:sz w:val="24"/>
          <w:szCs w:val="24"/>
          <w:highlight w:val="none"/>
        </w:rPr>
        <w:t>。</w:t>
      </w:r>
    </w:p>
    <w:p w14:paraId="51C5A86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w:t>
      </w:r>
    </w:p>
    <w:p w14:paraId="10CC181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1"/>
        <w:rPr>
          <w:rFonts w:hint="eastAsia" w:ascii="宋体" w:hAnsi="宋体" w:eastAsia="宋体" w:cs="宋体"/>
          <w:b/>
          <w:bCs/>
          <w:color w:val="auto"/>
          <w:sz w:val="24"/>
          <w:szCs w:val="24"/>
          <w:highlight w:val="none"/>
        </w:rPr>
      </w:pPr>
      <w:bookmarkStart w:id="4" w:name="_Toc6535"/>
      <w:bookmarkStart w:id="5" w:name="_Toc9491"/>
      <w:r>
        <w:rPr>
          <w:rFonts w:hint="eastAsia" w:ascii="宋体" w:hAnsi="宋体" w:eastAsia="宋体" w:cs="宋体"/>
          <w:b/>
          <w:bCs/>
          <w:color w:val="auto"/>
          <w:sz w:val="24"/>
          <w:szCs w:val="24"/>
          <w:highlight w:val="none"/>
        </w:rPr>
        <w:t>二、申请人的资格要求：</w:t>
      </w:r>
      <w:bookmarkEnd w:id="4"/>
      <w:bookmarkEnd w:id="5"/>
    </w:p>
    <w:p w14:paraId="7160259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bookmarkStart w:id="6" w:name="_Toc11484"/>
      <w:bookmarkStart w:id="7" w:name="_Toc4469"/>
      <w:r>
        <w:rPr>
          <w:rFonts w:hint="eastAsia" w:ascii="宋体" w:hAnsi="宋体" w:eastAsia="宋体" w:cs="宋体"/>
          <w:color w:val="auto"/>
          <w:sz w:val="24"/>
          <w:szCs w:val="24"/>
          <w:highlight w:val="none"/>
        </w:rPr>
        <w:t>1.满足《中华人民共和国政府采购法》第二十二条规定；</w:t>
      </w:r>
    </w:p>
    <w:p w14:paraId="4D531D8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1.1法人或者其他组织的营业执照等证明文件，自然人的身份证明；</w:t>
      </w:r>
    </w:p>
    <w:p w14:paraId="4CEF287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1.2经审计的最近一个年度（2023年度</w:t>
      </w:r>
      <w:r>
        <w:rPr>
          <w:rFonts w:hint="eastAsia" w:ascii="宋体" w:hAnsi="宋体" w:eastAsia="宋体" w:cs="宋体"/>
          <w:color w:val="auto"/>
          <w:sz w:val="24"/>
          <w:szCs w:val="24"/>
          <w:highlight w:val="none"/>
          <w:lang w:val="en-US" w:eastAsia="zh-CN"/>
        </w:rPr>
        <w:t>或2024年度</w:t>
      </w:r>
      <w:r>
        <w:rPr>
          <w:rFonts w:hint="eastAsia" w:ascii="宋体" w:hAnsi="宋体" w:eastAsia="宋体" w:cs="宋体"/>
          <w:color w:val="auto"/>
          <w:sz w:val="24"/>
          <w:szCs w:val="24"/>
          <w:highlight w:val="none"/>
        </w:rPr>
        <w:t>）的财务状况报告或银行资信证明（成立不满一年不需提供）；</w:t>
      </w:r>
    </w:p>
    <w:p w14:paraId="62DC5BA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50D5D1A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1.4具备履行合同所必需的设备和专业技术能力的证明材料或承诺函；</w:t>
      </w:r>
    </w:p>
    <w:p w14:paraId="3C417BE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1.5参加政府采购活动前3年内在经营活动中没有重大违法记录的书面声明；</w:t>
      </w:r>
    </w:p>
    <w:p w14:paraId="49E1C34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2.落实政府采购政策需满足的资格要求：本项目为专门面向中小企业（含中型、小型、微型企业）采购项目。</w:t>
      </w:r>
    </w:p>
    <w:p w14:paraId="281655C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（1）财政部《关于进一步加大政府采购支持中小企业力度的通知》（财库〔2022〕19号）、《政府采购促进中小企业发展管理办法》（财库﹝2020﹞46 号）；</w:t>
      </w:r>
    </w:p>
    <w:p w14:paraId="2CA36EB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（2）《关于政府采购支持监狱企业发展有关问题的通知》（财库[2014]68号）；</w:t>
      </w:r>
    </w:p>
    <w:p w14:paraId="7608C4C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（3）《三部门联合发布关于促进残疾人就业政府采购政策的通知》（财库[2017]141 号）。</w:t>
      </w:r>
    </w:p>
    <w:p w14:paraId="4A39851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1A4368B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4.其它：</w:t>
      </w:r>
    </w:p>
    <w:p w14:paraId="7CC4AFA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体信用记录符合政府采购活动要求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w:t>
      </w:r>
    </w:p>
    <w:p w14:paraId="792D65C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（2）其他说明：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CE0BA2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（3）本项目不接受联合体投标。</w:t>
      </w:r>
    </w:p>
    <w:p w14:paraId="00FACAD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bookmarkEnd w:id="6"/>
      <w:bookmarkEnd w:id="7"/>
    </w:p>
    <w:p w14:paraId="5CC4F6D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 06月1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日至2025年06月2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，每天上午0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:00至12:00，下午12:00至</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（北京时间，法定节假日除外）</w:t>
      </w:r>
    </w:p>
    <w:p w14:paraId="2A93831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地点：新疆政府采购云平台https://www.zcygov.cn/线上获取</w:t>
      </w:r>
    </w:p>
    <w:p w14:paraId="071643C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4140E2F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71B91D3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1"/>
        <w:rPr>
          <w:rFonts w:hint="eastAsia" w:ascii="宋体" w:hAnsi="宋体" w:eastAsia="宋体" w:cs="宋体"/>
          <w:b/>
          <w:bCs/>
          <w:color w:val="auto"/>
          <w:sz w:val="24"/>
          <w:szCs w:val="24"/>
          <w:highlight w:val="none"/>
        </w:rPr>
      </w:pPr>
      <w:bookmarkStart w:id="8" w:name="_Toc25587"/>
      <w:bookmarkStart w:id="9" w:name="_Toc29004"/>
      <w:r>
        <w:rPr>
          <w:rFonts w:hint="eastAsia" w:ascii="宋体" w:hAnsi="宋体" w:eastAsia="宋体" w:cs="宋体"/>
          <w:b/>
          <w:bCs/>
          <w:color w:val="auto"/>
          <w:sz w:val="24"/>
          <w:szCs w:val="24"/>
          <w:highlight w:val="none"/>
        </w:rPr>
        <w:t>四、提交投标文件截止时间、开标时间和地点</w:t>
      </w:r>
      <w:bookmarkEnd w:id="8"/>
      <w:bookmarkEnd w:id="9"/>
    </w:p>
    <w:p w14:paraId="3BF9CC6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Style w:val="36"/>
          <w:rFonts w:hint="eastAsia" w:ascii="宋体" w:hAnsi="宋体" w:eastAsia="宋体" w:cs="宋体"/>
          <w:b w:val="0"/>
          <w:bCs w:val="0"/>
          <w:color w:val="auto"/>
          <w:sz w:val="24"/>
          <w:szCs w:val="24"/>
          <w:highlight w:val="none"/>
          <w:lang w:eastAsia="zh-CN"/>
        </w:rPr>
        <w:t>2025年07月0</w:t>
      </w:r>
      <w:r>
        <w:rPr>
          <w:rStyle w:val="36"/>
          <w:rFonts w:hint="eastAsia" w:ascii="宋体" w:hAnsi="宋体" w:eastAsia="宋体" w:cs="宋体"/>
          <w:b w:val="0"/>
          <w:bCs w:val="0"/>
          <w:color w:val="auto"/>
          <w:sz w:val="24"/>
          <w:szCs w:val="24"/>
          <w:highlight w:val="none"/>
          <w:lang w:val="en-US" w:eastAsia="zh-CN"/>
        </w:rPr>
        <w:t>9</w:t>
      </w:r>
      <w:r>
        <w:rPr>
          <w:rStyle w:val="36"/>
          <w:rFonts w:hint="eastAsia" w:ascii="宋体" w:hAnsi="宋体" w:eastAsia="宋体" w:cs="宋体"/>
          <w:b w:val="0"/>
          <w:bCs w:val="0"/>
          <w:color w:val="auto"/>
          <w:sz w:val="24"/>
          <w:szCs w:val="24"/>
          <w:highlight w:val="none"/>
          <w:lang w:eastAsia="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rPr>
        <w:t>（北京时间）</w:t>
      </w:r>
    </w:p>
    <w:p w14:paraId="54BF0DC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投标地点：政采云平台（https://www.zcygov.cn/），本项目采用不见面开标，加密的电子投标文件在投标截止时间前CA在政采云平台上传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逾期未上传的或不符合规定的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文件将被拒绝接收）。</w:t>
      </w:r>
    </w:p>
    <w:p w14:paraId="558B605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Style w:val="36"/>
          <w:rFonts w:hint="eastAsia" w:ascii="宋体" w:hAnsi="宋体" w:eastAsia="宋体" w:cs="宋体"/>
          <w:b w:val="0"/>
          <w:bCs w:val="0"/>
          <w:color w:val="auto"/>
          <w:sz w:val="24"/>
          <w:szCs w:val="24"/>
          <w:highlight w:val="none"/>
          <w:lang w:eastAsia="zh-CN"/>
        </w:rPr>
        <w:t>2025年07月0</w:t>
      </w:r>
      <w:r>
        <w:rPr>
          <w:rStyle w:val="36"/>
          <w:rFonts w:hint="eastAsia" w:ascii="宋体" w:hAnsi="宋体" w:eastAsia="宋体" w:cs="宋体"/>
          <w:b w:val="0"/>
          <w:bCs w:val="0"/>
          <w:color w:val="auto"/>
          <w:sz w:val="24"/>
          <w:szCs w:val="24"/>
          <w:highlight w:val="none"/>
          <w:lang w:val="en-US" w:eastAsia="zh-CN"/>
        </w:rPr>
        <w:t>9</w:t>
      </w:r>
      <w:r>
        <w:rPr>
          <w:rStyle w:val="36"/>
          <w:rFonts w:hint="eastAsia" w:ascii="宋体" w:hAnsi="宋体" w:eastAsia="宋体" w:cs="宋体"/>
          <w:b w:val="0"/>
          <w:bCs w:val="0"/>
          <w:color w:val="auto"/>
          <w:sz w:val="24"/>
          <w:szCs w:val="24"/>
          <w:highlight w:val="none"/>
          <w:lang w:eastAsia="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rPr>
        <w:t>（北京时间）</w:t>
      </w:r>
    </w:p>
    <w:p w14:paraId="7E96BE9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开标地点：政采云平台https://www.zcygov.cn/</w:t>
      </w:r>
      <w:r>
        <w:rPr>
          <w:rFonts w:hint="eastAsia" w:ascii="宋体" w:hAnsi="宋体" w:eastAsia="宋体" w:cs="宋体"/>
          <w:color w:val="auto"/>
          <w:sz w:val="24"/>
          <w:highlight w:val="none"/>
        </w:rPr>
        <w:t>（本项目采用不见面开标，加密的电子响应文件在开标时间前通过CA在政采云平台上传）。</w:t>
      </w:r>
    </w:p>
    <w:p w14:paraId="768F3D6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1"/>
        <w:rPr>
          <w:rFonts w:hint="eastAsia" w:ascii="宋体" w:hAnsi="宋体" w:eastAsia="宋体" w:cs="宋体"/>
          <w:b/>
          <w:bCs/>
          <w:color w:val="auto"/>
          <w:sz w:val="24"/>
          <w:szCs w:val="24"/>
          <w:highlight w:val="none"/>
        </w:rPr>
      </w:pPr>
      <w:bookmarkStart w:id="10" w:name="_Toc13916"/>
      <w:bookmarkStart w:id="11" w:name="_Toc27206"/>
      <w:r>
        <w:rPr>
          <w:rFonts w:hint="eastAsia" w:ascii="宋体" w:hAnsi="宋体" w:eastAsia="宋体" w:cs="宋体"/>
          <w:b/>
          <w:bCs/>
          <w:color w:val="auto"/>
          <w:sz w:val="24"/>
          <w:szCs w:val="24"/>
          <w:highlight w:val="none"/>
        </w:rPr>
        <w:t>五、公告期限</w:t>
      </w:r>
      <w:bookmarkEnd w:id="10"/>
      <w:bookmarkEnd w:id="11"/>
    </w:p>
    <w:p w14:paraId="6DADB02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2072208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1"/>
        <w:rPr>
          <w:rFonts w:hint="eastAsia" w:ascii="宋体" w:hAnsi="宋体" w:eastAsia="宋体" w:cs="宋体"/>
          <w:b/>
          <w:bCs/>
          <w:color w:val="auto"/>
          <w:sz w:val="24"/>
          <w:szCs w:val="24"/>
          <w:highlight w:val="none"/>
        </w:rPr>
      </w:pPr>
      <w:bookmarkStart w:id="12" w:name="_Toc14151"/>
      <w:bookmarkStart w:id="13" w:name="_Toc24459"/>
      <w:r>
        <w:rPr>
          <w:rFonts w:hint="eastAsia" w:ascii="宋体" w:hAnsi="宋体" w:eastAsia="宋体" w:cs="宋体"/>
          <w:b/>
          <w:bCs/>
          <w:color w:val="auto"/>
          <w:sz w:val="24"/>
          <w:szCs w:val="24"/>
          <w:highlight w:val="none"/>
        </w:rPr>
        <w:t>六、其他补充事宜</w:t>
      </w:r>
      <w:bookmarkEnd w:id="12"/>
      <w:bookmarkEnd w:id="13"/>
    </w:p>
    <w:p w14:paraId="031EB7CC">
      <w:pPr>
        <w:pStyle w:val="10"/>
        <w:keepNext w:val="0"/>
        <w:keepLines w:val="0"/>
        <w:pageBreakBefore w:val="0"/>
        <w:kinsoku/>
        <w:wordWrap/>
        <w:overflowPunct/>
        <w:topLinePunct w:val="0"/>
        <w:autoSpaceDE w:val="0"/>
        <w:autoSpaceDN w:val="0"/>
        <w:bidi w:val="0"/>
        <w:spacing w:before="0" w:beforeAutospacing="0" w:afterAutospacing="0" w:line="460" w:lineRule="exact"/>
        <w:ind w:left="0" w:leftChars="0" w:right="0" w:rightChars="0" w:firstLine="480" w:firstLineChars="200"/>
        <w:textAlignment w:val="auto"/>
        <w:rPr>
          <w:rStyle w:val="36"/>
          <w:rFonts w:hint="eastAsia" w:ascii="宋体" w:hAnsi="宋体" w:eastAsia="宋体" w:cs="宋体"/>
          <w:b w:val="0"/>
          <w:bCs w:val="0"/>
          <w:color w:val="auto"/>
          <w:sz w:val="24"/>
          <w:szCs w:val="24"/>
          <w:highlight w:val="none"/>
          <w:lang w:val="zh-CN" w:eastAsia="zh-CN" w:bidi="zh-CN"/>
        </w:rPr>
      </w:pPr>
      <w:bookmarkStart w:id="14" w:name="_Toc28291"/>
      <w:r>
        <w:rPr>
          <w:rStyle w:val="36"/>
          <w:rFonts w:hint="eastAsia" w:ascii="宋体" w:hAnsi="宋体" w:eastAsia="宋体" w:cs="宋体"/>
          <w:b w:val="0"/>
          <w:bCs w:val="0"/>
          <w:color w:val="auto"/>
          <w:sz w:val="24"/>
          <w:szCs w:val="24"/>
          <w:highlight w:val="none"/>
          <w:lang w:val="en-US" w:eastAsia="zh-CN" w:bidi="zh-CN"/>
        </w:rPr>
        <w:t>1、</w:t>
      </w:r>
      <w:r>
        <w:rPr>
          <w:rStyle w:val="36"/>
          <w:rFonts w:hint="eastAsia" w:ascii="宋体" w:hAnsi="宋体" w:eastAsia="宋体" w:cs="宋体"/>
          <w:b w:val="0"/>
          <w:bCs w:val="0"/>
          <w:color w:val="auto"/>
          <w:sz w:val="24"/>
          <w:szCs w:val="24"/>
          <w:highlight w:val="none"/>
          <w:lang w:val="zh-CN" w:eastAsia="zh-CN" w:bidi="zh-CN"/>
        </w:rPr>
        <w:t>本公告在新疆政府采购网发布。</w:t>
      </w:r>
    </w:p>
    <w:p w14:paraId="57A7ADF6">
      <w:pPr>
        <w:pStyle w:val="10"/>
        <w:keepNext w:val="0"/>
        <w:keepLines w:val="0"/>
        <w:pageBreakBefore w:val="0"/>
        <w:kinsoku/>
        <w:wordWrap/>
        <w:overflowPunct/>
        <w:topLinePunct w:val="0"/>
        <w:autoSpaceDE w:val="0"/>
        <w:autoSpaceDN w:val="0"/>
        <w:bidi w:val="0"/>
        <w:spacing w:before="0" w:beforeAutospacing="0" w:afterAutospacing="0" w:line="460" w:lineRule="exact"/>
        <w:ind w:left="0" w:leftChars="0" w:right="0" w:rightChars="0" w:firstLine="480" w:firstLineChars="200"/>
        <w:textAlignment w:val="auto"/>
        <w:rPr>
          <w:rStyle w:val="36"/>
          <w:rFonts w:hint="eastAsia" w:ascii="宋体" w:hAnsi="宋体" w:eastAsia="宋体" w:cs="宋体"/>
          <w:b w:val="0"/>
          <w:bCs w:val="0"/>
          <w:color w:val="auto"/>
          <w:sz w:val="24"/>
          <w:szCs w:val="24"/>
          <w:highlight w:val="none"/>
          <w:lang w:val="zh-CN" w:eastAsia="zh-CN" w:bidi="zh-CN"/>
        </w:rPr>
      </w:pPr>
      <w:r>
        <w:rPr>
          <w:rStyle w:val="36"/>
          <w:rFonts w:hint="eastAsia" w:ascii="宋体" w:hAnsi="宋体" w:eastAsia="宋体" w:cs="宋体"/>
          <w:b w:val="0"/>
          <w:bCs w:val="0"/>
          <w:color w:val="auto"/>
          <w:sz w:val="24"/>
          <w:szCs w:val="24"/>
          <w:highlight w:val="none"/>
          <w:lang w:val="en-US" w:eastAsia="zh-CN" w:bidi="zh-CN"/>
        </w:rPr>
        <w:t>2、</w:t>
      </w:r>
      <w:r>
        <w:rPr>
          <w:rStyle w:val="36"/>
          <w:rFonts w:hint="eastAsia" w:ascii="宋体" w:hAnsi="宋体" w:eastAsia="宋体" w:cs="宋体"/>
          <w:b w:val="0"/>
          <w:bCs w:val="0"/>
          <w:color w:val="auto"/>
          <w:sz w:val="24"/>
          <w:szCs w:val="24"/>
          <w:highlight w:val="none"/>
          <w:lang w:val="zh-CN" w:eastAsia="zh-CN" w:bidi="zh-CN"/>
        </w:rPr>
        <w:t>请各投标人随时关注本项目的变更、答疑、澄清文件。</w:t>
      </w:r>
    </w:p>
    <w:p w14:paraId="041C85B6">
      <w:pPr>
        <w:pStyle w:val="10"/>
        <w:keepNext w:val="0"/>
        <w:keepLines w:val="0"/>
        <w:pageBreakBefore w:val="0"/>
        <w:kinsoku/>
        <w:wordWrap/>
        <w:overflowPunct/>
        <w:topLinePunct w:val="0"/>
        <w:autoSpaceDE w:val="0"/>
        <w:autoSpaceDN w:val="0"/>
        <w:bidi w:val="0"/>
        <w:spacing w:before="0" w:beforeAutospacing="0" w:afterAutospacing="0" w:line="460" w:lineRule="exact"/>
        <w:ind w:left="0" w:leftChars="0" w:right="0" w:rightChars="0" w:firstLine="480" w:firstLineChars="200"/>
        <w:textAlignment w:val="auto"/>
        <w:rPr>
          <w:rStyle w:val="36"/>
          <w:rFonts w:hint="eastAsia" w:ascii="宋体" w:hAnsi="宋体" w:eastAsia="宋体" w:cs="宋体"/>
          <w:b w:val="0"/>
          <w:bCs w:val="0"/>
          <w:color w:val="auto"/>
          <w:sz w:val="24"/>
          <w:szCs w:val="24"/>
          <w:highlight w:val="none"/>
          <w:lang w:val="zh-CN" w:eastAsia="zh-CN" w:bidi="zh-CN"/>
        </w:rPr>
      </w:pPr>
      <w:r>
        <w:rPr>
          <w:rStyle w:val="36"/>
          <w:rFonts w:hint="eastAsia" w:ascii="宋体" w:hAnsi="宋体" w:eastAsia="宋体" w:cs="宋体"/>
          <w:b w:val="0"/>
          <w:bCs w:val="0"/>
          <w:color w:val="auto"/>
          <w:sz w:val="24"/>
          <w:szCs w:val="24"/>
          <w:highlight w:val="none"/>
          <w:lang w:val="en-US" w:eastAsia="zh-CN" w:bidi="zh-CN"/>
        </w:rPr>
        <w:t>3、</w:t>
      </w:r>
      <w:r>
        <w:rPr>
          <w:rStyle w:val="36"/>
          <w:rFonts w:hint="eastAsia" w:ascii="宋体" w:hAnsi="宋体" w:eastAsia="宋体" w:cs="宋体"/>
          <w:b w:val="0"/>
          <w:bCs w:val="0"/>
          <w:color w:val="auto"/>
          <w:sz w:val="24"/>
          <w:szCs w:val="24"/>
          <w:highlight w:val="none"/>
          <w:lang w:val="zh-CN" w:eastAsia="zh-CN" w:bidi="zh-CN"/>
        </w:rPr>
        <w:t>本项目实行电子招投标，投标人须登录政采云平台申请获取招标文件，并通过政采云电子投标客户端制作投标文件，同时自行承担与投标有关的一切费用。各投标人应在开标前确保成为新疆维吾尔自治区政府采购网正式注册入库投标人，并完成CA数字证书申领。因未注册入库、未办理CA数字证书等原因造成无法投标或投标失败等后果由投标人自行承担。　</w:t>
      </w:r>
    </w:p>
    <w:p w14:paraId="34BBD64C">
      <w:pPr>
        <w:pStyle w:val="10"/>
        <w:keepNext w:val="0"/>
        <w:keepLines w:val="0"/>
        <w:pageBreakBefore w:val="0"/>
        <w:kinsoku/>
        <w:wordWrap/>
        <w:overflowPunct/>
        <w:topLinePunct w:val="0"/>
        <w:autoSpaceDE w:val="0"/>
        <w:autoSpaceDN w:val="0"/>
        <w:bidi w:val="0"/>
        <w:spacing w:before="0" w:beforeAutospacing="0" w:afterAutospacing="0" w:line="460" w:lineRule="exact"/>
        <w:ind w:left="0" w:leftChars="0" w:right="0" w:rightChars="0" w:firstLine="480" w:firstLineChars="200"/>
        <w:textAlignment w:val="auto"/>
        <w:rPr>
          <w:rStyle w:val="36"/>
          <w:rFonts w:hint="eastAsia" w:ascii="宋体" w:hAnsi="宋体" w:eastAsia="宋体" w:cs="宋体"/>
          <w:b w:val="0"/>
          <w:bCs w:val="0"/>
          <w:color w:val="auto"/>
          <w:sz w:val="24"/>
          <w:szCs w:val="24"/>
          <w:highlight w:val="none"/>
          <w:lang w:val="zh-CN" w:eastAsia="zh-CN" w:bidi="zh-CN"/>
        </w:rPr>
      </w:pPr>
      <w:r>
        <w:rPr>
          <w:rStyle w:val="36"/>
          <w:rFonts w:hint="eastAsia" w:ascii="宋体" w:hAnsi="宋体" w:eastAsia="宋体" w:cs="宋体"/>
          <w:b w:val="0"/>
          <w:bCs w:val="0"/>
          <w:color w:val="auto"/>
          <w:sz w:val="24"/>
          <w:szCs w:val="24"/>
          <w:highlight w:val="none"/>
          <w:lang w:val="en-US" w:eastAsia="zh-CN" w:bidi="zh-CN"/>
        </w:rPr>
        <w:t>4、</w:t>
      </w:r>
      <w:r>
        <w:rPr>
          <w:rStyle w:val="36"/>
          <w:rFonts w:hint="eastAsia" w:ascii="宋体" w:hAnsi="宋体" w:eastAsia="宋体" w:cs="宋体"/>
          <w:b w:val="0"/>
          <w:bCs w:val="0"/>
          <w:color w:val="auto"/>
          <w:sz w:val="24"/>
          <w:szCs w:val="24"/>
          <w:highlight w:val="none"/>
          <w:lang w:val="zh-CN" w:eastAsia="zh-CN" w:bidi="zh-CN"/>
        </w:rPr>
        <w:t>投标人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进行咨询。</w:t>
      </w:r>
    </w:p>
    <w:p w14:paraId="6FD762B4">
      <w:pPr>
        <w:pStyle w:val="10"/>
        <w:keepNext w:val="0"/>
        <w:keepLines w:val="0"/>
        <w:pageBreakBefore w:val="0"/>
        <w:kinsoku/>
        <w:wordWrap/>
        <w:overflowPunct/>
        <w:topLinePunct w:val="0"/>
        <w:autoSpaceDE w:val="0"/>
        <w:autoSpaceDN w:val="0"/>
        <w:bidi w:val="0"/>
        <w:spacing w:before="0" w:beforeAutospacing="0" w:afterAutospacing="0" w:line="460" w:lineRule="exact"/>
        <w:ind w:left="0" w:leftChars="0" w:right="0" w:rightChars="0" w:firstLine="480" w:firstLineChars="200"/>
        <w:textAlignment w:val="auto"/>
        <w:rPr>
          <w:rStyle w:val="36"/>
          <w:rFonts w:hint="eastAsia" w:ascii="宋体" w:hAnsi="宋体" w:eastAsia="宋体" w:cs="宋体"/>
          <w:b w:val="0"/>
          <w:bCs w:val="0"/>
          <w:color w:val="auto"/>
          <w:sz w:val="24"/>
          <w:szCs w:val="24"/>
          <w:highlight w:val="none"/>
          <w:lang w:val="zh-CN" w:eastAsia="zh-CN" w:bidi="zh-CN"/>
        </w:rPr>
      </w:pPr>
      <w:r>
        <w:rPr>
          <w:rStyle w:val="36"/>
          <w:rFonts w:hint="eastAsia" w:ascii="宋体" w:hAnsi="宋体" w:eastAsia="宋体" w:cs="宋体"/>
          <w:b w:val="0"/>
          <w:bCs w:val="0"/>
          <w:color w:val="auto"/>
          <w:sz w:val="24"/>
          <w:szCs w:val="24"/>
          <w:highlight w:val="none"/>
          <w:lang w:val="en-US" w:eastAsia="zh-CN" w:bidi="zh-CN"/>
        </w:rPr>
        <w:t>5、</w:t>
      </w:r>
      <w:r>
        <w:rPr>
          <w:rStyle w:val="36"/>
          <w:rFonts w:hint="eastAsia" w:ascii="宋体" w:hAnsi="宋体" w:eastAsia="宋体" w:cs="宋体"/>
          <w:b w:val="0"/>
          <w:bCs w:val="0"/>
          <w:color w:val="auto"/>
          <w:sz w:val="24"/>
          <w:szCs w:val="24"/>
          <w:highlight w:val="none"/>
          <w:lang w:val="zh-CN" w:eastAsia="zh-CN" w:bidi="zh-CN"/>
        </w:rPr>
        <w:t>本项目采用不见面开标，投标人须在投标截止时间前通过CA在政采云平台上传加密的电子投标文件。</w:t>
      </w:r>
    </w:p>
    <w:p w14:paraId="1C93A5A3">
      <w:pPr>
        <w:pStyle w:val="10"/>
        <w:keepNext w:val="0"/>
        <w:keepLines w:val="0"/>
        <w:pageBreakBefore w:val="0"/>
        <w:kinsoku/>
        <w:wordWrap/>
        <w:overflowPunct/>
        <w:topLinePunct w:val="0"/>
        <w:autoSpaceDE w:val="0"/>
        <w:autoSpaceDN w:val="0"/>
        <w:bidi w:val="0"/>
        <w:spacing w:before="0" w:beforeAutospacing="0" w:afterAutospacing="0" w:line="460" w:lineRule="exact"/>
        <w:ind w:left="0" w:leftChars="0" w:right="0" w:rightChars="0" w:firstLine="480" w:firstLineChars="200"/>
        <w:textAlignment w:val="auto"/>
        <w:rPr>
          <w:rStyle w:val="36"/>
          <w:rFonts w:hint="eastAsia" w:ascii="宋体" w:hAnsi="宋体" w:eastAsia="宋体" w:cs="宋体"/>
          <w:b w:val="0"/>
          <w:bCs w:val="0"/>
          <w:color w:val="auto"/>
          <w:sz w:val="24"/>
          <w:szCs w:val="24"/>
          <w:highlight w:val="none"/>
          <w:lang w:val="zh-CN" w:eastAsia="zh-CN" w:bidi="zh-CN"/>
        </w:rPr>
      </w:pPr>
      <w:r>
        <w:rPr>
          <w:rStyle w:val="36"/>
          <w:rFonts w:hint="eastAsia" w:ascii="宋体" w:hAnsi="宋体" w:eastAsia="宋体" w:cs="宋体"/>
          <w:b w:val="0"/>
          <w:bCs w:val="0"/>
          <w:color w:val="auto"/>
          <w:sz w:val="24"/>
          <w:szCs w:val="24"/>
          <w:highlight w:val="none"/>
          <w:lang w:val="en-US" w:eastAsia="zh-CN" w:bidi="zh-CN"/>
        </w:rPr>
        <w:t>6、</w:t>
      </w:r>
      <w:r>
        <w:rPr>
          <w:rStyle w:val="36"/>
          <w:rFonts w:hint="eastAsia" w:ascii="宋体" w:hAnsi="宋体" w:eastAsia="宋体" w:cs="宋体"/>
          <w:b w:val="0"/>
          <w:bCs w:val="0"/>
          <w:color w:val="auto"/>
          <w:sz w:val="24"/>
          <w:szCs w:val="24"/>
          <w:highlight w:val="none"/>
          <w:lang w:val="zh-CN" w:eastAsia="zh-CN" w:bidi="zh-CN"/>
        </w:rPr>
        <w:t>投标人在开标前须提前配置好电脑浏览器（建议使用360浏览器或谷歌浏览器），开标时请使用制作加密电子投标文件的CA锁进行解密及报价确认。本项目投标文件解密时间定为30分钟，如因自身原因导致无法正常解密，后果由投标人自行承担。</w:t>
      </w:r>
    </w:p>
    <w:p w14:paraId="69C5383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1"/>
        <w:rPr>
          <w:rFonts w:hint="eastAsia" w:ascii="宋体" w:hAnsi="宋体" w:eastAsia="宋体" w:cs="宋体"/>
          <w:b/>
          <w:bCs/>
          <w:color w:val="auto"/>
          <w:sz w:val="24"/>
          <w:szCs w:val="24"/>
          <w:highlight w:val="none"/>
        </w:rPr>
      </w:pPr>
      <w:bookmarkStart w:id="15" w:name="_Toc8719"/>
      <w:r>
        <w:rPr>
          <w:rFonts w:hint="eastAsia" w:ascii="宋体" w:hAnsi="宋体" w:eastAsia="宋体" w:cs="宋体"/>
          <w:b/>
          <w:bCs/>
          <w:color w:val="auto"/>
          <w:sz w:val="24"/>
          <w:szCs w:val="24"/>
          <w:highlight w:val="none"/>
        </w:rPr>
        <w:t>七、对本次采购提出询问，请按以下方式联系</w:t>
      </w:r>
      <w:bookmarkEnd w:id="14"/>
      <w:bookmarkEnd w:id="15"/>
    </w:p>
    <w:p w14:paraId="7EF54E14">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5DED522">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采购人：新疆维吾尔自治区兽药饲料监察所 </w:t>
      </w:r>
    </w:p>
    <w:p w14:paraId="069C494D">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址：乌鲁木齐市水磨沟区南湖西路37号</w:t>
      </w:r>
    </w:p>
    <w:p w14:paraId="2706042A">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联系人：王承</w:t>
      </w:r>
    </w:p>
    <w:p w14:paraId="357E9FEC">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联系电话：0991-4614196</w:t>
      </w:r>
    </w:p>
    <w:p w14:paraId="027FB8E3">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w:t>
      </w:r>
    </w:p>
    <w:p w14:paraId="3332C312">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称：华春建设工程项目管理有限责任公司</w:t>
      </w:r>
    </w:p>
    <w:p w14:paraId="7147C351">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址：新疆乌鲁木齐市水磨沟区浙商大厦15楼1505室</w:t>
      </w:r>
    </w:p>
    <w:p w14:paraId="006DB450">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孔伟国、周惠、冯建正</w:t>
      </w:r>
    </w:p>
    <w:p w14:paraId="63DFD9DD">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 0991-2629781、18097782413 </w:t>
      </w:r>
    </w:p>
    <w:p w14:paraId="3725F1BD">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3DABBA39">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孔伟国、周惠、冯建正</w:t>
      </w:r>
    </w:p>
    <w:p w14:paraId="5EC059C9">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0991-2629781、18097782413</w:t>
      </w:r>
    </w:p>
    <w:p w14:paraId="14FC5A72">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邮箱：914668448@qq.com</w:t>
      </w:r>
      <w:r>
        <w:rPr>
          <w:rFonts w:hint="eastAsia" w:ascii="宋体" w:hAnsi="宋体" w:eastAsia="宋体" w:cs="宋体"/>
          <w:color w:val="auto"/>
          <w:sz w:val="24"/>
          <w:szCs w:val="24"/>
          <w:highlight w:val="none"/>
        </w:rPr>
        <w:br w:type="page"/>
      </w:r>
    </w:p>
    <w:p w14:paraId="1639116C">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jc w:val="center"/>
        <w:textAlignment w:val="auto"/>
        <w:rPr>
          <w:rFonts w:hint="eastAsia" w:ascii="宋体" w:hAnsi="宋体" w:eastAsia="宋体" w:cs="宋体"/>
          <w:color w:val="auto"/>
          <w:sz w:val="32"/>
          <w:szCs w:val="32"/>
          <w:highlight w:val="none"/>
        </w:rPr>
      </w:pPr>
      <w:bookmarkStart w:id="16" w:name="_Toc18318"/>
      <w:bookmarkStart w:id="17" w:name="_Toc29573"/>
      <w:r>
        <w:rPr>
          <w:rFonts w:hint="eastAsia" w:ascii="宋体" w:hAnsi="宋体" w:eastAsia="宋体" w:cs="宋体"/>
          <w:color w:val="auto"/>
          <w:sz w:val="32"/>
          <w:szCs w:val="32"/>
          <w:highlight w:val="none"/>
        </w:rPr>
        <w:t>投标须知前附表</w:t>
      </w:r>
      <w:bookmarkEnd w:id="16"/>
      <w:bookmarkEnd w:id="17"/>
    </w:p>
    <w:p w14:paraId="4EBEAA2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本表是本招标项目的具体资料，是对投标人须知的具体补充和修改，如有矛盾，应以本前附表为准。</w:t>
      </w:r>
    </w:p>
    <w:tbl>
      <w:tblPr>
        <w:tblStyle w:val="34"/>
        <w:tblW w:w="903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23"/>
        <w:gridCol w:w="8012"/>
      </w:tblGrid>
      <w:tr w14:paraId="2A94AA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7E3631A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lang w:val="en-US" w:eastAsia="zh-CN"/>
              </w:rPr>
              <w:t>条款号</w:t>
            </w:r>
          </w:p>
        </w:tc>
        <w:tc>
          <w:tcPr>
            <w:tcW w:w="8012" w:type="dxa"/>
            <w:tcBorders>
              <w:tl2br w:val="nil"/>
              <w:tr2bl w:val="nil"/>
            </w:tcBorders>
          </w:tcPr>
          <w:p w14:paraId="55E2777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lang w:val="en-US" w:eastAsia="zh-CN"/>
              </w:rPr>
              <w:t>内容</w:t>
            </w:r>
          </w:p>
        </w:tc>
      </w:tr>
      <w:tr w14:paraId="5C3761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035" w:type="dxa"/>
            <w:gridSpan w:val="2"/>
            <w:tcBorders>
              <w:tl2br w:val="nil"/>
              <w:tr2bl w:val="nil"/>
            </w:tcBorders>
            <w:vAlign w:val="center"/>
          </w:tcPr>
          <w:p w14:paraId="04480DD3">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w:t>
            </w:r>
            <w:r>
              <w:rPr>
                <w:rStyle w:val="36"/>
                <w:rFonts w:hint="eastAsia" w:ascii="宋体" w:hAnsi="宋体" w:eastAsia="宋体" w:cs="宋体"/>
                <w:b w:val="0"/>
                <w:bCs w:val="0"/>
                <w:color w:val="auto"/>
                <w:sz w:val="24"/>
                <w:szCs w:val="24"/>
                <w:highlight w:val="none"/>
                <w:lang w:val="en-US" w:eastAsia="zh-CN"/>
              </w:rPr>
              <w:t>新疆维吾尔自治区兽药饲料监察所实验室辅助设备采购项目</w:t>
            </w:r>
          </w:p>
        </w:tc>
      </w:tr>
      <w:tr w14:paraId="184A99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035" w:type="dxa"/>
            <w:gridSpan w:val="2"/>
            <w:tcBorders>
              <w:tl2br w:val="nil"/>
              <w:tr2bl w:val="nil"/>
            </w:tcBorders>
            <w:vAlign w:val="center"/>
          </w:tcPr>
          <w:p w14:paraId="38ECBD34">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hcxj/czt-2025-312</w:t>
            </w:r>
          </w:p>
        </w:tc>
      </w:tr>
      <w:tr w14:paraId="3341CF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33E067A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8012" w:type="dxa"/>
            <w:tcBorders>
              <w:tl2br w:val="nil"/>
              <w:tr2bl w:val="nil"/>
            </w:tcBorders>
            <w:vAlign w:val="center"/>
          </w:tcPr>
          <w:p w14:paraId="1C32A3E0">
            <w:pPr>
              <w:keepNext w:val="0"/>
              <w:keepLines w:val="0"/>
              <w:pageBreakBefore w:val="0"/>
              <w:overflowPunct/>
              <w:topLinePunct w:val="0"/>
              <w:bidi w:val="0"/>
              <w:spacing w:beforeAutospacing="0" w:afterAutospacing="0" w:line="460" w:lineRule="exact"/>
              <w:ind w:right="0" w:right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 xml:space="preserve">采购人：新疆维吾尔自治区兽药饲料监察所 </w:t>
            </w:r>
          </w:p>
          <w:p w14:paraId="1FB81CF1">
            <w:pPr>
              <w:keepNext w:val="0"/>
              <w:keepLines w:val="0"/>
              <w:pageBreakBefore w:val="0"/>
              <w:overflowPunct/>
              <w:topLinePunct w:val="0"/>
              <w:bidi w:val="0"/>
              <w:spacing w:beforeAutospacing="0" w:afterAutospacing="0" w:line="460" w:lineRule="exact"/>
              <w:ind w:right="0" w:right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地  址：乌鲁木齐市水磨沟区南湖西路37号</w:t>
            </w:r>
          </w:p>
          <w:p w14:paraId="09BFA6D3">
            <w:pPr>
              <w:keepNext w:val="0"/>
              <w:keepLines w:val="0"/>
              <w:pageBreakBefore w:val="0"/>
              <w:overflowPunct/>
              <w:topLinePunct w:val="0"/>
              <w:bidi w:val="0"/>
              <w:spacing w:beforeAutospacing="0" w:afterAutospacing="0" w:line="460" w:lineRule="exact"/>
              <w:ind w:right="0" w:right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联系人：王承</w:t>
            </w:r>
          </w:p>
          <w:p w14:paraId="3DB01C6A">
            <w:pPr>
              <w:keepNext w:val="0"/>
              <w:keepLines w:val="0"/>
              <w:pageBreakBefore w:val="0"/>
              <w:overflowPunct/>
              <w:topLinePunct w:val="0"/>
              <w:bidi w:val="0"/>
              <w:spacing w:beforeAutospacing="0" w:afterAutospacing="0" w:line="460" w:lineRule="exact"/>
              <w:ind w:right="0" w:right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联系电话：0991-4614196</w:t>
            </w:r>
          </w:p>
        </w:tc>
      </w:tr>
      <w:tr w14:paraId="394379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564371D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8012" w:type="dxa"/>
            <w:tcBorders>
              <w:tl2br w:val="nil"/>
              <w:tr2bl w:val="nil"/>
            </w:tcBorders>
            <w:vAlign w:val="center"/>
          </w:tcPr>
          <w:p w14:paraId="6C8CF9D3">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称：华春建设工程项目管理有限责任公司</w:t>
            </w:r>
          </w:p>
          <w:p w14:paraId="6F339BFD">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址：新疆乌鲁木齐市水磨沟区浙商大厦15楼1505室</w:t>
            </w:r>
          </w:p>
          <w:p w14:paraId="6124CBB2">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孔伟国、周惠、冯建正</w:t>
            </w:r>
          </w:p>
          <w:p w14:paraId="744419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联系方式： 0991-2629781、18097782413</w:t>
            </w:r>
          </w:p>
        </w:tc>
      </w:tr>
      <w:tr w14:paraId="2DB4A5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17D76146">
            <w:pPr>
              <w:keepNext w:val="0"/>
              <w:keepLines w:val="0"/>
              <w:pageBreakBefore w:val="0"/>
              <w:overflowPunct/>
              <w:topLinePunct w:val="0"/>
              <w:bidi w:val="0"/>
              <w:spacing w:beforeAutospacing="0" w:afterAutospacing="0" w:line="460" w:lineRule="exact"/>
              <w:ind w:right="0" w:rightChars="0"/>
              <w:jc w:val="center"/>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1.3.1</w:t>
            </w:r>
          </w:p>
        </w:tc>
        <w:tc>
          <w:tcPr>
            <w:tcW w:w="8012" w:type="dxa"/>
            <w:tcBorders>
              <w:tl2br w:val="nil"/>
              <w:tr2bl w:val="nil"/>
            </w:tcBorders>
            <w:vAlign w:val="center"/>
          </w:tcPr>
          <w:p w14:paraId="18C86FAD">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1.满足《中华人民共和国政府采购法》第二十二条规定；</w:t>
            </w:r>
          </w:p>
          <w:p w14:paraId="68CCB854">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1.1法人或者其他组织的营业执照等证明文件，自然人的身份证明；</w:t>
            </w:r>
          </w:p>
          <w:p w14:paraId="5CFF6A07">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1.2经审计的最近一个年度（2023年度或2024年度）的财务状况报告或银行资信证明（成立不满一年不需提供）；</w:t>
            </w:r>
          </w:p>
          <w:p w14:paraId="4C7E21D4">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402E8333">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1.4具备履行合同所必需的设备和专业技术能力的证明材料或承诺函；</w:t>
            </w:r>
          </w:p>
          <w:p w14:paraId="2258E619">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1.5参加政府采购活动前3年内在经营活动中没有重大违法记录的书面声明；</w:t>
            </w:r>
          </w:p>
          <w:p w14:paraId="2A2B7482">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2.落实政府采购政策需满足的资格要求：本项目为专门面向中小企业（含中型、小型、微型企业）采购项目。</w:t>
            </w:r>
          </w:p>
          <w:p w14:paraId="0ED4B95A">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（1）财政部《关于进一步加大政府采购支持中小企业力度的通知》（财库〔2022〕19号）、《政府采购促进中小企业发展管理办法》（财库﹝2020﹞46 号）；</w:t>
            </w:r>
          </w:p>
          <w:p w14:paraId="09800FB6">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（2）《关于政府采购支持监狱企业发展有关问题的通知》（财库[2014]68号）；</w:t>
            </w:r>
          </w:p>
          <w:p w14:paraId="4DE14213">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（3）《三部门联合发布关于促进残疾人就业政府采购政策的通知》（财库[2017]141 号）。</w:t>
            </w:r>
          </w:p>
          <w:p w14:paraId="036C2105">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3.本项目的特定资格要求：/</w:t>
            </w:r>
          </w:p>
          <w:p w14:paraId="456EB8E2">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4.其它：</w:t>
            </w:r>
          </w:p>
          <w:p w14:paraId="028772AA">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主体信用记录符合政府采购活动要求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w:t>
            </w:r>
          </w:p>
          <w:p w14:paraId="70CBBB1C">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（2）其他说明：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ADC77CF">
            <w:pPr>
              <w:keepNext w:val="0"/>
              <w:keepLines w:val="0"/>
              <w:pageBreakBefore w:val="0"/>
              <w:overflowPunct/>
              <w:topLinePunct w:val="0"/>
              <w:bidi w:val="0"/>
              <w:spacing w:beforeAutospacing="0" w:afterAutospacing="0" w:line="460" w:lineRule="exact"/>
              <w:ind w:right="0" w:rightChars="0"/>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（3）本项目不接受联合体投标。</w:t>
            </w:r>
          </w:p>
        </w:tc>
      </w:tr>
      <w:tr w14:paraId="5D5D03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035" w:type="dxa"/>
            <w:gridSpan w:val="2"/>
            <w:tcBorders>
              <w:tl2br w:val="nil"/>
              <w:tr2bl w:val="nil"/>
            </w:tcBorders>
            <w:vAlign w:val="center"/>
          </w:tcPr>
          <w:p w14:paraId="3FFAA7E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sz w:val="24"/>
                <w:szCs w:val="24"/>
                <w:highlight w:val="none"/>
              </w:rPr>
              <w:t>政府采购政策支持</w:t>
            </w:r>
            <w:r>
              <w:rPr>
                <w:rFonts w:hint="eastAsia" w:ascii="宋体" w:hAnsi="宋体" w:eastAsia="宋体" w:cs="宋体"/>
                <w:b/>
                <w:color w:val="auto"/>
                <w:sz w:val="24"/>
                <w:szCs w:val="24"/>
                <w:highlight w:val="none"/>
                <w:lang w:eastAsia="zh-CN"/>
              </w:rPr>
              <w:t>：</w:t>
            </w:r>
            <w:r>
              <w:rPr>
                <w:rFonts w:hint="eastAsia" w:ascii="宋体" w:hAnsi="宋体" w:eastAsia="宋体" w:cs="宋体"/>
                <w:strike w:val="0"/>
                <w:dstrike w:val="0"/>
                <w:color w:val="auto"/>
                <w:sz w:val="24"/>
                <w:szCs w:val="24"/>
                <w:highlight w:val="none"/>
                <w:vertAlign w:val="baseline"/>
                <w:lang w:val="en-US" w:eastAsia="zh-CN"/>
              </w:rPr>
              <w:t>节约能源、保护环境、扶持不发达地区和少数民族地区、促进中小企业发展等政府采购政策。</w:t>
            </w:r>
          </w:p>
        </w:tc>
      </w:tr>
      <w:tr w14:paraId="3179E9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4A2FDB0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1.5.1</w:t>
            </w:r>
          </w:p>
        </w:tc>
        <w:tc>
          <w:tcPr>
            <w:tcW w:w="8012" w:type="dxa"/>
            <w:tcBorders>
              <w:tl2br w:val="nil"/>
              <w:tr2bl w:val="nil"/>
            </w:tcBorders>
            <w:vAlign w:val="center"/>
          </w:tcPr>
          <w:p w14:paraId="6FD6E6D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Style w:val="36"/>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vertAlign w:val="baseline"/>
                <w:lang w:val="en-US" w:eastAsia="zh-CN"/>
              </w:rPr>
              <w:t>本项目</w:t>
            </w:r>
            <w:r>
              <w:rPr>
                <w:rFonts w:hint="eastAsia" w:ascii="宋体" w:hAnsi="宋体" w:eastAsia="宋体" w:cs="宋体"/>
                <w:color w:val="auto"/>
                <w:sz w:val="24"/>
                <w:szCs w:val="24"/>
                <w:highlight w:val="none"/>
                <w:vertAlign w:val="baseline"/>
              </w:rPr>
              <w:t>所属行业</w:t>
            </w:r>
            <w:r>
              <w:rPr>
                <w:rFonts w:hint="eastAsia" w:ascii="宋体" w:hAnsi="宋体" w:eastAsia="宋体" w:cs="宋体"/>
                <w:color w:val="auto"/>
                <w:sz w:val="24"/>
                <w:szCs w:val="24"/>
                <w:highlight w:val="none"/>
                <w:u w:val="none"/>
                <w:vertAlign w:val="baseline"/>
              </w:rPr>
              <w:t>：</w:t>
            </w:r>
            <w:r>
              <w:rPr>
                <w:rFonts w:hint="eastAsia" w:ascii="宋体" w:hAnsi="宋体" w:eastAsia="宋体" w:cs="宋体"/>
                <w:b/>
                <w:color w:val="auto"/>
                <w:sz w:val="24"/>
                <w:szCs w:val="24"/>
                <w:highlight w:val="none"/>
                <w:u w:val="single"/>
              </w:rPr>
              <w:t>工业</w:t>
            </w:r>
          </w:p>
          <w:p w14:paraId="2859B4A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Style w:val="36"/>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vertAlign w:val="baseline"/>
                <w:lang w:val="en-US" w:eastAsia="zh-CN"/>
              </w:rPr>
              <w:t>工</w:t>
            </w:r>
            <w:r>
              <w:rPr>
                <w:rStyle w:val="36"/>
                <w:rFonts w:hint="eastAsia" w:ascii="宋体" w:hAnsi="宋体" w:eastAsia="宋体" w:cs="宋体"/>
                <w:b w:val="0"/>
                <w:bCs w:val="0"/>
                <w:color w:val="auto"/>
                <w:sz w:val="24"/>
                <w:szCs w:val="24"/>
                <w:highlight w:val="none"/>
                <w:lang w:val="en-US" w:eastAsia="zh-CN"/>
              </w:rPr>
              <w:t xml:space="preserve">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tc>
      </w:tr>
      <w:tr w14:paraId="715BE1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43EE130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center"/>
              <w:textAlignment w:val="auto"/>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1.5.2</w:t>
            </w:r>
          </w:p>
        </w:tc>
        <w:tc>
          <w:tcPr>
            <w:tcW w:w="8012" w:type="dxa"/>
            <w:tcBorders>
              <w:tl2br w:val="nil"/>
              <w:tr2bl w:val="nil"/>
            </w:tcBorders>
            <w:vAlign w:val="center"/>
          </w:tcPr>
          <w:p w14:paraId="58A4941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本项目为专门面向中小企业（含中型、小型、微型企业）采购项目。</w:t>
            </w:r>
          </w:p>
          <w:p w14:paraId="55530BA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（1）财政部《关于进一步加大政府采购支持中小企业力度的通知》（财库〔2022〕19号）、《政府采购促进中小企业发展管理办法》（财库﹝2020﹞46 号）；</w:t>
            </w:r>
          </w:p>
          <w:p w14:paraId="6736F40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（2）《关于政府采购支持监狱企业发展有关问题的通知》（财库[2014]68号）；</w:t>
            </w:r>
          </w:p>
          <w:p w14:paraId="03086F6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Style w:val="36"/>
                <w:rFonts w:hint="eastAsia"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szCs w:val="24"/>
                <w:highlight w:val="none"/>
                <w:lang w:val="en-US" w:eastAsia="zh-CN"/>
              </w:rPr>
              <w:t>（3）《三部门联合发布关于促进残疾人就业政府采购政策的通知》（财库[2017]141 号）。</w:t>
            </w:r>
          </w:p>
        </w:tc>
      </w:tr>
      <w:tr w14:paraId="6CAF14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5127133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w:t>
            </w:r>
          </w:p>
        </w:tc>
        <w:tc>
          <w:tcPr>
            <w:tcW w:w="8012" w:type="dxa"/>
            <w:tcBorders>
              <w:tl2br w:val="nil"/>
              <w:tr2bl w:val="nil"/>
            </w:tcBorders>
            <w:vAlign w:val="center"/>
          </w:tcPr>
          <w:p w14:paraId="2BC1305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本项目是否适用：否</w:t>
            </w:r>
          </w:p>
          <w:p w14:paraId="6550A0F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1、政府采购强制采购：标记★符号的节能产品：</w:t>
            </w:r>
          </w:p>
          <w:p w14:paraId="1B50723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符合《节能产品政府采购品目清单》内并获得认证的强制采购节能产品。</w:t>
            </w:r>
          </w:p>
          <w:p w14:paraId="121CDCC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2、政府采购优先采购：(1)非标记★符号的节能产品；(2)环境标志产品；查询落实本项目采购产品有无在强制采购或优先采购品目清单内</w:t>
            </w:r>
          </w:p>
          <w:p w14:paraId="6736AA1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采购产品为《节能产品政府采购品目清单》内并获得认证非标记★符号的节能产品及《环境标志产品政府采购品目清单》内并获得认证的产品：</w:t>
            </w:r>
          </w:p>
          <w:p w14:paraId="7B9D44A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投标文件中对所供产品为节能、环境标志产品清单中的产品，在报价时必须对此类产品单独分项报价，计算出小计及占合同包总金额的百分比，并提供证明资料（中国政府采购网节能环保查询结果），未单独分项报价且未提供属于清单内产品的证明资料的不给予折扣优惠。</w:t>
            </w:r>
          </w:p>
        </w:tc>
      </w:tr>
      <w:tr w14:paraId="257A8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2306EA9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1.9</w:t>
            </w:r>
          </w:p>
        </w:tc>
        <w:tc>
          <w:tcPr>
            <w:tcW w:w="8012" w:type="dxa"/>
            <w:tcBorders>
              <w:tl2br w:val="nil"/>
              <w:tr2bl w:val="nil"/>
            </w:tcBorders>
            <w:vAlign w:val="center"/>
          </w:tcPr>
          <w:p w14:paraId="4895023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是否允许联合体投标：否</w:t>
            </w:r>
          </w:p>
          <w:p w14:paraId="394B014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联合体的其他资格要求：无</w:t>
            </w:r>
          </w:p>
        </w:tc>
      </w:tr>
      <w:tr w14:paraId="60F8DD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03E0E58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2.2</w:t>
            </w:r>
          </w:p>
        </w:tc>
        <w:tc>
          <w:tcPr>
            <w:tcW w:w="8012" w:type="dxa"/>
            <w:tcBorders>
              <w:tl2br w:val="nil"/>
              <w:tr2bl w:val="nil"/>
            </w:tcBorders>
            <w:vAlign w:val="center"/>
          </w:tcPr>
          <w:p w14:paraId="1C68345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lang w:eastAsia="zh-CN"/>
              </w:rPr>
              <w:t>金额（元）：</w:t>
            </w:r>
            <w:r>
              <w:rPr>
                <w:rFonts w:hint="eastAsia" w:ascii="宋体" w:hAnsi="宋体" w:eastAsia="宋体" w:cs="宋体"/>
                <w:color w:val="auto"/>
                <w:sz w:val="24"/>
                <w:szCs w:val="24"/>
                <w:highlight w:val="none"/>
                <w:lang w:val="en-US" w:eastAsia="zh-CN"/>
              </w:rPr>
              <w:t>283200元</w:t>
            </w:r>
          </w:p>
          <w:p w14:paraId="4BEFF25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其中：全自动智能氮吹仪：230000元；真空机械泵：49600元（该设备关联两条预算指标）；涡旋震荡器：3600元 </w:t>
            </w:r>
          </w:p>
          <w:p w14:paraId="347E301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最高限价：</w:t>
            </w:r>
            <w:r>
              <w:rPr>
                <w:rFonts w:hint="eastAsia" w:ascii="宋体" w:hAnsi="宋体" w:eastAsia="宋体" w:cs="宋体"/>
                <w:color w:val="auto"/>
                <w:sz w:val="24"/>
                <w:szCs w:val="24"/>
                <w:highlight w:val="none"/>
                <w:lang w:val="en-US" w:eastAsia="zh-CN"/>
              </w:rPr>
              <w:t>283200元</w:t>
            </w:r>
          </w:p>
          <w:p w14:paraId="72AE781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其中：全自动智能氮吹仪：230000元；真空机械泵：49600元（该设备关联两条预算指标）；涡旋震荡器：3600元 </w:t>
            </w:r>
          </w:p>
          <w:p w14:paraId="74795876">
            <w:pPr>
              <w:pStyle w:val="2"/>
              <w:rPr>
                <w:rFonts w:hint="eastAsia"/>
                <w:lang w:val="en-US" w:eastAsia="zh-CN"/>
              </w:rPr>
            </w:pPr>
          </w:p>
        </w:tc>
      </w:tr>
      <w:tr w14:paraId="5B66C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4FD69E2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5.4</w:t>
            </w:r>
          </w:p>
        </w:tc>
        <w:tc>
          <w:tcPr>
            <w:tcW w:w="8012" w:type="dxa"/>
            <w:tcBorders>
              <w:tl2br w:val="nil"/>
              <w:tr2bl w:val="nil"/>
            </w:tcBorders>
            <w:vAlign w:val="center"/>
          </w:tcPr>
          <w:p w14:paraId="2FF4A73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是否组织现场考察或者召开答疑会：以专家现场评标情况确定。</w:t>
            </w:r>
          </w:p>
          <w:p w14:paraId="6BD9171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组织现场考察或者召开答疑会相关要求：/</w:t>
            </w:r>
          </w:p>
        </w:tc>
      </w:tr>
      <w:tr w14:paraId="30C7B4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5AE0192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5.7 </w:t>
            </w:r>
          </w:p>
        </w:tc>
        <w:tc>
          <w:tcPr>
            <w:tcW w:w="8012" w:type="dxa"/>
            <w:tcBorders>
              <w:tl2br w:val="nil"/>
              <w:tr2bl w:val="nil"/>
            </w:tcBorders>
            <w:vAlign w:val="center"/>
          </w:tcPr>
          <w:p w14:paraId="543B02B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 xml:space="preserve">是否需要提供样品：否 </w:t>
            </w:r>
          </w:p>
          <w:p w14:paraId="03BE75D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提供样品要求包括：</w:t>
            </w:r>
            <w:r>
              <w:rPr>
                <w:rFonts w:hint="eastAsia" w:ascii="宋体" w:hAnsi="宋体" w:eastAsia="宋体" w:cs="宋体"/>
                <w:color w:val="auto"/>
                <w:sz w:val="24"/>
                <w:szCs w:val="24"/>
                <w:highlight w:val="none"/>
                <w:vertAlign w:val="baseline"/>
                <w:lang w:val="en-US" w:eastAsia="zh-CN"/>
              </w:rPr>
              <w:t>/</w:t>
            </w:r>
            <w:bookmarkStart w:id="145" w:name="_GoBack"/>
            <w:bookmarkEnd w:id="145"/>
          </w:p>
        </w:tc>
      </w:tr>
      <w:tr w14:paraId="08C006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31FAA8A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7.1 </w:t>
            </w:r>
          </w:p>
        </w:tc>
        <w:tc>
          <w:tcPr>
            <w:tcW w:w="8012" w:type="dxa"/>
            <w:tcBorders>
              <w:tl2br w:val="nil"/>
              <w:tr2bl w:val="nil"/>
            </w:tcBorders>
            <w:vAlign w:val="center"/>
          </w:tcPr>
          <w:p w14:paraId="23BC016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如投标人对多个包进行投标，可以中标</w:t>
            </w:r>
            <w:r>
              <w:rPr>
                <w:rFonts w:hint="eastAsia" w:ascii="宋体" w:hAnsi="宋体" w:eastAsia="宋体" w:cs="宋体"/>
                <w:b/>
                <w:bCs/>
                <w:color w:val="auto"/>
                <w:sz w:val="24"/>
                <w:szCs w:val="24"/>
                <w:highlight w:val="none"/>
                <w:u w:val="single"/>
                <w:vertAlign w:val="baseline"/>
              </w:rPr>
              <w:t>多</w:t>
            </w:r>
            <w:r>
              <w:rPr>
                <w:rFonts w:hint="eastAsia" w:ascii="宋体" w:hAnsi="宋体" w:eastAsia="宋体" w:cs="宋体"/>
                <w:color w:val="auto"/>
                <w:sz w:val="24"/>
                <w:szCs w:val="24"/>
                <w:highlight w:val="none"/>
                <w:vertAlign w:val="baseline"/>
              </w:rPr>
              <w:t>包</w:t>
            </w:r>
            <w:r>
              <w:rPr>
                <w:rFonts w:hint="eastAsia" w:ascii="宋体" w:hAnsi="宋体" w:eastAsia="宋体" w:cs="宋体"/>
                <w:b/>
                <w:bCs/>
                <w:color w:val="auto"/>
                <w:sz w:val="24"/>
                <w:szCs w:val="24"/>
                <w:highlight w:val="none"/>
                <w:vertAlign w:val="baseline"/>
              </w:rPr>
              <w:t>（本项目不适用）</w:t>
            </w:r>
          </w:p>
        </w:tc>
      </w:tr>
      <w:tr w14:paraId="2AF223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482D7CE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8012" w:type="dxa"/>
            <w:tcBorders>
              <w:tl2br w:val="nil"/>
              <w:tr2bl w:val="nil"/>
            </w:tcBorders>
            <w:vAlign w:val="center"/>
          </w:tcPr>
          <w:p w14:paraId="3A1B33A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1.投标保证金金额：小写：</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lang w:val="zh-CN" w:eastAsia="zh-CN"/>
              </w:rPr>
              <w:t>.00元  大写：</w:t>
            </w:r>
            <w:r>
              <w:rPr>
                <w:rFonts w:hint="eastAsia" w:ascii="宋体" w:hAnsi="宋体" w:eastAsia="宋体" w:cs="宋体"/>
                <w:color w:val="auto"/>
                <w:sz w:val="24"/>
                <w:szCs w:val="24"/>
                <w:highlight w:val="none"/>
                <w:lang w:val="en-US" w:eastAsia="zh-CN"/>
              </w:rPr>
              <w:t>伍仟</w:t>
            </w:r>
            <w:r>
              <w:rPr>
                <w:rFonts w:hint="eastAsia" w:ascii="宋体" w:hAnsi="宋体" w:eastAsia="宋体" w:cs="宋体"/>
                <w:color w:val="auto"/>
                <w:sz w:val="24"/>
                <w:szCs w:val="24"/>
                <w:highlight w:val="none"/>
                <w:lang w:val="zh-CN" w:eastAsia="zh-CN"/>
              </w:rPr>
              <w:t>元整。</w:t>
            </w:r>
          </w:p>
          <w:p w14:paraId="3C26389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2.投标保证金递交截止时间：投标文件递交截止时间前。</w:t>
            </w:r>
          </w:p>
          <w:p w14:paraId="31285FD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3.投标保证金缴纳形式：投标保证金应当以支票、汇票、本票或者金融机构、担保机构出具的保函等非现金形式提交，供应商未按照招标文件要求提交投标保证金的，投标无效。</w:t>
            </w:r>
          </w:p>
          <w:p w14:paraId="5923BE2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投标保证金由供应商基本账户一次性汇入。投标保证金必须在提交投标文件截止时间前缴纳，供应商应充分考虑资金到账时间，在规定的时限前自行办妥投标保证金交纳手续。投标保证金采取银行转账、电汇方式递交的，以电汇凭证和网银对账单的时间为准，</w:t>
            </w:r>
            <w:r>
              <w:rPr>
                <w:rFonts w:hint="eastAsia" w:ascii="宋体" w:hAnsi="宋体" w:eastAsia="宋体" w:cs="宋体"/>
                <w:b/>
                <w:bCs/>
                <w:color w:val="auto"/>
                <w:sz w:val="24"/>
                <w:szCs w:val="24"/>
                <w:highlight w:val="none"/>
                <w:lang w:val="zh-CN" w:eastAsia="zh-CN"/>
              </w:rPr>
              <w:t>采取支票、银行汇票、保函方式递交的，相关原件需递交至采购代理机构</w:t>
            </w:r>
            <w:r>
              <w:rPr>
                <w:rFonts w:hint="eastAsia" w:ascii="宋体" w:hAnsi="宋体" w:eastAsia="宋体" w:cs="宋体"/>
                <w:color w:val="auto"/>
                <w:sz w:val="24"/>
                <w:szCs w:val="24"/>
                <w:highlight w:val="none"/>
                <w:lang w:val="zh-CN" w:eastAsia="zh-CN"/>
              </w:rPr>
              <w:t>，以实际递交至采购代理机构的时间为准，超过时限交纳投标保证金视为投标无效。</w:t>
            </w:r>
          </w:p>
          <w:p w14:paraId="207823F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5.投标保证金递交的开户银行及账号如下：</w:t>
            </w:r>
          </w:p>
          <w:p w14:paraId="1C15C87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名称：华春建设工程项目管理有限责任公司乌鲁木齐分公司</w:t>
            </w:r>
          </w:p>
          <w:p w14:paraId="6FF87B0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账号：30000601040004017</w:t>
            </w:r>
          </w:p>
          <w:p w14:paraId="192756A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开户银行：中国农业银行股份有限公司乌鲁木齐北门支行</w:t>
            </w:r>
          </w:p>
          <w:p w14:paraId="77387D0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开户行行号：103881000068</w:t>
            </w:r>
          </w:p>
          <w:p w14:paraId="0EEB751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保证金备注信息：项目编号或项目名称简称</w:t>
            </w:r>
          </w:p>
        </w:tc>
      </w:tr>
      <w:tr w14:paraId="271643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4A9B263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11.1</w:t>
            </w:r>
          </w:p>
        </w:tc>
        <w:tc>
          <w:tcPr>
            <w:tcW w:w="8012" w:type="dxa"/>
            <w:tcBorders>
              <w:tl2br w:val="nil"/>
              <w:tr2bl w:val="nil"/>
            </w:tcBorders>
            <w:vAlign w:val="center"/>
          </w:tcPr>
          <w:p w14:paraId="3601A64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投标有效期：90 日历日</w:t>
            </w:r>
          </w:p>
        </w:tc>
      </w:tr>
      <w:tr w14:paraId="70A105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03B4F5E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13.1</w:t>
            </w:r>
          </w:p>
        </w:tc>
        <w:tc>
          <w:tcPr>
            <w:tcW w:w="8012" w:type="dxa"/>
            <w:tcBorders>
              <w:tl2br w:val="nil"/>
              <w:tr2bl w:val="nil"/>
            </w:tcBorders>
            <w:vAlign w:val="center"/>
          </w:tcPr>
          <w:p w14:paraId="20EF7FB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投标截止时间：</w:t>
            </w:r>
            <w:r>
              <w:rPr>
                <w:rStyle w:val="36"/>
                <w:rFonts w:hint="eastAsia" w:ascii="宋体" w:hAnsi="宋体" w:eastAsia="宋体" w:cs="宋体"/>
                <w:b w:val="0"/>
                <w:bCs w:val="0"/>
                <w:color w:val="auto"/>
                <w:sz w:val="24"/>
                <w:szCs w:val="24"/>
                <w:highlight w:val="none"/>
                <w:lang w:eastAsia="zh-CN"/>
              </w:rPr>
              <w:t>2025年07月0</w:t>
            </w:r>
            <w:r>
              <w:rPr>
                <w:rStyle w:val="36"/>
                <w:rFonts w:hint="eastAsia" w:ascii="宋体" w:hAnsi="宋体" w:eastAsia="宋体" w:cs="宋体"/>
                <w:b w:val="0"/>
                <w:bCs w:val="0"/>
                <w:color w:val="auto"/>
                <w:sz w:val="24"/>
                <w:szCs w:val="24"/>
                <w:highlight w:val="none"/>
                <w:lang w:val="en-US" w:eastAsia="zh-CN"/>
              </w:rPr>
              <w:t>9</w:t>
            </w:r>
            <w:r>
              <w:rPr>
                <w:rStyle w:val="36"/>
                <w:rFonts w:hint="eastAsia" w:ascii="宋体" w:hAnsi="宋体" w:eastAsia="宋体" w:cs="宋体"/>
                <w:b w:val="0"/>
                <w:bCs w:val="0"/>
                <w:color w:val="auto"/>
                <w:sz w:val="24"/>
                <w:szCs w:val="24"/>
                <w:highlight w:val="none"/>
                <w:lang w:eastAsia="zh-CN"/>
              </w:rPr>
              <w:t>日</w:t>
            </w:r>
            <w:r>
              <w:rPr>
                <w:rFonts w:hint="eastAsia" w:ascii="宋体" w:hAnsi="宋体" w:eastAsia="宋体" w:cs="宋体"/>
                <w:b w:val="0"/>
                <w:bCs w:val="0"/>
                <w:color w:val="auto"/>
                <w:sz w:val="24"/>
                <w:szCs w:val="24"/>
                <w:highlight w:val="none"/>
                <w:vertAlign w:val="baseline"/>
                <w:lang w:val="en-US" w:eastAsia="zh-CN"/>
              </w:rPr>
              <w:t xml:space="preserve"> 11:00</w:t>
            </w:r>
            <w:r>
              <w:rPr>
                <w:rFonts w:hint="eastAsia" w:ascii="宋体" w:hAnsi="宋体" w:eastAsia="宋体" w:cs="宋体"/>
                <w:color w:val="auto"/>
                <w:sz w:val="24"/>
                <w:szCs w:val="24"/>
                <w:highlight w:val="none"/>
              </w:rPr>
              <w:t>（北京时间）</w:t>
            </w:r>
          </w:p>
        </w:tc>
      </w:tr>
      <w:tr w14:paraId="76131C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5E2C5D8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14.1</w:t>
            </w:r>
          </w:p>
        </w:tc>
        <w:tc>
          <w:tcPr>
            <w:tcW w:w="8012" w:type="dxa"/>
            <w:tcBorders>
              <w:tl2br w:val="nil"/>
              <w:tr2bl w:val="nil"/>
            </w:tcBorders>
            <w:vAlign w:val="center"/>
          </w:tcPr>
          <w:p w14:paraId="4DCEAF4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开标时间：同投标截止时间 </w:t>
            </w:r>
          </w:p>
          <w:p w14:paraId="1481816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开标地点：政采云平台（https://www.zcygov.cn/）不见面开标系统</w:t>
            </w:r>
          </w:p>
        </w:tc>
      </w:tr>
      <w:tr w14:paraId="13CE0B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2CDB557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16.1</w:t>
            </w:r>
          </w:p>
        </w:tc>
        <w:tc>
          <w:tcPr>
            <w:tcW w:w="8012" w:type="dxa"/>
            <w:tcBorders>
              <w:tl2br w:val="nil"/>
              <w:tr2bl w:val="nil"/>
            </w:tcBorders>
            <w:vAlign w:val="center"/>
          </w:tcPr>
          <w:p w14:paraId="77F863AD">
            <w:pPr>
              <w:pStyle w:val="58"/>
              <w:spacing w:line="360" w:lineRule="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评标委员</w:t>
            </w:r>
            <w:r>
              <w:rPr>
                <w:rFonts w:hint="eastAsia" w:ascii="宋体" w:hAnsi="宋体" w:eastAsia="宋体" w:cs="宋体"/>
                <w:b w:val="0"/>
                <w:bCs w:val="0"/>
                <w:color w:val="auto"/>
                <w:kern w:val="2"/>
                <w:sz w:val="24"/>
                <w:szCs w:val="24"/>
                <w:highlight w:val="none"/>
                <w:vertAlign w:val="baseline"/>
                <w:lang w:val="en-US" w:eastAsia="zh-CN" w:bidi="ar-SA"/>
              </w:rPr>
              <w:t>会构成：</w:t>
            </w:r>
            <w:r>
              <w:rPr>
                <w:rFonts w:hint="eastAsia" w:ascii="宋体" w:hAnsi="宋体" w:eastAsia="宋体" w:cs="宋体"/>
                <w:b w:val="0"/>
                <w:bCs w:val="0"/>
                <w:color w:val="auto"/>
                <w:kern w:val="2"/>
                <w:sz w:val="24"/>
                <w:szCs w:val="24"/>
                <w:highlight w:val="none"/>
                <w:vertAlign w:val="baseline"/>
                <w:lang w:val="zh-CN" w:eastAsia="zh-CN" w:bidi="ar-SA"/>
              </w:rPr>
              <w:t>评标委员会由采购人代表和评审专家组成，成员人数应当为5人以上单数，其中评审专家不得少于成员总数的三分之二。</w:t>
            </w:r>
          </w:p>
          <w:p w14:paraId="48F0A8D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评标专家确定方式：☑政采云平台随机抽取</w:t>
            </w:r>
          </w:p>
        </w:tc>
      </w:tr>
      <w:tr w14:paraId="6B6B3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1023" w:type="dxa"/>
            <w:tcBorders>
              <w:tl2br w:val="nil"/>
              <w:tr2bl w:val="nil"/>
            </w:tcBorders>
            <w:vAlign w:val="center"/>
          </w:tcPr>
          <w:p w14:paraId="74D5B76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18.1</w:t>
            </w:r>
          </w:p>
        </w:tc>
        <w:tc>
          <w:tcPr>
            <w:tcW w:w="8012" w:type="dxa"/>
            <w:tcBorders>
              <w:tl2br w:val="nil"/>
              <w:tr2bl w:val="nil"/>
            </w:tcBorders>
            <w:vAlign w:val="center"/>
          </w:tcPr>
          <w:p w14:paraId="6787ACF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采购人是否委托评标委员会直接确定中标人：否 </w:t>
            </w:r>
          </w:p>
        </w:tc>
      </w:tr>
      <w:tr w14:paraId="154A2D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023" w:type="dxa"/>
            <w:tcBorders>
              <w:tl2br w:val="nil"/>
              <w:tr2bl w:val="nil"/>
            </w:tcBorders>
            <w:vAlign w:val="center"/>
          </w:tcPr>
          <w:p w14:paraId="4C7223A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22.1</w:t>
            </w:r>
          </w:p>
        </w:tc>
        <w:tc>
          <w:tcPr>
            <w:tcW w:w="8012" w:type="dxa"/>
            <w:tcBorders>
              <w:tl2br w:val="nil"/>
              <w:tr2bl w:val="nil"/>
            </w:tcBorders>
            <w:vAlign w:val="center"/>
          </w:tcPr>
          <w:p w14:paraId="7D4BAE8F">
            <w:pPr>
              <w:spacing w:line="460" w:lineRule="exact"/>
              <w:rPr>
                <w:rStyle w:val="36"/>
                <w:rFonts w:hint="eastAsia" w:ascii="宋体" w:hAnsi="宋体" w:eastAsia="宋体" w:cs="宋体"/>
                <w:b w:val="0"/>
                <w:bCs w:val="0"/>
                <w:color w:val="auto"/>
                <w:sz w:val="24"/>
                <w:highlight w:val="none"/>
                <w:lang w:val="en-US" w:eastAsia="zh-CN"/>
              </w:rPr>
            </w:pPr>
            <w:r>
              <w:rPr>
                <w:rStyle w:val="36"/>
                <w:rFonts w:hint="eastAsia" w:ascii="宋体" w:hAnsi="宋体" w:eastAsia="宋体" w:cs="宋体"/>
                <w:b w:val="0"/>
                <w:bCs w:val="0"/>
                <w:color w:val="auto"/>
                <w:sz w:val="24"/>
                <w:highlight w:val="none"/>
                <w:lang w:val="en-US" w:eastAsia="zh-CN"/>
              </w:rPr>
              <w:t>是否缴纳履约保证金：</w:t>
            </w:r>
            <w:r>
              <w:rPr>
                <w:rFonts w:hint="eastAsia" w:ascii="宋体" w:hAnsi="宋体" w:eastAsia="宋体" w:cs="宋体"/>
                <w:b w:val="0"/>
                <w:bCs w:val="0"/>
                <w:color w:val="auto"/>
                <w:sz w:val="24"/>
                <w:szCs w:val="24"/>
                <w:highlight w:val="none"/>
                <w:vertAlign w:val="baseline"/>
                <w:lang w:val="en-US" w:eastAsia="zh-CN"/>
              </w:rPr>
              <w:t>□</w:t>
            </w:r>
            <w:r>
              <w:rPr>
                <w:rStyle w:val="36"/>
                <w:rFonts w:hint="eastAsia" w:ascii="宋体" w:hAnsi="宋体" w:eastAsia="宋体" w:cs="宋体"/>
                <w:b w:val="0"/>
                <w:bCs w:val="0"/>
                <w:color w:val="auto"/>
                <w:sz w:val="24"/>
                <w:highlight w:val="none"/>
                <w:lang w:val="en-US" w:eastAsia="zh-CN"/>
              </w:rPr>
              <w:t xml:space="preserve">是     </w:t>
            </w:r>
            <w:r>
              <w:rPr>
                <w:rFonts w:hint="eastAsia" w:ascii="宋体" w:hAnsi="宋体" w:eastAsia="宋体" w:cs="宋体"/>
                <w:b w:val="0"/>
                <w:bCs w:val="0"/>
                <w:color w:val="auto"/>
                <w:sz w:val="24"/>
                <w:szCs w:val="24"/>
                <w:highlight w:val="none"/>
                <w:vertAlign w:val="baseline"/>
                <w:lang w:val="en-US" w:eastAsia="zh-CN"/>
              </w:rPr>
              <w:t>☑</w:t>
            </w:r>
            <w:r>
              <w:rPr>
                <w:rStyle w:val="36"/>
                <w:rFonts w:hint="eastAsia" w:ascii="宋体" w:hAnsi="宋体" w:eastAsia="宋体" w:cs="宋体"/>
                <w:b w:val="0"/>
                <w:bCs w:val="0"/>
                <w:color w:val="auto"/>
                <w:sz w:val="24"/>
                <w:highlight w:val="none"/>
                <w:lang w:val="en-US" w:eastAsia="zh-CN"/>
              </w:rPr>
              <w:t xml:space="preserve">否  </w:t>
            </w:r>
          </w:p>
          <w:p w14:paraId="53D0280E">
            <w:pPr>
              <w:spacing w:line="460" w:lineRule="exact"/>
              <w:rPr>
                <w:rStyle w:val="36"/>
                <w:rFonts w:hint="eastAsia" w:ascii="宋体" w:hAnsi="宋体" w:eastAsia="宋体" w:cs="宋体"/>
                <w:b w:val="0"/>
                <w:bCs w:val="0"/>
                <w:color w:val="auto"/>
                <w:sz w:val="24"/>
                <w:highlight w:val="none"/>
                <w:lang w:val="zh-CN"/>
              </w:rPr>
            </w:pPr>
            <w:r>
              <w:rPr>
                <w:rStyle w:val="36"/>
                <w:rFonts w:hint="eastAsia" w:ascii="宋体" w:hAnsi="宋体" w:eastAsia="宋体" w:cs="宋体"/>
                <w:b w:val="0"/>
                <w:bCs w:val="0"/>
                <w:color w:val="auto"/>
                <w:sz w:val="24"/>
                <w:highlight w:val="none"/>
                <w:lang w:val="en-US" w:eastAsia="zh-CN"/>
              </w:rPr>
              <w:t>如缴纳：</w:t>
            </w:r>
            <w:r>
              <w:rPr>
                <w:rStyle w:val="36"/>
                <w:rFonts w:hint="eastAsia" w:ascii="宋体" w:hAnsi="宋体" w:eastAsia="宋体" w:cs="宋体"/>
                <w:b w:val="0"/>
                <w:bCs w:val="0"/>
                <w:color w:val="auto"/>
                <w:sz w:val="24"/>
                <w:highlight w:val="none"/>
                <w:lang w:val="zh-CN"/>
              </w:rPr>
              <w:t>交纳时间：中标服务机构与采购人签订合同前缴纳。</w:t>
            </w:r>
          </w:p>
          <w:p w14:paraId="01FBCFA3">
            <w:pPr>
              <w:spacing w:line="460" w:lineRule="exact"/>
              <w:ind w:firstLine="960" w:firstLineChars="400"/>
              <w:rPr>
                <w:rStyle w:val="36"/>
                <w:rFonts w:hint="eastAsia" w:ascii="宋体" w:hAnsi="宋体" w:eastAsia="宋体" w:cs="宋体"/>
                <w:b w:val="0"/>
                <w:bCs w:val="0"/>
                <w:color w:val="auto"/>
                <w:sz w:val="24"/>
                <w:highlight w:val="none"/>
                <w:lang w:val="zh-CN"/>
              </w:rPr>
            </w:pPr>
            <w:r>
              <w:rPr>
                <w:rStyle w:val="36"/>
                <w:rFonts w:hint="eastAsia" w:ascii="宋体" w:hAnsi="宋体" w:eastAsia="宋体" w:cs="宋体"/>
                <w:b w:val="0"/>
                <w:bCs w:val="0"/>
                <w:color w:val="auto"/>
                <w:sz w:val="24"/>
                <w:highlight w:val="none"/>
                <w:lang w:val="zh-CN"/>
              </w:rPr>
              <w:t>交纳金额：按合同总价的(</w:t>
            </w:r>
            <w:r>
              <w:rPr>
                <w:rStyle w:val="36"/>
                <w:rFonts w:hint="eastAsia" w:ascii="宋体" w:hAnsi="宋体" w:eastAsia="宋体" w:cs="宋体"/>
                <w:b w:val="0"/>
                <w:bCs w:val="0"/>
                <w:color w:val="auto"/>
                <w:sz w:val="24"/>
                <w:highlight w:val="none"/>
                <w:u w:val="single"/>
                <w:lang w:val="en-US" w:eastAsia="zh-CN"/>
              </w:rPr>
              <w:t xml:space="preserve">   </w:t>
            </w:r>
            <w:r>
              <w:rPr>
                <w:rStyle w:val="36"/>
                <w:rFonts w:hint="eastAsia" w:ascii="宋体" w:hAnsi="宋体" w:eastAsia="宋体" w:cs="宋体"/>
                <w:b w:val="0"/>
                <w:bCs w:val="0"/>
                <w:color w:val="auto"/>
                <w:sz w:val="24"/>
                <w:highlight w:val="none"/>
                <w:lang w:val="zh-CN"/>
              </w:rPr>
              <w:t>%)向采购人提交履约保证金</w:t>
            </w:r>
          </w:p>
          <w:p w14:paraId="1EC01036">
            <w:pPr>
              <w:spacing w:line="460" w:lineRule="exact"/>
              <w:ind w:firstLine="960" w:firstLineChars="400"/>
              <w:rPr>
                <w:rFonts w:hint="eastAsia" w:ascii="宋体" w:hAnsi="宋体" w:eastAsia="宋体" w:cs="宋体"/>
                <w:b w:val="0"/>
                <w:bCs w:val="0"/>
                <w:color w:val="auto"/>
                <w:sz w:val="24"/>
                <w:szCs w:val="24"/>
                <w:highlight w:val="none"/>
                <w:vertAlign w:val="baseline"/>
                <w:lang w:val="en-US" w:eastAsia="zh-CN"/>
              </w:rPr>
            </w:pPr>
            <w:r>
              <w:rPr>
                <w:rStyle w:val="36"/>
                <w:rFonts w:hint="eastAsia" w:ascii="宋体" w:hAnsi="宋体" w:eastAsia="宋体" w:cs="宋体"/>
                <w:b w:val="0"/>
                <w:bCs w:val="0"/>
                <w:color w:val="auto"/>
                <w:sz w:val="24"/>
                <w:highlight w:val="none"/>
                <w:lang w:val="zh-CN"/>
              </w:rPr>
              <w:t>缴纳形式：</w:t>
            </w:r>
            <w:r>
              <w:rPr>
                <w:rFonts w:hint="eastAsia" w:ascii="宋体" w:hAnsi="宋体" w:eastAsia="宋体" w:cs="宋体"/>
                <w:b w:val="0"/>
                <w:bCs w:val="0"/>
                <w:color w:val="auto"/>
                <w:sz w:val="24"/>
                <w:szCs w:val="24"/>
                <w:highlight w:val="none"/>
                <w:vertAlign w:val="baseline"/>
                <w:lang w:val="en-US" w:eastAsia="zh-CN"/>
              </w:rPr>
              <w:t>□</w:t>
            </w:r>
            <w:r>
              <w:rPr>
                <w:rStyle w:val="36"/>
                <w:rFonts w:hint="eastAsia" w:ascii="宋体" w:hAnsi="宋体" w:eastAsia="宋体" w:cs="宋体"/>
                <w:b w:val="0"/>
                <w:bCs w:val="0"/>
                <w:color w:val="auto"/>
                <w:sz w:val="24"/>
                <w:highlight w:val="none"/>
                <w:lang w:val="zh-CN"/>
              </w:rPr>
              <w:t>转账</w:t>
            </w:r>
            <w:r>
              <w:rPr>
                <w:rStyle w:val="36"/>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szCs w:val="24"/>
                <w:highlight w:val="none"/>
                <w:vertAlign w:val="baseline"/>
                <w:lang w:val="en-US" w:eastAsia="zh-CN"/>
              </w:rPr>
              <w:t>□</w:t>
            </w:r>
            <w:r>
              <w:rPr>
                <w:rStyle w:val="36"/>
                <w:rFonts w:hint="eastAsia" w:ascii="宋体" w:hAnsi="宋体" w:eastAsia="宋体" w:cs="宋体"/>
                <w:b w:val="0"/>
                <w:bCs w:val="0"/>
                <w:color w:val="auto"/>
                <w:sz w:val="24"/>
                <w:highlight w:val="none"/>
                <w:lang w:val="zh-CN"/>
              </w:rPr>
              <w:t>履约保函</w:t>
            </w:r>
          </w:p>
        </w:tc>
      </w:tr>
      <w:tr w14:paraId="0A291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39" w:hRule="atLeast"/>
        </w:trPr>
        <w:tc>
          <w:tcPr>
            <w:tcW w:w="1023" w:type="dxa"/>
            <w:tcBorders>
              <w:tl2br w:val="nil"/>
              <w:tr2bl w:val="nil"/>
            </w:tcBorders>
            <w:vAlign w:val="center"/>
          </w:tcPr>
          <w:p w14:paraId="1A35E6E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23.1</w:t>
            </w:r>
          </w:p>
        </w:tc>
        <w:tc>
          <w:tcPr>
            <w:tcW w:w="8012" w:type="dxa"/>
            <w:tcBorders>
              <w:tl2br w:val="nil"/>
              <w:tr2bl w:val="nil"/>
            </w:tcBorders>
            <w:vAlign w:val="center"/>
          </w:tcPr>
          <w:p w14:paraId="230C6104">
            <w:pPr>
              <w:spacing w:line="460" w:lineRule="exact"/>
              <w:rPr>
                <w:rStyle w:val="36"/>
                <w:rFonts w:hint="eastAsia" w:ascii="宋体" w:hAnsi="宋体" w:eastAsia="宋体" w:cs="宋体"/>
                <w:b w:val="0"/>
                <w:bCs w:val="0"/>
                <w:color w:val="auto"/>
                <w:sz w:val="24"/>
                <w:highlight w:val="none"/>
                <w:lang w:val="zh-CN"/>
              </w:rPr>
            </w:pPr>
            <w:r>
              <w:rPr>
                <w:rStyle w:val="36"/>
                <w:rFonts w:hint="eastAsia" w:ascii="宋体" w:hAnsi="宋体" w:eastAsia="宋体" w:cs="宋体"/>
                <w:b w:val="0"/>
                <w:bCs w:val="0"/>
                <w:color w:val="auto"/>
                <w:sz w:val="24"/>
                <w:highlight w:val="none"/>
                <w:lang w:val="zh-CN"/>
              </w:rPr>
              <w:t>☐不缴纳</w:t>
            </w:r>
          </w:p>
          <w:p w14:paraId="7E818216">
            <w:pPr>
              <w:spacing w:line="460" w:lineRule="exact"/>
              <w:rPr>
                <w:rStyle w:val="36"/>
                <w:rFonts w:hint="eastAsia" w:ascii="宋体" w:hAnsi="宋体" w:eastAsia="宋体" w:cs="宋体"/>
                <w:b w:val="0"/>
                <w:bCs w:val="0"/>
                <w:color w:val="auto"/>
                <w:sz w:val="24"/>
                <w:highlight w:val="none"/>
                <w:lang w:val="zh-CN"/>
              </w:rPr>
            </w:pPr>
            <w:r>
              <w:rPr>
                <w:rStyle w:val="36"/>
                <w:rFonts w:hint="eastAsia" w:ascii="宋体" w:hAnsi="宋体" w:eastAsia="宋体" w:cs="宋体"/>
                <w:b w:val="0"/>
                <w:bCs w:val="0"/>
                <w:color w:val="auto"/>
                <w:sz w:val="24"/>
                <w:highlight w:val="none"/>
                <w:lang w:val="zh-CN"/>
              </w:rPr>
              <w:t>☑缴纳</w:t>
            </w:r>
          </w:p>
          <w:p w14:paraId="19960327">
            <w:pPr>
              <w:spacing w:line="460" w:lineRule="exact"/>
              <w:ind w:firstLine="480" w:firstLineChars="200"/>
              <w:rPr>
                <w:rFonts w:hint="eastAsia" w:ascii="宋体" w:hAnsi="宋体" w:eastAsia="宋体" w:cs="宋体"/>
                <w:color w:val="auto"/>
                <w:sz w:val="24"/>
                <w:highlight w:val="none"/>
              </w:rPr>
            </w:pPr>
            <w:r>
              <w:rPr>
                <w:rStyle w:val="36"/>
                <w:rFonts w:hint="eastAsia" w:ascii="宋体" w:hAnsi="宋体" w:eastAsia="宋体" w:cs="宋体"/>
                <w:b w:val="0"/>
                <w:bCs w:val="0"/>
                <w:color w:val="auto"/>
                <w:sz w:val="24"/>
                <w:highlight w:val="none"/>
                <w:lang w:val="zh-CN"/>
              </w:rPr>
              <w:t>交纳时间：中标通知书发出时</w:t>
            </w:r>
          </w:p>
          <w:p w14:paraId="0923C899">
            <w:pPr>
              <w:spacing w:line="288" w:lineRule="auto"/>
              <w:ind w:firstLine="480" w:firstLineChars="20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highlight w:val="none"/>
              </w:rPr>
              <w:t>交纳标准：招标代理服务费的计算执行</w:t>
            </w:r>
            <w:r>
              <w:rPr>
                <w:rFonts w:hint="eastAsia" w:ascii="宋体" w:hAnsi="宋体" w:eastAsia="宋体" w:cs="宋体"/>
                <w:color w:val="auto"/>
                <w:sz w:val="24"/>
                <w:highlight w:val="none"/>
                <w:lang w:val="en-US" w:eastAsia="zh-CN"/>
              </w:rPr>
              <w:t>新疆维吾尔自治区兽药饲料监察所</w:t>
            </w:r>
            <w:r>
              <w:rPr>
                <w:rFonts w:hint="eastAsia" w:ascii="宋体" w:hAnsi="宋体" w:eastAsia="宋体" w:cs="宋体"/>
                <w:color w:val="auto"/>
                <w:sz w:val="24"/>
                <w:highlight w:val="none"/>
              </w:rPr>
              <w:t>与招标代理公司的协议约定，由中标人支付。</w:t>
            </w:r>
          </w:p>
          <w:p w14:paraId="248E4DBE">
            <w:pPr>
              <w:spacing w:line="288" w:lineRule="auto"/>
              <w:ind w:firstLine="480" w:firstLineChars="20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highlight w:val="none"/>
              </w:rPr>
              <w:t>缴纳单位：由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支付招标代理服务费。</w:t>
            </w:r>
          </w:p>
        </w:tc>
      </w:tr>
      <w:tr w14:paraId="498642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035" w:type="dxa"/>
            <w:gridSpan w:val="2"/>
            <w:tcBorders>
              <w:tl2br w:val="nil"/>
              <w:tr2bl w:val="nil"/>
            </w:tcBorders>
            <w:vAlign w:val="center"/>
          </w:tcPr>
          <w:p w14:paraId="0533C7B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适用于本投标人须知的额外增加的变动：</w:t>
            </w:r>
          </w:p>
        </w:tc>
      </w:tr>
      <w:tr w14:paraId="32E4D9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1023" w:type="dxa"/>
            <w:vMerge w:val="restart"/>
            <w:tcBorders>
              <w:tl2br w:val="nil"/>
              <w:tr2bl w:val="nil"/>
            </w:tcBorders>
            <w:vAlign w:val="center"/>
          </w:tcPr>
          <w:p w14:paraId="76A1CC2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332B221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评标方法：综合评分法</w:t>
            </w:r>
          </w:p>
        </w:tc>
      </w:tr>
      <w:tr w14:paraId="2A4827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23" w:type="dxa"/>
            <w:vMerge w:val="continue"/>
            <w:tcBorders>
              <w:tl2br w:val="nil"/>
              <w:tr2bl w:val="nil"/>
            </w:tcBorders>
            <w:vAlign w:val="center"/>
          </w:tcPr>
          <w:p w14:paraId="6AC2ADB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1D864B7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项目属性：货物类</w:t>
            </w:r>
          </w:p>
        </w:tc>
      </w:tr>
      <w:tr w14:paraId="4A0CC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4FDD720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3B24FDB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采购需求：</w:t>
            </w:r>
            <w:r>
              <w:rPr>
                <w:rFonts w:hint="eastAsia" w:ascii="宋体" w:hAnsi="宋体" w:eastAsia="宋体" w:cs="宋体"/>
                <w:color w:val="auto"/>
                <w:sz w:val="24"/>
                <w:szCs w:val="24"/>
                <w:highlight w:val="none"/>
                <w:lang w:eastAsia="zh-CN"/>
              </w:rPr>
              <w:t>新疆维吾尔自治区兽药饲料监察所实验室辅助设备采购项目（具体详见招标文件第五章）。</w:t>
            </w:r>
          </w:p>
        </w:tc>
      </w:tr>
      <w:tr w14:paraId="7187E4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3C6245C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677A5D1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质保期：验收合格后质量保证期不少于1年，终身维修。</w:t>
            </w:r>
          </w:p>
        </w:tc>
      </w:tr>
      <w:tr w14:paraId="079AC4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6FC6AFE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61044F7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default" w:ascii="宋体" w:hAnsi="宋体" w:eastAsia="宋体" w:cs="宋体"/>
                <w:b w:val="0"/>
                <w:bCs w:val="0"/>
                <w:color w:val="auto"/>
                <w:sz w:val="24"/>
                <w:szCs w:val="24"/>
                <w:highlight w:val="none"/>
                <w:vertAlign w:val="baseline"/>
                <w:lang w:val="en-US" w:eastAsia="zh-CN"/>
              </w:rPr>
            </w:pPr>
            <w:r>
              <w:rPr>
                <w:rStyle w:val="36"/>
                <w:rFonts w:hint="eastAsia" w:ascii="宋体" w:hAnsi="宋体" w:eastAsia="宋体" w:cs="宋体"/>
                <w:b w:val="0"/>
                <w:bCs w:val="0"/>
                <w:color w:val="auto"/>
                <w:sz w:val="24"/>
                <w:szCs w:val="24"/>
                <w:highlight w:val="none"/>
                <w:lang w:val="en-US" w:eastAsia="zh-CN"/>
              </w:rPr>
              <w:t>合同履约期限：40天</w:t>
            </w:r>
          </w:p>
        </w:tc>
      </w:tr>
      <w:tr w14:paraId="1222AA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3B6F23B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033E81C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Style w:val="36"/>
                <w:rFonts w:hint="default" w:ascii="宋体" w:hAnsi="宋体" w:eastAsia="宋体" w:cs="宋体"/>
                <w:b w:val="0"/>
                <w:bCs w:val="0"/>
                <w:color w:val="auto"/>
                <w:sz w:val="24"/>
                <w:szCs w:val="24"/>
                <w:highlight w:val="none"/>
                <w:lang w:val="en-US" w:eastAsia="zh-CN"/>
              </w:rPr>
            </w:pPr>
            <w:r>
              <w:rPr>
                <w:rStyle w:val="36"/>
                <w:rFonts w:hint="eastAsia" w:ascii="宋体" w:hAnsi="宋体" w:eastAsia="宋体" w:cs="宋体"/>
                <w:b w:val="0"/>
                <w:bCs w:val="0"/>
                <w:color w:val="auto"/>
                <w:sz w:val="24"/>
                <w:highlight w:val="none"/>
                <w:lang w:val="en-US" w:eastAsia="zh-CN"/>
              </w:rPr>
              <w:t>付款方式：在签订合同后预付 80%，货物全部交付且验收合格后，采购人支付剩余货款,最终与采购人签订合同为准。</w:t>
            </w:r>
          </w:p>
        </w:tc>
      </w:tr>
      <w:tr w14:paraId="0802D9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46C3B76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2A626351">
            <w:pPr>
              <w:pStyle w:val="58"/>
              <w:spacing w:line="360" w:lineRule="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相同品牌产品处理：</w:t>
            </w:r>
          </w:p>
          <w:p w14:paraId="0B8D1917">
            <w:pPr>
              <w:pStyle w:val="58"/>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提供相同品牌产品且通过资格审查、符合性审查的不同供应商参加同一合同项下投标的，按一家供应商计算，评审后得分最高的同品牌供应商获得中标人推荐资格；评审得分相同的，商务部分得分最高的获得中标人推荐资格，商务部分得分相同的采取随机抽取方式确定，其他同品牌供应商不作为中标候选人。 </w:t>
            </w:r>
          </w:p>
          <w:p w14:paraId="5DFE44B7">
            <w:pPr>
              <w:pStyle w:val="58"/>
              <w:spacing w:line="360" w:lineRule="auto"/>
              <w:ind w:firstLine="480" w:firstLineChars="200"/>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highlight w:val="none"/>
                <w:lang w:val="zh-CN"/>
              </w:rPr>
              <w:t>非单一产品采购项目，采购人应当根据采购项目技术构成、产品价格比重等合理确定核心产品，并在招标文件中载明。多家供应商提供的任一核心产品品牌相同的，按前款规定处理。</w:t>
            </w:r>
          </w:p>
        </w:tc>
      </w:tr>
      <w:tr w14:paraId="642514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1A73EA4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04F8EC3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bCs/>
                <w:color w:val="auto"/>
                <w:kern w:val="0"/>
                <w:sz w:val="24"/>
                <w:szCs w:val="22"/>
                <w:highlight w:val="none"/>
                <w:lang w:val="zh-CN" w:bidi="zh-CN"/>
              </w:rPr>
            </w:pPr>
            <w:r>
              <w:rPr>
                <w:rFonts w:hint="eastAsia" w:ascii="宋体" w:hAnsi="宋体" w:eastAsia="宋体" w:cs="宋体"/>
                <w:b/>
                <w:bCs/>
                <w:color w:val="auto"/>
                <w:kern w:val="0"/>
                <w:sz w:val="24"/>
                <w:szCs w:val="22"/>
                <w:highlight w:val="none"/>
                <w:lang w:val="zh-CN" w:bidi="zh-CN"/>
              </w:rPr>
              <w:t>投标报价：</w:t>
            </w:r>
          </w:p>
          <w:p w14:paraId="504D7F57">
            <w:pPr>
              <w:spacing w:line="460" w:lineRule="exact"/>
              <w:ind w:firstLine="480" w:firstLineChars="200"/>
              <w:rPr>
                <w:rStyle w:val="36"/>
                <w:rFonts w:hint="eastAsia" w:ascii="宋体" w:hAnsi="宋体" w:eastAsia="宋体" w:cs="宋体"/>
                <w:b w:val="0"/>
                <w:bCs w:val="0"/>
                <w:color w:val="auto"/>
                <w:sz w:val="24"/>
                <w:highlight w:val="none"/>
                <w:lang w:val="zh-CN"/>
              </w:rPr>
            </w:pPr>
            <w:r>
              <w:rPr>
                <w:rStyle w:val="36"/>
                <w:rFonts w:hint="eastAsia" w:ascii="宋体" w:hAnsi="宋体" w:eastAsia="宋体" w:cs="宋体"/>
                <w:b w:val="0"/>
                <w:bCs w:val="0"/>
                <w:color w:val="auto"/>
                <w:sz w:val="24"/>
                <w:highlight w:val="none"/>
                <w:lang w:val="zh-CN"/>
              </w:rPr>
              <w:t>1、投标报价为</w:t>
            </w:r>
            <w:r>
              <w:rPr>
                <w:rStyle w:val="36"/>
                <w:rFonts w:hint="eastAsia" w:ascii="宋体" w:hAnsi="宋体" w:eastAsia="宋体" w:cs="宋体"/>
                <w:b w:val="0"/>
                <w:bCs w:val="0"/>
                <w:color w:val="auto"/>
                <w:sz w:val="24"/>
                <w:highlight w:val="none"/>
              </w:rPr>
              <w:t>采购需求</w:t>
            </w:r>
            <w:r>
              <w:rPr>
                <w:rStyle w:val="36"/>
                <w:rFonts w:hint="eastAsia" w:ascii="宋体" w:hAnsi="宋体" w:eastAsia="宋体" w:cs="宋体"/>
                <w:b w:val="0"/>
                <w:bCs w:val="0"/>
                <w:color w:val="auto"/>
                <w:sz w:val="24"/>
                <w:highlight w:val="none"/>
                <w:lang w:val="zh-CN"/>
              </w:rPr>
              <w:t>范围内的总报价。</w:t>
            </w:r>
          </w:p>
          <w:p w14:paraId="0B89EA38">
            <w:pPr>
              <w:spacing w:line="460" w:lineRule="exact"/>
              <w:ind w:firstLine="480" w:firstLineChars="200"/>
              <w:rPr>
                <w:rStyle w:val="36"/>
                <w:rFonts w:hint="eastAsia" w:ascii="宋体" w:hAnsi="宋体" w:eastAsia="宋体" w:cs="宋体"/>
                <w:b w:val="0"/>
                <w:bCs w:val="0"/>
                <w:color w:val="auto"/>
                <w:sz w:val="24"/>
                <w:highlight w:val="none"/>
                <w:lang w:val="zh-CN"/>
              </w:rPr>
            </w:pPr>
            <w:r>
              <w:rPr>
                <w:rStyle w:val="36"/>
                <w:rFonts w:hint="eastAsia" w:ascii="宋体" w:hAnsi="宋体" w:eastAsia="宋体" w:cs="宋体"/>
                <w:b w:val="0"/>
                <w:bCs w:val="0"/>
                <w:color w:val="auto"/>
                <w:sz w:val="24"/>
                <w:highlight w:val="none"/>
                <w:lang w:val="zh-CN"/>
              </w:rPr>
              <w:t>2、凡要求供应商考虑在报价中的内容，供应商在响应文件中没有考虑、没有计入的或未单独列出，采购人认为供应商已将此项费用涵盖在其它费用价格中。</w:t>
            </w:r>
          </w:p>
          <w:p w14:paraId="2FF0FD9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kern w:val="0"/>
                <w:sz w:val="24"/>
                <w:szCs w:val="22"/>
                <w:highlight w:val="none"/>
                <w:lang w:val="en-US" w:eastAsia="zh-CN" w:bidi="zh-CN"/>
              </w:rPr>
            </w:pPr>
            <w:r>
              <w:rPr>
                <w:rStyle w:val="36"/>
                <w:rFonts w:hint="eastAsia" w:ascii="宋体" w:hAnsi="宋体" w:eastAsia="宋体" w:cs="宋体"/>
                <w:b w:val="0"/>
                <w:bCs w:val="0"/>
                <w:color w:val="auto"/>
                <w:sz w:val="24"/>
                <w:highlight w:val="none"/>
                <w:lang w:val="zh-CN"/>
              </w:rPr>
              <w:t>3、投标报价应包含项目实施过程中涉及到的一切费用，</w:t>
            </w:r>
            <w:r>
              <w:rPr>
                <w:rStyle w:val="36"/>
                <w:rFonts w:hint="eastAsia" w:ascii="宋体" w:hAnsi="宋体" w:eastAsia="宋体" w:cs="宋体"/>
                <w:b w:val="0"/>
                <w:bCs w:val="0"/>
                <w:color w:val="auto"/>
                <w:sz w:val="24"/>
                <w:highlight w:val="none"/>
              </w:rPr>
              <w:t>本项目投标报价</w:t>
            </w:r>
            <w:r>
              <w:rPr>
                <w:rFonts w:hint="eastAsia" w:ascii="宋体" w:hAnsi="宋体" w:eastAsia="宋体" w:cs="宋体"/>
                <w:bCs/>
                <w:color w:val="auto"/>
                <w:sz w:val="24"/>
                <w:highlight w:val="none"/>
              </w:rPr>
              <w:t>为包干价，即包含完成本工程设计整个过程含设计变更等伴随服务的所有费用以及供应商利润、税金和政策性文件规定及合同包含的所有风险、责任等各项应有费用。除此之外，甲方无需支付乙方任何其他费用。</w:t>
            </w:r>
          </w:p>
        </w:tc>
      </w:tr>
      <w:tr w14:paraId="52966B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46EF1CF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59E86792">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color w:val="auto"/>
                <w:kern w:val="0"/>
                <w:sz w:val="24"/>
                <w:szCs w:val="22"/>
                <w:highlight w:val="none"/>
                <w:lang w:val="zh-CN" w:bidi="zh-CN"/>
              </w:rPr>
              <w:t>评审</w:t>
            </w:r>
            <w:r>
              <w:rPr>
                <w:rFonts w:hint="eastAsia" w:ascii="宋体" w:hAnsi="宋体" w:eastAsia="宋体" w:cs="宋体"/>
                <w:b w:val="0"/>
                <w:bCs w:val="0"/>
                <w:color w:val="auto"/>
                <w:kern w:val="2"/>
                <w:sz w:val="24"/>
                <w:szCs w:val="24"/>
                <w:highlight w:val="none"/>
                <w:vertAlign w:val="baseline"/>
                <w:lang w:val="zh-CN" w:eastAsia="zh-CN" w:bidi="ar-SA"/>
              </w:rPr>
              <w:t>方法：</w:t>
            </w:r>
          </w:p>
          <w:p w14:paraId="7BF71BED">
            <w:pPr>
              <w:pStyle w:val="58"/>
              <w:spacing w:line="36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zh-CN" w:eastAsia="zh-CN" w:bidi="ar-SA"/>
              </w:rPr>
              <w:t>☑资格后审</w:t>
            </w:r>
            <w:r>
              <w:rPr>
                <w:rFonts w:hint="eastAsia" w:ascii="宋体" w:hAnsi="宋体" w:eastAsia="宋体" w:cs="宋体"/>
                <w:b w:val="0"/>
                <w:bCs w:val="0"/>
                <w:color w:val="auto"/>
                <w:kern w:val="2"/>
                <w:sz w:val="24"/>
                <w:szCs w:val="24"/>
                <w:highlight w:val="none"/>
                <w:vertAlign w:val="baseline"/>
                <w:lang w:val="en-US" w:eastAsia="zh-CN" w:bidi="ar-SA"/>
              </w:rPr>
              <w:t xml:space="preserve">        </w:t>
            </w:r>
            <w:r>
              <w:rPr>
                <w:rFonts w:hint="eastAsia" w:ascii="宋体" w:hAnsi="宋体" w:eastAsia="宋体" w:cs="宋体"/>
                <w:b w:val="0"/>
                <w:bCs w:val="0"/>
                <w:color w:val="auto"/>
                <w:kern w:val="2"/>
                <w:sz w:val="24"/>
                <w:szCs w:val="24"/>
                <w:highlight w:val="none"/>
                <w:vertAlign w:val="baseline"/>
                <w:lang w:val="zh-CN" w:eastAsia="zh-CN" w:bidi="ar-SA"/>
              </w:rPr>
              <w:t>☐资格预审</w:t>
            </w:r>
            <w:r>
              <w:rPr>
                <w:rFonts w:hint="eastAsia" w:ascii="宋体" w:hAnsi="宋体" w:eastAsia="宋体" w:cs="宋体"/>
                <w:b w:val="0"/>
                <w:bCs w:val="0"/>
                <w:color w:val="auto"/>
                <w:kern w:val="2"/>
                <w:sz w:val="24"/>
                <w:szCs w:val="24"/>
                <w:highlight w:val="none"/>
                <w:vertAlign w:val="baseline"/>
                <w:lang w:val="en-US" w:eastAsia="zh-CN" w:bidi="ar-SA"/>
              </w:rPr>
              <w:t xml:space="preserve"> </w:t>
            </w:r>
          </w:p>
          <w:p w14:paraId="19CBC2BE">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☑综合评分法</w:t>
            </w:r>
            <w:r>
              <w:rPr>
                <w:rFonts w:hint="eastAsia" w:ascii="宋体" w:hAnsi="宋体" w:eastAsia="宋体" w:cs="宋体"/>
                <w:b w:val="0"/>
                <w:bCs w:val="0"/>
                <w:color w:val="auto"/>
                <w:kern w:val="2"/>
                <w:sz w:val="24"/>
                <w:szCs w:val="24"/>
                <w:highlight w:val="none"/>
                <w:vertAlign w:val="baseline"/>
                <w:lang w:val="en-US" w:eastAsia="zh-CN" w:bidi="ar-SA"/>
              </w:rPr>
              <w:t xml:space="preserve">      </w:t>
            </w:r>
            <w:r>
              <w:rPr>
                <w:rFonts w:hint="eastAsia" w:ascii="宋体" w:hAnsi="宋体" w:eastAsia="宋体" w:cs="宋体"/>
                <w:b w:val="0"/>
                <w:bCs w:val="0"/>
                <w:color w:val="auto"/>
                <w:kern w:val="2"/>
                <w:sz w:val="24"/>
                <w:szCs w:val="24"/>
                <w:highlight w:val="none"/>
                <w:vertAlign w:val="baseline"/>
                <w:lang w:val="zh-CN" w:eastAsia="zh-CN" w:bidi="ar-SA"/>
              </w:rPr>
              <w:t>☐最低评标价法</w:t>
            </w:r>
          </w:p>
          <w:p w14:paraId="41EB7110">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注：</w:t>
            </w:r>
          </w:p>
          <w:p w14:paraId="5407EA67">
            <w:pPr>
              <w:pStyle w:val="58"/>
              <w:spacing w:line="360" w:lineRule="auto"/>
              <w:ind w:firstLine="480" w:firstLineChars="200"/>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1、最低评标价法，是指以价格为主要因素确定中标投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p w14:paraId="4A46C14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zh-CN" w:eastAsia="zh-CN" w:bidi="ar-SA"/>
              </w:rPr>
              <w:t>2、综合评分法是指在最大限度地满足招标文件实质性要求前提下，按照招标文件中规定的评分细则评审后，以最终得分最高的投标人作为中标人的评标方法。每一投标人的最终得分为所有评委评分的算术平均值。得分相同的，报价较低的一方为中标人。得分且投标报价相同的，技术指标较优的一方为中标人。</w:t>
            </w:r>
          </w:p>
        </w:tc>
      </w:tr>
      <w:tr w14:paraId="18315D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2A41CA6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1D5DAEEE">
            <w:pPr>
              <w:pStyle w:val="58"/>
              <w:spacing w:line="36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中标人：本次公开招标将按综合得分由高到低的顺序选出</w:t>
            </w:r>
            <w:r>
              <w:rPr>
                <w:rFonts w:hint="eastAsia" w:ascii="宋体" w:hAnsi="宋体" w:eastAsia="宋体" w:cs="宋体"/>
                <w:b w:val="0"/>
                <w:bCs w:val="0"/>
                <w:color w:val="auto"/>
                <w:kern w:val="2"/>
                <w:sz w:val="24"/>
                <w:szCs w:val="24"/>
                <w:highlight w:val="none"/>
                <w:vertAlign w:val="baseline"/>
                <w:lang w:val="en-US" w:eastAsia="zh-CN" w:bidi="ar-SA"/>
              </w:rPr>
              <w:t>1</w:t>
            </w:r>
            <w:r>
              <w:rPr>
                <w:rFonts w:hint="eastAsia" w:ascii="宋体" w:hAnsi="宋体" w:eastAsia="宋体" w:cs="宋体"/>
                <w:b w:val="0"/>
                <w:bCs w:val="0"/>
                <w:color w:val="auto"/>
                <w:kern w:val="2"/>
                <w:sz w:val="24"/>
                <w:szCs w:val="24"/>
                <w:highlight w:val="none"/>
                <w:vertAlign w:val="baseline"/>
                <w:lang w:val="zh-CN" w:eastAsia="zh-CN" w:bidi="ar-SA"/>
              </w:rPr>
              <w:t>名合格的</w:t>
            </w:r>
            <w:r>
              <w:rPr>
                <w:rFonts w:hint="eastAsia" w:ascii="宋体" w:hAnsi="宋体" w:eastAsia="宋体" w:cs="宋体"/>
                <w:b w:val="0"/>
                <w:bCs w:val="0"/>
                <w:color w:val="auto"/>
                <w:kern w:val="2"/>
                <w:sz w:val="24"/>
                <w:szCs w:val="24"/>
                <w:highlight w:val="none"/>
                <w:vertAlign w:val="baseline"/>
                <w:lang w:val="en-US" w:eastAsia="zh-CN" w:bidi="ar-SA"/>
              </w:rPr>
              <w:t>投标人</w:t>
            </w:r>
            <w:r>
              <w:rPr>
                <w:rFonts w:hint="eastAsia" w:ascii="宋体" w:hAnsi="宋体" w:eastAsia="宋体" w:cs="宋体"/>
                <w:b w:val="0"/>
                <w:bCs w:val="0"/>
                <w:color w:val="auto"/>
                <w:kern w:val="2"/>
                <w:sz w:val="24"/>
                <w:szCs w:val="24"/>
                <w:highlight w:val="none"/>
                <w:vertAlign w:val="baseline"/>
                <w:lang w:val="zh-CN" w:eastAsia="zh-CN" w:bidi="ar-SA"/>
              </w:rPr>
              <w:t>为中标人</w:t>
            </w:r>
          </w:p>
        </w:tc>
      </w:tr>
      <w:tr w14:paraId="008516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23" w:type="dxa"/>
            <w:vMerge w:val="continue"/>
            <w:tcBorders>
              <w:tl2br w:val="nil"/>
              <w:tr2bl w:val="nil"/>
            </w:tcBorders>
            <w:vAlign w:val="center"/>
          </w:tcPr>
          <w:p w14:paraId="17B1916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p>
        </w:tc>
        <w:tc>
          <w:tcPr>
            <w:tcW w:w="8012" w:type="dxa"/>
            <w:tcBorders>
              <w:tl2br w:val="nil"/>
              <w:tr2bl w:val="nil"/>
            </w:tcBorders>
            <w:vAlign w:val="center"/>
          </w:tcPr>
          <w:p w14:paraId="555BE147">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特别说明：</w:t>
            </w:r>
          </w:p>
          <w:p w14:paraId="4A7B24C9">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1.为保证本项目质量，良好的售后服务，最低报价不作为中标的唯一依据。</w:t>
            </w:r>
          </w:p>
          <w:p w14:paraId="7993AE96">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2.采购人若发现成交或中标候选投标人在投标过程中提供虚假证明文件，故意隐瞒公司不良信誉和财务状况，以及其他可能对合同圆满履行造成风险的因素等，则按规定取消其成交资格，监管部门依法进行处理。</w:t>
            </w:r>
          </w:p>
          <w:p w14:paraId="696FC650">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3.其它：</w:t>
            </w:r>
          </w:p>
          <w:p w14:paraId="7AFFE45B">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（1）投标企业严格遵守国家的法律法规及招标纪律，无违法违纪及商业贿赂行为。</w:t>
            </w:r>
          </w:p>
          <w:p w14:paraId="2BBB0EB7">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（2）不管投标结果如何，投标人均应自行承担投标所需一切费用。</w:t>
            </w:r>
          </w:p>
          <w:p w14:paraId="6D6FCF62">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（3）投标人应以书面形式保证中标后由本公司组织实施，不得以任何理由将项目转包给其他机构</w:t>
            </w:r>
            <w:r>
              <w:rPr>
                <w:rFonts w:hint="eastAsia" w:ascii="宋体" w:hAnsi="宋体" w:eastAsia="宋体" w:cs="宋体"/>
                <w:b/>
                <w:bCs/>
                <w:color w:val="auto"/>
                <w:kern w:val="2"/>
                <w:sz w:val="24"/>
                <w:szCs w:val="24"/>
                <w:highlight w:val="none"/>
                <w:vertAlign w:val="baseline"/>
                <w:lang w:val="zh-CN" w:eastAsia="zh-CN" w:bidi="ar-SA"/>
              </w:rPr>
              <w:t>（财政政策允许的分包情形除外）</w:t>
            </w:r>
            <w:r>
              <w:rPr>
                <w:rFonts w:hint="eastAsia" w:ascii="宋体" w:hAnsi="宋体" w:eastAsia="宋体" w:cs="宋体"/>
                <w:b w:val="0"/>
                <w:bCs w:val="0"/>
                <w:color w:val="auto"/>
                <w:kern w:val="2"/>
                <w:sz w:val="24"/>
                <w:szCs w:val="24"/>
                <w:highlight w:val="none"/>
                <w:vertAlign w:val="baseline"/>
                <w:lang w:val="zh-CN" w:eastAsia="zh-CN" w:bidi="ar-SA"/>
              </w:rPr>
              <w:t>。</w:t>
            </w:r>
          </w:p>
          <w:p w14:paraId="4FA287EB">
            <w:pPr>
              <w:pStyle w:val="58"/>
              <w:spacing w:line="360" w:lineRule="auto"/>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w:t>
            </w:r>
            <w:r>
              <w:rPr>
                <w:rFonts w:hint="eastAsia" w:ascii="宋体" w:hAnsi="宋体" w:eastAsia="宋体" w:cs="宋体"/>
                <w:b w:val="0"/>
                <w:bCs w:val="0"/>
                <w:color w:val="auto"/>
                <w:kern w:val="2"/>
                <w:sz w:val="24"/>
                <w:szCs w:val="24"/>
                <w:highlight w:val="none"/>
                <w:vertAlign w:val="baseline"/>
                <w:lang w:val="en-US" w:eastAsia="zh-CN" w:bidi="ar-SA"/>
              </w:rPr>
              <w:t>4）</w:t>
            </w:r>
            <w:r>
              <w:rPr>
                <w:rFonts w:hint="eastAsia" w:ascii="宋体" w:hAnsi="宋体" w:eastAsia="宋体" w:cs="宋体"/>
                <w:b w:val="0"/>
                <w:bCs w:val="0"/>
                <w:color w:val="auto"/>
                <w:kern w:val="2"/>
                <w:sz w:val="24"/>
                <w:szCs w:val="24"/>
                <w:highlight w:val="none"/>
                <w:vertAlign w:val="baseline"/>
                <w:lang w:val="zh-CN" w:eastAsia="zh-CN" w:bidi="ar-SA"/>
              </w:rPr>
              <w:t>中标单位配备保障人员应遵守国家法律法规，履行保密义务，严守采购人秘密和国家机密，做到不在服务地点随意走动，不打听、不传播。</w:t>
            </w:r>
          </w:p>
          <w:p w14:paraId="3D20E914">
            <w:pPr>
              <w:pStyle w:val="58"/>
              <w:spacing w:line="36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招标文件中如出现前后不一致情况，均以前附表内容为准。</w:t>
            </w:r>
          </w:p>
        </w:tc>
      </w:tr>
      <w:tr w14:paraId="20C2A6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67" w:hRule="atLeast"/>
        </w:trPr>
        <w:tc>
          <w:tcPr>
            <w:tcW w:w="9035" w:type="dxa"/>
            <w:gridSpan w:val="2"/>
            <w:tcBorders>
              <w:tl2br w:val="nil"/>
              <w:tr2bl w:val="nil"/>
            </w:tcBorders>
            <w:vAlign w:val="center"/>
          </w:tcPr>
          <w:p w14:paraId="124C34F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适用于本投标人须知的额外增加的变动：</w:t>
            </w:r>
          </w:p>
          <w:p w14:paraId="3EA479C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1、关于本项目所有公告、公示在新疆政府采购网发布。</w:t>
            </w:r>
          </w:p>
          <w:p w14:paraId="3E2D25C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2、请投标单位随时关注本项目的澄清、答疑、变更事项。</w:t>
            </w:r>
          </w:p>
          <w:p w14:paraId="56C8A82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75133C0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4、各供应商应在开标前确保成为新疆政府采购网正式注册入库供应商，并完成CA数字证书申领。因未注册入库、未办理CA数字证书等原因造成无法投标或投标失败等后果由供应商自行承担。</w:t>
            </w:r>
          </w:p>
          <w:p w14:paraId="3B38DE2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5、有意向参与自治区电子开评标的供应商，可访问新疆数字证书认证中心官方网站（https://www.xjca.com.cn/）或下载“新疆政务通”APP自行进行申领。如需咨询，请联系新疆CA服务热线95763。</w:t>
            </w:r>
          </w:p>
          <w:p w14:paraId="5BE1320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供应商可前往新疆政府采购网下载专区，下载政采云电子投标客户端，安装完成后，可通过账号密码或CA登录客户端进行响应文件制作。在使用政采云电子投标客户端时，如有问题可拨打政采云客户服务热线进行咨询。</w:t>
            </w:r>
          </w:p>
          <w:p w14:paraId="48064F2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868453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宋体" w:hAnsi="宋体" w:eastAsia="宋体" w:cs="宋体"/>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本项目投标文件解密时间定为30分钟，如投标人因自身原因导致在规定的时间无法正常解密，视为开标后撤销其投标文件，投标保证金采购人有权不予退还。</w:t>
            </w:r>
          </w:p>
        </w:tc>
      </w:tr>
    </w:tbl>
    <w:p w14:paraId="37275D20">
      <w:pPr>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p>
    <w:p w14:paraId="26DA1E58">
      <w:pPr>
        <w:pStyle w:val="3"/>
        <w:pageBreakBefore w:val="0"/>
        <w:numPr>
          <w:ilvl w:val="0"/>
          <w:numId w:val="1"/>
        </w:numPr>
        <w:overflowPunct/>
        <w:topLinePunct w:val="0"/>
        <w:bidi w:val="0"/>
        <w:spacing w:before="0" w:beforeLines="0" w:beforeAutospacing="0" w:after="0" w:afterLines="0" w:afterAutospacing="0" w:line="460" w:lineRule="exact"/>
        <w:ind w:left="0" w:leftChars="0" w:right="0" w:rightChars="0"/>
        <w:jc w:val="center"/>
        <w:rPr>
          <w:rFonts w:hint="eastAsia" w:ascii="宋体" w:hAnsi="宋体" w:eastAsia="宋体" w:cs="宋体"/>
          <w:color w:val="auto"/>
          <w:sz w:val="32"/>
          <w:szCs w:val="32"/>
          <w:highlight w:val="none"/>
        </w:rPr>
      </w:pPr>
      <w:bookmarkStart w:id="18" w:name="_Toc25794"/>
      <w:bookmarkStart w:id="19" w:name="_Toc6735"/>
      <w:r>
        <w:rPr>
          <w:rFonts w:hint="eastAsia" w:ascii="宋体" w:hAnsi="宋体" w:eastAsia="宋体" w:cs="宋体"/>
          <w:color w:val="auto"/>
          <w:sz w:val="32"/>
          <w:szCs w:val="32"/>
          <w:highlight w:val="none"/>
        </w:rPr>
        <w:t>投标人须知</w:t>
      </w:r>
      <w:bookmarkEnd w:id="18"/>
      <w:bookmarkEnd w:id="19"/>
    </w:p>
    <w:p w14:paraId="5BA3BFBB">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outlineLvl w:val="1"/>
        <w:rPr>
          <w:rFonts w:hint="eastAsia" w:ascii="宋体" w:hAnsi="宋体" w:eastAsia="宋体" w:cs="宋体"/>
          <w:b/>
          <w:bCs/>
          <w:color w:val="auto"/>
          <w:sz w:val="24"/>
          <w:szCs w:val="24"/>
          <w:highlight w:val="none"/>
        </w:rPr>
      </w:pPr>
      <w:bookmarkStart w:id="20" w:name="_Toc8877"/>
      <w:bookmarkStart w:id="21" w:name="_Toc16157"/>
      <w:r>
        <w:rPr>
          <w:rFonts w:hint="eastAsia" w:ascii="宋体" w:hAnsi="宋体" w:eastAsia="宋体" w:cs="宋体"/>
          <w:b/>
          <w:bCs/>
          <w:color w:val="auto"/>
          <w:sz w:val="24"/>
          <w:szCs w:val="24"/>
          <w:highlight w:val="none"/>
        </w:rPr>
        <w:t>说 明</w:t>
      </w:r>
      <w:bookmarkEnd w:id="20"/>
      <w:bookmarkEnd w:id="21"/>
    </w:p>
    <w:p w14:paraId="7283491C">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采购人、采购代理机构及投标人</w:t>
      </w:r>
    </w:p>
    <w:p w14:paraId="3CA96F49">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采购人：是指依法进行政府采购的国家机构、事业单位、团体组织。</w:t>
      </w:r>
    </w:p>
    <w:p w14:paraId="2A417F29">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采购代理机构：本次招标的采购代理机构为华春建设工程项目管理有限责任公司。</w:t>
      </w:r>
    </w:p>
    <w:p w14:paraId="74A639ED">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投标人：是指向采购人提供货物、工程或者服务的法人、其他组织或者自然人。</w:t>
      </w:r>
    </w:p>
    <w:p w14:paraId="3AB49D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投标人须满足以下条件：</w:t>
      </w:r>
    </w:p>
    <w:p w14:paraId="3CF68AA0">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1E78F68C">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以招标文件规定的方式获得了本项目的招标文件。</w:t>
      </w:r>
    </w:p>
    <w:p w14:paraId="26B6AFBB">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符合</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中规定的其他资格要求。</w:t>
      </w:r>
    </w:p>
    <w:p w14:paraId="79633521">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中未写明允许采购进口产品，如投标人所投产品为进口产品，其投标将作为</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b w:val="0"/>
          <w:bCs w:val="0"/>
          <w:color w:val="auto"/>
          <w:sz w:val="24"/>
          <w:szCs w:val="24"/>
          <w:highlight w:val="none"/>
          <w:lang w:val="en-US" w:eastAsia="zh-CN"/>
        </w:rPr>
        <w:t xml:space="preserve">被拒绝。 </w:t>
      </w:r>
    </w:p>
    <w:p w14:paraId="3F087347">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中小企业、监狱企业及残疾人福利性单位。</w:t>
      </w:r>
    </w:p>
    <w:p w14:paraId="1FFE24A3">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采购标的对应的中小企业划分标准所属行业见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w:t>
      </w:r>
    </w:p>
    <w:p w14:paraId="2C4D24DD">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若投标须知前附表中写明专门面向中小企业采购的，如投标人所提供的货物为非中小企业制造或提供的服务、工程为非中小企业承接，其投标将被认定为</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。本项目是否面向中小企业采购预留份额、措施及比例见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，未达到上述比例的投标将被认定为</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。承接企业如为监狱企业或残疾人福利性单位的，视同为小型、微型企业。</w:t>
      </w:r>
    </w:p>
    <w:p w14:paraId="3108F3C4">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3710A528">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投标人提供的货物、工程或者服务符合下列情形的，享受中小企业扶持政策：</w:t>
      </w:r>
    </w:p>
    <w:p w14:paraId="6C53B9C2">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在货物采购项目中，货物由中小企业制造，即货物由中小企业生产且使用该中小企业商号或者注册商标；</w:t>
      </w:r>
    </w:p>
    <w:p w14:paraId="49960188">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在工程采购项目中，工程由中小企业承建，即工程施工单位为中小企业；</w:t>
      </w:r>
    </w:p>
    <w:p w14:paraId="17A28F85">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31D08547">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4F6CC223">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454EF658">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30DAAC99">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59B58FC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4A90E4CF">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依法与安置的每位残疾人签订了一年以上（含一年）的劳动合同或服务协议；</w:t>
      </w:r>
    </w:p>
    <w:p w14:paraId="55D305A2">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为安置的每位残疾人按月足额缴纳了基本养老保险、基本医疗保险、失业保险、工伤保险和生育保险等社会保险费；</w:t>
      </w:r>
    </w:p>
    <w:p w14:paraId="052BCD52">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625D1316">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15BF8866">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0B62A0B">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15F0B42F">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政府采购节能产品、环境标志产品</w:t>
      </w:r>
    </w:p>
    <w:p w14:paraId="4155A058">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09DFB8D">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41DD18A">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w:t>
      </w:r>
    </w:p>
    <w:p w14:paraId="6FF327D8">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1D010218">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进口产品</w:t>
      </w:r>
    </w:p>
    <w:p w14:paraId="4881812C">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进口产品是指通过中国海关报关验放进入中国境内且产自关境外的产品，详见《关于政府采购进口产品管理有关问题的通知》(财库[2007]119号)。</w:t>
      </w:r>
    </w:p>
    <w:p w14:paraId="53EDD28F">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正版软件</w:t>
      </w:r>
    </w:p>
    <w:p w14:paraId="31F047E0">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967F8C3">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1F341E5E">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如</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中允许联合体投标，对联合体规定如下：</w:t>
      </w:r>
    </w:p>
    <w:p w14:paraId="226B40A5">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两个以上投标人可以组成一个投标联合体，以一个投标人的身份投标。  </w:t>
      </w:r>
    </w:p>
    <w:p w14:paraId="01AB6546">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14260063">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采购人根据采购项目对投标人的特殊要求，联合体中至少应当有一方符合相关规定。</w:t>
      </w:r>
    </w:p>
    <w:p w14:paraId="579F38EE">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6C741BAD">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0A26E653">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联合体中有同类资质的投标人按照联合体分工承担相同工作的，按照资质等级较低的投标人确定资质等级。</w:t>
      </w:r>
    </w:p>
    <w:p w14:paraId="34EBE1DC">
      <w:pPr>
        <w:keepNext w:val="0"/>
        <w:keepLines w:val="0"/>
        <w:pageBreakBefore w:val="0"/>
        <w:widowControl w:val="0"/>
        <w:numPr>
          <w:ilvl w:val="2"/>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对联合体投标的其他资格要求见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w:t>
      </w:r>
    </w:p>
    <w:p w14:paraId="4BBD25E2">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单位负责人为同一人或者存在直接控股、管理关系的不同投标人，其投标将被认定为</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 xml:space="preserve">。 </w:t>
      </w:r>
    </w:p>
    <w:p w14:paraId="510ABD90">
      <w:pPr>
        <w:keepNext w:val="0"/>
        <w:keepLines w:val="0"/>
        <w:pageBreakBefore w:val="0"/>
        <w:widowControl w:val="0"/>
        <w:numPr>
          <w:ilvl w:val="1"/>
          <w:numId w:val="4"/>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为本项目提供整体设计、规范编制或者项目管理、监理、检测等服务的投标人，其投标将被认定为</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w:t>
      </w:r>
    </w:p>
    <w:p w14:paraId="038D0BE7">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资金来源 </w:t>
      </w:r>
    </w:p>
    <w:p w14:paraId="7AAD6AE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09FB226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项目预算金额和最高限价见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w:t>
      </w:r>
    </w:p>
    <w:p w14:paraId="0D3020B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投标人报价超过招标文件规定的预算金额或者最高限价的，其投标将被认定为</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 xml:space="preserve">。 </w:t>
      </w:r>
    </w:p>
    <w:p w14:paraId="3086E9A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投标费用</w:t>
      </w:r>
    </w:p>
    <w:p w14:paraId="312C09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5D0E4D91">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适用法律</w:t>
      </w:r>
    </w:p>
    <w:p w14:paraId="548ED3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17C7BA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p>
    <w:p w14:paraId="72FB6616">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center"/>
        <w:textAlignment w:val="auto"/>
        <w:outlineLvl w:val="1"/>
        <w:rPr>
          <w:rFonts w:hint="eastAsia" w:ascii="宋体" w:hAnsi="宋体" w:eastAsia="宋体" w:cs="宋体"/>
          <w:b/>
          <w:bCs/>
          <w:color w:val="auto"/>
          <w:sz w:val="24"/>
          <w:szCs w:val="24"/>
          <w:highlight w:val="none"/>
          <w:lang w:val="en-US" w:eastAsia="zh-CN"/>
        </w:rPr>
      </w:pPr>
      <w:bookmarkStart w:id="22" w:name="_Toc474"/>
      <w:bookmarkStart w:id="23" w:name="_Toc30930"/>
      <w:r>
        <w:rPr>
          <w:rFonts w:hint="eastAsia" w:ascii="宋体" w:hAnsi="宋体" w:eastAsia="宋体" w:cs="宋体"/>
          <w:b/>
          <w:bCs/>
          <w:color w:val="auto"/>
          <w:sz w:val="24"/>
          <w:szCs w:val="24"/>
          <w:highlight w:val="none"/>
          <w:lang w:val="en-US" w:eastAsia="zh-CN"/>
        </w:rPr>
        <w:t>招标文件</w:t>
      </w:r>
      <w:bookmarkEnd w:id="22"/>
      <w:bookmarkEnd w:id="23"/>
    </w:p>
    <w:p w14:paraId="3FADFDD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招标文件构成</w:t>
      </w:r>
    </w:p>
    <w:p w14:paraId="354704C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招标文件包括以下部分：</w:t>
      </w:r>
    </w:p>
    <w:p w14:paraId="02C6955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第一章 招标公告（投标邀请） </w:t>
      </w:r>
    </w:p>
    <w:p w14:paraId="5C23C74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第二章 投标须知前附表 </w:t>
      </w:r>
    </w:p>
    <w:p w14:paraId="7AEA942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第三章 投标人须知</w:t>
      </w:r>
    </w:p>
    <w:p w14:paraId="5355C17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第四章 政府采购合同 </w:t>
      </w:r>
    </w:p>
    <w:p w14:paraId="4843227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第五章 采购需求 </w:t>
      </w:r>
    </w:p>
    <w:p w14:paraId="18A4B2A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第六章 评标程序、评标方法和评标标准</w:t>
      </w:r>
    </w:p>
    <w:p w14:paraId="03FCD4D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第七章 投标文件格式 </w:t>
      </w:r>
    </w:p>
    <w:p w14:paraId="5C05E53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w:t>
      </w:r>
    </w:p>
    <w:p w14:paraId="6C4669B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宋体" w:hAnsi="宋体" w:eastAsia="宋体" w:cs="宋体"/>
          <w:b w:val="0"/>
          <w:bCs w:val="0"/>
          <w:color w:val="auto"/>
          <w:sz w:val="24"/>
          <w:szCs w:val="24"/>
          <w:highlight w:val="none"/>
          <w:u w:val="none"/>
          <w:lang w:val="en-US" w:eastAsia="zh-CN"/>
        </w:rPr>
        <w:t>投标须知前附表</w:t>
      </w:r>
      <w:r>
        <w:rPr>
          <w:rFonts w:hint="eastAsia" w:ascii="宋体" w:hAnsi="宋体" w:eastAsia="宋体" w:cs="宋体"/>
          <w:b w:val="0"/>
          <w:bCs w:val="0"/>
          <w:color w:val="auto"/>
          <w:sz w:val="24"/>
          <w:szCs w:val="24"/>
          <w:highlight w:val="none"/>
          <w:lang w:val="en-US" w:eastAsia="zh-CN"/>
        </w:rPr>
        <w:t>不涉及的内容，以编排在后的最后描述为准。</w:t>
      </w:r>
    </w:p>
    <w:p w14:paraId="4699754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现场考察或者答疑会及相关事项见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w:t>
      </w:r>
    </w:p>
    <w:p w14:paraId="36A881F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采购人在踏勘现场中介绍的资料和数据等，只是为了使投标人能够利用采购人现有的资料。采购人对投标人由此而作出的推论、解释和结论概不负责。</w:t>
      </w:r>
    </w:p>
    <w:p w14:paraId="0406DAA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投标人自行承担踏勘现场发生的责任、风险和自身费用。</w:t>
      </w:r>
    </w:p>
    <w:p w14:paraId="720C4E2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，对样品的评审方法及评审标准见招标文件第六章《评标程序、评标方法和评标标准》。</w:t>
      </w:r>
    </w:p>
    <w:p w14:paraId="3A77248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33CCAC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C8BB141">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对招标文件的澄清或修改</w:t>
      </w:r>
    </w:p>
    <w:p w14:paraId="5D19630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02937EE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4995DDF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5311491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2DC4812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077ABB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FB1C68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5525580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center"/>
        <w:textAlignment w:val="auto"/>
        <w:outlineLvl w:val="1"/>
        <w:rPr>
          <w:rFonts w:hint="eastAsia" w:ascii="宋体" w:hAnsi="宋体" w:eastAsia="宋体" w:cs="宋体"/>
          <w:b/>
          <w:bCs/>
          <w:color w:val="auto"/>
          <w:sz w:val="24"/>
          <w:szCs w:val="24"/>
          <w:highlight w:val="none"/>
          <w:lang w:val="en-US" w:eastAsia="zh-CN"/>
        </w:rPr>
      </w:pPr>
      <w:bookmarkStart w:id="24" w:name="_Toc14420"/>
      <w:bookmarkStart w:id="25" w:name="_Toc19754"/>
      <w:r>
        <w:rPr>
          <w:rFonts w:hint="eastAsia" w:ascii="宋体" w:hAnsi="宋体" w:eastAsia="宋体" w:cs="宋体"/>
          <w:b/>
          <w:bCs/>
          <w:color w:val="auto"/>
          <w:sz w:val="24"/>
          <w:szCs w:val="24"/>
          <w:highlight w:val="none"/>
          <w:lang w:val="en-US" w:eastAsia="zh-CN"/>
        </w:rPr>
        <w:t>投标文件的编制</w:t>
      </w:r>
      <w:bookmarkEnd w:id="24"/>
      <w:bookmarkEnd w:id="25"/>
    </w:p>
    <w:p w14:paraId="4D2A31D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投标范围、投标文件中计量单位的使用及投标语言</w:t>
      </w:r>
    </w:p>
    <w:p w14:paraId="54F648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投标人可对招标文件中一个或几个分包进行投标，除非在</w:t>
      </w:r>
      <w:r>
        <w:rPr>
          <w:rFonts w:hint="eastAsia" w:ascii="宋体" w:hAnsi="宋体" w:eastAsia="宋体" w:cs="宋体"/>
          <w:b w:val="0"/>
          <w:bCs w:val="0"/>
          <w:color w:val="auto"/>
          <w:sz w:val="24"/>
          <w:szCs w:val="24"/>
          <w:highlight w:val="none"/>
          <w:u w:val="single"/>
          <w:lang w:val="en-US" w:eastAsia="zh-CN"/>
        </w:rPr>
        <w:t>投标须知前附表中另有规定</w:t>
      </w:r>
      <w:r>
        <w:rPr>
          <w:rFonts w:hint="eastAsia" w:ascii="宋体" w:hAnsi="宋体" w:eastAsia="宋体" w:cs="宋体"/>
          <w:b w:val="0"/>
          <w:bCs w:val="0"/>
          <w:color w:val="auto"/>
          <w:sz w:val="24"/>
          <w:szCs w:val="24"/>
          <w:highlight w:val="none"/>
          <w:lang w:val="en-US" w:eastAsia="zh-CN"/>
        </w:rPr>
        <w:t xml:space="preserve">。 </w:t>
      </w:r>
    </w:p>
    <w:p w14:paraId="2EEE37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投标人应当对所投采购包对应第五章《采购需求》所列的全部内容进行投标，如仅响应采购包中的部分内容，其该包投标将被认定为</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w:t>
      </w:r>
    </w:p>
    <w:p w14:paraId="66C5628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无论招标文件中是否要求，投标人所投货物或服务均应符合国家强制性标准。</w:t>
      </w:r>
    </w:p>
    <w:p w14:paraId="783994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除招标文件有特殊要求外，本项目投标所使用的计量单位，应采用中华人民共和国法定计量单位。</w:t>
      </w:r>
    </w:p>
    <w:p w14:paraId="38380CB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50900CF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投标文件构成</w:t>
      </w:r>
    </w:p>
    <w:p w14:paraId="6F3659F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投标人应当按照招标文件的要求编制投标文件。投标文件的部分格式要求，见第七章《投标文件格式》。</w:t>
      </w:r>
    </w:p>
    <w:p w14:paraId="6F10775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第五章《采购需求》及第六章《评标程序、评标方法和评标标准》中涉及的证明文件。</w:t>
      </w:r>
    </w:p>
    <w:p w14:paraId="0686A2B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0508AEA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投标人认为应附的其他材料。</w:t>
      </w:r>
    </w:p>
    <w:p w14:paraId="6BD4A47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2C141C9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w:t>
      </w:r>
    </w:p>
    <w:p w14:paraId="4B7156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所有投标均以人民币报价。</w:t>
      </w:r>
    </w:p>
    <w:p w14:paraId="080E516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的报价应当包括满足本次招标全部采购需求所应提供的全部内容。投标人的投标报价应遵守《中华人民共和国价格法》。同时，根据《中华人民共和国政府采购法》及相关配套法律、法规的规定，为保证公平竞争，如投标人有赠与行为的，将导致其</w:t>
      </w:r>
      <w:r>
        <w:rPr>
          <w:rFonts w:hint="eastAsia" w:ascii="宋体" w:hAnsi="宋体" w:eastAsia="宋体" w:cs="宋体"/>
          <w:b/>
          <w:bCs/>
          <w:color w:val="auto"/>
          <w:sz w:val="24"/>
          <w:szCs w:val="24"/>
          <w:highlight w:val="none"/>
          <w:lang w:val="en-US" w:eastAsia="zh-CN"/>
        </w:rPr>
        <w:t>投标被拒绝</w:t>
      </w:r>
      <w:r>
        <w:rPr>
          <w:rFonts w:hint="eastAsia" w:ascii="宋体" w:hAnsi="宋体" w:eastAsia="宋体" w:cs="宋体"/>
          <w:b w:val="0"/>
          <w:bCs w:val="0"/>
          <w:color w:val="auto"/>
          <w:sz w:val="24"/>
          <w:szCs w:val="24"/>
          <w:highlight w:val="none"/>
          <w:lang w:val="en-US" w:eastAsia="zh-CN"/>
        </w:rPr>
        <w:t>。</w:t>
      </w:r>
    </w:p>
    <w:p w14:paraId="6F689F0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投标人所报的各分项投标单价在合同履行过程中是固定不变的，不得以任何理由予以变更。任何包含价格调整要求的投标，其投标将被认定为投标无效。投标人须保持单项价格合理性，严禁出现不平衡报价情况，项目采购结束后，采购人有权对各单项价格进行核查，对于严重超过市场价格的单价，在正式合同中明确:对于认定为不平衡报价的单项，如果发生数量增加，采购人将参照市场价格对此部分内容进行重新认价。 </w:t>
      </w:r>
    </w:p>
    <w:p w14:paraId="4535A73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512352C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投标保证金</w:t>
      </w:r>
    </w:p>
    <w:p w14:paraId="1D763C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投标人应按</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中规定的金额及要求交纳投标保证金，并作为其投标的一部分。</w:t>
      </w:r>
    </w:p>
    <w:p w14:paraId="1CF7629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交纳投标保证金的形式除</w:t>
      </w:r>
      <w:r>
        <w:rPr>
          <w:rFonts w:hint="eastAsia" w:ascii="宋体" w:hAnsi="宋体" w:eastAsia="宋体" w:cs="宋体"/>
          <w:b w:val="0"/>
          <w:bCs w:val="0"/>
          <w:color w:val="auto"/>
          <w:sz w:val="24"/>
          <w:szCs w:val="24"/>
          <w:highlight w:val="none"/>
          <w:u w:val="single"/>
          <w:lang w:val="en-US" w:eastAsia="zh-CN"/>
        </w:rPr>
        <w:t>投标须知前附表中</w:t>
      </w:r>
      <w:r>
        <w:rPr>
          <w:rFonts w:hint="eastAsia" w:ascii="宋体" w:hAnsi="宋体" w:eastAsia="宋体" w:cs="宋体"/>
          <w:b w:val="0"/>
          <w:bCs w:val="0"/>
          <w:color w:val="auto"/>
          <w:sz w:val="24"/>
          <w:szCs w:val="24"/>
          <w:highlight w:val="none"/>
          <w:u w:val="none"/>
          <w:lang w:val="en-US" w:eastAsia="zh-CN"/>
        </w:rPr>
        <w:t>另有约定外，</w:t>
      </w:r>
      <w:r>
        <w:rPr>
          <w:rFonts w:hint="eastAsia" w:ascii="宋体" w:hAnsi="宋体" w:eastAsia="宋体" w:cs="宋体"/>
          <w:b w:val="0"/>
          <w:bCs w:val="0"/>
          <w:color w:val="auto"/>
          <w:sz w:val="24"/>
          <w:szCs w:val="24"/>
          <w:highlight w:val="none"/>
          <w:lang w:val="en-US" w:eastAsia="zh-CN"/>
        </w:rPr>
        <w:t>可采用的形式：政府采购法律法规接受的支票、汇票、本票、网上银行支付或者金融机构、担保机构出具的保函等非现金形式。</w:t>
      </w:r>
    </w:p>
    <w:p w14:paraId="460DF22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由于到账时间晚于投标截止时间的，或者票据错误、印鉴不清等原因导致不能到账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w:t>
      </w:r>
    </w:p>
    <w:p w14:paraId="40B30B6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。电子保函与纸质保函具有同样效力。</w:t>
      </w:r>
    </w:p>
    <w:p w14:paraId="22AFC3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投标保证金（保函）有效期同投标有效期。</w:t>
      </w:r>
    </w:p>
    <w:p w14:paraId="3872270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2A5C021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6CDC878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27E9C45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中标人的投标保证金，自采购合同签订之日起 5 个工作日内退还中标人。 </w:t>
      </w:r>
    </w:p>
    <w:p w14:paraId="76CDA8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未中标投标人的投标保证金，自中标通知书发出之日起 5 个工作日内退还未中标人。</w:t>
      </w:r>
    </w:p>
    <w:p w14:paraId="3832BF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终止采购活动的项目已经收取投标保证金的，自终止采购活动后 5 个工作日内退还已收取的投标保证金。</w:t>
      </w:r>
    </w:p>
    <w:p w14:paraId="06567E8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有下列情形之一的，采购人或采购代理机构可以不予退还投标保证金：</w:t>
      </w:r>
    </w:p>
    <w:p w14:paraId="334C673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在投标有效期内，投标人撤回投标的； </w:t>
      </w:r>
    </w:p>
    <w:p w14:paraId="2F8666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中标人不按本招标文件的规定与采购人签订合同的； </w:t>
      </w:r>
    </w:p>
    <w:p w14:paraId="2C6687A5">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中标人不按本招标文件的规定提交履约保证金的； </w:t>
      </w:r>
    </w:p>
    <w:p w14:paraId="4278534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中标人不按本招标文件的规定缴纳中标服务费的； </w:t>
      </w:r>
    </w:p>
    <w:p w14:paraId="3562321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存在的串通投标情形的； </w:t>
      </w:r>
    </w:p>
    <w:p w14:paraId="122D220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存在向采购人、代理机构或评标专家行贿事实的； </w:t>
      </w:r>
    </w:p>
    <w:p w14:paraId="7F58BE0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法律、法规规定的其它情况。 </w:t>
      </w:r>
    </w:p>
    <w:p w14:paraId="6AAACF11">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投标有效期</w:t>
      </w:r>
    </w:p>
    <w:p w14:paraId="760139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投标文件应在</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中规定的投标有效期内保持有效，投标有效期少于招标文件规定期限的，其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w:t>
      </w:r>
    </w:p>
    <w:p w14:paraId="6B59E5A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62D815B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投标文件的制作</w:t>
      </w:r>
    </w:p>
    <w:p w14:paraId="7BAE710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66F3CE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4A1BECA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如有对多个采购包投标的，要对每个采购包独立制作电子投标文件。</w:t>
      </w:r>
    </w:p>
    <w:p w14:paraId="470D070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投标人须对招标文件的对应要求给予唯一的实质性响应，否则将视为</w:t>
      </w:r>
      <w:r>
        <w:rPr>
          <w:rFonts w:hint="eastAsia" w:ascii="宋体" w:hAnsi="宋体" w:eastAsia="宋体" w:cs="宋体"/>
          <w:b/>
          <w:bCs/>
          <w:color w:val="auto"/>
          <w:sz w:val="24"/>
          <w:szCs w:val="24"/>
          <w:highlight w:val="none"/>
          <w:lang w:val="en-US" w:eastAsia="zh-CN"/>
        </w:rPr>
        <w:t>不响应</w:t>
      </w:r>
      <w:r>
        <w:rPr>
          <w:rFonts w:hint="eastAsia" w:ascii="宋体" w:hAnsi="宋体" w:eastAsia="宋体" w:cs="宋体"/>
          <w:b w:val="0"/>
          <w:bCs w:val="0"/>
          <w:color w:val="auto"/>
          <w:sz w:val="24"/>
          <w:szCs w:val="24"/>
          <w:highlight w:val="none"/>
          <w:lang w:val="en-US" w:eastAsia="zh-CN"/>
        </w:rPr>
        <w:t>。</w:t>
      </w:r>
    </w:p>
    <w:p w14:paraId="29C9BA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14CF620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1B7FB53B">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center"/>
        <w:textAlignment w:val="auto"/>
        <w:outlineLvl w:val="1"/>
        <w:rPr>
          <w:rFonts w:hint="eastAsia" w:ascii="宋体" w:hAnsi="宋体" w:eastAsia="宋体" w:cs="宋体"/>
          <w:b/>
          <w:bCs/>
          <w:color w:val="auto"/>
          <w:sz w:val="24"/>
          <w:szCs w:val="24"/>
          <w:highlight w:val="none"/>
          <w:lang w:val="en-US" w:eastAsia="zh-CN"/>
        </w:rPr>
      </w:pPr>
      <w:bookmarkStart w:id="26" w:name="_Toc17647"/>
      <w:bookmarkStart w:id="27" w:name="_Toc21972"/>
      <w:r>
        <w:rPr>
          <w:rFonts w:hint="eastAsia" w:ascii="宋体" w:hAnsi="宋体" w:eastAsia="宋体" w:cs="宋体"/>
          <w:b/>
          <w:bCs/>
          <w:color w:val="auto"/>
          <w:sz w:val="24"/>
          <w:szCs w:val="24"/>
          <w:highlight w:val="none"/>
          <w:lang w:val="en-US" w:eastAsia="zh-CN"/>
        </w:rPr>
        <w:t>投标文件的提交</w:t>
      </w:r>
      <w:bookmarkEnd w:id="26"/>
      <w:bookmarkEnd w:id="27"/>
    </w:p>
    <w:p w14:paraId="335A638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投标文件的提交</w:t>
      </w:r>
    </w:p>
    <w:p w14:paraId="46166C1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投标人应在</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中规定的截止时间前，将投标文件递交到招标公告中规定的电子招投标平台。时间以北京时间为准，投标截止时间结束后，系统将不允许投标人上传投标文件，已上传投标文件但未完成传输的文件系统将拒绝接收。</w:t>
      </w:r>
    </w:p>
    <w:p w14:paraId="19A810C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代理机构对因不可抗力事件造成的投标文件的损坏、丢失的，不承担责任。</w:t>
      </w:r>
    </w:p>
    <w:p w14:paraId="54996B0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出现下述情形之一，属于未成功提交投标文件，按无效</w:t>
      </w:r>
      <w:r>
        <w:rPr>
          <w:rFonts w:hint="eastAsia" w:ascii="宋体" w:hAnsi="宋体" w:eastAsia="宋体" w:cs="宋体"/>
          <w:b/>
          <w:bCs/>
          <w:color w:val="auto"/>
          <w:sz w:val="24"/>
          <w:szCs w:val="24"/>
          <w:highlight w:val="none"/>
          <w:lang w:val="en-US" w:eastAsia="zh-CN"/>
        </w:rPr>
        <w:t>投标处理</w:t>
      </w:r>
      <w:r>
        <w:rPr>
          <w:rFonts w:hint="eastAsia" w:ascii="宋体" w:hAnsi="宋体" w:eastAsia="宋体" w:cs="宋体"/>
          <w:b w:val="0"/>
          <w:bCs w:val="0"/>
          <w:color w:val="auto"/>
          <w:sz w:val="24"/>
          <w:szCs w:val="24"/>
          <w:highlight w:val="none"/>
          <w:lang w:val="en-US" w:eastAsia="zh-CN"/>
        </w:rPr>
        <w:t>：</w:t>
      </w:r>
    </w:p>
    <w:p w14:paraId="7511D429">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至提交投标文件截止时，投标文件未完整上传的。 </w:t>
      </w:r>
    </w:p>
    <w:p w14:paraId="370975F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673BE0D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投标文件损坏或格式不正确的。</w:t>
      </w:r>
    </w:p>
    <w:p w14:paraId="162EC9C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投标文件的修改、撤回与撤销</w:t>
      </w:r>
    </w:p>
    <w:p w14:paraId="2EADBFA7">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2FE8CEB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在提交投标文件截止时间后，投标人不得补充、修改和更换投标文件。</w:t>
      </w:r>
      <w:r>
        <w:rPr>
          <w:rFonts w:hint="eastAsia" w:ascii="宋体" w:hAnsi="宋体" w:eastAsia="宋体" w:cs="宋体"/>
          <w:b/>
          <w:bCs/>
          <w:color w:val="auto"/>
          <w:sz w:val="24"/>
          <w:szCs w:val="24"/>
          <w:highlight w:val="none"/>
          <w:lang w:val="en-US" w:eastAsia="zh-CN"/>
        </w:rPr>
        <w:t xml:space="preserve"> </w:t>
      </w:r>
    </w:p>
    <w:p w14:paraId="5F378A7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p>
    <w:p w14:paraId="0CE1B33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beforeAutospacing="0" w:afterAutospacing="0" w:line="460" w:lineRule="exact"/>
        <w:ind w:left="0" w:leftChars="0" w:right="0" w:rightChars="0" w:firstLine="482" w:firstLineChars="200"/>
        <w:jc w:val="center"/>
        <w:textAlignment w:val="auto"/>
        <w:outlineLvl w:val="1"/>
        <w:rPr>
          <w:rFonts w:hint="eastAsia" w:ascii="宋体" w:hAnsi="宋体" w:eastAsia="宋体" w:cs="宋体"/>
          <w:b/>
          <w:bCs/>
          <w:color w:val="auto"/>
          <w:sz w:val="24"/>
          <w:szCs w:val="24"/>
          <w:highlight w:val="none"/>
          <w:lang w:val="en-US" w:eastAsia="zh-CN"/>
        </w:rPr>
      </w:pPr>
      <w:bookmarkStart w:id="28" w:name="_Toc19179"/>
      <w:bookmarkStart w:id="29" w:name="_Toc19577"/>
      <w:r>
        <w:rPr>
          <w:rFonts w:hint="eastAsia" w:ascii="宋体" w:hAnsi="宋体" w:eastAsia="宋体" w:cs="宋体"/>
          <w:b/>
          <w:bCs/>
          <w:color w:val="auto"/>
          <w:sz w:val="24"/>
          <w:szCs w:val="24"/>
          <w:highlight w:val="none"/>
          <w:lang w:val="en-US" w:eastAsia="zh-CN"/>
        </w:rPr>
        <w:t>开标、资格审查及评标</w:t>
      </w:r>
      <w:bookmarkEnd w:id="28"/>
      <w:bookmarkEnd w:id="29"/>
    </w:p>
    <w:p w14:paraId="4B1C1304">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开标</w:t>
      </w:r>
    </w:p>
    <w:p w14:paraId="1328D31A">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采购人和采购代理机构将按</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102D2A2">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采用远程电子开标的：</w:t>
      </w:r>
    </w:p>
    <w:p w14:paraId="1530881B">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7FBD605D">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5C41D59">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宋体" w:hAnsi="宋体" w:eastAsia="宋体" w:cs="宋体"/>
          <w:b/>
          <w:bCs/>
          <w:color w:val="auto"/>
          <w:sz w:val="24"/>
          <w:szCs w:val="24"/>
          <w:highlight w:val="none"/>
          <w:lang w:val="en-US" w:eastAsia="zh-CN"/>
        </w:rPr>
        <w:t>投标处理</w:t>
      </w:r>
      <w:r>
        <w:rPr>
          <w:rFonts w:hint="eastAsia" w:ascii="宋体" w:hAnsi="宋体" w:eastAsia="宋体" w:cs="宋体"/>
          <w:b w:val="0"/>
          <w:bCs w:val="0"/>
          <w:color w:val="auto"/>
          <w:sz w:val="24"/>
          <w:szCs w:val="24"/>
          <w:highlight w:val="none"/>
          <w:lang w:val="en-US" w:eastAsia="zh-CN"/>
        </w:rPr>
        <w:t>。</w:t>
      </w:r>
    </w:p>
    <w:p w14:paraId="16D66F3C">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2667EE6E">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投标截止时间后，投标人不足3家的，不得开标。同时，本次采购活动结束。</w:t>
      </w:r>
    </w:p>
    <w:p w14:paraId="63044520">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开标时出现下列情况的，视为</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处理：</w:t>
      </w:r>
    </w:p>
    <w:p w14:paraId="040D340F">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因投标人自身原因，未在规定时间内完成电子投标文件解密的；</w:t>
      </w:r>
    </w:p>
    <w:p w14:paraId="6ABD8223">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1ED5ABCC">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采购人或采购代理机构将对开标过程进行记录，由参加开标的各投标人代表和相关工作人员签字确认。</w:t>
      </w:r>
    </w:p>
    <w:p w14:paraId="40E0E104">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资格审查</w:t>
      </w:r>
    </w:p>
    <w:p w14:paraId="1AD52E99">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CCCBB64">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资格审查要求详见第六章《评标程序、评标方法和评标标准》。</w:t>
      </w:r>
    </w:p>
    <w:p w14:paraId="1C649077">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采购人或采购代理机构将按</w:t>
      </w:r>
      <w:r>
        <w:rPr>
          <w:rFonts w:hint="eastAsia" w:ascii="宋体" w:hAnsi="宋体" w:eastAsia="宋体" w:cs="宋体"/>
          <w:b w:val="0"/>
          <w:bCs w:val="0"/>
          <w:color w:val="auto"/>
          <w:sz w:val="24"/>
          <w:szCs w:val="24"/>
          <w:highlight w:val="none"/>
          <w:u w:val="none"/>
          <w:lang w:val="en-US" w:eastAsia="zh-CN"/>
        </w:rPr>
        <w:t>第六章《评标程序、评标方法和评标标准》</w:t>
      </w:r>
      <w:r>
        <w:rPr>
          <w:rFonts w:hint="eastAsia" w:ascii="宋体" w:hAnsi="宋体" w:eastAsia="宋体" w:cs="宋体"/>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5D4293DE">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评标委员会</w:t>
      </w:r>
    </w:p>
    <w:p w14:paraId="49B37828">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评标委员会根据政府采购有关规定和本次招标采购项目的特点进行组建，并负责具体评标事务，独立履行职责。 详见</w:t>
      </w:r>
      <w:r>
        <w:rPr>
          <w:rFonts w:hint="eastAsia" w:ascii="宋体" w:hAnsi="宋体" w:eastAsia="宋体" w:cs="宋体"/>
          <w:b w:val="0"/>
          <w:bCs w:val="0"/>
          <w:color w:val="auto"/>
          <w:sz w:val="24"/>
          <w:szCs w:val="24"/>
          <w:highlight w:val="none"/>
          <w:u w:val="single"/>
          <w:lang w:val="en-US" w:eastAsia="zh-CN"/>
        </w:rPr>
        <w:t>投标须知前附表</w:t>
      </w:r>
    </w:p>
    <w:p w14:paraId="7B86C111">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DB7A962">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评标程序、评标方法和评标标准</w:t>
      </w:r>
    </w:p>
    <w:p w14:paraId="354CE653">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详见第六章《评标程序、评标方法和评标标准》</w:t>
      </w:r>
    </w:p>
    <w:p w14:paraId="6AD253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07D59174">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center"/>
        <w:textAlignment w:val="auto"/>
        <w:outlineLvl w:val="1"/>
        <w:rPr>
          <w:rFonts w:hint="eastAsia" w:ascii="宋体" w:hAnsi="宋体" w:eastAsia="宋体" w:cs="宋体"/>
          <w:b/>
          <w:bCs/>
          <w:color w:val="auto"/>
          <w:sz w:val="24"/>
          <w:szCs w:val="24"/>
          <w:highlight w:val="none"/>
          <w:lang w:val="en-US" w:eastAsia="zh-CN"/>
        </w:rPr>
      </w:pPr>
      <w:bookmarkStart w:id="30" w:name="_Toc1357"/>
      <w:bookmarkStart w:id="31" w:name="_Toc19972"/>
      <w:r>
        <w:rPr>
          <w:rFonts w:hint="eastAsia" w:ascii="宋体" w:hAnsi="宋体" w:eastAsia="宋体" w:cs="宋体"/>
          <w:b/>
          <w:bCs/>
          <w:color w:val="auto"/>
          <w:sz w:val="24"/>
          <w:szCs w:val="24"/>
          <w:highlight w:val="none"/>
          <w:lang w:val="en-US" w:eastAsia="zh-CN"/>
        </w:rPr>
        <w:t>确定中标</w:t>
      </w:r>
      <w:bookmarkEnd w:id="30"/>
      <w:bookmarkEnd w:id="31"/>
    </w:p>
    <w:p w14:paraId="753C0547">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确定中标人</w:t>
      </w:r>
    </w:p>
    <w:p w14:paraId="52894116">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采购人将在评标报告确定的中标候选人名单中按综合得分排名顺序确定中标人。采购人是否委托评标委员会直接确定中标人见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w:t>
      </w:r>
    </w:p>
    <w:p w14:paraId="745F44EA">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中标公告与中标通知书</w:t>
      </w:r>
    </w:p>
    <w:p w14:paraId="4B28831E">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42E58079">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3F4B39CD">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废标</w:t>
      </w:r>
    </w:p>
    <w:p w14:paraId="64937108">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在招标采购中，出现下列情形之一的，应予废标：</w:t>
      </w:r>
    </w:p>
    <w:p w14:paraId="767C2CCF">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符合专业条件的供应商或者对招标文件作实质响应的供应商不足三家的；</w:t>
      </w:r>
    </w:p>
    <w:p w14:paraId="0DBC2193">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出现影响采购公正的违法、违规行为的；</w:t>
      </w:r>
    </w:p>
    <w:p w14:paraId="0583D71A">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投标人的报价均超过了采购最高限价，采购人不能支付的；</w:t>
      </w:r>
    </w:p>
    <w:p w14:paraId="44AB9745">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因重大变故，采购任务取消的。</w:t>
      </w:r>
    </w:p>
    <w:p w14:paraId="396FB24A">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废标后，采购人将废标理由通知所有投标人。</w:t>
      </w:r>
    </w:p>
    <w:p w14:paraId="3B216845">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签订合同</w:t>
      </w:r>
    </w:p>
    <w:p w14:paraId="2BEECB9B">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294D6A85">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08BA63D3">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联合体中标的，联合体各方应当共同与采购人签订合同，就中标项目向采购人承担连带责任。 </w:t>
      </w:r>
    </w:p>
    <w:p w14:paraId="45AE0F3D">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w:t>
      </w:r>
    </w:p>
    <w:p w14:paraId="3B8B5665">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w:t>
      </w:r>
    </w:p>
    <w:p w14:paraId="12DA0D31">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中标人应按照</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规定的金额、形式和时间向采购人缴纳履约保证金。</w:t>
      </w:r>
    </w:p>
    <w:p w14:paraId="17E21009">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经采购人同意，中标人也可以自愿采用其他履约保证金的提供方式。</w:t>
      </w:r>
    </w:p>
    <w:p w14:paraId="209A75E0">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08A2FFF4">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代理服务费</w:t>
      </w:r>
    </w:p>
    <w:p w14:paraId="3DD1CA94">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收费对象、收费标准及缴纳时间见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 xml:space="preserve">。由中标人支付的，中标人须一次性向采购代理机构缴纳代理费，投标报价应包含代理费用。 </w:t>
      </w:r>
    </w:p>
    <w:p w14:paraId="4113C69D">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询问与质疑</w:t>
      </w:r>
    </w:p>
    <w:p w14:paraId="54F538B1">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询问</w:t>
      </w:r>
    </w:p>
    <w:p w14:paraId="42155D8F">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中“采购人、采购代理机构的名称、地址和联系方式”。</w:t>
      </w:r>
    </w:p>
    <w:p w14:paraId="3F82C616">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质疑</w:t>
      </w:r>
    </w:p>
    <w:p w14:paraId="4E289E81">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6838782D">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供应商应知其权益受到损害之日是指：</w:t>
      </w:r>
    </w:p>
    <w:p w14:paraId="327E7EE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（1）对招标文件提出质疑的，为获取招标文件之日或者招标文件获取期限届满之日；</w:t>
      </w:r>
    </w:p>
    <w:p w14:paraId="533A42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（2）对采购过程提出质疑的，为各采购程序环节结束之日；</w:t>
      </w:r>
    </w:p>
    <w:p w14:paraId="04C31E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（3）对中标结果提出质疑的，为中标结果公告期限届满之日。 </w:t>
      </w:r>
    </w:p>
    <w:p w14:paraId="50D15A54">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52355BEC">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质疑函须使用财政部制定的范本文件。</w:t>
      </w:r>
    </w:p>
    <w:p w14:paraId="0325779D">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投标人为自然人的，应当由本人签字；投标人为法人或者其他组织的，应当由法定代表人、主要负责人，或者其授权代表签字或者盖章，并加盖公章。</w:t>
      </w:r>
    </w:p>
    <w:p w14:paraId="69F8FC2C">
      <w:pPr>
        <w:keepNext w:val="0"/>
        <w:keepLines w:val="0"/>
        <w:pageBreakBefore w:val="0"/>
        <w:widowControl w:val="0"/>
        <w:numPr>
          <w:ilvl w:val="2"/>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17ACB0D4">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6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p w14:paraId="362C5CB7">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BB88B57">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DE88797">
      <w:pPr>
        <w:keepNext w:val="0"/>
        <w:keepLines w:val="0"/>
        <w:pageBreakBefore w:val="0"/>
        <w:widowControl w:val="0"/>
        <w:numPr>
          <w:ilvl w:val="1"/>
          <w:numId w:val="7"/>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适用于本投标人须知的额外增加的变动详见</w:t>
      </w:r>
      <w:r>
        <w:rPr>
          <w:rFonts w:hint="eastAsia" w:ascii="宋体" w:hAnsi="宋体" w:eastAsia="宋体" w:cs="宋体"/>
          <w:b w:val="0"/>
          <w:bCs w:val="0"/>
          <w:color w:val="auto"/>
          <w:sz w:val="24"/>
          <w:szCs w:val="24"/>
          <w:highlight w:val="none"/>
          <w:u w:val="single"/>
          <w:lang w:val="en-US" w:eastAsia="zh-CN"/>
        </w:rPr>
        <w:t>投标须知前附表</w:t>
      </w:r>
      <w:r>
        <w:rPr>
          <w:rFonts w:hint="eastAsia" w:ascii="宋体" w:hAnsi="宋体" w:eastAsia="宋体" w:cs="宋体"/>
          <w:b w:val="0"/>
          <w:bCs w:val="0"/>
          <w:color w:val="auto"/>
          <w:sz w:val="24"/>
          <w:szCs w:val="24"/>
          <w:highlight w:val="none"/>
          <w:lang w:val="en-US" w:eastAsia="zh-CN"/>
        </w:rPr>
        <w:t>。</w:t>
      </w:r>
    </w:p>
    <w:p w14:paraId="2908ABB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p>
    <w:p w14:paraId="6662F678">
      <w:pPr>
        <w:pageBreakBefore w:val="0"/>
        <w:overflowPunct/>
        <w:topLinePunct w:val="0"/>
        <w:bidi w:val="0"/>
        <w:spacing w:beforeAutospacing="0" w:afterAutospacing="0" w:line="460" w:lineRule="exact"/>
        <w:ind w:left="0" w:leftChars="0" w:right="0" w:righ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14:paraId="7E74745C">
      <w:pPr>
        <w:pStyle w:val="3"/>
        <w:pageBreakBefore w:val="0"/>
        <w:numPr>
          <w:ilvl w:val="0"/>
          <w:numId w:val="1"/>
        </w:numPr>
        <w:overflowPunct/>
        <w:topLinePunct w:val="0"/>
        <w:bidi w:val="0"/>
        <w:spacing w:before="0" w:beforeLines="0" w:beforeAutospacing="0" w:after="0" w:afterLines="0" w:afterAutospacing="0" w:line="460" w:lineRule="exact"/>
        <w:ind w:left="0" w:leftChars="0" w:right="0" w:rightChars="0"/>
        <w:jc w:val="center"/>
        <w:rPr>
          <w:rFonts w:hint="eastAsia" w:ascii="宋体" w:hAnsi="宋体" w:eastAsia="宋体" w:cs="宋体"/>
          <w:color w:val="auto"/>
          <w:sz w:val="32"/>
          <w:szCs w:val="32"/>
          <w:highlight w:val="none"/>
          <w:lang w:val="en-US" w:eastAsia="zh-CN"/>
        </w:rPr>
      </w:pPr>
      <w:bookmarkStart w:id="32" w:name="_Toc22645"/>
      <w:bookmarkStart w:id="33" w:name="_Toc31806"/>
      <w:r>
        <w:rPr>
          <w:rFonts w:hint="eastAsia" w:ascii="宋体" w:hAnsi="宋体" w:eastAsia="宋体" w:cs="宋体"/>
          <w:color w:val="auto"/>
          <w:sz w:val="32"/>
          <w:szCs w:val="32"/>
          <w:highlight w:val="none"/>
          <w:lang w:val="en-US" w:eastAsia="zh-CN"/>
        </w:rPr>
        <w:t>政府采购合同（参考模板）</w:t>
      </w:r>
      <w:bookmarkEnd w:id="32"/>
      <w:bookmarkEnd w:id="33"/>
    </w:p>
    <w:p w14:paraId="1E26114B">
      <w:pPr>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bCs/>
          <w:color w:val="auto"/>
          <w:sz w:val="32"/>
          <w:szCs w:val="32"/>
          <w:highlight w:val="none"/>
          <w:lang w:val="en-US" w:eastAsia="zh-CN"/>
        </w:rPr>
      </w:pPr>
      <w:bookmarkStart w:id="34" w:name="_Toc40129201"/>
      <w:bookmarkEnd w:id="34"/>
      <w:bookmarkStart w:id="35" w:name="_Hlt487972895"/>
      <w:bookmarkEnd w:id="35"/>
      <w:bookmarkStart w:id="36" w:name="_Toc40119238"/>
      <w:bookmarkEnd w:id="36"/>
      <w:bookmarkStart w:id="37" w:name="_Toc40045356"/>
      <w:bookmarkEnd w:id="37"/>
      <w:bookmarkStart w:id="38" w:name="_Toc40114859"/>
      <w:bookmarkEnd w:id="38"/>
      <w:bookmarkStart w:id="39" w:name="_Toc40179339"/>
      <w:bookmarkEnd w:id="39"/>
      <w:bookmarkStart w:id="40" w:name="_Toc20273"/>
      <w:r>
        <w:rPr>
          <w:rFonts w:hint="eastAsia" w:ascii="宋体" w:hAnsi="宋体" w:eastAsia="宋体" w:cs="宋体"/>
          <w:b/>
          <w:bCs/>
          <w:color w:val="auto"/>
          <w:sz w:val="32"/>
          <w:szCs w:val="32"/>
          <w:highlight w:val="none"/>
          <w:lang w:val="en-US" w:eastAsia="zh-CN"/>
        </w:rPr>
        <w:t>政府采购合同主要条款（以与甲方签订合同为准）</w:t>
      </w:r>
    </w:p>
    <w:p w14:paraId="3E935C05">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合同编号:XXX 签订地点:XXX</w:t>
      </w:r>
    </w:p>
    <w:p w14:paraId="22038786">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签订时间:XxX年XXX月XXX日</w:t>
      </w:r>
    </w:p>
    <w:p w14:paraId="7C104EBF">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采购人(甲方):XX</w:t>
      </w:r>
    </w:p>
    <w:p w14:paraId="262E4139">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投标人(乙方):XXX</w:t>
      </w:r>
    </w:p>
    <w:p w14:paraId="24C6B166">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根据《中华人民共和国政府采购法》、《中华人民共和国民法典》及 XXX 采购项目(项目编号:XXX)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守如下条款:</w:t>
      </w:r>
    </w:p>
    <w:p w14:paraId="1D2C05EA">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一、合同货物</w:t>
      </w:r>
    </w:p>
    <w:tbl>
      <w:tblPr>
        <w:tblStyle w:val="33"/>
        <w:tblW w:w="7897"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4"/>
        <w:gridCol w:w="1649"/>
        <w:gridCol w:w="761"/>
        <w:gridCol w:w="761"/>
        <w:gridCol w:w="877"/>
        <w:gridCol w:w="1221"/>
        <w:gridCol w:w="1294"/>
      </w:tblGrid>
      <w:tr w14:paraId="7EED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4" w:type="dxa"/>
            <w:tcBorders>
              <w:top w:val="single" w:color="000000" w:sz="4" w:space="0"/>
              <w:left w:val="single" w:color="000000" w:sz="4" w:space="0"/>
              <w:bottom w:val="single" w:color="000000" w:sz="4" w:space="0"/>
              <w:right w:val="single" w:color="000000" w:sz="4" w:space="0"/>
            </w:tcBorders>
            <w:noWrap/>
            <w:vAlign w:val="center"/>
          </w:tcPr>
          <w:p w14:paraId="47CDD3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货物品名</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12BE38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规格型号</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527EEF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生产厂家</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2A8E1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E84FE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2B518BBB">
            <w:pPr>
              <w:keepNext w:val="0"/>
              <w:keepLines w:val="0"/>
              <w:pageBreakBefore w:val="0"/>
              <w:widowControl/>
              <w:suppressLineNumbers w:val="0"/>
              <w:kinsoku/>
              <w:wordWrap/>
              <w:overflowPunct/>
              <w:topLinePunct w:val="0"/>
              <w:autoSpaceDE/>
              <w:autoSpaceDN/>
              <w:bidi w:val="0"/>
              <w:adjustRightInd/>
              <w:snapToGrid/>
              <w:ind w:firstLine="480" w:firstLineChars="20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总价</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792A85D">
            <w:pPr>
              <w:keepNext w:val="0"/>
              <w:keepLines w:val="0"/>
              <w:pageBreakBefore w:val="0"/>
              <w:widowControl/>
              <w:suppressLineNumbers w:val="0"/>
              <w:kinsoku/>
              <w:wordWrap/>
              <w:overflowPunct/>
              <w:topLinePunct w:val="0"/>
              <w:autoSpaceDE/>
              <w:autoSpaceDN/>
              <w:bidi w:val="0"/>
              <w:adjustRightInd/>
              <w:snapToGrid/>
              <w:ind w:firstLine="480" w:firstLineChars="20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40688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4" w:type="dxa"/>
            <w:tcBorders>
              <w:top w:val="single" w:color="000000" w:sz="4" w:space="0"/>
              <w:left w:val="single" w:color="000000" w:sz="4" w:space="0"/>
              <w:bottom w:val="single" w:color="000000" w:sz="4" w:space="0"/>
              <w:right w:val="single" w:color="000000" w:sz="4" w:space="0"/>
            </w:tcBorders>
            <w:noWrap/>
            <w:vAlign w:val="center"/>
          </w:tcPr>
          <w:p w14:paraId="05D5735F">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209DAFD2">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i w:val="0"/>
                <w:iCs w:val="0"/>
                <w:color w:val="auto"/>
                <w:sz w:val="24"/>
                <w:szCs w:val="24"/>
                <w:highlight w:val="none"/>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31A7BAA7">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i w:val="0"/>
                <w:iCs w:val="0"/>
                <w:color w:val="auto"/>
                <w:sz w:val="24"/>
                <w:szCs w:val="24"/>
                <w:highlight w:val="none"/>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256B8207">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i w:val="0"/>
                <w:iCs w:val="0"/>
                <w:color w:val="auto"/>
                <w:sz w:val="24"/>
                <w:szCs w:val="24"/>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D9B9758">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i w:val="0"/>
                <w:iCs w:val="0"/>
                <w:color w:val="auto"/>
                <w:sz w:val="24"/>
                <w:szCs w:val="24"/>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1F70ED75">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6B57043">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i w:val="0"/>
                <w:iCs w:val="0"/>
                <w:color w:val="auto"/>
                <w:sz w:val="24"/>
                <w:szCs w:val="24"/>
                <w:highlight w:val="none"/>
                <w:u w:val="none"/>
              </w:rPr>
            </w:pPr>
          </w:p>
        </w:tc>
      </w:tr>
    </w:tbl>
    <w:p w14:paraId="5E4850C6">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二、合同总价</w:t>
      </w:r>
    </w:p>
    <w:p w14:paraId="78AEA0A8">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合同总价为人民币大写:XXX元，即 RMB￥XXX元;该合同总价已包括货物设计、材料、制作、包装、运输、安装、调试、检测、验收合格交付使用之前及保修期内保修服务与各用物件等所有其他有关各项的含税费用。本合同执行期间合同总价不变，甲方无须另向乙方支付本合同规定之外的其他任何费用。</w:t>
      </w:r>
    </w:p>
    <w:p w14:paraId="58B27FCA">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三、质量要求</w:t>
      </w:r>
    </w:p>
    <w:p w14:paraId="216FE358">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1.乙方须提供全新的货物(含零部件、配件等)，表面无划伤、无碰撞痕迹，且权属清楚，不得侵害他人的知识产权。</w:t>
      </w:r>
    </w:p>
    <w:p w14:paraId="28C1E492">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2.货物必须符合或优于国家(行业)xxx 标准，以及本项目采购文件的质量要求和技术指标与出厂标准。</w:t>
      </w:r>
    </w:p>
    <w:p w14:paraId="57F1DFBC">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3.每台货物上均应有产品质量检验合格标志。</w:t>
      </w:r>
    </w:p>
    <w:p w14:paraId="3D2A0D56">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4.货物制造质量出现问题，乙方应负贵三包(包修、包换、包退)，费用由乙方负担5.货物到现场后由于甲方保管不当造成的质量问题，乙方亦应负责修理，但费用由甲方负担。</w:t>
      </w:r>
    </w:p>
    <w:p w14:paraId="564E2E94">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四、交货及验收</w:t>
      </w:r>
    </w:p>
    <w:p w14:paraId="6598D8B3">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1.乙方交货期限为合同签订生效后的 XXX 日内，在合问签订生效之日起(XXX)天内交货到甲方指定地点，随即在 XXX 日内全部完成安装调试验收合格交付使用(如由于采购人的原因造成合同延迟签订成验收的。时间顺延)。交货验收时须提供产品质检部门的检测报告。</w:t>
      </w:r>
    </w:p>
    <w:p w14:paraId="6FD2FAE8">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2.验收由甲方组织，乙方配合进行:</w:t>
      </w:r>
    </w:p>
    <w:p w14:paraId="00819DFB">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(1)货物在乙方通知安装调试光毕后 XXX 日内初步验收。初步验收合格后，进入XXX 天试用期:试用期问发生一般性质量问题，修复后试用期相应顺延:试用期结束后XXX日内完成最终验收，如质量验收合格，双方签署《质量验收合格证明书》。</w:t>
      </w:r>
    </w:p>
    <w:p w14:paraId="5A40ACBD">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(2)验收标准:按国家有关规定以及甲方来购文件的质量要求和技术指标、乙方的响应文件及承诺。</w:t>
      </w:r>
    </w:p>
    <w:p w14:paraId="3ABCB35E">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0"/>
    <w:p w14:paraId="22BEBEB7">
      <w:pPr>
        <w:pStyle w:val="3"/>
        <w:pageBreakBefore w:val="0"/>
        <w:numPr>
          <w:ilvl w:val="0"/>
          <w:numId w:val="1"/>
        </w:numPr>
        <w:overflowPunct/>
        <w:topLinePunct w:val="0"/>
        <w:bidi w:val="0"/>
        <w:spacing w:before="0" w:beforeLines="0" w:beforeAutospacing="0" w:after="0" w:afterLines="0" w:afterAutospacing="0" w:line="460" w:lineRule="exact"/>
        <w:ind w:left="0" w:leftChars="0" w:right="0" w:rightChars="0"/>
        <w:jc w:val="center"/>
        <w:rPr>
          <w:rFonts w:hint="eastAsia" w:ascii="宋体" w:hAnsi="宋体" w:eastAsia="宋体" w:cs="宋体"/>
          <w:color w:val="auto"/>
          <w:sz w:val="28"/>
          <w:szCs w:val="28"/>
          <w:highlight w:val="none"/>
          <w:lang w:val="en-US" w:eastAsia="zh-CN"/>
        </w:rPr>
      </w:pPr>
      <w:bookmarkStart w:id="41" w:name="_Toc26490"/>
      <w:bookmarkStart w:id="42" w:name="_Toc20825"/>
      <w:r>
        <w:rPr>
          <w:rFonts w:hint="eastAsia" w:ascii="宋体" w:hAnsi="宋体" w:eastAsia="宋体" w:cs="宋体"/>
          <w:color w:val="auto"/>
          <w:sz w:val="28"/>
          <w:szCs w:val="28"/>
          <w:highlight w:val="none"/>
          <w:lang w:val="en-US" w:eastAsia="zh-CN"/>
        </w:rPr>
        <w:t>采购需求</w:t>
      </w:r>
      <w:bookmarkEnd w:id="41"/>
      <w:bookmarkEnd w:id="42"/>
    </w:p>
    <w:p w14:paraId="44A46323">
      <w:pPr>
        <w:keepNext w:val="0"/>
        <w:keepLines w:val="0"/>
        <w:pageBreakBefore w:val="0"/>
        <w:kinsoku/>
        <w:wordWrap/>
        <w:overflowPunct/>
        <w:topLinePunct w:val="0"/>
        <w:bidi w:val="0"/>
        <w:spacing w:beforeAutospacing="0" w:line="480" w:lineRule="auto"/>
        <w:ind w:right="0" w:right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内容：</w:t>
      </w:r>
    </w:p>
    <w:p w14:paraId="3301CDAA">
      <w:pPr>
        <w:keepNext w:val="0"/>
        <w:keepLines w:val="0"/>
        <w:pageBreakBefore w:val="0"/>
        <w:numPr>
          <w:ilvl w:val="0"/>
          <w:numId w:val="9"/>
        </w:numPr>
        <w:kinsoku/>
        <w:wordWrap/>
        <w:overflowPunct/>
        <w:topLinePunct w:val="0"/>
        <w:bidi w:val="0"/>
        <w:spacing w:beforeAutospacing="0" w:line="480" w:lineRule="auto"/>
        <w:ind w:right="0" w:right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全自动智能氮吹仪一台（套）</w:t>
      </w:r>
    </w:p>
    <w:p w14:paraId="412E825B">
      <w:pPr>
        <w:keepNext w:val="0"/>
        <w:keepLines w:val="0"/>
        <w:pageBreakBefore w:val="0"/>
        <w:numPr>
          <w:ilvl w:val="0"/>
          <w:numId w:val="0"/>
        </w:numPr>
        <w:kinsoku/>
        <w:wordWrap/>
        <w:overflowPunct/>
        <w:topLinePunct w:val="0"/>
        <w:bidi w:val="0"/>
        <w:spacing w:beforeAutospacing="0" w:line="480" w:lineRule="auto"/>
        <w:ind w:right="0" w:right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预算：230000元</w:t>
      </w:r>
    </w:p>
    <w:p w14:paraId="055F845D">
      <w:pPr>
        <w:numPr>
          <w:ilvl w:val="0"/>
          <w:numId w:val="10"/>
        </w:numPr>
        <w:autoSpaceDE w:val="0"/>
        <w:autoSpaceDN w:val="0"/>
        <w:adjustRightInd w:val="0"/>
        <w:snapToGrid w:val="0"/>
        <w:spacing w:line="48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主要用途：</w:t>
      </w:r>
    </w:p>
    <w:p w14:paraId="76A42B22">
      <w:pPr>
        <w:autoSpaceDE w:val="0"/>
        <w:autoSpaceDN w:val="0"/>
        <w:adjustRightInd w:val="0"/>
        <w:snapToGrid w:val="0"/>
        <w:spacing w:line="480" w:lineRule="auto"/>
        <w:ind w:left="420"/>
        <w:jc w:val="left"/>
        <w:rPr>
          <w:rFonts w:hint="eastAsia" w:ascii="宋体" w:hAnsi="宋体" w:eastAsia="宋体" w:cs="宋体"/>
          <w:b/>
          <w:color w:val="auto"/>
          <w:kern w:val="0"/>
          <w:sz w:val="28"/>
          <w:szCs w:val="28"/>
          <w:highlight w:val="none"/>
        </w:rPr>
      </w:pPr>
      <w:r>
        <w:rPr>
          <w:rFonts w:hint="eastAsia" w:ascii="宋体" w:hAnsi="宋体" w:eastAsia="宋体" w:cs="宋体"/>
          <w:bCs/>
          <w:color w:val="auto"/>
          <w:sz w:val="28"/>
          <w:szCs w:val="28"/>
          <w:highlight w:val="none"/>
        </w:rPr>
        <w:t>水浴均匀加热和氮吹共同作用</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对</w:t>
      </w:r>
      <w:r>
        <w:rPr>
          <w:rFonts w:hint="eastAsia" w:ascii="宋体" w:hAnsi="宋体" w:eastAsia="宋体" w:cs="宋体"/>
          <w:bCs/>
          <w:color w:val="auto"/>
          <w:sz w:val="28"/>
          <w:szCs w:val="28"/>
          <w:highlight w:val="none"/>
          <w:lang w:val="en-US" w:eastAsia="zh-CN"/>
        </w:rPr>
        <w:t>畜产品</w:t>
      </w:r>
      <w:r>
        <w:rPr>
          <w:rFonts w:hint="eastAsia" w:ascii="宋体" w:hAnsi="宋体" w:eastAsia="宋体" w:cs="宋体"/>
          <w:bCs/>
          <w:color w:val="auto"/>
          <w:sz w:val="28"/>
          <w:szCs w:val="28"/>
          <w:highlight w:val="none"/>
        </w:rPr>
        <w:t>样品进行平行浓缩。</w:t>
      </w:r>
    </w:p>
    <w:p w14:paraId="3C44475E">
      <w:pPr>
        <w:numPr>
          <w:ilvl w:val="0"/>
          <w:numId w:val="10"/>
        </w:numPr>
        <w:spacing w:line="48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基本配置:</w:t>
      </w:r>
    </w:p>
    <w:p w14:paraId="5CD62370">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2.1  全自动氮吹平行浓缩仪主机 1台</w:t>
      </w:r>
    </w:p>
    <w:p w14:paraId="7B86993F">
      <w:pPr>
        <w:autoSpaceDE w:val="0"/>
        <w:autoSpaceDN w:val="0"/>
        <w:adjustRightInd w:val="0"/>
        <w:spacing w:line="48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2.2  三面观察水浴双层加热模组 1套</w:t>
      </w:r>
    </w:p>
    <w:p w14:paraId="02249626">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2.3   6位</w:t>
      </w:r>
      <w:r>
        <w:rPr>
          <w:rFonts w:hint="eastAsia" w:ascii="宋体" w:hAnsi="宋体" w:eastAsia="宋体" w:cs="宋体"/>
          <w:color w:val="auto"/>
          <w:sz w:val="28"/>
          <w:szCs w:val="28"/>
          <w:highlight w:val="none"/>
        </w:rPr>
        <w:t>氮吹模组</w:t>
      </w:r>
      <w:r>
        <w:rPr>
          <w:rFonts w:hint="eastAsia" w:ascii="宋体" w:hAnsi="宋体" w:eastAsia="宋体" w:cs="宋体"/>
          <w:bCs/>
          <w:color w:val="auto"/>
          <w:sz w:val="28"/>
          <w:szCs w:val="28"/>
          <w:highlight w:val="none"/>
        </w:rPr>
        <w:t xml:space="preserve"> 16套</w:t>
      </w:r>
    </w:p>
    <w:p w14:paraId="5F2A3A6D">
      <w:pPr>
        <w:autoSpaceDE w:val="0"/>
        <w:autoSpaceDN w:val="0"/>
        <w:adjustRightInd w:val="0"/>
        <w:spacing w:line="48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2.4   不少于45位50ml试管架 3套</w:t>
      </w:r>
    </w:p>
    <w:p w14:paraId="442031F9">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2.5   50ml试管100个/包 3包</w:t>
      </w:r>
    </w:p>
    <w:p w14:paraId="6F8E2FDD">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2.6   不少于45位15ml试管架 3套</w:t>
      </w:r>
    </w:p>
    <w:p w14:paraId="6148418A">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2.7   15ml试管100个/包 3包</w:t>
      </w:r>
    </w:p>
    <w:p w14:paraId="06041A7B">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2.8   近干模组 2套</w:t>
      </w:r>
    </w:p>
    <w:p w14:paraId="777E892B">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2.9</w:t>
      </w:r>
      <w:r>
        <w:rPr>
          <w:rFonts w:hint="eastAsia" w:ascii="宋体" w:hAnsi="宋体" w:eastAsia="宋体" w:cs="宋体"/>
          <w:color w:val="auto"/>
          <w:sz w:val="28"/>
          <w:szCs w:val="28"/>
          <w:highlight w:val="none"/>
        </w:rPr>
        <w:t xml:space="preserve">   </w:t>
      </w:r>
      <w:r>
        <w:rPr>
          <w:rFonts w:hint="eastAsia" w:ascii="宋体" w:hAnsi="宋体" w:eastAsia="宋体" w:cs="宋体"/>
          <w:bCs/>
          <w:color w:val="auto"/>
          <w:sz w:val="28"/>
          <w:szCs w:val="28"/>
          <w:highlight w:val="none"/>
        </w:rPr>
        <w:t>控制软件 1套</w:t>
      </w:r>
    </w:p>
    <w:p w14:paraId="40E24062">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2.10  10ml高精度注射泵  10套</w:t>
      </w:r>
    </w:p>
    <w:p w14:paraId="3CD19A4E">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2.11   样品杆  10套</w:t>
      </w:r>
    </w:p>
    <w:p w14:paraId="7F21BC6D">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2.12   陶瓷阀芯 8套</w:t>
      </w:r>
    </w:p>
    <w:p w14:paraId="45B8B7BF">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2.13   非通风橱解决方案  1套</w:t>
      </w:r>
    </w:p>
    <w:p w14:paraId="1F8B3F5D">
      <w:pPr>
        <w:numPr>
          <w:ilvl w:val="0"/>
          <w:numId w:val="10"/>
        </w:numPr>
        <w:autoSpaceDE w:val="0"/>
        <w:autoSpaceDN w:val="0"/>
        <w:adjustRightInd w:val="0"/>
        <w:snapToGrid w:val="0"/>
        <w:spacing w:line="48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技术指标:</w:t>
      </w:r>
    </w:p>
    <w:p w14:paraId="034DD04C">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 xml:space="preserve">.1 批量处理能力： </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45位样品同时进行浓缩</w:t>
      </w:r>
      <w:r>
        <w:rPr>
          <w:rFonts w:hint="eastAsia" w:ascii="宋体" w:hAnsi="宋体" w:eastAsia="宋体" w:cs="宋体"/>
          <w:bCs/>
          <w:color w:val="auto"/>
          <w:sz w:val="28"/>
          <w:szCs w:val="28"/>
          <w:highlight w:val="none"/>
          <w:lang w:eastAsia="zh-CN"/>
        </w:rPr>
        <w:t>。</w:t>
      </w:r>
    </w:p>
    <w:p w14:paraId="4636F892">
      <w:pPr>
        <w:pStyle w:val="56"/>
        <w:autoSpaceDE w:val="0"/>
        <w:autoSpaceDN w:val="0"/>
        <w:adjustRightInd w:val="0"/>
        <w:spacing w:line="480" w:lineRule="auto"/>
        <w:ind w:left="420" w:firstLine="0" w:firstLineChars="0"/>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.2 浓缩管体积：</w:t>
      </w:r>
      <w:r>
        <w:rPr>
          <w:rFonts w:hint="eastAsia" w:ascii="宋体" w:hAnsi="宋体" w:eastAsia="宋体" w:cs="宋体"/>
          <w:bCs/>
          <w:color w:val="auto"/>
          <w:sz w:val="28"/>
          <w:szCs w:val="28"/>
          <w:highlight w:val="none"/>
          <w:lang w:val="en-US" w:eastAsia="zh-CN"/>
        </w:rPr>
        <w:t>适用</w:t>
      </w:r>
      <w:r>
        <w:rPr>
          <w:rFonts w:hint="eastAsia" w:ascii="宋体" w:hAnsi="宋体" w:eastAsia="宋体" w:cs="宋体"/>
          <w:bCs/>
          <w:color w:val="auto"/>
          <w:sz w:val="28"/>
          <w:szCs w:val="28"/>
          <w:highlight w:val="none"/>
        </w:rPr>
        <w:t>10ml，20m，50ml、60ml,80ml,试管或离心管</w:t>
      </w:r>
      <w:r>
        <w:rPr>
          <w:rFonts w:hint="eastAsia" w:ascii="宋体" w:hAnsi="宋体" w:eastAsia="宋体" w:cs="宋体"/>
          <w:bCs/>
          <w:color w:val="auto"/>
          <w:sz w:val="28"/>
          <w:szCs w:val="28"/>
          <w:highlight w:val="none"/>
          <w:lang w:eastAsia="zh-CN"/>
        </w:rPr>
        <w:t>。</w:t>
      </w:r>
    </w:p>
    <w:p w14:paraId="071E92AE">
      <w:pPr>
        <w:pStyle w:val="56"/>
        <w:spacing w:line="480" w:lineRule="auto"/>
        <w:ind w:left="42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.3</w:t>
      </w:r>
      <w:r>
        <w:rPr>
          <w:rFonts w:hint="eastAsia" w:ascii="宋体" w:hAnsi="宋体" w:eastAsia="宋体" w:cs="宋体"/>
          <w:bCs/>
          <w:color w:val="auto"/>
          <w:kern w:val="0"/>
          <w:sz w:val="28"/>
          <w:szCs w:val="28"/>
          <w:highlight w:val="none"/>
        </w:rPr>
        <w:t>浓缩过程中，氮吹针可随液面自动匀速下降。</w:t>
      </w:r>
      <w:r>
        <w:rPr>
          <w:rFonts w:hint="eastAsia" w:ascii="宋体" w:hAnsi="宋体" w:eastAsia="宋体" w:cs="宋体"/>
          <w:color w:val="auto"/>
          <w:sz w:val="28"/>
          <w:szCs w:val="28"/>
          <w:highlight w:val="none"/>
        </w:rPr>
        <w:t>浓缩结束后氮吹针垂直朝下</w:t>
      </w:r>
      <w:r>
        <w:rPr>
          <w:rFonts w:hint="eastAsia" w:ascii="宋体" w:hAnsi="宋体" w:eastAsia="宋体" w:cs="宋体"/>
          <w:color w:val="auto"/>
          <w:sz w:val="28"/>
          <w:szCs w:val="28"/>
          <w:highlight w:val="none"/>
          <w:lang w:eastAsia="zh-CN"/>
        </w:rPr>
        <w:t>。</w:t>
      </w:r>
    </w:p>
    <w:p w14:paraId="44D5945F">
      <w:pPr>
        <w:pStyle w:val="56"/>
        <w:autoSpaceDE w:val="0"/>
        <w:autoSpaceDN w:val="0"/>
        <w:adjustRightInd w:val="0"/>
        <w:spacing w:line="480" w:lineRule="auto"/>
        <w:ind w:left="420" w:firstLine="0" w:firstLineChars="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.4 氮吹针标尺：仪器配有氮吹针标尺，可实时观测氮吹针与液面的距离，根据标尺数字实时修改氮吹针与液面距离参数。</w:t>
      </w:r>
    </w:p>
    <w:p w14:paraId="3D52A993">
      <w:pPr>
        <w:autoSpaceDE w:val="0"/>
        <w:autoSpaceDN w:val="0"/>
        <w:adjustRightInd w:val="0"/>
        <w:spacing w:line="48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.5 电子气流控制：仪器使用电气比例调节阀对氮吹流量进行自动控制，仪器软件可设置目标自动调节氮吹针气流大小，设置范围：0.0-3.0L/min，精确到0.1L/min。</w:t>
      </w:r>
    </w:p>
    <w:p w14:paraId="276429AF">
      <w:pPr>
        <w:autoSpaceDE w:val="0"/>
        <w:autoSpaceDN w:val="0"/>
        <w:adjustRightInd w:val="0"/>
        <w:spacing w:line="480" w:lineRule="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.6 氮吹针直径3mm,双层套管设计。</w:t>
      </w:r>
    </w:p>
    <w:p w14:paraId="545322AE">
      <w:pPr>
        <w:autoSpaceDE w:val="0"/>
        <w:autoSpaceDN w:val="0"/>
        <w:adjustRightInd w:val="0"/>
        <w:spacing w:line="48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.7 氮吹针</w:t>
      </w:r>
      <w:r>
        <w:rPr>
          <w:rFonts w:hint="eastAsia" w:ascii="宋体" w:hAnsi="宋体" w:eastAsia="宋体" w:cs="宋体"/>
          <w:color w:val="auto"/>
          <w:sz w:val="28"/>
          <w:szCs w:val="28"/>
          <w:highlight w:val="none"/>
        </w:rPr>
        <w:t>插拔式设计。</w:t>
      </w:r>
    </w:p>
    <w:p w14:paraId="56C56E66">
      <w:pPr>
        <w:autoSpaceDE w:val="0"/>
        <w:autoSpaceDN w:val="0"/>
        <w:adjustRightInd w:val="0"/>
        <w:spacing w:line="480" w:lineRule="auto"/>
        <w:ind w:firstLine="280" w:firstLineChars="1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.8 自动给排水功能：具备加水和排水的管路接口，可在控制面板上一键自动进进行加水和排水操作，通过传感器自动判断加水和排水终点。</w:t>
      </w:r>
    </w:p>
    <w:p w14:paraId="3D4B789C">
      <w:pPr>
        <w:autoSpaceDE w:val="0"/>
        <w:autoSpaceDN w:val="0"/>
        <w:adjustRightInd w:val="0"/>
        <w:spacing w:line="480" w:lineRule="auto"/>
        <w:ind w:firstLine="280" w:firstLineChars="1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 xml:space="preserve">.9 </w:t>
      </w:r>
      <w:bookmarkStart w:id="43" w:name="_Hlk46309225"/>
      <w:r>
        <w:rPr>
          <w:rFonts w:hint="eastAsia" w:ascii="宋体" w:hAnsi="宋体" w:eastAsia="宋体" w:cs="宋体"/>
          <w:bCs/>
          <w:color w:val="auto"/>
          <w:sz w:val="28"/>
          <w:szCs w:val="28"/>
          <w:highlight w:val="none"/>
        </w:rPr>
        <w:t>可视性：</w:t>
      </w:r>
      <w:r>
        <w:rPr>
          <w:rFonts w:hint="eastAsia" w:ascii="宋体" w:hAnsi="宋体" w:eastAsia="宋体" w:cs="宋体"/>
          <w:bCs/>
          <w:color w:val="auto"/>
          <w:sz w:val="28"/>
          <w:szCs w:val="28"/>
          <w:highlight w:val="none"/>
          <w:lang w:val="en-US" w:eastAsia="zh-CN"/>
        </w:rPr>
        <w:t>满足</w:t>
      </w:r>
      <w:r>
        <w:rPr>
          <w:rFonts w:hint="eastAsia" w:ascii="宋体" w:hAnsi="宋体" w:eastAsia="宋体" w:cs="宋体"/>
          <w:bCs/>
          <w:color w:val="auto"/>
          <w:sz w:val="28"/>
          <w:szCs w:val="28"/>
          <w:highlight w:val="none"/>
        </w:rPr>
        <w:t>三面环绕双层玻璃观察</w:t>
      </w:r>
      <w:bookmarkEnd w:id="43"/>
      <w:r>
        <w:rPr>
          <w:rFonts w:hint="eastAsia" w:ascii="宋体" w:hAnsi="宋体" w:eastAsia="宋体" w:cs="宋体"/>
          <w:bCs/>
          <w:color w:val="auto"/>
          <w:sz w:val="28"/>
          <w:szCs w:val="28"/>
          <w:highlight w:val="none"/>
          <w:lang w:eastAsia="zh-CN"/>
        </w:rPr>
        <w:t>。</w:t>
      </w:r>
    </w:p>
    <w:p w14:paraId="3FB9CF89">
      <w:pPr>
        <w:autoSpaceDE w:val="0"/>
        <w:autoSpaceDN w:val="0"/>
        <w:adjustRightInd w:val="0"/>
        <w:spacing w:line="480" w:lineRule="auto"/>
        <w:ind w:firstLine="280" w:firstLineChars="1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.10 采用一键式开合 加热模块电动抽屉方式，方便试管架和试管的拿取或更换</w:t>
      </w:r>
    </w:p>
    <w:p w14:paraId="66AB77BA">
      <w:pPr>
        <w:autoSpaceDE w:val="0"/>
        <w:autoSpaceDN w:val="0"/>
        <w:adjustRightInd w:val="0"/>
        <w:spacing w:line="480" w:lineRule="auto"/>
        <w:ind w:firstLine="280" w:firstLineChars="1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.11 浓缩过程可实时显示和调节氮吹针的当前高度，可通过实体按键精确控制氮吹针移动，精确到0.1mm。</w:t>
      </w:r>
    </w:p>
    <w:p w14:paraId="60382521">
      <w:pPr>
        <w:autoSpaceDE w:val="0"/>
        <w:autoSpaceDN w:val="0"/>
        <w:adjustRightInd w:val="0"/>
        <w:spacing w:line="480" w:lineRule="auto"/>
        <w:ind w:firstLine="280" w:firstLineChars="1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.12 浓缩腔体自动密封：开始浓缩后氮吹模块自动下降密封水浴模组；浓缩结束后，氮吹模块自动上升与水浴模组自动分离。</w:t>
      </w:r>
    </w:p>
    <w:p w14:paraId="5C949785">
      <w:pPr>
        <w:autoSpaceDE w:val="0"/>
        <w:autoSpaceDN w:val="0"/>
        <w:adjustRightInd w:val="0"/>
        <w:spacing w:line="480" w:lineRule="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.13 近干模块：可对样品进行近干的操作</w:t>
      </w:r>
    </w:p>
    <w:p w14:paraId="74587D84">
      <w:pPr>
        <w:autoSpaceDE w:val="0"/>
        <w:autoSpaceDN w:val="0"/>
        <w:adjustRightInd w:val="0"/>
        <w:spacing w:line="480" w:lineRule="auto"/>
        <w:ind w:firstLine="280" w:firstLineChars="1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.14 具有水位超限报警，压力超限报警等功能，并自动切断气流</w:t>
      </w:r>
      <w:r>
        <w:rPr>
          <w:rFonts w:hint="eastAsia" w:ascii="宋体" w:hAnsi="宋体" w:eastAsia="宋体" w:cs="宋体"/>
          <w:bCs/>
          <w:color w:val="auto"/>
          <w:sz w:val="28"/>
          <w:szCs w:val="28"/>
          <w:highlight w:val="none"/>
          <w:lang w:eastAsia="zh-CN"/>
        </w:rPr>
        <w:t>。</w:t>
      </w:r>
    </w:p>
    <w:p w14:paraId="4940FCBF">
      <w:pPr>
        <w:autoSpaceDE w:val="0"/>
        <w:autoSpaceDN w:val="0"/>
        <w:adjustRightInd w:val="0"/>
        <w:spacing w:line="480" w:lineRule="auto"/>
        <w:ind w:firstLine="280" w:firstLineChars="1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.15 水浴采用双层玻璃设计,避免在使用高温水浴时误触玻璃发生的烫伤。</w:t>
      </w:r>
    </w:p>
    <w:p w14:paraId="7C5A8A4F">
      <w:pPr>
        <w:autoSpaceDE w:val="0"/>
        <w:autoSpaceDN w:val="0"/>
        <w:adjustRightInd w:val="0"/>
        <w:spacing w:line="480" w:lineRule="auto"/>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.16 感应防夹手功能：下降运行过程中能够提前感应碰到障碍物，一旦遇到自动停止运行</w:t>
      </w:r>
      <w:r>
        <w:rPr>
          <w:rFonts w:hint="eastAsia" w:ascii="宋体" w:hAnsi="宋体" w:eastAsia="宋体" w:cs="宋体"/>
          <w:bCs/>
          <w:color w:val="auto"/>
          <w:sz w:val="28"/>
          <w:szCs w:val="28"/>
          <w:highlight w:val="none"/>
          <w:lang w:eastAsia="zh-CN"/>
        </w:rPr>
        <w:t>。</w:t>
      </w:r>
    </w:p>
    <w:p w14:paraId="6753FE79">
      <w:pPr>
        <w:autoSpaceDE w:val="0"/>
        <w:autoSpaceDN w:val="0"/>
        <w:adjustRightInd w:val="0"/>
        <w:spacing w:line="480" w:lineRule="auto"/>
        <w:ind w:firstLine="280" w:firstLineChars="1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.17 具备整体密封和自动排风管道功能，也可外置于通风橱外，通过排风管道将氮吹产生的废气排放到通风橱内，节省通风橱空间，确保实验室的空气安全。</w:t>
      </w:r>
    </w:p>
    <w:p w14:paraId="6659CF30">
      <w:pPr>
        <w:adjustRightInd w:val="0"/>
        <w:snapToGrid w:val="0"/>
        <w:spacing w:line="480" w:lineRule="auto"/>
        <w:ind w:firstLine="280" w:firstLineChars="1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技</w:t>
      </w:r>
      <w:r>
        <w:rPr>
          <w:rFonts w:hint="eastAsia" w:ascii="宋体" w:hAnsi="宋体" w:eastAsia="宋体" w:cs="宋体"/>
          <w:b/>
          <w:bCs/>
          <w:color w:val="auto"/>
          <w:sz w:val="28"/>
          <w:szCs w:val="28"/>
          <w:highlight w:val="none"/>
        </w:rPr>
        <w:t>术服务要求</w:t>
      </w:r>
    </w:p>
    <w:p w14:paraId="2651C08B">
      <w:pPr>
        <w:adjustRightInd w:val="0"/>
        <w:snapToGrid w:val="0"/>
        <w:spacing w:line="480" w:lineRule="auto"/>
        <w:ind w:firstLine="280" w:firstLineChars="100"/>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供货商应按照中标后签订的合同约定，与最终用户共同完成系统的验收工作，验收数据经最终用户代表签字认可。  </w:t>
      </w:r>
    </w:p>
    <w:p w14:paraId="55F8AD3A">
      <w:pPr>
        <w:pStyle w:val="13"/>
        <w:keepNext w:val="0"/>
        <w:keepLines w:val="0"/>
        <w:pageBreakBefore w:val="0"/>
        <w:widowControl/>
        <w:numPr>
          <w:ilvl w:val="0"/>
          <w:numId w:val="0"/>
        </w:numPr>
        <w:kinsoku/>
        <w:wordWrap/>
        <w:overflowPunct/>
        <w:topLinePunct w:val="0"/>
        <w:bidi w:val="0"/>
        <w:spacing w:before="0" w:beforeAutospacing="0" w:line="480" w:lineRule="auto"/>
        <w:ind w:right="0" w:rightChars="0" w:firstLine="280" w:firstLineChars="100"/>
        <w:textAlignment w:val="auto"/>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由供货商为用户提供现场</w:t>
      </w:r>
      <w:r>
        <w:rPr>
          <w:rFonts w:hint="eastAsia" w:ascii="宋体" w:hAnsi="宋体" w:eastAsia="宋体" w:cs="宋体"/>
          <w:color w:val="auto"/>
          <w:sz w:val="28"/>
          <w:szCs w:val="28"/>
          <w:highlight w:val="none"/>
          <w:lang w:val="en-US" w:eastAsia="zh-CN"/>
        </w:rPr>
        <w:t>不少于</w:t>
      </w:r>
      <w:r>
        <w:rPr>
          <w:rFonts w:hint="eastAsia" w:ascii="宋体" w:hAnsi="宋体" w:eastAsia="宋体" w:cs="宋体"/>
          <w:color w:val="auto"/>
          <w:sz w:val="28"/>
          <w:szCs w:val="28"/>
          <w:highlight w:val="none"/>
        </w:rPr>
        <w:t>2人3个工作日的技术培训。</w:t>
      </w:r>
    </w:p>
    <w:p w14:paraId="432BBAC0">
      <w:pPr>
        <w:pStyle w:val="56"/>
        <w:autoSpaceDE w:val="0"/>
        <w:autoSpaceDN w:val="0"/>
        <w:adjustRightInd w:val="0"/>
        <w:spacing w:line="480" w:lineRule="auto"/>
        <w:ind w:left="0" w:leftChars="0" w:firstLine="280" w:firstLineChars="1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产品质量按中华人民共和国有关质量标准实行“三包”服务。</w:t>
      </w:r>
      <w:r>
        <w:rPr>
          <w:rFonts w:hint="eastAsia" w:ascii="宋体" w:hAnsi="宋体" w:eastAsia="宋体" w:cs="宋体"/>
          <w:color w:val="auto"/>
          <w:sz w:val="28"/>
          <w:szCs w:val="28"/>
          <w:highlight w:val="none"/>
          <w:lang w:val="en-US" w:eastAsia="zh-CN"/>
        </w:rPr>
        <w:t>提供</w:t>
      </w:r>
      <w:r>
        <w:rPr>
          <w:rFonts w:hint="eastAsia" w:ascii="宋体" w:hAnsi="宋体" w:eastAsia="宋体" w:cs="宋体"/>
          <w:bCs/>
          <w:color w:val="auto"/>
          <w:sz w:val="28"/>
          <w:szCs w:val="28"/>
          <w:highlight w:val="none"/>
        </w:rPr>
        <w:t>仪器出现故障时，供货或服务商维修人员在接到通知后24小时内响应，48小时内到现场维修。提供仪器设备详细的中文操作手册。</w:t>
      </w:r>
    </w:p>
    <w:p w14:paraId="24DBD237">
      <w:pPr>
        <w:pStyle w:val="65"/>
        <w:keepNext w:val="0"/>
        <w:keepLines w:val="0"/>
        <w:pageBreakBefore w:val="0"/>
        <w:widowControl w:val="0"/>
        <w:kinsoku/>
        <w:wordWrap/>
        <w:overflowPunct/>
        <w:topLinePunct w:val="0"/>
        <w:autoSpaceDE/>
        <w:autoSpaceDN/>
        <w:bidi w:val="0"/>
        <w:adjustRightInd/>
        <w:snapToGrid/>
        <w:spacing w:beforeAutospacing="0" w:line="480" w:lineRule="auto"/>
        <w:ind w:left="0" w:leftChars="0" w:right="0" w:rightChars="0" w:firstLine="0" w:firstLineChars="0"/>
        <w:jc w:val="both"/>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质保期：</w:t>
      </w:r>
      <w:r>
        <w:rPr>
          <w:rFonts w:hint="eastAsia" w:ascii="宋体" w:hAnsi="宋体" w:eastAsia="宋体" w:cs="宋体"/>
          <w:b w:val="0"/>
          <w:bCs w:val="0"/>
          <w:color w:val="auto"/>
          <w:sz w:val="28"/>
          <w:szCs w:val="28"/>
          <w:highlight w:val="none"/>
        </w:rPr>
        <w:t>验收合格后质量保证期</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年，终身维修。</w:t>
      </w:r>
    </w:p>
    <w:p w14:paraId="607AB428">
      <w:pPr>
        <w:keepNext w:val="0"/>
        <w:keepLines w:val="0"/>
        <w:pageBreakBefore w:val="0"/>
        <w:numPr>
          <w:ilvl w:val="0"/>
          <w:numId w:val="9"/>
        </w:numPr>
        <w:kinsoku/>
        <w:wordWrap/>
        <w:overflowPunct/>
        <w:topLinePunct w:val="0"/>
        <w:bidi w:val="0"/>
        <w:spacing w:beforeAutospacing="0" w:line="480" w:lineRule="auto"/>
        <w:ind w:left="0" w:leftChars="0" w:right="0" w:rightChars="0" w:firstLine="0" w:firstLineChars="0"/>
        <w:jc w:val="both"/>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真空机械泵一台（套）</w:t>
      </w:r>
    </w:p>
    <w:p w14:paraId="1C71C89C">
      <w:pPr>
        <w:keepNext w:val="0"/>
        <w:keepLines w:val="0"/>
        <w:pageBreakBefore w:val="0"/>
        <w:numPr>
          <w:ilvl w:val="0"/>
          <w:numId w:val="0"/>
        </w:numPr>
        <w:kinsoku/>
        <w:wordWrap/>
        <w:overflowPunct/>
        <w:topLinePunct w:val="0"/>
        <w:bidi w:val="0"/>
        <w:spacing w:beforeAutospacing="0" w:line="480" w:lineRule="auto"/>
        <w:ind w:leftChars="0" w:right="0" w:rightChars="0"/>
        <w:jc w:val="both"/>
        <w:textAlignment w:val="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预算：49600元</w:t>
      </w:r>
    </w:p>
    <w:p w14:paraId="45B1CBAD">
      <w:pPr>
        <w:pStyle w:val="13"/>
        <w:keepNext w:val="0"/>
        <w:keepLines w:val="0"/>
        <w:pageBreakBefore w:val="0"/>
        <w:numPr>
          <w:ilvl w:val="0"/>
          <w:numId w:val="0"/>
        </w:numPr>
        <w:kinsoku/>
        <w:wordWrap/>
        <w:overflowPunct/>
        <w:topLinePunct w:val="0"/>
        <w:bidi w:val="0"/>
        <w:spacing w:before="0" w:beforeAutospacing="0" w:line="480" w:lineRule="auto"/>
        <w:ind w:right="0" w:rightChars="0" w:firstLine="281" w:firstLineChars="1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主要用途：与沃特世质谱联用仪XevoTQ匹配</w:t>
      </w:r>
      <w:r>
        <w:rPr>
          <w:rFonts w:hint="eastAsia" w:ascii="宋体" w:hAnsi="宋体" w:eastAsia="宋体" w:cs="宋体"/>
          <w:b/>
          <w:color w:val="auto"/>
          <w:sz w:val="28"/>
          <w:szCs w:val="28"/>
          <w:highlight w:val="none"/>
          <w:lang w:val="en-US" w:eastAsia="zh-CN"/>
        </w:rPr>
        <w:t>使用</w:t>
      </w:r>
      <w:r>
        <w:rPr>
          <w:rFonts w:hint="eastAsia" w:ascii="宋体" w:hAnsi="宋体" w:eastAsia="宋体" w:cs="宋体"/>
          <w:b/>
          <w:color w:val="auto"/>
          <w:sz w:val="28"/>
          <w:szCs w:val="28"/>
          <w:highlight w:val="none"/>
          <w:lang w:eastAsia="zh-CN"/>
        </w:rPr>
        <w:t>，抽取真空度</w:t>
      </w:r>
    </w:p>
    <w:p w14:paraId="76094775">
      <w:pPr>
        <w:pStyle w:val="13"/>
        <w:keepNext w:val="0"/>
        <w:keepLines w:val="0"/>
        <w:pageBreakBefore w:val="0"/>
        <w:numPr>
          <w:ilvl w:val="0"/>
          <w:numId w:val="0"/>
        </w:numPr>
        <w:kinsoku/>
        <w:wordWrap/>
        <w:overflowPunct/>
        <w:topLinePunct w:val="0"/>
        <w:bidi w:val="0"/>
        <w:spacing w:before="0" w:beforeAutospacing="0" w:line="480" w:lineRule="auto"/>
        <w:ind w:left="482" w:leftChars="0" w:right="0" w:rightChars="0"/>
        <w:textAlignment w:val="auto"/>
        <w:rPr>
          <w:rFonts w:hint="eastAsia" w:ascii="宋体" w:hAnsi="宋体" w:eastAsia="宋体" w:cs="宋体"/>
          <w:b/>
          <w:color w:val="auto"/>
          <w:sz w:val="28"/>
          <w:szCs w:val="28"/>
          <w:highlight w:val="none"/>
          <w:lang w:val="en-US"/>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基本配置:</w:t>
      </w:r>
      <w:r>
        <w:rPr>
          <w:rFonts w:hint="eastAsia" w:ascii="宋体" w:hAnsi="宋体" w:eastAsia="宋体" w:cs="宋体"/>
          <w:b/>
          <w:color w:val="auto"/>
          <w:sz w:val="28"/>
          <w:szCs w:val="28"/>
          <w:highlight w:val="none"/>
          <w:lang w:val="en-US" w:eastAsia="zh-CN"/>
        </w:rPr>
        <w:t>真空机械泵一台</w:t>
      </w:r>
    </w:p>
    <w:p w14:paraId="6CB15DAF">
      <w:pPr>
        <w:pStyle w:val="13"/>
        <w:keepNext w:val="0"/>
        <w:keepLines w:val="0"/>
        <w:pageBreakBefore w:val="0"/>
        <w:numPr>
          <w:ilvl w:val="0"/>
          <w:numId w:val="0"/>
        </w:numPr>
        <w:kinsoku/>
        <w:wordWrap/>
        <w:overflowPunct/>
        <w:topLinePunct w:val="0"/>
        <w:bidi w:val="0"/>
        <w:spacing w:before="0" w:beforeAutospacing="0" w:line="480" w:lineRule="auto"/>
        <w:ind w:left="482" w:leftChars="0" w:right="0" w:right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技术指标:</w:t>
      </w:r>
    </w:p>
    <w:p w14:paraId="2A29D140">
      <w:pPr>
        <w:pStyle w:val="13"/>
        <w:keepNext w:val="0"/>
        <w:keepLines w:val="0"/>
        <w:pageBreakBefore w:val="0"/>
        <w:numPr>
          <w:ilvl w:val="0"/>
          <w:numId w:val="11"/>
        </w:numPr>
        <w:kinsoku/>
        <w:wordWrap/>
        <w:overflowPunct/>
        <w:topLinePunct w:val="0"/>
        <w:bidi w:val="0"/>
        <w:spacing w:before="0" w:beforeAutospacing="0" w:line="480" w:lineRule="auto"/>
        <w:ind w:left="482" w:leftChars="0" w:right="0" w:rightChars="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噪声水平小于62dBA</w:t>
      </w:r>
    </w:p>
    <w:p w14:paraId="37CBD68C">
      <w:pPr>
        <w:pStyle w:val="13"/>
        <w:keepNext w:val="0"/>
        <w:keepLines w:val="0"/>
        <w:pageBreakBefore w:val="0"/>
        <w:numPr>
          <w:ilvl w:val="0"/>
          <w:numId w:val="11"/>
        </w:numPr>
        <w:kinsoku/>
        <w:wordWrap/>
        <w:overflowPunct/>
        <w:topLinePunct w:val="0"/>
        <w:bidi w:val="0"/>
        <w:spacing w:before="0" w:beforeAutospacing="0" w:line="480" w:lineRule="auto"/>
        <w:ind w:left="482" w:leftChars="0" w:right="0" w:rightChars="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排气口连接NW25</w:t>
      </w:r>
    </w:p>
    <w:p w14:paraId="5F2D7422">
      <w:pPr>
        <w:pStyle w:val="13"/>
        <w:keepNext w:val="0"/>
        <w:keepLines w:val="0"/>
        <w:pageBreakBefore w:val="0"/>
        <w:numPr>
          <w:ilvl w:val="0"/>
          <w:numId w:val="11"/>
        </w:numPr>
        <w:kinsoku/>
        <w:wordWrap/>
        <w:overflowPunct/>
        <w:topLinePunct w:val="0"/>
        <w:bidi w:val="0"/>
        <w:spacing w:before="0" w:beforeAutospacing="0" w:line="480" w:lineRule="auto"/>
        <w:ind w:left="482" w:leftChars="0" w:right="0" w:rightChars="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极限分压≤0.05mbr</w:t>
      </w:r>
    </w:p>
    <w:p w14:paraId="03A8026A">
      <w:pPr>
        <w:pStyle w:val="13"/>
        <w:keepNext w:val="0"/>
        <w:keepLines w:val="0"/>
        <w:pageBreakBefore w:val="0"/>
        <w:numPr>
          <w:ilvl w:val="0"/>
          <w:numId w:val="0"/>
        </w:numPr>
        <w:kinsoku/>
        <w:wordWrap/>
        <w:overflowPunct/>
        <w:topLinePunct w:val="0"/>
        <w:bidi w:val="0"/>
        <w:spacing w:before="0" w:beforeAutospacing="0" w:line="480" w:lineRule="auto"/>
        <w:ind w:right="0" w:rightChars="0"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技术服务要求</w:t>
      </w:r>
    </w:p>
    <w:p w14:paraId="58C512EA">
      <w:pPr>
        <w:pStyle w:val="65"/>
        <w:keepNext w:val="0"/>
        <w:keepLines w:val="0"/>
        <w:pageBreakBefore w:val="0"/>
        <w:widowControl w:val="0"/>
        <w:kinsoku/>
        <w:wordWrap/>
        <w:overflowPunct/>
        <w:topLinePunct w:val="0"/>
        <w:autoSpaceDE/>
        <w:autoSpaceDN/>
        <w:bidi w:val="0"/>
        <w:adjustRightInd/>
        <w:snapToGrid/>
        <w:spacing w:beforeAutospacing="0" w:line="48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3.1</w:t>
      </w:r>
      <w:r>
        <w:rPr>
          <w:rFonts w:hint="eastAsia" w:ascii="宋体" w:hAnsi="宋体" w:eastAsia="宋体" w:cs="宋体"/>
          <w:b w:val="0"/>
          <w:bCs w:val="0"/>
          <w:color w:val="auto"/>
          <w:sz w:val="28"/>
          <w:szCs w:val="28"/>
          <w:highlight w:val="none"/>
        </w:rPr>
        <w:t>、 质保期：验收合格后质量保证期</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年，终身维修。</w:t>
      </w:r>
    </w:p>
    <w:p w14:paraId="713F6645">
      <w:pPr>
        <w:pStyle w:val="65"/>
        <w:keepNext w:val="0"/>
        <w:keepLines w:val="0"/>
        <w:pageBreakBefore w:val="0"/>
        <w:widowControl w:val="0"/>
        <w:kinsoku/>
        <w:wordWrap/>
        <w:overflowPunct/>
        <w:topLinePunct w:val="0"/>
        <w:autoSpaceDE/>
        <w:autoSpaceDN/>
        <w:bidi w:val="0"/>
        <w:adjustRightInd/>
        <w:snapToGrid/>
        <w:spacing w:beforeAutospacing="0" w:line="48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3.2</w:t>
      </w:r>
      <w:r>
        <w:rPr>
          <w:rFonts w:hint="eastAsia" w:ascii="宋体" w:hAnsi="宋体" w:eastAsia="宋体" w:cs="宋体"/>
          <w:b w:val="0"/>
          <w:bCs w:val="0"/>
          <w:color w:val="auto"/>
          <w:sz w:val="28"/>
          <w:szCs w:val="28"/>
          <w:highlight w:val="none"/>
        </w:rPr>
        <w:t>、 故障服务：仪器设备出现故障时，供货方得到通知2日内派维修人员到达用户现场维修。</w:t>
      </w:r>
    </w:p>
    <w:p w14:paraId="5A268671">
      <w:pPr>
        <w:pStyle w:val="65"/>
        <w:keepNext w:val="0"/>
        <w:keepLines w:val="0"/>
        <w:pageBreakBefore w:val="0"/>
        <w:widowControl w:val="0"/>
        <w:kinsoku/>
        <w:wordWrap/>
        <w:overflowPunct/>
        <w:topLinePunct w:val="0"/>
        <w:autoSpaceDE/>
        <w:autoSpaceDN/>
        <w:bidi w:val="0"/>
        <w:adjustRightInd/>
        <w:snapToGrid/>
        <w:spacing w:beforeAutospacing="0" w:line="480" w:lineRule="auto"/>
        <w:ind w:left="0" w:leftChars="0" w:right="0" w:rightChars="0" w:firstLine="0" w:firstLineChars="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val="en-US" w:eastAsia="zh-CN"/>
        </w:rPr>
        <w:t>3.3</w:t>
      </w:r>
      <w:r>
        <w:rPr>
          <w:rFonts w:hint="eastAsia" w:ascii="宋体" w:hAnsi="宋体" w:eastAsia="宋体" w:cs="宋体"/>
          <w:b w:val="0"/>
          <w:bCs w:val="0"/>
          <w:color w:val="auto"/>
          <w:sz w:val="28"/>
          <w:szCs w:val="28"/>
          <w:highlight w:val="none"/>
        </w:rPr>
        <w:t>、仪器制造商需提供：技术人员到现场免费进行安装调试，免费培训用户的操作技术。提供热线服务电话。</w:t>
      </w:r>
    </w:p>
    <w:p w14:paraId="58A6CB70">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63B56E34">
      <w:pPr>
        <w:keepNext w:val="0"/>
        <w:keepLines w:val="0"/>
        <w:pageBreakBefore w:val="0"/>
        <w:kinsoku/>
        <w:wordWrap/>
        <w:overflowPunct/>
        <w:topLinePunct w:val="0"/>
        <w:bidi w:val="0"/>
        <w:spacing w:beforeAutospacing="0" w:line="480" w:lineRule="auto"/>
        <w:ind w:right="0" w:rightChars="0"/>
        <w:jc w:val="both"/>
        <w:textAlignment w:val="auto"/>
        <w:rPr>
          <w:rFonts w:hint="default" w:ascii="宋体" w:hAnsi="宋体" w:eastAsia="宋体" w:cs="宋体"/>
          <w:b w:val="0"/>
          <w:bCs/>
          <w:color w:val="auto"/>
          <w:kern w:val="0"/>
          <w:sz w:val="28"/>
          <w:szCs w:val="28"/>
          <w:highlight w:val="none"/>
          <w:lang w:val="en-US" w:eastAsia="zh-CN"/>
        </w:rPr>
      </w:pPr>
      <w:r>
        <w:rPr>
          <w:rFonts w:hint="eastAsia" w:ascii="宋体" w:hAnsi="宋体" w:eastAsia="宋体" w:cs="宋体"/>
          <w:b/>
          <w:color w:val="auto"/>
          <w:sz w:val="28"/>
          <w:szCs w:val="28"/>
          <w:highlight w:val="none"/>
          <w:lang w:val="en-US" w:eastAsia="zh-CN"/>
        </w:rPr>
        <w:t>三、涡旋震荡器 一台（套）</w:t>
      </w:r>
    </w:p>
    <w:p w14:paraId="7F2A9B4C">
      <w:pPr>
        <w:keepNext w:val="0"/>
        <w:keepLines w:val="0"/>
        <w:pageBreakBefore w:val="0"/>
        <w:kinsoku/>
        <w:wordWrap/>
        <w:overflowPunct/>
        <w:topLinePunct w:val="0"/>
        <w:bidi w:val="0"/>
        <w:spacing w:beforeAutospacing="0" w:line="480" w:lineRule="auto"/>
        <w:ind w:right="0" w:rightChars="0"/>
        <w:jc w:val="both"/>
        <w:textAlignment w:val="auto"/>
        <w:rPr>
          <w:rFonts w:hint="default" w:ascii="宋体" w:hAnsi="宋体" w:eastAsia="宋体" w:cs="宋体"/>
          <w:b w:val="0"/>
          <w:bCs/>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预算：</w:t>
      </w:r>
      <w:r>
        <w:rPr>
          <w:rFonts w:hint="eastAsia" w:ascii="宋体" w:hAnsi="宋体" w:eastAsia="宋体" w:cs="宋体"/>
          <w:b/>
          <w:color w:val="auto"/>
          <w:sz w:val="28"/>
          <w:szCs w:val="28"/>
          <w:highlight w:val="none"/>
          <w:lang w:val="en-US" w:eastAsia="zh-CN"/>
        </w:rPr>
        <w:t>3600元</w:t>
      </w:r>
    </w:p>
    <w:p w14:paraId="48CD8D27">
      <w:pPr>
        <w:keepNext w:val="0"/>
        <w:keepLines w:val="0"/>
        <w:pageBreakBefore w:val="0"/>
        <w:widowControl w:val="0"/>
        <w:kinsoku/>
        <w:wordWrap/>
        <w:overflowPunct/>
        <w:topLinePunct w:val="0"/>
        <w:autoSpaceDE w:val="0"/>
        <w:autoSpaceDN w:val="0"/>
        <w:bidi w:val="0"/>
        <w:adjustRightInd w:val="0"/>
        <w:snapToGrid w:val="0"/>
        <w:spacing w:beforeAutospacing="0" w:line="480" w:lineRule="auto"/>
        <w:ind w:right="0" w:rightChars="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rPr>
        <w:t>主要用途：</w:t>
      </w:r>
      <w:r>
        <w:rPr>
          <w:rFonts w:hint="eastAsia" w:ascii="宋体" w:hAnsi="宋体" w:eastAsia="宋体" w:cs="宋体"/>
          <w:color w:val="auto"/>
          <w:sz w:val="28"/>
          <w:szCs w:val="28"/>
          <w:highlight w:val="none"/>
        </w:rPr>
        <w:t>多管涡旋混合器，适用于</w:t>
      </w:r>
      <w:r>
        <w:rPr>
          <w:rFonts w:hint="eastAsia" w:ascii="宋体" w:hAnsi="宋体" w:eastAsia="宋体" w:cs="宋体"/>
          <w:color w:val="auto"/>
          <w:sz w:val="28"/>
          <w:szCs w:val="28"/>
          <w:highlight w:val="none"/>
          <w:lang w:val="en-US" w:eastAsia="zh-CN"/>
        </w:rPr>
        <w:t>玻璃管</w:t>
      </w:r>
      <w:r>
        <w:rPr>
          <w:rFonts w:hint="eastAsia" w:ascii="宋体" w:hAnsi="宋体" w:eastAsia="宋体" w:cs="宋体"/>
          <w:color w:val="auto"/>
          <w:sz w:val="28"/>
          <w:szCs w:val="28"/>
          <w:highlight w:val="none"/>
        </w:rPr>
        <w:t>食品分析、生物工艺学、微生物学和医学分析等多个领域。</w:t>
      </w:r>
    </w:p>
    <w:p w14:paraId="6F83B77C">
      <w:pPr>
        <w:keepNext w:val="0"/>
        <w:keepLines w:val="0"/>
        <w:pageBreakBefore w:val="0"/>
        <w:widowControl w:val="0"/>
        <w:numPr>
          <w:ilvl w:val="0"/>
          <w:numId w:val="12"/>
        </w:numPr>
        <w:kinsoku/>
        <w:wordWrap/>
        <w:overflowPunct/>
        <w:topLinePunct w:val="0"/>
        <w:autoSpaceDE w:val="0"/>
        <w:autoSpaceDN w:val="0"/>
        <w:bidi w:val="0"/>
        <w:adjustRightInd w:val="0"/>
        <w:snapToGrid w:val="0"/>
        <w:spacing w:beforeAutospacing="0" w:line="480" w:lineRule="auto"/>
        <w:ind w:left="180" w:right="0" w:rightChars="0" w:hanging="280" w:hangingChars="10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基本参数和性能：</w:t>
      </w:r>
    </w:p>
    <w:p w14:paraId="47CD2B5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480" w:lineRule="auto"/>
        <w:ind w:right="0" w:rightChars="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电压 220V;</w:t>
      </w:r>
    </w:p>
    <w:p w14:paraId="489B9DC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480" w:lineRule="auto"/>
        <w:ind w:left="-10" w:leftChars="-5" w:right="0" w:rightChars="0" w:firstLine="12" w:firstLineChars="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适配</w:t>
      </w:r>
      <w:r>
        <w:rPr>
          <w:rFonts w:hint="eastAsia" w:ascii="宋体" w:hAnsi="宋体" w:eastAsia="宋体" w:cs="宋体"/>
          <w:color w:val="auto"/>
          <w:sz w:val="28"/>
          <w:szCs w:val="28"/>
          <w:highlight w:val="none"/>
          <w:lang w:val="en-US" w:eastAsia="zh-CN"/>
        </w:rPr>
        <w:t>玻璃试管</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mL；</w:t>
      </w:r>
    </w:p>
    <w:p w14:paraId="5F964A0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480" w:lineRule="auto"/>
        <w:ind w:left="-10" w:leftChars="-5" w:right="0" w:rightChars="0" w:firstLine="12" w:firstLineChars="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1.3使用</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可</w:t>
      </w:r>
      <w:r>
        <w:rPr>
          <w:rFonts w:hint="eastAsia" w:ascii="宋体" w:hAnsi="宋体" w:eastAsia="宋体" w:cs="宋体"/>
          <w:color w:val="auto"/>
          <w:sz w:val="28"/>
          <w:szCs w:val="28"/>
          <w:highlight w:val="none"/>
        </w:rPr>
        <w:t>连续操作</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定时和连续操作；</w:t>
      </w:r>
    </w:p>
    <w:p w14:paraId="4B1589E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480" w:lineRule="auto"/>
        <w:ind w:left="-10" w:leftChars="-5" w:right="0" w:rightChars="0" w:firstLine="12" w:firstLineChars="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转数：</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00～</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00rpm；</w:t>
      </w:r>
    </w:p>
    <w:p w14:paraId="13D1083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480" w:lineRule="auto"/>
        <w:ind w:left="-10" w:leftChars="-5" w:right="0" w:rightChars="0" w:firstLine="12" w:firstLineChars="0"/>
        <w:jc w:val="lef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特点：</w:t>
      </w:r>
      <w:r>
        <w:rPr>
          <w:rFonts w:hint="eastAsia" w:ascii="宋体" w:hAnsi="宋体" w:eastAsia="宋体" w:cs="宋体"/>
          <w:color w:val="auto"/>
          <w:sz w:val="28"/>
          <w:szCs w:val="28"/>
          <w:highlight w:val="none"/>
          <w:lang w:val="en-US" w:eastAsia="zh-CN"/>
        </w:rPr>
        <w:t>单</w:t>
      </w:r>
      <w:r>
        <w:rPr>
          <w:rFonts w:hint="eastAsia" w:ascii="宋体" w:hAnsi="宋体" w:eastAsia="宋体" w:cs="宋体"/>
          <w:color w:val="auto"/>
          <w:sz w:val="28"/>
          <w:szCs w:val="28"/>
          <w:highlight w:val="none"/>
        </w:rPr>
        <w:t>次</w:t>
      </w:r>
      <w:r>
        <w:rPr>
          <w:rFonts w:hint="eastAsia" w:ascii="宋体" w:hAnsi="宋体" w:eastAsia="宋体" w:cs="宋体"/>
          <w:color w:val="auto"/>
          <w:sz w:val="28"/>
          <w:szCs w:val="28"/>
          <w:highlight w:val="none"/>
          <w:lang w:val="en-US" w:eastAsia="zh-CN"/>
        </w:rPr>
        <w:t>可</w:t>
      </w:r>
      <w:r>
        <w:rPr>
          <w:rFonts w:hint="eastAsia" w:ascii="宋体" w:hAnsi="宋体" w:eastAsia="宋体" w:cs="宋体"/>
          <w:color w:val="auto"/>
          <w:sz w:val="28"/>
          <w:szCs w:val="28"/>
          <w:highlight w:val="none"/>
        </w:rPr>
        <w:t>处理</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mL</w:t>
      </w:r>
      <w:r>
        <w:rPr>
          <w:rFonts w:hint="eastAsia" w:ascii="宋体" w:hAnsi="宋体" w:eastAsia="宋体" w:cs="宋体"/>
          <w:color w:val="auto"/>
          <w:sz w:val="28"/>
          <w:szCs w:val="28"/>
          <w:highlight w:val="none"/>
          <w:lang w:val="en-US" w:eastAsia="zh-CN"/>
        </w:rPr>
        <w:t>玻璃管</w:t>
      </w:r>
      <w:r>
        <w:rPr>
          <w:rFonts w:hint="eastAsia" w:ascii="宋体" w:hAnsi="宋体" w:eastAsia="宋体" w:cs="宋体"/>
          <w:color w:val="auto"/>
          <w:sz w:val="28"/>
          <w:szCs w:val="28"/>
          <w:highlight w:val="none"/>
        </w:rPr>
        <w:t>样品</w:t>
      </w:r>
      <w:r>
        <w:rPr>
          <w:rFonts w:hint="eastAsia" w:ascii="宋体" w:hAnsi="宋体" w:eastAsia="宋体" w:cs="宋体"/>
          <w:color w:val="auto"/>
          <w:sz w:val="28"/>
          <w:szCs w:val="28"/>
          <w:highlight w:val="none"/>
          <w:lang w:val="en-US" w:eastAsia="zh-CN"/>
        </w:rPr>
        <w:t>≥4个</w:t>
      </w:r>
      <w:r>
        <w:rPr>
          <w:rFonts w:hint="eastAsia" w:ascii="宋体" w:hAnsi="宋体" w:eastAsia="宋体" w:cs="宋体"/>
          <w:color w:val="auto"/>
          <w:sz w:val="28"/>
          <w:szCs w:val="28"/>
          <w:highlight w:val="none"/>
          <w:lang w:eastAsia="zh-CN"/>
        </w:rPr>
        <w:t>。</w:t>
      </w:r>
    </w:p>
    <w:p w14:paraId="4617D07D">
      <w:pPr>
        <w:pStyle w:val="65"/>
        <w:keepNext w:val="0"/>
        <w:keepLines w:val="0"/>
        <w:pageBreakBefore w:val="0"/>
        <w:widowControl w:val="0"/>
        <w:kinsoku/>
        <w:wordWrap/>
        <w:overflowPunct/>
        <w:topLinePunct w:val="0"/>
        <w:bidi w:val="0"/>
        <w:spacing w:beforeAutospacing="0" w:line="480" w:lineRule="auto"/>
        <w:ind w:right="0" w:rightChars="0" w:firstLine="0" w:firstLineChars="0"/>
        <w:textAlignment w:val="auto"/>
        <w:outlineLvl w:val="9"/>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技术服务要求：</w:t>
      </w:r>
    </w:p>
    <w:p w14:paraId="6CEA6FE5">
      <w:pPr>
        <w:pStyle w:val="65"/>
        <w:keepNext w:val="0"/>
        <w:keepLines w:val="0"/>
        <w:pageBreakBefore w:val="0"/>
        <w:widowControl w:val="0"/>
        <w:kinsoku/>
        <w:wordWrap/>
        <w:overflowPunct/>
        <w:topLinePunct w:val="0"/>
        <w:autoSpaceDE/>
        <w:autoSpaceDN/>
        <w:bidi w:val="0"/>
        <w:adjustRightInd/>
        <w:snapToGrid/>
        <w:spacing w:beforeAutospacing="0" w:line="48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 质保期：验收合格后质量保证期</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年，终身维修。</w:t>
      </w:r>
    </w:p>
    <w:p w14:paraId="2F6C28E2">
      <w:pPr>
        <w:pStyle w:val="65"/>
        <w:keepNext w:val="0"/>
        <w:keepLines w:val="0"/>
        <w:pageBreakBefore w:val="0"/>
        <w:widowControl w:val="0"/>
        <w:kinsoku/>
        <w:wordWrap/>
        <w:overflowPunct/>
        <w:topLinePunct w:val="0"/>
        <w:autoSpaceDE/>
        <w:autoSpaceDN/>
        <w:bidi w:val="0"/>
        <w:adjustRightInd/>
        <w:snapToGrid/>
        <w:spacing w:beforeAutospacing="0" w:line="48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 故障服务：仪器设备出现故障时，供货方得到通知2日内派维修人员到达用户现场维修。</w:t>
      </w:r>
    </w:p>
    <w:p w14:paraId="168FF93B">
      <w:pPr>
        <w:pStyle w:val="65"/>
        <w:keepNext w:val="0"/>
        <w:keepLines w:val="0"/>
        <w:pageBreakBefore w:val="0"/>
        <w:widowControl w:val="0"/>
        <w:kinsoku/>
        <w:wordWrap/>
        <w:overflowPunct/>
        <w:topLinePunct w:val="0"/>
        <w:autoSpaceDE/>
        <w:autoSpaceDN/>
        <w:bidi w:val="0"/>
        <w:adjustRightInd/>
        <w:snapToGrid/>
        <w:spacing w:beforeAutospacing="0" w:line="480" w:lineRule="auto"/>
        <w:ind w:left="0" w:leftChars="0" w:right="0" w:rightChars="0" w:firstLine="0" w:firstLineChars="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、仪器制造商需提供：技术人员到现场免费进行安装调试，免费培训用户的操作技术。提供热线服务电话。</w:t>
      </w:r>
    </w:p>
    <w:p w14:paraId="1798AB80">
      <w:pPr>
        <w:keepNext w:val="0"/>
        <w:keepLines w:val="0"/>
        <w:pageBreakBefore w:val="0"/>
        <w:kinsoku/>
        <w:wordWrap/>
        <w:overflowPunct/>
        <w:topLinePunct w:val="0"/>
        <w:bidi w:val="0"/>
        <w:spacing w:beforeAutospacing="0" w:line="480" w:lineRule="auto"/>
        <w:ind w:right="0" w:rightChars="0"/>
        <w:jc w:val="both"/>
        <w:textAlignment w:val="auto"/>
        <w:rPr>
          <w:rFonts w:hint="eastAsia" w:ascii="宋体" w:hAnsi="宋体" w:eastAsia="宋体" w:cs="宋体"/>
          <w:b w:val="0"/>
          <w:bCs/>
          <w:color w:val="auto"/>
          <w:kern w:val="0"/>
          <w:sz w:val="28"/>
          <w:szCs w:val="28"/>
          <w:highlight w:val="none"/>
          <w:lang w:val="en-US" w:eastAsia="zh-CN"/>
        </w:rPr>
      </w:pPr>
    </w:p>
    <w:p w14:paraId="0EA9DA77">
      <w:pPr>
        <w:rPr>
          <w:rFonts w:hint="eastAsia" w:ascii="宋体" w:hAnsi="宋体" w:eastAsia="宋体" w:cs="宋体"/>
          <w:b w:val="0"/>
          <w:bCs/>
          <w:color w:val="auto"/>
          <w:sz w:val="24"/>
          <w:szCs w:val="24"/>
          <w:highlight w:val="none"/>
        </w:rPr>
      </w:pPr>
    </w:p>
    <w:p w14:paraId="47F7964A">
      <w:pPr>
        <w:rPr>
          <w:rFonts w:hint="eastAsia" w:ascii="宋体" w:hAnsi="宋体" w:eastAsia="宋体" w:cs="宋体"/>
          <w:b/>
          <w:color w:val="auto"/>
          <w:sz w:val="24"/>
          <w:szCs w:val="24"/>
          <w:highlight w:val="none"/>
        </w:rPr>
      </w:pPr>
    </w:p>
    <w:p w14:paraId="1646A7F4">
      <w:pPr>
        <w:rPr>
          <w:rFonts w:hint="eastAsia" w:ascii="宋体" w:hAnsi="宋体" w:eastAsia="宋体" w:cs="宋体"/>
          <w:b/>
          <w:color w:val="auto"/>
          <w:sz w:val="24"/>
          <w:szCs w:val="24"/>
          <w:highlight w:val="none"/>
        </w:rPr>
      </w:pPr>
    </w:p>
    <w:p w14:paraId="17AE0383">
      <w:pPr>
        <w:rPr>
          <w:rFonts w:hint="eastAsia" w:ascii="宋体" w:hAnsi="宋体" w:eastAsia="宋体" w:cs="宋体"/>
          <w:b/>
          <w:color w:val="auto"/>
          <w:sz w:val="24"/>
          <w:szCs w:val="24"/>
          <w:highlight w:val="none"/>
        </w:rPr>
      </w:pPr>
    </w:p>
    <w:p w14:paraId="1949F8AA">
      <w:pPr>
        <w:rPr>
          <w:rFonts w:hint="eastAsia" w:ascii="宋体" w:hAnsi="宋体" w:eastAsia="宋体" w:cs="宋体"/>
          <w:color w:val="auto"/>
          <w:sz w:val="32"/>
          <w:szCs w:val="32"/>
          <w:highlight w:val="none"/>
          <w:lang w:val="en-US" w:eastAsia="zh-CN"/>
        </w:rPr>
      </w:pPr>
      <w:bookmarkStart w:id="44" w:name="_Toc31731"/>
      <w:bookmarkStart w:id="45" w:name="_Toc13776"/>
      <w:r>
        <w:rPr>
          <w:rFonts w:hint="eastAsia" w:ascii="宋体" w:hAnsi="宋体" w:eastAsia="宋体" w:cs="宋体"/>
          <w:color w:val="auto"/>
          <w:sz w:val="32"/>
          <w:szCs w:val="32"/>
          <w:highlight w:val="none"/>
          <w:lang w:val="en-US" w:eastAsia="zh-CN"/>
        </w:rPr>
        <w:br w:type="page"/>
      </w:r>
    </w:p>
    <w:p w14:paraId="0A46E3AA">
      <w:pPr>
        <w:pStyle w:val="3"/>
        <w:pageBreakBefore w:val="0"/>
        <w:numPr>
          <w:ilvl w:val="0"/>
          <w:numId w:val="1"/>
        </w:numPr>
        <w:overflowPunct/>
        <w:topLinePunct w:val="0"/>
        <w:bidi w:val="0"/>
        <w:spacing w:before="0" w:beforeLines="0" w:beforeAutospacing="0" w:after="0" w:afterLines="0" w:afterAutospacing="0" w:line="460" w:lineRule="exact"/>
        <w:ind w:left="0" w:leftChars="0" w:right="0" w:rightChars="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评标程序、评标方法和评标标准</w:t>
      </w:r>
      <w:bookmarkEnd w:id="44"/>
      <w:bookmarkEnd w:id="45"/>
    </w:p>
    <w:p w14:paraId="3A52C57B">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1"/>
        <w:rPr>
          <w:rFonts w:hint="eastAsia" w:ascii="宋体" w:hAnsi="宋体" w:eastAsia="宋体" w:cs="宋体"/>
          <w:b/>
          <w:bCs/>
          <w:color w:val="auto"/>
          <w:sz w:val="24"/>
          <w:szCs w:val="24"/>
          <w:highlight w:val="none"/>
          <w:lang w:val="en-US" w:eastAsia="zh-CN"/>
        </w:rPr>
      </w:pPr>
      <w:bookmarkStart w:id="46" w:name="_Toc8575"/>
      <w:bookmarkStart w:id="47" w:name="_Toc15230"/>
      <w:r>
        <w:rPr>
          <w:rFonts w:hint="eastAsia" w:ascii="宋体" w:hAnsi="宋体" w:eastAsia="宋体" w:cs="宋体"/>
          <w:b/>
          <w:bCs/>
          <w:color w:val="auto"/>
          <w:sz w:val="24"/>
          <w:szCs w:val="24"/>
          <w:highlight w:val="none"/>
          <w:lang w:val="en-US" w:eastAsia="zh-CN"/>
        </w:rPr>
        <w:t>评标方法</w:t>
      </w:r>
      <w:bookmarkEnd w:id="46"/>
      <w:bookmarkEnd w:id="47"/>
      <w:r>
        <w:rPr>
          <w:rFonts w:hint="eastAsia" w:ascii="宋体" w:hAnsi="宋体" w:eastAsia="宋体" w:cs="宋体"/>
          <w:b/>
          <w:bCs/>
          <w:color w:val="auto"/>
          <w:sz w:val="24"/>
          <w:szCs w:val="24"/>
          <w:highlight w:val="none"/>
          <w:lang w:val="en-US" w:eastAsia="zh-CN"/>
        </w:rPr>
        <w:t xml:space="preserve"> </w:t>
      </w:r>
    </w:p>
    <w:p w14:paraId="31381C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1BD80BF1">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1"/>
        <w:rPr>
          <w:rFonts w:hint="eastAsia" w:ascii="宋体" w:hAnsi="宋体" w:eastAsia="宋体" w:cs="宋体"/>
          <w:b/>
          <w:bCs/>
          <w:color w:val="auto"/>
          <w:sz w:val="24"/>
          <w:szCs w:val="24"/>
          <w:highlight w:val="none"/>
          <w:lang w:val="en-US" w:eastAsia="zh-CN"/>
        </w:rPr>
      </w:pPr>
      <w:bookmarkStart w:id="48" w:name="_Toc12398"/>
      <w:bookmarkStart w:id="49" w:name="_Toc6785"/>
      <w:r>
        <w:rPr>
          <w:rFonts w:hint="eastAsia" w:ascii="宋体" w:hAnsi="宋体" w:eastAsia="宋体" w:cs="宋体"/>
          <w:b/>
          <w:bCs/>
          <w:color w:val="auto"/>
          <w:sz w:val="24"/>
          <w:szCs w:val="24"/>
          <w:highlight w:val="none"/>
          <w:lang w:val="en-US" w:eastAsia="zh-CN"/>
        </w:rPr>
        <w:t>评标原则</w:t>
      </w:r>
      <w:bookmarkEnd w:id="48"/>
      <w:bookmarkEnd w:id="49"/>
    </w:p>
    <w:p w14:paraId="0461AFE7">
      <w:pPr>
        <w:keepNext w:val="0"/>
        <w:keepLines w:val="0"/>
        <w:pageBreakBefore w:val="0"/>
        <w:widowControl w:val="0"/>
        <w:numPr>
          <w:ilvl w:val="1"/>
          <w:numId w:val="13"/>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评标活动遵循公平、公正、科学和择优的原则，以招标文件和投标</w:t>
      </w:r>
    </w:p>
    <w:p w14:paraId="30DDF9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文件为评标的基本依据，并按照招标文件规定的评标方法和评标标准进行评标。</w:t>
      </w:r>
    </w:p>
    <w:p w14:paraId="1EF4BED6">
      <w:pPr>
        <w:keepNext w:val="0"/>
        <w:keepLines w:val="0"/>
        <w:pageBreakBefore w:val="0"/>
        <w:widowControl w:val="0"/>
        <w:numPr>
          <w:ilvl w:val="1"/>
          <w:numId w:val="13"/>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具体评审事项由评标委员会负责，并按招标文件的规定办法进行评</w:t>
      </w:r>
    </w:p>
    <w:p w14:paraId="71BA30C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审。对招标文件中描述有歧义或前后不一致的地方，评标委员会有权按法律法规的规定进行评判，但对同一条款的评判应适用于每个投标人。</w:t>
      </w:r>
    </w:p>
    <w:p w14:paraId="2DF52B33">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1"/>
        <w:rPr>
          <w:rFonts w:hint="eastAsia" w:ascii="宋体" w:hAnsi="宋体" w:eastAsia="宋体" w:cs="宋体"/>
          <w:b/>
          <w:bCs/>
          <w:color w:val="auto"/>
          <w:sz w:val="24"/>
          <w:szCs w:val="24"/>
          <w:highlight w:val="none"/>
          <w:lang w:val="en-US" w:eastAsia="zh-CN"/>
        </w:rPr>
      </w:pPr>
      <w:bookmarkStart w:id="50" w:name="_Toc1155"/>
      <w:bookmarkStart w:id="51" w:name="_Toc22364"/>
      <w:bookmarkStart w:id="52" w:name="_Toc12308"/>
      <w:bookmarkStart w:id="53" w:name="_Toc27593"/>
      <w:r>
        <w:rPr>
          <w:rFonts w:hint="eastAsia" w:ascii="宋体" w:hAnsi="宋体" w:eastAsia="宋体" w:cs="宋体"/>
          <w:b/>
          <w:bCs/>
          <w:color w:val="auto"/>
          <w:sz w:val="24"/>
          <w:szCs w:val="24"/>
          <w:highlight w:val="none"/>
          <w:lang w:val="en-US" w:eastAsia="zh-CN"/>
        </w:rPr>
        <w:t>资格审查</w:t>
      </w:r>
      <w:bookmarkEnd w:id="50"/>
      <w:bookmarkEnd w:id="51"/>
    </w:p>
    <w:p w14:paraId="3889E1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b w:val="0"/>
          <w:bCs w:val="0"/>
          <w:color w:val="auto"/>
          <w:sz w:val="24"/>
          <w:szCs w:val="24"/>
          <w:highlight w:val="none"/>
          <w:lang w:val="en-US" w:eastAsia="zh-CN"/>
        </w:rPr>
        <w:t>处理，不进入符合性审查。资格审查要求如下：</w:t>
      </w:r>
    </w:p>
    <w:p w14:paraId="316659B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资格审查要求</w:t>
      </w:r>
    </w:p>
    <w:tbl>
      <w:tblPr>
        <w:tblStyle w:val="3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980"/>
        <w:gridCol w:w="6046"/>
      </w:tblGrid>
      <w:tr w14:paraId="73B7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01" w:type="dxa"/>
            <w:vAlign w:val="center"/>
          </w:tcPr>
          <w:p w14:paraId="435695B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序号</w:t>
            </w:r>
          </w:p>
        </w:tc>
        <w:tc>
          <w:tcPr>
            <w:tcW w:w="1980" w:type="dxa"/>
            <w:vAlign w:val="center"/>
          </w:tcPr>
          <w:p w14:paraId="5F9DBC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审查因素</w:t>
            </w:r>
          </w:p>
        </w:tc>
        <w:tc>
          <w:tcPr>
            <w:tcW w:w="6046" w:type="dxa"/>
            <w:vAlign w:val="center"/>
          </w:tcPr>
          <w:p w14:paraId="0F48ED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审查内容</w:t>
            </w:r>
          </w:p>
        </w:tc>
      </w:tr>
      <w:tr w14:paraId="2145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01" w:type="dxa"/>
            <w:vAlign w:val="center"/>
          </w:tcPr>
          <w:p w14:paraId="5988D1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1</w:t>
            </w:r>
          </w:p>
        </w:tc>
        <w:tc>
          <w:tcPr>
            <w:tcW w:w="1980" w:type="dxa"/>
            <w:vAlign w:val="center"/>
          </w:tcPr>
          <w:p w14:paraId="4861ACBC">
            <w:pPr>
              <w:spacing w:line="44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供应商能力</w:t>
            </w:r>
          </w:p>
        </w:tc>
        <w:tc>
          <w:tcPr>
            <w:tcW w:w="6046" w:type="dxa"/>
            <w:vAlign w:val="center"/>
          </w:tcPr>
          <w:p w14:paraId="3A079BC8">
            <w:pP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法定代表人或者其他组织的营业执照等证明文件，自然人的身份证明；（复印件加盖公章）</w:t>
            </w:r>
          </w:p>
        </w:tc>
      </w:tr>
      <w:tr w14:paraId="24C7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01" w:type="dxa"/>
            <w:vAlign w:val="center"/>
          </w:tcPr>
          <w:p w14:paraId="089E74C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w:t>
            </w:r>
          </w:p>
        </w:tc>
        <w:tc>
          <w:tcPr>
            <w:tcW w:w="1980" w:type="dxa"/>
            <w:vAlign w:val="center"/>
          </w:tcPr>
          <w:p w14:paraId="12AE4832">
            <w:pPr>
              <w:spacing w:line="44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具有良好的商业信誉和健全的财务会计制度</w:t>
            </w:r>
          </w:p>
        </w:tc>
        <w:tc>
          <w:tcPr>
            <w:tcW w:w="6046" w:type="dxa"/>
            <w:vAlign w:val="center"/>
          </w:tcPr>
          <w:p w14:paraId="18D17094">
            <w:pP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经审计的最近一个年度（2023年度或2024年度）的财务状况报告或银行资信证明（成立不满一年不需提供）；（复印件加盖公章）</w:t>
            </w:r>
          </w:p>
        </w:tc>
      </w:tr>
      <w:tr w14:paraId="7B39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1" w:type="dxa"/>
            <w:vAlign w:val="center"/>
          </w:tcPr>
          <w:p w14:paraId="4E2005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3</w:t>
            </w:r>
          </w:p>
        </w:tc>
        <w:tc>
          <w:tcPr>
            <w:tcW w:w="1980" w:type="dxa"/>
            <w:vAlign w:val="center"/>
          </w:tcPr>
          <w:p w14:paraId="101B5C26">
            <w:pPr>
              <w:spacing w:line="44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有依法缴纳税收和社会保障金的证明材料</w:t>
            </w:r>
          </w:p>
        </w:tc>
        <w:tc>
          <w:tcPr>
            <w:tcW w:w="6046" w:type="dxa"/>
            <w:vAlign w:val="center"/>
          </w:tcPr>
          <w:p w14:paraId="6A496444">
            <w:pP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依法缴纳税收和社会保障资金的相关材料（提供提交投标文件截止时间前一年内至少一个月依法缴纳税收及缴纳社会保障资金的证明材料。投标人依法享受缓缴、免缴税收、社会保障资金的提供证明材料。）；（复印件加盖公章）</w:t>
            </w:r>
          </w:p>
        </w:tc>
      </w:tr>
      <w:tr w14:paraId="4DD6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14:paraId="319E4B7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4</w:t>
            </w:r>
          </w:p>
        </w:tc>
        <w:tc>
          <w:tcPr>
            <w:tcW w:w="1980" w:type="dxa"/>
            <w:vAlign w:val="center"/>
          </w:tcPr>
          <w:p w14:paraId="560AEB6E">
            <w:pPr>
              <w:spacing w:line="44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履约能力</w:t>
            </w:r>
          </w:p>
        </w:tc>
        <w:tc>
          <w:tcPr>
            <w:tcW w:w="6046" w:type="dxa"/>
            <w:vAlign w:val="center"/>
          </w:tcPr>
          <w:p w14:paraId="753A0D27">
            <w:pP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具备履行合同所必需的设备和专业技术能力的证明材料或承诺函；</w:t>
            </w:r>
          </w:p>
        </w:tc>
      </w:tr>
      <w:tr w14:paraId="433A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01" w:type="dxa"/>
            <w:vAlign w:val="center"/>
          </w:tcPr>
          <w:p w14:paraId="0CFB95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5</w:t>
            </w:r>
          </w:p>
        </w:tc>
        <w:tc>
          <w:tcPr>
            <w:tcW w:w="1980" w:type="dxa"/>
            <w:vAlign w:val="center"/>
          </w:tcPr>
          <w:p w14:paraId="3A95F7CF">
            <w:pPr>
              <w:spacing w:line="44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书面声明</w:t>
            </w:r>
          </w:p>
        </w:tc>
        <w:tc>
          <w:tcPr>
            <w:tcW w:w="6046" w:type="dxa"/>
            <w:vAlign w:val="center"/>
          </w:tcPr>
          <w:p w14:paraId="3FD9E659">
            <w:pP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参加政府采购活动前3年内在经营活动中没有重大违法记录的书面声明；</w:t>
            </w:r>
          </w:p>
        </w:tc>
      </w:tr>
      <w:tr w14:paraId="57AB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01" w:type="dxa"/>
            <w:vAlign w:val="center"/>
          </w:tcPr>
          <w:p w14:paraId="07FBD0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6</w:t>
            </w:r>
          </w:p>
        </w:tc>
        <w:tc>
          <w:tcPr>
            <w:tcW w:w="1980" w:type="dxa"/>
            <w:vAlign w:val="center"/>
          </w:tcPr>
          <w:p w14:paraId="47ED48C7">
            <w:pPr>
              <w:spacing w:line="44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信用信息查询</w:t>
            </w:r>
          </w:p>
        </w:tc>
        <w:tc>
          <w:tcPr>
            <w:tcW w:w="6046" w:type="dxa"/>
            <w:vAlign w:val="center"/>
          </w:tcPr>
          <w:p w14:paraId="1EAE16E2">
            <w:pP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未被“信用中国”网站（www.creditchina.gov.cn）、“中国政府采购网"(www.ccgp.gov.cn)列入失信被执行人、重大税收违法案件当事人名单、政府采购严重失信行为记录名单。</w:t>
            </w:r>
          </w:p>
        </w:tc>
      </w:tr>
      <w:tr w14:paraId="49B1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01" w:type="dxa"/>
            <w:vAlign w:val="center"/>
          </w:tcPr>
          <w:p w14:paraId="3804EA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7</w:t>
            </w:r>
          </w:p>
        </w:tc>
        <w:tc>
          <w:tcPr>
            <w:tcW w:w="1980" w:type="dxa"/>
            <w:vAlign w:val="center"/>
          </w:tcPr>
          <w:p w14:paraId="3B71209C">
            <w:pPr>
              <w:spacing w:line="44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政府采购政策</w:t>
            </w:r>
          </w:p>
        </w:tc>
        <w:tc>
          <w:tcPr>
            <w:tcW w:w="6046" w:type="dxa"/>
            <w:vAlign w:val="center"/>
          </w:tcPr>
          <w:p w14:paraId="520E0B58">
            <w:pP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本项目为专门面向中小企业采购的项目，投标人须提供《中小企业声明函》（复印件加盖公章）</w:t>
            </w:r>
          </w:p>
        </w:tc>
      </w:tr>
      <w:tr w14:paraId="2799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801" w:type="dxa"/>
            <w:vAlign w:val="center"/>
          </w:tcPr>
          <w:p w14:paraId="639A1E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8</w:t>
            </w:r>
          </w:p>
        </w:tc>
        <w:tc>
          <w:tcPr>
            <w:tcW w:w="1980" w:type="dxa"/>
            <w:vAlign w:val="center"/>
          </w:tcPr>
          <w:p w14:paraId="03B33251">
            <w:pPr>
              <w:spacing w:line="46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其他说明</w:t>
            </w:r>
          </w:p>
        </w:tc>
        <w:tc>
          <w:tcPr>
            <w:tcW w:w="6046" w:type="dxa"/>
            <w:vAlign w:val="center"/>
          </w:tcPr>
          <w:p w14:paraId="751A2A85">
            <w:pPr>
              <w:spacing w:line="460" w:lineRule="exact"/>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承诺函及主要出资人信息表，加盖公章）。</w:t>
            </w:r>
          </w:p>
        </w:tc>
      </w:tr>
      <w:tr w14:paraId="0BF1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01" w:type="dxa"/>
            <w:vAlign w:val="center"/>
          </w:tcPr>
          <w:p w14:paraId="544D0F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9</w:t>
            </w:r>
          </w:p>
        </w:tc>
        <w:tc>
          <w:tcPr>
            <w:tcW w:w="1980" w:type="dxa"/>
            <w:vAlign w:val="center"/>
          </w:tcPr>
          <w:p w14:paraId="1F9293A8">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结论</w:t>
            </w:r>
          </w:p>
        </w:tc>
        <w:tc>
          <w:tcPr>
            <w:tcW w:w="6046" w:type="dxa"/>
            <w:vAlign w:val="center"/>
          </w:tcPr>
          <w:p w14:paraId="2C70C549">
            <w:pPr>
              <w:spacing w:line="460" w:lineRule="exact"/>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通过或不通过</w:t>
            </w:r>
          </w:p>
        </w:tc>
      </w:tr>
    </w:tbl>
    <w:p w14:paraId="22C370CF">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符合性审查</w:t>
      </w:r>
      <w:bookmarkEnd w:id="52"/>
      <w:bookmarkEnd w:id="53"/>
    </w:p>
    <w:p w14:paraId="494885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39774F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p>
    <w:p w14:paraId="7F4DDE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p>
    <w:p w14:paraId="7DAA3B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符合性审查要求</w:t>
      </w:r>
    </w:p>
    <w:tbl>
      <w:tblPr>
        <w:tblStyle w:val="33"/>
        <w:tblW w:w="8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5"/>
        <w:gridCol w:w="1719"/>
        <w:gridCol w:w="5848"/>
      </w:tblGrid>
      <w:tr w14:paraId="4A3E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15" w:type="dxa"/>
            <w:vMerge w:val="restart"/>
            <w:tcBorders>
              <w:top w:val="single" w:color="000000" w:sz="4" w:space="0"/>
              <w:left w:val="single" w:color="000000" w:sz="4" w:space="0"/>
              <w:bottom w:val="single" w:color="000000" w:sz="4" w:space="0"/>
              <w:right w:val="single" w:color="000000" w:sz="4" w:space="0"/>
            </w:tcBorders>
            <w:noWrap/>
            <w:vAlign w:val="center"/>
          </w:tcPr>
          <w:p w14:paraId="2415DB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bookmarkStart w:id="54" w:name="_Toc22210"/>
            <w:bookmarkStart w:id="55" w:name="_Toc9049"/>
            <w:r>
              <w:rPr>
                <w:rFonts w:hint="eastAsia" w:ascii="宋体" w:hAnsi="宋体" w:eastAsia="宋体" w:cs="宋体"/>
                <w:i w:val="0"/>
                <w:iCs w:val="0"/>
                <w:color w:val="auto"/>
                <w:kern w:val="0"/>
                <w:sz w:val="24"/>
                <w:szCs w:val="24"/>
                <w:highlight w:val="none"/>
                <w:u w:val="none"/>
                <w:lang w:val="en-US" w:eastAsia="zh-CN" w:bidi="ar"/>
              </w:rPr>
              <w:t>序号</w:t>
            </w:r>
          </w:p>
        </w:tc>
        <w:tc>
          <w:tcPr>
            <w:tcW w:w="756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3DF9CA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采购文件符合性审查内容</w:t>
            </w:r>
          </w:p>
        </w:tc>
      </w:tr>
      <w:tr w14:paraId="3EAC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14:paraId="47FC232B">
            <w:pPr>
              <w:jc w:val="center"/>
              <w:rPr>
                <w:rFonts w:hint="eastAsia" w:ascii="宋体" w:hAnsi="宋体" w:eastAsia="宋体" w:cs="宋体"/>
                <w:i w:val="0"/>
                <w:iCs w:val="0"/>
                <w:color w:val="auto"/>
                <w:sz w:val="24"/>
                <w:szCs w:val="24"/>
                <w:highlight w:val="none"/>
                <w:u w:val="none"/>
              </w:rPr>
            </w:pPr>
          </w:p>
        </w:tc>
        <w:tc>
          <w:tcPr>
            <w:tcW w:w="756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C491F69">
            <w:pPr>
              <w:jc w:val="center"/>
              <w:rPr>
                <w:rFonts w:hint="eastAsia" w:ascii="宋体" w:hAnsi="宋体" w:eastAsia="宋体" w:cs="宋体"/>
                <w:i w:val="0"/>
                <w:iCs w:val="0"/>
                <w:color w:val="auto"/>
                <w:sz w:val="24"/>
                <w:szCs w:val="24"/>
                <w:highlight w:val="none"/>
                <w:u w:val="none"/>
              </w:rPr>
            </w:pPr>
          </w:p>
        </w:tc>
      </w:tr>
      <w:tr w14:paraId="4300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140B0256">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1</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0534FC78">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投标人名称</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1B26CFE2">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营业执照名称和投标单位一致。</w:t>
            </w:r>
          </w:p>
        </w:tc>
      </w:tr>
      <w:tr w14:paraId="4BF9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0E9F8CFC">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60B23A8C">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投标文件签署</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777CC790">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投标文件中由法定代表人签字或盖签名章的，须提供法定代表人身份证明书；投标文件中由授权委托人签字的，须提供法定代表人授权委托书及法定代表人身份证明书。</w:t>
            </w:r>
          </w:p>
        </w:tc>
      </w:tr>
      <w:tr w14:paraId="13CA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5EB560D8">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3</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5F6A1016">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投标报价</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5C22C29C">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投标报价未超过招标文件中规定的项目/采购包预算金额或者项目/采购包最高限价；</w:t>
            </w:r>
          </w:p>
        </w:tc>
      </w:tr>
      <w:tr w14:paraId="04F2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756B71AA">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4</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627B00B1">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报价唯一</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6A0CC917">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投标文件未出现可选择性或可调整的报价（招标文件另有规定的除外）</w:t>
            </w:r>
          </w:p>
        </w:tc>
      </w:tr>
      <w:tr w14:paraId="4554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02BC87A7">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5</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2FC84C24">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清单</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722FCF61">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严格按招标文件提供的采购清单内容及数量报价，</w:t>
            </w:r>
          </w:p>
        </w:tc>
      </w:tr>
      <w:tr w14:paraId="359E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219E6630">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6</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20A29145">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投标保证金</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1AA75CD0">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按时、足额缴纳投标保证金。</w:t>
            </w:r>
          </w:p>
        </w:tc>
      </w:tr>
      <w:tr w14:paraId="1BEB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2BDF5339">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7</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296B048E">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格式要求</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5F461A13">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满足招标文件格式要求。</w:t>
            </w:r>
          </w:p>
        </w:tc>
      </w:tr>
      <w:tr w14:paraId="72D7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0D7F2286">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8</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49EA33A1">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合同履约期限</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60A83D75">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满足招标文件格式要求。</w:t>
            </w:r>
          </w:p>
        </w:tc>
      </w:tr>
      <w:tr w14:paraId="629C3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215" w:type="dxa"/>
            <w:tcBorders>
              <w:top w:val="single" w:color="000000" w:sz="4" w:space="0"/>
              <w:left w:val="single" w:color="000000" w:sz="4" w:space="0"/>
              <w:bottom w:val="single" w:color="000000" w:sz="4" w:space="0"/>
              <w:right w:val="single" w:color="000000" w:sz="4" w:space="0"/>
            </w:tcBorders>
            <w:noWrap/>
            <w:vAlign w:val="center"/>
          </w:tcPr>
          <w:p w14:paraId="4673EC27">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9</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7CF38574">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质保期</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14:paraId="35DEA61E">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满足招标文件格式要求。</w:t>
            </w:r>
          </w:p>
        </w:tc>
      </w:tr>
      <w:tr w14:paraId="6F8C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215" w:type="dxa"/>
            <w:tcBorders>
              <w:top w:val="single" w:color="000000" w:sz="4" w:space="0"/>
              <w:left w:val="single" w:color="000000" w:sz="4" w:space="0"/>
              <w:bottom w:val="single" w:color="auto" w:sz="4" w:space="0"/>
              <w:right w:val="single" w:color="000000" w:sz="4" w:space="0"/>
            </w:tcBorders>
            <w:noWrap/>
            <w:vAlign w:val="center"/>
          </w:tcPr>
          <w:p w14:paraId="7C28EF4B">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10</w:t>
            </w:r>
          </w:p>
        </w:tc>
        <w:tc>
          <w:tcPr>
            <w:tcW w:w="1719" w:type="dxa"/>
            <w:tcBorders>
              <w:top w:val="single" w:color="000000" w:sz="4" w:space="0"/>
              <w:left w:val="single" w:color="000000" w:sz="4" w:space="0"/>
              <w:bottom w:val="single" w:color="auto" w:sz="4" w:space="0"/>
              <w:right w:val="single" w:color="000000" w:sz="4" w:space="0"/>
            </w:tcBorders>
            <w:noWrap w:val="0"/>
            <w:vAlign w:val="center"/>
          </w:tcPr>
          <w:p w14:paraId="5B2C443D">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响应有效期</w:t>
            </w:r>
          </w:p>
        </w:tc>
        <w:tc>
          <w:tcPr>
            <w:tcW w:w="5848" w:type="dxa"/>
            <w:tcBorders>
              <w:top w:val="single" w:color="000000" w:sz="4" w:space="0"/>
              <w:left w:val="single" w:color="000000" w:sz="4" w:space="0"/>
              <w:bottom w:val="single" w:color="auto" w:sz="4" w:space="0"/>
              <w:right w:val="single" w:color="000000" w:sz="4" w:space="0"/>
            </w:tcBorders>
            <w:noWrap w:val="0"/>
            <w:vAlign w:val="center"/>
          </w:tcPr>
          <w:p w14:paraId="5DEE9670">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满足招标文件格式要求。</w:t>
            </w:r>
          </w:p>
        </w:tc>
      </w:tr>
      <w:tr w14:paraId="2D73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215" w:type="dxa"/>
            <w:tcBorders>
              <w:top w:val="single" w:color="auto" w:sz="4" w:space="0"/>
              <w:left w:val="single" w:color="auto" w:sz="4" w:space="0"/>
              <w:bottom w:val="single" w:color="auto" w:sz="4" w:space="0"/>
              <w:right w:val="single" w:color="000000" w:sz="4" w:space="0"/>
            </w:tcBorders>
            <w:noWrap/>
            <w:vAlign w:val="center"/>
          </w:tcPr>
          <w:p w14:paraId="77863681">
            <w:pPr>
              <w:keepNext w:val="0"/>
              <w:keepLines w:val="0"/>
              <w:widowControl/>
              <w:suppressLineNumbers w:val="0"/>
              <w:jc w:val="center"/>
              <w:textAlignment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11</w:t>
            </w:r>
          </w:p>
        </w:tc>
        <w:tc>
          <w:tcPr>
            <w:tcW w:w="1719" w:type="dxa"/>
            <w:tcBorders>
              <w:top w:val="single" w:color="auto" w:sz="4" w:space="0"/>
              <w:left w:val="single" w:color="000000" w:sz="4" w:space="0"/>
              <w:bottom w:val="single" w:color="auto" w:sz="4" w:space="0"/>
              <w:right w:val="single" w:color="auto" w:sz="4" w:space="0"/>
            </w:tcBorders>
            <w:noWrap w:val="0"/>
            <w:vAlign w:val="center"/>
          </w:tcPr>
          <w:p w14:paraId="06BFFF16">
            <w:pPr>
              <w:pStyle w:val="9"/>
              <w:keepNext w:val="0"/>
              <w:keepLines w:val="0"/>
              <w:pageBreakBefore w:val="0"/>
              <w:overflowPunct/>
              <w:topLinePunct w:val="0"/>
              <w:bidi w:val="0"/>
              <w:spacing w:beforeAutospacing="0" w:after="0" w:afterAutospacing="0" w:line="460" w:lineRule="exact"/>
              <w:ind w:left="0" w:leftChars="0" w:right="0" w:rightChars="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其他</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2E24E7C7">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①投标文件未含有采购人不能接受的附加条件的；</w:t>
            </w:r>
          </w:p>
          <w:p w14:paraId="1758201D">
            <w:pPr>
              <w:pStyle w:val="9"/>
              <w:keepNext w:val="0"/>
              <w:keepLines w:val="0"/>
              <w:pageBreakBefore w:val="0"/>
              <w:overflowPunct/>
              <w:topLinePunct w:val="0"/>
              <w:bidi w:val="0"/>
              <w:spacing w:beforeAutospacing="0" w:after="0" w:afterAutospacing="0" w:line="460" w:lineRule="exact"/>
              <w:ind w:left="0" w:leftChars="0" w:right="0" w:righ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②投标文件中不存在违反国家法律、法规和招标文件规定的其他无效情形</w:t>
            </w:r>
          </w:p>
        </w:tc>
      </w:tr>
      <w:tr w14:paraId="2E41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215" w:type="dxa"/>
            <w:tcBorders>
              <w:top w:val="single" w:color="auto" w:sz="4" w:space="0"/>
              <w:left w:val="single" w:color="auto" w:sz="4" w:space="0"/>
              <w:bottom w:val="single" w:color="auto" w:sz="4" w:space="0"/>
              <w:right w:val="single" w:color="auto" w:sz="4" w:space="0"/>
            </w:tcBorders>
            <w:noWrap/>
            <w:vAlign w:val="center"/>
          </w:tcPr>
          <w:p w14:paraId="1C2AECFE">
            <w:pPr>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12</w:t>
            </w:r>
          </w:p>
        </w:tc>
        <w:tc>
          <w:tcPr>
            <w:tcW w:w="1719" w:type="dxa"/>
            <w:tcBorders>
              <w:top w:val="single" w:color="auto" w:sz="4" w:space="0"/>
              <w:left w:val="single" w:color="auto" w:sz="4" w:space="0"/>
              <w:bottom w:val="single" w:color="auto" w:sz="4" w:space="0"/>
              <w:right w:val="single" w:color="auto" w:sz="4" w:space="0"/>
            </w:tcBorders>
            <w:noWrap/>
            <w:vAlign w:val="center"/>
          </w:tcPr>
          <w:p w14:paraId="6E0BFA57">
            <w:pPr>
              <w:spacing w:line="460" w:lineRule="exact"/>
              <w:jc w:val="center"/>
              <w:rPr>
                <w:rFonts w:hint="eastAsia" w:ascii="宋体" w:hAnsi="宋体" w:eastAsia="宋体" w:cs="宋体"/>
                <w:color w:val="auto"/>
                <w:kern w:val="0"/>
                <w:sz w:val="24"/>
                <w:szCs w:val="20"/>
                <w:highlight w:val="none"/>
                <w:lang w:val="en-US" w:eastAsia="zh-CN" w:bidi="ar-SA"/>
              </w:rPr>
            </w:pPr>
            <w:r>
              <w:rPr>
                <w:rStyle w:val="36"/>
                <w:rFonts w:hint="eastAsia" w:ascii="宋体" w:hAnsi="宋体" w:eastAsia="宋体" w:cs="宋体"/>
                <w:b w:val="0"/>
                <w:color w:val="auto"/>
                <w:sz w:val="24"/>
                <w:highlight w:val="none"/>
                <w:lang w:val="en-US" w:eastAsia="zh-CN"/>
              </w:rPr>
              <w:t>结论</w:t>
            </w:r>
          </w:p>
        </w:tc>
        <w:tc>
          <w:tcPr>
            <w:tcW w:w="5848" w:type="dxa"/>
            <w:tcBorders>
              <w:top w:val="single" w:color="auto" w:sz="4" w:space="0"/>
              <w:left w:val="single" w:color="auto" w:sz="4" w:space="0"/>
              <w:bottom w:val="single" w:color="auto" w:sz="4" w:space="0"/>
              <w:right w:val="single" w:color="auto" w:sz="4" w:space="0"/>
            </w:tcBorders>
            <w:noWrap/>
            <w:vAlign w:val="center"/>
          </w:tcPr>
          <w:p w14:paraId="0F92B6B5">
            <w:pPr>
              <w:spacing w:line="460" w:lineRule="exact"/>
              <w:jc w:val="center"/>
              <w:rPr>
                <w:rFonts w:hint="eastAsia" w:ascii="宋体" w:hAnsi="宋体" w:eastAsia="宋体" w:cs="宋体"/>
                <w:color w:val="auto"/>
                <w:kern w:val="0"/>
                <w:sz w:val="24"/>
                <w:szCs w:val="20"/>
                <w:highlight w:val="none"/>
                <w:lang w:val="en-US" w:eastAsia="zh-CN" w:bidi="ar-SA"/>
              </w:rPr>
            </w:pPr>
            <w:r>
              <w:rPr>
                <w:rStyle w:val="36"/>
                <w:rFonts w:hint="eastAsia" w:ascii="宋体" w:hAnsi="宋体" w:eastAsia="宋体" w:cs="宋体"/>
                <w:b w:val="0"/>
                <w:color w:val="auto"/>
                <w:sz w:val="24"/>
                <w:highlight w:val="none"/>
                <w:lang w:val="en-US" w:eastAsia="zh-CN"/>
              </w:rPr>
              <w:t>通过或通过</w:t>
            </w:r>
          </w:p>
        </w:tc>
      </w:tr>
    </w:tbl>
    <w:p w14:paraId="1B51093E">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投标文件有关事项的澄清或者说明</w:t>
      </w:r>
      <w:bookmarkEnd w:id="54"/>
      <w:bookmarkEnd w:id="55"/>
    </w:p>
    <w:p w14:paraId="5F21AFAF">
      <w:pPr>
        <w:keepNext w:val="0"/>
        <w:keepLines w:val="0"/>
        <w:pageBreakBefore w:val="0"/>
        <w:widowControl w:val="0"/>
        <w:numPr>
          <w:ilvl w:val="1"/>
          <w:numId w:val="13"/>
        </w:numPr>
        <w:kinsoku/>
        <w:wordWrap/>
        <w:overflowPunct/>
        <w:topLinePunct w:val="0"/>
        <w:autoSpaceDE/>
        <w:autoSpaceDN/>
        <w:bidi w:val="0"/>
        <w:adjustRightInd/>
        <w:snapToGrid/>
        <w:spacing w:beforeAutospacing="0" w:afterAutospacing="0" w:line="460" w:lineRule="exact"/>
        <w:ind w:left="420" w:leftChars="20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评标过程中，评标委员会将以书面形式要求投标人对其投标文件中</w:t>
      </w:r>
    </w:p>
    <w:p w14:paraId="586FA4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F2BAA1D">
      <w:pPr>
        <w:keepNext w:val="0"/>
        <w:keepLines w:val="0"/>
        <w:pageBreakBefore w:val="0"/>
        <w:widowControl w:val="0"/>
        <w:numPr>
          <w:ilvl w:val="1"/>
          <w:numId w:val="13"/>
        </w:numPr>
        <w:kinsoku/>
        <w:wordWrap/>
        <w:overflowPunct/>
        <w:topLinePunct w:val="0"/>
        <w:autoSpaceDE/>
        <w:autoSpaceDN/>
        <w:bidi w:val="0"/>
        <w:adjustRightInd/>
        <w:snapToGrid/>
        <w:spacing w:beforeAutospacing="0" w:afterAutospacing="0" w:line="460" w:lineRule="exact"/>
        <w:ind w:left="420" w:leftChars="20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评标委员会认为投标人的报价明显低于其他通过符合性审查投标</w:t>
      </w:r>
    </w:p>
    <w:p w14:paraId="615E4D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b w:val="0"/>
          <w:bCs w:val="0"/>
          <w:color w:val="auto"/>
          <w:sz w:val="24"/>
          <w:szCs w:val="24"/>
          <w:highlight w:val="none"/>
          <w:lang w:val="en-US" w:eastAsia="zh-CN"/>
        </w:rPr>
        <w:t>处理。</w:t>
      </w:r>
    </w:p>
    <w:p w14:paraId="2CE4B9B8">
      <w:pPr>
        <w:keepNext w:val="0"/>
        <w:keepLines w:val="0"/>
        <w:pageBreakBefore w:val="0"/>
        <w:widowControl w:val="0"/>
        <w:numPr>
          <w:ilvl w:val="1"/>
          <w:numId w:val="13"/>
        </w:numPr>
        <w:kinsoku/>
        <w:wordWrap/>
        <w:overflowPunct/>
        <w:topLinePunct w:val="0"/>
        <w:autoSpaceDE/>
        <w:autoSpaceDN/>
        <w:bidi w:val="0"/>
        <w:adjustRightInd/>
        <w:snapToGrid/>
        <w:spacing w:beforeAutospacing="0" w:afterAutospacing="0" w:line="460" w:lineRule="exact"/>
        <w:ind w:left="420" w:leftChars="20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投标报价须包含招标文件全部内容，如分项报价表有缺漏视为已含</w:t>
      </w:r>
    </w:p>
    <w:p w14:paraId="106390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w:t>
      </w:r>
    </w:p>
    <w:p w14:paraId="767BE3CF">
      <w:pPr>
        <w:keepNext w:val="0"/>
        <w:keepLines w:val="0"/>
        <w:pageBreakBefore w:val="0"/>
        <w:widowControl w:val="0"/>
        <w:numPr>
          <w:ilvl w:val="1"/>
          <w:numId w:val="13"/>
        </w:numPr>
        <w:kinsoku/>
        <w:wordWrap/>
        <w:overflowPunct/>
        <w:topLinePunct w:val="0"/>
        <w:autoSpaceDE/>
        <w:autoSpaceDN/>
        <w:bidi w:val="0"/>
        <w:adjustRightInd/>
        <w:snapToGrid/>
        <w:spacing w:beforeAutospacing="0" w:afterAutospacing="0" w:line="460" w:lineRule="exact"/>
        <w:ind w:left="420" w:leftChars="20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评标委员会不接受投标人主动提出的澄清、说明或补正。</w:t>
      </w:r>
    </w:p>
    <w:p w14:paraId="1032A385">
      <w:pPr>
        <w:keepNext w:val="0"/>
        <w:keepLines w:val="0"/>
        <w:pageBreakBefore w:val="0"/>
        <w:widowControl w:val="0"/>
        <w:numPr>
          <w:ilvl w:val="1"/>
          <w:numId w:val="13"/>
        </w:numPr>
        <w:kinsoku/>
        <w:wordWrap/>
        <w:overflowPunct/>
        <w:topLinePunct w:val="0"/>
        <w:autoSpaceDE/>
        <w:autoSpaceDN/>
        <w:bidi w:val="0"/>
        <w:adjustRightInd/>
        <w:snapToGrid/>
        <w:spacing w:beforeAutospacing="0" w:afterAutospacing="0" w:line="460" w:lineRule="exact"/>
        <w:ind w:left="420" w:leftChars="20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评标委员会对投标人提交的澄清、说明或补正有疑问的，可以要求</w:t>
      </w:r>
    </w:p>
    <w:p w14:paraId="67881D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投标人进一步澄清、说明或补正。</w:t>
      </w:r>
    </w:p>
    <w:p w14:paraId="0B8EEEDF">
      <w:pPr>
        <w:keepNext w:val="0"/>
        <w:keepLines w:val="0"/>
        <w:pageBreakBefore w:val="0"/>
        <w:widowControl w:val="0"/>
        <w:numPr>
          <w:ilvl w:val="1"/>
          <w:numId w:val="13"/>
        </w:numPr>
        <w:kinsoku/>
        <w:wordWrap/>
        <w:overflowPunct/>
        <w:topLinePunct w:val="0"/>
        <w:autoSpaceDE/>
        <w:autoSpaceDN/>
        <w:bidi w:val="0"/>
        <w:adjustRightInd/>
        <w:snapToGrid/>
        <w:spacing w:beforeAutospacing="0" w:afterAutospacing="0" w:line="460" w:lineRule="exact"/>
        <w:ind w:left="420" w:leftChars="20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对报价的计算错误按以下原则修正：</w:t>
      </w:r>
    </w:p>
    <w:p w14:paraId="00AB0F01">
      <w:pPr>
        <w:keepNext w:val="0"/>
        <w:keepLines w:val="0"/>
        <w:pageBreakBefore w:val="0"/>
        <w:widowControl w:val="0"/>
        <w:numPr>
          <w:ilvl w:val="2"/>
          <w:numId w:val="13"/>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投标文件中开标一览表内容与投标文件中相应内容不一致的，以</w:t>
      </w:r>
    </w:p>
    <w:p w14:paraId="2E91A02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开标一览表为准；</w:t>
      </w:r>
    </w:p>
    <w:p w14:paraId="2E3A2E69">
      <w:pPr>
        <w:keepNext w:val="0"/>
        <w:keepLines w:val="0"/>
        <w:pageBreakBefore w:val="0"/>
        <w:widowControl w:val="0"/>
        <w:numPr>
          <w:ilvl w:val="2"/>
          <w:numId w:val="13"/>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大写金额和小写金额不一致的，以大写金额为准；</w:t>
      </w:r>
    </w:p>
    <w:p w14:paraId="3009BCA2">
      <w:pPr>
        <w:keepNext w:val="0"/>
        <w:keepLines w:val="0"/>
        <w:pageBreakBefore w:val="0"/>
        <w:widowControl w:val="0"/>
        <w:numPr>
          <w:ilvl w:val="2"/>
          <w:numId w:val="13"/>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单价金额小数点或者百分比有明显错位的，以开标一览表的总价</w:t>
      </w:r>
    </w:p>
    <w:p w14:paraId="4863BD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为准，并修改单价。</w:t>
      </w:r>
    </w:p>
    <w:p w14:paraId="61CF7304">
      <w:pPr>
        <w:keepNext w:val="0"/>
        <w:keepLines w:val="0"/>
        <w:pageBreakBefore w:val="0"/>
        <w:widowControl w:val="0"/>
        <w:numPr>
          <w:ilvl w:val="2"/>
          <w:numId w:val="13"/>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总价金额与按单价汇总金额不一致的，以单价金额计算结果为准。</w:t>
      </w:r>
    </w:p>
    <w:p w14:paraId="3B053E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但是单价金额计算结果超过预算金额/最高限价的，对其按</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b w:val="0"/>
          <w:bCs w:val="0"/>
          <w:color w:val="auto"/>
          <w:sz w:val="24"/>
          <w:szCs w:val="24"/>
          <w:highlight w:val="none"/>
          <w:lang w:val="en-US" w:eastAsia="zh-CN"/>
        </w:rPr>
        <w:t>处理。</w:t>
      </w:r>
    </w:p>
    <w:p w14:paraId="7EDB4954">
      <w:pPr>
        <w:keepNext w:val="0"/>
        <w:keepLines w:val="0"/>
        <w:pageBreakBefore w:val="0"/>
        <w:widowControl w:val="0"/>
        <w:numPr>
          <w:ilvl w:val="2"/>
          <w:numId w:val="13"/>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若投标客户端上传的电子报价数据（开标一览表中的公布唱标价）</w:t>
      </w:r>
    </w:p>
    <w:p w14:paraId="252E4D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与电子投标文件价格不一致的，以电子报价数据（开标一览表中的公布唱标价）为准。 </w:t>
      </w:r>
    </w:p>
    <w:p w14:paraId="07E606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b w:val="0"/>
          <w:bCs w:val="0"/>
          <w:color w:val="auto"/>
          <w:sz w:val="24"/>
          <w:szCs w:val="24"/>
          <w:highlight w:val="none"/>
          <w:lang w:val="en-US" w:eastAsia="zh-CN"/>
        </w:rPr>
        <w:t>。</w:t>
      </w:r>
    </w:p>
    <w:p w14:paraId="61C1FE35">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1"/>
        <w:rPr>
          <w:rFonts w:hint="eastAsia" w:ascii="宋体" w:hAnsi="宋体" w:eastAsia="宋体" w:cs="宋体"/>
          <w:b/>
          <w:bCs/>
          <w:color w:val="auto"/>
          <w:sz w:val="24"/>
          <w:szCs w:val="24"/>
          <w:highlight w:val="none"/>
          <w:lang w:val="en-US" w:eastAsia="zh-CN"/>
        </w:rPr>
      </w:pPr>
      <w:bookmarkStart w:id="56" w:name="_Toc24431"/>
      <w:bookmarkStart w:id="57" w:name="_Toc16743"/>
      <w:r>
        <w:rPr>
          <w:rFonts w:hint="eastAsia" w:ascii="宋体" w:hAnsi="宋体" w:eastAsia="宋体" w:cs="宋体"/>
          <w:b/>
          <w:bCs/>
          <w:color w:val="auto"/>
          <w:sz w:val="24"/>
          <w:szCs w:val="24"/>
          <w:highlight w:val="none"/>
          <w:lang w:val="en-US" w:eastAsia="zh-CN"/>
        </w:rPr>
        <w:t>详细评审</w:t>
      </w:r>
      <w:bookmarkEnd w:id="56"/>
      <w:bookmarkEnd w:id="57"/>
    </w:p>
    <w:p w14:paraId="7962B2E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00A3C2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详细评审标准</w:t>
      </w:r>
    </w:p>
    <w:tbl>
      <w:tblPr>
        <w:tblStyle w:val="33"/>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60"/>
        <w:gridCol w:w="910"/>
        <w:gridCol w:w="6374"/>
      </w:tblGrid>
      <w:tr w14:paraId="12F2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708" w:type="dxa"/>
            <w:gridSpan w:val="2"/>
            <w:vAlign w:val="center"/>
          </w:tcPr>
          <w:p w14:paraId="2C25A6B4">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910" w:type="dxa"/>
            <w:vAlign w:val="center"/>
          </w:tcPr>
          <w:p w14:paraId="746C8267">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6374" w:type="dxa"/>
            <w:vAlign w:val="center"/>
          </w:tcPr>
          <w:p w14:paraId="3CA98BFB">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r>
      <w:tr w14:paraId="5B9F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8" w:type="dxa"/>
            <w:gridSpan w:val="2"/>
            <w:vAlign w:val="center"/>
          </w:tcPr>
          <w:p w14:paraId="70E3B677">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分值构成</w:t>
            </w:r>
          </w:p>
        </w:tc>
        <w:tc>
          <w:tcPr>
            <w:tcW w:w="7284" w:type="dxa"/>
            <w:gridSpan w:val="2"/>
            <w:vAlign w:val="center"/>
          </w:tcPr>
          <w:p w14:paraId="0FB1026C">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、技术部分70.00分</w:t>
            </w:r>
            <w:r>
              <w:rPr>
                <w:rFonts w:hint="eastAsia" w:ascii="宋体" w:hAnsi="宋体" w:eastAsia="宋体" w:cs="宋体"/>
                <w:color w:val="auto"/>
                <w:sz w:val="24"/>
                <w:szCs w:val="24"/>
                <w:highlight w:val="none"/>
              </w:rPr>
              <w:t>/报价得分30.0分</w:t>
            </w:r>
          </w:p>
        </w:tc>
      </w:tr>
      <w:tr w14:paraId="105F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8" w:type="dxa"/>
            <w:gridSpan w:val="2"/>
            <w:vAlign w:val="center"/>
          </w:tcPr>
          <w:p w14:paraId="3CC50DA5">
            <w:pPr>
              <w:pStyle w:val="22"/>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报价部分</w:t>
            </w:r>
          </w:p>
          <w:p w14:paraId="07D144D1">
            <w:pPr>
              <w:pStyle w:val="22"/>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 分）</w:t>
            </w:r>
          </w:p>
        </w:tc>
        <w:tc>
          <w:tcPr>
            <w:tcW w:w="910" w:type="dxa"/>
            <w:vAlign w:val="center"/>
          </w:tcPr>
          <w:p w14:paraId="05F0985B">
            <w:pPr>
              <w:pStyle w:val="22"/>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6374" w:type="dxa"/>
          </w:tcPr>
          <w:p w14:paraId="2B3AA590">
            <w:pPr>
              <w:pStyle w:val="22"/>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在满足招标文件要求的前提下，取各投标人有效报价的最低价作为评标基准价,满分为30分；价格分的计算：投标报价得分=(评标基准价／投标报价)×0.30×100 。（计算分值时，百分比按四舍五入原则，保留小数点后二位数）</w:t>
            </w:r>
          </w:p>
        </w:tc>
      </w:tr>
      <w:tr w14:paraId="7969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48" w:type="dxa"/>
            <w:vMerge w:val="restart"/>
            <w:tcBorders>
              <w:right w:val="single" w:color="000000" w:sz="4" w:space="0"/>
            </w:tcBorders>
            <w:vAlign w:val="center"/>
          </w:tcPr>
          <w:p w14:paraId="7CE99C9B">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860" w:type="dxa"/>
            <w:tcBorders>
              <w:left w:val="single" w:color="000000" w:sz="4" w:space="0"/>
            </w:tcBorders>
            <w:vAlign w:val="center"/>
          </w:tcPr>
          <w:p w14:paraId="51BD8169">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p>
          <w:p w14:paraId="4AF55481">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910" w:type="dxa"/>
            <w:vAlign w:val="center"/>
          </w:tcPr>
          <w:p w14:paraId="17D1F4DF">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374" w:type="dxa"/>
            <w:vAlign w:val="center"/>
          </w:tcPr>
          <w:p w14:paraId="1D832240">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投标供应商提供近三年（202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年1月1-日至今）类似项目业绩，每提供一份有效业绩得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4012426">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注：有效业绩须包括中标通知书、合同首页、合同关键页、合同金额页、签字盖章页</w:t>
            </w:r>
            <w:r>
              <w:rPr>
                <w:rFonts w:hint="eastAsia" w:ascii="宋体" w:hAnsi="宋体" w:eastAsia="宋体" w:cs="宋体"/>
                <w:color w:val="auto"/>
                <w:sz w:val="24"/>
                <w:szCs w:val="24"/>
                <w:highlight w:val="none"/>
                <w:lang w:eastAsia="zh-CN"/>
              </w:rPr>
              <w:t>。</w:t>
            </w:r>
          </w:p>
        </w:tc>
      </w:tr>
      <w:tr w14:paraId="7B9E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48" w:type="dxa"/>
            <w:vMerge w:val="continue"/>
            <w:tcBorders>
              <w:right w:val="single" w:color="000000" w:sz="4" w:space="0"/>
            </w:tcBorders>
            <w:vAlign w:val="center"/>
          </w:tcPr>
          <w:p w14:paraId="2531442B">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p>
        </w:tc>
        <w:tc>
          <w:tcPr>
            <w:tcW w:w="860" w:type="dxa"/>
            <w:tcBorders>
              <w:left w:val="single" w:color="000000" w:sz="4" w:space="0"/>
            </w:tcBorders>
            <w:vAlign w:val="center"/>
          </w:tcPr>
          <w:p w14:paraId="3F518E2D">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企业资质</w:t>
            </w:r>
          </w:p>
        </w:tc>
        <w:tc>
          <w:tcPr>
            <w:tcW w:w="910" w:type="dxa"/>
            <w:vAlign w:val="center"/>
          </w:tcPr>
          <w:p w14:paraId="0AED7B62">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6374" w:type="dxa"/>
            <w:vAlign w:val="center"/>
          </w:tcPr>
          <w:p w14:paraId="6F74B0B9">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有ISO9001质量管理体系认证、ISO14001环境管理体系认证、OHSAS18001职业健康安全管理体系认证，每</w:t>
            </w:r>
            <w:r>
              <w:rPr>
                <w:rFonts w:hint="eastAsia" w:ascii="宋体" w:hAnsi="宋体" w:eastAsia="宋体" w:cs="宋体"/>
                <w:color w:val="auto"/>
                <w:sz w:val="24"/>
                <w:szCs w:val="24"/>
                <w:highlight w:val="none"/>
                <w:lang w:val="en-US" w:eastAsia="zh-CN"/>
              </w:rPr>
              <w:t>提供一个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r>
      <w:tr w14:paraId="6FC9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vMerge w:val="continue"/>
            <w:tcBorders>
              <w:right w:val="single" w:color="000000" w:sz="4" w:space="0"/>
            </w:tcBorders>
            <w:vAlign w:val="center"/>
          </w:tcPr>
          <w:p w14:paraId="4C31F2D5">
            <w:pPr>
              <w:pStyle w:val="22"/>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p>
        </w:tc>
        <w:tc>
          <w:tcPr>
            <w:tcW w:w="860" w:type="dxa"/>
            <w:tcBorders>
              <w:left w:val="single" w:color="000000" w:sz="4" w:space="0"/>
            </w:tcBorders>
            <w:vAlign w:val="center"/>
          </w:tcPr>
          <w:p w14:paraId="192BDED2">
            <w:pPr>
              <w:pStyle w:val="62"/>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性能指标</w:t>
            </w:r>
          </w:p>
        </w:tc>
        <w:tc>
          <w:tcPr>
            <w:tcW w:w="910" w:type="dxa"/>
            <w:vAlign w:val="center"/>
          </w:tcPr>
          <w:p w14:paraId="05001ECE">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分</w:t>
            </w:r>
          </w:p>
        </w:tc>
        <w:tc>
          <w:tcPr>
            <w:tcW w:w="6374" w:type="dxa"/>
            <w:vAlign w:val="center"/>
          </w:tcPr>
          <w:p w14:paraId="3E5D6FFF">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对照“项目需求”技术参数（每条技术参数前标注“★”的为核心技术参数，未标注的为一般参数），根据投标人提供的产品配置及技术性能指标的响应情况进行评审。</w:t>
            </w:r>
          </w:p>
          <w:p w14:paraId="26A45C3A">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val="en-US" w:eastAsia="zh-CN"/>
              </w:rPr>
              <w:t>项目3</w:t>
            </w:r>
            <w:r>
              <w:rPr>
                <w:rFonts w:hint="eastAsia" w:ascii="宋体" w:hAnsi="宋体" w:eastAsia="宋体" w:cs="宋体"/>
                <w:color w:val="auto"/>
                <w:sz w:val="24"/>
                <w:szCs w:val="24"/>
                <w:highlight w:val="none"/>
              </w:rPr>
              <w:t>种产品，投标人每有一种所投产品技术参数完全响应招标文件要求的，得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分；</w:t>
            </w:r>
          </w:p>
          <w:p w14:paraId="1D5C606F">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2.每种产品核心技术参数存在一条负偏离的，该产品技术参数分为0分；</w:t>
            </w:r>
          </w:p>
          <w:p w14:paraId="348B9361">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.每种产品一般技术参数存在一项负偏离的，扣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分，每种产品最多扣</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2CD39250">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和产品检测报告内描述的同一产品技术参数响应值不一致的，视为负偏离。</w:t>
            </w:r>
          </w:p>
        </w:tc>
      </w:tr>
      <w:tr w14:paraId="4297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vMerge w:val="continue"/>
            <w:tcBorders>
              <w:right w:val="single" w:color="000000" w:sz="4" w:space="0"/>
            </w:tcBorders>
            <w:vAlign w:val="center"/>
          </w:tcPr>
          <w:p w14:paraId="33AB8EC0">
            <w:pPr>
              <w:pStyle w:val="22"/>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p>
        </w:tc>
        <w:tc>
          <w:tcPr>
            <w:tcW w:w="860" w:type="dxa"/>
            <w:tcBorders>
              <w:left w:val="single" w:color="000000" w:sz="4" w:space="0"/>
            </w:tcBorders>
            <w:vAlign w:val="center"/>
          </w:tcPr>
          <w:p w14:paraId="4BE22BD3">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tc>
        <w:tc>
          <w:tcPr>
            <w:tcW w:w="910" w:type="dxa"/>
            <w:vAlign w:val="center"/>
          </w:tcPr>
          <w:p w14:paraId="04497F2F">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374" w:type="dxa"/>
            <w:vAlign w:val="center"/>
          </w:tcPr>
          <w:p w14:paraId="4B672AD4">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依据采购需求，投标人针对本项目制定</w:t>
            </w:r>
            <w:r>
              <w:rPr>
                <w:rFonts w:hint="eastAsia" w:ascii="宋体" w:hAnsi="宋体" w:eastAsia="宋体" w:cs="宋体"/>
                <w:color w:val="auto"/>
                <w:sz w:val="24"/>
                <w:szCs w:val="24"/>
                <w:highlight w:val="none"/>
                <w:lang w:eastAsia="zh-CN"/>
              </w:rPr>
              <w:t>项目实施方案</w:t>
            </w:r>
            <w:r>
              <w:rPr>
                <w:rFonts w:hint="eastAsia" w:ascii="宋体" w:hAnsi="宋体" w:eastAsia="宋体" w:cs="宋体"/>
                <w:color w:val="auto"/>
                <w:sz w:val="24"/>
                <w:szCs w:val="24"/>
                <w:highlight w:val="none"/>
              </w:rPr>
              <w:t>，内容包括不限于：1、</w:t>
            </w:r>
            <w:r>
              <w:rPr>
                <w:rFonts w:hint="eastAsia" w:ascii="宋体" w:hAnsi="宋体" w:eastAsia="宋体" w:cs="宋体"/>
                <w:color w:val="auto"/>
                <w:sz w:val="24"/>
                <w:szCs w:val="24"/>
                <w:highlight w:val="none"/>
                <w:lang w:eastAsia="zh-CN"/>
              </w:rPr>
              <w:t>供货方案；</w:t>
            </w:r>
            <w:r>
              <w:rPr>
                <w:rFonts w:hint="eastAsia" w:ascii="宋体" w:hAnsi="宋体" w:eastAsia="宋体" w:cs="宋体"/>
                <w:color w:val="auto"/>
                <w:sz w:val="24"/>
                <w:szCs w:val="24"/>
                <w:highlight w:val="none"/>
              </w:rPr>
              <w:t>2</w:t>
            </w:r>
            <w:r>
              <w:rPr>
                <w:rFonts w:hint="eastAsia" w:ascii="宋体" w:hAnsi="宋体" w:eastAsia="宋体" w:cs="宋体"/>
                <w:color w:val="auto"/>
                <w:kern w:val="2"/>
                <w:sz w:val="24"/>
                <w:szCs w:val="24"/>
                <w:highlight w:val="none"/>
                <w:lang w:val="en-US" w:eastAsia="zh-CN" w:bidi="ar-SA"/>
              </w:rPr>
              <w:t>、配送计划及措施；</w:t>
            </w:r>
            <w:r>
              <w:rPr>
                <w:rFonts w:hint="eastAsia" w:ascii="宋体" w:hAnsi="宋体" w:eastAsia="宋体" w:cs="宋体"/>
                <w:color w:val="auto"/>
                <w:sz w:val="24"/>
                <w:szCs w:val="24"/>
                <w:highlight w:val="none"/>
              </w:rPr>
              <w:t>（包含不限于：货物运输准备、运输过程控制、物流配送计划、物流合作长期稳定、装卸车搬运的安全保证措施、供货运输的应急预案等）3、</w:t>
            </w:r>
            <w:r>
              <w:rPr>
                <w:rFonts w:hint="eastAsia" w:ascii="宋体" w:hAnsi="宋体" w:eastAsia="宋体" w:cs="宋体"/>
                <w:color w:val="auto"/>
                <w:sz w:val="24"/>
                <w:szCs w:val="24"/>
                <w:highlight w:val="none"/>
                <w:lang w:eastAsia="zh-CN"/>
              </w:rPr>
              <w:t>设备验收、</w:t>
            </w:r>
            <w:r>
              <w:rPr>
                <w:rFonts w:hint="eastAsia" w:ascii="宋体" w:hAnsi="宋体" w:eastAsia="宋体" w:cs="宋体"/>
                <w:color w:val="auto"/>
                <w:sz w:val="24"/>
                <w:szCs w:val="24"/>
                <w:highlight w:val="none"/>
              </w:rPr>
              <w:t>安装调试方案；4、产品质量保证措施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（包含不限于：质量管理体系、关键工序的质量保证措施以及产品工艺标准、成品检验制度、所投主要产品出厂检验标准等）5、</w:t>
            </w:r>
            <w:r>
              <w:rPr>
                <w:rFonts w:hint="eastAsia" w:ascii="宋体" w:hAnsi="宋体" w:eastAsia="宋体" w:cs="宋体"/>
                <w:color w:val="auto"/>
                <w:sz w:val="24"/>
                <w:szCs w:val="24"/>
                <w:highlight w:val="none"/>
                <w:lang w:eastAsia="zh-CN"/>
              </w:rPr>
              <w:t>设备</w:t>
            </w:r>
            <w:r>
              <w:rPr>
                <w:rFonts w:hint="eastAsia" w:ascii="宋体" w:hAnsi="宋体" w:eastAsia="宋体" w:cs="宋体"/>
                <w:color w:val="auto"/>
                <w:sz w:val="24"/>
                <w:szCs w:val="24"/>
                <w:highlight w:val="none"/>
              </w:rPr>
              <w:t>测试与试运行</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投标人提供的以上所有要素内容可行性、描述清晰、合理可行、能充分结合本项目实际情况得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分；每缺一个要素扣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 每个要素里每有一处内容有缺陷扣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 扣完为止） 。</w:t>
            </w:r>
          </w:p>
          <w:p w14:paraId="312206F2">
            <w:pPr>
              <w:pStyle w:val="2"/>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E80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vMerge w:val="continue"/>
            <w:tcBorders>
              <w:right w:val="single" w:color="000000" w:sz="4" w:space="0"/>
            </w:tcBorders>
            <w:vAlign w:val="center"/>
          </w:tcPr>
          <w:p w14:paraId="7E3F2E6D">
            <w:pPr>
              <w:pStyle w:val="22"/>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p>
        </w:tc>
        <w:tc>
          <w:tcPr>
            <w:tcW w:w="860" w:type="dxa"/>
            <w:tcBorders>
              <w:left w:val="single" w:color="000000" w:sz="4" w:space="0"/>
            </w:tcBorders>
            <w:vAlign w:val="center"/>
          </w:tcPr>
          <w:p w14:paraId="70658270">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tc>
        <w:tc>
          <w:tcPr>
            <w:tcW w:w="910" w:type="dxa"/>
            <w:vAlign w:val="center"/>
          </w:tcPr>
          <w:p w14:paraId="3C4679E4">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374" w:type="dxa"/>
            <w:vAlign w:val="center"/>
          </w:tcPr>
          <w:p w14:paraId="1AD57E05">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依据采购需求仪器制造商需提供：技术人员到现场免费进行安装调试，免费培训用户的操作技术。提供热线服务电话。投标人针对本项目制定培训方案，内容包括不限于：1、对培训工作的内容及安排；2、培训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对主要产品的安全使用注意事项；</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培训覆盖面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预期培训</w:t>
            </w:r>
            <w:r>
              <w:rPr>
                <w:rFonts w:hint="eastAsia" w:ascii="宋体" w:hAnsi="宋体" w:eastAsia="宋体" w:cs="宋体"/>
                <w:color w:val="auto"/>
                <w:sz w:val="24"/>
                <w:szCs w:val="24"/>
                <w:highlight w:val="none"/>
                <w:lang w:eastAsia="zh-CN"/>
              </w:rPr>
              <w:t>效果等；</w:t>
            </w:r>
            <w:r>
              <w:rPr>
                <w:rFonts w:hint="eastAsia" w:ascii="宋体" w:hAnsi="宋体" w:eastAsia="宋体" w:cs="宋体"/>
                <w:color w:val="auto"/>
                <w:sz w:val="24"/>
                <w:szCs w:val="24"/>
                <w:highlight w:val="none"/>
              </w:rPr>
              <w:t>投标人所有要素齐全且完全满足项目需求得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分，每缺一个要素扣1分，每个要素里每有一处内容缺陷扣0.5分（扣完为止）</w:t>
            </w:r>
            <w:r>
              <w:rPr>
                <w:rFonts w:hint="eastAsia" w:ascii="宋体" w:hAnsi="宋体" w:eastAsia="宋体" w:cs="宋体"/>
                <w:color w:val="auto"/>
                <w:sz w:val="24"/>
                <w:szCs w:val="24"/>
                <w:highlight w:val="none"/>
                <w:lang w:eastAsia="zh-CN"/>
              </w:rPr>
              <w:t>。</w:t>
            </w:r>
          </w:p>
          <w:p w14:paraId="29C582D2">
            <w:pPr>
              <w:pStyle w:val="13"/>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6EE4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vMerge w:val="continue"/>
            <w:tcBorders>
              <w:right w:val="single" w:color="000000" w:sz="4" w:space="0"/>
            </w:tcBorders>
            <w:vAlign w:val="center"/>
          </w:tcPr>
          <w:p w14:paraId="13CD9C58">
            <w:pPr>
              <w:pStyle w:val="22"/>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p>
        </w:tc>
        <w:tc>
          <w:tcPr>
            <w:tcW w:w="860" w:type="dxa"/>
            <w:tcBorders>
              <w:left w:val="single" w:color="000000" w:sz="4" w:space="0"/>
            </w:tcBorders>
            <w:vAlign w:val="center"/>
          </w:tcPr>
          <w:p w14:paraId="7FDC9E24">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售后方案</w:t>
            </w:r>
          </w:p>
        </w:tc>
        <w:tc>
          <w:tcPr>
            <w:tcW w:w="910" w:type="dxa"/>
            <w:vAlign w:val="center"/>
          </w:tcPr>
          <w:p w14:paraId="7E342C2B">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4" w:type="dxa"/>
            <w:vAlign w:val="center"/>
          </w:tcPr>
          <w:p w14:paraId="17CF22E4">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依据采购需求仪器制造商需提供：技术人员到现场免费进行安装调试，免费培训用户的操作技术。提供热线服务电话。投标人针对本项目制定售后方案，内容包括不限于：</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维修响应时间、</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故障解决期限、</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定期维护计划；投标人提供的以上所有要素内容可行性、描述清晰、合理可行、能充分结合本项目实际情况得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分；每缺一个要素扣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 每个要素里每有一处内容有缺陷扣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 。</w:t>
            </w:r>
          </w:p>
          <w:p w14:paraId="0639C586">
            <w:pPr>
              <w:pStyle w:val="13"/>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F55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vMerge w:val="continue"/>
            <w:tcBorders>
              <w:right w:val="single" w:color="000000" w:sz="4" w:space="0"/>
            </w:tcBorders>
            <w:vAlign w:val="center"/>
          </w:tcPr>
          <w:p w14:paraId="41AA9B10">
            <w:pPr>
              <w:pStyle w:val="22"/>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p>
        </w:tc>
        <w:tc>
          <w:tcPr>
            <w:tcW w:w="860" w:type="dxa"/>
            <w:tcBorders>
              <w:left w:val="single" w:color="000000" w:sz="4" w:space="0"/>
            </w:tcBorders>
            <w:vAlign w:val="center"/>
          </w:tcPr>
          <w:p w14:paraId="0735A6CD">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备品备件</w:t>
            </w:r>
          </w:p>
        </w:tc>
        <w:tc>
          <w:tcPr>
            <w:tcW w:w="910" w:type="dxa"/>
            <w:vAlign w:val="center"/>
          </w:tcPr>
          <w:p w14:paraId="2906E9A8">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6374" w:type="dxa"/>
            <w:vAlign w:val="center"/>
          </w:tcPr>
          <w:p w14:paraId="55F0FABC">
            <w:pPr>
              <w:pStyle w:val="13"/>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①提供备品备件清单；②供应商承诺，提供一项得2分，最多得4分；</w:t>
            </w:r>
          </w:p>
        </w:tc>
      </w:tr>
    </w:tbl>
    <w:p w14:paraId="12EF3BD5">
      <w:pPr>
        <w:numPr>
          <w:ilvl w:val="1"/>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评标委员会每位成员独立对每个有效投标人的投标文件进行评价、</w:t>
      </w:r>
    </w:p>
    <w:p w14:paraId="1FBC31A9">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打分；然后汇总每个投标人的得分，计算得分平均值，以平均值由高到低进行排序，按排序顺序推荐中标候选人。分值计算保留小数点后二位，第三位四舍五入。</w:t>
      </w:r>
    </w:p>
    <w:p w14:paraId="0AD174AD">
      <w:pPr>
        <w:numPr>
          <w:ilvl w:val="1"/>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中小企业价格折扣比例及方法</w:t>
      </w:r>
    </w:p>
    <w:tbl>
      <w:tblPr>
        <w:tblStyle w:val="33"/>
        <w:tblW w:w="88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79"/>
      </w:tblGrid>
      <w:tr w14:paraId="04934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8879" w:type="dxa"/>
            <w:tcBorders>
              <w:top w:val="single" w:color="auto" w:sz="4" w:space="0"/>
              <w:bottom w:val="single" w:color="auto" w:sz="4" w:space="0"/>
            </w:tcBorders>
            <w:noWrap w:val="0"/>
            <w:vAlign w:val="center"/>
          </w:tcPr>
          <w:p w14:paraId="73BFD0A6">
            <w:pPr>
              <w:snapToGrid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根据中华人民共和国财政部、中华人民共和国工业和信息化部《政府采购促进中小企业发展管理办法》（财库〔2020〕46号）文件的规定，</w:t>
            </w:r>
            <w:r>
              <w:rPr>
                <w:rFonts w:hint="eastAsia" w:ascii="宋体" w:hAnsi="宋体" w:eastAsia="宋体" w:cs="宋体"/>
                <w:bCs/>
                <w:color w:val="auto"/>
                <w:sz w:val="24"/>
                <w:szCs w:val="24"/>
                <w:highlight w:val="none"/>
              </w:rPr>
              <w:t>属于中小企业</w:t>
            </w:r>
            <w:r>
              <w:rPr>
                <w:rFonts w:hint="eastAsia" w:ascii="宋体" w:hAnsi="宋体" w:eastAsia="宋体" w:cs="宋体"/>
                <w:color w:val="auto"/>
                <w:sz w:val="24"/>
                <w:szCs w:val="24"/>
                <w:highlight w:val="none"/>
              </w:rPr>
              <w:t>评审优惠内容及幅度如下：</w:t>
            </w:r>
          </w:p>
          <w:p w14:paraId="4F19E52A">
            <w:pPr>
              <w:widowControl/>
              <w:numPr>
                <w:ilvl w:val="0"/>
                <w:numId w:val="0"/>
              </w:numPr>
              <w:snapToGrid w:val="0"/>
              <w:spacing w:line="440" w:lineRule="exact"/>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中小企业（含中型、小型、微型企业）应当</w:t>
            </w:r>
            <w:r>
              <w:rPr>
                <w:rFonts w:hint="eastAsia" w:ascii="宋体" w:hAnsi="宋体" w:eastAsia="宋体" w:cs="宋体"/>
                <w:b/>
                <w:color w:val="auto"/>
                <w:sz w:val="24"/>
                <w:szCs w:val="24"/>
                <w:highlight w:val="none"/>
              </w:rPr>
              <w:t>同时符合</w:t>
            </w:r>
            <w:r>
              <w:rPr>
                <w:rFonts w:hint="eastAsia" w:ascii="宋体" w:hAnsi="宋体" w:eastAsia="宋体" w:cs="宋体"/>
                <w:color w:val="auto"/>
                <w:sz w:val="24"/>
                <w:szCs w:val="24"/>
                <w:highlight w:val="none"/>
              </w:rPr>
              <w:t>以下条件：</w:t>
            </w:r>
          </w:p>
          <w:p w14:paraId="3FB7D845">
            <w:pPr>
              <w:pStyle w:val="63"/>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①符合中小企业划分标准（按《关于印发中小企业划型标准规定的通知》（工信部联企业〔2011〕300号）执行）；</w:t>
            </w:r>
          </w:p>
          <w:p w14:paraId="2DFC2043">
            <w:pPr>
              <w:pStyle w:val="63"/>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②提供本企业制造的货物、承担的项目或者服务，或者提供其他中小企业制造的货物。本项所称货物不包括使用大型企业注册商标的货物；</w:t>
            </w:r>
          </w:p>
          <w:p w14:paraId="6F547E99">
            <w:pPr>
              <w:snapToGrid w:val="0"/>
              <w:spacing w:line="440" w:lineRule="exact"/>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color w:val="auto"/>
                <w:sz w:val="24"/>
                <w:szCs w:val="24"/>
                <w:highlight w:val="none"/>
              </w:rPr>
              <w:t>价格扣除办法：</w:t>
            </w:r>
          </w:p>
          <w:p w14:paraId="3FF5DBB0">
            <w:pPr>
              <w:snapToGrid w:val="0"/>
              <w:spacing w:line="440" w:lineRule="exact"/>
              <w:ind w:firstLine="361" w:firstLineChars="15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若所供应产品为进口产品的，不适用《政府采购促进中小企业发展管理办法》。</w:t>
            </w:r>
            <w:r>
              <w:rPr>
                <w:rFonts w:hint="eastAsia" w:ascii="宋体" w:hAnsi="宋体" w:eastAsia="宋体" w:cs="宋体"/>
                <w:color w:val="auto"/>
                <w:sz w:val="24"/>
                <w:highlight w:val="none"/>
              </w:rPr>
              <w:t>本项目预留部分采购项目预算，已按照政府采购政策给中小企业及小微企业预留份额，对于小型、微型企业、残疾人福利单位、监狱企业、以拟分包形式参加投标的企业、以与小型或微型企业组成联合体投标的企业，</w:t>
            </w:r>
            <w:r>
              <w:rPr>
                <w:rFonts w:hint="eastAsia" w:ascii="宋体" w:hAnsi="宋体" w:eastAsia="宋体" w:cs="宋体"/>
                <w:b/>
                <w:bCs/>
                <w:color w:val="auto"/>
                <w:sz w:val="24"/>
                <w:highlight w:val="none"/>
              </w:rPr>
              <w:t>均不再进行价格扣除。</w:t>
            </w:r>
            <w:r>
              <w:rPr>
                <w:rFonts w:hint="eastAsia" w:ascii="宋体" w:hAnsi="宋体" w:eastAsia="宋体" w:cs="宋体"/>
                <w:color w:val="auto"/>
                <w:sz w:val="24"/>
                <w:highlight w:val="none"/>
              </w:rPr>
              <w:t>中标单位</w:t>
            </w:r>
            <w:r>
              <w:rPr>
                <w:rFonts w:hint="eastAsia" w:ascii="宋体" w:hAnsi="宋体" w:eastAsia="宋体" w:cs="宋体"/>
                <w:color w:val="auto"/>
                <w:sz w:val="24"/>
                <w:highlight w:val="none"/>
                <w:lang w:eastAsia="zh-CN"/>
              </w:rPr>
              <w:t>的中小企业声明函和分包协议（如有）</w:t>
            </w:r>
            <w:r>
              <w:rPr>
                <w:rFonts w:hint="eastAsia" w:ascii="宋体" w:hAnsi="宋体" w:eastAsia="宋体" w:cs="宋体"/>
                <w:color w:val="auto"/>
                <w:sz w:val="24"/>
                <w:highlight w:val="none"/>
              </w:rPr>
              <w:t>，将随中标结果公开中标供应商的企业类型声明函。</w:t>
            </w:r>
          </w:p>
        </w:tc>
      </w:tr>
    </w:tbl>
    <w:p w14:paraId="5A494DA6">
      <w:pPr>
        <w:numPr>
          <w:ilvl w:val="1"/>
          <w:numId w:val="13"/>
        </w:numPr>
        <w:spacing w:line="460" w:lineRule="exact"/>
        <w:ind w:left="420" w:left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同品牌处理办法：</w:t>
      </w:r>
      <w:r>
        <w:rPr>
          <w:rFonts w:hint="eastAsia" w:ascii="宋体" w:hAnsi="宋体" w:eastAsia="宋体" w:cs="宋体"/>
          <w:b/>
          <w:bCs/>
          <w:color w:val="auto"/>
          <w:sz w:val="24"/>
          <w:highlight w:val="none"/>
        </w:rPr>
        <w:t>（货物类项目适用）</w:t>
      </w:r>
    </w:p>
    <w:p w14:paraId="17449B36">
      <w:pPr>
        <w:numPr>
          <w:ilvl w:val="2"/>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如采用最低评标办法，则：</w:t>
      </w:r>
      <w:r>
        <w:rPr>
          <w:rFonts w:hint="eastAsia" w:ascii="宋体" w:hAnsi="宋体" w:eastAsia="宋体" w:cs="宋体"/>
          <w:color w:val="auto"/>
          <w:sz w:val="24"/>
          <w:highlight w:val="none"/>
          <w:u w:val="single"/>
        </w:rPr>
        <w:t>提供相同品牌产品的不同投标人以其</w:t>
      </w:r>
    </w:p>
    <w:p w14:paraId="47C8D6A6">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中通过资格审查、符合性审查且报价最低的参加评标；报价相同的，由评标委员会采取随机抽取方式确定，其他同品牌投标人不作为中标候选人。</w:t>
      </w:r>
    </w:p>
    <w:p w14:paraId="7009DCFE">
      <w:pPr>
        <w:numPr>
          <w:ilvl w:val="2"/>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如采用综合评标法，则：</w:t>
      </w:r>
      <w:r>
        <w:rPr>
          <w:rFonts w:hint="eastAsia" w:ascii="宋体" w:hAnsi="宋体" w:eastAsia="宋体" w:cs="宋体"/>
          <w:color w:val="auto"/>
          <w:sz w:val="24"/>
          <w:highlight w:val="none"/>
          <w:u w:val="single"/>
        </w:rPr>
        <w:t>提供相同品牌产品且通过资格审查、符</w:t>
      </w:r>
    </w:p>
    <w:p w14:paraId="0C3BBAFC">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r>
        <w:rPr>
          <w:rFonts w:hint="eastAsia" w:ascii="宋体" w:hAnsi="宋体" w:eastAsia="宋体" w:cs="宋体"/>
          <w:color w:val="auto"/>
          <w:sz w:val="24"/>
          <w:highlight w:val="none"/>
        </w:rPr>
        <w:t>。</w:t>
      </w:r>
    </w:p>
    <w:p w14:paraId="0FEC3F1C">
      <w:pPr>
        <w:numPr>
          <w:ilvl w:val="1"/>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如一个分包内包含多种产品的，采购人或采购代理机构将在</w:t>
      </w:r>
      <w:r>
        <w:rPr>
          <w:rFonts w:hint="eastAsia" w:ascii="宋体" w:hAnsi="宋体" w:eastAsia="宋体" w:cs="宋体"/>
          <w:color w:val="auto"/>
          <w:sz w:val="24"/>
          <w:highlight w:val="none"/>
          <w:u w:val="single"/>
        </w:rPr>
        <w:t>投标人</w:t>
      </w:r>
    </w:p>
    <w:p w14:paraId="61C2F6D9">
      <w:pPr>
        <w:spacing w:line="460" w:lineRule="exact"/>
        <w:ind w:left="420" w:left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u w:val="single"/>
        </w:rPr>
        <w:t>须知前附表</w:t>
      </w:r>
      <w:r>
        <w:rPr>
          <w:rFonts w:hint="eastAsia" w:ascii="宋体" w:hAnsi="宋体" w:eastAsia="宋体" w:cs="宋体"/>
          <w:color w:val="auto"/>
          <w:sz w:val="24"/>
          <w:highlight w:val="none"/>
        </w:rPr>
        <w:t>中载明核心产品，多家投标人提供的所有核心产品品牌</w:t>
      </w:r>
    </w:p>
    <w:p w14:paraId="71500BF2">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均相同的，按第六章  评标程序、评标方法和评标标准第6.6条规定处理。 </w:t>
      </w:r>
      <w:r>
        <w:rPr>
          <w:rFonts w:hint="eastAsia" w:ascii="宋体" w:hAnsi="宋体" w:eastAsia="宋体" w:cs="宋体"/>
          <w:b/>
          <w:bCs/>
          <w:color w:val="auto"/>
          <w:sz w:val="24"/>
          <w:highlight w:val="none"/>
        </w:rPr>
        <w:t>（货物类项目适用）</w:t>
      </w:r>
    </w:p>
    <w:p w14:paraId="58AF59E7">
      <w:pPr>
        <w:numPr>
          <w:ilvl w:val="1"/>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确定中标候选人名单</w:t>
      </w:r>
    </w:p>
    <w:p w14:paraId="563867D0">
      <w:pPr>
        <w:numPr>
          <w:ilvl w:val="2"/>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采用综合评分法时，评标结果按评审后得分由高到低顺序排列。</w:t>
      </w:r>
    </w:p>
    <w:p w14:paraId="516D06AC">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得分最高的投标人为排名第一的中标候选人。综合评审得分相同的,投标报价最低优先，如报价相同则技术部分得分最高优先，投标报价相同且技术部分得分也相同的，由评标委员会现场采取随机抽取方式确定。</w:t>
      </w:r>
    </w:p>
    <w:p w14:paraId="10F1CB8A">
      <w:pPr>
        <w:numPr>
          <w:ilvl w:val="2"/>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采用最低评标价法时，评标结果按投标报价由低到高顺序排列。</w:t>
      </w:r>
    </w:p>
    <w:p w14:paraId="25C11F19">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投标文件满足招标文件全部实质性要求且投标报价最低的投标人为排名第一的中标候选人。投标报价相同的评标委员会随机抽取的方式确定排名。</w:t>
      </w:r>
    </w:p>
    <w:p w14:paraId="336C5D2B">
      <w:pPr>
        <w:numPr>
          <w:ilvl w:val="2"/>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评标委员会要对评分汇总情况进行复核，特别是对排名第一的、</w:t>
      </w:r>
    </w:p>
    <w:p w14:paraId="62BC4D0D">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报价最低的、投标或响应文件被认定为无效的情形进行重点复核。</w:t>
      </w:r>
    </w:p>
    <w:p w14:paraId="3ABF5BF3">
      <w:pPr>
        <w:numPr>
          <w:ilvl w:val="2"/>
          <w:numId w:val="13"/>
        </w:numPr>
        <w:spacing w:line="46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评标委员会将根据各投标人的评标排序，依次推荐本项目（各采</w:t>
      </w:r>
    </w:p>
    <w:p w14:paraId="07BDD41E">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购包）的中标候选人，起草并签署评标报告。本项目（各采购包）评标委员会共（各）推荐三名中标候选人。</w:t>
      </w:r>
    </w:p>
    <w:p w14:paraId="7960CBB6">
      <w:pPr>
        <w:spacing w:line="460" w:lineRule="exac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highlight w:val="none"/>
        </w:rPr>
        <w:br w:type="page"/>
      </w:r>
    </w:p>
    <w:p w14:paraId="2CD030DB">
      <w:pPr>
        <w:pStyle w:val="3"/>
        <w:pageBreakBefore w:val="0"/>
        <w:numPr>
          <w:ilvl w:val="0"/>
          <w:numId w:val="1"/>
        </w:numPr>
        <w:overflowPunct/>
        <w:topLinePunct w:val="0"/>
        <w:bidi w:val="0"/>
        <w:spacing w:before="0" w:beforeLines="0" w:beforeAutospacing="0" w:after="0" w:afterLines="0" w:afterAutospacing="0" w:line="460" w:lineRule="exact"/>
        <w:ind w:left="0" w:leftChars="0" w:right="0" w:rightChars="0"/>
        <w:jc w:val="center"/>
        <w:rPr>
          <w:rFonts w:hint="eastAsia" w:ascii="宋体" w:hAnsi="宋体" w:eastAsia="宋体" w:cs="宋体"/>
          <w:color w:val="auto"/>
          <w:sz w:val="32"/>
          <w:szCs w:val="32"/>
          <w:highlight w:val="none"/>
          <w:lang w:val="en-US" w:eastAsia="zh-CN"/>
        </w:rPr>
      </w:pPr>
      <w:bookmarkStart w:id="58" w:name="_Toc5370"/>
      <w:bookmarkStart w:id="59" w:name="_Toc32490"/>
      <w:r>
        <w:rPr>
          <w:rFonts w:hint="eastAsia" w:ascii="宋体" w:hAnsi="宋体" w:eastAsia="宋体" w:cs="宋体"/>
          <w:color w:val="auto"/>
          <w:sz w:val="32"/>
          <w:szCs w:val="32"/>
          <w:highlight w:val="none"/>
          <w:lang w:val="en-US" w:eastAsia="zh-CN"/>
        </w:rPr>
        <w:t>投标文件格式</w:t>
      </w:r>
      <w:bookmarkEnd w:id="58"/>
      <w:bookmarkEnd w:id="59"/>
    </w:p>
    <w:p w14:paraId="7288F1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u w:val="none"/>
          <w:lang w:val="en-US" w:eastAsia="zh-CN"/>
        </w:rPr>
      </w:pPr>
    </w:p>
    <w:p w14:paraId="423795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投标人编制文件须知</w:t>
      </w:r>
    </w:p>
    <w:p w14:paraId="4BC4B07E">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60" w:lineRule="exact"/>
        <w:ind w:left="420" w:leftChars="200" w:right="0" w:right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为保证评标工作的顺利进行，各投标人需参照如下的格式，认真进</w:t>
      </w:r>
    </w:p>
    <w:p w14:paraId="51D8D8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行投标文件的编写工作。需建立详细的目录。</w:t>
      </w:r>
    </w:p>
    <w:p w14:paraId="4122CCFE">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各投标人提交文件中涉及商业机密的，应明确标明，采购人及最终</w:t>
      </w:r>
    </w:p>
    <w:p w14:paraId="76C28D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用户将给予保密处理，否则视为公开资料。</w:t>
      </w:r>
    </w:p>
    <w:p w14:paraId="6DD9D167">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60" w:lineRule="exact"/>
        <w:ind w:left="420" w:leftChars="200" w:right="0" w:righ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全部声明和问题的回答及所附材料必须是真实的、准确的和完整的。</w:t>
      </w:r>
    </w:p>
    <w:p w14:paraId="27A2123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宋体" w:hAnsi="宋体" w:eastAsia="宋体" w:cs="宋体"/>
          <w:b w:val="0"/>
          <w:bCs w:val="0"/>
          <w:color w:val="auto"/>
          <w:sz w:val="24"/>
          <w:szCs w:val="24"/>
          <w:highlight w:val="none"/>
          <w:u w:val="none"/>
          <w:lang w:val="en-US" w:eastAsia="zh-CN"/>
        </w:rPr>
      </w:pPr>
    </w:p>
    <w:p w14:paraId="3F61CE80">
      <w:pPr>
        <w:pageBreakBefore w:val="0"/>
        <w:overflowPunct/>
        <w:topLinePunct w:val="0"/>
        <w:bidi w:val="0"/>
        <w:spacing w:beforeAutospacing="0" w:afterAutospacing="0" w:line="460" w:lineRule="exact"/>
        <w:ind w:left="0" w:leftChars="0" w:right="0" w:right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br w:type="page"/>
      </w:r>
    </w:p>
    <w:p w14:paraId="0760DBFC">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24"/>
          <w:szCs w:val="24"/>
          <w:highlight w:val="none"/>
          <w:lang w:val="en-US" w:eastAsia="zh-CN" w:bidi="ar"/>
        </w:rPr>
      </w:pPr>
    </w:p>
    <w:p w14:paraId="14199A6C">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outlineLvl w:val="1"/>
        <w:rPr>
          <w:rFonts w:hint="eastAsia" w:ascii="宋体" w:hAnsi="宋体" w:eastAsia="宋体" w:cs="宋体"/>
          <w:b/>
          <w:bCs/>
          <w:color w:val="auto"/>
          <w:kern w:val="0"/>
          <w:sz w:val="24"/>
          <w:szCs w:val="24"/>
          <w:highlight w:val="none"/>
          <w:lang w:val="en-US" w:eastAsia="zh-CN" w:bidi="ar"/>
        </w:rPr>
      </w:pPr>
      <w:bookmarkStart w:id="60" w:name="_Toc10196"/>
      <w:bookmarkStart w:id="61" w:name="_Toc9459"/>
      <w:bookmarkStart w:id="62" w:name="_Toc23853"/>
      <w:r>
        <w:rPr>
          <w:rFonts w:hint="eastAsia" w:ascii="宋体" w:hAnsi="宋体" w:eastAsia="宋体" w:cs="宋体"/>
          <w:b/>
          <w:bCs/>
          <w:color w:val="auto"/>
          <w:kern w:val="0"/>
          <w:sz w:val="24"/>
          <w:szCs w:val="24"/>
          <w:highlight w:val="none"/>
          <w:lang w:val="en-US" w:eastAsia="zh-CN" w:bidi="ar"/>
        </w:rPr>
        <w:t>投标文件封面（参考格式）</w:t>
      </w:r>
      <w:bookmarkEnd w:id="60"/>
      <w:bookmarkEnd w:id="61"/>
      <w:bookmarkEnd w:id="62"/>
    </w:p>
    <w:p w14:paraId="16C34FD6">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84"/>
          <w:szCs w:val="84"/>
          <w:highlight w:val="none"/>
          <w:lang w:val="en-US" w:eastAsia="zh-CN" w:bidi="ar"/>
        </w:rPr>
      </w:pPr>
    </w:p>
    <w:p w14:paraId="6EA67A79">
      <w:pPr>
        <w:keepNext w:val="0"/>
        <w:keepLines w:val="0"/>
        <w:pageBreakBefore w:val="0"/>
        <w:tabs>
          <w:tab w:val="left" w:pos="7160"/>
        </w:tabs>
        <w:overflowPunct/>
        <w:topLinePunct w:val="0"/>
        <w:bidi w:val="0"/>
        <w:adjustRightInd w:val="0"/>
        <w:snapToGrid w:val="0"/>
        <w:spacing w:beforeAutospacing="0" w:afterAutospacing="0" w:line="460" w:lineRule="exact"/>
        <w:ind w:left="0" w:leftChars="0" w:right="0" w:rightChars="0" w:firstLine="6184" w:firstLineChars="2200"/>
        <w:rPr>
          <w:rFonts w:hint="eastAsia" w:ascii="宋体" w:hAnsi="宋体" w:eastAsia="宋体" w:cs="宋体"/>
          <w:b/>
          <w:color w:val="auto"/>
          <w:sz w:val="28"/>
          <w:highlight w:val="none"/>
        </w:rPr>
      </w:pPr>
    </w:p>
    <w:p w14:paraId="795E0668">
      <w:pPr>
        <w:keepNext w:val="0"/>
        <w:keepLines w:val="0"/>
        <w:pageBreakBefore w:val="0"/>
        <w:tabs>
          <w:tab w:val="left" w:pos="7160"/>
        </w:tabs>
        <w:overflowPunct/>
        <w:topLinePunct w:val="0"/>
        <w:bidi w:val="0"/>
        <w:adjustRightInd w:val="0"/>
        <w:snapToGrid w:val="0"/>
        <w:spacing w:beforeAutospacing="0" w:afterAutospacing="0" w:line="460" w:lineRule="exact"/>
        <w:ind w:left="0" w:leftChars="0" w:right="0" w:rightChars="0" w:firstLine="6184" w:firstLineChars="2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正（副）本</w:t>
      </w:r>
    </w:p>
    <w:p w14:paraId="466EE369">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683" w:firstLineChars="200"/>
        <w:rPr>
          <w:rFonts w:hint="eastAsia" w:ascii="宋体" w:hAnsi="宋体" w:eastAsia="宋体" w:cs="宋体"/>
          <w:b/>
          <w:color w:val="auto"/>
          <w:sz w:val="34"/>
          <w:highlight w:val="none"/>
        </w:rPr>
      </w:pPr>
    </w:p>
    <w:p w14:paraId="249A59C9">
      <w:pPr>
        <w:keepNext w:val="0"/>
        <w:keepLines w:val="0"/>
        <w:pageBreakBefore w:val="0"/>
        <w:overflowPunct/>
        <w:topLinePunct w:val="0"/>
        <w:bidi w:val="0"/>
        <w:adjustRightInd w:val="0"/>
        <w:snapToGrid w:val="0"/>
        <w:spacing w:beforeAutospacing="0" w:afterAutospacing="0" w:line="460" w:lineRule="exact"/>
        <w:ind w:left="0" w:leftChars="0" w:right="0" w:rightChars="0" w:firstLine="723" w:firstLineChars="200"/>
        <w:jc w:val="center"/>
        <w:rPr>
          <w:rFonts w:hint="eastAsia" w:ascii="宋体" w:hAnsi="宋体" w:eastAsia="宋体" w:cs="宋体"/>
          <w:b/>
          <w:color w:val="auto"/>
          <w:sz w:val="36"/>
          <w:highlight w:val="none"/>
        </w:rPr>
      </w:pPr>
    </w:p>
    <w:p w14:paraId="2BC03044">
      <w:pPr>
        <w:keepNext w:val="0"/>
        <w:keepLines w:val="0"/>
        <w:pageBreakBefore w:val="0"/>
        <w:widowControl/>
        <w:suppressLineNumbers w:val="0"/>
        <w:overflowPunct/>
        <w:topLinePunct w:val="0"/>
        <w:bidi w:val="0"/>
        <w:spacing w:beforeAutospacing="0" w:afterAutospacing="0" w:line="240" w:lineRule="auto"/>
        <w:ind w:left="0" w:leftChars="0" w:right="0" w:rightChars="0"/>
        <w:jc w:val="center"/>
        <w:rPr>
          <w:rFonts w:hint="eastAsia" w:ascii="宋体" w:hAnsi="宋体" w:eastAsia="宋体" w:cs="宋体"/>
          <w:b/>
          <w:bCs/>
          <w:color w:val="auto"/>
          <w:kern w:val="0"/>
          <w:sz w:val="84"/>
          <w:szCs w:val="84"/>
          <w:highlight w:val="none"/>
          <w:lang w:val="en-US" w:eastAsia="zh-CN" w:bidi="ar"/>
        </w:rPr>
      </w:pPr>
      <w:r>
        <w:rPr>
          <w:rFonts w:hint="eastAsia" w:ascii="宋体" w:hAnsi="宋体" w:eastAsia="宋体" w:cs="宋体"/>
          <w:b/>
          <w:color w:val="auto"/>
          <w:sz w:val="36"/>
          <w:highlight w:val="none"/>
          <w:lang w:eastAsia="zh-CN"/>
        </w:rPr>
        <w:t>新疆维吾尔自治区兽药饲料监察所实验室辅助设备采购项目</w:t>
      </w:r>
    </w:p>
    <w:p w14:paraId="2AD26CF8">
      <w:pPr>
        <w:keepNext w:val="0"/>
        <w:keepLines w:val="0"/>
        <w:pageBreakBefore w:val="0"/>
        <w:widowControl/>
        <w:suppressLineNumbers w:val="0"/>
        <w:overflowPunct/>
        <w:topLinePunct w:val="0"/>
        <w:bidi w:val="0"/>
        <w:spacing w:beforeAutospacing="0" w:afterAutospacing="0" w:line="240" w:lineRule="auto"/>
        <w:ind w:left="0" w:leftChars="0" w:right="0" w:rightChars="0"/>
        <w:jc w:val="both"/>
        <w:rPr>
          <w:rFonts w:hint="eastAsia" w:ascii="宋体" w:hAnsi="宋体" w:eastAsia="宋体" w:cs="宋体"/>
          <w:b/>
          <w:bCs/>
          <w:color w:val="auto"/>
          <w:kern w:val="0"/>
          <w:sz w:val="84"/>
          <w:szCs w:val="84"/>
          <w:highlight w:val="none"/>
          <w:lang w:val="en-US" w:eastAsia="zh-CN" w:bidi="ar"/>
        </w:rPr>
      </w:pPr>
    </w:p>
    <w:p w14:paraId="003AD9ED">
      <w:pPr>
        <w:keepNext w:val="0"/>
        <w:keepLines w:val="0"/>
        <w:pageBreakBefore w:val="0"/>
        <w:widowControl/>
        <w:suppressLineNumbers w:val="0"/>
        <w:overflowPunct/>
        <w:topLinePunct w:val="0"/>
        <w:bidi w:val="0"/>
        <w:spacing w:beforeAutospacing="0" w:afterAutospacing="0" w:line="240" w:lineRule="auto"/>
        <w:ind w:left="0" w:leftChars="0" w:right="0" w:rightChars="0"/>
        <w:jc w:val="center"/>
        <w:rPr>
          <w:rFonts w:hint="eastAsia" w:ascii="宋体" w:hAnsi="宋体" w:eastAsia="宋体" w:cs="宋体"/>
          <w:color w:val="auto"/>
          <w:highlight w:val="none"/>
        </w:rPr>
      </w:pPr>
      <w:r>
        <w:rPr>
          <w:rFonts w:hint="eastAsia" w:ascii="宋体" w:hAnsi="宋体" w:eastAsia="宋体" w:cs="宋体"/>
          <w:b/>
          <w:bCs/>
          <w:color w:val="auto"/>
          <w:kern w:val="0"/>
          <w:sz w:val="84"/>
          <w:szCs w:val="84"/>
          <w:highlight w:val="none"/>
          <w:lang w:val="en-US" w:eastAsia="zh-CN" w:bidi="ar"/>
        </w:rPr>
        <w:t>投标文件</w:t>
      </w:r>
    </w:p>
    <w:p w14:paraId="0F1DA242">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color w:val="auto"/>
          <w:highlight w:val="none"/>
        </w:rPr>
      </w:pPr>
    </w:p>
    <w:p w14:paraId="0345378F">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31"/>
          <w:szCs w:val="31"/>
          <w:highlight w:val="none"/>
          <w:lang w:val="en-US" w:eastAsia="zh-CN" w:bidi="ar"/>
        </w:rPr>
      </w:pPr>
    </w:p>
    <w:p w14:paraId="112B4043">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31"/>
          <w:szCs w:val="31"/>
          <w:highlight w:val="none"/>
          <w:lang w:val="en-US" w:eastAsia="zh-CN" w:bidi="ar"/>
        </w:rPr>
      </w:pPr>
    </w:p>
    <w:p w14:paraId="32609582">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招标文件编号：</w:t>
      </w:r>
    </w:p>
    <w:p w14:paraId="06F360AC">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投标单位名称（公章）:</w:t>
      </w:r>
    </w:p>
    <w:p w14:paraId="71EE10D8">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投标单位授权代表（签字或盖章）: </w:t>
      </w:r>
      <w:r>
        <w:rPr>
          <w:rFonts w:hint="eastAsia" w:ascii="宋体" w:hAnsi="宋体" w:eastAsia="宋体" w:cs="宋体"/>
          <w:color w:val="auto"/>
          <w:sz w:val="24"/>
          <w:szCs w:val="24"/>
          <w:highlight w:val="none"/>
          <w:lang w:val="en-US"/>
        </w:rPr>
        <w:t xml:space="preserve">                  </w:t>
      </w:r>
    </w:p>
    <w:p w14:paraId="6AFB948D">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投标单位地址:</w:t>
      </w:r>
    </w:p>
    <w:p w14:paraId="0F8D0689">
      <w:pPr>
        <w:keepNext w:val="0"/>
        <w:keepLines w:val="0"/>
        <w:pageBreakBefore w:val="0"/>
        <w:tabs>
          <w:tab w:val="left" w:pos="3140"/>
        </w:tabs>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w:t>
      </w:r>
      <w:r>
        <w:rPr>
          <w:rFonts w:hint="eastAsia" w:ascii="宋体" w:hAnsi="宋体" w:eastAsia="宋体" w:cs="宋体"/>
          <w:color w:val="auto"/>
          <w:spacing w:val="-3"/>
          <w:sz w:val="24"/>
          <w:szCs w:val="24"/>
          <w:highlight w:val="none"/>
        </w:rPr>
        <w:t>系</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rPr>
        <w:t xml:space="preserve">                          </w:t>
      </w:r>
    </w:p>
    <w:p w14:paraId="0D5130E8">
      <w:pPr>
        <w:keepNext w:val="0"/>
        <w:keepLines w:val="0"/>
        <w:pageBreakBefore w:val="0"/>
        <w:tabs>
          <w:tab w:val="left" w:pos="3140"/>
        </w:tabs>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w:t>
      </w:r>
      <w:r>
        <w:rPr>
          <w:rFonts w:hint="eastAsia" w:ascii="宋体" w:hAnsi="宋体" w:eastAsia="宋体" w:cs="宋体"/>
          <w:color w:val="auto"/>
          <w:spacing w:val="-3"/>
          <w:sz w:val="24"/>
          <w:szCs w:val="24"/>
          <w:highlight w:val="none"/>
        </w:rPr>
        <w:t>系</w:t>
      </w:r>
      <w:r>
        <w:rPr>
          <w:rFonts w:hint="eastAsia" w:ascii="宋体" w:hAnsi="宋体" w:eastAsia="宋体" w:cs="宋体"/>
          <w:color w:val="auto"/>
          <w:sz w:val="24"/>
          <w:szCs w:val="24"/>
          <w:highlight w:val="none"/>
        </w:rPr>
        <w:t>电话：</w:t>
      </w:r>
    </w:p>
    <w:p w14:paraId="1EC863A2">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31"/>
          <w:szCs w:val="31"/>
          <w:highlight w:val="none"/>
          <w:lang w:val="en-US" w:eastAsia="zh-CN" w:bidi="ar"/>
        </w:rPr>
      </w:pPr>
    </w:p>
    <w:p w14:paraId="6047956F">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31"/>
          <w:szCs w:val="31"/>
          <w:highlight w:val="none"/>
          <w:lang w:val="en-US" w:eastAsia="zh-CN" w:bidi="ar"/>
        </w:rPr>
      </w:pPr>
    </w:p>
    <w:p w14:paraId="2FC3AC3E">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31"/>
          <w:szCs w:val="31"/>
          <w:highlight w:val="none"/>
          <w:lang w:val="en-US" w:eastAsia="zh-CN" w:bidi="ar"/>
        </w:rPr>
      </w:pPr>
    </w:p>
    <w:p w14:paraId="2ADCC161">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31"/>
          <w:szCs w:val="31"/>
          <w:highlight w:val="none"/>
          <w:lang w:val="en-US" w:eastAsia="zh-CN" w:bidi="ar"/>
        </w:rPr>
      </w:pPr>
    </w:p>
    <w:p w14:paraId="53E53338">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31"/>
          <w:szCs w:val="31"/>
          <w:highlight w:val="none"/>
          <w:lang w:val="en-US" w:eastAsia="zh-CN" w:bidi="ar"/>
        </w:rPr>
      </w:pPr>
    </w:p>
    <w:p w14:paraId="371C7459">
      <w:pPr>
        <w:keepNext w:val="0"/>
        <w:keepLines w:val="0"/>
        <w:pageBreakBefore w:val="0"/>
        <w:widowControl/>
        <w:suppressLineNumbers w:val="0"/>
        <w:overflowPunct/>
        <w:topLinePunct w:val="0"/>
        <w:bidi w:val="0"/>
        <w:spacing w:beforeAutospacing="0" w:afterAutospacing="0" w:line="460" w:lineRule="exact"/>
        <w:ind w:left="0" w:leftChars="0" w:right="0" w:rightChars="0"/>
        <w:jc w:val="left"/>
        <w:rPr>
          <w:rFonts w:hint="eastAsia" w:ascii="宋体" w:hAnsi="宋体" w:eastAsia="宋体" w:cs="宋体"/>
          <w:b/>
          <w:bCs/>
          <w:color w:val="auto"/>
          <w:kern w:val="0"/>
          <w:sz w:val="31"/>
          <w:szCs w:val="31"/>
          <w:highlight w:val="none"/>
          <w:lang w:val="en-US" w:eastAsia="zh-CN" w:bidi="ar"/>
        </w:rPr>
      </w:pPr>
    </w:p>
    <w:p w14:paraId="22BE3B19">
      <w:pPr>
        <w:rPr>
          <w:rFonts w:hint="eastAsia" w:ascii="宋体" w:hAnsi="宋体" w:eastAsia="宋体" w:cs="宋体"/>
          <w:b/>
          <w:color w:val="auto"/>
          <w:sz w:val="28"/>
          <w:highlight w:val="none"/>
          <w:lang w:val="en-US"/>
        </w:rPr>
      </w:pPr>
      <w:bookmarkStart w:id="63" w:name="_Toc890"/>
      <w:bookmarkStart w:id="64" w:name="_Toc32542"/>
      <w:bookmarkStart w:id="65" w:name="_Toc7664"/>
      <w:r>
        <w:rPr>
          <w:rFonts w:hint="eastAsia" w:ascii="宋体" w:hAnsi="宋体" w:eastAsia="宋体" w:cs="宋体"/>
          <w:b/>
          <w:color w:val="auto"/>
          <w:sz w:val="28"/>
          <w:highlight w:val="none"/>
          <w:lang w:val="en-US"/>
        </w:rPr>
        <w:br w:type="page"/>
      </w:r>
    </w:p>
    <w:p w14:paraId="24DF2D43">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outlineLvl w:val="1"/>
        <w:rPr>
          <w:rFonts w:hint="eastAsia" w:ascii="宋体" w:hAnsi="宋体" w:eastAsia="宋体" w:cs="宋体"/>
          <w:b/>
          <w:color w:val="auto"/>
          <w:sz w:val="23"/>
          <w:highlight w:val="none"/>
        </w:rPr>
      </w:pPr>
      <w:r>
        <w:rPr>
          <w:rFonts w:hint="eastAsia" w:ascii="宋体" w:hAnsi="宋体" w:eastAsia="宋体" w:cs="宋体"/>
          <w:b/>
          <w:color w:val="auto"/>
          <w:sz w:val="28"/>
          <w:highlight w:val="none"/>
          <w:lang w:val="en-US"/>
        </w:rPr>
        <w:t>一</w:t>
      </w:r>
      <w:r>
        <w:rPr>
          <w:rFonts w:hint="eastAsia" w:ascii="宋体" w:hAnsi="宋体" w:eastAsia="宋体" w:cs="宋体"/>
          <w:b/>
          <w:color w:val="auto"/>
          <w:sz w:val="28"/>
          <w:highlight w:val="none"/>
        </w:rPr>
        <w:t>、目录</w:t>
      </w:r>
      <w:bookmarkEnd w:id="63"/>
      <w:bookmarkEnd w:id="64"/>
      <w:bookmarkEnd w:id="65"/>
    </w:p>
    <w:p w14:paraId="59D37B10">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一、</w:t>
      </w:r>
      <w:r>
        <w:rPr>
          <w:rFonts w:hint="eastAsia" w:ascii="宋体" w:hAnsi="宋体" w:eastAsia="宋体" w:cs="宋体"/>
          <w:color w:val="auto"/>
          <w:highlight w:val="none"/>
        </w:rPr>
        <w:t>目录</w:t>
      </w:r>
    </w:p>
    <w:p w14:paraId="45BF4367">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二、</w:t>
      </w:r>
      <w:r>
        <w:rPr>
          <w:rFonts w:hint="eastAsia" w:ascii="宋体" w:hAnsi="宋体" w:eastAsia="宋体" w:cs="宋体"/>
          <w:color w:val="auto"/>
          <w:highlight w:val="none"/>
        </w:rPr>
        <w:t>目录索引</w:t>
      </w:r>
    </w:p>
    <w:p w14:paraId="3096FA4E">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三、投标函</w:t>
      </w:r>
    </w:p>
    <w:p w14:paraId="116B9491">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四、开标一览表、投标分项报价明细表</w:t>
      </w:r>
    </w:p>
    <w:p w14:paraId="1F1E89B5">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五、法定代表人身份证明书</w:t>
      </w:r>
    </w:p>
    <w:p w14:paraId="33CFA77C">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六、法定代表人授权书格式</w:t>
      </w:r>
    </w:p>
    <w:p w14:paraId="3FE05CB8">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七、投标人资格说明</w:t>
      </w:r>
    </w:p>
    <w:p w14:paraId="6B9F2C37">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八、团队人员配备情况</w:t>
      </w:r>
    </w:p>
    <w:p w14:paraId="63C6395F">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九、投标人类似项目业绩</w:t>
      </w:r>
    </w:p>
    <w:p w14:paraId="65741E8A">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十、技术参数响应及偏离表、商务条款响应及偏离表</w:t>
      </w:r>
    </w:p>
    <w:p w14:paraId="3D1BC2CC">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十一、配置及性能指标</w:t>
      </w:r>
    </w:p>
    <w:p w14:paraId="771A110F">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十二、实施方案</w:t>
      </w:r>
    </w:p>
    <w:p w14:paraId="58F21421">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十三、培训方案</w:t>
      </w:r>
    </w:p>
    <w:p w14:paraId="20CFD9F4">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十四、售后方案</w:t>
      </w:r>
    </w:p>
    <w:p w14:paraId="4AF7EBB1">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十五、投标企业认为有必要提供的其他资料。</w:t>
      </w:r>
    </w:p>
    <w:p w14:paraId="352573FD">
      <w:pPr>
        <w:spacing w:line="46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注：1、为了便于评审，请</w:t>
      </w: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按上述顺序编排内容，并在目录中标明每项内容的起始页码，未按上述要求提供的，响应文件视为无效；</w:t>
      </w:r>
    </w:p>
    <w:p w14:paraId="5424A83A">
      <w:pPr>
        <w:spacing w:line="460" w:lineRule="exact"/>
        <w:ind w:firstLine="470" w:firstLineChars="196"/>
        <w:rPr>
          <w:rFonts w:hint="eastAsia" w:ascii="宋体" w:hAnsi="宋体" w:eastAsia="宋体" w:cs="宋体"/>
          <w:bCs/>
          <w:color w:val="auto"/>
          <w:szCs w:val="21"/>
          <w:highlight w:val="none"/>
        </w:rPr>
      </w:pPr>
      <w:r>
        <w:rPr>
          <w:rFonts w:hint="eastAsia" w:ascii="宋体" w:hAnsi="宋体" w:eastAsia="宋体" w:cs="宋体"/>
          <w:bCs/>
          <w:color w:val="auto"/>
          <w:sz w:val="24"/>
          <w:highlight w:val="none"/>
        </w:rPr>
        <w:t xml:space="preserve">    2、以上未提供响应文件格式的由供应商自行拟定。</w:t>
      </w:r>
    </w:p>
    <w:p w14:paraId="191340B8">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29363BCF">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16F39B62">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484DFE9C">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5DA9AF37">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797D40B8">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07DA4783">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4F57E95D">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13529F16">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2E472FFB">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033F56B6">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outlineLvl w:val="1"/>
        <w:rPr>
          <w:rFonts w:hint="eastAsia" w:ascii="宋体" w:hAnsi="宋体" w:eastAsia="宋体" w:cs="宋体"/>
          <w:b/>
          <w:color w:val="auto"/>
          <w:sz w:val="28"/>
          <w:highlight w:val="none"/>
          <w:lang w:val="en-US"/>
        </w:rPr>
      </w:pPr>
      <w:bookmarkStart w:id="66" w:name="_Toc19394"/>
      <w:bookmarkStart w:id="67" w:name="_Toc23660"/>
      <w:bookmarkStart w:id="68" w:name="_Toc8844"/>
      <w:bookmarkStart w:id="69" w:name="_Toc31957"/>
      <w:bookmarkStart w:id="70" w:name="_Toc1231"/>
    </w:p>
    <w:p w14:paraId="38CF0D3C">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rPr>
        <w:t>二、</w:t>
      </w:r>
      <w:r>
        <w:rPr>
          <w:rFonts w:hint="eastAsia" w:ascii="宋体" w:hAnsi="宋体" w:eastAsia="宋体" w:cs="宋体"/>
          <w:b/>
          <w:color w:val="auto"/>
          <w:sz w:val="28"/>
          <w:highlight w:val="none"/>
        </w:rPr>
        <w:t>目录索引</w:t>
      </w:r>
      <w:bookmarkEnd w:id="66"/>
      <w:bookmarkEnd w:id="67"/>
      <w:bookmarkEnd w:id="68"/>
      <w:bookmarkEnd w:id="69"/>
      <w:bookmarkEnd w:id="70"/>
    </w:p>
    <w:p w14:paraId="51835969">
      <w:pPr>
        <w:keepNext w:val="0"/>
        <w:keepLines w:val="0"/>
        <w:pageBreakBefore w:val="0"/>
        <w:overflowPunct/>
        <w:topLinePunct w:val="0"/>
        <w:bidi w:val="0"/>
        <w:adjustRightInd w:val="0"/>
        <w:snapToGrid w:val="0"/>
        <w:spacing w:beforeAutospacing="0" w:afterAutospacing="0" w:line="460" w:lineRule="exact"/>
        <w:ind w:left="0" w:leftChars="0" w:right="0" w:rightChars="0" w:firstLine="562" w:firstLineChars="200"/>
        <w:jc w:val="center"/>
        <w:outlineLvl w:val="2"/>
        <w:rPr>
          <w:rFonts w:hint="eastAsia" w:ascii="宋体" w:hAnsi="宋体" w:eastAsia="宋体" w:cs="宋体"/>
          <w:b/>
          <w:color w:val="auto"/>
          <w:sz w:val="28"/>
          <w:highlight w:val="none"/>
        </w:rPr>
      </w:pPr>
      <w:bookmarkStart w:id="71" w:name="_Toc20788"/>
      <w:bookmarkStart w:id="72" w:name="_Toc21111"/>
      <w:r>
        <w:rPr>
          <w:rFonts w:hint="eastAsia" w:ascii="宋体" w:hAnsi="宋体" w:eastAsia="宋体" w:cs="宋体"/>
          <w:b/>
          <w:color w:val="auto"/>
          <w:sz w:val="28"/>
          <w:highlight w:val="none"/>
        </w:rPr>
        <w:t>（</w:t>
      </w:r>
      <w:r>
        <w:rPr>
          <w:rFonts w:hint="eastAsia" w:ascii="宋体" w:hAnsi="宋体" w:eastAsia="宋体" w:cs="宋体"/>
          <w:b/>
          <w:color w:val="auto"/>
          <w:sz w:val="24"/>
          <w:highlight w:val="none"/>
        </w:rPr>
        <w:t>详细评审项目资料索引表</w:t>
      </w:r>
      <w:r>
        <w:rPr>
          <w:rFonts w:hint="eastAsia" w:ascii="宋体" w:hAnsi="宋体" w:eastAsia="宋体" w:cs="宋体"/>
          <w:b/>
          <w:color w:val="auto"/>
          <w:sz w:val="28"/>
          <w:highlight w:val="none"/>
        </w:rPr>
        <w:t>）</w:t>
      </w:r>
      <w:bookmarkEnd w:id="71"/>
      <w:bookmarkEnd w:id="72"/>
    </w:p>
    <w:tbl>
      <w:tblPr>
        <w:tblStyle w:val="33"/>
        <w:tblW w:w="85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8"/>
        <w:gridCol w:w="3041"/>
        <w:gridCol w:w="2737"/>
      </w:tblGrid>
      <w:tr w14:paraId="7F5B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788" w:type="dxa"/>
            <w:tcBorders>
              <w:left w:val="single" w:color="auto" w:sz="4" w:space="0"/>
            </w:tcBorders>
            <w:noWrap w:val="0"/>
            <w:vAlign w:val="center"/>
          </w:tcPr>
          <w:p w14:paraId="3A2592D2">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评审分项</w:t>
            </w:r>
          </w:p>
        </w:tc>
        <w:tc>
          <w:tcPr>
            <w:tcW w:w="3041" w:type="dxa"/>
            <w:noWrap w:val="0"/>
            <w:vAlign w:val="center"/>
          </w:tcPr>
          <w:p w14:paraId="548B0403">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评审细则</w:t>
            </w:r>
          </w:p>
          <w:p w14:paraId="05C2644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（投标人须简单描述情况）</w:t>
            </w:r>
          </w:p>
        </w:tc>
        <w:tc>
          <w:tcPr>
            <w:tcW w:w="2737" w:type="dxa"/>
            <w:noWrap w:val="0"/>
            <w:vAlign w:val="center"/>
          </w:tcPr>
          <w:p w14:paraId="5F6667C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证明文件或详细描述</w:t>
            </w:r>
          </w:p>
        </w:tc>
      </w:tr>
      <w:tr w14:paraId="17965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2788" w:type="dxa"/>
            <w:tcBorders>
              <w:left w:val="single" w:color="auto" w:sz="4" w:space="0"/>
            </w:tcBorders>
            <w:noWrap w:val="0"/>
            <w:vAlign w:val="center"/>
          </w:tcPr>
          <w:p w14:paraId="6F61130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pacing w:val="-8"/>
                <w:sz w:val="24"/>
                <w:highlight w:val="none"/>
              </w:rPr>
            </w:pPr>
          </w:p>
        </w:tc>
        <w:tc>
          <w:tcPr>
            <w:tcW w:w="3041" w:type="dxa"/>
            <w:noWrap w:val="0"/>
            <w:vAlign w:val="center"/>
          </w:tcPr>
          <w:p w14:paraId="2C8A3C5D">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p>
        </w:tc>
        <w:tc>
          <w:tcPr>
            <w:tcW w:w="2737" w:type="dxa"/>
            <w:noWrap w:val="0"/>
            <w:vAlign w:val="center"/>
          </w:tcPr>
          <w:p w14:paraId="7604CE8D">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E23BDF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第（）页</w:t>
            </w:r>
          </w:p>
        </w:tc>
      </w:tr>
      <w:tr w14:paraId="67E6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2788" w:type="dxa"/>
            <w:noWrap w:val="0"/>
            <w:vAlign w:val="center"/>
          </w:tcPr>
          <w:p w14:paraId="55BE5B6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pacing w:val="-8"/>
                <w:sz w:val="24"/>
                <w:highlight w:val="none"/>
              </w:rPr>
            </w:pPr>
          </w:p>
        </w:tc>
        <w:tc>
          <w:tcPr>
            <w:tcW w:w="3041" w:type="dxa"/>
            <w:noWrap w:val="0"/>
            <w:vAlign w:val="center"/>
          </w:tcPr>
          <w:p w14:paraId="7404544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0417375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58E1EBD">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1612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2788" w:type="dxa"/>
            <w:noWrap w:val="0"/>
            <w:vAlign w:val="center"/>
          </w:tcPr>
          <w:p w14:paraId="01C1C9A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pacing w:val="-8"/>
                <w:sz w:val="24"/>
                <w:highlight w:val="none"/>
              </w:rPr>
            </w:pPr>
          </w:p>
        </w:tc>
        <w:tc>
          <w:tcPr>
            <w:tcW w:w="3041" w:type="dxa"/>
            <w:noWrap w:val="0"/>
            <w:vAlign w:val="center"/>
          </w:tcPr>
          <w:p w14:paraId="29EDC1B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22037F6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E2E4D0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2BE4D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2788" w:type="dxa"/>
            <w:noWrap w:val="0"/>
            <w:vAlign w:val="center"/>
          </w:tcPr>
          <w:p w14:paraId="1575F519">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pacing w:val="-8"/>
                <w:highlight w:val="none"/>
              </w:rPr>
            </w:pPr>
          </w:p>
        </w:tc>
        <w:tc>
          <w:tcPr>
            <w:tcW w:w="3041" w:type="dxa"/>
            <w:noWrap w:val="0"/>
            <w:vAlign w:val="center"/>
          </w:tcPr>
          <w:p w14:paraId="72E9812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1442B0B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7CFEAB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518C8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788" w:type="dxa"/>
            <w:noWrap w:val="0"/>
            <w:vAlign w:val="center"/>
          </w:tcPr>
          <w:p w14:paraId="0743BBB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pacing w:val="-8"/>
                <w:sz w:val="24"/>
                <w:highlight w:val="none"/>
              </w:rPr>
            </w:pPr>
          </w:p>
        </w:tc>
        <w:tc>
          <w:tcPr>
            <w:tcW w:w="3041" w:type="dxa"/>
            <w:noWrap w:val="0"/>
            <w:vAlign w:val="center"/>
          </w:tcPr>
          <w:p w14:paraId="6F117DB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77E6D69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633F1A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1EBE5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2788" w:type="dxa"/>
            <w:noWrap w:val="0"/>
            <w:vAlign w:val="center"/>
          </w:tcPr>
          <w:p w14:paraId="522B068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pacing w:val="-8"/>
                <w:sz w:val="24"/>
                <w:highlight w:val="none"/>
              </w:rPr>
            </w:pPr>
          </w:p>
        </w:tc>
        <w:tc>
          <w:tcPr>
            <w:tcW w:w="3041" w:type="dxa"/>
            <w:noWrap w:val="0"/>
            <w:vAlign w:val="center"/>
          </w:tcPr>
          <w:p w14:paraId="24C4DA9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1890298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752C8D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6E1A3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2788" w:type="dxa"/>
            <w:noWrap w:val="0"/>
            <w:vAlign w:val="center"/>
          </w:tcPr>
          <w:p w14:paraId="769E67B2">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pacing w:val="-8"/>
                <w:sz w:val="24"/>
                <w:highlight w:val="none"/>
              </w:rPr>
            </w:pPr>
          </w:p>
        </w:tc>
        <w:tc>
          <w:tcPr>
            <w:tcW w:w="3041" w:type="dxa"/>
            <w:noWrap w:val="0"/>
            <w:vAlign w:val="center"/>
          </w:tcPr>
          <w:p w14:paraId="0553D58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070D699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90105E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1E10C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2788" w:type="dxa"/>
            <w:noWrap w:val="0"/>
            <w:vAlign w:val="center"/>
          </w:tcPr>
          <w:p w14:paraId="4936FCD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3041" w:type="dxa"/>
            <w:noWrap w:val="0"/>
            <w:vAlign w:val="center"/>
          </w:tcPr>
          <w:p w14:paraId="4EB41F1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0F53958A">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E520B3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7CFDD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2788" w:type="dxa"/>
            <w:noWrap w:val="0"/>
            <w:vAlign w:val="center"/>
          </w:tcPr>
          <w:p w14:paraId="37664B5B">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lang w:val="en-US"/>
              </w:rPr>
            </w:pPr>
          </w:p>
        </w:tc>
        <w:tc>
          <w:tcPr>
            <w:tcW w:w="3041" w:type="dxa"/>
            <w:noWrap w:val="0"/>
            <w:vAlign w:val="center"/>
          </w:tcPr>
          <w:p w14:paraId="1B6F5CE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0E415C0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A79501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11D28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2788" w:type="dxa"/>
            <w:tcBorders>
              <w:left w:val="single" w:color="auto" w:sz="4" w:space="0"/>
            </w:tcBorders>
            <w:noWrap w:val="0"/>
            <w:vAlign w:val="center"/>
          </w:tcPr>
          <w:p w14:paraId="2A98FDA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pacing w:val="-8"/>
                <w:sz w:val="24"/>
                <w:highlight w:val="none"/>
              </w:rPr>
            </w:pPr>
          </w:p>
        </w:tc>
        <w:tc>
          <w:tcPr>
            <w:tcW w:w="3041" w:type="dxa"/>
            <w:noWrap w:val="0"/>
            <w:vAlign w:val="center"/>
          </w:tcPr>
          <w:p w14:paraId="7C3420A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rPr>
            </w:pPr>
          </w:p>
        </w:tc>
        <w:tc>
          <w:tcPr>
            <w:tcW w:w="2737" w:type="dxa"/>
            <w:noWrap w:val="0"/>
            <w:vAlign w:val="center"/>
          </w:tcPr>
          <w:p w14:paraId="6656ADEB">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582960C">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第（）页</w:t>
            </w:r>
          </w:p>
        </w:tc>
      </w:tr>
      <w:tr w14:paraId="6BD9E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8566" w:type="dxa"/>
            <w:gridSpan w:val="3"/>
            <w:tcBorders>
              <w:left w:val="single" w:color="auto" w:sz="4" w:space="0"/>
            </w:tcBorders>
            <w:noWrap w:val="0"/>
            <w:vAlign w:val="center"/>
          </w:tcPr>
          <w:p w14:paraId="004C9C7C">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备注：投标人应对照资格审查表、评审方法及标准的内容，列出相应的评审分项在投标文件中所在的位置，并将“索引表”放在投标文件前面，以便查对。</w:t>
            </w:r>
          </w:p>
        </w:tc>
      </w:tr>
    </w:tbl>
    <w:p w14:paraId="68C8EAB9">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180" w:firstLineChars="200"/>
        <w:rPr>
          <w:rFonts w:hint="eastAsia" w:ascii="宋体" w:hAnsi="宋体" w:eastAsia="宋体" w:cs="宋体"/>
          <w:color w:val="auto"/>
          <w:sz w:val="9"/>
          <w:highlight w:val="none"/>
        </w:rPr>
        <w:sectPr>
          <w:headerReference r:id="rId4" w:type="default"/>
          <w:footerReference r:id="rId5" w:type="default"/>
          <w:pgSz w:w="11910" w:h="16840"/>
          <w:pgMar w:top="1474" w:right="1701" w:bottom="1474" w:left="1701" w:header="720" w:footer="720" w:gutter="0"/>
          <w:pgNumType w:fmt="decimal" w:start="1"/>
          <w:cols w:space="720" w:num="1"/>
        </w:sectPr>
      </w:pPr>
    </w:p>
    <w:p w14:paraId="66D34B5D">
      <w:pPr>
        <w:keepNext w:val="0"/>
        <w:keepLines w:val="0"/>
        <w:pageBreakBefore w:val="0"/>
        <w:tabs>
          <w:tab w:val="left" w:pos="8360"/>
        </w:tabs>
        <w:overflowPunct/>
        <w:topLinePunct w:val="0"/>
        <w:bidi w:val="0"/>
        <w:adjustRightInd w:val="0"/>
        <w:snapToGrid w:val="0"/>
        <w:spacing w:beforeAutospacing="0" w:afterAutospacing="0" w:line="460" w:lineRule="exact"/>
        <w:ind w:left="0" w:leftChars="0" w:right="0" w:rightChars="0"/>
        <w:jc w:val="center"/>
        <w:outlineLvl w:val="1"/>
        <w:rPr>
          <w:rFonts w:hint="eastAsia" w:ascii="宋体" w:hAnsi="宋体" w:eastAsia="宋体" w:cs="宋体"/>
          <w:b/>
          <w:color w:val="auto"/>
          <w:sz w:val="28"/>
          <w:highlight w:val="none"/>
        </w:rPr>
      </w:pPr>
      <w:bookmarkStart w:id="73" w:name="_Toc29506"/>
      <w:bookmarkStart w:id="74" w:name="_Toc25202"/>
      <w:bookmarkStart w:id="75" w:name="_Toc17202"/>
      <w:bookmarkStart w:id="76" w:name="_Toc7035"/>
      <w:bookmarkStart w:id="77" w:name="_Toc30465"/>
      <w:r>
        <w:rPr>
          <w:rFonts w:hint="eastAsia" w:ascii="宋体" w:hAnsi="宋体" w:eastAsia="宋体" w:cs="宋体"/>
          <w:b/>
          <w:color w:val="auto"/>
          <w:sz w:val="28"/>
          <w:highlight w:val="none"/>
        </w:rPr>
        <w:t>三、投标函</w:t>
      </w:r>
      <w:bookmarkEnd w:id="73"/>
      <w:bookmarkEnd w:id="74"/>
      <w:bookmarkEnd w:id="75"/>
      <w:bookmarkEnd w:id="76"/>
      <w:bookmarkEnd w:id="77"/>
    </w:p>
    <w:p w14:paraId="5FB22F2A">
      <w:pPr>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w:t>
      </w:r>
    </w:p>
    <w:p w14:paraId="35944A3F">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根据贵方为项目名称：</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rPr>
        <w:t>）公开招标文件，我方代表</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rPr>
        <w:t>经正式授权并代表</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提交</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rPr>
        <w:t>。</w:t>
      </w:r>
    </w:p>
    <w:p w14:paraId="68E27CA2">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在此，我方声明如下：</w:t>
      </w:r>
    </w:p>
    <w:p w14:paraId="6159201B">
      <w:pPr>
        <w:pStyle w:val="56"/>
        <w:keepNext w:val="0"/>
        <w:keepLines w:val="0"/>
        <w:pageBreakBefore w:val="0"/>
        <w:widowControl w:val="0"/>
        <w:numPr>
          <w:ilvl w:val="0"/>
          <w:numId w:val="15"/>
        </w:numPr>
        <w:tabs>
          <w:tab w:val="left" w:pos="1061"/>
        </w:tabs>
        <w:kinsoku/>
        <w:wordWrap/>
        <w:overflowPunct/>
        <w:topLinePunct w:val="0"/>
        <w:autoSpaceDE/>
        <w:autoSpaceDN/>
        <w:bidi w:val="0"/>
        <w:adjustRightInd w:val="0"/>
        <w:snapToGrid w:val="0"/>
        <w:spacing w:before="0" w:beforeAutospacing="0" w:afterAutospacing="0" w:line="460" w:lineRule="exact"/>
        <w:ind w:left="420" w:leftChars="200" w:right="0" w:rightChars="0" w:firstLine="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同意并接受公开招标文件的各项要求，遵守公开招标文件中的各项规定，</w:t>
      </w:r>
    </w:p>
    <w:p w14:paraId="62C9044B">
      <w:pPr>
        <w:pStyle w:val="56"/>
        <w:keepNext w:val="0"/>
        <w:keepLines w:val="0"/>
        <w:pageBreakBefore w:val="0"/>
        <w:widowControl w:val="0"/>
        <w:numPr>
          <w:ilvl w:val="0"/>
          <w:numId w:val="0"/>
        </w:numPr>
        <w:tabs>
          <w:tab w:val="left" w:pos="1061"/>
        </w:tabs>
        <w:kinsoku/>
        <w:wordWrap/>
        <w:overflowPunct/>
        <w:topLinePunct w:val="0"/>
        <w:autoSpaceDE/>
        <w:autoSpaceDN/>
        <w:bidi w:val="0"/>
        <w:adjustRightInd w:val="0"/>
        <w:snapToGrid w:val="0"/>
        <w:spacing w:before="0" w:beforeAutospacing="0" w:afterAutospacing="0" w:line="46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按</w:t>
      </w:r>
      <w:r>
        <w:rPr>
          <w:rFonts w:hint="eastAsia" w:ascii="宋体" w:hAnsi="宋体" w:eastAsia="宋体" w:cs="宋体"/>
          <w:color w:val="auto"/>
          <w:sz w:val="24"/>
          <w:highlight w:val="none"/>
        </w:rPr>
        <w:t>公开招标文件中的要求执行结算。</w:t>
      </w:r>
    </w:p>
    <w:p w14:paraId="72C6525A">
      <w:pPr>
        <w:pStyle w:val="56"/>
        <w:keepNext w:val="0"/>
        <w:keepLines w:val="0"/>
        <w:pageBreakBefore w:val="0"/>
        <w:widowControl w:val="0"/>
        <w:numPr>
          <w:ilvl w:val="0"/>
          <w:numId w:val="15"/>
        </w:numPr>
        <w:tabs>
          <w:tab w:val="left" w:pos="1061"/>
        </w:tabs>
        <w:kinsoku/>
        <w:wordWrap/>
        <w:overflowPunct/>
        <w:topLinePunct w:val="0"/>
        <w:autoSpaceDE/>
        <w:autoSpaceDN/>
        <w:bidi w:val="0"/>
        <w:adjustRightInd w:val="0"/>
        <w:snapToGrid w:val="0"/>
        <w:spacing w:before="0" w:beforeAutospacing="0" w:afterAutospacing="0" w:line="460" w:lineRule="exact"/>
        <w:ind w:left="420" w:leftChars="200" w:right="0" w:rightChars="0" w:firstLine="0" w:firstLineChars="0"/>
        <w:textAlignment w:val="auto"/>
        <w:rPr>
          <w:rFonts w:hint="eastAsia" w:ascii="宋体" w:hAnsi="宋体" w:eastAsia="宋体" w:cs="宋体"/>
          <w:color w:val="auto"/>
          <w:spacing w:val="-8"/>
          <w:sz w:val="24"/>
          <w:highlight w:val="none"/>
        </w:rPr>
      </w:pPr>
      <w:r>
        <w:rPr>
          <w:rFonts w:hint="eastAsia" w:ascii="宋体" w:hAnsi="宋体" w:eastAsia="宋体" w:cs="宋体"/>
          <w:color w:val="auto"/>
          <w:spacing w:val="-3"/>
          <w:sz w:val="24"/>
          <w:highlight w:val="none"/>
        </w:rPr>
        <w:t xml:space="preserve">本投标的有效期为递交投标文件之日起 </w:t>
      </w:r>
      <w:r>
        <w:rPr>
          <w:rFonts w:hint="eastAsia" w:ascii="宋体" w:hAnsi="宋体" w:eastAsia="宋体" w:cs="宋体"/>
          <w:color w:val="auto"/>
          <w:sz w:val="24"/>
          <w:highlight w:val="none"/>
          <w:u w:val="single"/>
        </w:rPr>
        <w:t>90</w:t>
      </w:r>
      <w:r>
        <w:rPr>
          <w:rFonts w:hint="eastAsia" w:ascii="宋体" w:hAnsi="宋体" w:eastAsia="宋体" w:cs="宋体"/>
          <w:color w:val="auto"/>
          <w:spacing w:val="-8"/>
          <w:sz w:val="24"/>
          <w:highlight w:val="none"/>
        </w:rPr>
        <w:t xml:space="preserve"> 天；中标后，投标有效期延</w:t>
      </w:r>
    </w:p>
    <w:p w14:paraId="6F5A88A4">
      <w:pPr>
        <w:pStyle w:val="56"/>
        <w:keepNext w:val="0"/>
        <w:keepLines w:val="0"/>
        <w:pageBreakBefore w:val="0"/>
        <w:widowControl w:val="0"/>
        <w:numPr>
          <w:ilvl w:val="0"/>
          <w:numId w:val="0"/>
        </w:numPr>
        <w:tabs>
          <w:tab w:val="left" w:pos="1061"/>
        </w:tabs>
        <w:kinsoku/>
        <w:wordWrap/>
        <w:overflowPunct/>
        <w:topLinePunct w:val="0"/>
        <w:autoSpaceDE/>
        <w:autoSpaceDN/>
        <w:bidi w:val="0"/>
        <w:adjustRightInd w:val="0"/>
        <w:snapToGrid w:val="0"/>
        <w:spacing w:before="0" w:beforeAutospacing="0" w:afterAutospacing="0" w:line="46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至合同验</w:t>
      </w:r>
      <w:r>
        <w:rPr>
          <w:rFonts w:hint="eastAsia" w:ascii="宋体" w:hAnsi="宋体" w:eastAsia="宋体" w:cs="宋体"/>
          <w:color w:val="auto"/>
          <w:sz w:val="24"/>
          <w:highlight w:val="none"/>
        </w:rPr>
        <w:t>收之日。</w:t>
      </w:r>
    </w:p>
    <w:p w14:paraId="234C7965">
      <w:pPr>
        <w:pStyle w:val="56"/>
        <w:keepNext w:val="0"/>
        <w:keepLines w:val="0"/>
        <w:pageBreakBefore w:val="0"/>
        <w:widowControl w:val="0"/>
        <w:numPr>
          <w:ilvl w:val="0"/>
          <w:numId w:val="15"/>
        </w:numPr>
        <w:tabs>
          <w:tab w:val="left" w:pos="1061"/>
        </w:tabs>
        <w:kinsoku/>
        <w:wordWrap/>
        <w:overflowPunct/>
        <w:topLinePunct w:val="0"/>
        <w:autoSpaceDE/>
        <w:autoSpaceDN/>
        <w:bidi w:val="0"/>
        <w:adjustRightInd w:val="0"/>
        <w:snapToGrid w:val="0"/>
        <w:spacing w:before="0" w:beforeAutospacing="0" w:afterAutospacing="0" w:line="460" w:lineRule="exact"/>
        <w:ind w:left="420" w:leftChars="200" w:right="0" w:rightChars="0" w:firstLine="0" w:firstLineChars="0"/>
        <w:jc w:val="both"/>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我方已经详细地阅读了全部公开招标文件及其附件，包括澄清及参考</w:t>
      </w:r>
    </w:p>
    <w:p w14:paraId="64AEDE41">
      <w:pPr>
        <w:pStyle w:val="56"/>
        <w:keepNext w:val="0"/>
        <w:keepLines w:val="0"/>
        <w:pageBreakBefore w:val="0"/>
        <w:widowControl w:val="0"/>
        <w:numPr>
          <w:ilvl w:val="0"/>
          <w:numId w:val="0"/>
        </w:numPr>
        <w:tabs>
          <w:tab w:val="left" w:pos="1061"/>
        </w:tabs>
        <w:kinsoku/>
        <w:wordWrap/>
        <w:overflowPunct/>
        <w:topLinePunct w:val="0"/>
        <w:autoSpaceDE/>
        <w:autoSpaceDN/>
        <w:bidi w:val="0"/>
        <w:adjustRightInd w:val="0"/>
        <w:snapToGrid w:val="0"/>
        <w:spacing w:before="0" w:beforeAutospacing="0" w:afterAutospacing="0" w:line="460" w:lineRule="exact"/>
        <w:ind w:right="0" w:right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文件</w:t>
      </w:r>
      <w:r>
        <w:rPr>
          <w:rFonts w:hint="eastAsia" w:ascii="宋体" w:hAnsi="宋体" w:eastAsia="宋体" w:cs="宋体"/>
          <w:color w:val="auto"/>
          <w:sz w:val="24"/>
          <w:highlight w:val="none"/>
        </w:rPr>
        <w:t>（</w:t>
      </w:r>
      <w:r>
        <w:rPr>
          <w:rFonts w:hint="eastAsia" w:ascii="宋体" w:hAnsi="宋体" w:eastAsia="宋体" w:cs="宋体"/>
          <w:color w:val="auto"/>
          <w:spacing w:val="-17"/>
          <w:sz w:val="24"/>
          <w:highlight w:val="none"/>
        </w:rPr>
        <w:t>如</w:t>
      </w:r>
      <w:r>
        <w:rPr>
          <w:rFonts w:hint="eastAsia" w:ascii="宋体" w:hAnsi="宋体" w:eastAsia="宋体" w:cs="宋体"/>
          <w:color w:val="auto"/>
          <w:sz w:val="24"/>
          <w:highlight w:val="none"/>
        </w:rPr>
        <w:t>果有的话</w:t>
      </w:r>
      <w:r>
        <w:rPr>
          <w:rFonts w:hint="eastAsia" w:ascii="宋体" w:hAnsi="宋体" w:eastAsia="宋体" w:cs="宋体"/>
          <w:color w:val="auto"/>
          <w:spacing w:val="-27"/>
          <w:sz w:val="24"/>
          <w:highlight w:val="none"/>
        </w:rPr>
        <w:t>）</w:t>
      </w:r>
      <w:r>
        <w:rPr>
          <w:rFonts w:hint="eastAsia" w:ascii="宋体" w:hAnsi="宋体" w:eastAsia="宋体" w:cs="宋体"/>
          <w:color w:val="auto"/>
          <w:spacing w:val="-8"/>
          <w:sz w:val="24"/>
          <w:highlight w:val="none"/>
        </w:rPr>
        <w:t>。我方已完全清晰理解公开招标文件的要求，不存在任何含糊不清和误解</w:t>
      </w:r>
      <w:r>
        <w:rPr>
          <w:rFonts w:hint="eastAsia" w:ascii="宋体" w:hAnsi="宋体" w:eastAsia="宋体" w:cs="宋体"/>
          <w:color w:val="auto"/>
          <w:sz w:val="24"/>
          <w:highlight w:val="none"/>
        </w:rPr>
        <w:t>之处，同意放弃对这些文件提出异议和质疑的权力。</w:t>
      </w:r>
    </w:p>
    <w:p w14:paraId="042BFCC6">
      <w:pPr>
        <w:pStyle w:val="56"/>
        <w:keepNext w:val="0"/>
        <w:keepLines w:val="0"/>
        <w:pageBreakBefore w:val="0"/>
        <w:widowControl w:val="0"/>
        <w:numPr>
          <w:ilvl w:val="0"/>
          <w:numId w:val="15"/>
        </w:numPr>
        <w:tabs>
          <w:tab w:val="left" w:pos="1061"/>
        </w:tabs>
        <w:kinsoku/>
        <w:wordWrap/>
        <w:overflowPunct/>
        <w:topLinePunct w:val="0"/>
        <w:autoSpaceDE/>
        <w:autoSpaceDN/>
        <w:bidi w:val="0"/>
        <w:adjustRightInd w:val="0"/>
        <w:snapToGrid w:val="0"/>
        <w:spacing w:before="0" w:beforeAutospacing="0" w:afterAutospacing="0" w:line="460" w:lineRule="exact"/>
        <w:ind w:left="420" w:leftChars="20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我方已毫无保留地向贵方提供一切所需的证明材料，并保证其真实</w:t>
      </w:r>
    </w:p>
    <w:p w14:paraId="4B5027F7">
      <w:pPr>
        <w:pStyle w:val="56"/>
        <w:keepNext w:val="0"/>
        <w:keepLines w:val="0"/>
        <w:pageBreakBefore w:val="0"/>
        <w:widowControl w:val="0"/>
        <w:numPr>
          <w:ilvl w:val="0"/>
          <w:numId w:val="0"/>
        </w:numPr>
        <w:tabs>
          <w:tab w:val="left" w:pos="1061"/>
        </w:tabs>
        <w:kinsoku/>
        <w:wordWrap/>
        <w:overflowPunct/>
        <w:topLinePunct w:val="0"/>
        <w:autoSpaceDE/>
        <w:autoSpaceDN/>
        <w:bidi w:val="0"/>
        <w:adjustRightInd w:val="0"/>
        <w:snapToGrid w:val="0"/>
        <w:spacing w:before="0" w:beforeAutospacing="0" w:afterAutospacing="0" w:line="46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性，一旦发现有弄虚作假、骗取中标的行为，将取消中标资格并承担相应责任。</w:t>
      </w:r>
    </w:p>
    <w:p w14:paraId="79BD0CCB">
      <w:pPr>
        <w:pStyle w:val="56"/>
        <w:keepNext w:val="0"/>
        <w:keepLines w:val="0"/>
        <w:pageBreakBefore w:val="0"/>
        <w:widowControl w:val="0"/>
        <w:numPr>
          <w:ilvl w:val="0"/>
          <w:numId w:val="15"/>
        </w:numPr>
        <w:tabs>
          <w:tab w:val="left" w:pos="1061"/>
        </w:tabs>
        <w:kinsoku/>
        <w:wordWrap/>
        <w:overflowPunct/>
        <w:topLinePunct w:val="0"/>
        <w:autoSpaceDE/>
        <w:autoSpaceDN/>
        <w:bidi w:val="0"/>
        <w:adjustRightInd w:val="0"/>
        <w:snapToGrid w:val="0"/>
        <w:spacing w:before="0" w:beforeAutospacing="0" w:afterAutospacing="0" w:line="460" w:lineRule="exact"/>
        <w:ind w:left="420" w:leftChars="200" w:right="0" w:rightChars="0" w:firstLine="0" w:firstLineChars="0"/>
        <w:jc w:val="both"/>
        <w:textAlignment w:val="auto"/>
        <w:rPr>
          <w:rFonts w:hint="eastAsia" w:ascii="宋体" w:hAnsi="宋体" w:eastAsia="宋体" w:cs="宋体"/>
          <w:color w:val="auto"/>
          <w:spacing w:val="-5"/>
          <w:sz w:val="24"/>
          <w:highlight w:val="none"/>
        </w:rPr>
      </w:pPr>
      <w:r>
        <w:rPr>
          <w:rFonts w:hint="eastAsia" w:ascii="宋体" w:hAnsi="宋体" w:eastAsia="宋体" w:cs="宋体"/>
          <w:color w:val="auto"/>
          <w:spacing w:val="-5"/>
          <w:sz w:val="24"/>
          <w:highlight w:val="none"/>
        </w:rPr>
        <w:t>我方承诺在本投标文件中提供的一切文件和资料，无论是原件还是复印</w:t>
      </w:r>
    </w:p>
    <w:p w14:paraId="31D819EA">
      <w:pPr>
        <w:pStyle w:val="56"/>
        <w:keepNext w:val="0"/>
        <w:keepLines w:val="0"/>
        <w:pageBreakBefore w:val="0"/>
        <w:widowControl w:val="0"/>
        <w:numPr>
          <w:ilvl w:val="0"/>
          <w:numId w:val="0"/>
        </w:numPr>
        <w:tabs>
          <w:tab w:val="left" w:pos="1061"/>
        </w:tabs>
        <w:kinsoku/>
        <w:wordWrap/>
        <w:overflowPunct/>
        <w:topLinePunct w:val="0"/>
        <w:autoSpaceDE/>
        <w:autoSpaceDN/>
        <w:bidi w:val="0"/>
        <w:adjustRightInd w:val="0"/>
        <w:snapToGrid w:val="0"/>
        <w:spacing w:before="0" w:beforeAutospacing="0" w:afterAutospacing="0" w:line="460" w:lineRule="exact"/>
        <w:ind w:right="0" w:right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件均为真</w:t>
      </w:r>
      <w:r>
        <w:rPr>
          <w:rFonts w:hint="eastAsia" w:ascii="宋体" w:hAnsi="宋体" w:eastAsia="宋体" w:cs="宋体"/>
          <w:color w:val="auto"/>
          <w:spacing w:val="-9"/>
          <w:sz w:val="24"/>
          <w:highlight w:val="none"/>
        </w:rPr>
        <w:t>实和准确的，绝无任何虚假、伪造和夸大的成份。否则，愿意承担相应的后果和法律责</w:t>
      </w:r>
      <w:r>
        <w:rPr>
          <w:rFonts w:hint="eastAsia" w:ascii="宋体" w:hAnsi="宋体" w:eastAsia="宋体" w:cs="宋体"/>
          <w:color w:val="auto"/>
          <w:sz w:val="24"/>
          <w:highlight w:val="none"/>
        </w:rPr>
        <w:t>任。</w:t>
      </w:r>
    </w:p>
    <w:p w14:paraId="598D02F3">
      <w:pPr>
        <w:pStyle w:val="56"/>
        <w:keepNext w:val="0"/>
        <w:keepLines w:val="0"/>
        <w:pageBreakBefore w:val="0"/>
        <w:widowControl w:val="0"/>
        <w:tabs>
          <w:tab w:val="left" w:pos="1061"/>
        </w:tabs>
        <w:kinsoku/>
        <w:wordWrap/>
        <w:overflowPunct/>
        <w:topLinePunct w:val="0"/>
        <w:autoSpaceDE/>
        <w:autoSpaceDN/>
        <w:bidi w:val="0"/>
        <w:adjustRightInd w:val="0"/>
        <w:snapToGrid w:val="0"/>
        <w:spacing w:before="0" w:beforeAutospacing="0" w:afterAutospacing="0" w:line="460" w:lineRule="exact"/>
        <w:ind w:left="420" w:leftChars="200" w:right="0" w:rightChars="0" w:firstLine="0"/>
        <w:textAlignment w:val="auto"/>
        <w:outlineLvl w:val="2"/>
        <w:rPr>
          <w:rFonts w:hint="eastAsia" w:ascii="宋体" w:hAnsi="宋体" w:eastAsia="宋体" w:cs="宋体"/>
          <w:color w:val="auto"/>
          <w:sz w:val="24"/>
          <w:highlight w:val="none"/>
        </w:rPr>
      </w:pPr>
      <w:bookmarkStart w:id="78" w:name="_Toc20117"/>
      <w:bookmarkStart w:id="79" w:name="_Toc16808"/>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我方完全服从和尊重评委会所作的评定结果。</w:t>
      </w:r>
      <w:bookmarkEnd w:id="78"/>
      <w:bookmarkEnd w:id="79"/>
    </w:p>
    <w:p w14:paraId="28C646C3">
      <w:pPr>
        <w:pStyle w:val="56"/>
        <w:keepNext w:val="0"/>
        <w:keepLines w:val="0"/>
        <w:pageBreakBefore w:val="0"/>
        <w:widowControl w:val="0"/>
        <w:tabs>
          <w:tab w:val="left" w:pos="1061"/>
        </w:tabs>
        <w:kinsoku/>
        <w:wordWrap/>
        <w:overflowPunct/>
        <w:topLinePunct w:val="0"/>
        <w:autoSpaceDE/>
        <w:autoSpaceDN/>
        <w:bidi w:val="0"/>
        <w:adjustRightInd w:val="0"/>
        <w:snapToGrid w:val="0"/>
        <w:spacing w:before="0" w:beforeAutospacing="0" w:afterAutospacing="0" w:line="460" w:lineRule="exact"/>
        <w:ind w:left="420" w:leftChars="200" w:right="0" w:rightChars="0"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7、</w:t>
      </w:r>
      <w:r>
        <w:rPr>
          <w:rFonts w:hint="eastAsia" w:ascii="宋体" w:hAnsi="宋体" w:eastAsia="宋体" w:cs="宋体"/>
          <w:color w:val="auto"/>
          <w:sz w:val="24"/>
          <w:highlight w:val="none"/>
        </w:rPr>
        <w:t>我方同意按公开招标文件的规定向采购代理机构缴纳招标代理费。</w:t>
      </w:r>
    </w:p>
    <w:p w14:paraId="6020FEF8">
      <w:pPr>
        <w:pStyle w:val="56"/>
        <w:keepNext w:val="0"/>
        <w:keepLines w:val="0"/>
        <w:pageBreakBefore w:val="0"/>
        <w:widowControl w:val="0"/>
        <w:tabs>
          <w:tab w:val="left" w:pos="1061"/>
        </w:tabs>
        <w:kinsoku/>
        <w:wordWrap/>
        <w:overflowPunct/>
        <w:topLinePunct w:val="0"/>
        <w:autoSpaceDE/>
        <w:autoSpaceDN/>
        <w:bidi w:val="0"/>
        <w:adjustRightInd w:val="0"/>
        <w:snapToGrid w:val="0"/>
        <w:spacing w:before="0" w:beforeAutospacing="0" w:afterAutospacing="0" w:line="460" w:lineRule="exact"/>
        <w:ind w:left="420" w:leftChars="200" w:right="0" w:rightChars="0" w:firstLine="0"/>
        <w:jc w:val="both"/>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rPr>
        <w:t>8、</w:t>
      </w:r>
      <w:r>
        <w:rPr>
          <w:rFonts w:hint="eastAsia" w:ascii="宋体" w:hAnsi="宋体" w:eastAsia="宋体" w:cs="宋体"/>
          <w:color w:val="auto"/>
          <w:spacing w:val="-4"/>
          <w:sz w:val="24"/>
          <w:highlight w:val="none"/>
        </w:rPr>
        <w:t>我方同意按照公开招标文件的要求认真履行中标投标人应尽的义务，</w:t>
      </w:r>
    </w:p>
    <w:p w14:paraId="151BBD0E">
      <w:pPr>
        <w:pStyle w:val="56"/>
        <w:keepNext w:val="0"/>
        <w:keepLines w:val="0"/>
        <w:pageBreakBefore w:val="0"/>
        <w:widowControl w:val="0"/>
        <w:tabs>
          <w:tab w:val="left" w:pos="1061"/>
        </w:tabs>
        <w:kinsoku/>
        <w:wordWrap/>
        <w:overflowPunct/>
        <w:topLinePunct w:val="0"/>
        <w:autoSpaceDE/>
        <w:autoSpaceDN/>
        <w:bidi w:val="0"/>
        <w:adjustRightInd w:val="0"/>
        <w:snapToGrid w:val="0"/>
        <w:spacing w:before="0" w:beforeAutospacing="0" w:afterAutospacing="0" w:line="460" w:lineRule="exact"/>
        <w:ind w:left="0" w:leftChars="0" w:right="0" w:rightChars="0"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若我方行</w:t>
      </w:r>
      <w:r>
        <w:rPr>
          <w:rFonts w:hint="eastAsia" w:ascii="宋体" w:hAnsi="宋体" w:eastAsia="宋体" w:cs="宋体"/>
          <w:color w:val="auto"/>
          <w:spacing w:val="-6"/>
          <w:sz w:val="24"/>
          <w:highlight w:val="none"/>
        </w:rPr>
        <w:t>为不当而损害了采购方的合法权益，我方愿在任何时候无条件承担相应的缔约过失责任</w:t>
      </w:r>
      <w:r>
        <w:rPr>
          <w:rFonts w:hint="eastAsia" w:ascii="宋体" w:hAnsi="宋体" w:eastAsia="宋体" w:cs="宋体"/>
          <w:color w:val="auto"/>
          <w:sz w:val="24"/>
          <w:highlight w:val="none"/>
        </w:rPr>
        <w:t>和经济赔偿。</w:t>
      </w:r>
    </w:p>
    <w:p w14:paraId="006F7600">
      <w:pPr>
        <w:keepNext w:val="0"/>
        <w:keepLines w:val="0"/>
        <w:pageBreakBefore w:val="0"/>
        <w:overflowPunct/>
        <w:topLinePunct w:val="0"/>
        <w:bidi w:val="0"/>
        <w:spacing w:beforeAutospacing="0" w:afterAutospacing="0" w:line="460" w:lineRule="exact"/>
        <w:ind w:left="0" w:leftChars="0" w:right="0" w:rightChars="0" w:firstLine="480" w:firstLineChars="200"/>
        <w:jc w:val="right"/>
        <w:rPr>
          <w:rFonts w:hint="eastAsia" w:ascii="宋体" w:hAnsi="宋体" w:eastAsia="宋体" w:cs="宋体"/>
          <w:color w:val="auto"/>
          <w:highlight w:val="none"/>
        </w:rPr>
      </w:pPr>
      <w:r>
        <w:rPr>
          <w:rFonts w:hint="eastAsia" w:ascii="宋体" w:hAnsi="宋体" w:eastAsia="宋体" w:cs="宋体"/>
          <w:color w:val="auto"/>
          <w:sz w:val="24"/>
          <w:highlight w:val="none"/>
        </w:rPr>
        <w:t>投标人 ：                    （盖章）</w:t>
      </w:r>
    </w:p>
    <w:p w14:paraId="579932F0">
      <w:pPr>
        <w:keepNext w:val="0"/>
        <w:keepLines w:val="0"/>
        <w:pageBreakBefore w:val="0"/>
        <w:overflowPunct/>
        <w:topLinePunct w:val="0"/>
        <w:bidi w:val="0"/>
        <w:spacing w:beforeAutospacing="0" w:afterAutospacing="0" w:line="460" w:lineRule="exact"/>
        <w:ind w:left="0" w:leftChars="0" w:right="0" w:rightChars="0" w:firstLine="480" w:firstLineChars="200"/>
        <w:jc w:val="center"/>
        <w:outlineLvl w:val="1"/>
        <w:rPr>
          <w:rFonts w:hint="eastAsia" w:ascii="宋体" w:hAnsi="宋体" w:eastAsia="宋体" w:cs="宋体"/>
          <w:color w:val="auto"/>
          <w:sz w:val="24"/>
          <w:highlight w:val="none"/>
        </w:rPr>
      </w:pPr>
      <w:bookmarkStart w:id="80" w:name="_Toc15432"/>
      <w:bookmarkStart w:id="81" w:name="_Toc15571"/>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bookmarkEnd w:id="80"/>
      <w:bookmarkEnd w:id="81"/>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1C3317EB">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pacing w:val="-7"/>
          <w:highlight w:val="none"/>
        </w:rPr>
        <w:t>传真： 电话： 邮箱：</w:t>
      </w:r>
    </w:p>
    <w:p w14:paraId="52944E29">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highlight w:val="none"/>
        </w:rPr>
        <w:sectPr>
          <w:pgSz w:w="11910" w:h="16840"/>
          <w:pgMar w:top="1587" w:right="1984" w:bottom="1474" w:left="2098" w:header="720" w:footer="720" w:gutter="0"/>
          <w:pgNumType w:fmt="decimal"/>
          <w:cols w:space="720" w:num="1"/>
        </w:sectPr>
      </w:pPr>
      <w:r>
        <w:rPr>
          <w:rFonts w:hint="eastAsia" w:ascii="宋体" w:hAnsi="宋体" w:eastAsia="宋体" w:cs="宋体"/>
          <w:color w:val="auto"/>
          <w:highlight w:val="none"/>
        </w:rPr>
        <w:t>日期：年</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rPr>
        <w:t xml:space="preserve">  日</w:t>
      </w:r>
    </w:p>
    <w:p w14:paraId="62ABA58B">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outlineLvl w:val="1"/>
        <w:rPr>
          <w:rFonts w:hint="eastAsia" w:ascii="宋体" w:hAnsi="宋体" w:eastAsia="宋体" w:cs="宋体"/>
          <w:b/>
          <w:color w:val="auto"/>
          <w:sz w:val="28"/>
          <w:highlight w:val="none"/>
        </w:rPr>
      </w:pPr>
      <w:bookmarkStart w:id="82" w:name="_bookmark14"/>
      <w:bookmarkEnd w:id="82"/>
      <w:bookmarkStart w:id="83" w:name="_TOC_250000"/>
      <w:bookmarkEnd w:id="83"/>
      <w:bookmarkStart w:id="84" w:name="四、报价一览表（适用于每包）"/>
      <w:bookmarkEnd w:id="84"/>
      <w:bookmarkStart w:id="85" w:name="五、法人代表授权委托书"/>
      <w:bookmarkEnd w:id="85"/>
      <w:bookmarkStart w:id="86" w:name="_Toc29153"/>
      <w:bookmarkStart w:id="87" w:name="_Toc28205"/>
      <w:bookmarkStart w:id="88" w:name="_Toc17609"/>
      <w:bookmarkStart w:id="89" w:name="_Toc26573"/>
      <w:bookmarkStart w:id="90" w:name="_Toc21299"/>
      <w:bookmarkStart w:id="91" w:name="_Toc22564"/>
      <w:bookmarkStart w:id="92" w:name="_Toc6873"/>
      <w:r>
        <w:rPr>
          <w:rFonts w:hint="eastAsia" w:ascii="宋体" w:hAnsi="宋体" w:eastAsia="宋体" w:cs="宋体"/>
          <w:b/>
          <w:color w:val="auto"/>
          <w:sz w:val="28"/>
          <w:highlight w:val="none"/>
          <w:lang w:val="en-US"/>
        </w:rPr>
        <w:t>四、</w:t>
      </w:r>
      <w:r>
        <w:rPr>
          <w:rFonts w:hint="eastAsia" w:ascii="宋体" w:hAnsi="宋体" w:eastAsia="宋体" w:cs="宋体"/>
          <w:b/>
          <w:color w:val="auto"/>
          <w:sz w:val="28"/>
          <w:highlight w:val="none"/>
        </w:rPr>
        <w:t>开标一览表</w:t>
      </w:r>
      <w:bookmarkEnd w:id="86"/>
      <w:bookmarkEnd w:id="87"/>
      <w:bookmarkEnd w:id="88"/>
      <w:bookmarkEnd w:id="89"/>
      <w:bookmarkEnd w:id="90"/>
    </w:p>
    <w:p w14:paraId="615D9E73">
      <w:pPr>
        <w:pStyle w:val="13"/>
        <w:keepNext w:val="0"/>
        <w:keepLines w:val="0"/>
        <w:pageBreakBefore w:val="0"/>
        <w:tabs>
          <w:tab w:val="left" w:pos="5619"/>
          <w:tab w:val="left" w:pos="8799"/>
        </w:tabs>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val="en-US" w:eastAsia="zh-CN"/>
        </w:rPr>
        <w:t xml:space="preserve">                      </w:t>
      </w:r>
    </w:p>
    <w:p w14:paraId="3A98A5C5">
      <w:pPr>
        <w:pStyle w:val="30"/>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lang w:val="en-US" w:eastAsia="zh-CN"/>
        </w:rPr>
      </w:pPr>
    </w:p>
    <w:tbl>
      <w:tblPr>
        <w:tblStyle w:val="3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18"/>
        <w:gridCol w:w="5310"/>
      </w:tblGrid>
      <w:tr w14:paraId="5C86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14:paraId="1498A71B">
            <w:pPr>
              <w:pStyle w:val="19"/>
              <w:spacing w:line="460" w:lineRule="exact"/>
              <w:jc w:val="center"/>
              <w:rPr>
                <w:rFonts w:hint="eastAsia" w:ascii="宋体" w:hAnsi="宋体" w:eastAsia="宋体" w:cs="宋体"/>
                <w:color w:val="auto"/>
                <w:sz w:val="24"/>
                <w:highlight w:val="none"/>
              </w:rPr>
            </w:pPr>
            <w:bookmarkStart w:id="93" w:name="_Toc23251"/>
            <w:r>
              <w:rPr>
                <w:rFonts w:hint="eastAsia" w:ascii="宋体" w:hAnsi="宋体" w:eastAsia="宋体" w:cs="宋体"/>
                <w:color w:val="auto"/>
                <w:sz w:val="24"/>
                <w:highlight w:val="none"/>
              </w:rPr>
              <w:t>序号</w:t>
            </w:r>
          </w:p>
        </w:tc>
        <w:tc>
          <w:tcPr>
            <w:tcW w:w="2318" w:type="dxa"/>
            <w:vAlign w:val="center"/>
          </w:tcPr>
          <w:p w14:paraId="31670768">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p>
        </w:tc>
        <w:tc>
          <w:tcPr>
            <w:tcW w:w="5310" w:type="dxa"/>
            <w:vAlign w:val="center"/>
          </w:tcPr>
          <w:p w14:paraId="6C9AAD2A">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39CD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14:paraId="39547542">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18" w:type="dxa"/>
            <w:vAlign w:val="center"/>
          </w:tcPr>
          <w:p w14:paraId="0EC51347">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tc>
        <w:tc>
          <w:tcPr>
            <w:tcW w:w="5310" w:type="dxa"/>
            <w:vAlign w:val="center"/>
          </w:tcPr>
          <w:p w14:paraId="49DDD909">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小写：元          大写：元</w:t>
            </w:r>
          </w:p>
        </w:tc>
      </w:tr>
      <w:tr w14:paraId="4F41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14:paraId="5E906D26">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18" w:type="dxa"/>
            <w:vAlign w:val="center"/>
          </w:tcPr>
          <w:p w14:paraId="0C87D1D2">
            <w:pPr>
              <w:pStyle w:val="19"/>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5310" w:type="dxa"/>
            <w:vAlign w:val="center"/>
          </w:tcPr>
          <w:p w14:paraId="463504BD">
            <w:pPr>
              <w:pStyle w:val="19"/>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（是/否）满足采购文件要求</w:t>
            </w:r>
          </w:p>
        </w:tc>
      </w:tr>
      <w:tr w14:paraId="5ABF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14:paraId="0EE27CBA">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18" w:type="dxa"/>
            <w:vAlign w:val="center"/>
          </w:tcPr>
          <w:p w14:paraId="2E500951">
            <w:pPr>
              <w:pStyle w:val="19"/>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w:t>
            </w:r>
          </w:p>
        </w:tc>
        <w:tc>
          <w:tcPr>
            <w:tcW w:w="5310" w:type="dxa"/>
            <w:vAlign w:val="center"/>
          </w:tcPr>
          <w:p w14:paraId="194D0A1B">
            <w:pPr>
              <w:pStyle w:val="19"/>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（是/否）满足采购文件要求</w:t>
            </w:r>
          </w:p>
        </w:tc>
      </w:tr>
      <w:tr w14:paraId="035E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14:paraId="3DBFF3D4">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18" w:type="dxa"/>
            <w:vAlign w:val="center"/>
          </w:tcPr>
          <w:p w14:paraId="528E2A60">
            <w:pPr>
              <w:pStyle w:val="19"/>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310" w:type="dxa"/>
            <w:vAlign w:val="center"/>
          </w:tcPr>
          <w:p w14:paraId="48A6B23B">
            <w:pPr>
              <w:pStyle w:val="19"/>
              <w:spacing w:line="460" w:lineRule="exact"/>
              <w:rPr>
                <w:rFonts w:hint="eastAsia" w:ascii="宋体" w:hAnsi="宋体" w:eastAsia="宋体" w:cs="宋体"/>
                <w:color w:val="auto"/>
                <w:sz w:val="24"/>
                <w:highlight w:val="none"/>
              </w:rPr>
            </w:pPr>
          </w:p>
        </w:tc>
      </w:tr>
    </w:tbl>
    <w:p w14:paraId="326606D8">
      <w:pPr>
        <w:spacing w:line="500" w:lineRule="exact"/>
        <w:jc w:val="left"/>
        <w:outlineLvl w:val="1"/>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Cs/>
          <w:color w:val="auto"/>
          <w:sz w:val="24"/>
          <w:highlight w:val="none"/>
        </w:rPr>
        <w:t>1、以上价格为包干价，即包含完成本整个过程等伴随服务的所有费用以及供应商利润、税金和政策性文件规定及合同包含的所有风险、责任等各项应有费用。除此之外，甲方无需支付乙方任何其他费用。</w:t>
      </w:r>
      <w:bookmarkEnd w:id="93"/>
    </w:p>
    <w:p w14:paraId="29CAF5AB">
      <w:pPr>
        <w:keepNext w:val="0"/>
        <w:keepLines w:val="0"/>
        <w:pageBreakBefore w:val="0"/>
        <w:widowControl w:val="0"/>
        <w:kinsoku/>
        <w:wordWrap/>
        <w:overflowPunct/>
        <w:topLinePunct w:val="0"/>
        <w:autoSpaceDE/>
        <w:autoSpaceDN/>
        <w:bidi w:val="0"/>
        <w:spacing w:beforeAutospacing="0" w:afterAutospacing="0" w:line="460" w:lineRule="exact"/>
        <w:ind w:left="0" w:leftChars="0" w:right="0" w:rightChars="0" w:firstLine="480" w:firstLineChars="200"/>
        <w:textAlignment w:val="auto"/>
        <w:rPr>
          <w:rFonts w:hint="eastAsia" w:ascii="宋体" w:hAnsi="宋体" w:eastAsia="宋体" w:cs="宋体"/>
          <w:bCs/>
          <w:color w:val="auto"/>
          <w:sz w:val="24"/>
          <w:highlight w:val="none"/>
          <w:lang w:val="en-US"/>
        </w:rPr>
      </w:pPr>
      <w:r>
        <w:rPr>
          <w:rFonts w:hint="eastAsia" w:ascii="宋体" w:hAnsi="宋体" w:eastAsia="宋体" w:cs="宋体"/>
          <w:bCs/>
          <w:color w:val="auto"/>
          <w:sz w:val="24"/>
          <w:highlight w:val="none"/>
        </w:rPr>
        <w:t>2、响应文件中开标一览表中的投标报价应与响应文件中投标分项报价明细表中的投标报价一致。</w:t>
      </w:r>
    </w:p>
    <w:p w14:paraId="0574030B">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4E0A65C5">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投标人 ：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（盖章）</w:t>
      </w:r>
    </w:p>
    <w:p w14:paraId="689E7710">
      <w:pPr>
        <w:keepNext w:val="0"/>
        <w:keepLines w:val="0"/>
        <w:pageBreakBefore w:val="0"/>
        <w:overflowPunct/>
        <w:topLinePunct w:val="0"/>
        <w:bidi w:val="0"/>
        <w:spacing w:beforeAutospacing="0" w:afterAutospacing="0" w:line="460" w:lineRule="exact"/>
        <w:ind w:left="0" w:leftChars="0" w:right="0" w:rightChars="0" w:firstLine="480" w:firstLineChars="200"/>
        <w:jc w:val="center"/>
        <w:outlineLvl w:val="2"/>
        <w:rPr>
          <w:rFonts w:hint="eastAsia" w:ascii="宋体" w:hAnsi="宋体" w:eastAsia="宋体" w:cs="宋体"/>
          <w:color w:val="auto"/>
          <w:sz w:val="24"/>
          <w:highlight w:val="none"/>
        </w:rPr>
      </w:pPr>
      <w:bookmarkStart w:id="94" w:name="_Toc12224"/>
      <w:bookmarkStart w:id="95" w:name="_Toc26288"/>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bookmarkEnd w:id="94"/>
      <w:bookmarkEnd w:id="95"/>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5D40DE08">
      <w:pPr>
        <w:keepNext w:val="0"/>
        <w:keepLines w:val="0"/>
        <w:pageBreakBefore w:val="0"/>
        <w:overflowPunct/>
        <w:topLinePunct w:val="0"/>
        <w:bidi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rPr>
      </w:pPr>
    </w:p>
    <w:p w14:paraId="1A813EA9">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14AB0E89">
      <w:pPr>
        <w:keepNext w:val="0"/>
        <w:keepLines w:val="0"/>
        <w:pageBreakBefore w:val="0"/>
        <w:overflowPunct/>
        <w:topLinePunct w:val="0"/>
        <w:bidi w:val="0"/>
        <w:adjustRightInd w:val="0"/>
        <w:snapToGrid w:val="0"/>
        <w:spacing w:beforeAutospacing="0" w:afterAutospacing="0" w:line="460" w:lineRule="exact"/>
        <w:ind w:left="0" w:leftChars="0" w:right="0" w:rightChars="0" w:firstLine="420" w:firstLineChars="200"/>
        <w:rPr>
          <w:rFonts w:hint="eastAsia" w:ascii="宋体" w:hAnsi="宋体" w:eastAsia="宋体" w:cs="宋体"/>
          <w:color w:val="auto"/>
          <w:highlight w:val="none"/>
        </w:rPr>
        <w:sectPr>
          <w:footerReference r:id="rId6" w:type="default"/>
          <w:pgSz w:w="11910" w:h="16840"/>
          <w:pgMar w:top="1587" w:right="1984" w:bottom="1474" w:left="2098" w:header="720" w:footer="720" w:gutter="0"/>
          <w:pgNumType w:fmt="decimal"/>
          <w:cols w:space="720" w:num="1"/>
        </w:sectPr>
      </w:pPr>
    </w:p>
    <w:bookmarkEnd w:id="91"/>
    <w:p w14:paraId="6C0C93AF">
      <w:pPr>
        <w:keepNext w:val="0"/>
        <w:keepLines w:val="0"/>
        <w:pageBreakBefore w:val="0"/>
        <w:overflowPunct/>
        <w:topLinePunct w:val="0"/>
        <w:bidi w:val="0"/>
        <w:spacing w:beforeAutospacing="0" w:afterAutospacing="0" w:line="460" w:lineRule="exact"/>
        <w:ind w:left="0" w:leftChars="0" w:right="0" w:rightChars="0"/>
        <w:jc w:val="center"/>
        <w:outlineLvl w:val="1"/>
        <w:rPr>
          <w:rFonts w:hint="eastAsia" w:ascii="宋体" w:hAnsi="宋体" w:eastAsia="宋体" w:cs="宋体"/>
          <w:b/>
          <w:bCs/>
          <w:color w:val="auto"/>
          <w:sz w:val="28"/>
          <w:szCs w:val="28"/>
          <w:highlight w:val="none"/>
          <w:lang w:val="en-US" w:eastAsia="zh-CN"/>
        </w:rPr>
      </w:pPr>
      <w:bookmarkStart w:id="96" w:name="_Toc28559"/>
      <w:bookmarkStart w:id="97" w:name="_Toc829"/>
      <w:bookmarkStart w:id="98" w:name="_Toc21339"/>
      <w:r>
        <w:rPr>
          <w:rFonts w:hint="eastAsia" w:ascii="宋体" w:hAnsi="宋体" w:eastAsia="宋体" w:cs="宋体"/>
          <w:b/>
          <w:bCs/>
          <w:color w:val="auto"/>
          <w:sz w:val="28"/>
          <w:szCs w:val="28"/>
          <w:highlight w:val="none"/>
        </w:rPr>
        <w:t>分项报价明细表</w:t>
      </w:r>
      <w:bookmarkEnd w:id="96"/>
      <w:bookmarkEnd w:id="97"/>
      <w:bookmarkEnd w:id="98"/>
    </w:p>
    <w:p w14:paraId="6FD2DC06">
      <w:pPr>
        <w:keepNext w:val="0"/>
        <w:keepLines w:val="0"/>
        <w:pageBreakBefore w:val="0"/>
        <w:overflowPunct/>
        <w:topLinePunct w:val="0"/>
        <w:bidi w:val="0"/>
        <w:spacing w:beforeAutospacing="0" w:afterAutospacing="0" w:line="460" w:lineRule="exact"/>
        <w:ind w:left="0" w:leftChars="0" w:right="0" w:rightChars="0"/>
        <w:jc w:val="both"/>
        <w:outlineLvl w:val="1"/>
        <w:rPr>
          <w:rFonts w:hint="eastAsia" w:ascii="宋体" w:hAnsi="宋体" w:eastAsia="宋体" w:cs="宋体"/>
          <w:color w:val="auto"/>
          <w:sz w:val="24"/>
          <w:szCs w:val="24"/>
          <w:highlight w:val="none"/>
          <w:u w:val="single"/>
          <w:lang w:val="en-US" w:eastAsia="zh-CN"/>
        </w:rPr>
      </w:pPr>
      <w:bookmarkStart w:id="99" w:name="_Toc20711"/>
      <w:bookmarkStart w:id="100" w:name="_Toc24669"/>
      <w:bookmarkStart w:id="101" w:name="_Toc21051"/>
      <w:r>
        <w:rPr>
          <w:rFonts w:hint="eastAsia" w:ascii="宋体" w:hAnsi="宋体" w:eastAsia="宋体" w:cs="宋体"/>
          <w:color w:val="auto"/>
          <w:sz w:val="24"/>
          <w:szCs w:val="24"/>
          <w:highlight w:val="none"/>
        </w:rPr>
        <w:t>项目名称：</w:t>
      </w:r>
      <w:bookmarkEnd w:id="99"/>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bookmarkEnd w:id="100"/>
      <w:bookmarkEnd w:id="101"/>
      <w:r>
        <w:rPr>
          <w:rFonts w:hint="eastAsia" w:ascii="宋体" w:hAnsi="宋体" w:eastAsia="宋体" w:cs="宋体"/>
          <w:color w:val="auto"/>
          <w:sz w:val="24"/>
          <w:szCs w:val="24"/>
          <w:highlight w:val="none"/>
          <w:u w:val="single"/>
          <w:lang w:val="en-US" w:eastAsia="zh-CN"/>
        </w:rPr>
        <w:t xml:space="preserve">            </w:t>
      </w:r>
    </w:p>
    <w:tbl>
      <w:tblPr>
        <w:tblStyle w:val="33"/>
        <w:tblW w:w="8804" w:type="dxa"/>
        <w:tblInd w:w="-97" w:type="dxa"/>
        <w:tblLayout w:type="fixed"/>
        <w:tblCellMar>
          <w:top w:w="0" w:type="dxa"/>
          <w:left w:w="108" w:type="dxa"/>
          <w:bottom w:w="0" w:type="dxa"/>
          <w:right w:w="108" w:type="dxa"/>
        </w:tblCellMar>
      </w:tblPr>
      <w:tblGrid>
        <w:gridCol w:w="954"/>
        <w:gridCol w:w="1604"/>
        <w:gridCol w:w="770"/>
        <w:gridCol w:w="827"/>
        <w:gridCol w:w="742"/>
        <w:gridCol w:w="928"/>
        <w:gridCol w:w="948"/>
        <w:gridCol w:w="948"/>
        <w:gridCol w:w="1083"/>
      </w:tblGrid>
      <w:tr w14:paraId="31FFC514">
        <w:tblPrEx>
          <w:tblCellMar>
            <w:top w:w="0" w:type="dxa"/>
            <w:left w:w="108" w:type="dxa"/>
            <w:bottom w:w="0" w:type="dxa"/>
            <w:right w:w="108" w:type="dxa"/>
          </w:tblCellMar>
        </w:tblPrEx>
        <w:trPr>
          <w:trHeight w:val="858"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34F0">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编号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1C61">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产品名称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1B65">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品牌</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0C07">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产地</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613D">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规格</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77BB">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9D38">
            <w:pPr>
              <w:widowControl/>
              <w:jc w:val="center"/>
              <w:textAlignment w:val="center"/>
              <w:rPr>
                <w:rFonts w:hint="default" w:ascii="宋体" w:hAnsi="宋体" w:eastAsia="宋体" w:cs="宋体"/>
                <w:b/>
                <w:bCs/>
                <w:color w:val="auto"/>
                <w:kern w:val="0"/>
                <w:sz w:val="24"/>
                <w:highlight w:val="none"/>
                <w:lang w:val="en-US" w:eastAsia="zh-CN" w:bidi="ar"/>
              </w:rPr>
            </w:pPr>
            <w:r>
              <w:rPr>
                <w:rFonts w:hint="eastAsia" w:ascii="宋体" w:hAnsi="宋体" w:eastAsia="宋体" w:cs="宋体"/>
                <w:b/>
                <w:bCs/>
                <w:color w:val="auto"/>
                <w:kern w:val="0"/>
                <w:sz w:val="24"/>
                <w:highlight w:val="none"/>
                <w:lang w:val="en-US" w:eastAsia="zh-CN" w:bidi="ar"/>
              </w:rPr>
              <w:t>最高限价（元）</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E2F">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en-US" w:eastAsia="zh-CN" w:bidi="ar"/>
              </w:rPr>
              <w:t>投标</w:t>
            </w:r>
            <w:r>
              <w:rPr>
                <w:rFonts w:hint="eastAsia" w:ascii="宋体" w:hAnsi="宋体" w:eastAsia="宋体" w:cs="宋体"/>
                <w:b/>
                <w:bCs/>
                <w:color w:val="auto"/>
                <w:kern w:val="0"/>
                <w:sz w:val="24"/>
                <w:highlight w:val="none"/>
                <w:lang w:bidi="ar"/>
              </w:rPr>
              <w:t>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6345">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合计（元）</w:t>
            </w:r>
          </w:p>
        </w:tc>
      </w:tr>
      <w:tr w14:paraId="373ABB72">
        <w:tblPrEx>
          <w:tblCellMar>
            <w:top w:w="0" w:type="dxa"/>
            <w:left w:w="108" w:type="dxa"/>
            <w:bottom w:w="0" w:type="dxa"/>
            <w:right w:w="108" w:type="dxa"/>
          </w:tblCellMar>
        </w:tblPrEx>
        <w:trPr>
          <w:trHeight w:val="858"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398D">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8F0A">
            <w:pPr>
              <w:keepNext w:val="0"/>
              <w:keepLines w:val="0"/>
              <w:widowControl/>
              <w:suppressLineNumbers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全自动智能氮吹仪</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E692">
            <w:pPr>
              <w:jc w:val="center"/>
              <w:rPr>
                <w:rFonts w:hint="eastAsia" w:ascii="宋体" w:hAnsi="宋体" w:eastAsia="宋体" w:cs="宋体"/>
                <w:color w:val="auto"/>
                <w:sz w:val="24"/>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58F2">
            <w:pPr>
              <w:jc w:val="center"/>
              <w:rPr>
                <w:rFonts w:hint="eastAsia" w:ascii="宋体" w:hAnsi="宋体" w:eastAsia="宋体" w:cs="宋体"/>
                <w:color w:val="auto"/>
                <w:sz w:val="24"/>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28E5">
            <w:pPr>
              <w:widowControl/>
              <w:jc w:val="center"/>
              <w:textAlignment w:val="center"/>
              <w:rPr>
                <w:rFonts w:hint="eastAsia" w:ascii="宋体" w:hAnsi="宋体" w:eastAsia="宋体" w:cs="宋体"/>
                <w:color w:val="auto"/>
                <w:sz w:val="24"/>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CCDB">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C4F">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230000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4659">
            <w:pPr>
              <w:jc w:val="center"/>
              <w:rPr>
                <w:rFonts w:hint="eastAsia" w:ascii="宋体" w:hAnsi="宋体" w:eastAsia="宋体" w:cs="宋体"/>
                <w:color w:val="auto"/>
                <w:sz w:val="24"/>
                <w:highlight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D7E0">
            <w:pPr>
              <w:jc w:val="center"/>
              <w:rPr>
                <w:rFonts w:hint="eastAsia" w:ascii="宋体" w:hAnsi="宋体" w:eastAsia="宋体" w:cs="宋体"/>
                <w:color w:val="auto"/>
                <w:sz w:val="24"/>
                <w:highlight w:val="none"/>
              </w:rPr>
            </w:pPr>
          </w:p>
        </w:tc>
      </w:tr>
      <w:tr w14:paraId="0B708BA6">
        <w:tblPrEx>
          <w:tblCellMar>
            <w:top w:w="0" w:type="dxa"/>
            <w:left w:w="108" w:type="dxa"/>
            <w:bottom w:w="0" w:type="dxa"/>
            <w:right w:w="108" w:type="dxa"/>
          </w:tblCellMar>
        </w:tblPrEx>
        <w:trPr>
          <w:trHeight w:val="858"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3072">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DA5E">
            <w:pPr>
              <w:keepNext w:val="0"/>
              <w:keepLines w:val="0"/>
              <w:widowControl/>
              <w:suppressLineNumbers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真空机械泵</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545D">
            <w:pPr>
              <w:jc w:val="center"/>
              <w:rPr>
                <w:rFonts w:hint="eastAsia" w:ascii="宋体" w:hAnsi="宋体" w:eastAsia="宋体" w:cs="宋体"/>
                <w:color w:val="auto"/>
                <w:sz w:val="24"/>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BA0">
            <w:pPr>
              <w:jc w:val="center"/>
              <w:rPr>
                <w:rFonts w:hint="eastAsia" w:ascii="宋体" w:hAnsi="宋体" w:eastAsia="宋体" w:cs="宋体"/>
                <w:color w:val="auto"/>
                <w:sz w:val="24"/>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E3D3">
            <w:pPr>
              <w:widowControl/>
              <w:jc w:val="center"/>
              <w:textAlignment w:val="center"/>
              <w:rPr>
                <w:rFonts w:hint="eastAsia" w:ascii="宋体" w:hAnsi="宋体" w:eastAsia="宋体" w:cs="宋体"/>
                <w:color w:val="auto"/>
                <w:sz w:val="24"/>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C292">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6ED3">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E648">
            <w:pPr>
              <w:jc w:val="center"/>
              <w:rPr>
                <w:rFonts w:hint="eastAsia" w:ascii="宋体" w:hAnsi="宋体" w:eastAsia="宋体" w:cs="宋体"/>
                <w:color w:val="auto"/>
                <w:sz w:val="24"/>
                <w:highlight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40C">
            <w:pPr>
              <w:jc w:val="center"/>
              <w:rPr>
                <w:rFonts w:hint="eastAsia" w:ascii="宋体" w:hAnsi="宋体" w:eastAsia="宋体" w:cs="宋体"/>
                <w:color w:val="auto"/>
                <w:sz w:val="24"/>
                <w:highlight w:val="none"/>
              </w:rPr>
            </w:pPr>
          </w:p>
        </w:tc>
      </w:tr>
      <w:tr w14:paraId="2AF6845C">
        <w:tblPrEx>
          <w:tblCellMar>
            <w:top w:w="0" w:type="dxa"/>
            <w:left w:w="108" w:type="dxa"/>
            <w:bottom w:w="0" w:type="dxa"/>
            <w:right w:w="108" w:type="dxa"/>
          </w:tblCellMar>
        </w:tblPrEx>
        <w:trPr>
          <w:trHeight w:val="614"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993E">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81AB">
            <w:pPr>
              <w:keepNext w:val="0"/>
              <w:keepLines w:val="0"/>
              <w:widowControl/>
              <w:suppressLineNumbers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涡旋震荡器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FF17">
            <w:pPr>
              <w:jc w:val="center"/>
              <w:rPr>
                <w:rFonts w:hint="eastAsia" w:ascii="宋体" w:hAnsi="宋体" w:eastAsia="宋体" w:cs="宋体"/>
                <w:color w:val="auto"/>
                <w:sz w:val="24"/>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E6DF">
            <w:pPr>
              <w:jc w:val="center"/>
              <w:rPr>
                <w:rFonts w:hint="eastAsia" w:ascii="宋体" w:hAnsi="宋体" w:eastAsia="宋体" w:cs="宋体"/>
                <w:color w:val="auto"/>
                <w:sz w:val="24"/>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255B">
            <w:pPr>
              <w:widowControl/>
              <w:jc w:val="center"/>
              <w:textAlignment w:val="center"/>
              <w:rPr>
                <w:rFonts w:hint="eastAsia" w:ascii="宋体" w:hAnsi="宋体" w:eastAsia="宋体" w:cs="宋体"/>
                <w:color w:val="auto"/>
                <w:sz w:val="24"/>
                <w:highlight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E438">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F5A2">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5D85">
            <w:pPr>
              <w:jc w:val="center"/>
              <w:rPr>
                <w:rFonts w:hint="eastAsia" w:ascii="宋体" w:hAnsi="宋体" w:eastAsia="宋体" w:cs="宋体"/>
                <w:color w:val="auto"/>
                <w:sz w:val="24"/>
                <w:highlight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0FFD">
            <w:pPr>
              <w:jc w:val="center"/>
              <w:rPr>
                <w:rFonts w:hint="eastAsia" w:ascii="宋体" w:hAnsi="宋体" w:eastAsia="宋体" w:cs="宋体"/>
                <w:color w:val="auto"/>
                <w:sz w:val="24"/>
                <w:highlight w:val="none"/>
              </w:rPr>
            </w:pPr>
          </w:p>
        </w:tc>
      </w:tr>
      <w:tr w14:paraId="74703DF1">
        <w:tblPrEx>
          <w:tblCellMar>
            <w:top w:w="0" w:type="dxa"/>
            <w:left w:w="108" w:type="dxa"/>
            <w:bottom w:w="0" w:type="dxa"/>
            <w:right w:w="108" w:type="dxa"/>
          </w:tblCellMar>
        </w:tblPrEx>
        <w:trPr>
          <w:trHeight w:val="614" w:hRule="atLeast"/>
        </w:trPr>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41D8E">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合计</w:t>
            </w:r>
          </w:p>
        </w:tc>
        <w:tc>
          <w:tcPr>
            <w:tcW w:w="62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B24C87">
            <w:pPr>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小写：    元       大写：    元整</w:t>
            </w:r>
          </w:p>
        </w:tc>
      </w:tr>
    </w:tbl>
    <w:p w14:paraId="34D992E2">
      <w:pPr>
        <w:spacing w:line="500" w:lineRule="exact"/>
        <w:ind w:firstLine="720" w:firstLineChars="300"/>
        <w:jc w:val="left"/>
        <w:rPr>
          <w:rFonts w:hint="eastAsia" w:ascii="宋体" w:hAnsi="宋体" w:eastAsia="宋体" w:cs="宋体"/>
          <w:bCs/>
          <w:color w:val="auto"/>
          <w:sz w:val="24"/>
          <w:highlight w:val="none"/>
        </w:rPr>
      </w:pPr>
    </w:p>
    <w:p w14:paraId="73BDA0B7">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1453025A">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lang w:val="en-US" w:eastAsia="zh-CN"/>
        </w:rPr>
      </w:pPr>
    </w:p>
    <w:p w14:paraId="42EF1851">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 ：                    （盖章）</w:t>
      </w:r>
    </w:p>
    <w:p w14:paraId="20A30325">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B7B851B">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10740698">
      <w:pPr>
        <w:keepNext w:val="0"/>
        <w:keepLines w:val="0"/>
        <w:pageBreakBefore w:val="0"/>
        <w:overflowPunct/>
        <w:topLinePunct w:val="0"/>
        <w:bidi w:val="0"/>
        <w:spacing w:beforeAutospacing="0" w:afterAutospacing="0" w:line="460" w:lineRule="exact"/>
        <w:ind w:left="0" w:leftChars="0" w:right="0" w:rightChars="0"/>
        <w:jc w:val="center"/>
        <w:outlineLvl w:val="1"/>
        <w:rPr>
          <w:rFonts w:hint="eastAsia" w:ascii="宋体" w:hAnsi="宋体" w:eastAsia="宋体" w:cs="宋体"/>
          <w:b/>
          <w:color w:val="auto"/>
          <w:sz w:val="28"/>
          <w:szCs w:val="30"/>
          <w:highlight w:val="none"/>
        </w:rPr>
      </w:pPr>
      <w:r>
        <w:rPr>
          <w:rFonts w:hint="eastAsia" w:ascii="宋体" w:hAnsi="宋体" w:eastAsia="宋体" w:cs="宋体"/>
          <w:b/>
          <w:color w:val="auto"/>
          <w:sz w:val="28"/>
          <w:highlight w:val="none"/>
        </w:rPr>
        <w:br w:type="page"/>
      </w:r>
      <w:bookmarkStart w:id="102" w:name="_Toc5912"/>
      <w:bookmarkStart w:id="103" w:name="_Toc31524"/>
      <w:r>
        <w:rPr>
          <w:rFonts w:hint="eastAsia" w:ascii="宋体" w:hAnsi="宋体" w:eastAsia="宋体" w:cs="宋体"/>
          <w:b/>
          <w:color w:val="auto"/>
          <w:sz w:val="28"/>
          <w:highlight w:val="none"/>
        </w:rPr>
        <w:t>五、</w:t>
      </w:r>
      <w:r>
        <w:rPr>
          <w:rFonts w:hint="eastAsia" w:ascii="宋体" w:hAnsi="宋体" w:eastAsia="宋体" w:cs="宋体"/>
          <w:b/>
          <w:color w:val="auto"/>
          <w:sz w:val="28"/>
          <w:szCs w:val="30"/>
          <w:highlight w:val="none"/>
        </w:rPr>
        <w:t>法定代表人（负责人）身份证明书</w:t>
      </w:r>
      <w:bookmarkEnd w:id="102"/>
      <w:bookmarkEnd w:id="103"/>
    </w:p>
    <w:p w14:paraId="513E23E0">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p w14:paraId="0C708C7A">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单位名称：</w:t>
      </w:r>
    </w:p>
    <w:p w14:paraId="1550F673">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类型：</w:t>
      </w:r>
    </w:p>
    <w:p w14:paraId="5DFE785D">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p>
    <w:p w14:paraId="120418B2">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营业期限：</w:t>
      </w:r>
    </w:p>
    <w:p w14:paraId="500041E9">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成立时间：</w:t>
      </w:r>
    </w:p>
    <w:p w14:paraId="0461B080">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u w:val="single"/>
        </w:rPr>
      </w:pPr>
    </w:p>
    <w:p w14:paraId="69B0E767">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姓名：性别：年龄：职务：</w:t>
      </w:r>
    </w:p>
    <w:p w14:paraId="6B0DFA36">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（投标单位名称）</w:t>
      </w:r>
      <w:r>
        <w:rPr>
          <w:rFonts w:hint="eastAsia" w:ascii="宋体" w:hAnsi="宋体" w:eastAsia="宋体" w:cs="宋体"/>
          <w:color w:val="auto"/>
          <w:sz w:val="24"/>
          <w:highlight w:val="none"/>
        </w:rPr>
        <w:t>的法定代表人（负责人）。</w:t>
      </w:r>
    </w:p>
    <w:p w14:paraId="0082BEBC">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p>
    <w:p w14:paraId="5AA0443B">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0"/>
        <w:gridCol w:w="3969"/>
      </w:tblGrid>
      <w:tr w14:paraId="51D9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4050" w:type="dxa"/>
            <w:noWrap w:val="0"/>
            <w:vAlign w:val="top"/>
          </w:tcPr>
          <w:p w14:paraId="5AE10690">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p>
          <w:p w14:paraId="26A4FCC7">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p>
          <w:p w14:paraId="169DB893">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法定代表人身份证正面</w:t>
            </w:r>
          </w:p>
        </w:tc>
        <w:tc>
          <w:tcPr>
            <w:tcW w:w="3969" w:type="dxa"/>
            <w:noWrap w:val="0"/>
            <w:vAlign w:val="top"/>
          </w:tcPr>
          <w:p w14:paraId="252D29B7">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p>
          <w:p w14:paraId="3F0444C4">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p>
          <w:p w14:paraId="68945E64">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法定代表人身份证反面</w:t>
            </w:r>
          </w:p>
        </w:tc>
      </w:tr>
    </w:tbl>
    <w:p w14:paraId="3245777B">
      <w:pPr>
        <w:keepNext w:val="0"/>
        <w:keepLines w:val="0"/>
        <w:pageBreakBefore w:val="0"/>
        <w:wordWrap w:val="0"/>
        <w:overflowPunct/>
        <w:topLinePunct w:val="0"/>
        <w:bidi w:val="0"/>
        <w:spacing w:beforeAutospacing="0" w:afterAutospacing="0" w:line="460" w:lineRule="exact"/>
        <w:ind w:left="0" w:leftChars="0" w:right="0" w:rightChars="0"/>
        <w:jc w:val="right"/>
        <w:rPr>
          <w:rFonts w:hint="eastAsia" w:ascii="宋体" w:hAnsi="宋体" w:eastAsia="宋体" w:cs="宋体"/>
          <w:color w:val="auto"/>
          <w:sz w:val="24"/>
          <w:highlight w:val="none"/>
        </w:rPr>
      </w:pPr>
    </w:p>
    <w:p w14:paraId="212AF101">
      <w:pPr>
        <w:keepNext w:val="0"/>
        <w:keepLines w:val="0"/>
        <w:pageBreakBefore w:val="0"/>
        <w:overflowPunct/>
        <w:topLinePunct w:val="0"/>
        <w:bidi w:val="0"/>
        <w:spacing w:beforeAutospacing="0" w:afterAutospacing="0" w:line="460" w:lineRule="exact"/>
        <w:ind w:left="0" w:leftChars="0" w:right="0" w:rightChars="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投标人：（盖章）</w:t>
      </w:r>
    </w:p>
    <w:p w14:paraId="47FFBBEB">
      <w:pPr>
        <w:keepNext w:val="0"/>
        <w:keepLines w:val="0"/>
        <w:pageBreakBefore w:val="0"/>
        <w:overflowPunct/>
        <w:topLinePunct w:val="0"/>
        <w:bidi w:val="0"/>
        <w:spacing w:beforeAutospacing="0" w:afterAutospacing="0" w:line="460" w:lineRule="exact"/>
        <w:ind w:left="0" w:leftChars="0" w:right="0" w:right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14:paraId="019578A7">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46034FC2">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389D0189">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1FB4A051">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66F72867">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50C595AA">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5B5E3C18">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34827E38">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777276FC">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szCs w:val="30"/>
          <w:highlight w:val="none"/>
        </w:rPr>
      </w:pPr>
    </w:p>
    <w:p w14:paraId="0AC2CBEC">
      <w:pPr>
        <w:keepNext w:val="0"/>
        <w:keepLines w:val="0"/>
        <w:pageBreakBefore w:val="0"/>
        <w:overflowPunct/>
        <w:topLinePunct w:val="0"/>
        <w:bidi w:val="0"/>
        <w:spacing w:beforeAutospacing="0" w:afterAutospacing="0" w:line="460" w:lineRule="exact"/>
        <w:ind w:left="0" w:leftChars="0" w:right="0" w:rightChars="0"/>
        <w:jc w:val="center"/>
        <w:outlineLvl w:val="1"/>
        <w:rPr>
          <w:rFonts w:hint="eastAsia" w:ascii="宋体" w:hAnsi="宋体" w:eastAsia="宋体" w:cs="宋体"/>
          <w:b/>
          <w:color w:val="auto"/>
          <w:sz w:val="28"/>
          <w:szCs w:val="30"/>
          <w:highlight w:val="none"/>
        </w:rPr>
      </w:pPr>
      <w:bookmarkStart w:id="104" w:name="_Toc5444"/>
      <w:bookmarkStart w:id="105" w:name="_Toc15453"/>
      <w:r>
        <w:rPr>
          <w:rFonts w:hint="eastAsia" w:ascii="宋体" w:hAnsi="宋体" w:eastAsia="宋体" w:cs="宋体"/>
          <w:b/>
          <w:color w:val="auto"/>
          <w:sz w:val="28"/>
          <w:szCs w:val="28"/>
          <w:highlight w:val="none"/>
        </w:rPr>
        <w:t>六、</w:t>
      </w:r>
      <w:r>
        <w:rPr>
          <w:rFonts w:hint="eastAsia" w:ascii="宋体" w:hAnsi="宋体" w:eastAsia="宋体" w:cs="宋体"/>
          <w:b/>
          <w:color w:val="auto"/>
          <w:sz w:val="28"/>
          <w:szCs w:val="30"/>
          <w:highlight w:val="none"/>
        </w:rPr>
        <w:t>法定代表人授权书格式</w:t>
      </w:r>
      <w:bookmarkEnd w:id="104"/>
      <w:bookmarkEnd w:id="105"/>
    </w:p>
    <w:p w14:paraId="338F259D">
      <w:pPr>
        <w:keepNext w:val="0"/>
        <w:keepLines w:val="0"/>
        <w:pageBreakBefore w:val="0"/>
        <w:overflowPunct/>
        <w:topLinePunct w:val="0"/>
        <w:bidi w:val="0"/>
        <w:spacing w:beforeAutospacing="0" w:afterAutospacing="0" w:line="460" w:lineRule="exact"/>
        <w:ind w:left="0" w:leftChars="0" w:right="0" w:rightChars="0"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本授权书声明：注册于</w:t>
      </w:r>
      <w:r>
        <w:rPr>
          <w:rFonts w:hint="eastAsia" w:ascii="宋体" w:hAnsi="宋体" w:eastAsia="宋体" w:cs="宋体"/>
          <w:color w:val="auto"/>
          <w:sz w:val="24"/>
          <w:highlight w:val="none"/>
          <w:u w:val="single"/>
        </w:rPr>
        <w:t>（地区的名称）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在下面签字的法定代表人（负责人）</w:t>
      </w:r>
      <w:r>
        <w:rPr>
          <w:rFonts w:hint="eastAsia" w:ascii="宋体" w:hAnsi="宋体" w:eastAsia="宋体" w:cs="宋体"/>
          <w:color w:val="auto"/>
          <w:sz w:val="24"/>
          <w:highlight w:val="none"/>
          <w:u w:val="single"/>
        </w:rPr>
        <w:t>（姓名、职务、身份证号码），</w:t>
      </w:r>
      <w:r>
        <w:rPr>
          <w:rFonts w:hint="eastAsia" w:ascii="宋体" w:hAnsi="宋体" w:eastAsia="宋体" w:cs="宋体"/>
          <w:color w:val="auto"/>
          <w:sz w:val="24"/>
          <w:highlight w:val="none"/>
        </w:rPr>
        <w:t>代表本公司授权在下面签字的</w:t>
      </w:r>
      <w:r>
        <w:rPr>
          <w:rFonts w:hint="eastAsia" w:ascii="宋体" w:hAnsi="宋体" w:eastAsia="宋体" w:cs="宋体"/>
          <w:color w:val="auto"/>
          <w:sz w:val="24"/>
          <w:highlight w:val="none"/>
          <w:u w:val="single"/>
        </w:rPr>
        <w:t>（被授权人的姓名、职务、身份证号码）</w:t>
      </w:r>
      <w:r>
        <w:rPr>
          <w:rFonts w:hint="eastAsia" w:ascii="宋体" w:hAnsi="宋体" w:eastAsia="宋体" w:cs="宋体"/>
          <w:color w:val="auto"/>
          <w:sz w:val="24"/>
          <w:highlight w:val="none"/>
        </w:rPr>
        <w:t>为本公司的合法代理人，就</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rPr>
        <w:t>/</w:t>
      </w:r>
      <w:r>
        <w:rPr>
          <w:rFonts w:hint="eastAsia" w:ascii="宋体" w:hAnsi="宋体" w:eastAsia="宋体" w:cs="宋体"/>
          <w:color w:val="auto"/>
          <w:sz w:val="24"/>
          <w:highlight w:val="none"/>
          <w:u w:val="single"/>
        </w:rPr>
        <w:t>编号）</w:t>
      </w:r>
      <w:r>
        <w:rPr>
          <w:rFonts w:hint="eastAsia" w:ascii="宋体" w:hAnsi="宋体" w:eastAsia="宋体" w:cs="宋体"/>
          <w:color w:val="auto"/>
          <w:sz w:val="24"/>
          <w:highlight w:val="none"/>
        </w:rPr>
        <w:t>的投标，以本公司的名义处理一切与之有关的事务。</w:t>
      </w:r>
    </w:p>
    <w:p w14:paraId="2AAE3685">
      <w:pPr>
        <w:keepNext w:val="0"/>
        <w:keepLines w:val="0"/>
        <w:pageBreakBefore w:val="0"/>
        <w:overflowPunct/>
        <w:topLinePunct w:val="0"/>
        <w:bidi w:val="0"/>
        <w:spacing w:beforeAutospacing="0" w:afterAutospacing="0" w:line="460" w:lineRule="exact"/>
        <w:ind w:left="0" w:leftChars="0" w:right="0" w:rightChars="0"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本授权书于20</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年月日签字生效，特此声明。</w:t>
      </w:r>
    </w:p>
    <w:tbl>
      <w:tblPr>
        <w:tblStyle w:val="3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1"/>
        <w:gridCol w:w="4465"/>
      </w:tblGrid>
      <w:tr w14:paraId="6154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4181" w:type="dxa"/>
            <w:noWrap w:val="0"/>
            <w:vAlign w:val="top"/>
          </w:tcPr>
          <w:p w14:paraId="339F8F4E">
            <w:pPr>
              <w:keepNext w:val="0"/>
              <w:keepLines w:val="0"/>
              <w:pageBreakBefore w:val="0"/>
              <w:overflowPunct/>
              <w:topLinePunct w:val="0"/>
              <w:bidi w:val="0"/>
              <w:spacing w:beforeAutospacing="0" w:afterAutospacing="0" w:line="460" w:lineRule="exact"/>
              <w:ind w:left="0" w:leftChars="0" w:right="0" w:rightChars="0" w:firstLine="435"/>
              <w:jc w:val="center"/>
              <w:rPr>
                <w:rFonts w:hint="eastAsia" w:ascii="宋体" w:hAnsi="宋体" w:eastAsia="宋体" w:cs="宋体"/>
                <w:color w:val="auto"/>
                <w:sz w:val="24"/>
                <w:highlight w:val="none"/>
              </w:rPr>
            </w:pPr>
          </w:p>
          <w:p w14:paraId="4ED9E91A">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法定代表人（负责人）身份证正面</w:t>
            </w:r>
          </w:p>
        </w:tc>
        <w:tc>
          <w:tcPr>
            <w:tcW w:w="4465" w:type="dxa"/>
            <w:noWrap w:val="0"/>
            <w:vAlign w:val="top"/>
          </w:tcPr>
          <w:p w14:paraId="78BB1A45">
            <w:pPr>
              <w:keepNext w:val="0"/>
              <w:keepLines w:val="0"/>
              <w:pageBreakBefore w:val="0"/>
              <w:overflowPunct/>
              <w:topLinePunct w:val="0"/>
              <w:bidi w:val="0"/>
              <w:spacing w:beforeAutospacing="0" w:afterAutospacing="0" w:line="460" w:lineRule="exact"/>
              <w:ind w:left="0" w:leftChars="0" w:right="0" w:rightChars="0" w:firstLine="435"/>
              <w:jc w:val="center"/>
              <w:rPr>
                <w:rFonts w:hint="eastAsia" w:ascii="宋体" w:hAnsi="宋体" w:eastAsia="宋体" w:cs="宋体"/>
                <w:color w:val="auto"/>
                <w:sz w:val="24"/>
                <w:highlight w:val="none"/>
              </w:rPr>
            </w:pPr>
          </w:p>
          <w:p w14:paraId="69C04D7D">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法定代表人（负责人）身份证反面</w:t>
            </w:r>
          </w:p>
        </w:tc>
      </w:tr>
    </w:tbl>
    <w:p w14:paraId="6BE32633">
      <w:pPr>
        <w:keepNext w:val="0"/>
        <w:keepLines w:val="0"/>
        <w:pageBreakBefore w:val="0"/>
        <w:overflowPunct/>
        <w:topLinePunct w:val="0"/>
        <w:bidi w:val="0"/>
        <w:spacing w:beforeAutospacing="0" w:afterAutospacing="0" w:line="460" w:lineRule="exact"/>
        <w:ind w:left="0" w:leftChars="0" w:right="0" w:rightChars="0" w:firstLine="435"/>
        <w:jc w:val="center"/>
        <w:rPr>
          <w:rFonts w:hint="eastAsia" w:ascii="宋体" w:hAnsi="宋体" w:eastAsia="宋体" w:cs="宋体"/>
          <w:color w:val="auto"/>
          <w:sz w:val="24"/>
          <w:highlight w:val="none"/>
        </w:rPr>
      </w:pPr>
    </w:p>
    <w:tbl>
      <w:tblPr>
        <w:tblStyle w:val="3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7"/>
        <w:gridCol w:w="4451"/>
      </w:tblGrid>
      <w:tr w14:paraId="1F91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217" w:type="dxa"/>
            <w:noWrap w:val="0"/>
            <w:vAlign w:val="top"/>
          </w:tcPr>
          <w:p w14:paraId="100B1C38">
            <w:pPr>
              <w:keepNext w:val="0"/>
              <w:keepLines w:val="0"/>
              <w:pageBreakBefore w:val="0"/>
              <w:overflowPunct/>
              <w:topLinePunct w:val="0"/>
              <w:bidi w:val="0"/>
              <w:spacing w:beforeAutospacing="0" w:afterAutospacing="0" w:line="460" w:lineRule="exact"/>
              <w:ind w:left="0" w:leftChars="0" w:right="0" w:rightChars="0" w:firstLine="435"/>
              <w:jc w:val="center"/>
              <w:rPr>
                <w:rFonts w:hint="eastAsia" w:ascii="宋体" w:hAnsi="宋体" w:eastAsia="宋体" w:cs="宋体"/>
                <w:color w:val="auto"/>
                <w:sz w:val="24"/>
                <w:highlight w:val="none"/>
              </w:rPr>
            </w:pPr>
          </w:p>
          <w:p w14:paraId="178557F9">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被授权人身份证正面</w:t>
            </w:r>
          </w:p>
        </w:tc>
        <w:tc>
          <w:tcPr>
            <w:tcW w:w="4451" w:type="dxa"/>
            <w:noWrap w:val="0"/>
            <w:vAlign w:val="top"/>
          </w:tcPr>
          <w:p w14:paraId="091BD191">
            <w:pPr>
              <w:keepNext w:val="0"/>
              <w:keepLines w:val="0"/>
              <w:pageBreakBefore w:val="0"/>
              <w:overflowPunct/>
              <w:topLinePunct w:val="0"/>
              <w:bidi w:val="0"/>
              <w:spacing w:beforeAutospacing="0" w:afterAutospacing="0" w:line="460" w:lineRule="exact"/>
              <w:ind w:left="0" w:leftChars="0" w:right="0" w:rightChars="0" w:firstLine="435"/>
              <w:jc w:val="center"/>
              <w:rPr>
                <w:rFonts w:hint="eastAsia" w:ascii="宋体" w:hAnsi="宋体" w:eastAsia="宋体" w:cs="宋体"/>
                <w:color w:val="auto"/>
                <w:sz w:val="24"/>
                <w:highlight w:val="none"/>
              </w:rPr>
            </w:pPr>
          </w:p>
          <w:p w14:paraId="30BADA5F">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被授权人身份证反面</w:t>
            </w:r>
          </w:p>
        </w:tc>
      </w:tr>
    </w:tbl>
    <w:p w14:paraId="0F9217A1">
      <w:pPr>
        <w:keepNext w:val="0"/>
        <w:keepLines w:val="0"/>
        <w:pageBreakBefore w:val="0"/>
        <w:overflowPunct/>
        <w:topLinePunct w:val="0"/>
        <w:bidi w:val="0"/>
        <w:spacing w:beforeAutospacing="0" w:afterAutospacing="0" w:line="460" w:lineRule="exact"/>
        <w:ind w:left="0" w:leftChars="0" w:right="0" w:rightChars="0" w:firstLine="480" w:firstLineChars="200"/>
        <w:rPr>
          <w:rFonts w:hint="eastAsia" w:ascii="宋体" w:hAnsi="宋体" w:eastAsia="宋体" w:cs="宋体"/>
          <w:color w:val="auto"/>
          <w:sz w:val="24"/>
          <w:highlight w:val="none"/>
        </w:rPr>
      </w:pPr>
    </w:p>
    <w:p w14:paraId="7D665E81">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投标人 ：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（盖章）</w:t>
      </w:r>
    </w:p>
    <w:p w14:paraId="05F360A5">
      <w:pPr>
        <w:keepNext w:val="0"/>
        <w:keepLines w:val="0"/>
        <w:pageBreakBefore w:val="0"/>
        <w:overflowPunct/>
        <w:topLinePunct w:val="0"/>
        <w:bidi w:val="0"/>
        <w:spacing w:beforeAutospacing="0" w:afterAutospacing="0" w:line="460" w:lineRule="exact"/>
        <w:ind w:left="0" w:leftChars="0" w:right="0" w:rightChars="0" w:firstLine="480" w:firstLineChars="200"/>
        <w:jc w:val="center"/>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 xml:space="preserve">(负责人) </w:t>
      </w:r>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0196331">
      <w:pPr>
        <w:keepNext w:val="0"/>
        <w:keepLines w:val="0"/>
        <w:pageBreakBefore w:val="0"/>
        <w:overflowPunct/>
        <w:topLinePunct w:val="0"/>
        <w:bidi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rPr>
      </w:pPr>
    </w:p>
    <w:p w14:paraId="27EE41D1">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4986A70E">
      <w:pPr>
        <w:keepNext w:val="0"/>
        <w:keepLines w:val="0"/>
        <w:pageBreakBefore w:val="0"/>
        <w:overflowPunct/>
        <w:topLinePunct w:val="0"/>
        <w:bidi w:val="0"/>
        <w:adjustRightInd w:val="0"/>
        <w:snapToGrid w:val="0"/>
        <w:spacing w:beforeAutospacing="0" w:afterAutospacing="0" w:line="460" w:lineRule="exact"/>
        <w:ind w:left="0" w:leftChars="0" w:right="0" w:rightChars="0" w:firstLine="562" w:firstLineChars="200"/>
        <w:jc w:val="center"/>
        <w:outlineLvl w:val="9"/>
        <w:rPr>
          <w:rFonts w:hint="eastAsia" w:ascii="宋体" w:hAnsi="宋体" w:eastAsia="宋体" w:cs="宋体"/>
          <w:b/>
          <w:color w:val="auto"/>
          <w:sz w:val="28"/>
          <w:highlight w:val="none"/>
        </w:rPr>
      </w:pPr>
    </w:p>
    <w:bookmarkEnd w:id="92"/>
    <w:p w14:paraId="5B4C23ED">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注：本授权书在开标会现场携带一份，同时投标文件中也必须附有。</w:t>
      </w:r>
    </w:p>
    <w:p w14:paraId="46EB593F">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sz w:val="24"/>
          <w:szCs w:val="24"/>
          <w:highlight w:val="none"/>
        </w:rPr>
        <w:sectPr>
          <w:footerReference r:id="rId7" w:type="default"/>
          <w:pgSz w:w="11910" w:h="16840"/>
          <w:pgMar w:top="1587" w:right="1984" w:bottom="1474" w:left="2098" w:header="720" w:footer="720" w:gutter="0"/>
          <w:pgNumType w:fmt="decimal"/>
          <w:cols w:space="720" w:num="1"/>
        </w:sectPr>
      </w:pPr>
    </w:p>
    <w:p w14:paraId="7C7D0275">
      <w:pPr>
        <w:keepNext w:val="0"/>
        <w:keepLines w:val="0"/>
        <w:pageBreakBefore w:val="0"/>
        <w:overflowPunct/>
        <w:topLinePunct w:val="0"/>
        <w:bidi w:val="0"/>
        <w:adjustRightInd w:val="0"/>
        <w:snapToGrid w:val="0"/>
        <w:spacing w:beforeAutospacing="0" w:afterAutospacing="0" w:line="460" w:lineRule="exact"/>
        <w:ind w:left="0" w:leftChars="0" w:right="0" w:rightChars="0" w:firstLine="562" w:firstLineChars="200"/>
        <w:jc w:val="center"/>
        <w:outlineLvl w:val="1"/>
        <w:rPr>
          <w:rFonts w:hint="eastAsia" w:ascii="宋体" w:hAnsi="宋体" w:eastAsia="宋体" w:cs="宋体"/>
          <w:b/>
          <w:color w:val="auto"/>
          <w:sz w:val="15"/>
          <w:highlight w:val="none"/>
        </w:rPr>
      </w:pPr>
      <w:bookmarkStart w:id="106" w:name="_bookmark15"/>
      <w:bookmarkEnd w:id="106"/>
      <w:bookmarkStart w:id="107" w:name="_Toc19862"/>
      <w:bookmarkStart w:id="108" w:name="_Toc17008"/>
      <w:bookmarkStart w:id="109" w:name="_Toc2071"/>
      <w:bookmarkStart w:id="110" w:name="_Toc25816"/>
      <w:r>
        <w:rPr>
          <w:rFonts w:hint="eastAsia" w:ascii="宋体" w:hAnsi="宋体" w:eastAsia="宋体" w:cs="宋体"/>
          <w:b/>
          <w:color w:val="auto"/>
          <w:sz w:val="28"/>
          <w:highlight w:val="none"/>
          <w:lang w:val="en-US"/>
        </w:rPr>
        <w:t>七、</w:t>
      </w:r>
      <w:r>
        <w:rPr>
          <w:rFonts w:hint="eastAsia" w:ascii="宋体" w:hAnsi="宋体" w:eastAsia="宋体" w:cs="宋体"/>
          <w:b/>
          <w:color w:val="auto"/>
          <w:sz w:val="28"/>
          <w:highlight w:val="none"/>
        </w:rPr>
        <w:t>投标人资格说明</w:t>
      </w:r>
      <w:bookmarkEnd w:id="107"/>
      <w:bookmarkEnd w:id="108"/>
      <w:bookmarkEnd w:id="109"/>
    </w:p>
    <w:p w14:paraId="704675CD">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7-1 </w:t>
      </w:r>
      <w:r>
        <w:rPr>
          <w:rFonts w:hint="eastAsia" w:ascii="宋体" w:hAnsi="宋体" w:eastAsia="宋体" w:cs="宋体"/>
          <w:b/>
          <w:bCs/>
          <w:color w:val="auto"/>
          <w:highlight w:val="none"/>
          <w:lang w:val="en-US"/>
        </w:rPr>
        <w:t xml:space="preserve"> 投标人情况介绍表</w:t>
      </w:r>
    </w:p>
    <w:tbl>
      <w:tblPr>
        <w:tblStyle w:val="33"/>
        <w:tblpPr w:leftFromText="180" w:rightFromText="180" w:vertAnchor="text" w:horzAnchor="page" w:tblpXSpec="center" w:tblpY="431"/>
        <w:tblOverlap w:val="never"/>
        <w:tblW w:w="8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4"/>
        <w:gridCol w:w="1050"/>
        <w:gridCol w:w="1254"/>
        <w:gridCol w:w="1187"/>
        <w:gridCol w:w="1104"/>
        <w:gridCol w:w="636"/>
        <w:gridCol w:w="360"/>
        <w:gridCol w:w="1322"/>
      </w:tblGrid>
      <w:tr w14:paraId="4A3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noWrap w:val="0"/>
            <w:vAlign w:val="center"/>
          </w:tcPr>
          <w:p w14:paraId="0D2D2CE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6913" w:type="dxa"/>
            <w:gridSpan w:val="7"/>
            <w:noWrap w:val="0"/>
            <w:vAlign w:val="center"/>
          </w:tcPr>
          <w:p w14:paraId="4B99EC1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r>
      <w:tr w14:paraId="526EA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noWrap w:val="0"/>
            <w:vAlign w:val="center"/>
          </w:tcPr>
          <w:p w14:paraId="6ECF5B7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6913" w:type="dxa"/>
            <w:gridSpan w:val="7"/>
            <w:noWrap w:val="0"/>
            <w:vAlign w:val="center"/>
          </w:tcPr>
          <w:p w14:paraId="3334F86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r>
      <w:tr w14:paraId="1475B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14" w:type="dxa"/>
            <w:noWrap w:val="0"/>
            <w:vAlign w:val="center"/>
          </w:tcPr>
          <w:p w14:paraId="49C0131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w:t>
            </w:r>
          </w:p>
        </w:tc>
        <w:tc>
          <w:tcPr>
            <w:tcW w:w="1050" w:type="dxa"/>
            <w:noWrap w:val="0"/>
            <w:vAlign w:val="center"/>
          </w:tcPr>
          <w:p w14:paraId="4099ACD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254" w:type="dxa"/>
            <w:noWrap w:val="0"/>
            <w:vAlign w:val="center"/>
          </w:tcPr>
          <w:p w14:paraId="080EDEF3">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1187" w:type="dxa"/>
            <w:noWrap w:val="0"/>
            <w:vAlign w:val="center"/>
          </w:tcPr>
          <w:p w14:paraId="1A275CB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740" w:type="dxa"/>
            <w:gridSpan w:val="2"/>
            <w:noWrap w:val="0"/>
            <w:vAlign w:val="center"/>
          </w:tcPr>
          <w:p w14:paraId="1114561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82" w:type="dxa"/>
            <w:gridSpan w:val="2"/>
            <w:noWrap w:val="0"/>
            <w:vAlign w:val="center"/>
          </w:tcPr>
          <w:p w14:paraId="249EF88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r>
      <w:tr w14:paraId="49B9D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noWrap w:val="0"/>
            <w:vAlign w:val="center"/>
          </w:tcPr>
          <w:p w14:paraId="7A9F97D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经济类型</w:t>
            </w:r>
          </w:p>
        </w:tc>
        <w:tc>
          <w:tcPr>
            <w:tcW w:w="1050" w:type="dxa"/>
            <w:noWrap w:val="0"/>
            <w:vAlign w:val="center"/>
          </w:tcPr>
          <w:p w14:paraId="3AC79E4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254" w:type="dxa"/>
            <w:noWrap w:val="0"/>
            <w:vAlign w:val="center"/>
          </w:tcPr>
          <w:p w14:paraId="6EF74B8D">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1187" w:type="dxa"/>
            <w:noWrap w:val="0"/>
            <w:vAlign w:val="center"/>
          </w:tcPr>
          <w:p w14:paraId="7449E2FC">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740" w:type="dxa"/>
            <w:gridSpan w:val="2"/>
            <w:noWrap w:val="0"/>
            <w:vAlign w:val="center"/>
          </w:tcPr>
          <w:p w14:paraId="49A697D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82" w:type="dxa"/>
            <w:gridSpan w:val="2"/>
            <w:noWrap w:val="0"/>
            <w:vAlign w:val="center"/>
          </w:tcPr>
          <w:p w14:paraId="21DB422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r>
      <w:tr w14:paraId="0D274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noWrap w:val="0"/>
            <w:vAlign w:val="center"/>
          </w:tcPr>
          <w:p w14:paraId="687128C2">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1050" w:type="dxa"/>
            <w:noWrap w:val="0"/>
            <w:vAlign w:val="center"/>
          </w:tcPr>
          <w:p w14:paraId="6D75471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254" w:type="dxa"/>
            <w:noWrap w:val="0"/>
            <w:vAlign w:val="center"/>
          </w:tcPr>
          <w:p w14:paraId="190F244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187" w:type="dxa"/>
            <w:noWrap w:val="0"/>
            <w:vAlign w:val="center"/>
          </w:tcPr>
          <w:p w14:paraId="5994E29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740" w:type="dxa"/>
            <w:gridSpan w:val="2"/>
            <w:noWrap w:val="0"/>
            <w:vAlign w:val="center"/>
          </w:tcPr>
          <w:p w14:paraId="6B9BA71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682" w:type="dxa"/>
            <w:gridSpan w:val="2"/>
            <w:noWrap w:val="0"/>
            <w:vAlign w:val="center"/>
          </w:tcPr>
          <w:p w14:paraId="73BE464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r>
      <w:tr w14:paraId="2161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14" w:type="dxa"/>
            <w:noWrap w:val="0"/>
            <w:vAlign w:val="center"/>
          </w:tcPr>
          <w:p w14:paraId="533449F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单位简介及机构设置</w:t>
            </w:r>
          </w:p>
        </w:tc>
        <w:tc>
          <w:tcPr>
            <w:tcW w:w="6913" w:type="dxa"/>
            <w:gridSpan w:val="7"/>
            <w:noWrap w:val="0"/>
            <w:vAlign w:val="center"/>
          </w:tcPr>
          <w:p w14:paraId="256AA98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r>
      <w:tr w14:paraId="17928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14" w:type="dxa"/>
            <w:vMerge w:val="restart"/>
            <w:noWrap w:val="0"/>
            <w:vAlign w:val="center"/>
          </w:tcPr>
          <w:p w14:paraId="7A3CAFC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单位概况</w:t>
            </w:r>
          </w:p>
        </w:tc>
        <w:tc>
          <w:tcPr>
            <w:tcW w:w="1050" w:type="dxa"/>
            <w:noWrap w:val="0"/>
            <w:vAlign w:val="center"/>
          </w:tcPr>
          <w:p w14:paraId="0862B8B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1254" w:type="dxa"/>
            <w:noWrap w:val="0"/>
            <w:vAlign w:val="center"/>
          </w:tcPr>
          <w:p w14:paraId="58D0058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center"/>
          </w:tcPr>
          <w:p w14:paraId="102D72EC">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3422" w:type="dxa"/>
            <w:gridSpan w:val="4"/>
            <w:noWrap w:val="0"/>
            <w:vAlign w:val="center"/>
          </w:tcPr>
          <w:p w14:paraId="663E894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w w:val="99"/>
                <w:position w:val="-10"/>
                <w:sz w:val="24"/>
                <w:szCs w:val="24"/>
                <w:highlight w:val="none"/>
              </w:rPr>
              <w:t>M</w:t>
            </w:r>
            <w:r>
              <w:rPr>
                <w:rFonts w:hint="eastAsia" w:ascii="宋体" w:hAnsi="宋体" w:eastAsia="宋体" w:cs="宋体"/>
                <w:color w:val="auto"/>
                <w:w w:val="106"/>
                <w:sz w:val="24"/>
                <w:szCs w:val="24"/>
                <w:highlight w:val="none"/>
              </w:rPr>
              <w:t>2</w:t>
            </w:r>
          </w:p>
        </w:tc>
      </w:tr>
      <w:tr w14:paraId="3A7D6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Merge w:val="continue"/>
            <w:tcBorders>
              <w:top w:val="nil"/>
            </w:tcBorders>
            <w:noWrap w:val="0"/>
            <w:vAlign w:val="center"/>
          </w:tcPr>
          <w:p w14:paraId="55269FB1">
            <w:pPr>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050" w:type="dxa"/>
            <w:noWrap w:val="0"/>
            <w:vAlign w:val="center"/>
          </w:tcPr>
          <w:p w14:paraId="402F855A">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1254" w:type="dxa"/>
            <w:noWrap w:val="0"/>
            <w:vAlign w:val="center"/>
          </w:tcPr>
          <w:p w14:paraId="7D9BB93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人</w:t>
            </w:r>
          </w:p>
        </w:tc>
        <w:tc>
          <w:tcPr>
            <w:tcW w:w="1187" w:type="dxa"/>
            <w:noWrap w:val="0"/>
            <w:vAlign w:val="center"/>
          </w:tcPr>
          <w:p w14:paraId="152D715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3422" w:type="dxa"/>
            <w:gridSpan w:val="4"/>
            <w:noWrap w:val="0"/>
            <w:vAlign w:val="center"/>
          </w:tcPr>
          <w:p w14:paraId="230BBF8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w w:val="99"/>
                <w:position w:val="-10"/>
                <w:sz w:val="24"/>
                <w:szCs w:val="24"/>
                <w:highlight w:val="none"/>
              </w:rPr>
              <w:t>M</w:t>
            </w:r>
            <w:r>
              <w:rPr>
                <w:rFonts w:hint="eastAsia" w:ascii="宋体" w:hAnsi="宋体" w:eastAsia="宋体" w:cs="宋体"/>
                <w:color w:val="auto"/>
                <w:w w:val="106"/>
                <w:sz w:val="24"/>
                <w:szCs w:val="24"/>
                <w:highlight w:val="none"/>
              </w:rPr>
              <w:t>2</w:t>
            </w:r>
          </w:p>
        </w:tc>
      </w:tr>
      <w:tr w14:paraId="5C0E2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14" w:type="dxa"/>
            <w:vMerge w:val="continue"/>
            <w:tcBorders>
              <w:top w:val="nil"/>
            </w:tcBorders>
            <w:noWrap w:val="0"/>
            <w:vAlign w:val="center"/>
          </w:tcPr>
          <w:p w14:paraId="4EA10C17">
            <w:pPr>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050" w:type="dxa"/>
            <w:vMerge w:val="restart"/>
            <w:noWrap w:val="0"/>
            <w:vAlign w:val="center"/>
          </w:tcPr>
          <w:p w14:paraId="4F4C252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b/>
                <w:color w:val="auto"/>
                <w:sz w:val="24"/>
                <w:szCs w:val="24"/>
                <w:highlight w:val="none"/>
              </w:rPr>
            </w:pPr>
          </w:p>
          <w:p w14:paraId="0214E4E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资产情况</w:t>
            </w:r>
          </w:p>
        </w:tc>
        <w:tc>
          <w:tcPr>
            <w:tcW w:w="1254" w:type="dxa"/>
            <w:noWrap w:val="0"/>
            <w:vAlign w:val="center"/>
          </w:tcPr>
          <w:p w14:paraId="26422B3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净资产</w:t>
            </w:r>
          </w:p>
        </w:tc>
        <w:tc>
          <w:tcPr>
            <w:tcW w:w="1187" w:type="dxa"/>
            <w:noWrap w:val="0"/>
            <w:vAlign w:val="center"/>
          </w:tcPr>
          <w:p w14:paraId="1FDA1D5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3422" w:type="dxa"/>
            <w:gridSpan w:val="4"/>
            <w:noWrap w:val="0"/>
            <w:vAlign w:val="center"/>
          </w:tcPr>
          <w:p w14:paraId="1936754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固定资产原值</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万元</w:t>
            </w:r>
          </w:p>
        </w:tc>
      </w:tr>
      <w:tr w14:paraId="42740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Merge w:val="continue"/>
            <w:tcBorders>
              <w:top w:val="nil"/>
            </w:tcBorders>
            <w:noWrap w:val="0"/>
            <w:vAlign w:val="center"/>
          </w:tcPr>
          <w:p w14:paraId="7F554FE9">
            <w:pPr>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050" w:type="dxa"/>
            <w:vMerge w:val="continue"/>
            <w:tcBorders>
              <w:top w:val="nil"/>
            </w:tcBorders>
            <w:noWrap w:val="0"/>
            <w:vAlign w:val="center"/>
          </w:tcPr>
          <w:p w14:paraId="078B15BA">
            <w:pPr>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254" w:type="dxa"/>
            <w:noWrap w:val="0"/>
            <w:vAlign w:val="center"/>
          </w:tcPr>
          <w:p w14:paraId="67AD29E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负债</w:t>
            </w:r>
          </w:p>
        </w:tc>
        <w:tc>
          <w:tcPr>
            <w:tcW w:w="1187" w:type="dxa"/>
            <w:noWrap w:val="0"/>
            <w:vAlign w:val="center"/>
          </w:tcPr>
          <w:p w14:paraId="4FCBD3DD">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3422" w:type="dxa"/>
            <w:gridSpan w:val="4"/>
            <w:noWrap w:val="0"/>
            <w:vAlign w:val="center"/>
          </w:tcPr>
          <w:p w14:paraId="171BCA0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固定资产净值</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万元</w:t>
            </w:r>
          </w:p>
        </w:tc>
      </w:tr>
      <w:tr w14:paraId="3C47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514" w:type="dxa"/>
            <w:vMerge w:val="restart"/>
            <w:noWrap w:val="0"/>
            <w:vAlign w:val="center"/>
          </w:tcPr>
          <w:p w14:paraId="6CDE35E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w:t>
            </w:r>
          </w:p>
        </w:tc>
        <w:tc>
          <w:tcPr>
            <w:tcW w:w="1050" w:type="dxa"/>
            <w:noWrap w:val="0"/>
            <w:vAlign w:val="center"/>
          </w:tcPr>
          <w:p w14:paraId="4BE2F21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w:t>
            </w:r>
          </w:p>
        </w:tc>
        <w:tc>
          <w:tcPr>
            <w:tcW w:w="1254" w:type="dxa"/>
            <w:noWrap w:val="0"/>
            <w:vAlign w:val="center"/>
          </w:tcPr>
          <w:p w14:paraId="398BE58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主营收入</w:t>
            </w:r>
          </w:p>
          <w:p w14:paraId="04655E8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（万元）</w:t>
            </w:r>
          </w:p>
        </w:tc>
        <w:tc>
          <w:tcPr>
            <w:tcW w:w="1187" w:type="dxa"/>
            <w:noWrap w:val="0"/>
            <w:vAlign w:val="center"/>
          </w:tcPr>
          <w:p w14:paraId="27B1DAD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收入总额</w:t>
            </w:r>
          </w:p>
          <w:p w14:paraId="5741DC3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（万元）</w:t>
            </w:r>
          </w:p>
        </w:tc>
        <w:tc>
          <w:tcPr>
            <w:tcW w:w="1104" w:type="dxa"/>
            <w:noWrap w:val="0"/>
            <w:vAlign w:val="center"/>
          </w:tcPr>
          <w:p w14:paraId="2EF1A36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利润总额</w:t>
            </w:r>
          </w:p>
          <w:p w14:paraId="02AAE003">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（万元）</w:t>
            </w:r>
          </w:p>
        </w:tc>
        <w:tc>
          <w:tcPr>
            <w:tcW w:w="996" w:type="dxa"/>
            <w:gridSpan w:val="2"/>
            <w:noWrap w:val="0"/>
            <w:vAlign w:val="center"/>
          </w:tcPr>
          <w:p w14:paraId="0EBE386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净利润</w:t>
            </w:r>
          </w:p>
          <w:p w14:paraId="302739A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1322" w:type="dxa"/>
            <w:noWrap w:val="0"/>
            <w:vAlign w:val="center"/>
          </w:tcPr>
          <w:p w14:paraId="2C50DA1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w w:val="95"/>
                <w:sz w:val="24"/>
                <w:szCs w:val="24"/>
                <w:highlight w:val="none"/>
              </w:rPr>
            </w:pPr>
            <w:r>
              <w:rPr>
                <w:rFonts w:hint="eastAsia" w:ascii="宋体" w:hAnsi="宋体" w:eastAsia="宋体" w:cs="宋体"/>
                <w:color w:val="auto"/>
                <w:w w:val="95"/>
                <w:sz w:val="24"/>
                <w:szCs w:val="24"/>
                <w:highlight w:val="none"/>
              </w:rPr>
              <w:t>资产负债率</w:t>
            </w:r>
          </w:p>
          <w:p w14:paraId="21652BC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w w:val="95"/>
                <w:sz w:val="24"/>
                <w:szCs w:val="24"/>
                <w:highlight w:val="none"/>
              </w:rPr>
            </w:pPr>
            <w:r>
              <w:rPr>
                <w:rFonts w:hint="eastAsia" w:ascii="宋体" w:hAnsi="宋体" w:eastAsia="宋体" w:cs="宋体"/>
                <w:color w:val="auto"/>
                <w:w w:val="95"/>
                <w:sz w:val="24"/>
                <w:szCs w:val="24"/>
                <w:highlight w:val="none"/>
              </w:rPr>
              <w:t>（万元</w:t>
            </w:r>
            <w:r>
              <w:rPr>
                <w:rFonts w:hint="eastAsia" w:ascii="宋体" w:hAnsi="宋体" w:eastAsia="宋体" w:cs="宋体"/>
                <w:color w:val="auto"/>
                <w:w w:val="95"/>
                <w:sz w:val="24"/>
                <w:szCs w:val="24"/>
                <w:highlight w:val="none"/>
                <w:lang w:eastAsia="zh-CN"/>
              </w:rPr>
              <w:t>）</w:t>
            </w:r>
          </w:p>
        </w:tc>
      </w:tr>
      <w:tr w14:paraId="5B67E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Merge w:val="continue"/>
            <w:tcBorders>
              <w:top w:val="nil"/>
              <w:bottom w:val="single" w:color="auto" w:sz="4" w:space="0"/>
            </w:tcBorders>
            <w:noWrap w:val="0"/>
            <w:vAlign w:val="center"/>
          </w:tcPr>
          <w:p w14:paraId="68E95AAA">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p>
        </w:tc>
        <w:tc>
          <w:tcPr>
            <w:tcW w:w="1050" w:type="dxa"/>
            <w:noWrap w:val="0"/>
            <w:vAlign w:val="center"/>
          </w:tcPr>
          <w:p w14:paraId="432EC83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254" w:type="dxa"/>
            <w:noWrap w:val="0"/>
            <w:vAlign w:val="center"/>
          </w:tcPr>
          <w:p w14:paraId="3202756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187" w:type="dxa"/>
            <w:noWrap w:val="0"/>
            <w:vAlign w:val="center"/>
          </w:tcPr>
          <w:p w14:paraId="38FFA0AA">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104" w:type="dxa"/>
            <w:noWrap w:val="0"/>
            <w:vAlign w:val="center"/>
          </w:tcPr>
          <w:p w14:paraId="6470F55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996" w:type="dxa"/>
            <w:gridSpan w:val="2"/>
            <w:noWrap w:val="0"/>
            <w:vAlign w:val="center"/>
          </w:tcPr>
          <w:p w14:paraId="1907460B">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sz w:val="24"/>
                <w:szCs w:val="24"/>
                <w:highlight w:val="none"/>
              </w:rPr>
            </w:pPr>
          </w:p>
        </w:tc>
        <w:tc>
          <w:tcPr>
            <w:tcW w:w="1322" w:type="dxa"/>
            <w:noWrap w:val="0"/>
            <w:vAlign w:val="center"/>
          </w:tcPr>
          <w:p w14:paraId="2582CFE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w w:val="95"/>
                <w:sz w:val="24"/>
                <w:szCs w:val="24"/>
                <w:highlight w:val="none"/>
              </w:rPr>
            </w:pPr>
          </w:p>
        </w:tc>
      </w:tr>
      <w:tr w14:paraId="73067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1514" w:type="dxa"/>
            <w:tcBorders>
              <w:top w:val="single" w:color="auto" w:sz="4" w:space="0"/>
            </w:tcBorders>
            <w:noWrap w:val="0"/>
            <w:vAlign w:val="center"/>
          </w:tcPr>
          <w:p w14:paraId="0A6275E0">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c>
          <w:tcPr>
            <w:tcW w:w="6913" w:type="dxa"/>
            <w:gridSpan w:val="7"/>
            <w:noWrap w:val="0"/>
            <w:vAlign w:val="center"/>
          </w:tcPr>
          <w:p w14:paraId="00D468D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w w:val="95"/>
                <w:sz w:val="24"/>
                <w:szCs w:val="24"/>
                <w:highlight w:val="none"/>
              </w:rPr>
            </w:pPr>
          </w:p>
        </w:tc>
      </w:tr>
    </w:tbl>
    <w:p w14:paraId="0845D826">
      <w:pPr>
        <w:pStyle w:val="13"/>
        <w:keepNext w:val="0"/>
        <w:keepLines w:val="0"/>
        <w:pageBreakBefore w:val="0"/>
        <w:overflowPunct/>
        <w:topLinePunct w:val="0"/>
        <w:bidi w:val="0"/>
        <w:adjustRightInd w:val="0"/>
        <w:snapToGrid w:val="0"/>
        <w:spacing w:beforeAutospacing="0" w:afterAutospacing="0" w:line="460" w:lineRule="exact"/>
        <w:ind w:left="240" w:leftChars="0" w:right="0" w:rightChars="0" w:hanging="240" w:hanging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9E6E04C">
      <w:pPr>
        <w:pStyle w:val="13"/>
        <w:keepNext w:val="0"/>
        <w:keepLines w:val="0"/>
        <w:pageBreakBefore w:val="0"/>
        <w:overflowPunct/>
        <w:topLinePunct w:val="0"/>
        <w:bidi w:val="0"/>
        <w:adjustRightInd w:val="0"/>
        <w:snapToGrid w:val="0"/>
        <w:spacing w:beforeAutospacing="0" w:afterAutospacing="0" w:line="460" w:lineRule="exact"/>
        <w:ind w:left="239" w:leftChars="114" w:right="0" w:rightChars="0" w:firstLine="240" w:firstLineChars="1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1、有效的营业执照；</w:t>
      </w:r>
    </w:p>
    <w:p w14:paraId="0328E419">
      <w:pPr>
        <w:pStyle w:val="13"/>
        <w:keepNext w:val="0"/>
        <w:keepLines w:val="0"/>
        <w:pageBreakBefore w:val="0"/>
        <w:overflowPunct/>
        <w:topLinePunct w:val="0"/>
        <w:bidi w:val="0"/>
        <w:adjustRightInd w:val="0"/>
        <w:snapToGrid w:val="0"/>
        <w:spacing w:beforeAutospacing="0" w:afterAutospacing="0" w:line="460" w:lineRule="exact"/>
        <w:ind w:left="239" w:leftChars="114" w:right="0" w:rightChars="0" w:firstLine="240" w:firstLineChars="1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rPr>
        <w:t>认为可提供的其他资料；</w:t>
      </w:r>
    </w:p>
    <w:p w14:paraId="26E2EC07">
      <w:pPr>
        <w:pStyle w:val="13"/>
        <w:keepNext w:val="0"/>
        <w:keepLines w:val="0"/>
        <w:pageBreakBefore w:val="0"/>
        <w:overflowPunct/>
        <w:topLinePunct w:val="0"/>
        <w:bidi w:val="0"/>
        <w:adjustRightInd w:val="0"/>
        <w:snapToGrid w:val="0"/>
        <w:spacing w:beforeAutospacing="0" w:afterAutospacing="0" w:line="460" w:lineRule="exact"/>
        <w:ind w:left="239" w:leftChars="114" w:right="0" w:rightChars="0" w:firstLine="240" w:firstLineChars="1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rPr>
        <w:t>此表数据有虚假，一经查实，自行承担相关责任。</w:t>
      </w:r>
    </w:p>
    <w:p w14:paraId="5947EE10">
      <w:pPr>
        <w:pStyle w:val="13"/>
        <w:keepNext w:val="0"/>
        <w:keepLines w:val="0"/>
        <w:pageBreakBefore w:val="0"/>
        <w:overflowPunct/>
        <w:topLinePunct w:val="0"/>
        <w:bidi w:val="0"/>
        <w:adjustRightInd w:val="0"/>
        <w:snapToGrid w:val="0"/>
        <w:spacing w:beforeAutospacing="0" w:afterAutospacing="0" w:line="460" w:lineRule="exact"/>
        <w:ind w:left="239" w:leftChars="114" w:right="0" w:rightChars="0" w:firstLine="240" w:firstLineChars="1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4、兹证明上述声明是真实、正确的，并提供了全部能提供的资料和数</w:t>
      </w:r>
    </w:p>
    <w:p w14:paraId="7C392EBD">
      <w:pPr>
        <w:pStyle w:val="13"/>
        <w:keepNext w:val="0"/>
        <w:keepLines w:val="0"/>
        <w:pageBreakBefore w:val="0"/>
        <w:overflowPunct/>
        <w:topLinePunct w:val="0"/>
        <w:bidi w:val="0"/>
        <w:adjustRightInd w:val="0"/>
        <w:snapToGrid w:val="0"/>
        <w:spacing w:beforeAutospacing="0" w:afterAutospacing="0" w:line="460" w:lineRule="exact"/>
        <w:ind w:right="0" w:rightChars="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据，我方同意遵照贵方要求出示有关证明文件。</w:t>
      </w:r>
    </w:p>
    <w:p w14:paraId="52EC82BA">
      <w:pPr>
        <w:pStyle w:val="30"/>
        <w:keepNext w:val="0"/>
        <w:keepLines w:val="0"/>
        <w:pageBreakBefore w:val="0"/>
        <w:overflowPunct/>
        <w:topLinePunct w:val="0"/>
        <w:bidi w:val="0"/>
        <w:spacing w:beforeAutospacing="0" w:afterAutospacing="0" w:line="460" w:lineRule="exact"/>
        <w:ind w:left="0" w:leftChars="0" w:right="0" w:rightChars="0" w:firstLine="240"/>
        <w:rPr>
          <w:rFonts w:hint="eastAsia" w:ascii="宋体" w:hAnsi="宋体" w:eastAsia="宋体" w:cs="宋体"/>
          <w:color w:val="auto"/>
          <w:highlight w:val="none"/>
        </w:rPr>
      </w:pPr>
    </w:p>
    <w:p w14:paraId="3B69FA92">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lang w:val="en-US"/>
        </w:rPr>
      </w:pPr>
    </w:p>
    <w:p w14:paraId="2925E07C">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jc w:val="left"/>
        <w:rPr>
          <w:rFonts w:hint="eastAsia" w:ascii="宋体" w:hAnsi="宋体" w:eastAsia="宋体" w:cs="宋体"/>
          <w:color w:val="auto"/>
          <w:highlight w:val="none"/>
          <w:lang w:val="en-US"/>
        </w:rPr>
      </w:pPr>
      <w:r>
        <w:rPr>
          <w:rFonts w:hint="eastAsia" w:ascii="宋体" w:hAnsi="宋体" w:eastAsia="宋体" w:cs="宋体"/>
          <w:color w:val="auto"/>
          <w:kern w:val="2"/>
          <w:sz w:val="24"/>
          <w:szCs w:val="24"/>
          <w:highlight w:val="none"/>
          <w:lang w:val="en-US" w:eastAsia="zh-CN" w:bidi="ar-SA"/>
        </w:rPr>
        <w:t>7-2 经审计的最近一个年度（2023年度或2024年度）的财务状况报告或银行资信证明（成立不满一年不需提供）；</w:t>
      </w:r>
      <w:r>
        <w:rPr>
          <w:rFonts w:hint="eastAsia" w:ascii="宋体" w:hAnsi="宋体" w:eastAsia="宋体" w:cs="宋体"/>
          <w:color w:val="auto"/>
          <w:highlight w:val="none"/>
          <w:lang w:val="en-US"/>
        </w:rPr>
        <w:t>（复印件加盖公章）</w:t>
      </w:r>
    </w:p>
    <w:p w14:paraId="0AB4160D">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4"/>
          <w:highlight w:val="none"/>
          <w:lang w:val="en-US"/>
        </w:rPr>
      </w:pPr>
    </w:p>
    <w:p w14:paraId="4BE2A26E">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lang w:val="en-US"/>
        </w:rPr>
      </w:pPr>
    </w:p>
    <w:p w14:paraId="54CD9780">
      <w:pPr>
        <w:pStyle w:val="10"/>
        <w:keepNext w:val="0"/>
        <w:keepLines w:val="0"/>
        <w:pageBreakBefore w:val="0"/>
        <w:overflowPunct/>
        <w:topLinePunct w:val="0"/>
        <w:bidi w:val="0"/>
        <w:spacing w:before="0" w:beforeAutospacing="0" w:afterAutospacing="0" w:line="460" w:lineRule="exact"/>
        <w:ind w:left="0" w:leftChars="0" w:right="0" w:rightChars="0"/>
        <w:jc w:val="both"/>
        <w:rPr>
          <w:rFonts w:hint="eastAsia" w:ascii="宋体" w:hAnsi="宋体" w:eastAsia="宋体" w:cs="宋体"/>
          <w:color w:val="auto"/>
          <w:szCs w:val="24"/>
          <w:highlight w:val="none"/>
          <w:lang w:val="en-US"/>
        </w:rPr>
      </w:pPr>
    </w:p>
    <w:p w14:paraId="558562D1">
      <w:pPr>
        <w:pStyle w:val="10"/>
        <w:keepNext w:val="0"/>
        <w:keepLines w:val="0"/>
        <w:pageBreakBefore w:val="0"/>
        <w:overflowPunct/>
        <w:topLinePunct w:val="0"/>
        <w:bidi w:val="0"/>
        <w:spacing w:before="0" w:beforeAutospacing="0" w:afterAutospacing="0" w:line="460" w:lineRule="exact"/>
        <w:ind w:left="0" w:leftChars="0" w:right="0" w:rightChars="0"/>
        <w:jc w:val="both"/>
        <w:rPr>
          <w:rFonts w:hint="eastAsia" w:ascii="宋体" w:hAnsi="宋体" w:eastAsia="宋体" w:cs="宋体"/>
          <w:color w:val="auto"/>
          <w:szCs w:val="24"/>
          <w:highlight w:val="none"/>
          <w:lang w:val="en-US"/>
        </w:rPr>
      </w:pPr>
    </w:p>
    <w:p w14:paraId="04C82691">
      <w:pPr>
        <w:pStyle w:val="10"/>
        <w:keepNext w:val="0"/>
        <w:keepLines w:val="0"/>
        <w:pageBreakBefore w:val="0"/>
        <w:overflowPunct/>
        <w:topLinePunct w:val="0"/>
        <w:bidi w:val="0"/>
        <w:spacing w:before="0" w:beforeAutospacing="0" w:afterAutospacing="0" w:line="460" w:lineRule="exact"/>
        <w:ind w:left="0" w:leftChars="0" w:right="0" w:rightChars="0"/>
        <w:jc w:val="both"/>
        <w:rPr>
          <w:rFonts w:hint="eastAsia" w:ascii="宋体" w:hAnsi="宋体" w:eastAsia="宋体" w:cs="宋体"/>
          <w:color w:val="auto"/>
          <w:szCs w:val="24"/>
          <w:highlight w:val="none"/>
          <w:lang w:val="en-US"/>
        </w:rPr>
      </w:pPr>
    </w:p>
    <w:p w14:paraId="57227ED2">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jc w:val="left"/>
        <w:rPr>
          <w:rFonts w:hint="eastAsia" w:ascii="宋体" w:hAnsi="宋体" w:eastAsia="宋体" w:cs="宋体"/>
          <w:color w:val="auto"/>
          <w:highlight w:val="none"/>
          <w:lang w:val="en-US"/>
        </w:rPr>
      </w:pPr>
      <w:r>
        <w:rPr>
          <w:rFonts w:hint="eastAsia" w:ascii="宋体" w:hAnsi="宋体" w:eastAsia="宋体" w:cs="宋体"/>
          <w:color w:val="auto"/>
          <w:highlight w:val="none"/>
        </w:rPr>
        <w:t>7-3依法缴纳税收和社会保障资金的相关材料（提供提交投标文件截止时间前一年内至少一个月依法缴纳税收及缴纳社会保障资金的证明材料。投标人依法享受缓缴、免缴税收、社会保障资金的提供证明材料。）；</w:t>
      </w:r>
    </w:p>
    <w:p w14:paraId="6BECA596">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（复印件加盖公章）</w:t>
      </w:r>
    </w:p>
    <w:p w14:paraId="5BFF5EC9">
      <w:pPr>
        <w:pStyle w:val="10"/>
        <w:keepNext w:val="0"/>
        <w:keepLines w:val="0"/>
        <w:pageBreakBefore w:val="0"/>
        <w:overflowPunct/>
        <w:topLinePunct w:val="0"/>
        <w:bidi w:val="0"/>
        <w:spacing w:before="0" w:beforeAutospacing="0" w:afterAutospacing="0" w:line="460" w:lineRule="exact"/>
        <w:ind w:left="0" w:leftChars="0" w:right="0" w:rightChars="0" w:firstLine="480" w:firstLineChars="200"/>
        <w:rPr>
          <w:rFonts w:hint="eastAsia" w:ascii="宋体" w:hAnsi="宋体" w:eastAsia="宋体" w:cs="宋体"/>
          <w:color w:val="auto"/>
          <w:szCs w:val="24"/>
          <w:highlight w:val="none"/>
          <w:lang w:val="en-US"/>
        </w:rPr>
      </w:pPr>
    </w:p>
    <w:p w14:paraId="3721A5A2">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lang w:val="en-US"/>
        </w:rPr>
      </w:pPr>
    </w:p>
    <w:p w14:paraId="681DB3A3">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lang w:val="en-US"/>
        </w:rPr>
      </w:pPr>
    </w:p>
    <w:p w14:paraId="61BF24ED">
      <w:pPr>
        <w:pStyle w:val="57"/>
        <w:keepNext w:val="0"/>
        <w:keepLines w:val="0"/>
        <w:pageBreakBefore w:val="0"/>
        <w:overflowPunct/>
        <w:topLinePunct w:val="0"/>
        <w:bidi w:val="0"/>
        <w:spacing w:before="0" w:beforeAutospacing="0" w:after="0" w:afterAutospacing="0" w:line="460" w:lineRule="exact"/>
        <w:ind w:left="0" w:leftChars="0" w:right="0" w:rightChars="0" w:firstLine="0"/>
        <w:jc w:val="both"/>
        <w:rPr>
          <w:rFonts w:hint="eastAsia" w:ascii="宋体" w:hAnsi="宋体" w:eastAsia="宋体" w:cs="宋体"/>
          <w:color w:val="auto"/>
          <w:kern w:val="2"/>
          <w:highlight w:val="none"/>
          <w:lang w:eastAsia="zh-CN"/>
        </w:rPr>
      </w:pPr>
      <w:bookmarkStart w:id="111" w:name="_Toc32332"/>
      <w:bookmarkStart w:id="112" w:name="_Toc17129"/>
      <w:r>
        <w:rPr>
          <w:rFonts w:hint="eastAsia" w:ascii="宋体" w:hAnsi="宋体" w:eastAsia="宋体" w:cs="宋体"/>
          <w:color w:val="auto"/>
          <w:szCs w:val="24"/>
          <w:highlight w:val="none"/>
          <w:lang w:val="en-US"/>
        </w:rPr>
        <w:t xml:space="preserve">7-4 </w:t>
      </w:r>
      <w:bookmarkEnd w:id="111"/>
      <w:bookmarkEnd w:id="112"/>
      <w:r>
        <w:rPr>
          <w:rFonts w:hint="eastAsia" w:ascii="宋体" w:hAnsi="宋体" w:eastAsia="宋体" w:cs="宋体"/>
          <w:color w:val="auto"/>
          <w:szCs w:val="24"/>
          <w:highlight w:val="none"/>
          <w:lang w:val="en-US"/>
        </w:rPr>
        <w:t>具备履行合同所必需的设备和专业技术能力的证明材料或承诺函；</w:t>
      </w:r>
    </w:p>
    <w:p w14:paraId="40D8306B">
      <w:pPr>
        <w:pStyle w:val="57"/>
        <w:keepNext w:val="0"/>
        <w:keepLines w:val="0"/>
        <w:pageBreakBefore w:val="0"/>
        <w:overflowPunct/>
        <w:topLinePunct w:val="0"/>
        <w:bidi w:val="0"/>
        <w:spacing w:before="0" w:beforeAutospacing="0" w:after="0" w:afterAutospacing="0" w:line="460" w:lineRule="exact"/>
        <w:ind w:left="0" w:leftChars="0" w:right="0" w:rightChars="0" w:firstLine="0"/>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格式自拟</w:t>
      </w:r>
      <w:r>
        <w:rPr>
          <w:rFonts w:hint="eastAsia" w:ascii="宋体" w:hAnsi="宋体" w:eastAsia="宋体" w:cs="宋体"/>
          <w:color w:val="auto"/>
          <w:kern w:val="2"/>
          <w:highlight w:val="none"/>
          <w:lang w:eastAsia="zh-CN"/>
        </w:rPr>
        <w:t>）</w:t>
      </w:r>
    </w:p>
    <w:p w14:paraId="4FE54BE7">
      <w:pPr>
        <w:pStyle w:val="57"/>
        <w:keepNext w:val="0"/>
        <w:keepLines w:val="0"/>
        <w:pageBreakBefore w:val="0"/>
        <w:overflowPunct/>
        <w:topLinePunct w:val="0"/>
        <w:bidi w:val="0"/>
        <w:spacing w:before="0" w:beforeAutospacing="0" w:after="0" w:afterAutospacing="0" w:line="460" w:lineRule="exact"/>
        <w:ind w:left="720" w:leftChars="0" w:right="0" w:rightChars="0" w:hanging="720" w:hangingChars="300"/>
        <w:rPr>
          <w:rFonts w:hint="eastAsia" w:ascii="宋体" w:hAnsi="宋体" w:eastAsia="宋体" w:cs="宋体"/>
          <w:color w:val="auto"/>
          <w:kern w:val="2"/>
          <w:highlight w:val="none"/>
        </w:rPr>
      </w:pPr>
    </w:p>
    <w:p w14:paraId="0FE25645">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                   </w:t>
      </w:r>
    </w:p>
    <w:p w14:paraId="04F95A83">
      <w:pPr>
        <w:spacing w:line="460" w:lineRule="exact"/>
        <w:rPr>
          <w:rFonts w:hint="eastAsia" w:ascii="宋体" w:hAnsi="宋体" w:eastAsia="宋体" w:cs="宋体"/>
          <w:bCs/>
          <w:color w:val="auto"/>
          <w:sz w:val="24"/>
          <w:highlight w:val="none"/>
        </w:rPr>
      </w:pPr>
      <w:r>
        <w:rPr>
          <w:rFonts w:hint="eastAsia" w:ascii="宋体" w:hAnsi="宋体" w:eastAsia="宋体" w:cs="宋体"/>
          <w:b/>
          <w:bCs/>
          <w:color w:val="auto"/>
          <w:highlight w:val="none"/>
          <w:lang w:val="en-US"/>
        </w:rPr>
        <w:br w:type="page"/>
      </w:r>
      <w:r>
        <w:rPr>
          <w:rFonts w:hint="eastAsia" w:ascii="宋体" w:hAnsi="宋体" w:eastAsia="宋体" w:cs="宋体"/>
          <w:b/>
          <w:bCs/>
          <w:color w:val="auto"/>
          <w:highlight w:val="none"/>
        </w:rPr>
        <w:t>7-5</w:t>
      </w:r>
      <w:r>
        <w:rPr>
          <w:rFonts w:hint="eastAsia" w:ascii="宋体" w:hAnsi="宋体" w:eastAsia="宋体" w:cs="宋体"/>
          <w:color w:val="auto"/>
          <w:highlight w:val="none"/>
        </w:rPr>
        <w:t xml:space="preserve"> </w:t>
      </w:r>
      <w:r>
        <w:rPr>
          <w:rFonts w:hint="eastAsia" w:ascii="宋体" w:hAnsi="宋体" w:eastAsia="宋体" w:cs="宋体"/>
          <w:bCs/>
          <w:color w:val="auto"/>
          <w:sz w:val="24"/>
          <w:highlight w:val="none"/>
        </w:rPr>
        <w:t xml:space="preserve">参加政府采购活动前3年内在经营活动中没有重大违法记录的书面声明；     </w:t>
      </w:r>
    </w:p>
    <w:p w14:paraId="3FF69081">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我单位郑重声明：参加本次政府采购活动前 3 年内（202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年1月1日-至今），我单位在经营活动中没有因违法经营受到刑事处罚或者责令停产停业、吊销许可证或者执照、较大数额罚款等行政处罚。</w:t>
      </w:r>
    </w:p>
    <w:p w14:paraId="57F139BD">
      <w:pPr>
        <w:spacing w:line="460" w:lineRule="exact"/>
        <w:rPr>
          <w:rFonts w:hint="eastAsia" w:ascii="宋体" w:hAnsi="宋体" w:eastAsia="宋体" w:cs="宋体"/>
          <w:bCs/>
          <w:color w:val="auto"/>
          <w:sz w:val="24"/>
          <w:highlight w:val="none"/>
        </w:rPr>
      </w:pPr>
    </w:p>
    <w:p w14:paraId="0B44C377">
      <w:pPr>
        <w:spacing w:line="46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投标人 ：                    （盖章）</w:t>
      </w:r>
    </w:p>
    <w:p w14:paraId="0B831974">
      <w:pPr>
        <w:spacing w:line="46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法定代表人(负责人)或授权代理人：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E9DF9B5">
      <w:pPr>
        <w:adjustRightInd w:val="0"/>
        <w:snapToGrid w:val="0"/>
        <w:spacing w:line="46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C066217">
      <w:pPr>
        <w:spacing w:line="460" w:lineRule="exact"/>
        <w:ind w:firstLine="480" w:firstLineChars="200"/>
        <w:rPr>
          <w:rFonts w:hint="eastAsia" w:ascii="宋体" w:hAnsi="宋体" w:eastAsia="宋体" w:cs="宋体"/>
          <w:color w:val="auto"/>
          <w:sz w:val="24"/>
          <w:highlight w:val="none"/>
        </w:rPr>
      </w:pPr>
    </w:p>
    <w:p w14:paraId="1AFC20F4">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（可附</w:t>
      </w:r>
      <w:r>
        <w:rPr>
          <w:rStyle w:val="36"/>
          <w:rFonts w:hint="eastAsia" w:ascii="宋体" w:hAnsi="宋体" w:eastAsia="宋体" w:cs="宋体"/>
          <w:b w:val="0"/>
          <w:color w:val="auto"/>
          <w:sz w:val="24"/>
          <w:highlight w:val="none"/>
        </w:rPr>
        <w:t>未被“信用中国”网站（www.creditchina.gov.cn）、“中国政府采购网"(www.ccgp.gov.cn)列入失信被执行人、重大税收违法案件当事人名单、政府采购严重失信行为记录名单截图</w:t>
      </w:r>
      <w:r>
        <w:rPr>
          <w:rFonts w:hint="eastAsia" w:ascii="宋体" w:hAnsi="宋体" w:eastAsia="宋体" w:cs="宋体"/>
          <w:color w:val="auto"/>
          <w:sz w:val="24"/>
          <w:highlight w:val="none"/>
        </w:rPr>
        <w:t>）</w:t>
      </w:r>
    </w:p>
    <w:p w14:paraId="4FEA44B6">
      <w:pPr>
        <w:keepNext w:val="0"/>
        <w:keepLines w:val="0"/>
        <w:pageBreakBefore w:val="0"/>
        <w:overflowPunct/>
        <w:topLinePunct w:val="0"/>
        <w:bidi w:val="0"/>
        <w:spacing w:beforeAutospacing="0" w:afterAutospacing="0" w:line="460" w:lineRule="exact"/>
        <w:ind w:left="0" w:leftChars="0" w:right="0" w:rightChars="0" w:firstLine="420" w:firstLineChars="200"/>
        <w:rPr>
          <w:rFonts w:hint="eastAsia" w:ascii="宋体" w:hAnsi="宋体" w:eastAsia="宋体" w:cs="宋体"/>
          <w:color w:val="auto"/>
          <w:highlight w:val="none"/>
          <w:lang w:val="en-US"/>
        </w:rPr>
      </w:pPr>
    </w:p>
    <w:p w14:paraId="6302FA58">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color w:val="auto"/>
          <w:sz w:val="28"/>
          <w:highlight w:val="none"/>
          <w:lang w:val="en-US"/>
        </w:rPr>
      </w:pPr>
    </w:p>
    <w:p w14:paraId="32EEB0D5">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color w:val="auto"/>
          <w:sz w:val="28"/>
          <w:highlight w:val="none"/>
          <w:lang w:val="en-US"/>
        </w:rPr>
      </w:pPr>
    </w:p>
    <w:p w14:paraId="66ECC53E">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bCs/>
          <w:color w:val="auto"/>
          <w:highlight w:val="none"/>
          <w:lang w:val="en-US"/>
        </w:rPr>
      </w:pPr>
    </w:p>
    <w:p w14:paraId="597C7414">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bCs/>
          <w:color w:val="auto"/>
          <w:highlight w:val="none"/>
          <w:lang w:val="en-US"/>
        </w:rPr>
      </w:pPr>
    </w:p>
    <w:p w14:paraId="1D460FA6">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bCs/>
          <w:color w:val="auto"/>
          <w:highlight w:val="none"/>
          <w:lang w:val="en-US"/>
        </w:rPr>
      </w:pPr>
    </w:p>
    <w:p w14:paraId="0EF3C3B4">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bCs/>
          <w:color w:val="auto"/>
          <w:highlight w:val="none"/>
          <w:lang w:val="en-US"/>
        </w:rPr>
      </w:pPr>
    </w:p>
    <w:p w14:paraId="6945E175">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bCs/>
          <w:color w:val="auto"/>
          <w:highlight w:val="none"/>
          <w:lang w:val="en-US"/>
        </w:rPr>
      </w:pPr>
    </w:p>
    <w:p w14:paraId="5487DD88">
      <w:pPr>
        <w:pStyle w:val="30"/>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kern w:val="0"/>
          <w:sz w:val="24"/>
          <w:highlight w:val="none"/>
          <w:lang w:val="zh-CN"/>
        </w:rPr>
      </w:pPr>
    </w:p>
    <w:p w14:paraId="0D24C5F8">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color w:val="auto"/>
          <w:sz w:val="28"/>
          <w:highlight w:val="none"/>
          <w:lang w:val="en-US"/>
        </w:rPr>
      </w:pPr>
    </w:p>
    <w:p w14:paraId="6C22981E">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b/>
          <w:bCs/>
          <w:color w:val="auto"/>
          <w:highlight w:val="none"/>
          <w:lang w:val="en-US"/>
        </w:rPr>
      </w:pPr>
      <w:r>
        <w:rPr>
          <w:rFonts w:hint="eastAsia" w:ascii="宋体" w:hAnsi="宋体" w:eastAsia="宋体" w:cs="宋体"/>
          <w:b/>
          <w:color w:val="auto"/>
          <w:sz w:val="28"/>
          <w:highlight w:val="none"/>
          <w:lang w:val="en-US"/>
        </w:rPr>
        <w:br w:type="page"/>
      </w:r>
      <w:r>
        <w:rPr>
          <w:rFonts w:hint="eastAsia" w:ascii="宋体" w:hAnsi="宋体" w:eastAsia="宋体" w:cs="宋体"/>
          <w:b/>
          <w:bCs/>
          <w:color w:val="auto"/>
          <w:highlight w:val="none"/>
          <w:lang w:val="en-US"/>
        </w:rPr>
        <w:t>7-</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lang w:val="en-US"/>
        </w:rPr>
        <w:t xml:space="preserve"> 投标保证金汇款凭证及开户许可证（基本账户信息）</w:t>
      </w:r>
    </w:p>
    <w:p w14:paraId="461FB8E0">
      <w:pPr>
        <w:pStyle w:val="10"/>
        <w:keepNext w:val="0"/>
        <w:keepLines w:val="0"/>
        <w:pageBreakBefore w:val="0"/>
        <w:overflowPunct/>
        <w:topLinePunct w:val="0"/>
        <w:bidi w:val="0"/>
        <w:spacing w:before="0" w:beforeAutospacing="0" w:afterAutospacing="0" w:line="460" w:lineRule="exact"/>
        <w:ind w:left="0" w:leftChars="0" w:right="0" w:righ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投标保证金汇款声明函</w:t>
      </w:r>
    </w:p>
    <w:p w14:paraId="08008820">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致：____________(</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Cs w:val="24"/>
          <w:highlight w:val="none"/>
        </w:rPr>
        <w:t>人或采购代理机构)</w:t>
      </w:r>
    </w:p>
    <w:p w14:paraId="711CA853">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我方为____________(项目名称)(项目编号：_______)递交保证金人民币________元(大写(人民币　　元)已于______年____月____日以</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形式缴纳</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（注：转账形式的</w:t>
      </w:r>
      <w:r>
        <w:rPr>
          <w:rFonts w:hint="eastAsia" w:ascii="宋体" w:hAnsi="宋体" w:eastAsia="宋体" w:cs="宋体"/>
          <w:color w:val="auto"/>
          <w:szCs w:val="24"/>
          <w:highlight w:val="none"/>
        </w:rPr>
        <w:t>退还保证金时请按以下内容划入我方账户。若因内容不全、错误、字迹潦草模糊导致该项目保证金未能及时退还或退还过程中发生错误，我方将承担全部责任和损失。</w:t>
      </w:r>
      <w:r>
        <w:rPr>
          <w:rFonts w:hint="eastAsia" w:ascii="宋体" w:hAnsi="宋体" w:eastAsia="宋体" w:cs="宋体"/>
          <w:color w:val="auto"/>
          <w:szCs w:val="24"/>
          <w:highlight w:val="none"/>
          <w:lang w:eastAsia="zh-CN"/>
        </w:rPr>
        <w:t>）</w:t>
      </w:r>
    </w:p>
    <w:p w14:paraId="4133D4D5">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单位全称：</w:t>
      </w:r>
    </w:p>
    <w:p w14:paraId="56C6B329">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开户银行：</w:t>
      </w:r>
    </w:p>
    <w:p w14:paraId="3F06FAE0">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开户账号：</w:t>
      </w:r>
    </w:p>
    <w:p w14:paraId="0EFB6D0B">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投标人(公章)：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w:t>
      </w:r>
    </w:p>
    <w:p w14:paraId="52C5DC27">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w:t>
      </w:r>
    </w:p>
    <w:p w14:paraId="1CF52ADB">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w:t>
      </w:r>
    </w:p>
    <w:p w14:paraId="20CD4767">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p>
    <w:p w14:paraId="42DED2E0">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p>
    <w:p w14:paraId="53F4B33B">
      <w:pPr>
        <w:pStyle w:val="10"/>
        <w:keepNext w:val="0"/>
        <w:keepLines w:val="0"/>
        <w:pageBreakBefore w:val="0"/>
        <w:overflowPunct/>
        <w:topLinePunct w:val="0"/>
        <w:bidi w:val="0"/>
        <w:spacing w:before="0" w:beforeAutospacing="0" w:afterAutospacing="0" w:line="460" w:lineRule="exact"/>
        <w:ind w:left="0" w:leftChars="0"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详见附件：银行出具的汇款单或转账凭证复印件。</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14:paraId="6DC65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5913" w:type="dxa"/>
            <w:tcBorders>
              <w:top w:val="single" w:color="auto" w:sz="4" w:space="0"/>
              <w:bottom w:val="single" w:color="auto" w:sz="4" w:space="0"/>
            </w:tcBorders>
            <w:noWrap w:val="0"/>
            <w:vAlign w:val="center"/>
          </w:tcPr>
          <w:p w14:paraId="2CAC3105">
            <w:pPr>
              <w:pStyle w:val="10"/>
              <w:keepNext w:val="0"/>
              <w:keepLines w:val="0"/>
              <w:pageBreakBefore w:val="0"/>
              <w:overflowPunct/>
              <w:topLinePunct w:val="0"/>
              <w:bidi w:val="0"/>
              <w:spacing w:before="0" w:beforeAutospacing="0" w:afterAutospacing="0" w:line="460" w:lineRule="exact"/>
              <w:ind w:left="0" w:leftChars="0" w:right="0" w:righ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开户许可证或基本账户信息</w:t>
            </w:r>
          </w:p>
        </w:tc>
      </w:tr>
      <w:tr w14:paraId="094DF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7" w:hRule="atLeast"/>
          <w:jc w:val="center"/>
        </w:trPr>
        <w:tc>
          <w:tcPr>
            <w:tcW w:w="5913" w:type="dxa"/>
            <w:tcBorders>
              <w:top w:val="single" w:color="auto" w:sz="4" w:space="0"/>
              <w:bottom w:val="single" w:color="auto" w:sz="4" w:space="0"/>
            </w:tcBorders>
            <w:noWrap w:val="0"/>
            <w:vAlign w:val="center"/>
          </w:tcPr>
          <w:p w14:paraId="2F069451">
            <w:pPr>
              <w:pStyle w:val="10"/>
              <w:keepNext w:val="0"/>
              <w:keepLines w:val="0"/>
              <w:pageBreakBefore w:val="0"/>
              <w:overflowPunct/>
              <w:topLinePunct w:val="0"/>
              <w:bidi w:val="0"/>
              <w:spacing w:before="0" w:beforeAutospacing="0" w:afterAutospacing="0" w:line="460" w:lineRule="exact"/>
              <w:ind w:left="0" w:leftChars="0" w:right="0" w:righ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汇款单或转账凭证复印件</w:t>
            </w:r>
          </w:p>
        </w:tc>
      </w:tr>
    </w:tbl>
    <w:p w14:paraId="70C438FD">
      <w:pPr>
        <w:pStyle w:val="13"/>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0D3AD33E">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46A94A5F">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26702553">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bookmarkEnd w:id="110"/>
    <w:p w14:paraId="35784F69">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b/>
          <w:bCs/>
          <w:color w:val="auto"/>
          <w:highlight w:val="none"/>
          <w:lang w:val="en-US"/>
        </w:rPr>
      </w:pPr>
      <w:bookmarkStart w:id="113" w:name="_Toc17177"/>
      <w:bookmarkStart w:id="114" w:name="_Toc19021"/>
    </w:p>
    <w:p w14:paraId="12DF2764">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7-</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lang w:val="en-US"/>
        </w:rPr>
        <w:t>、落实政府采购政策声明函（符合本声明函填写）</w:t>
      </w:r>
    </w:p>
    <w:p w14:paraId="4A5A0C12">
      <w:pPr>
        <w:pStyle w:val="13"/>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b/>
          <w:color w:val="auto"/>
          <w:sz w:val="28"/>
          <w:highlight w:val="none"/>
        </w:rPr>
      </w:pPr>
    </w:p>
    <w:p w14:paraId="5120E131">
      <w:pPr>
        <w:spacing w:line="46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中小企业声明函（</w:t>
      </w:r>
      <w:r>
        <w:rPr>
          <w:rFonts w:hint="eastAsia" w:ascii="宋体" w:hAnsi="宋体" w:eastAsia="宋体" w:cs="宋体"/>
          <w:b/>
          <w:bCs/>
          <w:color w:val="auto"/>
          <w:sz w:val="24"/>
          <w:highlight w:val="none"/>
          <w:lang w:eastAsia="zh-CN"/>
        </w:rPr>
        <w:t>货物</w:t>
      </w:r>
      <w:r>
        <w:rPr>
          <w:rFonts w:hint="eastAsia" w:ascii="宋体" w:hAnsi="宋体" w:eastAsia="宋体" w:cs="宋体"/>
          <w:b/>
          <w:bCs/>
          <w:color w:val="auto"/>
          <w:sz w:val="24"/>
          <w:highlight w:val="none"/>
        </w:rPr>
        <w:t>）</w:t>
      </w:r>
    </w:p>
    <w:p w14:paraId="311B7F01">
      <w:pPr>
        <w:spacing w:line="460" w:lineRule="exact"/>
        <w:rPr>
          <w:rFonts w:hint="eastAsia" w:ascii="宋体" w:hAnsi="宋体" w:eastAsia="宋体" w:cs="宋体"/>
          <w:color w:val="auto"/>
          <w:sz w:val="24"/>
          <w:highlight w:val="none"/>
        </w:rPr>
      </w:pPr>
    </w:p>
    <w:p w14:paraId="24592EAF">
      <w:pPr>
        <w:pStyle w:val="13"/>
        <w:widowControl/>
        <w:spacing w:line="48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bidi="ar"/>
        </w:rPr>
        <w:t xml:space="preserve">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14:paraId="561F7AAE">
      <w:pPr>
        <w:pStyle w:val="13"/>
        <w:widowControl/>
        <w:numPr>
          <w:ilvl w:val="0"/>
          <w:numId w:val="16"/>
        </w:numPr>
        <w:spacing w:line="480" w:lineRule="exact"/>
        <w:ind w:firstLine="480" w:firstLineChars="200"/>
        <w:rPr>
          <w:rFonts w:hint="eastAsia" w:ascii="宋体" w:hAnsi="宋体" w:eastAsia="宋体" w:cs="宋体"/>
          <w:bCs/>
          <w:color w:val="auto"/>
          <w:highlight w:val="none"/>
          <w:lang w:bidi="ar"/>
        </w:rPr>
      </w:pPr>
      <w:r>
        <w:rPr>
          <w:rFonts w:hint="eastAsia" w:ascii="宋体" w:hAnsi="宋体" w:eastAsia="宋体" w:cs="宋体"/>
          <w:bCs/>
          <w:color w:val="auto"/>
          <w:highlight w:val="none"/>
          <w:u w:val="single"/>
          <w:lang w:bidi="ar"/>
        </w:rPr>
        <w:t>（</w:t>
      </w:r>
      <w:r>
        <w:rPr>
          <w:rFonts w:hint="eastAsia" w:ascii="宋体" w:hAnsi="宋体" w:eastAsia="宋体" w:cs="宋体"/>
          <w:bCs/>
          <w:color w:val="auto"/>
          <w:highlight w:val="none"/>
          <w:u w:val="single"/>
          <w:lang w:eastAsia="zh-CN" w:bidi="ar"/>
        </w:rPr>
        <w:t>标的物</w:t>
      </w:r>
      <w:r>
        <w:rPr>
          <w:rFonts w:hint="eastAsia" w:ascii="宋体" w:hAnsi="宋体" w:eastAsia="宋体" w:cs="宋体"/>
          <w:bCs/>
          <w:color w:val="auto"/>
          <w:highlight w:val="none"/>
          <w:u w:val="single"/>
          <w:lang w:bidi="ar"/>
        </w:rPr>
        <w:t>）</w:t>
      </w:r>
      <w:r>
        <w:rPr>
          <w:rFonts w:hint="eastAsia" w:ascii="宋体" w:hAnsi="宋体" w:eastAsia="宋体" w:cs="宋体"/>
          <w:bCs/>
          <w:color w:val="auto"/>
          <w:highlight w:val="none"/>
          <w:lang w:bidi="ar"/>
        </w:rPr>
        <w:t xml:space="preserve"> ，属于</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u w:val="single"/>
          <w:lang w:eastAsia="zh-CN" w:bidi="ar"/>
        </w:rPr>
        <w:t>工业</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lang w:bidi="ar"/>
        </w:rPr>
        <w:t xml:space="preserve"> 行业；制造商为</w:t>
      </w:r>
      <w:r>
        <w:rPr>
          <w:rFonts w:hint="eastAsia" w:ascii="宋体" w:hAnsi="宋体" w:eastAsia="宋体" w:cs="宋体"/>
          <w:bCs/>
          <w:color w:val="auto"/>
          <w:highlight w:val="none"/>
          <w:u w:val="single"/>
          <w:lang w:bidi="ar"/>
        </w:rPr>
        <w:t>（企业名称）</w:t>
      </w:r>
      <w:r>
        <w:rPr>
          <w:rFonts w:hint="eastAsia" w:ascii="宋体" w:hAnsi="宋体" w:eastAsia="宋体" w:cs="宋体"/>
          <w:bCs/>
          <w:color w:val="auto"/>
          <w:highlight w:val="none"/>
          <w:lang w:bidi="ar"/>
        </w:rPr>
        <w:t>，从业人员</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lang w:bidi="ar"/>
        </w:rPr>
        <w:t xml:space="preserve">人，营业收入为 </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lang w:bidi="ar"/>
        </w:rPr>
        <w:t xml:space="preserve"> 万元，资产总额为 </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lang w:bidi="ar"/>
        </w:rPr>
        <w:t>万元 属于</w:t>
      </w:r>
      <w:r>
        <w:rPr>
          <w:rFonts w:hint="eastAsia" w:ascii="宋体" w:hAnsi="宋体" w:eastAsia="宋体" w:cs="宋体"/>
          <w:bCs/>
          <w:color w:val="auto"/>
          <w:highlight w:val="none"/>
          <w:u w:val="single"/>
          <w:lang w:bidi="ar"/>
        </w:rPr>
        <w:t>（中型企业、小型企业、微型企业）</w:t>
      </w:r>
      <w:r>
        <w:rPr>
          <w:rFonts w:hint="eastAsia" w:ascii="宋体" w:hAnsi="宋体" w:eastAsia="宋体" w:cs="宋体"/>
          <w:bCs/>
          <w:color w:val="auto"/>
          <w:highlight w:val="none"/>
          <w:lang w:bidi="ar"/>
        </w:rPr>
        <w:t xml:space="preserve">； </w:t>
      </w:r>
    </w:p>
    <w:p w14:paraId="7B88CB1A">
      <w:pPr>
        <w:pStyle w:val="13"/>
        <w:widowControl/>
        <w:spacing w:line="480" w:lineRule="exact"/>
        <w:ind w:firstLine="480" w:firstLineChars="200"/>
        <w:rPr>
          <w:rFonts w:hint="eastAsia" w:ascii="宋体" w:hAnsi="宋体" w:eastAsia="宋体" w:cs="宋体"/>
          <w:bCs/>
          <w:color w:val="auto"/>
          <w:highlight w:val="none"/>
          <w:lang w:bidi="ar"/>
        </w:rPr>
      </w:pPr>
      <w:r>
        <w:rPr>
          <w:rFonts w:hint="eastAsia" w:ascii="宋体" w:hAnsi="宋体" w:eastAsia="宋体" w:cs="宋体"/>
          <w:bCs/>
          <w:color w:val="auto"/>
          <w:highlight w:val="none"/>
          <w:lang w:val="en-US" w:eastAsia="zh-CN" w:bidi="ar"/>
        </w:rPr>
        <w:t>2</w:t>
      </w:r>
      <w:r>
        <w:rPr>
          <w:rFonts w:hint="eastAsia" w:ascii="宋体" w:hAnsi="宋体" w:eastAsia="宋体" w:cs="宋体"/>
          <w:bCs/>
          <w:color w:val="auto"/>
          <w:highlight w:val="none"/>
          <w:lang w:bidi="ar"/>
        </w:rPr>
        <w:t xml:space="preserve">. </w:t>
      </w:r>
      <w:r>
        <w:rPr>
          <w:rFonts w:hint="eastAsia" w:ascii="宋体" w:hAnsi="宋体" w:eastAsia="宋体" w:cs="宋体"/>
          <w:bCs/>
          <w:color w:val="auto"/>
          <w:highlight w:val="none"/>
          <w:u w:val="single"/>
          <w:lang w:bidi="ar"/>
        </w:rPr>
        <w:t>（</w:t>
      </w:r>
      <w:r>
        <w:rPr>
          <w:rFonts w:hint="eastAsia" w:ascii="宋体" w:hAnsi="宋体" w:eastAsia="宋体" w:cs="宋体"/>
          <w:bCs/>
          <w:color w:val="auto"/>
          <w:highlight w:val="none"/>
          <w:u w:val="single"/>
          <w:lang w:eastAsia="zh-CN" w:bidi="ar"/>
        </w:rPr>
        <w:t>标的物</w:t>
      </w:r>
      <w:r>
        <w:rPr>
          <w:rFonts w:hint="eastAsia" w:ascii="宋体" w:hAnsi="宋体" w:eastAsia="宋体" w:cs="宋体"/>
          <w:bCs/>
          <w:color w:val="auto"/>
          <w:highlight w:val="none"/>
          <w:u w:val="single"/>
          <w:lang w:bidi="ar"/>
        </w:rPr>
        <w:t>）</w:t>
      </w:r>
      <w:r>
        <w:rPr>
          <w:rFonts w:hint="eastAsia" w:ascii="宋体" w:hAnsi="宋体" w:eastAsia="宋体" w:cs="宋体"/>
          <w:bCs/>
          <w:color w:val="auto"/>
          <w:highlight w:val="none"/>
          <w:lang w:bidi="ar"/>
        </w:rPr>
        <w:t xml:space="preserve"> ，属于</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u w:val="single"/>
          <w:lang w:eastAsia="zh-CN" w:bidi="ar"/>
        </w:rPr>
        <w:t>工业</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lang w:bidi="ar"/>
        </w:rPr>
        <w:t xml:space="preserve"> 行业；制造商为</w:t>
      </w:r>
      <w:r>
        <w:rPr>
          <w:rFonts w:hint="eastAsia" w:ascii="宋体" w:hAnsi="宋体" w:eastAsia="宋体" w:cs="宋体"/>
          <w:bCs/>
          <w:color w:val="auto"/>
          <w:highlight w:val="none"/>
          <w:u w:val="single"/>
          <w:lang w:bidi="ar"/>
        </w:rPr>
        <w:t>（企业名称）</w:t>
      </w:r>
      <w:r>
        <w:rPr>
          <w:rFonts w:hint="eastAsia" w:ascii="宋体" w:hAnsi="宋体" w:eastAsia="宋体" w:cs="宋体"/>
          <w:bCs/>
          <w:color w:val="auto"/>
          <w:highlight w:val="none"/>
          <w:lang w:bidi="ar"/>
        </w:rPr>
        <w:t>，从业人员</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lang w:bidi="ar"/>
        </w:rPr>
        <w:t xml:space="preserve">人，营业收入为 </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lang w:bidi="ar"/>
        </w:rPr>
        <w:t xml:space="preserve"> 万元，资产总额为 </w:t>
      </w:r>
      <w:r>
        <w:rPr>
          <w:rFonts w:hint="eastAsia" w:ascii="宋体" w:hAnsi="宋体" w:eastAsia="宋体" w:cs="宋体"/>
          <w:bCs/>
          <w:color w:val="auto"/>
          <w:highlight w:val="none"/>
          <w:u w:val="single"/>
          <w:lang w:bidi="ar"/>
        </w:rPr>
        <w:t xml:space="preserve">        </w:t>
      </w:r>
      <w:r>
        <w:rPr>
          <w:rFonts w:hint="eastAsia" w:ascii="宋体" w:hAnsi="宋体" w:eastAsia="宋体" w:cs="宋体"/>
          <w:bCs/>
          <w:color w:val="auto"/>
          <w:highlight w:val="none"/>
          <w:lang w:bidi="ar"/>
        </w:rPr>
        <w:t>万元 属于</w:t>
      </w:r>
      <w:r>
        <w:rPr>
          <w:rFonts w:hint="eastAsia" w:ascii="宋体" w:hAnsi="宋体" w:eastAsia="宋体" w:cs="宋体"/>
          <w:bCs/>
          <w:color w:val="auto"/>
          <w:highlight w:val="none"/>
          <w:u w:val="single"/>
          <w:lang w:bidi="ar"/>
        </w:rPr>
        <w:t>（中型企业、小型企业、微型企业）</w:t>
      </w:r>
      <w:r>
        <w:rPr>
          <w:rFonts w:hint="eastAsia" w:ascii="宋体" w:hAnsi="宋体" w:eastAsia="宋体" w:cs="宋体"/>
          <w:bCs/>
          <w:color w:val="auto"/>
          <w:highlight w:val="none"/>
          <w:lang w:bidi="ar"/>
        </w:rPr>
        <w:t xml:space="preserve">； </w:t>
      </w:r>
    </w:p>
    <w:p w14:paraId="5845CB1A">
      <w:pPr>
        <w:pStyle w:val="13"/>
        <w:widowControl/>
        <w:spacing w:line="48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以上企业，不属于大企业的分支机构，不存在控股股东为大企业的情形，也不存在与大企业的负责人为同一人的情形。 </w:t>
      </w:r>
    </w:p>
    <w:p w14:paraId="20324ED6">
      <w:pPr>
        <w:pStyle w:val="13"/>
        <w:widowControl/>
        <w:spacing w:line="480" w:lineRule="exact"/>
        <w:ind w:firstLine="480" w:firstLineChars="200"/>
        <w:rPr>
          <w:rFonts w:hint="eastAsia" w:ascii="宋体" w:hAnsi="宋体" w:eastAsia="宋体" w:cs="宋体"/>
          <w:bCs/>
          <w:color w:val="auto"/>
          <w:highlight w:val="none"/>
          <w:lang w:bidi="ar"/>
        </w:rPr>
      </w:pPr>
      <w:r>
        <w:rPr>
          <w:rFonts w:hint="eastAsia" w:ascii="宋体" w:hAnsi="宋体" w:eastAsia="宋体" w:cs="宋体"/>
          <w:color w:val="auto"/>
          <w:kern w:val="2"/>
          <w:sz w:val="24"/>
          <w:szCs w:val="24"/>
          <w:highlight w:val="none"/>
          <w:lang w:val="en-US" w:eastAsia="zh-CN" w:bidi="ar-SA"/>
        </w:rPr>
        <w:t xml:space="preserve">本企业对上述声明内容的真实性负责。如有虚假，将依法承担相应责任。 </w:t>
      </w:r>
    </w:p>
    <w:p w14:paraId="4D7BFA5E">
      <w:pPr>
        <w:pStyle w:val="13"/>
        <w:widowControl/>
        <w:spacing w:line="480" w:lineRule="exact"/>
        <w:ind w:firstLine="480" w:firstLineChars="200"/>
        <w:jc w:val="right"/>
        <w:rPr>
          <w:rFonts w:hint="eastAsia" w:ascii="宋体" w:hAnsi="宋体" w:eastAsia="宋体" w:cs="宋体"/>
          <w:bCs/>
          <w:color w:val="auto"/>
          <w:highlight w:val="none"/>
        </w:rPr>
      </w:pPr>
      <w:r>
        <w:rPr>
          <w:rFonts w:hint="eastAsia" w:ascii="宋体" w:hAnsi="宋体" w:eastAsia="宋体" w:cs="宋体"/>
          <w:bCs/>
          <w:color w:val="auto"/>
          <w:highlight w:val="none"/>
          <w:lang w:bidi="ar"/>
        </w:rPr>
        <w:t xml:space="preserve">企业名称（盖章）： </w:t>
      </w:r>
    </w:p>
    <w:p w14:paraId="60D14CD3">
      <w:pPr>
        <w:pStyle w:val="13"/>
        <w:widowControl/>
        <w:spacing w:line="480" w:lineRule="exact"/>
        <w:ind w:firstLine="480" w:firstLineChars="200"/>
        <w:jc w:val="right"/>
        <w:rPr>
          <w:rFonts w:hint="eastAsia" w:ascii="宋体" w:hAnsi="宋体" w:eastAsia="宋体" w:cs="宋体"/>
          <w:color w:val="auto"/>
          <w:sz w:val="24"/>
          <w:szCs w:val="24"/>
          <w:highlight w:val="none"/>
          <w:lang w:val="en-US"/>
        </w:rPr>
      </w:pPr>
      <w:r>
        <w:rPr>
          <w:rFonts w:hint="eastAsia" w:ascii="宋体" w:hAnsi="宋体" w:eastAsia="宋体" w:cs="宋体"/>
          <w:bCs/>
          <w:color w:val="auto"/>
          <w:highlight w:val="none"/>
          <w:lang w:bidi="ar"/>
        </w:rPr>
        <w:t>日 期：</w:t>
      </w:r>
    </w:p>
    <w:p w14:paraId="438A5EB6">
      <w:pPr>
        <w:keepNext w:val="0"/>
        <w:keepLines w:val="0"/>
        <w:pageBreakBefore w:val="0"/>
        <w:widowControl/>
        <w:overflowPunct/>
        <w:topLinePunct w:val="0"/>
        <w:bidi w:val="0"/>
        <w:spacing w:beforeAutospacing="0" w:afterAutospacing="0" w:line="460" w:lineRule="exact"/>
        <w:ind w:left="0" w:leftChars="0" w:right="0" w:rightChars="0"/>
        <w:rPr>
          <w:rFonts w:hint="eastAsia" w:ascii="宋体" w:hAnsi="宋体" w:eastAsia="宋体" w:cs="宋体"/>
          <w:b/>
          <w:bCs/>
          <w:color w:val="auto"/>
          <w:sz w:val="24"/>
          <w:szCs w:val="24"/>
          <w:highlight w:val="none"/>
          <w:lang w:val="en-US" w:bidi="ar"/>
        </w:rPr>
      </w:pPr>
    </w:p>
    <w:p w14:paraId="6AA44B72">
      <w:pPr>
        <w:keepNext w:val="0"/>
        <w:keepLines w:val="0"/>
        <w:pageBreakBefore w:val="0"/>
        <w:widowControl/>
        <w:overflowPunct/>
        <w:topLinePunct w:val="0"/>
        <w:bidi w:val="0"/>
        <w:spacing w:beforeAutospacing="0" w:afterAutospacing="0" w:line="460" w:lineRule="exact"/>
        <w:ind w:left="0" w:leftChars="0" w:right="0" w:rightChars="0"/>
        <w:rPr>
          <w:rFonts w:hint="eastAsia" w:ascii="宋体" w:hAnsi="宋体" w:eastAsia="宋体" w:cs="宋体"/>
          <w:b/>
          <w:bCs/>
          <w:color w:val="auto"/>
          <w:sz w:val="24"/>
          <w:szCs w:val="24"/>
          <w:highlight w:val="none"/>
          <w:lang w:val="en-US" w:bidi="ar"/>
        </w:rPr>
      </w:pPr>
      <w:r>
        <w:rPr>
          <w:rFonts w:hint="eastAsia" w:ascii="宋体" w:hAnsi="宋体" w:eastAsia="宋体" w:cs="宋体"/>
          <w:b/>
          <w:bCs/>
          <w:color w:val="auto"/>
          <w:sz w:val="24"/>
          <w:szCs w:val="24"/>
          <w:highlight w:val="none"/>
          <w:lang w:val="en-US" w:bidi="ar"/>
        </w:rPr>
        <w:t>注：1、从业人员、营业收入、资产总额填报上一年度数据，无上一年度数据的新成立企业可不填报。</w:t>
      </w:r>
    </w:p>
    <w:p w14:paraId="7E1BFABD">
      <w:pPr>
        <w:keepNext w:val="0"/>
        <w:keepLines w:val="0"/>
        <w:pageBreakBefore w:val="0"/>
        <w:widowControl/>
        <w:overflowPunct/>
        <w:topLinePunct w:val="0"/>
        <w:bidi w:val="0"/>
        <w:spacing w:beforeAutospacing="0" w:afterAutospacing="0" w:line="460" w:lineRule="exact"/>
        <w:ind w:left="0" w:leftChars="0" w:right="0" w:rightChars="0" w:firstLine="482" w:firstLineChars="200"/>
        <w:outlineLvl w:val="2"/>
        <w:rPr>
          <w:rFonts w:hint="eastAsia" w:ascii="宋体" w:hAnsi="宋体" w:eastAsia="宋体" w:cs="宋体"/>
          <w:b/>
          <w:bCs/>
          <w:color w:val="auto"/>
          <w:sz w:val="24"/>
          <w:szCs w:val="24"/>
          <w:highlight w:val="none"/>
          <w:lang w:val="en-US" w:bidi="ar"/>
        </w:rPr>
      </w:pPr>
      <w:bookmarkStart w:id="115" w:name="_Toc18583"/>
      <w:bookmarkStart w:id="116" w:name="_Toc5090"/>
      <w:r>
        <w:rPr>
          <w:rFonts w:hint="eastAsia" w:ascii="宋体" w:hAnsi="宋体" w:eastAsia="宋体" w:cs="宋体"/>
          <w:b/>
          <w:bCs/>
          <w:color w:val="auto"/>
          <w:sz w:val="24"/>
          <w:szCs w:val="24"/>
          <w:highlight w:val="none"/>
          <w:lang w:val="en-US" w:bidi="ar"/>
        </w:rPr>
        <w:t>2、未按上述要求提供、填写的，评审时不予以考虑。</w:t>
      </w:r>
      <w:bookmarkEnd w:id="115"/>
      <w:bookmarkEnd w:id="116"/>
    </w:p>
    <w:p w14:paraId="2E6D79D6">
      <w:pPr>
        <w:keepNext w:val="0"/>
        <w:keepLines w:val="0"/>
        <w:pageBreakBefore w:val="0"/>
        <w:widowControl/>
        <w:overflowPunct/>
        <w:topLinePunct w:val="0"/>
        <w:bidi w:val="0"/>
        <w:spacing w:beforeAutospacing="0" w:afterAutospacing="0" w:line="460" w:lineRule="exact"/>
        <w:ind w:left="0" w:leftChars="0" w:right="0" w:rightChars="0"/>
        <w:rPr>
          <w:rFonts w:hint="eastAsia" w:ascii="宋体" w:hAnsi="宋体" w:eastAsia="宋体" w:cs="宋体"/>
          <w:b/>
          <w:bCs/>
          <w:color w:val="auto"/>
          <w:sz w:val="24"/>
          <w:szCs w:val="24"/>
          <w:highlight w:val="none"/>
          <w:lang w:val="en-US" w:bidi="ar"/>
        </w:rPr>
      </w:pPr>
    </w:p>
    <w:p w14:paraId="06ADC44C">
      <w:pPr>
        <w:keepNext w:val="0"/>
        <w:keepLines w:val="0"/>
        <w:pageBreakBefore w:val="0"/>
        <w:overflowPunct/>
        <w:topLinePunct w:val="0"/>
        <w:bidi w:val="0"/>
        <w:spacing w:beforeAutospacing="0" w:afterAutospacing="0" w:line="460" w:lineRule="exact"/>
        <w:ind w:left="0" w:leftChars="0" w:right="0" w:rightChars="0"/>
        <w:jc w:val="both"/>
        <w:rPr>
          <w:rFonts w:hint="eastAsia" w:ascii="宋体" w:hAnsi="宋体" w:eastAsia="宋体" w:cs="宋体"/>
          <w:b/>
          <w:color w:val="auto"/>
          <w:sz w:val="28"/>
          <w:szCs w:val="24"/>
          <w:highlight w:val="none"/>
        </w:rPr>
      </w:pPr>
    </w:p>
    <w:p w14:paraId="674AE7FF">
      <w:pPr>
        <w:pStyle w:val="40"/>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color w:val="auto"/>
          <w:sz w:val="28"/>
          <w:szCs w:val="24"/>
          <w:highlight w:val="none"/>
        </w:rPr>
      </w:pPr>
    </w:p>
    <w:p w14:paraId="673C3F18">
      <w:pPr>
        <w:pStyle w:val="40"/>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color w:val="auto"/>
          <w:sz w:val="28"/>
          <w:szCs w:val="24"/>
          <w:highlight w:val="none"/>
        </w:rPr>
      </w:pPr>
    </w:p>
    <w:p w14:paraId="280BD81F">
      <w:pPr>
        <w:pStyle w:val="40"/>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b/>
          <w:color w:val="auto"/>
          <w:sz w:val="28"/>
          <w:szCs w:val="24"/>
          <w:highlight w:val="none"/>
        </w:rPr>
      </w:pPr>
    </w:p>
    <w:p w14:paraId="6F77D59E">
      <w:pPr>
        <w:rPr>
          <w:rFonts w:hint="eastAsia" w:ascii="宋体" w:hAnsi="宋体" w:eastAsia="宋体" w:cs="宋体"/>
          <w:b/>
          <w:color w:val="auto"/>
          <w:sz w:val="28"/>
          <w:szCs w:val="24"/>
          <w:highlight w:val="none"/>
        </w:rPr>
      </w:pPr>
      <w:bookmarkStart w:id="117" w:name="_Toc25024"/>
      <w:r>
        <w:rPr>
          <w:rFonts w:hint="eastAsia" w:ascii="宋体" w:hAnsi="宋体" w:eastAsia="宋体" w:cs="宋体"/>
          <w:b/>
          <w:color w:val="auto"/>
          <w:sz w:val="28"/>
          <w:szCs w:val="24"/>
          <w:highlight w:val="none"/>
        </w:rPr>
        <w:br w:type="page"/>
      </w:r>
    </w:p>
    <w:p w14:paraId="4CA7E421">
      <w:pPr>
        <w:jc w:val="center"/>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残疾人福利性单位声明函</w:t>
      </w:r>
      <w:bookmarkEnd w:id="117"/>
    </w:p>
    <w:p w14:paraId="6D7EA483">
      <w:pPr>
        <w:keepNext w:val="0"/>
        <w:keepLines w:val="0"/>
        <w:pageBreakBefore w:val="0"/>
        <w:overflowPunct/>
        <w:topLinePunct w:val="0"/>
        <w:bidi w:val="0"/>
        <w:spacing w:beforeAutospacing="0" w:afterAutospacing="0" w:line="460" w:lineRule="exact"/>
        <w:ind w:left="0" w:leftChars="0" w:right="0" w:rightChars="0" w:firstLine="624" w:firstLineChars="200"/>
        <w:rPr>
          <w:rFonts w:hint="eastAsia" w:ascii="宋体" w:hAnsi="宋体" w:eastAsia="宋体" w:cs="宋体"/>
          <w:color w:val="auto"/>
          <w:spacing w:val="6"/>
          <w:sz w:val="30"/>
          <w:szCs w:val="30"/>
          <w:highlight w:val="none"/>
        </w:rPr>
      </w:pPr>
    </w:p>
    <w:p w14:paraId="7DCA8614">
      <w:pPr>
        <w:keepNext w:val="0"/>
        <w:keepLines w:val="0"/>
        <w:pageBreakBefore w:val="0"/>
        <w:overflowPunct/>
        <w:topLinePunct w:val="0"/>
        <w:bidi w:val="0"/>
        <w:spacing w:beforeAutospacing="0" w:afterAutospacing="0" w:line="4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2FC773A9">
      <w:pPr>
        <w:keepNext w:val="0"/>
        <w:keepLines w:val="0"/>
        <w:pageBreakBefore w:val="0"/>
        <w:overflowPunct/>
        <w:topLinePunct w:val="0"/>
        <w:bidi w:val="0"/>
        <w:spacing w:beforeAutospacing="0" w:afterAutospacing="0" w:line="4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本单位在本次政府采购活动中提供的残疾人福利单位产品报价合计为人民币（大写）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圆整（￥：     ）。</w:t>
      </w:r>
    </w:p>
    <w:p w14:paraId="0E56220E">
      <w:pPr>
        <w:keepNext w:val="0"/>
        <w:keepLines w:val="0"/>
        <w:pageBreakBefore w:val="0"/>
        <w:overflowPunct/>
        <w:topLinePunct w:val="0"/>
        <w:bidi w:val="0"/>
        <w:spacing w:beforeAutospacing="0" w:afterAutospacing="0" w:line="4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2423FBC">
      <w:pPr>
        <w:keepNext w:val="0"/>
        <w:keepLines w:val="0"/>
        <w:pageBreakBefore w:val="0"/>
        <w:overflowPunct/>
        <w:topLinePunct w:val="0"/>
        <w:bidi w:val="0"/>
        <w:spacing w:beforeAutospacing="0" w:afterAutospacing="0" w:line="460" w:lineRule="exact"/>
        <w:ind w:left="0" w:leftChars="0" w:right="0" w:rightChars="0" w:firstLine="480" w:firstLineChars="200"/>
        <w:rPr>
          <w:rFonts w:hint="eastAsia" w:ascii="宋体" w:hAnsi="宋体" w:eastAsia="宋体" w:cs="宋体"/>
          <w:color w:val="auto"/>
          <w:sz w:val="24"/>
          <w:highlight w:val="none"/>
        </w:rPr>
      </w:pPr>
    </w:p>
    <w:p w14:paraId="46EDCFC1">
      <w:pPr>
        <w:keepNext w:val="0"/>
        <w:keepLines w:val="0"/>
        <w:pageBreakBefore w:val="0"/>
        <w:overflowPunct/>
        <w:topLinePunct w:val="0"/>
        <w:bidi w:val="0"/>
        <w:spacing w:beforeAutospacing="0" w:afterAutospacing="0" w:line="4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（备注：1、投标人如不提供此声明函，价格将不做相应扣除。2、中标投标人为残疾人福利单位的，此声明函将随中标结果同时公告，接受社会监督）</w:t>
      </w:r>
    </w:p>
    <w:p w14:paraId="407D8544">
      <w:pPr>
        <w:keepNext w:val="0"/>
        <w:keepLines w:val="0"/>
        <w:pageBreakBefore w:val="0"/>
        <w:overflowPunct/>
        <w:topLinePunct w:val="0"/>
        <w:bidi w:val="0"/>
        <w:spacing w:beforeAutospacing="0" w:afterAutospacing="0" w:line="460" w:lineRule="exact"/>
        <w:ind w:left="0" w:leftChars="0" w:right="0" w:rightChars="0" w:firstLine="624" w:firstLineChars="200"/>
        <w:rPr>
          <w:rFonts w:hint="eastAsia" w:ascii="宋体" w:hAnsi="宋体" w:eastAsia="宋体" w:cs="宋体"/>
          <w:color w:val="auto"/>
          <w:spacing w:val="6"/>
          <w:sz w:val="30"/>
          <w:szCs w:val="30"/>
          <w:highlight w:val="none"/>
        </w:rPr>
      </w:pPr>
    </w:p>
    <w:p w14:paraId="2BA1E9C3">
      <w:pPr>
        <w:keepNext w:val="0"/>
        <w:keepLines w:val="0"/>
        <w:pageBreakBefore w:val="0"/>
        <w:tabs>
          <w:tab w:val="left" w:pos="4860"/>
        </w:tabs>
        <w:overflowPunct/>
        <w:topLinePunct w:val="0"/>
        <w:bidi w:val="0"/>
        <w:spacing w:beforeAutospacing="0" w:afterAutospacing="0" w:line="460" w:lineRule="exact"/>
        <w:ind w:left="0" w:leftChars="0" w:right="0" w:rightChars="0" w:firstLine="624" w:firstLineChars="200"/>
        <w:jc w:val="center"/>
        <w:rPr>
          <w:rFonts w:hint="eastAsia" w:ascii="宋体" w:hAnsi="宋体" w:eastAsia="宋体" w:cs="宋体"/>
          <w:color w:val="auto"/>
          <w:sz w:val="24"/>
          <w:highlight w:val="none"/>
        </w:rPr>
      </w:pPr>
      <w:r>
        <w:rPr>
          <w:rFonts w:hint="eastAsia" w:ascii="宋体" w:hAnsi="宋体" w:eastAsia="宋体" w:cs="宋体"/>
          <w:color w:val="auto"/>
          <w:spacing w:val="6"/>
          <w:sz w:val="30"/>
          <w:szCs w:val="30"/>
          <w:highlight w:val="none"/>
        </w:rPr>
        <w:t xml:space="preserve">             </w:t>
      </w:r>
      <w:r>
        <w:rPr>
          <w:rFonts w:hint="eastAsia" w:ascii="宋体" w:hAnsi="宋体" w:eastAsia="宋体" w:cs="宋体"/>
          <w:color w:val="auto"/>
          <w:sz w:val="24"/>
          <w:highlight w:val="none"/>
        </w:rPr>
        <w:t xml:space="preserve">                  投标人全称（盖章）：</w:t>
      </w:r>
    </w:p>
    <w:p w14:paraId="5971825E">
      <w:pPr>
        <w:keepNext w:val="0"/>
        <w:keepLines w:val="0"/>
        <w:pageBreakBefore w:val="0"/>
        <w:tabs>
          <w:tab w:val="left" w:pos="4860"/>
        </w:tabs>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3C89B88">
      <w:pPr>
        <w:keepNext w:val="0"/>
        <w:keepLines w:val="0"/>
        <w:pageBreakBefore w:val="0"/>
        <w:overflowPunct/>
        <w:topLinePunct w:val="0"/>
        <w:bidi w:val="0"/>
        <w:adjustRightInd w:val="0"/>
        <w:snapToGrid w:val="0"/>
        <w:spacing w:beforeAutospacing="0" w:afterAutospacing="0" w:line="460" w:lineRule="exact"/>
        <w:ind w:left="0" w:leftChars="0" w:right="0" w:rightChars="0"/>
        <w:outlineLvl w:val="1"/>
        <w:rPr>
          <w:rFonts w:hint="eastAsia" w:ascii="宋体" w:hAnsi="宋体" w:eastAsia="宋体" w:cs="宋体"/>
          <w:b/>
          <w:bCs/>
          <w:color w:val="auto"/>
          <w:sz w:val="2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18" w:name="_Toc15739"/>
      <w:bookmarkStart w:id="119" w:name="_Toc1620"/>
      <w:bookmarkStart w:id="120" w:name="_Toc22558"/>
      <w:r>
        <w:rPr>
          <w:rFonts w:hint="eastAsia" w:ascii="宋体" w:hAnsi="宋体" w:eastAsia="宋体" w:cs="宋体"/>
          <w:b/>
          <w:bCs/>
          <w:color w:val="auto"/>
          <w:sz w:val="24"/>
          <w:highlight w:val="none"/>
        </w:rPr>
        <w:t>（备注：投标人如未提供此声明函，价格将不做相应扣除，但投标不会被拒绝；如未如实声明，需承担相应法律责任。）</w:t>
      </w:r>
      <w:bookmarkEnd w:id="118"/>
      <w:bookmarkEnd w:id="119"/>
      <w:bookmarkEnd w:id="120"/>
    </w:p>
    <w:p w14:paraId="09B18326">
      <w:pPr>
        <w:rPr>
          <w:rFonts w:hint="eastAsia" w:ascii="宋体" w:hAnsi="宋体" w:eastAsia="宋体" w:cs="宋体"/>
          <w:color w:val="auto"/>
          <w:sz w:val="24"/>
          <w:highlight w:val="none"/>
        </w:rPr>
      </w:pPr>
      <w:bookmarkStart w:id="121" w:name="_Toc29398"/>
      <w:bookmarkStart w:id="122" w:name="_Toc18094"/>
      <w:r>
        <w:rPr>
          <w:rFonts w:hint="eastAsia" w:ascii="宋体" w:hAnsi="宋体" w:eastAsia="宋体" w:cs="宋体"/>
          <w:b/>
          <w:color w:val="auto"/>
          <w:sz w:val="24"/>
          <w:highlight w:val="none"/>
          <w:lang w:val="en-US" w:eastAsia="zh-CN"/>
        </w:rPr>
        <w:t>7-8</w:t>
      </w:r>
      <w:r>
        <w:rPr>
          <w:rFonts w:hint="eastAsia" w:ascii="宋体" w:hAnsi="宋体" w:eastAsia="宋体" w:cs="宋体"/>
          <w:b/>
          <w:color w:val="auto"/>
          <w:sz w:val="24"/>
          <w:highlight w:val="none"/>
        </w:rPr>
        <w:t>股权构成和声明函</w:t>
      </w:r>
    </w:p>
    <w:p w14:paraId="4C8082AF">
      <w:pPr>
        <w:spacing w:line="480" w:lineRule="exact"/>
        <w:ind w:firstLine="490" w:firstLineChars="200"/>
        <w:jc w:val="center"/>
        <w:rPr>
          <w:rFonts w:hint="eastAsia" w:ascii="宋体" w:hAnsi="宋体" w:eastAsia="宋体" w:cs="宋体"/>
          <w:b/>
          <w:bCs/>
          <w:color w:val="auto"/>
          <w:spacing w:val="1"/>
          <w:sz w:val="24"/>
          <w:highlight w:val="none"/>
        </w:rPr>
      </w:pPr>
      <w:r>
        <w:rPr>
          <w:rFonts w:hint="eastAsia" w:ascii="宋体" w:hAnsi="宋体" w:eastAsia="宋体" w:cs="宋体"/>
          <w:b/>
          <w:bCs/>
          <w:color w:val="auto"/>
          <w:spacing w:val="2"/>
          <w:sz w:val="24"/>
          <w:highlight w:val="none"/>
        </w:rPr>
        <w:t xml:space="preserve">声  明  </w:t>
      </w:r>
      <w:r>
        <w:rPr>
          <w:rFonts w:hint="eastAsia" w:ascii="宋体" w:hAnsi="宋体" w:eastAsia="宋体" w:cs="宋体"/>
          <w:b/>
          <w:bCs/>
          <w:color w:val="auto"/>
          <w:spacing w:val="1"/>
          <w:sz w:val="24"/>
          <w:highlight w:val="none"/>
        </w:rPr>
        <w:t>函</w:t>
      </w:r>
    </w:p>
    <w:p w14:paraId="535E7603">
      <w:pPr>
        <w:spacing w:before="72" w:line="503" w:lineRule="auto"/>
        <w:ind w:left="121" w:right="168" w:firstLine="440"/>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本单位在参与</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项目投标过程中特作以下</w:t>
      </w:r>
      <w:r>
        <w:rPr>
          <w:rFonts w:hint="eastAsia" w:ascii="宋体" w:hAnsi="宋体" w:eastAsia="宋体" w:cs="宋体"/>
          <w:color w:val="auto"/>
          <w:spacing w:val="-15"/>
          <w:sz w:val="24"/>
          <w:highlight w:val="none"/>
        </w:rPr>
        <w:t>承</w:t>
      </w:r>
      <w:r>
        <w:rPr>
          <w:rFonts w:hint="eastAsia" w:ascii="宋体" w:hAnsi="宋体" w:eastAsia="宋体" w:cs="宋体"/>
          <w:color w:val="auto"/>
          <w:spacing w:val="-12"/>
          <w:sz w:val="24"/>
          <w:highlight w:val="none"/>
        </w:rPr>
        <w:t>诺：</w:t>
      </w:r>
    </w:p>
    <w:p w14:paraId="6C6E4770">
      <w:pPr>
        <w:spacing w:before="1" w:line="503" w:lineRule="auto"/>
        <w:ind w:left="124" w:right="114" w:firstLine="437"/>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我单位不存在以下情况：</w:t>
      </w:r>
    </w:p>
    <w:p w14:paraId="0F6CC9EC">
      <w:pPr>
        <w:spacing w:before="1" w:line="503" w:lineRule="auto"/>
        <w:ind w:left="124" w:right="114" w:firstLine="437"/>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pacing w:val="-1"/>
          <w:sz w:val="24"/>
          <w:highlight w:val="none"/>
        </w:rPr>
        <w:t>具体信息如下</w:t>
      </w:r>
      <w:r>
        <w:rPr>
          <w:rFonts w:hint="eastAsia" w:ascii="宋体" w:hAnsi="宋体" w:eastAsia="宋体" w:cs="宋体"/>
          <w:color w:val="auto"/>
          <w:sz w:val="24"/>
          <w:highlight w:val="none"/>
        </w:rPr>
        <w:t>：</w:t>
      </w:r>
    </w:p>
    <w:p w14:paraId="002AFEE5">
      <w:pPr>
        <w:spacing w:line="140" w:lineRule="exact"/>
        <w:rPr>
          <w:rFonts w:hint="eastAsia" w:ascii="宋体" w:hAnsi="宋体" w:eastAsia="宋体" w:cs="宋体"/>
          <w:color w:val="auto"/>
          <w:sz w:val="24"/>
          <w:highlight w:val="none"/>
        </w:rPr>
      </w:pPr>
    </w:p>
    <w:tbl>
      <w:tblPr>
        <w:tblStyle w:val="33"/>
        <w:tblW w:w="8550" w:type="dxa"/>
        <w:tblInd w:w="-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11"/>
        <w:gridCol w:w="2539"/>
      </w:tblGrid>
      <w:tr w14:paraId="1C1551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54" w:hRule="atLeast"/>
        </w:trPr>
        <w:tc>
          <w:tcPr>
            <w:tcW w:w="6011" w:type="dxa"/>
            <w:tcBorders>
              <w:top w:val="single" w:color="auto" w:sz="2" w:space="0"/>
              <w:left w:val="single" w:color="auto" w:sz="2" w:space="0"/>
              <w:bottom w:val="single" w:color="auto" w:sz="2" w:space="0"/>
              <w:right w:val="single" w:color="auto" w:sz="2" w:space="0"/>
            </w:tcBorders>
            <w:noWrap w:val="0"/>
            <w:vAlign w:val="top"/>
          </w:tcPr>
          <w:p w14:paraId="414EE511">
            <w:pPr>
              <w:spacing w:before="88" w:line="276" w:lineRule="auto"/>
              <w:ind w:right="117"/>
              <w:jc w:val="left"/>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highlight w:val="none"/>
              </w:rPr>
              <w:t xml:space="preserve"> </w:t>
            </w:r>
          </w:p>
        </w:tc>
        <w:tc>
          <w:tcPr>
            <w:tcW w:w="2539" w:type="dxa"/>
            <w:tcBorders>
              <w:top w:val="single" w:color="auto" w:sz="2" w:space="0"/>
              <w:left w:val="single" w:color="auto" w:sz="2" w:space="0"/>
              <w:bottom w:val="single" w:color="auto" w:sz="2" w:space="0"/>
              <w:right w:val="single" w:color="auto" w:sz="2" w:space="0"/>
            </w:tcBorders>
            <w:noWrap w:val="0"/>
            <w:vAlign w:val="top"/>
          </w:tcPr>
          <w:p w14:paraId="1AD0AD0A">
            <w:pPr>
              <w:spacing w:before="244" w:line="225" w:lineRule="auto"/>
              <w:jc w:val="left"/>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请</w:t>
            </w:r>
            <w:r>
              <w:rPr>
                <w:rFonts w:hint="eastAsia" w:ascii="宋体" w:hAnsi="宋体" w:eastAsia="宋体" w:cs="宋体"/>
                <w:color w:val="auto"/>
                <w:spacing w:val="12"/>
                <w:sz w:val="24"/>
                <w:highlight w:val="none"/>
              </w:rPr>
              <w:t>如实填写，没有请在本栏填写“无”</w:t>
            </w:r>
          </w:p>
        </w:tc>
      </w:tr>
      <w:tr w14:paraId="4F31F5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1" w:hRule="atLeast"/>
        </w:trPr>
        <w:tc>
          <w:tcPr>
            <w:tcW w:w="6011" w:type="dxa"/>
            <w:tcBorders>
              <w:top w:val="single" w:color="auto" w:sz="2" w:space="0"/>
              <w:left w:val="single" w:color="auto" w:sz="2" w:space="0"/>
              <w:bottom w:val="single" w:color="auto" w:sz="2" w:space="0"/>
              <w:right w:val="single" w:color="auto" w:sz="2" w:space="0"/>
            </w:tcBorders>
            <w:noWrap w:val="0"/>
            <w:vAlign w:val="top"/>
          </w:tcPr>
          <w:p w14:paraId="162014A2">
            <w:pPr>
              <w:spacing w:before="86" w:line="276" w:lineRule="auto"/>
              <w:ind w:right="117"/>
              <w:rPr>
                <w:rFonts w:hint="eastAsia" w:ascii="宋体" w:hAnsi="宋体" w:eastAsia="宋体" w:cs="宋体"/>
                <w:color w:val="auto"/>
                <w:sz w:val="24"/>
                <w:highlight w:val="none"/>
              </w:rPr>
            </w:pPr>
            <w:r>
              <w:rPr>
                <w:rFonts w:hint="eastAsia" w:ascii="宋体" w:hAnsi="宋体" w:eastAsia="宋体" w:cs="宋体"/>
                <w:color w:val="auto"/>
                <w:sz w:val="24"/>
                <w:highlight w:val="none"/>
              </w:rPr>
              <w:t>除单一来源采购项目外，为采购项目提供整体设计、规范编制或者项目管理、监理、检测等服务的供应商，不得再参加该采购项目的其他采购活动</w:t>
            </w:r>
          </w:p>
        </w:tc>
        <w:tc>
          <w:tcPr>
            <w:tcW w:w="2539" w:type="dxa"/>
            <w:tcBorders>
              <w:top w:val="single" w:color="auto" w:sz="2" w:space="0"/>
              <w:left w:val="single" w:color="auto" w:sz="2" w:space="0"/>
              <w:bottom w:val="single" w:color="auto" w:sz="2" w:space="0"/>
              <w:right w:val="single" w:color="auto" w:sz="2" w:space="0"/>
            </w:tcBorders>
            <w:noWrap w:val="0"/>
            <w:vAlign w:val="top"/>
          </w:tcPr>
          <w:p w14:paraId="673EC0D4">
            <w:pPr>
              <w:spacing w:before="242" w:line="225" w:lineRule="auto"/>
              <w:jc w:val="left"/>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请</w:t>
            </w:r>
            <w:r>
              <w:rPr>
                <w:rFonts w:hint="eastAsia" w:ascii="宋体" w:hAnsi="宋体" w:eastAsia="宋体" w:cs="宋体"/>
                <w:color w:val="auto"/>
                <w:spacing w:val="12"/>
                <w:sz w:val="24"/>
                <w:highlight w:val="none"/>
              </w:rPr>
              <w:t>如实填写，没有请在本栏填写“无”</w:t>
            </w:r>
          </w:p>
        </w:tc>
      </w:tr>
    </w:tbl>
    <w:p w14:paraId="3ECFCB0E">
      <w:pPr>
        <w:pStyle w:val="13"/>
        <w:spacing w:line="480" w:lineRule="exact"/>
        <w:ind w:firstLine="480" w:firstLineChars="200"/>
        <w:jc w:val="right"/>
        <w:rPr>
          <w:rFonts w:hint="eastAsia" w:ascii="宋体" w:hAnsi="宋体" w:eastAsia="宋体" w:cs="宋体"/>
          <w:bCs/>
          <w:color w:val="auto"/>
          <w:szCs w:val="24"/>
          <w:highlight w:val="none"/>
        </w:rPr>
      </w:pPr>
    </w:p>
    <w:p w14:paraId="626C1FD9">
      <w:pPr>
        <w:pStyle w:val="13"/>
        <w:spacing w:line="480" w:lineRule="exact"/>
        <w:jc w:val="both"/>
        <w:rPr>
          <w:rFonts w:hint="eastAsia" w:ascii="宋体" w:hAnsi="宋体" w:eastAsia="宋体" w:cs="宋体"/>
          <w:bCs/>
          <w:color w:val="auto"/>
          <w:szCs w:val="24"/>
          <w:highlight w:val="none"/>
        </w:rPr>
      </w:pPr>
    </w:p>
    <w:p w14:paraId="0C2CF956">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 ：                    （盖章）</w:t>
      </w:r>
    </w:p>
    <w:p w14:paraId="4A59D074">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p>
    <w:p w14:paraId="02608B62">
      <w:pPr>
        <w:keepNext w:val="0"/>
        <w:keepLines w:val="0"/>
        <w:pageBreakBefore w:val="0"/>
        <w:overflowPunct/>
        <w:topLinePunct w:val="0"/>
        <w:bidi w:val="0"/>
        <w:spacing w:beforeAutospacing="0" w:afterAutospacing="0" w:line="4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309EB0BF">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5355B6C0">
      <w:pPr>
        <w:pStyle w:val="13"/>
        <w:spacing w:line="480" w:lineRule="exact"/>
        <w:jc w:val="center"/>
        <w:rPr>
          <w:rFonts w:hint="eastAsia" w:ascii="宋体" w:hAnsi="宋体" w:eastAsia="宋体" w:cs="宋体"/>
          <w:color w:val="auto"/>
          <w:szCs w:val="24"/>
          <w:highlight w:val="none"/>
        </w:rPr>
      </w:pPr>
    </w:p>
    <w:p w14:paraId="4D4C2C5E">
      <w:pPr>
        <w:pStyle w:val="13"/>
        <w:spacing w:line="480" w:lineRule="exact"/>
        <w:jc w:val="center"/>
        <w:rPr>
          <w:rFonts w:hint="eastAsia" w:ascii="宋体" w:hAnsi="宋体" w:eastAsia="宋体" w:cs="宋体"/>
          <w:color w:val="auto"/>
          <w:szCs w:val="24"/>
          <w:highlight w:val="none"/>
        </w:rPr>
      </w:pPr>
    </w:p>
    <w:p w14:paraId="6EDC7066">
      <w:pPr>
        <w:pStyle w:val="13"/>
        <w:spacing w:line="480" w:lineRule="exact"/>
        <w:jc w:val="center"/>
        <w:rPr>
          <w:rFonts w:hint="eastAsia" w:ascii="宋体" w:hAnsi="宋体" w:eastAsia="宋体" w:cs="宋体"/>
          <w:b/>
          <w:color w:val="auto"/>
          <w:szCs w:val="24"/>
          <w:highlight w:val="none"/>
          <w:lang w:bidi="zh-CN"/>
        </w:rPr>
      </w:pPr>
      <w:r>
        <w:rPr>
          <w:rFonts w:hint="eastAsia" w:ascii="宋体" w:hAnsi="宋体" w:eastAsia="宋体" w:cs="宋体"/>
          <w:b/>
          <w:color w:val="auto"/>
          <w:szCs w:val="24"/>
          <w:highlight w:val="none"/>
          <w:lang w:bidi="zh-CN"/>
        </w:rPr>
        <w:br w:type="page"/>
      </w:r>
      <w:r>
        <w:rPr>
          <w:rFonts w:hint="eastAsia" w:ascii="宋体" w:hAnsi="宋体" w:eastAsia="宋体" w:cs="宋体"/>
          <w:b/>
          <w:color w:val="auto"/>
          <w:szCs w:val="24"/>
          <w:highlight w:val="none"/>
          <w:lang w:bidi="zh-CN"/>
        </w:rPr>
        <w:t>主要股东及出资人信息</w:t>
      </w:r>
    </w:p>
    <w:p w14:paraId="78C78C8D">
      <w:pPr>
        <w:rPr>
          <w:rFonts w:hint="eastAsia" w:ascii="宋体" w:hAnsi="宋体" w:eastAsia="宋体" w:cs="宋体"/>
          <w:b/>
          <w:color w:val="auto"/>
          <w:sz w:val="24"/>
          <w:highlight w:val="none"/>
          <w:lang w:bidi="zh-CN"/>
        </w:rPr>
      </w:pPr>
    </w:p>
    <w:tbl>
      <w:tblPr>
        <w:tblStyle w:val="33"/>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396"/>
        <w:gridCol w:w="2160"/>
        <w:gridCol w:w="1303"/>
        <w:gridCol w:w="1243"/>
        <w:gridCol w:w="1354"/>
        <w:gridCol w:w="678"/>
      </w:tblGrid>
      <w:tr w14:paraId="5B81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1F274F1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3448019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名称</w:t>
            </w:r>
          </w:p>
          <w:p w14:paraId="37A8286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（姓名）</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14B26C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统一社会信用代码（身份证号）</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49A9F56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出资方式</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43EB74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出资金额（万元）</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7A2451F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占全部股份比列</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66ECD56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43E9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noWrap w:val="0"/>
            <w:vAlign w:val="top"/>
          </w:tcPr>
          <w:p w14:paraId="4E187E6F">
            <w:pPr>
              <w:rPr>
                <w:rFonts w:hint="eastAsia" w:ascii="宋体" w:hAnsi="宋体" w:eastAsia="宋体" w:cs="宋体"/>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6B5C6C62">
            <w:pP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6FB37CE">
            <w:pPr>
              <w:rPr>
                <w:rFonts w:hint="eastAsia" w:ascii="宋体" w:hAnsi="宋体" w:eastAsia="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14:paraId="4AF1E3CC">
            <w:pPr>
              <w:rPr>
                <w:rFonts w:hint="eastAsia" w:ascii="宋体" w:hAnsi="宋体" w:eastAsia="宋体" w:cs="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768E4D23">
            <w:pPr>
              <w:rPr>
                <w:rFonts w:hint="eastAsia" w:ascii="宋体" w:hAnsi="宋体" w:eastAsia="宋体" w:cs="宋体"/>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14:paraId="3CCE48C3">
            <w:pPr>
              <w:rPr>
                <w:rFonts w:hint="eastAsia" w:ascii="宋体" w:hAnsi="宋体" w:eastAsia="宋体" w:cs="宋体"/>
                <w:color w:val="auto"/>
                <w:sz w:val="24"/>
                <w:highlight w:val="none"/>
              </w:rPr>
            </w:pPr>
          </w:p>
        </w:tc>
        <w:tc>
          <w:tcPr>
            <w:tcW w:w="678" w:type="dxa"/>
            <w:tcBorders>
              <w:top w:val="single" w:color="auto" w:sz="4" w:space="0"/>
              <w:left w:val="single" w:color="auto" w:sz="4" w:space="0"/>
              <w:bottom w:val="single" w:color="auto" w:sz="4" w:space="0"/>
              <w:right w:val="single" w:color="auto" w:sz="4" w:space="0"/>
            </w:tcBorders>
            <w:noWrap w:val="0"/>
            <w:vAlign w:val="top"/>
          </w:tcPr>
          <w:p w14:paraId="35B49ECA">
            <w:pPr>
              <w:rPr>
                <w:rFonts w:hint="eastAsia" w:ascii="宋体" w:hAnsi="宋体" w:eastAsia="宋体" w:cs="宋体"/>
                <w:color w:val="auto"/>
                <w:sz w:val="24"/>
                <w:highlight w:val="none"/>
              </w:rPr>
            </w:pPr>
          </w:p>
        </w:tc>
      </w:tr>
      <w:tr w14:paraId="2695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noWrap w:val="0"/>
            <w:vAlign w:val="top"/>
          </w:tcPr>
          <w:p w14:paraId="5FAD51BF">
            <w:pPr>
              <w:rPr>
                <w:rFonts w:hint="eastAsia" w:ascii="宋体" w:hAnsi="宋体" w:eastAsia="宋体" w:cs="宋体"/>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1C5D1ECB">
            <w:pP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CA09CFA">
            <w:pPr>
              <w:rPr>
                <w:rFonts w:hint="eastAsia" w:ascii="宋体" w:hAnsi="宋体" w:eastAsia="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14:paraId="5C71BC59">
            <w:pPr>
              <w:rPr>
                <w:rFonts w:hint="eastAsia" w:ascii="宋体" w:hAnsi="宋体" w:eastAsia="宋体" w:cs="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3CA01E7E">
            <w:pPr>
              <w:rPr>
                <w:rFonts w:hint="eastAsia" w:ascii="宋体" w:hAnsi="宋体" w:eastAsia="宋体" w:cs="宋体"/>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14:paraId="3B96D6FA">
            <w:pPr>
              <w:rPr>
                <w:rFonts w:hint="eastAsia" w:ascii="宋体" w:hAnsi="宋体" w:eastAsia="宋体" w:cs="宋体"/>
                <w:color w:val="auto"/>
                <w:sz w:val="24"/>
                <w:highlight w:val="none"/>
              </w:rPr>
            </w:pPr>
          </w:p>
        </w:tc>
        <w:tc>
          <w:tcPr>
            <w:tcW w:w="678" w:type="dxa"/>
            <w:tcBorders>
              <w:top w:val="single" w:color="auto" w:sz="4" w:space="0"/>
              <w:left w:val="single" w:color="auto" w:sz="4" w:space="0"/>
              <w:bottom w:val="single" w:color="auto" w:sz="4" w:space="0"/>
              <w:right w:val="single" w:color="auto" w:sz="4" w:space="0"/>
            </w:tcBorders>
            <w:noWrap w:val="0"/>
            <w:vAlign w:val="top"/>
          </w:tcPr>
          <w:p w14:paraId="24D7FF13">
            <w:pPr>
              <w:rPr>
                <w:rFonts w:hint="eastAsia" w:ascii="宋体" w:hAnsi="宋体" w:eastAsia="宋体" w:cs="宋体"/>
                <w:color w:val="auto"/>
                <w:sz w:val="24"/>
                <w:highlight w:val="none"/>
              </w:rPr>
            </w:pPr>
          </w:p>
        </w:tc>
      </w:tr>
      <w:tr w14:paraId="1D14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noWrap w:val="0"/>
            <w:vAlign w:val="top"/>
          </w:tcPr>
          <w:p w14:paraId="7C982FC7">
            <w:pPr>
              <w:rPr>
                <w:rFonts w:hint="eastAsia" w:ascii="宋体" w:hAnsi="宋体" w:eastAsia="宋体" w:cs="宋体"/>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0A542259">
            <w:pP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FC29AB9">
            <w:pPr>
              <w:rPr>
                <w:rFonts w:hint="eastAsia" w:ascii="宋体" w:hAnsi="宋体" w:eastAsia="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14:paraId="114B906A">
            <w:pPr>
              <w:rPr>
                <w:rFonts w:hint="eastAsia" w:ascii="宋体" w:hAnsi="宋体" w:eastAsia="宋体" w:cs="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392266C9">
            <w:pPr>
              <w:rPr>
                <w:rFonts w:hint="eastAsia" w:ascii="宋体" w:hAnsi="宋体" w:eastAsia="宋体" w:cs="宋体"/>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14:paraId="23C7110C">
            <w:pPr>
              <w:rPr>
                <w:rFonts w:hint="eastAsia" w:ascii="宋体" w:hAnsi="宋体" w:eastAsia="宋体" w:cs="宋体"/>
                <w:color w:val="auto"/>
                <w:sz w:val="24"/>
                <w:highlight w:val="none"/>
              </w:rPr>
            </w:pPr>
          </w:p>
        </w:tc>
        <w:tc>
          <w:tcPr>
            <w:tcW w:w="678" w:type="dxa"/>
            <w:tcBorders>
              <w:top w:val="single" w:color="auto" w:sz="4" w:space="0"/>
              <w:left w:val="single" w:color="auto" w:sz="4" w:space="0"/>
              <w:bottom w:val="single" w:color="auto" w:sz="4" w:space="0"/>
              <w:right w:val="single" w:color="auto" w:sz="4" w:space="0"/>
            </w:tcBorders>
            <w:noWrap w:val="0"/>
            <w:vAlign w:val="top"/>
          </w:tcPr>
          <w:p w14:paraId="71624576">
            <w:pPr>
              <w:rPr>
                <w:rFonts w:hint="eastAsia" w:ascii="宋体" w:hAnsi="宋体" w:eastAsia="宋体" w:cs="宋体"/>
                <w:color w:val="auto"/>
                <w:sz w:val="24"/>
                <w:highlight w:val="none"/>
              </w:rPr>
            </w:pPr>
          </w:p>
        </w:tc>
      </w:tr>
      <w:tr w14:paraId="1576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noWrap w:val="0"/>
            <w:vAlign w:val="top"/>
          </w:tcPr>
          <w:p w14:paraId="1EB1D683">
            <w:pPr>
              <w:rPr>
                <w:rFonts w:hint="eastAsia" w:ascii="宋体" w:hAnsi="宋体" w:eastAsia="宋体" w:cs="宋体"/>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6338EA5F">
            <w:pP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A9D38A6">
            <w:pPr>
              <w:rPr>
                <w:rFonts w:hint="eastAsia" w:ascii="宋体" w:hAnsi="宋体" w:eastAsia="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14:paraId="04A0C8DE">
            <w:pPr>
              <w:rPr>
                <w:rFonts w:hint="eastAsia" w:ascii="宋体" w:hAnsi="宋体" w:eastAsia="宋体" w:cs="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5DF0B071">
            <w:pPr>
              <w:rPr>
                <w:rFonts w:hint="eastAsia" w:ascii="宋体" w:hAnsi="宋体" w:eastAsia="宋体" w:cs="宋体"/>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14:paraId="5370F341">
            <w:pPr>
              <w:rPr>
                <w:rFonts w:hint="eastAsia" w:ascii="宋体" w:hAnsi="宋体" w:eastAsia="宋体" w:cs="宋体"/>
                <w:color w:val="auto"/>
                <w:sz w:val="24"/>
                <w:highlight w:val="none"/>
              </w:rPr>
            </w:pPr>
          </w:p>
        </w:tc>
        <w:tc>
          <w:tcPr>
            <w:tcW w:w="678" w:type="dxa"/>
            <w:tcBorders>
              <w:top w:val="single" w:color="auto" w:sz="4" w:space="0"/>
              <w:left w:val="single" w:color="auto" w:sz="4" w:space="0"/>
              <w:bottom w:val="single" w:color="auto" w:sz="4" w:space="0"/>
              <w:right w:val="single" w:color="auto" w:sz="4" w:space="0"/>
            </w:tcBorders>
            <w:noWrap w:val="0"/>
            <w:vAlign w:val="top"/>
          </w:tcPr>
          <w:p w14:paraId="6D4D6F70">
            <w:pPr>
              <w:rPr>
                <w:rFonts w:hint="eastAsia" w:ascii="宋体" w:hAnsi="宋体" w:eastAsia="宋体" w:cs="宋体"/>
                <w:color w:val="auto"/>
                <w:sz w:val="24"/>
                <w:highlight w:val="none"/>
              </w:rPr>
            </w:pPr>
          </w:p>
        </w:tc>
      </w:tr>
      <w:tr w14:paraId="51A4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noWrap w:val="0"/>
            <w:vAlign w:val="top"/>
          </w:tcPr>
          <w:p w14:paraId="03AB3791">
            <w:pP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96" w:type="dxa"/>
            <w:tcBorders>
              <w:top w:val="single" w:color="auto" w:sz="4" w:space="0"/>
              <w:left w:val="single" w:color="auto" w:sz="4" w:space="0"/>
              <w:bottom w:val="single" w:color="auto" w:sz="4" w:space="0"/>
              <w:right w:val="single" w:color="auto" w:sz="4" w:space="0"/>
            </w:tcBorders>
            <w:noWrap w:val="0"/>
            <w:vAlign w:val="top"/>
          </w:tcPr>
          <w:p w14:paraId="795FED69">
            <w:pP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9902A1">
            <w:pPr>
              <w:rPr>
                <w:rFonts w:hint="eastAsia" w:ascii="宋体" w:hAnsi="宋体" w:eastAsia="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14:paraId="340190AA">
            <w:pPr>
              <w:rPr>
                <w:rFonts w:hint="eastAsia" w:ascii="宋体" w:hAnsi="宋体" w:eastAsia="宋体" w:cs="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44E79437">
            <w:pPr>
              <w:rPr>
                <w:rFonts w:hint="eastAsia" w:ascii="宋体" w:hAnsi="宋体" w:eastAsia="宋体" w:cs="宋体"/>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14:paraId="6D04EE98">
            <w:pPr>
              <w:rPr>
                <w:rFonts w:hint="eastAsia" w:ascii="宋体" w:hAnsi="宋体" w:eastAsia="宋体" w:cs="宋体"/>
                <w:color w:val="auto"/>
                <w:sz w:val="24"/>
                <w:highlight w:val="none"/>
              </w:rPr>
            </w:pPr>
          </w:p>
        </w:tc>
        <w:tc>
          <w:tcPr>
            <w:tcW w:w="678" w:type="dxa"/>
            <w:tcBorders>
              <w:top w:val="single" w:color="auto" w:sz="4" w:space="0"/>
              <w:left w:val="single" w:color="auto" w:sz="4" w:space="0"/>
              <w:bottom w:val="single" w:color="auto" w:sz="4" w:space="0"/>
              <w:right w:val="single" w:color="auto" w:sz="4" w:space="0"/>
            </w:tcBorders>
            <w:noWrap w:val="0"/>
            <w:vAlign w:val="top"/>
          </w:tcPr>
          <w:p w14:paraId="112F152A">
            <w:pPr>
              <w:rPr>
                <w:rFonts w:hint="eastAsia" w:ascii="宋体" w:hAnsi="宋体" w:eastAsia="宋体" w:cs="宋体"/>
                <w:color w:val="auto"/>
                <w:sz w:val="24"/>
                <w:highlight w:val="none"/>
              </w:rPr>
            </w:pPr>
          </w:p>
        </w:tc>
      </w:tr>
    </w:tbl>
    <w:p w14:paraId="3A7A8C62">
      <w:pPr>
        <w:pStyle w:val="2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我方承诺，以上信息真实可靠，如填报的股东出资额、出资比例等与实际不符，视为放弃中标资格。</w:t>
      </w:r>
    </w:p>
    <w:p w14:paraId="1A8C5D22">
      <w:pPr>
        <w:pStyle w:val="29"/>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备注：</w:t>
      </w:r>
      <w:r>
        <w:rPr>
          <w:rFonts w:hint="eastAsia" w:ascii="宋体" w:hAnsi="宋体" w:eastAsia="宋体" w:cs="宋体"/>
          <w:color w:val="auto"/>
          <w:highlight w:val="none"/>
        </w:rPr>
        <w:t>1.主要股东或出资人为法人的，填写法人全称及统一社会信用代码（尚未办理三证合一的填写组织机构代码）；为自然人的，填写自然人姓名和身份证号。</w:t>
      </w:r>
    </w:p>
    <w:p w14:paraId="32D4224C">
      <w:pPr>
        <w:pStyle w:val="2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2.出资方式填写货币、实物、工艺产权和非专利技术、土地使用权等。</w:t>
      </w:r>
    </w:p>
    <w:p w14:paraId="3F408F0D">
      <w:pPr>
        <w:pStyle w:val="2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3.供应商应按照占全部股份比例从大到小依次逐个股东填写，股东数量多于10个的，填写前10名，不足10个的全部填写。</w:t>
      </w:r>
    </w:p>
    <w:p w14:paraId="0D876FCC">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 ：                    （盖章）</w:t>
      </w:r>
    </w:p>
    <w:p w14:paraId="1E0D0A2E">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00A29BA3">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5FE502A0">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outlineLvl w:val="1"/>
        <w:rPr>
          <w:rFonts w:hint="eastAsia" w:ascii="宋体" w:hAnsi="宋体" w:eastAsia="宋体" w:cs="宋体"/>
          <w:b/>
          <w:color w:val="auto"/>
          <w:sz w:val="28"/>
          <w:highlight w:val="none"/>
          <w:lang w:val="en-US"/>
        </w:rPr>
      </w:pPr>
    </w:p>
    <w:p w14:paraId="504DB8C9">
      <w:pPr>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lang w:val="en-US"/>
        </w:rPr>
        <w:br w:type="page"/>
      </w:r>
    </w:p>
    <w:p w14:paraId="59F8DF41">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rPr>
        <w:t>八、</w:t>
      </w:r>
      <w:bookmarkEnd w:id="113"/>
      <w:bookmarkEnd w:id="114"/>
      <w:bookmarkEnd w:id="121"/>
      <w:bookmarkEnd w:id="122"/>
      <w:bookmarkStart w:id="123" w:name="八、企业完成同类项目一览表"/>
      <w:bookmarkEnd w:id="123"/>
      <w:bookmarkStart w:id="124" w:name="_bookmark17"/>
      <w:bookmarkEnd w:id="124"/>
      <w:bookmarkStart w:id="125" w:name="_Toc4812"/>
      <w:bookmarkStart w:id="126" w:name="_Toc5771"/>
      <w:bookmarkStart w:id="127" w:name="_Toc8251"/>
      <w:bookmarkStart w:id="128" w:name="_Toc24322"/>
      <w:bookmarkStart w:id="129" w:name="_Toc534816649"/>
      <w:bookmarkStart w:id="130" w:name="_Toc534725620"/>
      <w:r>
        <w:rPr>
          <w:rFonts w:hint="eastAsia" w:ascii="宋体" w:hAnsi="宋体" w:eastAsia="宋体" w:cs="宋体"/>
          <w:b/>
          <w:color w:val="auto"/>
          <w:sz w:val="28"/>
          <w:highlight w:val="none"/>
        </w:rPr>
        <w:t>项目负责人简历表及拟投入本项目主要成员表</w:t>
      </w:r>
    </w:p>
    <w:p w14:paraId="4E67EBCF">
      <w:pPr>
        <w:widowControl/>
        <w:tabs>
          <w:tab w:val="left" w:pos="720"/>
        </w:tabs>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1、项目负责人简历表</w:t>
      </w:r>
    </w:p>
    <w:tbl>
      <w:tblPr>
        <w:tblStyle w:val="33"/>
        <w:tblW w:w="8637" w:type="dxa"/>
        <w:jc w:val="center"/>
        <w:tblLayout w:type="fixed"/>
        <w:tblCellMar>
          <w:top w:w="0" w:type="dxa"/>
          <w:left w:w="108" w:type="dxa"/>
          <w:bottom w:w="0" w:type="dxa"/>
          <w:right w:w="108" w:type="dxa"/>
        </w:tblCellMar>
      </w:tblPr>
      <w:tblGrid>
        <w:gridCol w:w="1677"/>
        <w:gridCol w:w="1644"/>
        <w:gridCol w:w="1005"/>
        <w:gridCol w:w="1072"/>
        <w:gridCol w:w="1715"/>
        <w:gridCol w:w="1524"/>
      </w:tblGrid>
      <w:tr w14:paraId="7EC0C42E">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top"/>
          </w:tcPr>
          <w:p w14:paraId="49D91AC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44" w:type="dxa"/>
            <w:tcBorders>
              <w:top w:val="single" w:color="auto" w:sz="6" w:space="0"/>
              <w:left w:val="single" w:color="auto" w:sz="6" w:space="0"/>
              <w:bottom w:val="single" w:color="auto" w:sz="6" w:space="0"/>
              <w:right w:val="single" w:color="auto" w:sz="6" w:space="0"/>
            </w:tcBorders>
            <w:noWrap w:val="0"/>
            <w:vAlign w:val="top"/>
          </w:tcPr>
          <w:p w14:paraId="1788BA34">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6679701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45C8ABE4">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627296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524" w:type="dxa"/>
            <w:tcBorders>
              <w:top w:val="single" w:color="auto" w:sz="6" w:space="0"/>
              <w:left w:val="single" w:color="auto" w:sz="6" w:space="0"/>
              <w:bottom w:val="single" w:color="auto" w:sz="6" w:space="0"/>
              <w:right w:val="single" w:color="auto" w:sz="6" w:space="0"/>
            </w:tcBorders>
            <w:noWrap w:val="0"/>
            <w:vAlign w:val="top"/>
          </w:tcPr>
          <w:p w14:paraId="04DCE718">
            <w:pPr>
              <w:spacing w:line="440" w:lineRule="exact"/>
              <w:rPr>
                <w:rFonts w:hint="eastAsia" w:ascii="宋体" w:hAnsi="宋体" w:eastAsia="宋体" w:cs="宋体"/>
                <w:color w:val="auto"/>
                <w:sz w:val="24"/>
                <w:szCs w:val="24"/>
                <w:highlight w:val="none"/>
              </w:rPr>
            </w:pPr>
          </w:p>
        </w:tc>
      </w:tr>
      <w:tr w14:paraId="6CAEC7D2">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top"/>
          </w:tcPr>
          <w:p w14:paraId="5A454D0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721" w:type="dxa"/>
            <w:gridSpan w:val="3"/>
            <w:tcBorders>
              <w:top w:val="single" w:color="auto" w:sz="6" w:space="0"/>
              <w:left w:val="single" w:color="auto" w:sz="6" w:space="0"/>
              <w:bottom w:val="single" w:color="auto" w:sz="6" w:space="0"/>
              <w:right w:val="single" w:color="auto" w:sz="6" w:space="0"/>
            </w:tcBorders>
            <w:noWrap w:val="0"/>
            <w:vAlign w:val="top"/>
          </w:tcPr>
          <w:p w14:paraId="11FFF3C6">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24FEA4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524" w:type="dxa"/>
            <w:tcBorders>
              <w:top w:val="single" w:color="auto" w:sz="6" w:space="0"/>
              <w:left w:val="single" w:color="auto" w:sz="6" w:space="0"/>
              <w:bottom w:val="single" w:color="auto" w:sz="6" w:space="0"/>
              <w:right w:val="single" w:color="auto" w:sz="6" w:space="0"/>
            </w:tcBorders>
            <w:noWrap w:val="0"/>
            <w:vAlign w:val="top"/>
          </w:tcPr>
          <w:p w14:paraId="54AA54D2">
            <w:pPr>
              <w:spacing w:line="440" w:lineRule="exact"/>
              <w:rPr>
                <w:rFonts w:hint="eastAsia" w:ascii="宋体" w:hAnsi="宋体" w:eastAsia="宋体" w:cs="宋体"/>
                <w:color w:val="auto"/>
                <w:sz w:val="24"/>
                <w:szCs w:val="24"/>
                <w:highlight w:val="none"/>
              </w:rPr>
            </w:pPr>
          </w:p>
        </w:tc>
      </w:tr>
      <w:tr w14:paraId="1DA0C20B">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top"/>
          </w:tcPr>
          <w:p w14:paraId="6F727F7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1644" w:type="dxa"/>
            <w:tcBorders>
              <w:top w:val="single" w:color="auto" w:sz="6" w:space="0"/>
              <w:left w:val="single" w:color="auto" w:sz="6" w:space="0"/>
              <w:bottom w:val="single" w:color="auto" w:sz="6" w:space="0"/>
              <w:right w:val="single" w:color="auto" w:sz="6" w:space="0"/>
            </w:tcBorders>
            <w:noWrap w:val="0"/>
            <w:vAlign w:val="top"/>
          </w:tcPr>
          <w:p w14:paraId="629878B0">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5BBA3A6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2BE7452A">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5AE3F13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24" w:type="dxa"/>
            <w:tcBorders>
              <w:top w:val="single" w:color="auto" w:sz="6" w:space="0"/>
              <w:left w:val="single" w:color="auto" w:sz="6" w:space="0"/>
              <w:bottom w:val="single" w:color="auto" w:sz="6" w:space="0"/>
              <w:right w:val="single" w:color="auto" w:sz="6" w:space="0"/>
            </w:tcBorders>
            <w:noWrap w:val="0"/>
            <w:vAlign w:val="top"/>
          </w:tcPr>
          <w:p w14:paraId="18D56F78">
            <w:pPr>
              <w:spacing w:line="440" w:lineRule="exact"/>
              <w:rPr>
                <w:rFonts w:hint="eastAsia" w:ascii="宋体" w:hAnsi="宋体" w:eastAsia="宋体" w:cs="宋体"/>
                <w:color w:val="auto"/>
                <w:sz w:val="24"/>
                <w:szCs w:val="24"/>
                <w:highlight w:val="none"/>
              </w:rPr>
            </w:pPr>
          </w:p>
        </w:tc>
      </w:tr>
      <w:tr w14:paraId="3FC39731">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top"/>
          </w:tcPr>
          <w:p w14:paraId="45A8D1A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3721" w:type="dxa"/>
            <w:gridSpan w:val="3"/>
            <w:tcBorders>
              <w:top w:val="single" w:color="auto" w:sz="6" w:space="0"/>
              <w:left w:val="single" w:color="auto" w:sz="6" w:space="0"/>
              <w:bottom w:val="single" w:color="auto" w:sz="6" w:space="0"/>
              <w:right w:val="single" w:color="auto" w:sz="6" w:space="0"/>
            </w:tcBorders>
            <w:noWrap w:val="0"/>
            <w:vAlign w:val="top"/>
          </w:tcPr>
          <w:p w14:paraId="30911C5C">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D9F917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524" w:type="dxa"/>
            <w:tcBorders>
              <w:top w:val="single" w:color="auto" w:sz="6" w:space="0"/>
              <w:left w:val="single" w:color="auto" w:sz="6" w:space="0"/>
              <w:bottom w:val="single" w:color="auto" w:sz="6" w:space="0"/>
              <w:right w:val="single" w:color="auto" w:sz="6" w:space="0"/>
            </w:tcBorders>
            <w:noWrap w:val="0"/>
            <w:vAlign w:val="top"/>
          </w:tcPr>
          <w:p w14:paraId="34C2650B">
            <w:pPr>
              <w:spacing w:line="440" w:lineRule="exact"/>
              <w:rPr>
                <w:rFonts w:hint="eastAsia" w:ascii="宋体" w:hAnsi="宋体" w:eastAsia="宋体" w:cs="宋体"/>
                <w:color w:val="auto"/>
                <w:sz w:val="24"/>
                <w:szCs w:val="24"/>
                <w:highlight w:val="none"/>
              </w:rPr>
            </w:pPr>
          </w:p>
        </w:tc>
      </w:tr>
      <w:tr w14:paraId="3CAD7589">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center"/>
          </w:tcPr>
          <w:p w14:paraId="0D405768">
            <w:pPr>
              <w:spacing w:line="440" w:lineRule="exact"/>
              <w:rPr>
                <w:rFonts w:hint="eastAsia" w:ascii="宋体" w:hAnsi="宋体" w:eastAsia="宋体" w:cs="宋体"/>
                <w:color w:val="auto"/>
                <w:sz w:val="24"/>
                <w:szCs w:val="24"/>
                <w:highlight w:val="none"/>
              </w:rPr>
            </w:pPr>
          </w:p>
          <w:p w14:paraId="4B7E115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757F05DD">
            <w:pPr>
              <w:spacing w:line="440" w:lineRule="exact"/>
              <w:rPr>
                <w:rFonts w:hint="eastAsia" w:ascii="宋体" w:hAnsi="宋体" w:eastAsia="宋体" w:cs="宋体"/>
                <w:color w:val="auto"/>
                <w:sz w:val="24"/>
                <w:szCs w:val="24"/>
                <w:highlight w:val="none"/>
              </w:rPr>
            </w:pPr>
          </w:p>
        </w:tc>
        <w:tc>
          <w:tcPr>
            <w:tcW w:w="6960" w:type="dxa"/>
            <w:gridSpan w:val="5"/>
            <w:tcBorders>
              <w:top w:val="single" w:color="auto" w:sz="6" w:space="0"/>
              <w:left w:val="single" w:color="auto" w:sz="6" w:space="0"/>
              <w:bottom w:val="single" w:color="auto" w:sz="6" w:space="0"/>
              <w:right w:val="single" w:color="auto" w:sz="6" w:space="0"/>
            </w:tcBorders>
            <w:noWrap w:val="0"/>
            <w:vAlign w:val="top"/>
          </w:tcPr>
          <w:p w14:paraId="4BBBC9FB">
            <w:pPr>
              <w:spacing w:line="440" w:lineRule="exact"/>
              <w:rPr>
                <w:rFonts w:hint="eastAsia" w:ascii="宋体" w:hAnsi="宋体" w:eastAsia="宋体" w:cs="宋体"/>
                <w:color w:val="auto"/>
                <w:sz w:val="24"/>
                <w:szCs w:val="24"/>
                <w:highlight w:val="none"/>
              </w:rPr>
            </w:pPr>
          </w:p>
          <w:p w14:paraId="6EAD7C46">
            <w:pPr>
              <w:spacing w:line="440" w:lineRule="exact"/>
              <w:rPr>
                <w:rFonts w:hint="eastAsia" w:ascii="宋体" w:hAnsi="宋体" w:eastAsia="宋体" w:cs="宋体"/>
                <w:color w:val="auto"/>
                <w:sz w:val="24"/>
                <w:szCs w:val="24"/>
                <w:highlight w:val="none"/>
              </w:rPr>
            </w:pPr>
          </w:p>
        </w:tc>
      </w:tr>
      <w:tr w14:paraId="21C4C305">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top"/>
          </w:tcPr>
          <w:p w14:paraId="422FF62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2649" w:type="dxa"/>
            <w:gridSpan w:val="2"/>
            <w:tcBorders>
              <w:top w:val="single" w:color="auto" w:sz="6" w:space="0"/>
              <w:left w:val="single" w:color="auto" w:sz="6" w:space="0"/>
              <w:bottom w:val="single" w:color="auto" w:sz="6" w:space="0"/>
              <w:right w:val="single" w:color="auto" w:sz="6" w:space="0"/>
            </w:tcBorders>
            <w:noWrap w:val="0"/>
            <w:vAlign w:val="top"/>
          </w:tcPr>
          <w:p w14:paraId="0A9DBB9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3F3143F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1524" w:type="dxa"/>
            <w:tcBorders>
              <w:top w:val="single" w:color="auto" w:sz="6" w:space="0"/>
              <w:left w:val="single" w:color="auto" w:sz="6" w:space="0"/>
              <w:bottom w:val="single" w:color="auto" w:sz="6" w:space="0"/>
              <w:right w:val="single" w:color="auto" w:sz="6" w:space="0"/>
            </w:tcBorders>
            <w:noWrap w:val="0"/>
            <w:vAlign w:val="top"/>
          </w:tcPr>
          <w:p w14:paraId="31F30B2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0084E0A">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top"/>
          </w:tcPr>
          <w:p w14:paraId="60703C72">
            <w:pPr>
              <w:spacing w:line="440" w:lineRule="exact"/>
              <w:rPr>
                <w:rFonts w:hint="eastAsia" w:ascii="宋体" w:hAnsi="宋体" w:eastAsia="宋体" w:cs="宋体"/>
                <w:color w:val="auto"/>
                <w:sz w:val="24"/>
                <w:szCs w:val="24"/>
                <w:highlight w:val="none"/>
              </w:rPr>
            </w:pPr>
          </w:p>
        </w:tc>
        <w:tc>
          <w:tcPr>
            <w:tcW w:w="2649" w:type="dxa"/>
            <w:gridSpan w:val="2"/>
            <w:tcBorders>
              <w:top w:val="single" w:color="auto" w:sz="6" w:space="0"/>
              <w:left w:val="single" w:color="auto" w:sz="6" w:space="0"/>
              <w:bottom w:val="single" w:color="auto" w:sz="6" w:space="0"/>
              <w:right w:val="single" w:color="auto" w:sz="6" w:space="0"/>
            </w:tcBorders>
            <w:noWrap w:val="0"/>
            <w:vAlign w:val="top"/>
          </w:tcPr>
          <w:p w14:paraId="44F91B21">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02535425">
            <w:pPr>
              <w:spacing w:line="440" w:lineRule="exact"/>
              <w:rPr>
                <w:rFonts w:hint="eastAsia" w:ascii="宋体" w:hAnsi="宋体" w:eastAsia="宋体" w:cs="宋体"/>
                <w:color w:val="auto"/>
                <w:sz w:val="24"/>
                <w:szCs w:val="24"/>
                <w:highlight w:val="none"/>
              </w:rPr>
            </w:pPr>
          </w:p>
        </w:tc>
        <w:tc>
          <w:tcPr>
            <w:tcW w:w="1524" w:type="dxa"/>
            <w:tcBorders>
              <w:top w:val="single" w:color="auto" w:sz="6" w:space="0"/>
              <w:left w:val="single" w:color="auto" w:sz="6" w:space="0"/>
              <w:bottom w:val="single" w:color="auto" w:sz="6" w:space="0"/>
              <w:right w:val="single" w:color="auto" w:sz="6" w:space="0"/>
            </w:tcBorders>
            <w:noWrap w:val="0"/>
            <w:vAlign w:val="top"/>
          </w:tcPr>
          <w:p w14:paraId="67F4483D">
            <w:pPr>
              <w:spacing w:line="440" w:lineRule="exact"/>
              <w:rPr>
                <w:rFonts w:hint="eastAsia" w:ascii="宋体" w:hAnsi="宋体" w:eastAsia="宋体" w:cs="宋体"/>
                <w:color w:val="auto"/>
                <w:sz w:val="24"/>
                <w:szCs w:val="24"/>
                <w:highlight w:val="none"/>
              </w:rPr>
            </w:pPr>
          </w:p>
        </w:tc>
      </w:tr>
      <w:tr w14:paraId="5906FC1C">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top"/>
          </w:tcPr>
          <w:p w14:paraId="2331DBE1">
            <w:pPr>
              <w:spacing w:line="440" w:lineRule="exact"/>
              <w:rPr>
                <w:rFonts w:hint="eastAsia" w:ascii="宋体" w:hAnsi="宋体" w:eastAsia="宋体" w:cs="宋体"/>
                <w:color w:val="auto"/>
                <w:sz w:val="24"/>
                <w:szCs w:val="24"/>
                <w:highlight w:val="none"/>
              </w:rPr>
            </w:pPr>
          </w:p>
        </w:tc>
        <w:tc>
          <w:tcPr>
            <w:tcW w:w="2649" w:type="dxa"/>
            <w:gridSpan w:val="2"/>
            <w:tcBorders>
              <w:top w:val="single" w:color="auto" w:sz="6" w:space="0"/>
              <w:left w:val="single" w:color="auto" w:sz="6" w:space="0"/>
              <w:bottom w:val="single" w:color="auto" w:sz="6" w:space="0"/>
              <w:right w:val="single" w:color="auto" w:sz="6" w:space="0"/>
            </w:tcBorders>
            <w:noWrap w:val="0"/>
            <w:vAlign w:val="top"/>
          </w:tcPr>
          <w:p w14:paraId="62BD2FD9">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704B8059">
            <w:pPr>
              <w:spacing w:line="440" w:lineRule="exact"/>
              <w:rPr>
                <w:rFonts w:hint="eastAsia" w:ascii="宋体" w:hAnsi="宋体" w:eastAsia="宋体" w:cs="宋体"/>
                <w:color w:val="auto"/>
                <w:sz w:val="24"/>
                <w:szCs w:val="24"/>
                <w:highlight w:val="none"/>
              </w:rPr>
            </w:pPr>
          </w:p>
        </w:tc>
        <w:tc>
          <w:tcPr>
            <w:tcW w:w="1524" w:type="dxa"/>
            <w:tcBorders>
              <w:top w:val="single" w:color="auto" w:sz="6" w:space="0"/>
              <w:left w:val="single" w:color="auto" w:sz="6" w:space="0"/>
              <w:bottom w:val="single" w:color="auto" w:sz="6" w:space="0"/>
              <w:right w:val="single" w:color="auto" w:sz="6" w:space="0"/>
            </w:tcBorders>
            <w:noWrap w:val="0"/>
            <w:vAlign w:val="top"/>
          </w:tcPr>
          <w:p w14:paraId="12432B4A">
            <w:pPr>
              <w:spacing w:line="440" w:lineRule="exact"/>
              <w:rPr>
                <w:rFonts w:hint="eastAsia" w:ascii="宋体" w:hAnsi="宋体" w:eastAsia="宋体" w:cs="宋体"/>
                <w:color w:val="auto"/>
                <w:sz w:val="24"/>
                <w:szCs w:val="24"/>
                <w:highlight w:val="none"/>
              </w:rPr>
            </w:pPr>
          </w:p>
        </w:tc>
      </w:tr>
      <w:tr w14:paraId="5F59E4BB">
        <w:tblPrEx>
          <w:tblCellMar>
            <w:top w:w="0" w:type="dxa"/>
            <w:left w:w="108" w:type="dxa"/>
            <w:bottom w:w="0" w:type="dxa"/>
            <w:right w:w="108" w:type="dxa"/>
          </w:tblCellMar>
        </w:tblPrEx>
        <w:trPr>
          <w:jc w:val="center"/>
        </w:trPr>
        <w:tc>
          <w:tcPr>
            <w:tcW w:w="1677" w:type="dxa"/>
            <w:tcBorders>
              <w:top w:val="single" w:color="auto" w:sz="6" w:space="0"/>
              <w:left w:val="single" w:color="auto" w:sz="6" w:space="0"/>
              <w:bottom w:val="single" w:color="auto" w:sz="6" w:space="0"/>
              <w:right w:val="single" w:color="auto" w:sz="6" w:space="0"/>
            </w:tcBorders>
            <w:noWrap w:val="0"/>
            <w:vAlign w:val="top"/>
          </w:tcPr>
          <w:p w14:paraId="28412999">
            <w:pPr>
              <w:spacing w:line="440" w:lineRule="exact"/>
              <w:rPr>
                <w:rFonts w:hint="eastAsia" w:ascii="宋体" w:hAnsi="宋体" w:eastAsia="宋体" w:cs="宋体"/>
                <w:color w:val="auto"/>
                <w:sz w:val="24"/>
                <w:szCs w:val="24"/>
                <w:highlight w:val="none"/>
              </w:rPr>
            </w:pPr>
          </w:p>
        </w:tc>
        <w:tc>
          <w:tcPr>
            <w:tcW w:w="2649" w:type="dxa"/>
            <w:gridSpan w:val="2"/>
            <w:tcBorders>
              <w:top w:val="single" w:color="auto" w:sz="6" w:space="0"/>
              <w:left w:val="single" w:color="auto" w:sz="6" w:space="0"/>
              <w:bottom w:val="single" w:color="auto" w:sz="6" w:space="0"/>
              <w:right w:val="single" w:color="auto" w:sz="6" w:space="0"/>
            </w:tcBorders>
            <w:noWrap w:val="0"/>
            <w:vAlign w:val="top"/>
          </w:tcPr>
          <w:p w14:paraId="30B570B7">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22A7EB0B">
            <w:pPr>
              <w:spacing w:line="440" w:lineRule="exact"/>
              <w:rPr>
                <w:rFonts w:hint="eastAsia" w:ascii="宋体" w:hAnsi="宋体" w:eastAsia="宋体" w:cs="宋体"/>
                <w:color w:val="auto"/>
                <w:sz w:val="24"/>
                <w:szCs w:val="24"/>
                <w:highlight w:val="none"/>
              </w:rPr>
            </w:pPr>
          </w:p>
        </w:tc>
        <w:tc>
          <w:tcPr>
            <w:tcW w:w="1524" w:type="dxa"/>
            <w:tcBorders>
              <w:top w:val="single" w:color="auto" w:sz="6" w:space="0"/>
              <w:left w:val="single" w:color="auto" w:sz="6" w:space="0"/>
              <w:bottom w:val="single" w:color="auto" w:sz="6" w:space="0"/>
              <w:right w:val="single" w:color="auto" w:sz="6" w:space="0"/>
            </w:tcBorders>
            <w:noWrap w:val="0"/>
            <w:vAlign w:val="top"/>
          </w:tcPr>
          <w:p w14:paraId="7EEF2F85">
            <w:pPr>
              <w:spacing w:line="440" w:lineRule="exact"/>
              <w:rPr>
                <w:rFonts w:hint="eastAsia" w:ascii="宋体" w:hAnsi="宋体" w:eastAsia="宋体" w:cs="宋体"/>
                <w:color w:val="auto"/>
                <w:sz w:val="24"/>
                <w:szCs w:val="24"/>
                <w:highlight w:val="none"/>
              </w:rPr>
            </w:pPr>
          </w:p>
        </w:tc>
      </w:tr>
    </w:tbl>
    <w:p w14:paraId="17C9A6F9">
      <w:pPr>
        <w:autoSpaceDE w:val="0"/>
        <w:autoSpaceDN w:val="0"/>
        <w:adjustRightIn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2、拟投入本项目的主要成员表</w:t>
      </w:r>
    </w:p>
    <w:tbl>
      <w:tblPr>
        <w:tblStyle w:val="3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1324"/>
        <w:gridCol w:w="927"/>
        <w:gridCol w:w="1050"/>
        <w:gridCol w:w="3209"/>
      </w:tblGrid>
      <w:tr w14:paraId="21C5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0" w:type="dxa"/>
            <w:noWrap w:val="0"/>
            <w:vAlign w:val="center"/>
          </w:tcPr>
          <w:p w14:paraId="7F84FD6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noWrap w:val="0"/>
            <w:vAlign w:val="center"/>
          </w:tcPr>
          <w:p w14:paraId="0CB7D2A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24" w:type="dxa"/>
            <w:noWrap w:val="0"/>
            <w:vAlign w:val="center"/>
          </w:tcPr>
          <w:p w14:paraId="0FBFF1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27" w:type="dxa"/>
            <w:noWrap w:val="0"/>
            <w:vAlign w:val="center"/>
          </w:tcPr>
          <w:p w14:paraId="6017267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50" w:type="dxa"/>
            <w:noWrap w:val="0"/>
            <w:vAlign w:val="center"/>
          </w:tcPr>
          <w:p w14:paraId="7327DFC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3209" w:type="dxa"/>
            <w:noWrap w:val="0"/>
            <w:vAlign w:val="center"/>
          </w:tcPr>
          <w:p w14:paraId="4FC3911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从事该岗位时间</w:t>
            </w:r>
          </w:p>
        </w:tc>
      </w:tr>
      <w:tr w14:paraId="0256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354CEF2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30" w:type="dxa"/>
            <w:noWrap w:val="0"/>
            <w:vAlign w:val="top"/>
          </w:tcPr>
          <w:p w14:paraId="18FDA038">
            <w:pPr>
              <w:spacing w:line="440" w:lineRule="exact"/>
              <w:jc w:val="center"/>
              <w:rPr>
                <w:rFonts w:hint="eastAsia" w:ascii="宋体" w:hAnsi="宋体" w:eastAsia="宋体" w:cs="宋体"/>
                <w:color w:val="auto"/>
                <w:sz w:val="24"/>
                <w:szCs w:val="24"/>
                <w:highlight w:val="none"/>
              </w:rPr>
            </w:pPr>
          </w:p>
        </w:tc>
        <w:tc>
          <w:tcPr>
            <w:tcW w:w="1324" w:type="dxa"/>
            <w:noWrap w:val="0"/>
            <w:vAlign w:val="top"/>
          </w:tcPr>
          <w:p w14:paraId="3C74EEF4">
            <w:pPr>
              <w:spacing w:line="440" w:lineRule="exact"/>
              <w:jc w:val="center"/>
              <w:rPr>
                <w:rFonts w:hint="eastAsia" w:ascii="宋体" w:hAnsi="宋体" w:eastAsia="宋体" w:cs="宋体"/>
                <w:color w:val="auto"/>
                <w:sz w:val="24"/>
                <w:szCs w:val="24"/>
                <w:highlight w:val="none"/>
              </w:rPr>
            </w:pPr>
          </w:p>
        </w:tc>
        <w:tc>
          <w:tcPr>
            <w:tcW w:w="927" w:type="dxa"/>
            <w:noWrap w:val="0"/>
            <w:vAlign w:val="top"/>
          </w:tcPr>
          <w:p w14:paraId="657DD582">
            <w:pPr>
              <w:spacing w:line="440" w:lineRule="exact"/>
              <w:jc w:val="center"/>
              <w:rPr>
                <w:rFonts w:hint="eastAsia" w:ascii="宋体" w:hAnsi="宋体" w:eastAsia="宋体" w:cs="宋体"/>
                <w:color w:val="auto"/>
                <w:sz w:val="24"/>
                <w:szCs w:val="24"/>
                <w:highlight w:val="none"/>
              </w:rPr>
            </w:pPr>
          </w:p>
        </w:tc>
        <w:tc>
          <w:tcPr>
            <w:tcW w:w="1050" w:type="dxa"/>
            <w:noWrap w:val="0"/>
            <w:vAlign w:val="top"/>
          </w:tcPr>
          <w:p w14:paraId="57284206">
            <w:pPr>
              <w:spacing w:line="440" w:lineRule="exact"/>
              <w:jc w:val="center"/>
              <w:rPr>
                <w:rFonts w:hint="eastAsia" w:ascii="宋体" w:hAnsi="宋体" w:eastAsia="宋体" w:cs="宋体"/>
                <w:color w:val="auto"/>
                <w:sz w:val="24"/>
                <w:szCs w:val="24"/>
                <w:highlight w:val="none"/>
              </w:rPr>
            </w:pPr>
          </w:p>
        </w:tc>
        <w:tc>
          <w:tcPr>
            <w:tcW w:w="3209" w:type="dxa"/>
            <w:noWrap w:val="0"/>
            <w:vAlign w:val="top"/>
          </w:tcPr>
          <w:p w14:paraId="19D36526">
            <w:pPr>
              <w:spacing w:line="440" w:lineRule="exact"/>
              <w:jc w:val="center"/>
              <w:rPr>
                <w:rFonts w:hint="eastAsia" w:ascii="宋体" w:hAnsi="宋体" w:eastAsia="宋体" w:cs="宋体"/>
                <w:color w:val="auto"/>
                <w:sz w:val="24"/>
                <w:szCs w:val="24"/>
                <w:highlight w:val="none"/>
              </w:rPr>
            </w:pPr>
          </w:p>
        </w:tc>
      </w:tr>
      <w:tr w14:paraId="080E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0" w:type="dxa"/>
            <w:noWrap w:val="0"/>
            <w:vAlign w:val="top"/>
          </w:tcPr>
          <w:p w14:paraId="3EE3750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30" w:type="dxa"/>
            <w:noWrap w:val="0"/>
            <w:vAlign w:val="top"/>
          </w:tcPr>
          <w:p w14:paraId="25D974B3">
            <w:pPr>
              <w:spacing w:line="440" w:lineRule="exact"/>
              <w:jc w:val="center"/>
              <w:rPr>
                <w:rFonts w:hint="eastAsia" w:ascii="宋体" w:hAnsi="宋体" w:eastAsia="宋体" w:cs="宋体"/>
                <w:color w:val="auto"/>
                <w:sz w:val="24"/>
                <w:szCs w:val="24"/>
                <w:highlight w:val="none"/>
              </w:rPr>
            </w:pPr>
          </w:p>
        </w:tc>
        <w:tc>
          <w:tcPr>
            <w:tcW w:w="1324" w:type="dxa"/>
            <w:noWrap w:val="0"/>
            <w:vAlign w:val="top"/>
          </w:tcPr>
          <w:p w14:paraId="53BA76C7">
            <w:pPr>
              <w:spacing w:line="440" w:lineRule="exact"/>
              <w:jc w:val="center"/>
              <w:rPr>
                <w:rFonts w:hint="eastAsia" w:ascii="宋体" w:hAnsi="宋体" w:eastAsia="宋体" w:cs="宋体"/>
                <w:color w:val="auto"/>
                <w:sz w:val="24"/>
                <w:szCs w:val="24"/>
                <w:highlight w:val="none"/>
              </w:rPr>
            </w:pPr>
          </w:p>
        </w:tc>
        <w:tc>
          <w:tcPr>
            <w:tcW w:w="927" w:type="dxa"/>
            <w:noWrap w:val="0"/>
            <w:vAlign w:val="top"/>
          </w:tcPr>
          <w:p w14:paraId="33E69DE6">
            <w:pPr>
              <w:spacing w:line="440" w:lineRule="exact"/>
              <w:jc w:val="center"/>
              <w:rPr>
                <w:rFonts w:hint="eastAsia" w:ascii="宋体" w:hAnsi="宋体" w:eastAsia="宋体" w:cs="宋体"/>
                <w:color w:val="auto"/>
                <w:sz w:val="24"/>
                <w:szCs w:val="24"/>
                <w:highlight w:val="none"/>
              </w:rPr>
            </w:pPr>
          </w:p>
        </w:tc>
        <w:tc>
          <w:tcPr>
            <w:tcW w:w="1050" w:type="dxa"/>
            <w:noWrap w:val="0"/>
            <w:vAlign w:val="top"/>
          </w:tcPr>
          <w:p w14:paraId="380C50C8">
            <w:pPr>
              <w:spacing w:line="440" w:lineRule="exact"/>
              <w:jc w:val="center"/>
              <w:rPr>
                <w:rFonts w:hint="eastAsia" w:ascii="宋体" w:hAnsi="宋体" w:eastAsia="宋体" w:cs="宋体"/>
                <w:color w:val="auto"/>
                <w:sz w:val="24"/>
                <w:szCs w:val="24"/>
                <w:highlight w:val="none"/>
              </w:rPr>
            </w:pPr>
          </w:p>
        </w:tc>
        <w:tc>
          <w:tcPr>
            <w:tcW w:w="3209" w:type="dxa"/>
            <w:noWrap w:val="0"/>
            <w:vAlign w:val="top"/>
          </w:tcPr>
          <w:p w14:paraId="53030B11">
            <w:pPr>
              <w:spacing w:line="440" w:lineRule="exact"/>
              <w:jc w:val="center"/>
              <w:rPr>
                <w:rFonts w:hint="eastAsia" w:ascii="宋体" w:hAnsi="宋体" w:eastAsia="宋体" w:cs="宋体"/>
                <w:color w:val="auto"/>
                <w:sz w:val="24"/>
                <w:szCs w:val="24"/>
                <w:highlight w:val="none"/>
              </w:rPr>
            </w:pPr>
          </w:p>
        </w:tc>
      </w:tr>
      <w:tr w14:paraId="432A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3C84682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30" w:type="dxa"/>
            <w:noWrap w:val="0"/>
            <w:vAlign w:val="top"/>
          </w:tcPr>
          <w:p w14:paraId="04F51CA9">
            <w:pPr>
              <w:spacing w:line="440" w:lineRule="exact"/>
              <w:jc w:val="center"/>
              <w:rPr>
                <w:rFonts w:hint="eastAsia" w:ascii="宋体" w:hAnsi="宋体" w:eastAsia="宋体" w:cs="宋体"/>
                <w:color w:val="auto"/>
                <w:sz w:val="24"/>
                <w:szCs w:val="24"/>
                <w:highlight w:val="none"/>
              </w:rPr>
            </w:pPr>
          </w:p>
        </w:tc>
        <w:tc>
          <w:tcPr>
            <w:tcW w:w="1324" w:type="dxa"/>
            <w:noWrap w:val="0"/>
            <w:vAlign w:val="top"/>
          </w:tcPr>
          <w:p w14:paraId="26EABC40">
            <w:pPr>
              <w:spacing w:line="440" w:lineRule="exact"/>
              <w:jc w:val="center"/>
              <w:rPr>
                <w:rFonts w:hint="eastAsia" w:ascii="宋体" w:hAnsi="宋体" w:eastAsia="宋体" w:cs="宋体"/>
                <w:color w:val="auto"/>
                <w:sz w:val="24"/>
                <w:szCs w:val="24"/>
                <w:highlight w:val="none"/>
              </w:rPr>
            </w:pPr>
          </w:p>
        </w:tc>
        <w:tc>
          <w:tcPr>
            <w:tcW w:w="927" w:type="dxa"/>
            <w:noWrap w:val="0"/>
            <w:vAlign w:val="top"/>
          </w:tcPr>
          <w:p w14:paraId="3A6D4346">
            <w:pPr>
              <w:spacing w:line="440" w:lineRule="exact"/>
              <w:jc w:val="center"/>
              <w:rPr>
                <w:rFonts w:hint="eastAsia" w:ascii="宋体" w:hAnsi="宋体" w:eastAsia="宋体" w:cs="宋体"/>
                <w:color w:val="auto"/>
                <w:sz w:val="24"/>
                <w:szCs w:val="24"/>
                <w:highlight w:val="none"/>
              </w:rPr>
            </w:pPr>
          </w:p>
        </w:tc>
        <w:tc>
          <w:tcPr>
            <w:tcW w:w="1050" w:type="dxa"/>
            <w:noWrap w:val="0"/>
            <w:vAlign w:val="top"/>
          </w:tcPr>
          <w:p w14:paraId="6C4244FA">
            <w:pPr>
              <w:spacing w:line="440" w:lineRule="exact"/>
              <w:jc w:val="center"/>
              <w:rPr>
                <w:rFonts w:hint="eastAsia" w:ascii="宋体" w:hAnsi="宋体" w:eastAsia="宋体" w:cs="宋体"/>
                <w:color w:val="auto"/>
                <w:sz w:val="24"/>
                <w:szCs w:val="24"/>
                <w:highlight w:val="none"/>
              </w:rPr>
            </w:pPr>
          </w:p>
        </w:tc>
        <w:tc>
          <w:tcPr>
            <w:tcW w:w="3209" w:type="dxa"/>
            <w:noWrap w:val="0"/>
            <w:vAlign w:val="top"/>
          </w:tcPr>
          <w:p w14:paraId="04836384">
            <w:pPr>
              <w:spacing w:line="440" w:lineRule="exact"/>
              <w:jc w:val="center"/>
              <w:rPr>
                <w:rFonts w:hint="eastAsia" w:ascii="宋体" w:hAnsi="宋体" w:eastAsia="宋体" w:cs="宋体"/>
                <w:color w:val="auto"/>
                <w:sz w:val="24"/>
                <w:szCs w:val="24"/>
                <w:highlight w:val="none"/>
              </w:rPr>
            </w:pPr>
          </w:p>
        </w:tc>
      </w:tr>
      <w:tr w14:paraId="5474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6E24C57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30" w:type="dxa"/>
            <w:noWrap w:val="0"/>
            <w:vAlign w:val="top"/>
          </w:tcPr>
          <w:p w14:paraId="5D587393">
            <w:pPr>
              <w:spacing w:line="440" w:lineRule="exact"/>
              <w:jc w:val="center"/>
              <w:rPr>
                <w:rFonts w:hint="eastAsia" w:ascii="宋体" w:hAnsi="宋体" w:eastAsia="宋体" w:cs="宋体"/>
                <w:color w:val="auto"/>
                <w:sz w:val="24"/>
                <w:szCs w:val="24"/>
                <w:highlight w:val="none"/>
              </w:rPr>
            </w:pPr>
          </w:p>
        </w:tc>
        <w:tc>
          <w:tcPr>
            <w:tcW w:w="1324" w:type="dxa"/>
            <w:noWrap w:val="0"/>
            <w:vAlign w:val="top"/>
          </w:tcPr>
          <w:p w14:paraId="6F2B02E4">
            <w:pPr>
              <w:spacing w:line="440" w:lineRule="exact"/>
              <w:jc w:val="center"/>
              <w:rPr>
                <w:rFonts w:hint="eastAsia" w:ascii="宋体" w:hAnsi="宋体" w:eastAsia="宋体" w:cs="宋体"/>
                <w:color w:val="auto"/>
                <w:sz w:val="24"/>
                <w:szCs w:val="24"/>
                <w:highlight w:val="none"/>
              </w:rPr>
            </w:pPr>
          </w:p>
        </w:tc>
        <w:tc>
          <w:tcPr>
            <w:tcW w:w="927" w:type="dxa"/>
            <w:noWrap w:val="0"/>
            <w:vAlign w:val="top"/>
          </w:tcPr>
          <w:p w14:paraId="163DCABF">
            <w:pPr>
              <w:spacing w:line="440" w:lineRule="exact"/>
              <w:jc w:val="center"/>
              <w:rPr>
                <w:rFonts w:hint="eastAsia" w:ascii="宋体" w:hAnsi="宋体" w:eastAsia="宋体" w:cs="宋体"/>
                <w:color w:val="auto"/>
                <w:sz w:val="24"/>
                <w:szCs w:val="24"/>
                <w:highlight w:val="none"/>
              </w:rPr>
            </w:pPr>
          </w:p>
        </w:tc>
        <w:tc>
          <w:tcPr>
            <w:tcW w:w="1050" w:type="dxa"/>
            <w:noWrap w:val="0"/>
            <w:vAlign w:val="top"/>
          </w:tcPr>
          <w:p w14:paraId="2F3603D4">
            <w:pPr>
              <w:spacing w:line="440" w:lineRule="exact"/>
              <w:jc w:val="center"/>
              <w:rPr>
                <w:rFonts w:hint="eastAsia" w:ascii="宋体" w:hAnsi="宋体" w:eastAsia="宋体" w:cs="宋体"/>
                <w:color w:val="auto"/>
                <w:sz w:val="24"/>
                <w:szCs w:val="24"/>
                <w:highlight w:val="none"/>
              </w:rPr>
            </w:pPr>
          </w:p>
        </w:tc>
        <w:tc>
          <w:tcPr>
            <w:tcW w:w="3209" w:type="dxa"/>
            <w:noWrap w:val="0"/>
            <w:vAlign w:val="top"/>
          </w:tcPr>
          <w:p w14:paraId="7FFFBBC4">
            <w:pPr>
              <w:spacing w:line="440" w:lineRule="exact"/>
              <w:jc w:val="center"/>
              <w:rPr>
                <w:rFonts w:hint="eastAsia" w:ascii="宋体" w:hAnsi="宋体" w:eastAsia="宋体" w:cs="宋体"/>
                <w:color w:val="auto"/>
                <w:sz w:val="24"/>
                <w:szCs w:val="24"/>
                <w:highlight w:val="none"/>
              </w:rPr>
            </w:pPr>
          </w:p>
        </w:tc>
      </w:tr>
    </w:tbl>
    <w:p w14:paraId="0867D67F">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3A1BEC5D">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 ：                    （盖章）</w:t>
      </w:r>
    </w:p>
    <w:p w14:paraId="3C715CA0">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E14B9FF">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0DD8C1B6">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注：后附人员相关资格证书复印件。</w:t>
      </w:r>
    </w:p>
    <w:p w14:paraId="2891598F">
      <w:pPr>
        <w:pStyle w:val="13"/>
        <w:adjustRightInd w:val="0"/>
        <w:spacing w:before="80" w:line="480" w:lineRule="exact"/>
        <w:ind w:firstLine="480" w:firstLineChars="200"/>
        <w:rPr>
          <w:rFonts w:hint="eastAsia" w:ascii="宋体" w:hAnsi="宋体" w:eastAsia="宋体" w:cs="宋体"/>
          <w:color w:val="auto"/>
          <w:highlight w:val="none"/>
        </w:rPr>
      </w:pPr>
    </w:p>
    <w:p w14:paraId="095F46FE">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p>
    <w:p w14:paraId="33C04A0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宋体" w:hAnsi="宋体" w:eastAsia="宋体" w:cs="宋体"/>
          <w:b/>
          <w:color w:val="auto"/>
          <w:sz w:val="28"/>
          <w:highlight w:val="none"/>
        </w:rPr>
      </w:pPr>
      <w:r>
        <w:rPr>
          <w:rFonts w:hint="eastAsia" w:ascii="宋体" w:hAnsi="宋体" w:eastAsia="宋体" w:cs="宋体"/>
          <w:color w:val="auto"/>
          <w:sz w:val="24"/>
          <w:szCs w:val="24"/>
          <w:highlight w:val="none"/>
        </w:rPr>
        <w:br w:type="page"/>
      </w:r>
    </w:p>
    <w:p w14:paraId="544BF44F">
      <w:pPr>
        <w:keepNext w:val="0"/>
        <w:keepLines w:val="0"/>
        <w:pageBreakBefore w:val="0"/>
        <w:overflowPunct/>
        <w:topLinePunct w:val="0"/>
        <w:bidi w:val="0"/>
        <w:adjustRightInd w:val="0"/>
        <w:snapToGrid w:val="0"/>
        <w:spacing w:beforeAutospacing="0" w:afterAutospacing="0" w:line="460" w:lineRule="exact"/>
        <w:ind w:left="0" w:leftChars="0" w:right="0" w:rightChars="0"/>
        <w:jc w:val="center"/>
        <w:outlineLvl w:val="1"/>
        <w:rPr>
          <w:rFonts w:hint="eastAsia" w:ascii="宋体" w:hAnsi="宋体" w:eastAsia="宋体" w:cs="宋体"/>
          <w:b/>
          <w:color w:val="auto"/>
          <w:sz w:val="28"/>
          <w:highlight w:val="none"/>
        </w:rPr>
      </w:pPr>
      <w:bookmarkStart w:id="131" w:name="_Toc17896"/>
      <w:r>
        <w:rPr>
          <w:rFonts w:hint="eastAsia" w:ascii="宋体" w:hAnsi="宋体" w:eastAsia="宋体" w:cs="宋体"/>
          <w:b/>
          <w:color w:val="auto"/>
          <w:sz w:val="28"/>
          <w:highlight w:val="none"/>
        </w:rPr>
        <w:t>九、</w:t>
      </w:r>
      <w:bookmarkEnd w:id="125"/>
      <w:r>
        <w:rPr>
          <w:rFonts w:hint="eastAsia" w:ascii="宋体" w:hAnsi="宋体" w:eastAsia="宋体" w:cs="宋体"/>
          <w:b/>
          <w:color w:val="auto"/>
          <w:sz w:val="28"/>
          <w:highlight w:val="none"/>
        </w:rPr>
        <w:t>投标人类似项目业绩</w:t>
      </w:r>
      <w:bookmarkEnd w:id="126"/>
      <w:bookmarkEnd w:id="127"/>
      <w:bookmarkEnd w:id="128"/>
      <w:bookmarkEnd w:id="131"/>
    </w:p>
    <w:tbl>
      <w:tblPr>
        <w:tblStyle w:val="33"/>
        <w:tblpPr w:leftFromText="180" w:rightFromText="180" w:vertAnchor="text" w:horzAnchor="page" w:tblpX="1849" w:tblpY="462"/>
        <w:tblOverlap w:val="never"/>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2889"/>
        <w:gridCol w:w="1417"/>
        <w:gridCol w:w="2268"/>
        <w:gridCol w:w="993"/>
      </w:tblGrid>
      <w:tr w14:paraId="771D6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92" w:type="dxa"/>
            <w:noWrap w:val="0"/>
            <w:vAlign w:val="top"/>
          </w:tcPr>
          <w:p w14:paraId="7754945D">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889" w:type="dxa"/>
            <w:noWrap w:val="0"/>
            <w:vAlign w:val="top"/>
          </w:tcPr>
          <w:p w14:paraId="7CB445F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417" w:type="dxa"/>
            <w:noWrap w:val="0"/>
            <w:vAlign w:val="top"/>
          </w:tcPr>
          <w:p w14:paraId="386488D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完成日期</w:t>
            </w:r>
          </w:p>
        </w:tc>
        <w:tc>
          <w:tcPr>
            <w:tcW w:w="2268" w:type="dxa"/>
            <w:noWrap w:val="0"/>
            <w:vAlign w:val="top"/>
          </w:tcPr>
          <w:p w14:paraId="2B5B58D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业主名称</w:t>
            </w:r>
          </w:p>
        </w:tc>
        <w:tc>
          <w:tcPr>
            <w:tcW w:w="993" w:type="dxa"/>
            <w:noWrap w:val="0"/>
            <w:vAlign w:val="top"/>
          </w:tcPr>
          <w:p w14:paraId="1F51AB2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金额</w:t>
            </w:r>
          </w:p>
        </w:tc>
      </w:tr>
      <w:tr w14:paraId="703E0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2" w:type="dxa"/>
            <w:noWrap w:val="0"/>
            <w:vAlign w:val="top"/>
          </w:tcPr>
          <w:p w14:paraId="13B1F41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w w:val="99"/>
                <w:sz w:val="24"/>
                <w:highlight w:val="none"/>
              </w:rPr>
              <w:t>1</w:t>
            </w:r>
          </w:p>
        </w:tc>
        <w:tc>
          <w:tcPr>
            <w:tcW w:w="2889" w:type="dxa"/>
            <w:noWrap w:val="0"/>
            <w:vAlign w:val="top"/>
          </w:tcPr>
          <w:p w14:paraId="0958E50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6F50016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14522DD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2F212AC2">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13CA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92" w:type="dxa"/>
            <w:noWrap w:val="0"/>
            <w:vAlign w:val="top"/>
          </w:tcPr>
          <w:p w14:paraId="6E940B9D">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w w:val="99"/>
                <w:sz w:val="24"/>
                <w:highlight w:val="none"/>
              </w:rPr>
              <w:t>2</w:t>
            </w:r>
          </w:p>
        </w:tc>
        <w:tc>
          <w:tcPr>
            <w:tcW w:w="2889" w:type="dxa"/>
            <w:noWrap w:val="0"/>
            <w:vAlign w:val="top"/>
          </w:tcPr>
          <w:p w14:paraId="25919A1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5985CF2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1767E00C">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41C18D3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3CFAA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2" w:type="dxa"/>
            <w:noWrap w:val="0"/>
            <w:vAlign w:val="top"/>
          </w:tcPr>
          <w:p w14:paraId="6D95E313">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w w:val="99"/>
                <w:sz w:val="24"/>
                <w:highlight w:val="none"/>
              </w:rPr>
              <w:t>3</w:t>
            </w:r>
          </w:p>
        </w:tc>
        <w:tc>
          <w:tcPr>
            <w:tcW w:w="2889" w:type="dxa"/>
            <w:noWrap w:val="0"/>
            <w:vAlign w:val="top"/>
          </w:tcPr>
          <w:p w14:paraId="4B55A25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0FDD8AB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7C599BB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1ED767A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0DD5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92" w:type="dxa"/>
            <w:noWrap w:val="0"/>
            <w:vAlign w:val="top"/>
          </w:tcPr>
          <w:p w14:paraId="43FC0ADB">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w w:val="99"/>
                <w:sz w:val="24"/>
                <w:highlight w:val="none"/>
              </w:rPr>
              <w:t>4</w:t>
            </w:r>
          </w:p>
        </w:tc>
        <w:tc>
          <w:tcPr>
            <w:tcW w:w="2889" w:type="dxa"/>
            <w:noWrap w:val="0"/>
            <w:vAlign w:val="top"/>
          </w:tcPr>
          <w:p w14:paraId="2C8E126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64553CD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587B3FA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2EBC01D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596A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92" w:type="dxa"/>
            <w:noWrap w:val="0"/>
            <w:vAlign w:val="top"/>
          </w:tcPr>
          <w:p w14:paraId="097E500C">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2889" w:type="dxa"/>
            <w:noWrap w:val="0"/>
            <w:vAlign w:val="top"/>
          </w:tcPr>
          <w:p w14:paraId="797B71B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6943E18C">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2B9239F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606C437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75AD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92" w:type="dxa"/>
            <w:noWrap w:val="0"/>
            <w:vAlign w:val="top"/>
          </w:tcPr>
          <w:p w14:paraId="15766200">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889" w:type="dxa"/>
            <w:noWrap w:val="0"/>
            <w:vAlign w:val="top"/>
          </w:tcPr>
          <w:p w14:paraId="3C92E17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3F76B16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3A8A04E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0D86D31C">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0660F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2" w:type="dxa"/>
            <w:noWrap w:val="0"/>
            <w:vAlign w:val="top"/>
          </w:tcPr>
          <w:p w14:paraId="0DE38F9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889" w:type="dxa"/>
            <w:noWrap w:val="0"/>
            <w:vAlign w:val="top"/>
          </w:tcPr>
          <w:p w14:paraId="2BD6CB1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36FAA90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2F1428A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242D934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2F8C1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92" w:type="dxa"/>
            <w:noWrap w:val="0"/>
            <w:vAlign w:val="top"/>
          </w:tcPr>
          <w:p w14:paraId="3CC7731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889" w:type="dxa"/>
            <w:noWrap w:val="0"/>
            <w:vAlign w:val="top"/>
          </w:tcPr>
          <w:p w14:paraId="2A2503E8">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75C409A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7527A0C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062EFDA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6FD9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92" w:type="dxa"/>
            <w:noWrap w:val="0"/>
            <w:vAlign w:val="top"/>
          </w:tcPr>
          <w:p w14:paraId="19DC10F6">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889" w:type="dxa"/>
            <w:noWrap w:val="0"/>
            <w:vAlign w:val="top"/>
          </w:tcPr>
          <w:p w14:paraId="7B0189E7">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54279E3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67ED18D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3E7BC6E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341F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92" w:type="dxa"/>
            <w:noWrap w:val="0"/>
            <w:vAlign w:val="top"/>
          </w:tcPr>
          <w:p w14:paraId="025C1BC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889" w:type="dxa"/>
            <w:noWrap w:val="0"/>
            <w:vAlign w:val="top"/>
          </w:tcPr>
          <w:p w14:paraId="62F0D7CE">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6FF055A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425E13A5">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0B73CD4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64805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2" w:type="dxa"/>
            <w:noWrap w:val="0"/>
            <w:vAlign w:val="top"/>
          </w:tcPr>
          <w:p w14:paraId="618C63E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889" w:type="dxa"/>
            <w:noWrap w:val="0"/>
            <w:vAlign w:val="top"/>
          </w:tcPr>
          <w:p w14:paraId="5EE00142">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68BC3D1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5BE0C219">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38F8026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r w14:paraId="20E7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92" w:type="dxa"/>
            <w:noWrap w:val="0"/>
            <w:vAlign w:val="top"/>
          </w:tcPr>
          <w:p w14:paraId="00D0F7A4">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889" w:type="dxa"/>
            <w:noWrap w:val="0"/>
            <w:vAlign w:val="top"/>
          </w:tcPr>
          <w:p w14:paraId="1DA061DD">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1417" w:type="dxa"/>
            <w:noWrap w:val="0"/>
            <w:vAlign w:val="top"/>
          </w:tcPr>
          <w:p w14:paraId="1D4298B3">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2268" w:type="dxa"/>
            <w:noWrap w:val="0"/>
            <w:vAlign w:val="top"/>
          </w:tcPr>
          <w:p w14:paraId="77233B4F">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c>
          <w:tcPr>
            <w:tcW w:w="993" w:type="dxa"/>
            <w:noWrap w:val="0"/>
            <w:vAlign w:val="top"/>
          </w:tcPr>
          <w:p w14:paraId="0C2AA981">
            <w:pPr>
              <w:pStyle w:val="43"/>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rPr>
            </w:pPr>
          </w:p>
        </w:tc>
      </w:tr>
    </w:tbl>
    <w:p w14:paraId="495A3975">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rPr>
          <w:rFonts w:hint="eastAsia" w:ascii="宋体" w:hAnsi="宋体" w:eastAsia="宋体" w:cs="宋体"/>
          <w:color w:val="auto"/>
          <w:highlight w:val="none"/>
        </w:rPr>
      </w:pPr>
    </w:p>
    <w:p w14:paraId="1827A536">
      <w:pPr>
        <w:pStyle w:val="13"/>
        <w:adjustRightInd w:val="0"/>
        <w:spacing w:before="80" w:line="4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注：1、以上业绩证明文件依据本项目评审标准的要求随表附后。</w:t>
      </w:r>
    </w:p>
    <w:p w14:paraId="69B4428C">
      <w:pPr>
        <w:pStyle w:val="13"/>
        <w:adjustRightInd w:val="0"/>
        <w:spacing w:before="80" w:line="4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2、供应商认为有必要提供的其他材料</w:t>
      </w:r>
    </w:p>
    <w:p w14:paraId="768DD288">
      <w:pPr>
        <w:pStyle w:val="13"/>
        <w:keepNext w:val="0"/>
        <w:keepLines w:val="0"/>
        <w:pageBreakBefore w:val="0"/>
        <w:overflowPunct/>
        <w:topLinePunct w:val="0"/>
        <w:bidi w:val="0"/>
        <w:adjustRightInd w:val="0"/>
        <w:snapToGrid w:val="0"/>
        <w:spacing w:beforeAutospacing="0" w:afterAutospacing="0" w:line="460" w:lineRule="exact"/>
        <w:ind w:left="0" w:leftChars="0" w:right="0" w:rightChars="0" w:firstLine="500" w:firstLineChars="200"/>
        <w:rPr>
          <w:rFonts w:hint="eastAsia" w:ascii="宋体" w:hAnsi="宋体" w:eastAsia="宋体" w:cs="宋体"/>
          <w:color w:val="auto"/>
          <w:sz w:val="25"/>
          <w:highlight w:val="none"/>
        </w:rPr>
      </w:pPr>
    </w:p>
    <w:p w14:paraId="3F742353">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highlight w:val="none"/>
        </w:rPr>
      </w:pPr>
      <w:bookmarkStart w:id="132" w:name="_bookmark18"/>
      <w:bookmarkEnd w:id="132"/>
      <w:bookmarkStart w:id="133" w:name="九、服务方案（格式自定）"/>
      <w:bookmarkEnd w:id="133"/>
      <w:bookmarkStart w:id="134" w:name="_Toc20603"/>
      <w:bookmarkStart w:id="135" w:name="_Toc18114"/>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 ：                    （盖章）</w:t>
      </w:r>
    </w:p>
    <w:p w14:paraId="75ED50D1">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448AB9F7">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18F582EC">
      <w:pPr>
        <w:pStyle w:val="18"/>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lang w:val="en-US"/>
        </w:rPr>
      </w:pPr>
    </w:p>
    <w:p w14:paraId="026C40C9">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lang w:val="en-US"/>
        </w:rPr>
      </w:pPr>
    </w:p>
    <w:p w14:paraId="548ED38F">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lang w:val="en-US"/>
        </w:rPr>
      </w:pPr>
    </w:p>
    <w:bookmarkEnd w:id="129"/>
    <w:bookmarkEnd w:id="130"/>
    <w:bookmarkEnd w:id="134"/>
    <w:bookmarkEnd w:id="135"/>
    <w:p w14:paraId="4258FD2B">
      <w:pPr>
        <w:pStyle w:val="13"/>
        <w:adjustRightInd w:val="0"/>
        <w:spacing w:line="480" w:lineRule="exact"/>
        <w:jc w:val="center"/>
        <w:rPr>
          <w:rFonts w:hint="eastAsia" w:ascii="宋体" w:hAnsi="宋体" w:eastAsia="宋体" w:cs="宋体"/>
          <w:b/>
          <w:color w:val="auto"/>
          <w:kern w:val="2"/>
          <w:szCs w:val="24"/>
          <w:highlight w:val="none"/>
        </w:rPr>
      </w:pPr>
    </w:p>
    <w:p w14:paraId="68670841">
      <w:pPr>
        <w:keepNext w:val="0"/>
        <w:keepLines w:val="0"/>
        <w:pageBreakBefore w:val="0"/>
        <w:overflowPunct/>
        <w:topLinePunct w:val="0"/>
        <w:bidi w:val="0"/>
        <w:spacing w:beforeAutospacing="0" w:afterAutospacing="0" w:line="460" w:lineRule="exact"/>
        <w:ind w:left="0" w:leftChars="0" w:right="0" w:rightChars="0"/>
        <w:jc w:val="center"/>
        <w:outlineLvl w:val="1"/>
        <w:rPr>
          <w:rFonts w:hint="eastAsia" w:ascii="宋体" w:hAnsi="宋体" w:eastAsia="宋体" w:cs="宋体"/>
          <w:color w:val="auto"/>
          <w:szCs w:val="30"/>
          <w:highlight w:val="none"/>
        </w:rPr>
      </w:pPr>
      <w:bookmarkStart w:id="136" w:name="_Toc14011"/>
      <w:bookmarkStart w:id="137" w:name="_Toc12048"/>
      <w:bookmarkStart w:id="138" w:name="_Toc29533"/>
      <w:r>
        <w:rPr>
          <w:rFonts w:hint="eastAsia" w:ascii="宋体" w:hAnsi="宋体" w:eastAsia="宋体" w:cs="宋体"/>
          <w:b/>
          <w:color w:val="auto"/>
          <w:sz w:val="28"/>
          <w:highlight w:val="none"/>
          <w:lang w:val="en-US"/>
        </w:rPr>
        <w:t>十、技术参数响应及偏离表</w:t>
      </w:r>
      <w:bookmarkEnd w:id="136"/>
      <w:bookmarkEnd w:id="137"/>
      <w:bookmarkEnd w:id="138"/>
    </w:p>
    <w:p w14:paraId="44B85869">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项目编号：</w:t>
      </w:r>
    </w:p>
    <w:tbl>
      <w:tblPr>
        <w:tblStyle w:val="33"/>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09"/>
        <w:gridCol w:w="3319"/>
        <w:gridCol w:w="846"/>
        <w:gridCol w:w="815"/>
        <w:gridCol w:w="895"/>
        <w:gridCol w:w="980"/>
      </w:tblGrid>
      <w:tr w14:paraId="03E5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6DE2E6E">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09" w:type="dxa"/>
            <w:noWrap w:val="0"/>
            <w:vAlign w:val="center"/>
          </w:tcPr>
          <w:p w14:paraId="6330C959">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投标文件条目</w:t>
            </w:r>
            <w:r>
              <w:rPr>
                <w:rFonts w:hint="eastAsia" w:ascii="宋体" w:hAnsi="宋体" w:eastAsia="宋体" w:cs="宋体"/>
                <w:color w:val="auto"/>
                <w:sz w:val="24"/>
                <w:szCs w:val="24"/>
                <w:highlight w:val="none"/>
                <w:lang w:val="en-US" w:eastAsia="zh-CN"/>
              </w:rPr>
              <w:t>款项</w:t>
            </w:r>
          </w:p>
        </w:tc>
        <w:tc>
          <w:tcPr>
            <w:tcW w:w="3319" w:type="dxa"/>
            <w:noWrap w:val="0"/>
            <w:vAlign w:val="center"/>
          </w:tcPr>
          <w:p w14:paraId="616803A7">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c>
          <w:tcPr>
            <w:tcW w:w="846" w:type="dxa"/>
            <w:noWrap w:val="0"/>
            <w:vAlign w:val="center"/>
          </w:tcPr>
          <w:p w14:paraId="2DA0A19E">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是否响应</w:t>
            </w:r>
          </w:p>
        </w:tc>
        <w:tc>
          <w:tcPr>
            <w:tcW w:w="815" w:type="dxa"/>
            <w:noWrap w:val="0"/>
            <w:vAlign w:val="center"/>
          </w:tcPr>
          <w:p w14:paraId="4247E8DA">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val="en-US" w:eastAsia="zh-CN"/>
              </w:rPr>
              <w:t>情况</w:t>
            </w:r>
          </w:p>
        </w:tc>
        <w:tc>
          <w:tcPr>
            <w:tcW w:w="895" w:type="dxa"/>
            <w:noWrap w:val="0"/>
            <w:vAlign w:val="center"/>
          </w:tcPr>
          <w:p w14:paraId="0F124B43">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c>
          <w:tcPr>
            <w:tcW w:w="980" w:type="dxa"/>
            <w:noWrap w:val="0"/>
            <w:vAlign w:val="center"/>
          </w:tcPr>
          <w:p w14:paraId="1959C7FF">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证明材料页码</w:t>
            </w:r>
          </w:p>
        </w:tc>
      </w:tr>
      <w:tr w14:paraId="180A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noWrap w:val="0"/>
            <w:vAlign w:val="center"/>
          </w:tcPr>
          <w:p w14:paraId="782BAEE6">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209" w:type="dxa"/>
            <w:noWrap w:val="0"/>
            <w:vAlign w:val="center"/>
          </w:tcPr>
          <w:p w14:paraId="3A8F2FBF">
            <w:pPr>
              <w:keepNext w:val="0"/>
              <w:keepLines w:val="0"/>
              <w:pageBreakBefore w:val="0"/>
              <w:overflowPunct/>
              <w:topLinePunct w:val="0"/>
              <w:bidi w:val="0"/>
              <w:spacing w:beforeAutospacing="0" w:afterAutospacing="0" w:line="460" w:lineRule="exact"/>
              <w:ind w:left="0" w:leftChars="0" w:right="0" w:rightChars="0"/>
              <w:contextualSpacing/>
              <w:jc w:val="center"/>
              <w:rPr>
                <w:rFonts w:hint="eastAsia" w:ascii="宋体" w:hAnsi="宋体" w:eastAsia="宋体" w:cs="宋体"/>
                <w:color w:val="auto"/>
                <w:sz w:val="24"/>
                <w:szCs w:val="24"/>
                <w:highlight w:val="none"/>
              </w:rPr>
            </w:pPr>
          </w:p>
        </w:tc>
        <w:tc>
          <w:tcPr>
            <w:tcW w:w="3319" w:type="dxa"/>
            <w:noWrap w:val="0"/>
            <w:vAlign w:val="top"/>
          </w:tcPr>
          <w:p w14:paraId="65A732DA">
            <w:pPr>
              <w:keepNext w:val="0"/>
              <w:keepLines w:val="0"/>
              <w:pageBreakBefore w:val="0"/>
              <w:overflowPunct/>
              <w:topLinePunct w:val="0"/>
              <w:bidi w:val="0"/>
              <w:spacing w:beforeAutospacing="0" w:afterAutospacing="0" w:line="460" w:lineRule="exact"/>
              <w:ind w:left="0" w:leftChars="0" w:right="0" w:rightChars="0"/>
              <w:jc w:val="left"/>
              <w:rPr>
                <w:rFonts w:hint="eastAsia" w:ascii="宋体" w:hAnsi="宋体" w:eastAsia="宋体" w:cs="宋体"/>
                <w:color w:val="auto"/>
                <w:sz w:val="24"/>
                <w:szCs w:val="24"/>
                <w:highlight w:val="none"/>
              </w:rPr>
            </w:pPr>
          </w:p>
        </w:tc>
        <w:tc>
          <w:tcPr>
            <w:tcW w:w="846" w:type="dxa"/>
            <w:noWrap w:val="0"/>
            <w:vAlign w:val="top"/>
          </w:tcPr>
          <w:p w14:paraId="261198D0">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15" w:type="dxa"/>
            <w:noWrap w:val="0"/>
            <w:vAlign w:val="top"/>
          </w:tcPr>
          <w:p w14:paraId="11C264CE">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95" w:type="dxa"/>
            <w:noWrap w:val="0"/>
            <w:vAlign w:val="top"/>
          </w:tcPr>
          <w:p w14:paraId="1415AC59">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980" w:type="dxa"/>
            <w:noWrap w:val="0"/>
            <w:vAlign w:val="top"/>
          </w:tcPr>
          <w:p w14:paraId="5ADB946B">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r>
      <w:tr w14:paraId="1F3D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noWrap w:val="0"/>
            <w:vAlign w:val="center"/>
          </w:tcPr>
          <w:p w14:paraId="3CEE41F7">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209" w:type="dxa"/>
            <w:noWrap w:val="0"/>
            <w:vAlign w:val="center"/>
          </w:tcPr>
          <w:p w14:paraId="5668F1B7">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lang w:val="en-US" w:eastAsia="zh-CN"/>
              </w:rPr>
            </w:pPr>
          </w:p>
        </w:tc>
        <w:tc>
          <w:tcPr>
            <w:tcW w:w="3319" w:type="dxa"/>
            <w:noWrap w:val="0"/>
            <w:vAlign w:val="top"/>
          </w:tcPr>
          <w:p w14:paraId="08B919CD">
            <w:pPr>
              <w:keepNext w:val="0"/>
              <w:keepLines w:val="0"/>
              <w:pageBreakBefore w:val="0"/>
              <w:overflowPunct/>
              <w:topLinePunct w:val="0"/>
              <w:bidi w:val="0"/>
              <w:spacing w:beforeAutospacing="0" w:afterAutospacing="0" w:line="460" w:lineRule="exact"/>
              <w:ind w:left="0" w:leftChars="0" w:right="0" w:rightChars="0"/>
              <w:jc w:val="left"/>
              <w:rPr>
                <w:rFonts w:hint="eastAsia" w:ascii="宋体" w:hAnsi="宋体" w:eastAsia="宋体" w:cs="宋体"/>
                <w:color w:val="auto"/>
                <w:sz w:val="24"/>
                <w:szCs w:val="24"/>
                <w:highlight w:val="none"/>
              </w:rPr>
            </w:pPr>
          </w:p>
        </w:tc>
        <w:tc>
          <w:tcPr>
            <w:tcW w:w="846" w:type="dxa"/>
            <w:noWrap w:val="0"/>
            <w:vAlign w:val="top"/>
          </w:tcPr>
          <w:p w14:paraId="52572825">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15" w:type="dxa"/>
            <w:noWrap w:val="0"/>
            <w:vAlign w:val="top"/>
          </w:tcPr>
          <w:p w14:paraId="24EE9628">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95" w:type="dxa"/>
            <w:noWrap w:val="0"/>
            <w:vAlign w:val="top"/>
          </w:tcPr>
          <w:p w14:paraId="0B20C4C6">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980" w:type="dxa"/>
            <w:noWrap w:val="0"/>
            <w:vAlign w:val="top"/>
          </w:tcPr>
          <w:p w14:paraId="7C632AFF">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r>
      <w:tr w14:paraId="0E9D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noWrap w:val="0"/>
            <w:vAlign w:val="center"/>
          </w:tcPr>
          <w:p w14:paraId="681BD67F">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209" w:type="dxa"/>
            <w:noWrap w:val="0"/>
            <w:vAlign w:val="center"/>
          </w:tcPr>
          <w:p w14:paraId="25D60C50">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p>
        </w:tc>
        <w:tc>
          <w:tcPr>
            <w:tcW w:w="3319" w:type="dxa"/>
            <w:noWrap w:val="0"/>
            <w:vAlign w:val="top"/>
          </w:tcPr>
          <w:p w14:paraId="224819F2">
            <w:pPr>
              <w:keepNext w:val="0"/>
              <w:keepLines w:val="0"/>
              <w:pageBreakBefore w:val="0"/>
              <w:overflowPunct/>
              <w:topLinePunct w:val="0"/>
              <w:bidi w:val="0"/>
              <w:spacing w:beforeAutospacing="0" w:afterAutospacing="0" w:line="460" w:lineRule="exact"/>
              <w:ind w:left="0" w:leftChars="0" w:right="0" w:rightChars="0"/>
              <w:contextualSpacing/>
              <w:jc w:val="left"/>
              <w:rPr>
                <w:rFonts w:hint="eastAsia" w:ascii="宋体" w:hAnsi="宋体" w:eastAsia="宋体" w:cs="宋体"/>
                <w:color w:val="auto"/>
                <w:sz w:val="24"/>
                <w:szCs w:val="24"/>
                <w:highlight w:val="none"/>
              </w:rPr>
            </w:pPr>
          </w:p>
        </w:tc>
        <w:tc>
          <w:tcPr>
            <w:tcW w:w="846" w:type="dxa"/>
            <w:noWrap w:val="0"/>
            <w:vAlign w:val="top"/>
          </w:tcPr>
          <w:p w14:paraId="3BABBD6C">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15" w:type="dxa"/>
            <w:noWrap w:val="0"/>
            <w:vAlign w:val="top"/>
          </w:tcPr>
          <w:p w14:paraId="167F4FDD">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95" w:type="dxa"/>
            <w:noWrap w:val="0"/>
            <w:vAlign w:val="top"/>
          </w:tcPr>
          <w:p w14:paraId="0F2334FA">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980" w:type="dxa"/>
            <w:noWrap w:val="0"/>
            <w:vAlign w:val="top"/>
          </w:tcPr>
          <w:p w14:paraId="11E23F65">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r>
      <w:tr w14:paraId="4D14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noWrap w:val="0"/>
            <w:vAlign w:val="center"/>
          </w:tcPr>
          <w:p w14:paraId="0565D4E4">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209" w:type="dxa"/>
            <w:noWrap w:val="0"/>
            <w:vAlign w:val="center"/>
          </w:tcPr>
          <w:p w14:paraId="7C47D7E6">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p>
        </w:tc>
        <w:tc>
          <w:tcPr>
            <w:tcW w:w="3319" w:type="dxa"/>
            <w:noWrap w:val="0"/>
            <w:vAlign w:val="top"/>
          </w:tcPr>
          <w:p w14:paraId="5251B121">
            <w:pPr>
              <w:keepNext w:val="0"/>
              <w:keepLines w:val="0"/>
              <w:pageBreakBefore w:val="0"/>
              <w:overflowPunct/>
              <w:topLinePunct w:val="0"/>
              <w:bidi w:val="0"/>
              <w:spacing w:beforeAutospacing="0" w:afterAutospacing="0" w:line="460" w:lineRule="exact"/>
              <w:ind w:left="0" w:leftChars="0" w:right="0" w:rightChars="0"/>
              <w:contextualSpacing/>
              <w:jc w:val="left"/>
              <w:rPr>
                <w:rFonts w:hint="eastAsia" w:ascii="宋体" w:hAnsi="宋体" w:eastAsia="宋体" w:cs="宋体"/>
                <w:color w:val="auto"/>
                <w:sz w:val="24"/>
                <w:szCs w:val="24"/>
                <w:highlight w:val="none"/>
              </w:rPr>
            </w:pPr>
          </w:p>
        </w:tc>
        <w:tc>
          <w:tcPr>
            <w:tcW w:w="846" w:type="dxa"/>
            <w:noWrap w:val="0"/>
            <w:vAlign w:val="top"/>
          </w:tcPr>
          <w:p w14:paraId="71644FF4">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15" w:type="dxa"/>
            <w:noWrap w:val="0"/>
            <w:vAlign w:val="top"/>
          </w:tcPr>
          <w:p w14:paraId="373116AC">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95" w:type="dxa"/>
            <w:noWrap w:val="0"/>
            <w:vAlign w:val="top"/>
          </w:tcPr>
          <w:p w14:paraId="01F9EA47">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980" w:type="dxa"/>
            <w:noWrap w:val="0"/>
            <w:vAlign w:val="top"/>
          </w:tcPr>
          <w:p w14:paraId="0F57F817">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r>
      <w:tr w14:paraId="04B1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noWrap w:val="0"/>
            <w:vAlign w:val="center"/>
          </w:tcPr>
          <w:p w14:paraId="64DD0BD0">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209" w:type="dxa"/>
            <w:noWrap w:val="0"/>
            <w:vAlign w:val="center"/>
          </w:tcPr>
          <w:p w14:paraId="57E58BE3">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p>
        </w:tc>
        <w:tc>
          <w:tcPr>
            <w:tcW w:w="3319" w:type="dxa"/>
            <w:noWrap w:val="0"/>
            <w:vAlign w:val="top"/>
          </w:tcPr>
          <w:p w14:paraId="2225D9F8">
            <w:pPr>
              <w:keepNext w:val="0"/>
              <w:keepLines w:val="0"/>
              <w:pageBreakBefore w:val="0"/>
              <w:overflowPunct/>
              <w:topLinePunct w:val="0"/>
              <w:bidi w:val="0"/>
              <w:spacing w:beforeAutospacing="0" w:afterAutospacing="0" w:line="460" w:lineRule="exact"/>
              <w:ind w:left="0" w:leftChars="0" w:right="0" w:rightChars="0"/>
              <w:contextualSpacing/>
              <w:jc w:val="left"/>
              <w:rPr>
                <w:rFonts w:hint="eastAsia" w:ascii="宋体" w:hAnsi="宋体" w:eastAsia="宋体" w:cs="宋体"/>
                <w:color w:val="auto"/>
                <w:sz w:val="24"/>
                <w:szCs w:val="24"/>
                <w:highlight w:val="none"/>
              </w:rPr>
            </w:pPr>
          </w:p>
        </w:tc>
        <w:tc>
          <w:tcPr>
            <w:tcW w:w="846" w:type="dxa"/>
            <w:noWrap w:val="0"/>
            <w:vAlign w:val="top"/>
          </w:tcPr>
          <w:p w14:paraId="46812887">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15" w:type="dxa"/>
            <w:noWrap w:val="0"/>
            <w:vAlign w:val="top"/>
          </w:tcPr>
          <w:p w14:paraId="6DA175D0">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95" w:type="dxa"/>
            <w:noWrap w:val="0"/>
            <w:vAlign w:val="top"/>
          </w:tcPr>
          <w:p w14:paraId="156457E9">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980" w:type="dxa"/>
            <w:noWrap w:val="0"/>
            <w:vAlign w:val="top"/>
          </w:tcPr>
          <w:p w14:paraId="7293EF46">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r>
      <w:tr w14:paraId="68D3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noWrap w:val="0"/>
            <w:vAlign w:val="center"/>
          </w:tcPr>
          <w:p w14:paraId="67FD5446">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209" w:type="dxa"/>
            <w:noWrap w:val="0"/>
            <w:vAlign w:val="center"/>
          </w:tcPr>
          <w:p w14:paraId="58F68046">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szCs w:val="24"/>
                <w:highlight w:val="none"/>
              </w:rPr>
            </w:pPr>
          </w:p>
        </w:tc>
        <w:tc>
          <w:tcPr>
            <w:tcW w:w="3319" w:type="dxa"/>
            <w:noWrap w:val="0"/>
            <w:vAlign w:val="top"/>
          </w:tcPr>
          <w:p w14:paraId="6C8C9F03">
            <w:pPr>
              <w:keepNext w:val="0"/>
              <w:keepLines w:val="0"/>
              <w:pageBreakBefore w:val="0"/>
              <w:overflowPunct/>
              <w:topLinePunct w:val="0"/>
              <w:bidi w:val="0"/>
              <w:spacing w:beforeAutospacing="0" w:afterAutospacing="0" w:line="460" w:lineRule="exact"/>
              <w:ind w:left="0" w:leftChars="0" w:right="0" w:rightChars="0"/>
              <w:contextualSpacing/>
              <w:jc w:val="left"/>
              <w:rPr>
                <w:rFonts w:hint="eastAsia" w:ascii="宋体" w:hAnsi="宋体" w:eastAsia="宋体" w:cs="宋体"/>
                <w:color w:val="auto"/>
                <w:sz w:val="24"/>
                <w:szCs w:val="24"/>
                <w:highlight w:val="none"/>
              </w:rPr>
            </w:pPr>
          </w:p>
        </w:tc>
        <w:tc>
          <w:tcPr>
            <w:tcW w:w="846" w:type="dxa"/>
            <w:noWrap w:val="0"/>
            <w:vAlign w:val="top"/>
          </w:tcPr>
          <w:p w14:paraId="2AF1C31C">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15" w:type="dxa"/>
            <w:noWrap w:val="0"/>
            <w:vAlign w:val="top"/>
          </w:tcPr>
          <w:p w14:paraId="3D7D9059">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895" w:type="dxa"/>
            <w:noWrap w:val="0"/>
            <w:vAlign w:val="top"/>
          </w:tcPr>
          <w:p w14:paraId="4E1D2062">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980" w:type="dxa"/>
            <w:noWrap w:val="0"/>
            <w:vAlign w:val="top"/>
          </w:tcPr>
          <w:p w14:paraId="2B37B562">
            <w:pPr>
              <w:keepNext w:val="0"/>
              <w:keepLines w:val="0"/>
              <w:pageBreakBefore w:val="0"/>
              <w:overflowPunct/>
              <w:topLinePunct w:val="0"/>
              <w:bidi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r>
    </w:tbl>
    <w:p w14:paraId="30BDA276">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p>
    <w:p w14:paraId="57C65EB5">
      <w:pPr>
        <w:spacing w:line="48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应仔细研读、对照</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文件规定的服务要求，</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说明偏离情况：负偏离、无偏离、正偏离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并附相应证明材料</w:t>
      </w:r>
      <w:r>
        <w:rPr>
          <w:rFonts w:hint="eastAsia" w:ascii="宋体" w:hAnsi="宋体" w:eastAsia="宋体" w:cs="宋体"/>
          <w:color w:val="auto"/>
          <w:sz w:val="24"/>
          <w:highlight w:val="none"/>
        </w:rPr>
        <w:t>。</w:t>
      </w:r>
    </w:p>
    <w:p w14:paraId="04E56805">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承诺：除本表响应的偏离项目及内容外，其他所有项目及内容均完全与</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文件的技术及服务要求相同。</w:t>
      </w:r>
    </w:p>
    <w:p w14:paraId="6DEDB77E">
      <w:pPr>
        <w:spacing w:line="48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3.如投</w:t>
      </w:r>
      <w:r>
        <w:rPr>
          <w:rFonts w:hint="eastAsia" w:ascii="宋体" w:hAnsi="宋体" w:eastAsia="宋体" w:cs="宋体"/>
          <w:color w:val="auto"/>
          <w:sz w:val="24"/>
          <w:highlight w:val="none"/>
          <w:lang w:eastAsia="zh-CN"/>
        </w:rPr>
        <w:t>标人</w:t>
      </w:r>
      <w:r>
        <w:rPr>
          <w:rFonts w:hint="eastAsia" w:ascii="宋体" w:hAnsi="宋体" w:eastAsia="宋体" w:cs="宋体"/>
          <w:color w:val="auto"/>
          <w:sz w:val="24"/>
          <w:highlight w:val="none"/>
        </w:rPr>
        <w:t>与技术服务要求完全一致，须在上表中注明“完全响应，无偏离”。</w:t>
      </w:r>
    </w:p>
    <w:p w14:paraId="7F90964C">
      <w:pPr>
        <w:spacing w:line="48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4.针对偏离项进行详细说明。</w:t>
      </w:r>
    </w:p>
    <w:p w14:paraId="4D3696AF">
      <w:pPr>
        <w:keepNext w:val="0"/>
        <w:keepLines w:val="0"/>
        <w:pageBreakBefore w:val="0"/>
        <w:overflowPunct/>
        <w:topLinePunct w:val="0"/>
        <w:bidi w:val="0"/>
        <w:spacing w:beforeAutospacing="0" w:afterAutospacing="0" w:line="460" w:lineRule="exact"/>
        <w:ind w:left="0" w:leftChars="0" w:right="0" w:rightChars="0" w:firstLine="435"/>
        <w:outlineLvl w:val="2"/>
        <w:rPr>
          <w:rFonts w:hint="eastAsia" w:ascii="宋体" w:hAnsi="宋体" w:eastAsia="宋体" w:cs="宋体"/>
          <w:b/>
          <w:bCs/>
          <w:color w:val="auto"/>
          <w:sz w:val="24"/>
          <w:highlight w:val="none"/>
        </w:rPr>
      </w:pPr>
    </w:p>
    <w:p w14:paraId="2B1B2D66">
      <w:pPr>
        <w:keepNext w:val="0"/>
        <w:keepLines w:val="0"/>
        <w:pageBreakBefore w:val="0"/>
        <w:overflowPunct/>
        <w:topLinePunct w:val="0"/>
        <w:bidi w:val="0"/>
        <w:spacing w:beforeAutospacing="0" w:afterAutospacing="0" w:line="460" w:lineRule="exact"/>
        <w:ind w:left="0" w:leftChars="0" w:right="0" w:rightChars="0" w:firstLine="435"/>
        <w:rPr>
          <w:rFonts w:hint="eastAsia" w:ascii="宋体" w:hAnsi="宋体" w:eastAsia="宋体" w:cs="宋体"/>
          <w:color w:val="auto"/>
          <w:sz w:val="24"/>
          <w:highlight w:val="none"/>
        </w:rPr>
      </w:pPr>
    </w:p>
    <w:p w14:paraId="4728165E">
      <w:pPr>
        <w:keepNext w:val="0"/>
        <w:keepLines w:val="0"/>
        <w:pageBreakBefore w:val="0"/>
        <w:overflowPunct/>
        <w:topLinePunct w:val="0"/>
        <w:bidi w:val="0"/>
        <w:spacing w:beforeAutospacing="0" w:afterAutospacing="0" w:line="460" w:lineRule="exact"/>
        <w:ind w:left="0" w:leftChars="0" w:right="0" w:rightChars="0" w:firstLine="435"/>
        <w:rPr>
          <w:rFonts w:hint="eastAsia" w:ascii="宋体" w:hAnsi="宋体" w:eastAsia="宋体" w:cs="宋体"/>
          <w:color w:val="auto"/>
          <w:sz w:val="24"/>
          <w:highlight w:val="none"/>
        </w:rPr>
      </w:pPr>
    </w:p>
    <w:p w14:paraId="5900C8CA">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 ：                    （盖章）</w:t>
      </w:r>
    </w:p>
    <w:p w14:paraId="3227F187">
      <w:pPr>
        <w:keepNext w:val="0"/>
        <w:keepLines w:val="0"/>
        <w:pageBreakBefore w:val="0"/>
        <w:overflowPunct/>
        <w:topLinePunct w:val="0"/>
        <w:bidi w:val="0"/>
        <w:spacing w:beforeAutospacing="0" w:afterAutospacing="0" w:line="460" w:lineRule="exact"/>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6816794">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04D36A43">
      <w:pPr>
        <w:pStyle w:val="5"/>
        <w:keepNext w:val="0"/>
        <w:keepLines w:val="0"/>
        <w:pageBreakBefore w:val="0"/>
        <w:overflowPunct/>
        <w:topLinePunct w:val="0"/>
        <w:bidi w:val="0"/>
        <w:spacing w:before="0" w:beforeAutospacing="0" w:after="0" w:afterAutospacing="0" w:line="460" w:lineRule="exact"/>
        <w:ind w:left="0" w:leftChars="0" w:right="0" w:rightChars="0"/>
        <w:jc w:val="center"/>
        <w:outlineLvl w:val="9"/>
        <w:rPr>
          <w:rFonts w:hint="eastAsia" w:ascii="宋体" w:hAnsi="宋体" w:eastAsia="宋体" w:cs="宋体"/>
          <w:color w:val="auto"/>
          <w:highlight w:val="none"/>
        </w:rPr>
      </w:pPr>
    </w:p>
    <w:p w14:paraId="421D75EB">
      <w:pPr>
        <w:rPr>
          <w:rFonts w:hint="eastAsia" w:ascii="宋体" w:hAnsi="宋体" w:eastAsia="宋体" w:cs="宋体"/>
          <w:color w:val="auto"/>
          <w:highlight w:val="none"/>
        </w:rPr>
      </w:pPr>
    </w:p>
    <w:p w14:paraId="7C80FFC5">
      <w:pPr>
        <w:rPr>
          <w:rFonts w:hint="eastAsia" w:ascii="宋体" w:hAnsi="宋体" w:eastAsia="宋体" w:cs="宋体"/>
          <w:color w:val="auto"/>
          <w:highlight w:val="none"/>
        </w:rPr>
      </w:pPr>
    </w:p>
    <w:p w14:paraId="6BF9B83C">
      <w:pPr>
        <w:rPr>
          <w:rFonts w:hint="eastAsia" w:ascii="宋体" w:hAnsi="宋体" w:eastAsia="宋体" w:cs="宋体"/>
          <w:color w:val="auto"/>
          <w:highlight w:val="none"/>
        </w:rPr>
      </w:pPr>
    </w:p>
    <w:p w14:paraId="535C5712">
      <w:pPr>
        <w:rPr>
          <w:rFonts w:hint="eastAsia" w:ascii="宋体" w:hAnsi="宋体" w:eastAsia="宋体" w:cs="宋体"/>
          <w:color w:val="auto"/>
          <w:highlight w:val="none"/>
        </w:rPr>
      </w:pPr>
    </w:p>
    <w:p w14:paraId="6F73A279">
      <w:pPr>
        <w:pStyle w:val="5"/>
        <w:keepNext w:val="0"/>
        <w:keepLines w:val="0"/>
        <w:pageBreakBefore w:val="0"/>
        <w:overflowPunct/>
        <w:topLinePunct w:val="0"/>
        <w:bidi w:val="0"/>
        <w:spacing w:before="0" w:beforeAutospacing="0" w:after="0" w:afterAutospacing="0" w:line="460" w:lineRule="exact"/>
        <w:ind w:left="0" w:leftChars="0" w:right="0" w:rightChars="0"/>
        <w:jc w:val="center"/>
        <w:rPr>
          <w:rFonts w:hint="eastAsia" w:ascii="宋体" w:hAnsi="宋体" w:eastAsia="宋体" w:cs="宋体"/>
          <w:bCs w:val="0"/>
          <w:color w:val="auto"/>
          <w:sz w:val="28"/>
          <w:szCs w:val="22"/>
          <w:highlight w:val="none"/>
          <w:lang w:val="en-US"/>
        </w:rPr>
      </w:pPr>
      <w:bookmarkStart w:id="139" w:name="_Toc5517"/>
      <w:bookmarkStart w:id="140" w:name="_Toc17200"/>
      <w:r>
        <w:rPr>
          <w:rFonts w:hint="eastAsia" w:ascii="宋体" w:hAnsi="宋体" w:eastAsia="宋体" w:cs="宋体"/>
          <w:bCs w:val="0"/>
          <w:color w:val="auto"/>
          <w:sz w:val="28"/>
          <w:szCs w:val="22"/>
          <w:highlight w:val="none"/>
          <w:lang w:val="en-US" w:eastAsia="zh-CN"/>
        </w:rPr>
        <w:t xml:space="preserve">  </w:t>
      </w:r>
      <w:bookmarkStart w:id="141" w:name="_Toc12051"/>
      <w:bookmarkStart w:id="142" w:name="_Toc22418"/>
      <w:r>
        <w:rPr>
          <w:rFonts w:hint="eastAsia" w:ascii="宋体" w:hAnsi="宋体" w:eastAsia="宋体" w:cs="宋体"/>
          <w:bCs w:val="0"/>
          <w:color w:val="auto"/>
          <w:sz w:val="28"/>
          <w:szCs w:val="22"/>
          <w:highlight w:val="none"/>
          <w:lang w:val="en-US"/>
        </w:rPr>
        <w:t>商务条款响应及偏离表</w:t>
      </w:r>
      <w:bookmarkEnd w:id="139"/>
      <w:bookmarkEnd w:id="140"/>
      <w:bookmarkEnd w:id="141"/>
      <w:bookmarkEnd w:id="142"/>
    </w:p>
    <w:p w14:paraId="1050C85B">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项目编号：</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4596"/>
        <w:gridCol w:w="1080"/>
        <w:gridCol w:w="1645"/>
      </w:tblGrid>
      <w:tr w14:paraId="73C12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5F226C4A">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项目</w:t>
            </w:r>
          </w:p>
        </w:tc>
        <w:tc>
          <w:tcPr>
            <w:tcW w:w="4596" w:type="dxa"/>
            <w:tcBorders>
              <w:top w:val="single" w:color="auto" w:sz="4" w:space="0"/>
              <w:left w:val="single" w:color="auto" w:sz="4" w:space="0"/>
              <w:bottom w:val="single" w:color="auto" w:sz="4" w:space="0"/>
              <w:right w:val="single" w:color="auto" w:sz="4" w:space="0"/>
            </w:tcBorders>
            <w:noWrap w:val="0"/>
            <w:vAlign w:val="top"/>
          </w:tcPr>
          <w:p w14:paraId="36BEACEB">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招标文件要求</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E0334B9">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p w14:paraId="2BB67EC8">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val="en-US" w:eastAsia="zh-CN"/>
              </w:rPr>
              <w:t>情况</w:t>
            </w:r>
          </w:p>
        </w:tc>
        <w:tc>
          <w:tcPr>
            <w:tcW w:w="1645" w:type="dxa"/>
            <w:tcBorders>
              <w:top w:val="single" w:color="auto" w:sz="4" w:space="0"/>
              <w:left w:val="single" w:color="auto" w:sz="4" w:space="0"/>
              <w:bottom w:val="single" w:color="auto" w:sz="4" w:space="0"/>
              <w:right w:val="single" w:color="auto" w:sz="4" w:space="0"/>
            </w:tcBorders>
            <w:noWrap w:val="0"/>
            <w:vAlign w:val="top"/>
          </w:tcPr>
          <w:p w14:paraId="2E2E42EA">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投标人的承诺或说明</w:t>
            </w:r>
          </w:p>
        </w:tc>
      </w:tr>
      <w:tr w14:paraId="7019C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04822A0B">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4596" w:type="dxa"/>
            <w:tcBorders>
              <w:top w:val="single" w:color="auto" w:sz="4" w:space="0"/>
              <w:left w:val="single" w:color="auto" w:sz="4" w:space="0"/>
              <w:bottom w:val="single" w:color="auto" w:sz="4" w:space="0"/>
              <w:right w:val="single" w:color="auto" w:sz="4" w:space="0"/>
            </w:tcBorders>
            <w:noWrap w:val="0"/>
            <w:vAlign w:val="top"/>
          </w:tcPr>
          <w:p w14:paraId="61DF5B71">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4B0FCD">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top"/>
          </w:tcPr>
          <w:p w14:paraId="155C15AC">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r>
      <w:tr w14:paraId="3E4D6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589B676F">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highlight w:val="none"/>
              </w:rPr>
            </w:pPr>
          </w:p>
        </w:tc>
        <w:tc>
          <w:tcPr>
            <w:tcW w:w="4596" w:type="dxa"/>
            <w:tcBorders>
              <w:top w:val="single" w:color="auto" w:sz="4" w:space="0"/>
              <w:left w:val="single" w:color="auto" w:sz="4" w:space="0"/>
              <w:bottom w:val="single" w:color="auto" w:sz="4" w:space="0"/>
              <w:right w:val="single" w:color="auto" w:sz="4" w:space="0"/>
            </w:tcBorders>
            <w:noWrap w:val="0"/>
            <w:vAlign w:val="top"/>
          </w:tcPr>
          <w:p w14:paraId="4A6600C4">
            <w:pPr>
              <w:keepNext w:val="0"/>
              <w:keepLines w:val="0"/>
              <w:pageBreakBefore w:val="0"/>
              <w:overflowPunct/>
              <w:topLinePunct w:val="0"/>
              <w:bidi w:val="0"/>
              <w:snapToGrid w:val="0"/>
              <w:spacing w:beforeAutospacing="0" w:afterAutospacing="0" w:line="460" w:lineRule="exact"/>
              <w:ind w:left="0" w:leftChars="0" w:right="0" w:rightChars="0"/>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6CC9B2">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top"/>
          </w:tcPr>
          <w:p w14:paraId="7DE1AF46">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r>
      <w:tr w14:paraId="72E4C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3A4F2078">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4596" w:type="dxa"/>
            <w:tcBorders>
              <w:top w:val="single" w:color="auto" w:sz="4" w:space="0"/>
              <w:left w:val="single" w:color="auto" w:sz="4" w:space="0"/>
              <w:bottom w:val="single" w:color="auto" w:sz="4" w:space="0"/>
              <w:right w:val="single" w:color="auto" w:sz="4" w:space="0"/>
            </w:tcBorders>
            <w:noWrap w:val="0"/>
            <w:vAlign w:val="top"/>
          </w:tcPr>
          <w:p w14:paraId="745791FC">
            <w:pPr>
              <w:keepNext w:val="0"/>
              <w:keepLines w:val="0"/>
              <w:pageBreakBefore w:val="0"/>
              <w:overflowPunct/>
              <w:topLinePunct w:val="0"/>
              <w:bidi w:val="0"/>
              <w:snapToGrid w:val="0"/>
              <w:spacing w:beforeAutospacing="0" w:afterAutospacing="0" w:line="460" w:lineRule="exact"/>
              <w:ind w:left="0" w:leftChars="0" w:right="0" w:rightChars="0"/>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5F24CC">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top"/>
          </w:tcPr>
          <w:p w14:paraId="5696DC72">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r>
      <w:tr w14:paraId="6FF3C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5830ABD6">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4596" w:type="dxa"/>
            <w:tcBorders>
              <w:top w:val="single" w:color="auto" w:sz="4" w:space="0"/>
              <w:left w:val="single" w:color="auto" w:sz="4" w:space="0"/>
              <w:bottom w:val="single" w:color="auto" w:sz="4" w:space="0"/>
              <w:right w:val="single" w:color="auto" w:sz="4" w:space="0"/>
            </w:tcBorders>
            <w:noWrap w:val="0"/>
            <w:vAlign w:val="top"/>
          </w:tcPr>
          <w:p w14:paraId="766633D7">
            <w:pPr>
              <w:keepNext w:val="0"/>
              <w:keepLines w:val="0"/>
              <w:pageBreakBefore w:val="0"/>
              <w:overflowPunct/>
              <w:topLinePunct w:val="0"/>
              <w:bidi w:val="0"/>
              <w:snapToGrid w:val="0"/>
              <w:spacing w:beforeAutospacing="0" w:afterAutospacing="0" w:line="460" w:lineRule="exact"/>
              <w:ind w:left="0" w:leftChars="0" w:right="0" w:rightChars="0"/>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D8A4561">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top"/>
          </w:tcPr>
          <w:p w14:paraId="37A3AB3F">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r>
      <w:tr w14:paraId="2C26A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6CD635B6">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4596" w:type="dxa"/>
            <w:tcBorders>
              <w:top w:val="single" w:color="auto" w:sz="4" w:space="0"/>
              <w:left w:val="single" w:color="auto" w:sz="4" w:space="0"/>
              <w:bottom w:val="single" w:color="auto" w:sz="4" w:space="0"/>
              <w:right w:val="single" w:color="auto" w:sz="4" w:space="0"/>
            </w:tcBorders>
            <w:noWrap w:val="0"/>
            <w:vAlign w:val="top"/>
          </w:tcPr>
          <w:p w14:paraId="38403ABA">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758EEFF">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top"/>
          </w:tcPr>
          <w:p w14:paraId="76C052FD">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r>
      <w:tr w14:paraId="2690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4E62C037">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4596" w:type="dxa"/>
            <w:tcBorders>
              <w:top w:val="single" w:color="auto" w:sz="4" w:space="0"/>
              <w:left w:val="single" w:color="auto" w:sz="4" w:space="0"/>
              <w:bottom w:val="single" w:color="auto" w:sz="4" w:space="0"/>
              <w:right w:val="single" w:color="auto" w:sz="4" w:space="0"/>
            </w:tcBorders>
            <w:noWrap w:val="0"/>
            <w:vAlign w:val="top"/>
          </w:tcPr>
          <w:p w14:paraId="614BF923">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73C19B5">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top"/>
          </w:tcPr>
          <w:p w14:paraId="097F52BF">
            <w:pPr>
              <w:keepNext w:val="0"/>
              <w:keepLines w:val="0"/>
              <w:pageBreakBefore w:val="0"/>
              <w:overflowPunct/>
              <w:topLinePunct w:val="0"/>
              <w:bidi w:val="0"/>
              <w:snapToGrid w:val="0"/>
              <w:spacing w:beforeAutospacing="0" w:afterAutospacing="0" w:line="460" w:lineRule="exact"/>
              <w:ind w:left="0" w:leftChars="0" w:right="0" w:rightChars="0"/>
              <w:jc w:val="center"/>
              <w:rPr>
                <w:rFonts w:hint="eastAsia" w:ascii="宋体" w:hAnsi="宋体" w:eastAsia="宋体" w:cs="宋体"/>
                <w:color w:val="auto"/>
                <w:sz w:val="24"/>
                <w:szCs w:val="20"/>
                <w:highlight w:val="none"/>
              </w:rPr>
            </w:pPr>
          </w:p>
        </w:tc>
      </w:tr>
    </w:tbl>
    <w:p w14:paraId="0CED5C43">
      <w:pPr>
        <w:spacing w:line="48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应仔细研读、对照</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文件的商务条款要求，按要求针对商务条款填写上表，</w:t>
      </w:r>
      <w:r>
        <w:rPr>
          <w:rFonts w:hint="eastAsia" w:ascii="宋体" w:hAnsi="宋体" w:eastAsia="宋体" w:cs="宋体"/>
          <w:color w:val="auto"/>
          <w:sz w:val="24"/>
          <w:highlight w:val="none"/>
          <w:lang w:val="en-US" w:eastAsia="zh-CN"/>
        </w:rPr>
        <w:t>注明</w:t>
      </w:r>
      <w:r>
        <w:rPr>
          <w:rFonts w:hint="eastAsia" w:ascii="宋体" w:hAnsi="宋体" w:eastAsia="宋体" w:cs="宋体"/>
          <w:color w:val="auto"/>
          <w:sz w:val="24"/>
          <w:highlight w:val="none"/>
        </w:rPr>
        <w:t>偏离情况，并提供承诺或说明。</w:t>
      </w:r>
    </w:p>
    <w:p w14:paraId="291E6279">
      <w:pPr>
        <w:spacing w:line="48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3.如</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与商务条款要求完全一致，须在上表中注明“完全响应，无偏离”。</w:t>
      </w:r>
    </w:p>
    <w:p w14:paraId="76C06EE7">
      <w:pPr>
        <w:spacing w:line="48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4.针对偏离项进行详细说明。</w:t>
      </w:r>
    </w:p>
    <w:p w14:paraId="0C20C6C2">
      <w:pPr>
        <w:keepNext w:val="0"/>
        <w:keepLines w:val="0"/>
        <w:pageBreakBefore w:val="0"/>
        <w:overflowPunct/>
        <w:topLinePunct w:val="0"/>
        <w:bidi w:val="0"/>
        <w:spacing w:beforeAutospacing="0" w:afterAutospacing="0" w:line="460" w:lineRule="exact"/>
        <w:ind w:left="0" w:leftChars="0" w:right="0" w:rightChars="0" w:firstLine="435"/>
        <w:outlineLvl w:val="2"/>
        <w:rPr>
          <w:rFonts w:hint="eastAsia" w:ascii="宋体" w:hAnsi="宋体" w:eastAsia="宋体" w:cs="宋体"/>
          <w:b/>
          <w:bCs/>
          <w:color w:val="auto"/>
          <w:sz w:val="24"/>
          <w:highlight w:val="none"/>
        </w:rPr>
      </w:pPr>
    </w:p>
    <w:p w14:paraId="766C90D0">
      <w:pPr>
        <w:pStyle w:val="12"/>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1D1DC38A">
      <w:pPr>
        <w:keepNext w:val="0"/>
        <w:keepLines w:val="0"/>
        <w:pageBreakBefore w:val="0"/>
        <w:overflowPunct/>
        <w:topLinePunct w:val="0"/>
        <w:bidi w:val="0"/>
        <w:spacing w:beforeAutospacing="0" w:afterAutospacing="0" w:line="460" w:lineRule="exact"/>
        <w:ind w:left="0" w:leftChars="0" w:right="0" w:rightChars="0" w:firstLine="435"/>
        <w:rPr>
          <w:rFonts w:hint="eastAsia" w:ascii="宋体" w:hAnsi="宋体" w:eastAsia="宋体" w:cs="宋体"/>
          <w:color w:val="auto"/>
          <w:sz w:val="24"/>
          <w:highlight w:val="none"/>
        </w:rPr>
      </w:pPr>
    </w:p>
    <w:p w14:paraId="0400EBD7">
      <w:pPr>
        <w:keepNext w:val="0"/>
        <w:keepLines w:val="0"/>
        <w:pageBreakBefore w:val="0"/>
        <w:overflowPunct/>
        <w:topLinePunct w:val="0"/>
        <w:bidi w:val="0"/>
        <w:spacing w:beforeAutospacing="0" w:afterAutospacing="0" w:line="460" w:lineRule="exact"/>
        <w:ind w:left="0" w:leftChars="0" w:right="0" w:rightChars="0" w:firstLine="480" w:firstLineChars="200"/>
        <w:jc w:val="right"/>
        <w:rPr>
          <w:rFonts w:hint="eastAsia" w:ascii="宋体" w:hAnsi="宋体" w:eastAsia="宋体" w:cs="宋体"/>
          <w:color w:val="auto"/>
          <w:highlight w:val="none"/>
        </w:rPr>
      </w:pPr>
      <w:r>
        <w:rPr>
          <w:rFonts w:hint="eastAsia" w:ascii="宋体" w:hAnsi="宋体" w:eastAsia="宋体" w:cs="宋体"/>
          <w:color w:val="auto"/>
          <w:sz w:val="24"/>
          <w:highlight w:val="none"/>
        </w:rPr>
        <w:t>投标人 ：                    （盖章）</w:t>
      </w:r>
    </w:p>
    <w:p w14:paraId="1F27C290">
      <w:pPr>
        <w:keepNext w:val="0"/>
        <w:keepLines w:val="0"/>
        <w:pageBreakBefore w:val="0"/>
        <w:overflowPunct/>
        <w:topLinePunct w:val="0"/>
        <w:bidi w:val="0"/>
        <w:spacing w:beforeAutospacing="0" w:afterAutospacing="0" w:line="460" w:lineRule="exact"/>
        <w:ind w:left="0" w:leftChars="0" w:right="0" w:rightChars="0" w:firstLine="480" w:firstLineChars="200"/>
        <w:jc w:val="center"/>
        <w:outlineLvl w:val="0"/>
        <w:rPr>
          <w:rFonts w:hint="eastAsia" w:ascii="宋体" w:hAnsi="宋体" w:eastAsia="宋体" w:cs="宋体"/>
          <w:color w:val="auto"/>
          <w:sz w:val="24"/>
          <w:highlight w:val="none"/>
        </w:rPr>
      </w:pPr>
      <w:bookmarkStart w:id="143" w:name="_Toc22452"/>
      <w:bookmarkStart w:id="144" w:name="_Toc15223"/>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(负责人)</w:t>
      </w:r>
      <w:bookmarkEnd w:id="143"/>
      <w:bookmarkEnd w:id="144"/>
      <w:r>
        <w:rPr>
          <w:rFonts w:hint="eastAsia" w:ascii="宋体" w:hAnsi="宋体" w:eastAsia="宋体" w:cs="宋体"/>
          <w:color w:val="auto"/>
          <w:sz w:val="24"/>
          <w:highlight w:val="none"/>
        </w:rPr>
        <w:t>或授权代理人：</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369C8267">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rPr>
        <w:t>日</w:t>
      </w:r>
    </w:p>
    <w:p w14:paraId="7A5AAF9C">
      <w:pPr>
        <w:keepNext w:val="0"/>
        <w:keepLines w:val="0"/>
        <w:pageBreakBefore w:val="0"/>
        <w:overflowPunct/>
        <w:topLinePunct w:val="0"/>
        <w:bidi w:val="0"/>
        <w:spacing w:beforeAutospacing="0" w:afterAutospacing="0" w:line="460" w:lineRule="exact"/>
        <w:ind w:left="0" w:leftChars="0" w:right="0" w:rightChars="0"/>
        <w:rPr>
          <w:rFonts w:hint="eastAsia" w:ascii="宋体" w:hAnsi="宋体" w:eastAsia="宋体" w:cs="宋体"/>
          <w:color w:val="auto"/>
          <w:highlight w:val="none"/>
        </w:rPr>
      </w:pPr>
    </w:p>
    <w:p w14:paraId="7820559C">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eastAsia="zh-CN"/>
        </w:rPr>
      </w:pPr>
    </w:p>
    <w:p w14:paraId="0E4ACFBF">
      <w:pPr>
        <w:pStyle w:val="13"/>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highlight w:val="none"/>
          <w:lang w:val="en-US" w:eastAsia="zh-CN"/>
        </w:rPr>
      </w:pPr>
    </w:p>
    <w:p w14:paraId="259E08B4">
      <w:pPr>
        <w:pStyle w:val="30"/>
        <w:rPr>
          <w:rFonts w:hint="eastAsia" w:ascii="宋体" w:hAnsi="宋体" w:eastAsia="宋体" w:cs="宋体"/>
          <w:color w:val="auto"/>
          <w:highlight w:val="none"/>
          <w:lang w:val="en-US" w:eastAsia="zh-CN"/>
        </w:rPr>
      </w:pPr>
    </w:p>
    <w:p w14:paraId="6E34597D">
      <w:pPr>
        <w:pStyle w:val="31"/>
        <w:rPr>
          <w:rFonts w:hint="eastAsia" w:ascii="宋体" w:hAnsi="宋体" w:eastAsia="宋体" w:cs="宋体"/>
          <w:color w:val="auto"/>
          <w:highlight w:val="none"/>
          <w:lang w:val="en-US" w:eastAsia="zh-CN"/>
        </w:rPr>
      </w:pPr>
    </w:p>
    <w:p w14:paraId="3675B0C8">
      <w:pPr>
        <w:rPr>
          <w:rFonts w:hint="eastAsia" w:ascii="宋体" w:hAnsi="宋体" w:eastAsia="宋体" w:cs="宋体"/>
          <w:b/>
          <w:color w:val="auto"/>
          <w:kern w:val="2"/>
          <w:sz w:val="24"/>
          <w:szCs w:val="24"/>
          <w:highlight w:val="none"/>
          <w:lang w:val="en-US" w:eastAsia="zh-CN" w:bidi="zh-CN"/>
        </w:rPr>
      </w:pPr>
      <w:r>
        <w:rPr>
          <w:rFonts w:hint="eastAsia" w:ascii="宋体" w:hAnsi="宋体" w:eastAsia="宋体" w:cs="宋体"/>
          <w:b/>
          <w:color w:val="auto"/>
          <w:kern w:val="2"/>
          <w:sz w:val="24"/>
          <w:szCs w:val="24"/>
          <w:highlight w:val="none"/>
          <w:lang w:val="en-US" w:eastAsia="zh-CN" w:bidi="zh-CN"/>
        </w:rPr>
        <w:br w:type="page"/>
      </w:r>
    </w:p>
    <w:p w14:paraId="2F3D1D1D">
      <w:pPr>
        <w:rPr>
          <w:rFonts w:hint="eastAsia" w:ascii="宋体" w:hAnsi="宋体" w:eastAsia="宋体" w:cs="宋体"/>
          <w:b/>
          <w:color w:val="auto"/>
          <w:kern w:val="2"/>
          <w:sz w:val="24"/>
          <w:szCs w:val="24"/>
          <w:highlight w:val="none"/>
          <w:lang w:val="en-US" w:eastAsia="zh-CN" w:bidi="zh-CN"/>
        </w:rPr>
      </w:pPr>
      <w:r>
        <w:rPr>
          <w:rFonts w:hint="eastAsia" w:ascii="宋体" w:hAnsi="宋体" w:eastAsia="宋体" w:cs="宋体"/>
          <w:b/>
          <w:color w:val="auto"/>
          <w:kern w:val="2"/>
          <w:sz w:val="24"/>
          <w:szCs w:val="24"/>
          <w:highlight w:val="none"/>
          <w:lang w:val="en-US" w:eastAsia="zh-CN" w:bidi="zh-CN"/>
        </w:rPr>
        <w:t>十一、配置及性能指标：技术参数中要求提供相关证明材料，包含但不限于（检测报告、产品说明书、功能截图、证书、查询链接等）</w:t>
      </w:r>
    </w:p>
    <w:p w14:paraId="45B59D47">
      <w:pPr>
        <w:pStyle w:val="13"/>
        <w:adjustRightInd w:val="0"/>
        <w:spacing w:line="480" w:lineRule="exact"/>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（格式自拟）</w:t>
      </w:r>
    </w:p>
    <w:p w14:paraId="09592649">
      <w:pPr>
        <w:pStyle w:val="13"/>
        <w:adjustRightInd w:val="0"/>
        <w:spacing w:line="480" w:lineRule="exact"/>
        <w:jc w:val="center"/>
        <w:rPr>
          <w:rFonts w:hint="eastAsia" w:ascii="宋体" w:hAnsi="宋体" w:eastAsia="宋体" w:cs="宋体"/>
          <w:b/>
          <w:color w:val="auto"/>
          <w:kern w:val="2"/>
          <w:szCs w:val="24"/>
          <w:highlight w:val="none"/>
        </w:rPr>
      </w:pPr>
    </w:p>
    <w:p w14:paraId="21CCFFE2">
      <w:pPr>
        <w:pStyle w:val="13"/>
        <w:adjustRightInd w:val="0"/>
        <w:spacing w:line="480" w:lineRule="exact"/>
        <w:jc w:val="center"/>
        <w:rPr>
          <w:rFonts w:hint="eastAsia" w:ascii="宋体" w:hAnsi="宋体" w:eastAsia="宋体" w:cs="宋体"/>
          <w:b/>
          <w:color w:val="auto"/>
          <w:kern w:val="2"/>
          <w:szCs w:val="24"/>
          <w:highlight w:val="none"/>
          <w:lang w:val="en-US"/>
        </w:rPr>
      </w:pPr>
      <w:r>
        <w:rPr>
          <w:rFonts w:hint="eastAsia" w:ascii="宋体" w:hAnsi="宋体" w:eastAsia="宋体" w:cs="宋体"/>
          <w:b/>
          <w:color w:val="auto"/>
          <w:kern w:val="2"/>
          <w:szCs w:val="24"/>
          <w:highlight w:val="none"/>
          <w:lang w:val="en-US" w:eastAsia="zh-CN"/>
        </w:rPr>
        <w:t>十二、实施方案</w:t>
      </w:r>
    </w:p>
    <w:p w14:paraId="31FA410A">
      <w:pPr>
        <w:pStyle w:val="13"/>
        <w:adjustRightInd w:val="0"/>
        <w:spacing w:line="480" w:lineRule="exact"/>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（格式自拟）</w:t>
      </w:r>
    </w:p>
    <w:p w14:paraId="7255CC57">
      <w:pPr>
        <w:pStyle w:val="13"/>
        <w:adjustRightInd w:val="0"/>
        <w:spacing w:line="480" w:lineRule="exact"/>
        <w:jc w:val="center"/>
        <w:rPr>
          <w:rFonts w:hint="eastAsia" w:ascii="宋体" w:hAnsi="宋体" w:eastAsia="宋体" w:cs="宋体"/>
          <w:b/>
          <w:color w:val="auto"/>
          <w:kern w:val="2"/>
          <w:szCs w:val="24"/>
          <w:highlight w:val="none"/>
          <w:lang w:val="en-US" w:eastAsia="zh-CN"/>
        </w:rPr>
      </w:pPr>
    </w:p>
    <w:p w14:paraId="152C05BB">
      <w:pPr>
        <w:pStyle w:val="13"/>
        <w:adjustRightInd w:val="0"/>
        <w:spacing w:line="480" w:lineRule="exact"/>
        <w:jc w:val="center"/>
        <w:rPr>
          <w:rFonts w:hint="eastAsia" w:ascii="宋体" w:hAnsi="宋体" w:eastAsia="宋体" w:cs="宋体"/>
          <w:b/>
          <w:color w:val="auto"/>
          <w:kern w:val="2"/>
          <w:szCs w:val="24"/>
          <w:highlight w:val="none"/>
          <w:lang w:val="en-US"/>
        </w:rPr>
      </w:pPr>
      <w:r>
        <w:rPr>
          <w:rFonts w:hint="eastAsia" w:ascii="宋体" w:hAnsi="宋体" w:eastAsia="宋体" w:cs="宋体"/>
          <w:b/>
          <w:color w:val="auto"/>
          <w:kern w:val="2"/>
          <w:szCs w:val="24"/>
          <w:highlight w:val="none"/>
          <w:lang w:val="en-US" w:eastAsia="zh-CN"/>
        </w:rPr>
        <w:t>十三、培训方案</w:t>
      </w:r>
    </w:p>
    <w:p w14:paraId="7002220E">
      <w:pPr>
        <w:pStyle w:val="13"/>
        <w:adjustRightInd w:val="0"/>
        <w:spacing w:line="480" w:lineRule="exact"/>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（格式自拟）</w:t>
      </w:r>
    </w:p>
    <w:p w14:paraId="0EF48A55">
      <w:pPr>
        <w:pStyle w:val="13"/>
        <w:adjustRightInd w:val="0"/>
        <w:spacing w:line="480" w:lineRule="exact"/>
        <w:jc w:val="center"/>
        <w:rPr>
          <w:rFonts w:hint="eastAsia" w:ascii="宋体" w:hAnsi="宋体" w:eastAsia="宋体" w:cs="宋体"/>
          <w:b/>
          <w:color w:val="auto"/>
          <w:kern w:val="2"/>
          <w:szCs w:val="24"/>
          <w:highlight w:val="none"/>
          <w:lang w:val="en-US"/>
        </w:rPr>
      </w:pPr>
    </w:p>
    <w:p w14:paraId="448F50F5">
      <w:pPr>
        <w:pStyle w:val="13"/>
        <w:adjustRightInd w:val="0"/>
        <w:spacing w:line="480" w:lineRule="exact"/>
        <w:jc w:val="center"/>
        <w:rPr>
          <w:rFonts w:hint="eastAsia" w:ascii="宋体" w:hAnsi="宋体" w:eastAsia="宋体" w:cs="宋体"/>
          <w:b/>
          <w:color w:val="auto"/>
          <w:kern w:val="2"/>
          <w:szCs w:val="24"/>
          <w:highlight w:val="none"/>
          <w:lang w:val="en-US"/>
        </w:rPr>
      </w:pPr>
      <w:r>
        <w:rPr>
          <w:rFonts w:hint="eastAsia" w:ascii="宋体" w:hAnsi="宋体" w:eastAsia="宋体" w:cs="宋体"/>
          <w:b/>
          <w:color w:val="auto"/>
          <w:kern w:val="2"/>
          <w:szCs w:val="24"/>
          <w:highlight w:val="none"/>
          <w:lang w:val="en-US"/>
        </w:rPr>
        <w:t>十</w:t>
      </w:r>
      <w:r>
        <w:rPr>
          <w:rFonts w:hint="eastAsia" w:ascii="宋体" w:hAnsi="宋体" w:eastAsia="宋体" w:cs="宋体"/>
          <w:b/>
          <w:color w:val="auto"/>
          <w:kern w:val="2"/>
          <w:szCs w:val="24"/>
          <w:highlight w:val="none"/>
          <w:lang w:val="en-US" w:eastAsia="zh-CN"/>
        </w:rPr>
        <w:t>四</w:t>
      </w:r>
      <w:r>
        <w:rPr>
          <w:rFonts w:hint="eastAsia" w:ascii="宋体" w:hAnsi="宋体" w:eastAsia="宋体" w:cs="宋体"/>
          <w:b/>
          <w:color w:val="auto"/>
          <w:kern w:val="2"/>
          <w:szCs w:val="24"/>
          <w:highlight w:val="none"/>
          <w:lang w:val="en-US"/>
        </w:rPr>
        <w:t>、售后方案</w:t>
      </w:r>
    </w:p>
    <w:p w14:paraId="22298592">
      <w:pPr>
        <w:pStyle w:val="13"/>
        <w:adjustRightInd w:val="0"/>
        <w:spacing w:line="480" w:lineRule="exact"/>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（格式自拟）</w:t>
      </w:r>
    </w:p>
    <w:p w14:paraId="63118373">
      <w:pPr>
        <w:pStyle w:val="13"/>
        <w:adjustRightInd w:val="0"/>
        <w:spacing w:line="480" w:lineRule="exact"/>
        <w:jc w:val="center"/>
        <w:rPr>
          <w:rFonts w:hint="eastAsia" w:ascii="宋体" w:hAnsi="宋体" w:eastAsia="宋体" w:cs="宋体"/>
          <w:b/>
          <w:color w:val="auto"/>
          <w:kern w:val="2"/>
          <w:szCs w:val="24"/>
          <w:highlight w:val="none"/>
          <w:lang w:val="en-US"/>
        </w:rPr>
      </w:pPr>
    </w:p>
    <w:p w14:paraId="535CD5DC">
      <w:pPr>
        <w:pStyle w:val="13"/>
        <w:adjustRightInd w:val="0"/>
        <w:spacing w:line="480" w:lineRule="exact"/>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十五、备品备件</w:t>
      </w:r>
    </w:p>
    <w:p w14:paraId="26A248F0">
      <w:pPr>
        <w:pStyle w:val="13"/>
        <w:adjustRightInd w:val="0"/>
        <w:spacing w:line="480" w:lineRule="exact"/>
        <w:jc w:val="center"/>
        <w:rPr>
          <w:rFonts w:hint="eastAsia" w:ascii="宋体" w:hAnsi="宋体" w:eastAsia="宋体" w:cs="宋体"/>
          <w:b/>
          <w:color w:val="auto"/>
          <w:kern w:val="2"/>
          <w:szCs w:val="24"/>
          <w:highlight w:val="none"/>
          <w:lang w:val="en-US"/>
        </w:rPr>
      </w:pPr>
    </w:p>
    <w:p w14:paraId="1679760B">
      <w:pPr>
        <w:pStyle w:val="13"/>
        <w:adjustRightInd w:val="0"/>
        <w:spacing w:line="480" w:lineRule="exact"/>
        <w:jc w:val="center"/>
        <w:rPr>
          <w:rFonts w:hint="eastAsia" w:ascii="宋体" w:hAnsi="宋体" w:eastAsia="宋体" w:cs="宋体"/>
          <w:b/>
          <w:color w:val="auto"/>
          <w:kern w:val="2"/>
          <w:szCs w:val="24"/>
          <w:highlight w:val="none"/>
          <w:lang w:val="en-US"/>
        </w:rPr>
      </w:pPr>
      <w:r>
        <w:rPr>
          <w:rFonts w:hint="eastAsia" w:ascii="宋体" w:hAnsi="宋体" w:eastAsia="宋体" w:cs="宋体"/>
          <w:b/>
          <w:color w:val="auto"/>
          <w:kern w:val="2"/>
          <w:szCs w:val="24"/>
          <w:highlight w:val="none"/>
          <w:lang w:val="en-US"/>
        </w:rPr>
        <w:t>十</w:t>
      </w:r>
      <w:r>
        <w:rPr>
          <w:rFonts w:hint="eastAsia" w:ascii="宋体" w:hAnsi="宋体" w:eastAsia="宋体" w:cs="宋体"/>
          <w:b/>
          <w:color w:val="auto"/>
          <w:kern w:val="2"/>
          <w:szCs w:val="24"/>
          <w:highlight w:val="none"/>
          <w:lang w:val="en-US" w:eastAsia="zh-CN"/>
        </w:rPr>
        <w:t>六</w:t>
      </w:r>
      <w:r>
        <w:rPr>
          <w:rFonts w:hint="eastAsia" w:ascii="宋体" w:hAnsi="宋体" w:eastAsia="宋体" w:cs="宋体"/>
          <w:b/>
          <w:color w:val="auto"/>
          <w:kern w:val="2"/>
          <w:szCs w:val="24"/>
          <w:highlight w:val="none"/>
          <w:lang w:val="en-US"/>
        </w:rPr>
        <w:t>、投标企业认为有必要提供的其他资料。</w:t>
      </w:r>
    </w:p>
    <w:p w14:paraId="0BE29871">
      <w:pPr>
        <w:pStyle w:val="13"/>
        <w:adjustRightInd w:val="0"/>
        <w:spacing w:line="480" w:lineRule="exact"/>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（格式自拟）</w:t>
      </w:r>
    </w:p>
    <w:p w14:paraId="71F27865">
      <w:pPr>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b/>
          <w:color w:val="auto"/>
          <w:sz w:val="24"/>
          <w:szCs w:val="21"/>
          <w:highlight w:val="none"/>
        </w:rPr>
      </w:pPr>
    </w:p>
    <w:p w14:paraId="36B3FECD">
      <w:pPr>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rightChars="0"/>
        <w:textAlignment w:val="auto"/>
        <w:rPr>
          <w:rFonts w:hint="eastAsia" w:ascii="宋体" w:hAnsi="宋体" w:eastAsia="宋体" w:cs="宋体"/>
          <w:b w:val="0"/>
          <w:bCs w:val="0"/>
          <w:color w:val="auto"/>
          <w:kern w:val="0"/>
          <w:sz w:val="24"/>
          <w:szCs w:val="24"/>
          <w:highlight w:val="none"/>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BBA9FC24-43D0-4A00-B7E8-8955BF73894A}"/>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6FAA">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52552">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C52552">
                    <w:pPr>
                      <w:pStyle w:val="2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8F52">
    <w:pPr>
      <w:pStyle w:val="1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E8D24">
                          <w:pPr>
                            <w:pStyle w:val="22"/>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4E8D24">
                    <w:pPr>
                      <w:pStyle w:val="22"/>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B988">
    <w:pPr>
      <w:pStyle w:val="1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89FF2">
                          <w:pPr>
                            <w:pStyle w:val="2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E89FF2">
                    <w:pPr>
                      <w:pStyle w:val="2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84BD">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2A4E5">
                          <w:pPr>
                            <w:pStyle w:val="22"/>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22A4E5">
                    <w:pPr>
                      <w:pStyle w:val="22"/>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60F8">
    <w:pPr>
      <w:pStyle w:val="23"/>
      <w:pBdr>
        <w:bottom w:val="none" w:color="auto" w:sz="0" w:space="0"/>
      </w:pBdr>
      <w:jc w:val="left"/>
    </w:pPr>
    <w:r>
      <w:rPr>
        <w:rFonts w:hint="eastAsia"/>
        <w:lang w:val="en-US"/>
      </w:rPr>
      <w:t xml:space="preserve"> </w:t>
    </w:r>
    <w:r>
      <w:drawing>
        <wp:inline distT="0" distB="0" distL="114300" distR="114300">
          <wp:extent cx="365760" cy="609600"/>
          <wp:effectExtent l="0" t="0" r="152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365760" cy="609600"/>
                  </a:xfrm>
                  <a:prstGeom prst="rect">
                    <a:avLst/>
                  </a:prstGeom>
                  <a:noFill/>
                  <a:ln>
                    <a:noFill/>
                  </a:ln>
                </pic:spPr>
              </pic:pic>
            </a:graphicData>
          </a:graphic>
        </wp:inline>
      </w:drawing>
    </w:r>
    <w:r>
      <w:rPr>
        <w:rFonts w:hint="eastAsia"/>
        <w:lang w:val="en-US"/>
      </w:rPr>
      <w:t xml:space="preserve"> </w:t>
    </w:r>
    <w:r>
      <w:rPr>
        <w:rFonts w:hint="eastAsia" w:ascii="仿宋_GB2312" w:eastAsia="仿宋_GB2312"/>
        <w:b/>
        <w:bCs/>
        <w:spacing w:val="20"/>
        <w:sz w:val="28"/>
        <w:szCs w:val="28"/>
      </w:rPr>
      <w:t>华春建设工程项目管理有限责任公司</w:t>
    </w:r>
  </w:p>
  <w:p w14:paraId="4F0182DB">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D969">
    <w:pPr>
      <w:pStyle w:val="23"/>
      <w:pBdr>
        <w:bottom w:val="none" w:color="auto" w:sz="0" w:space="1"/>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187E">
    <w:pPr>
      <w:widowControl w:val="0"/>
      <w:pBdr>
        <w:bottom w:val="none" w:color="auto" w:sz="0" w:space="1"/>
      </w:pBdr>
      <w:snapToGrid w:val="0"/>
      <w:jc w:val="center"/>
      <w:rPr>
        <w:rFonts w:ascii="Times New Roman" w:hAnsi="Times New Roman" w:eastAsia="宋体" w:cs="Times New Roman"/>
        <w:kern w:val="2"/>
        <w:sz w:val="21"/>
        <w:szCs w:val="18"/>
        <w:u w:val="non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bCs/>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DEE7F55"/>
    <w:multiLevelType w:val="singleLevel"/>
    <w:tmpl w:val="BDEE7F55"/>
    <w:lvl w:ilvl="0" w:tentative="0">
      <w:start w:val="1"/>
      <w:numFmt w:val="decimal"/>
      <w:suff w:val="space"/>
      <w:lvlText w:val="%1."/>
      <w:lvlJc w:val="left"/>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F4A3540C"/>
    <w:multiLevelType w:val="singleLevel"/>
    <w:tmpl w:val="F4A3540C"/>
    <w:lvl w:ilvl="0" w:tentative="0">
      <w:start w:val="1"/>
      <w:numFmt w:val="chineseCounting"/>
      <w:suff w:val="nothing"/>
      <w:lvlText w:val="%1、"/>
      <w:lvlJc w:val="left"/>
      <w:rPr>
        <w:rFonts w:hint="eastAsia"/>
      </w:rPr>
    </w:lvl>
  </w:abstractNum>
  <w:abstractNum w:abstractNumId="4">
    <w:nsid w:val="F91EE2BB"/>
    <w:multiLevelType w:val="singleLevel"/>
    <w:tmpl w:val="F91EE2BB"/>
    <w:lvl w:ilvl="0" w:tentative="0">
      <w:start w:val="1"/>
      <w:numFmt w:val="decimal"/>
      <w:lvlText w:val="%1."/>
      <w:lvlJc w:val="left"/>
      <w:pPr>
        <w:tabs>
          <w:tab w:val="left" w:pos="312"/>
        </w:tabs>
      </w:pPr>
    </w:lvl>
  </w:abstractNum>
  <w:abstractNum w:abstractNumId="5">
    <w:nsid w:val="FB92D65D"/>
    <w:multiLevelType w:val="singleLevel"/>
    <w:tmpl w:val="FB92D65D"/>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1BD90870"/>
    <w:multiLevelType w:val="multilevel"/>
    <w:tmpl w:val="1BD90870"/>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C6F39C"/>
    <w:multiLevelType w:val="singleLevel"/>
    <w:tmpl w:val="3BC6F39C"/>
    <w:lvl w:ilvl="0" w:tentative="0">
      <w:start w:val="1"/>
      <w:numFmt w:val="decimal"/>
      <w:suff w:val="space"/>
      <w:lvlText w:val="%1."/>
      <w:lvlJc w:val="left"/>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AB688A1"/>
    <w:multiLevelType w:val="singleLevel"/>
    <w:tmpl w:val="6AB688A1"/>
    <w:lvl w:ilvl="0" w:tentative="0">
      <w:start w:val="1"/>
      <w:numFmt w:val="decimal"/>
      <w:suff w:val="nothing"/>
      <w:lvlText w:val="%1）"/>
      <w:lvlJc w:val="left"/>
    </w:lvl>
  </w:abstractNum>
  <w:abstractNum w:abstractNumId="13">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5">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5"/>
  </w:num>
  <w:num w:numId="3">
    <w:abstractNumId w:val="14"/>
  </w:num>
  <w:num w:numId="4">
    <w:abstractNumId w:val="7"/>
  </w:num>
  <w:num w:numId="5">
    <w:abstractNumId w:val="2"/>
  </w:num>
  <w:num w:numId="6">
    <w:abstractNumId w:val="11"/>
  </w:num>
  <w:num w:numId="7">
    <w:abstractNumId w:val="0"/>
  </w:num>
  <w:num w:numId="8">
    <w:abstractNumId w:val="8"/>
  </w:num>
  <w:num w:numId="9">
    <w:abstractNumId w:val="3"/>
  </w:num>
  <w:num w:numId="10">
    <w:abstractNumId w:val="9"/>
  </w:num>
  <w:num w:numId="11">
    <w:abstractNumId w:val="12"/>
  </w:num>
  <w:num w:numId="12">
    <w:abstractNumId w:val="4"/>
  </w:num>
  <w:num w:numId="13">
    <w:abstractNumId w:val="13"/>
  </w:num>
  <w:num w:numId="14">
    <w:abstractNumId w:val="1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DY4YWU4MDkxZjY1N2U0ZWNkMWJiNGJkMjFjNTkifQ=="/>
  </w:docVars>
  <w:rsids>
    <w:rsidRoot w:val="00000000"/>
    <w:rsid w:val="00BA636F"/>
    <w:rsid w:val="01D86637"/>
    <w:rsid w:val="02D36DFE"/>
    <w:rsid w:val="036F2E67"/>
    <w:rsid w:val="038416B4"/>
    <w:rsid w:val="03E85A7E"/>
    <w:rsid w:val="042460FC"/>
    <w:rsid w:val="04A22F2C"/>
    <w:rsid w:val="04D836CC"/>
    <w:rsid w:val="04DF1A8A"/>
    <w:rsid w:val="051871F7"/>
    <w:rsid w:val="052E656D"/>
    <w:rsid w:val="0540583A"/>
    <w:rsid w:val="06A64F55"/>
    <w:rsid w:val="06F32130"/>
    <w:rsid w:val="07377F3E"/>
    <w:rsid w:val="07AF3996"/>
    <w:rsid w:val="083500E3"/>
    <w:rsid w:val="08B374B6"/>
    <w:rsid w:val="08BD4C63"/>
    <w:rsid w:val="08FE75D7"/>
    <w:rsid w:val="09112C5D"/>
    <w:rsid w:val="09322AD0"/>
    <w:rsid w:val="0A434869"/>
    <w:rsid w:val="0A4F78C7"/>
    <w:rsid w:val="0A7D5FCD"/>
    <w:rsid w:val="0AFD44E7"/>
    <w:rsid w:val="0B3A5C6C"/>
    <w:rsid w:val="0B7B3B52"/>
    <w:rsid w:val="0C0F6F17"/>
    <w:rsid w:val="0C4917D7"/>
    <w:rsid w:val="0C5654EA"/>
    <w:rsid w:val="0C9F66CF"/>
    <w:rsid w:val="0CB97065"/>
    <w:rsid w:val="0D166265"/>
    <w:rsid w:val="0D2F0B75"/>
    <w:rsid w:val="0D3861DB"/>
    <w:rsid w:val="0D5D1B80"/>
    <w:rsid w:val="0D763B07"/>
    <w:rsid w:val="0DC44067"/>
    <w:rsid w:val="0DE04FB5"/>
    <w:rsid w:val="0E3D7B44"/>
    <w:rsid w:val="0E4A4BA4"/>
    <w:rsid w:val="0F515C7A"/>
    <w:rsid w:val="0FAC4A5B"/>
    <w:rsid w:val="108571AB"/>
    <w:rsid w:val="10EC6CF5"/>
    <w:rsid w:val="10FD705C"/>
    <w:rsid w:val="110E5BD1"/>
    <w:rsid w:val="11DA4319"/>
    <w:rsid w:val="11ED63EA"/>
    <w:rsid w:val="122610AE"/>
    <w:rsid w:val="12371157"/>
    <w:rsid w:val="12986F2D"/>
    <w:rsid w:val="12A33F8F"/>
    <w:rsid w:val="13274D28"/>
    <w:rsid w:val="14153555"/>
    <w:rsid w:val="147C72F5"/>
    <w:rsid w:val="155E69FB"/>
    <w:rsid w:val="15673B02"/>
    <w:rsid w:val="15B27245"/>
    <w:rsid w:val="15E348F4"/>
    <w:rsid w:val="160937DE"/>
    <w:rsid w:val="160F0F38"/>
    <w:rsid w:val="161A5018"/>
    <w:rsid w:val="163A2FC4"/>
    <w:rsid w:val="16651E05"/>
    <w:rsid w:val="16CE0F3A"/>
    <w:rsid w:val="17375314"/>
    <w:rsid w:val="17AC6144"/>
    <w:rsid w:val="1890336F"/>
    <w:rsid w:val="193D62E0"/>
    <w:rsid w:val="197C38F4"/>
    <w:rsid w:val="19B412DF"/>
    <w:rsid w:val="1AB53523"/>
    <w:rsid w:val="1AC00AF1"/>
    <w:rsid w:val="1B926781"/>
    <w:rsid w:val="1BAA5071"/>
    <w:rsid w:val="1BFB56DC"/>
    <w:rsid w:val="1D331864"/>
    <w:rsid w:val="1D8B7ED2"/>
    <w:rsid w:val="1DE91501"/>
    <w:rsid w:val="1E484465"/>
    <w:rsid w:val="1E4C7D38"/>
    <w:rsid w:val="1E88173F"/>
    <w:rsid w:val="1EB51D82"/>
    <w:rsid w:val="1F792DAF"/>
    <w:rsid w:val="20370574"/>
    <w:rsid w:val="20370890"/>
    <w:rsid w:val="207B66B3"/>
    <w:rsid w:val="21464F13"/>
    <w:rsid w:val="218F38FB"/>
    <w:rsid w:val="21936683"/>
    <w:rsid w:val="21AF5EF8"/>
    <w:rsid w:val="22C96D6A"/>
    <w:rsid w:val="2334498F"/>
    <w:rsid w:val="233E3694"/>
    <w:rsid w:val="23721066"/>
    <w:rsid w:val="23733FB9"/>
    <w:rsid w:val="25B1731F"/>
    <w:rsid w:val="25B72F3D"/>
    <w:rsid w:val="262319BC"/>
    <w:rsid w:val="26796297"/>
    <w:rsid w:val="26B446CD"/>
    <w:rsid w:val="26DB2065"/>
    <w:rsid w:val="274E1EF3"/>
    <w:rsid w:val="28292E99"/>
    <w:rsid w:val="28560F12"/>
    <w:rsid w:val="28BE1833"/>
    <w:rsid w:val="29001E4B"/>
    <w:rsid w:val="29361D11"/>
    <w:rsid w:val="293715E5"/>
    <w:rsid w:val="2A331DAD"/>
    <w:rsid w:val="2A524929"/>
    <w:rsid w:val="2AD272BD"/>
    <w:rsid w:val="2AF07C9E"/>
    <w:rsid w:val="2B1E1887"/>
    <w:rsid w:val="2C840FE5"/>
    <w:rsid w:val="2D163AC1"/>
    <w:rsid w:val="2E2207C6"/>
    <w:rsid w:val="2E3103D1"/>
    <w:rsid w:val="2E393998"/>
    <w:rsid w:val="2E4072A5"/>
    <w:rsid w:val="2E563366"/>
    <w:rsid w:val="2ED1168F"/>
    <w:rsid w:val="2F835584"/>
    <w:rsid w:val="2FBA75B6"/>
    <w:rsid w:val="2FBC45F2"/>
    <w:rsid w:val="2FBC487E"/>
    <w:rsid w:val="2FE8530E"/>
    <w:rsid w:val="2FFD5337"/>
    <w:rsid w:val="30007685"/>
    <w:rsid w:val="30271A9F"/>
    <w:rsid w:val="31C51960"/>
    <w:rsid w:val="31E92FBB"/>
    <w:rsid w:val="32393423"/>
    <w:rsid w:val="324834F5"/>
    <w:rsid w:val="325642FF"/>
    <w:rsid w:val="33380434"/>
    <w:rsid w:val="337C0B48"/>
    <w:rsid w:val="339A1016"/>
    <w:rsid w:val="33B01385"/>
    <w:rsid w:val="341A78AC"/>
    <w:rsid w:val="342A2472"/>
    <w:rsid w:val="343926B5"/>
    <w:rsid w:val="353332B8"/>
    <w:rsid w:val="35A50F08"/>
    <w:rsid w:val="35F8664C"/>
    <w:rsid w:val="36455341"/>
    <w:rsid w:val="3671332B"/>
    <w:rsid w:val="37563B24"/>
    <w:rsid w:val="378908EC"/>
    <w:rsid w:val="380B2A71"/>
    <w:rsid w:val="38C500B3"/>
    <w:rsid w:val="39317DFF"/>
    <w:rsid w:val="399D68C9"/>
    <w:rsid w:val="3AB8232A"/>
    <w:rsid w:val="3AE03859"/>
    <w:rsid w:val="3C1D797D"/>
    <w:rsid w:val="3C2E6878"/>
    <w:rsid w:val="3CFB4C5D"/>
    <w:rsid w:val="3D782AF2"/>
    <w:rsid w:val="3D911F22"/>
    <w:rsid w:val="3DC56D68"/>
    <w:rsid w:val="3E502AD5"/>
    <w:rsid w:val="3E895FE7"/>
    <w:rsid w:val="3ED12587"/>
    <w:rsid w:val="3F2E5344"/>
    <w:rsid w:val="3F7647BE"/>
    <w:rsid w:val="3F942E96"/>
    <w:rsid w:val="3FA07A8C"/>
    <w:rsid w:val="3FAC39DF"/>
    <w:rsid w:val="3FBB5700"/>
    <w:rsid w:val="3FC90D91"/>
    <w:rsid w:val="40022408"/>
    <w:rsid w:val="40273D0A"/>
    <w:rsid w:val="40B02D0A"/>
    <w:rsid w:val="4146548F"/>
    <w:rsid w:val="41DB157D"/>
    <w:rsid w:val="41E910AE"/>
    <w:rsid w:val="41E9170A"/>
    <w:rsid w:val="41FA2085"/>
    <w:rsid w:val="4206121C"/>
    <w:rsid w:val="429733C9"/>
    <w:rsid w:val="43064193"/>
    <w:rsid w:val="445D7CFA"/>
    <w:rsid w:val="44E16385"/>
    <w:rsid w:val="44F3065E"/>
    <w:rsid w:val="456F23DB"/>
    <w:rsid w:val="4597548E"/>
    <w:rsid w:val="45CF4C28"/>
    <w:rsid w:val="46010751"/>
    <w:rsid w:val="46267867"/>
    <w:rsid w:val="46395B73"/>
    <w:rsid w:val="463D26DB"/>
    <w:rsid w:val="465A1E4F"/>
    <w:rsid w:val="475573AE"/>
    <w:rsid w:val="476475F1"/>
    <w:rsid w:val="486059AA"/>
    <w:rsid w:val="49771967"/>
    <w:rsid w:val="49C5081B"/>
    <w:rsid w:val="4A655B5A"/>
    <w:rsid w:val="4B6D71DC"/>
    <w:rsid w:val="4BAD6A87"/>
    <w:rsid w:val="4BD71EB9"/>
    <w:rsid w:val="4BE87A99"/>
    <w:rsid w:val="4C0E2F1B"/>
    <w:rsid w:val="4C6627DE"/>
    <w:rsid w:val="4C72132A"/>
    <w:rsid w:val="4D9E1AAF"/>
    <w:rsid w:val="4DCA28A4"/>
    <w:rsid w:val="4DCB2178"/>
    <w:rsid w:val="4E4B32B9"/>
    <w:rsid w:val="4E7D1438"/>
    <w:rsid w:val="4E8E323F"/>
    <w:rsid w:val="4E9510A3"/>
    <w:rsid w:val="500E3C73"/>
    <w:rsid w:val="50415E74"/>
    <w:rsid w:val="50EC48E0"/>
    <w:rsid w:val="50F639B0"/>
    <w:rsid w:val="51085492"/>
    <w:rsid w:val="51EF032F"/>
    <w:rsid w:val="525373B8"/>
    <w:rsid w:val="526238F8"/>
    <w:rsid w:val="527D5D38"/>
    <w:rsid w:val="529E3A5D"/>
    <w:rsid w:val="532D1235"/>
    <w:rsid w:val="53523F9B"/>
    <w:rsid w:val="53C040D7"/>
    <w:rsid w:val="54105E65"/>
    <w:rsid w:val="54974C26"/>
    <w:rsid w:val="54E35FFA"/>
    <w:rsid w:val="550C692B"/>
    <w:rsid w:val="5596490A"/>
    <w:rsid w:val="55D65293"/>
    <w:rsid w:val="56781737"/>
    <w:rsid w:val="567C363A"/>
    <w:rsid w:val="56AD4B11"/>
    <w:rsid w:val="56C703BD"/>
    <w:rsid w:val="573232FC"/>
    <w:rsid w:val="57807D09"/>
    <w:rsid w:val="57D839C5"/>
    <w:rsid w:val="57F86260"/>
    <w:rsid w:val="58A106A5"/>
    <w:rsid w:val="58AB4206"/>
    <w:rsid w:val="58D81BED"/>
    <w:rsid w:val="5A096502"/>
    <w:rsid w:val="5A405EA0"/>
    <w:rsid w:val="5A450642"/>
    <w:rsid w:val="5B4D241F"/>
    <w:rsid w:val="5B9B762E"/>
    <w:rsid w:val="5DB1573E"/>
    <w:rsid w:val="5DCF7A63"/>
    <w:rsid w:val="5DE82E74"/>
    <w:rsid w:val="5E2751A9"/>
    <w:rsid w:val="5E4455C6"/>
    <w:rsid w:val="5EB86749"/>
    <w:rsid w:val="5EBC7657"/>
    <w:rsid w:val="5ED2769F"/>
    <w:rsid w:val="5F182D44"/>
    <w:rsid w:val="60F852B9"/>
    <w:rsid w:val="61170069"/>
    <w:rsid w:val="61BE450F"/>
    <w:rsid w:val="62347F47"/>
    <w:rsid w:val="62606EDB"/>
    <w:rsid w:val="627C4C03"/>
    <w:rsid w:val="62E31105"/>
    <w:rsid w:val="62F31AFE"/>
    <w:rsid w:val="63293771"/>
    <w:rsid w:val="635B76A3"/>
    <w:rsid w:val="63C96D02"/>
    <w:rsid w:val="64016646"/>
    <w:rsid w:val="640A5052"/>
    <w:rsid w:val="642C05AC"/>
    <w:rsid w:val="64320204"/>
    <w:rsid w:val="64CD45D0"/>
    <w:rsid w:val="65085608"/>
    <w:rsid w:val="656E5DB3"/>
    <w:rsid w:val="657169A1"/>
    <w:rsid w:val="65765510"/>
    <w:rsid w:val="65907AD8"/>
    <w:rsid w:val="671E1113"/>
    <w:rsid w:val="672E75A8"/>
    <w:rsid w:val="67902011"/>
    <w:rsid w:val="67B65075"/>
    <w:rsid w:val="67BB4BB4"/>
    <w:rsid w:val="67E8563B"/>
    <w:rsid w:val="67ED07E2"/>
    <w:rsid w:val="685A43CD"/>
    <w:rsid w:val="686E2259"/>
    <w:rsid w:val="68A65D95"/>
    <w:rsid w:val="69710902"/>
    <w:rsid w:val="69FF522C"/>
    <w:rsid w:val="6A07121D"/>
    <w:rsid w:val="6AA819B9"/>
    <w:rsid w:val="6AE81CCB"/>
    <w:rsid w:val="6B007E4F"/>
    <w:rsid w:val="6B721796"/>
    <w:rsid w:val="6B7E03D2"/>
    <w:rsid w:val="6BC36F22"/>
    <w:rsid w:val="6C163F72"/>
    <w:rsid w:val="6C8D4588"/>
    <w:rsid w:val="6C9D0D2C"/>
    <w:rsid w:val="6CAE3822"/>
    <w:rsid w:val="6CFA1CDB"/>
    <w:rsid w:val="6D5E4DA7"/>
    <w:rsid w:val="6E22535C"/>
    <w:rsid w:val="6E3B07FD"/>
    <w:rsid w:val="6E8105E1"/>
    <w:rsid w:val="6FC54073"/>
    <w:rsid w:val="7064403B"/>
    <w:rsid w:val="70D016D0"/>
    <w:rsid w:val="71080E6A"/>
    <w:rsid w:val="71445C1A"/>
    <w:rsid w:val="71527F65"/>
    <w:rsid w:val="716A5681"/>
    <w:rsid w:val="7180259E"/>
    <w:rsid w:val="71C51DA1"/>
    <w:rsid w:val="71DE7825"/>
    <w:rsid w:val="72453CC7"/>
    <w:rsid w:val="728118F5"/>
    <w:rsid w:val="728A69C0"/>
    <w:rsid w:val="7370535F"/>
    <w:rsid w:val="73CD2270"/>
    <w:rsid w:val="73D94077"/>
    <w:rsid w:val="74BB2697"/>
    <w:rsid w:val="74C82E8E"/>
    <w:rsid w:val="752B5127"/>
    <w:rsid w:val="75827F5D"/>
    <w:rsid w:val="75B40DFC"/>
    <w:rsid w:val="75B8028A"/>
    <w:rsid w:val="75D73501"/>
    <w:rsid w:val="75F75951"/>
    <w:rsid w:val="75F776FF"/>
    <w:rsid w:val="771B11CB"/>
    <w:rsid w:val="77E06D61"/>
    <w:rsid w:val="788B1CC4"/>
    <w:rsid w:val="790A14F7"/>
    <w:rsid w:val="79A951B4"/>
    <w:rsid w:val="79C02402"/>
    <w:rsid w:val="7A212F9C"/>
    <w:rsid w:val="7A552C46"/>
    <w:rsid w:val="7B2014A6"/>
    <w:rsid w:val="7B842713"/>
    <w:rsid w:val="7CBF518E"/>
    <w:rsid w:val="7CF130FA"/>
    <w:rsid w:val="7E2734BA"/>
    <w:rsid w:val="7E5E0B82"/>
    <w:rsid w:val="7E665422"/>
    <w:rsid w:val="7F2552DD"/>
    <w:rsid w:val="7F4B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autoRedefine/>
    <w:qFormat/>
    <w:uiPriority w:val="0"/>
    <w:pPr>
      <w:keepNext/>
      <w:keepLines/>
      <w:spacing w:before="280" w:beforeLines="0" w:after="290" w:afterLines="0" w:line="372" w:lineRule="auto"/>
      <w:outlineLvl w:val="4"/>
    </w:pPr>
    <w:rPr>
      <w:b/>
      <w:bCs/>
      <w:sz w:val="28"/>
      <w:szCs w:val="28"/>
    </w:rPr>
  </w:style>
  <w:style w:type="paragraph" w:styleId="8">
    <w:name w:val="heading 6"/>
    <w:basedOn w:val="1"/>
    <w:next w:val="1"/>
    <w:autoRedefine/>
    <w:qFormat/>
    <w:uiPriority w:val="1"/>
    <w:pPr>
      <w:spacing w:before="61"/>
      <w:outlineLvl w:val="6"/>
    </w:pPr>
    <w:rPr>
      <w:rFonts w:ascii="仿宋" w:hAnsi="仿宋" w:eastAsia="仿宋" w:cs="仿宋"/>
      <w:sz w:val="28"/>
      <w:szCs w:val="28"/>
      <w:lang w:val="zh-CN" w:eastAsia="zh-CN" w:bidi="zh-CN"/>
    </w:rPr>
  </w:style>
  <w:style w:type="character" w:default="1" w:styleId="35">
    <w:name w:val="Default Paragraph Font"/>
    <w:autoRedefine/>
    <w:semiHidden/>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9">
    <w:name w:val="Normal Indent"/>
    <w:basedOn w:val="1"/>
    <w:autoRedefine/>
    <w:qFormat/>
    <w:uiPriority w:val="0"/>
    <w:pPr>
      <w:spacing w:after="120"/>
      <w:ind w:firstLine="420"/>
    </w:pPr>
    <w:rPr>
      <w:szCs w:val="20"/>
    </w:rPr>
  </w:style>
  <w:style w:type="paragraph" w:styleId="10">
    <w:name w:val="toa heading"/>
    <w:basedOn w:val="1"/>
    <w:next w:val="1"/>
    <w:autoRedefine/>
    <w:qFormat/>
    <w:uiPriority w:val="0"/>
    <w:pPr>
      <w:spacing w:before="120"/>
    </w:pPr>
    <w:rPr>
      <w:rFonts w:ascii="Cambria" w:hAnsi="Cambria" w:cs="Times New Roman"/>
      <w:sz w:val="24"/>
    </w:rPr>
  </w:style>
  <w:style w:type="paragraph" w:styleId="11">
    <w:name w:val="annotation text"/>
    <w:basedOn w:val="1"/>
    <w:autoRedefine/>
    <w:qFormat/>
    <w:uiPriority w:val="0"/>
    <w:pPr>
      <w:jc w:val="left"/>
    </w:pPr>
  </w:style>
  <w:style w:type="paragraph" w:styleId="12">
    <w:name w:val="index 6"/>
    <w:basedOn w:val="1"/>
    <w:next w:val="1"/>
    <w:autoRedefine/>
    <w:qFormat/>
    <w:uiPriority w:val="99"/>
    <w:pPr>
      <w:ind w:left="2100"/>
    </w:pPr>
  </w:style>
  <w:style w:type="paragraph" w:styleId="13">
    <w:name w:val="Body Text"/>
    <w:basedOn w:val="1"/>
    <w:autoRedefine/>
    <w:qFormat/>
    <w:uiPriority w:val="1"/>
    <w:pPr>
      <w:widowControl w:val="0"/>
      <w:jc w:val="both"/>
    </w:pPr>
    <w:rPr>
      <w:rFonts w:ascii="楷体" w:hAnsi="楷体" w:eastAsia="楷体" w:cs="楷体"/>
      <w:kern w:val="2"/>
      <w:sz w:val="24"/>
      <w:szCs w:val="24"/>
      <w:lang w:val="zh-CN" w:eastAsia="zh-CN" w:bidi="zh-CN"/>
    </w:rPr>
  </w:style>
  <w:style w:type="paragraph" w:styleId="14">
    <w:name w:val="Body Text Indent"/>
    <w:basedOn w:val="1"/>
    <w:next w:val="15"/>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5">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6">
    <w:name w:val="Block Text"/>
    <w:basedOn w:val="1"/>
    <w:autoRedefine/>
    <w:qFormat/>
    <w:uiPriority w:val="0"/>
    <w:pPr>
      <w:jc w:val="left"/>
    </w:pPr>
    <w:rPr>
      <w:rFonts w:ascii="Times New Roman" w:hAnsi="Times New Roman" w:eastAsia="仿宋_GB2312"/>
      <w:sz w:val="32"/>
      <w:szCs w:val="30"/>
    </w:rPr>
  </w:style>
  <w:style w:type="paragraph" w:styleId="17">
    <w:name w:val="toc 5"/>
    <w:basedOn w:val="1"/>
    <w:next w:val="1"/>
    <w:autoRedefine/>
    <w:qFormat/>
    <w:uiPriority w:val="0"/>
    <w:pPr>
      <w:tabs>
        <w:tab w:val="right" w:leader="dot" w:pos="8296"/>
      </w:tabs>
      <w:ind w:left="1050" w:leftChars="500"/>
    </w:pPr>
  </w:style>
  <w:style w:type="paragraph" w:styleId="18">
    <w:name w:val="toc 3"/>
    <w:basedOn w:val="1"/>
    <w:next w:val="1"/>
    <w:autoRedefine/>
    <w:qFormat/>
    <w:uiPriority w:val="0"/>
    <w:pPr>
      <w:ind w:left="840" w:leftChars="400"/>
    </w:pPr>
  </w:style>
  <w:style w:type="paragraph" w:styleId="19">
    <w:name w:val="Plain Text"/>
    <w:basedOn w:val="1"/>
    <w:autoRedefine/>
    <w:qFormat/>
    <w:uiPriority w:val="0"/>
    <w:rPr>
      <w:rFonts w:ascii="宋体" w:hAnsi="Courier New"/>
    </w:rPr>
  </w:style>
  <w:style w:type="paragraph" w:styleId="20">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21">
    <w:name w:val="Body Text Indent 2"/>
    <w:basedOn w:val="1"/>
    <w:autoRedefine/>
    <w:qFormat/>
    <w:uiPriority w:val="0"/>
    <w:pPr>
      <w:spacing w:after="120" w:afterLines="0" w:line="480" w:lineRule="auto"/>
      <w:ind w:left="420" w:leftChars="200"/>
    </w:pPr>
    <w:rPr>
      <w:rFonts w:ascii="Times New Roman" w:hAnsi="Times New Roman"/>
      <w:sz w:val="24"/>
      <w:szCs w:val="24"/>
    </w:rPr>
  </w:style>
  <w:style w:type="paragraph" w:styleId="22">
    <w:name w:val="footer"/>
    <w:basedOn w:val="1"/>
    <w:autoRedefine/>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2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4">
    <w:name w:val="toc 1"/>
    <w:basedOn w:val="1"/>
    <w:next w:val="1"/>
    <w:autoRedefine/>
    <w:qFormat/>
    <w:uiPriority w:val="39"/>
  </w:style>
  <w:style w:type="paragraph" w:styleId="25">
    <w:name w:val="toc 4"/>
    <w:basedOn w:val="1"/>
    <w:next w:val="1"/>
    <w:autoRedefine/>
    <w:qFormat/>
    <w:uiPriority w:val="0"/>
    <w:pPr>
      <w:tabs>
        <w:tab w:val="left" w:pos="1890"/>
        <w:tab w:val="right" w:leader="dot" w:pos="8296"/>
      </w:tabs>
      <w:ind w:left="630" w:leftChars="300"/>
    </w:pPr>
  </w:style>
  <w:style w:type="paragraph" w:styleId="26">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27">
    <w:name w:val="Body Text Indent 3"/>
    <w:autoRedefine/>
    <w:qFormat/>
    <w:uiPriority w:val="0"/>
    <w:pPr>
      <w:widowControl w:val="0"/>
      <w:spacing w:line="360" w:lineRule="auto"/>
      <w:ind w:firstLine="539"/>
      <w:jc w:val="both"/>
    </w:pPr>
    <w:rPr>
      <w:rFonts w:ascii="Times New Roman" w:hAnsi="Times New Roman" w:eastAsia="宋体" w:cs="Times New Roman"/>
      <w:color w:val="0000FF"/>
      <w:kern w:val="2"/>
      <w:sz w:val="28"/>
      <w:szCs w:val="20"/>
      <w:lang w:val="en-US" w:eastAsia="zh-CN" w:bidi="ar-SA"/>
    </w:rPr>
  </w:style>
  <w:style w:type="paragraph" w:styleId="28">
    <w:name w:val="toc 2"/>
    <w:basedOn w:val="1"/>
    <w:next w:val="1"/>
    <w:autoRedefine/>
    <w:qFormat/>
    <w:uiPriority w:val="0"/>
    <w:pPr>
      <w:ind w:left="420" w:leftChars="200"/>
    </w:pPr>
  </w:style>
  <w:style w:type="paragraph" w:styleId="2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30">
    <w:name w:val="Body Text First Indent"/>
    <w:basedOn w:val="13"/>
    <w:next w:val="31"/>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customStyle="1" w:styleId="31">
    <w:name w:val="段落正文"/>
    <w:basedOn w:val="1"/>
    <w:autoRedefine/>
    <w:qFormat/>
    <w:uiPriority w:val="0"/>
    <w:pPr>
      <w:spacing w:beforeLines="50" w:line="360" w:lineRule="auto"/>
      <w:ind w:firstLine="200" w:firstLineChars="200"/>
    </w:pPr>
    <w:rPr>
      <w:spacing w:val="2"/>
      <w:sz w:val="24"/>
    </w:rPr>
  </w:style>
  <w:style w:type="paragraph" w:styleId="32">
    <w:name w:val="Body Text First Indent 2"/>
    <w:basedOn w:val="14"/>
    <w:next w:val="30"/>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page number"/>
    <w:autoRedefine/>
    <w:qFormat/>
    <w:uiPriority w:val="0"/>
    <w:rPr>
      <w:rFonts w:cs="Times New Roman"/>
    </w:rPr>
  </w:style>
  <w:style w:type="character" w:styleId="38">
    <w:name w:val="Hyperlink"/>
    <w:autoRedefine/>
    <w:qFormat/>
    <w:uiPriority w:val="0"/>
    <w:rPr>
      <w:rFonts w:cs="Times New Roman"/>
      <w:color w:val="0000FF"/>
      <w:u w:val="single"/>
    </w:rPr>
  </w:style>
  <w:style w:type="character" w:styleId="39">
    <w:name w:val="annotation reference"/>
    <w:autoRedefine/>
    <w:qFormat/>
    <w:uiPriority w:val="0"/>
    <w:rPr>
      <w:rFonts w:cs="Times New Roman"/>
      <w:sz w:val="21"/>
      <w:szCs w:val="21"/>
    </w:rPr>
  </w:style>
  <w:style w:type="paragraph" w:customStyle="1" w:styleId="40">
    <w:name w:val="FootnoteText"/>
    <w:basedOn w:val="1"/>
    <w:autoRedefine/>
    <w:qFormat/>
    <w:uiPriority w:val="0"/>
    <w:pPr>
      <w:snapToGrid w:val="0"/>
      <w:jc w:val="left"/>
    </w:pPr>
    <w:rPr>
      <w:sz w:val="18"/>
    </w:rPr>
  </w:style>
  <w:style w:type="paragraph" w:customStyle="1" w:styleId="41">
    <w:name w:val="表格文字2"/>
    <w:basedOn w:val="42"/>
    <w:autoRedefine/>
    <w:qFormat/>
    <w:uiPriority w:val="99"/>
    <w:pPr>
      <w:spacing w:before="25" w:after="25"/>
      <w:jc w:val="left"/>
    </w:pPr>
    <w:rPr>
      <w:bCs/>
      <w:spacing w:val="10"/>
      <w:kern w:val="0"/>
    </w:rPr>
  </w:style>
  <w:style w:type="paragraph" w:customStyle="1" w:styleId="42">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TOC 标题2"/>
    <w:basedOn w:val="3"/>
    <w:next w:val="1"/>
    <w:autoRedefine/>
    <w:qFormat/>
    <w:uiPriority w:val="39"/>
    <w:pPr>
      <w:tabs>
        <w:tab w:val="left" w:pos="360"/>
      </w:tabs>
      <w:spacing w:before="340" w:after="330" w:line="578" w:lineRule="auto"/>
      <w:jc w:val="both"/>
      <w:outlineLvl w:val="9"/>
    </w:pPr>
    <w:rPr>
      <w:rFonts w:eastAsia="宋体"/>
      <w:sz w:val="44"/>
    </w:rPr>
  </w:style>
  <w:style w:type="character" w:customStyle="1" w:styleId="47">
    <w:name w:val="font41"/>
    <w:basedOn w:val="35"/>
    <w:autoRedefine/>
    <w:qFormat/>
    <w:uiPriority w:val="0"/>
    <w:rPr>
      <w:rFonts w:hint="eastAsia" w:ascii="宋体" w:hAnsi="宋体" w:eastAsia="宋体" w:cs="宋体"/>
      <w:color w:val="000000"/>
      <w:sz w:val="18"/>
      <w:szCs w:val="18"/>
      <w:u w:val="none"/>
    </w:rPr>
  </w:style>
  <w:style w:type="character" w:customStyle="1" w:styleId="48">
    <w:name w:val="font11"/>
    <w:basedOn w:val="35"/>
    <w:autoRedefine/>
    <w:qFormat/>
    <w:uiPriority w:val="0"/>
    <w:rPr>
      <w:rFonts w:hint="eastAsia" w:ascii="宋体" w:hAnsi="宋体" w:eastAsia="宋体" w:cs="宋体"/>
      <w:color w:val="000000"/>
      <w:sz w:val="20"/>
      <w:szCs w:val="20"/>
      <w:u w:val="none"/>
    </w:rPr>
  </w:style>
  <w:style w:type="character" w:customStyle="1" w:styleId="49">
    <w:name w:val="font51"/>
    <w:basedOn w:val="35"/>
    <w:autoRedefine/>
    <w:qFormat/>
    <w:uiPriority w:val="0"/>
    <w:rPr>
      <w:rFonts w:hint="eastAsia" w:ascii="宋体" w:hAnsi="宋体" w:eastAsia="宋体" w:cs="宋体"/>
      <w:color w:val="FF0000"/>
      <w:sz w:val="18"/>
      <w:szCs w:val="18"/>
      <w:u w:val="none"/>
    </w:rPr>
  </w:style>
  <w:style w:type="character" w:customStyle="1" w:styleId="50">
    <w:name w:val="font61"/>
    <w:basedOn w:val="35"/>
    <w:autoRedefine/>
    <w:qFormat/>
    <w:uiPriority w:val="0"/>
    <w:rPr>
      <w:rFonts w:hint="eastAsia" w:ascii="宋体" w:hAnsi="宋体" w:eastAsia="宋体" w:cs="宋体"/>
      <w:b/>
      <w:bCs/>
      <w:color w:val="FF0000"/>
      <w:sz w:val="18"/>
      <w:szCs w:val="18"/>
      <w:u w:val="none"/>
    </w:rPr>
  </w:style>
  <w:style w:type="paragraph" w:customStyle="1" w:styleId="51">
    <w:name w:val="表格文字"/>
    <w:basedOn w:val="1"/>
    <w:autoRedefine/>
    <w:qFormat/>
    <w:uiPriority w:val="0"/>
    <w:pPr>
      <w:adjustRightInd w:val="0"/>
      <w:spacing w:line="420" w:lineRule="atLeast"/>
      <w:jc w:val="left"/>
      <w:textAlignment w:val="baseline"/>
    </w:pPr>
    <w:rPr>
      <w:kern w:val="0"/>
    </w:rPr>
  </w:style>
  <w:style w:type="paragraph" w:customStyle="1" w:styleId="52">
    <w:name w:val="正文_2"/>
    <w:next w:val="5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页脚_1"/>
    <w:basedOn w:val="54"/>
    <w:autoRedefine/>
    <w:unhideWhenUsed/>
    <w:qFormat/>
    <w:uiPriority w:val="99"/>
    <w:pPr>
      <w:tabs>
        <w:tab w:val="center" w:pos="4153"/>
        <w:tab w:val="right" w:pos="8306"/>
      </w:tabs>
      <w:snapToGrid w:val="0"/>
      <w:jc w:val="left"/>
    </w:pPr>
    <w:rPr>
      <w:sz w:val="18"/>
      <w:szCs w:val="18"/>
    </w:rPr>
  </w:style>
  <w:style w:type="paragraph" w:customStyle="1" w:styleId="54">
    <w:name w:val="正文_4"/>
    <w:next w:val="5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页脚_3"/>
    <w:basedOn w:val="54"/>
    <w:autoRedefine/>
    <w:unhideWhenUsed/>
    <w:qFormat/>
    <w:uiPriority w:val="99"/>
    <w:pPr>
      <w:tabs>
        <w:tab w:val="center" w:pos="4153"/>
        <w:tab w:val="right" w:pos="8306"/>
      </w:tabs>
      <w:snapToGrid w:val="0"/>
      <w:jc w:val="left"/>
    </w:pPr>
    <w:rPr>
      <w:sz w:val="18"/>
      <w:szCs w:val="18"/>
    </w:rPr>
  </w:style>
  <w:style w:type="paragraph" w:styleId="56">
    <w:name w:val="List Paragraph"/>
    <w:basedOn w:val="1"/>
    <w:autoRedefine/>
    <w:qFormat/>
    <w:uiPriority w:val="1"/>
    <w:pPr>
      <w:spacing w:before="1"/>
      <w:ind w:left="760" w:firstLine="480"/>
    </w:pPr>
    <w:rPr>
      <w:rFonts w:ascii="宋体" w:hAnsi="宋体" w:eastAsia="宋体" w:cs="宋体"/>
      <w:lang w:val="zh-CN" w:eastAsia="zh-CN" w:bidi="zh-CN"/>
    </w:rPr>
  </w:style>
  <w:style w:type="paragraph" w:customStyle="1" w:styleId="5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8">
    <w:name w:val="正文_0_3"/>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9">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0">
    <w:name w:val="Default Text"/>
    <w:basedOn w:val="1"/>
    <w:autoRedefine/>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61">
    <w:name w:val="_Style 6"/>
    <w:basedOn w:val="3"/>
    <w:next w:val="1"/>
    <w:autoRedefine/>
    <w:qFormat/>
    <w:uiPriority w:val="0"/>
    <w:pPr>
      <w:outlineLvl w:val="9"/>
    </w:pPr>
  </w:style>
  <w:style w:type="paragraph" w:customStyle="1" w:styleId="62">
    <w:name w:val="Normal_0"/>
    <w:basedOn w:val="1"/>
    <w:autoRedefine/>
    <w:qFormat/>
    <w:uiPriority w:val="0"/>
    <w:pPr>
      <w:widowControl/>
      <w:jc w:val="left"/>
    </w:pPr>
    <w:rPr>
      <w:rFonts w:ascii="Times New Roman" w:hAnsi="Times New Roman" w:eastAsia="Times New Roman" w:cs="Times New Roman"/>
      <w:kern w:val="0"/>
      <w:sz w:val="24"/>
    </w:rPr>
  </w:style>
  <w:style w:type="paragraph" w:customStyle="1" w:styleId="63">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普通(网站)1"/>
    <w:basedOn w:val="1"/>
    <w:autoRedefine/>
    <w:qFormat/>
    <w:uiPriority w:val="0"/>
    <w:pPr>
      <w:widowControl/>
      <w:spacing w:before="100" w:beforeAutospacing="1" w:after="100" w:afterAutospacing="1" w:line="360" w:lineRule="auto"/>
      <w:ind w:firstLine="200"/>
      <w:jc w:val="left"/>
    </w:pPr>
    <w:rPr>
      <w:rFonts w:ascii="Arial Unicode MS" w:hAnsi="Arial Unicode MS" w:eastAsia="Arial Unicode MS" w:cs="Calibri"/>
      <w:kern w:val="0"/>
      <w:szCs w:val="21"/>
    </w:rPr>
  </w:style>
  <w:style w:type="paragraph" w:customStyle="1" w:styleId="6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2669</Words>
  <Characters>3146</Characters>
  <Lines>0</Lines>
  <Paragraphs>0</Paragraphs>
  <TotalTime>12</TotalTime>
  <ScaleCrop>false</ScaleCrop>
  <LinksUpToDate>false</LinksUpToDate>
  <CharactersWithSpaces>3227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En.</cp:lastModifiedBy>
  <cp:lastPrinted>2024-11-08T08:06:00Z</cp:lastPrinted>
  <dcterms:modified xsi:type="dcterms:W3CDTF">2025-06-18T09:12:38Z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F6061B615DB048F1BF7559D3D7322563_13</vt:lpwstr>
  </property>
  <property fmtid="{D5CDD505-2E9C-101B-9397-08002B2CF9AE}" pid="4" name="KSOTemplateDocerSaveRecord">
    <vt:lpwstr>eyJoZGlkIjoiN2E4MDI4ZGI5YWE0NjQ2ZTVmMGE5Y2I0MDg4N2ZiZGMiLCJ1c2VySWQiOiI1MzUyMjcwODIifQ==</vt:lpwstr>
  </property>
</Properties>
</file>