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44"/>
          <w:szCs w:val="44"/>
        </w:rPr>
      </w:pPr>
    </w:p>
    <w:p>
      <w:pPr>
        <w:adjustRightInd/>
        <w:spacing w:line="360" w:lineRule="auto"/>
        <w:jc w:val="center"/>
        <w:rPr>
          <w:rFonts w:ascii="仿宋_GB2312" w:hAnsi="仿宋_GB2312" w:eastAsia="仿宋_GB2312" w:cs="仿宋_GB2312"/>
          <w:b/>
          <w:sz w:val="48"/>
          <w:szCs w:val="48"/>
        </w:rPr>
      </w:pPr>
    </w:p>
    <w:p>
      <w:pPr>
        <w:adjustRightInd/>
        <w:spacing w:before="120" w:beforeLines="50" w:line="360" w:lineRule="auto"/>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拱墅区经济运行综合集成系统项目</w:t>
      </w:r>
    </w:p>
    <w:p>
      <w:pPr>
        <w:adjustRightInd/>
        <w:spacing w:before="120" w:beforeLines="50" w:line="360" w:lineRule="auto"/>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 xml:space="preserve">招标文件 </w:t>
      </w:r>
    </w:p>
    <w:p>
      <w:pPr>
        <w:adjustRightInd/>
        <w:spacing w:before="120" w:beforeLines="50" w:line="360"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 xml:space="preserve"> （电子招投标）</w:t>
      </w:r>
    </w:p>
    <w:p>
      <w:pPr>
        <w:adjustRightInd/>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ZJZT-2023-10538</w:t>
      </w:r>
    </w:p>
    <w:p>
      <w:pPr>
        <w:adjustRightInd/>
        <w:spacing w:line="440" w:lineRule="exact"/>
        <w:rPr>
          <w:rFonts w:ascii="仿宋_GB2312" w:hAnsi="仿宋_GB2312" w:eastAsia="仿宋_GB2312" w:cs="仿宋_GB2312"/>
          <w:sz w:val="28"/>
          <w:szCs w:val="20"/>
        </w:rPr>
      </w:pPr>
    </w:p>
    <w:p>
      <w:pPr>
        <w:adjustRightInd/>
        <w:spacing w:line="440" w:lineRule="exact"/>
        <w:jc w:val="center"/>
        <w:rPr>
          <w:rFonts w:ascii="仿宋_GB2312" w:hAnsi="仿宋_GB2312" w:eastAsia="仿宋_GB2312" w:cs="仿宋_GB2312"/>
          <w:b/>
          <w:sz w:val="44"/>
          <w:szCs w:val="44"/>
        </w:rPr>
      </w:pPr>
    </w:p>
    <w:p>
      <w:pPr>
        <w:adjustRightInd/>
        <w:spacing w:line="440" w:lineRule="exact"/>
        <w:jc w:val="center"/>
        <w:rPr>
          <w:rFonts w:ascii="仿宋_GB2312" w:hAnsi="仿宋_GB2312" w:eastAsia="仿宋_GB2312" w:cs="仿宋_GB2312"/>
          <w:sz w:val="24"/>
        </w:rPr>
      </w:pPr>
    </w:p>
    <w:p>
      <w:pPr>
        <w:adjustRightInd/>
        <w:spacing w:line="440" w:lineRule="exact"/>
        <w:jc w:val="center"/>
        <w:rPr>
          <w:rFonts w:ascii="仿宋_GB2312" w:hAnsi="仿宋_GB2312" w:eastAsia="仿宋_GB2312" w:cs="仿宋_GB2312"/>
          <w:sz w:val="24"/>
        </w:rPr>
      </w:pPr>
    </w:p>
    <w:p>
      <w:pPr>
        <w:adjustRightInd/>
        <w:spacing w:line="440" w:lineRule="exact"/>
        <w:rPr>
          <w:rFonts w:ascii="仿宋_GB2312" w:hAnsi="仿宋_GB2312" w:eastAsia="仿宋_GB2312" w:cs="仿宋_GB2312"/>
          <w:sz w:val="32"/>
          <w:szCs w:val="32"/>
        </w:rPr>
      </w:pPr>
    </w:p>
    <w:p>
      <w:pPr>
        <w:pStyle w:val="2"/>
        <w:rPr>
          <w:rFonts w:hAnsi="仿宋_GB2312" w:cs="仿宋_GB2312"/>
        </w:rPr>
      </w:pPr>
    </w:p>
    <w:p>
      <w:pPr>
        <w:rPr>
          <w:rFonts w:ascii="仿宋_GB2312" w:hAnsi="仿宋_GB2312" w:eastAsia="仿宋_GB2312" w:cs="仿宋_GB2312"/>
          <w:sz w:val="32"/>
          <w:szCs w:val="32"/>
        </w:rPr>
      </w:pPr>
    </w:p>
    <w:p>
      <w:pPr>
        <w:pStyle w:val="2"/>
        <w:rPr>
          <w:rFonts w:hAnsi="仿宋_GB2312" w:cs="仿宋_GB2312"/>
        </w:rPr>
      </w:pPr>
    </w:p>
    <w:p>
      <w:pPr>
        <w:rPr>
          <w:rFonts w:ascii="仿宋_GB2312" w:hAnsi="仿宋_GB2312" w:eastAsia="仿宋_GB2312" w:cs="仿宋_GB2312"/>
          <w:sz w:val="32"/>
          <w:szCs w:val="32"/>
        </w:rPr>
      </w:pPr>
    </w:p>
    <w:p>
      <w:pPr>
        <w:pStyle w:val="2"/>
      </w:pPr>
    </w:p>
    <w:p>
      <w:pPr>
        <w:adjustRightInd/>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采购人：杭州市拱墅区发展改革和经济信息化局</w:t>
      </w:r>
    </w:p>
    <w:p>
      <w:pPr>
        <w:adjustRightInd/>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采购代理机构：浙江中通通信有限公司</w:t>
      </w:r>
    </w:p>
    <w:p>
      <w:pPr>
        <w:adjustRightInd/>
        <w:spacing w:line="44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2023年0</w:t>
      </w: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06</w:t>
      </w:r>
      <w:r>
        <w:rPr>
          <w:rFonts w:hint="eastAsia" w:ascii="仿宋_GB2312" w:hAnsi="仿宋_GB2312" w:eastAsia="仿宋_GB2312" w:cs="仿宋_GB2312"/>
          <w:bCs/>
          <w:sz w:val="28"/>
          <w:szCs w:val="28"/>
          <w:highlight w:val="none"/>
        </w:rPr>
        <w:t>日</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招标公告</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投标人须知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评标</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法</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      应提交的有关格式范例</w:t>
      </w:r>
    </w:p>
    <w:p>
      <w:pPr>
        <w:spacing w:line="360" w:lineRule="auto"/>
        <w:ind w:firstLine="549" w:firstLineChars="229"/>
        <w:rPr>
          <w:rFonts w:ascii="仿宋_GB2312" w:hAnsi="仿宋_GB2312" w:eastAsia="仿宋_GB2312" w:cs="仿宋_GB2312"/>
          <w:sz w:val="24"/>
        </w:rPr>
      </w:pPr>
      <w:bookmarkStart w:id="1" w:name="_Hlt91233176"/>
      <w:bookmarkEnd w:id="1"/>
      <w:bookmarkStart w:id="2" w:name="_Toc91899869"/>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adjustRightInd/>
        <w:spacing w:before="240" w:beforeLines="100" w:line="360" w:lineRule="auto"/>
        <w:jc w:val="center"/>
        <w:outlineLvl w:val="0"/>
        <w:rPr>
          <w:rFonts w:ascii="仿宋_GB2312" w:hAnsi="仿宋_GB2312" w:eastAsia="仿宋_GB2312" w:cs="仿宋_GB2312"/>
          <w:b/>
          <w:sz w:val="24"/>
        </w:rPr>
      </w:pPr>
      <w:bookmarkStart w:id="3" w:name="第一部分"/>
      <w:r>
        <w:rPr>
          <w:rFonts w:hint="eastAsia" w:ascii="仿宋_GB2312" w:hAnsi="仿宋_GB2312" w:eastAsia="仿宋_GB2312"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 招标公告</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项目概况</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u w:val="single"/>
              </w:rPr>
              <w:t xml:space="preserve"> 拱墅区经济运行综合集成系统项目 </w:t>
            </w:r>
            <w:r>
              <w:rPr>
                <w:rFonts w:hint="eastAsia" w:ascii="仿宋_GB2312" w:hAnsi="仿宋_GB2312" w:eastAsia="仿宋_GB2312" w:cs="仿宋_GB2312"/>
              </w:rPr>
              <w:t>招标项目的潜在投标人应在政采云平台（https://www.zcygov.cn/）获取（下载）招标文件，并</w:t>
            </w:r>
            <w:r>
              <w:rPr>
                <w:rFonts w:hint="eastAsia" w:ascii="仿宋_GB2312" w:hAnsi="仿宋_GB2312" w:eastAsia="仿宋_GB2312" w:cs="仿宋_GB2312"/>
                <w:highlight w:val="none"/>
              </w:rPr>
              <w:t>于</w:t>
            </w:r>
            <w:r>
              <w:rPr>
                <w:rFonts w:hint="eastAsia" w:ascii="仿宋_GB2312" w:hAnsi="仿宋_GB2312" w:eastAsia="仿宋_GB2312" w:cs="仿宋_GB2312"/>
                <w:highlight w:val="none"/>
                <w:u w:val="single"/>
              </w:rPr>
              <w:t>2023年</w:t>
            </w:r>
            <w:r>
              <w:rPr>
                <w:rFonts w:hint="eastAsia" w:ascii="仿宋_GB2312" w:hAnsi="仿宋_GB2312" w:eastAsia="仿宋_GB2312" w:cs="仿宋_GB2312"/>
                <w:highlight w:val="none"/>
                <w:u w:val="single"/>
                <w:lang w:val="en-US" w:eastAsia="zh-CN"/>
              </w:rPr>
              <w:t>03</w:t>
            </w:r>
            <w:r>
              <w:rPr>
                <w:rFonts w:hint="eastAsia" w:ascii="仿宋_GB2312" w:hAnsi="仿宋_GB2312" w:eastAsia="仿宋_GB2312" w:cs="仿宋_GB2312"/>
                <w:highlight w:val="none"/>
                <w:u w:val="single"/>
              </w:rPr>
              <w:t>月</w:t>
            </w:r>
            <w:r>
              <w:rPr>
                <w:rFonts w:hint="eastAsia" w:ascii="仿宋_GB2312" w:hAnsi="仿宋_GB2312" w:eastAsia="仿宋_GB2312" w:cs="仿宋_GB2312"/>
                <w:highlight w:val="none"/>
                <w:u w:val="single"/>
                <w:lang w:val="en-US" w:eastAsia="zh-CN"/>
              </w:rPr>
              <w:t>27</w:t>
            </w:r>
            <w:r>
              <w:rPr>
                <w:rFonts w:hint="eastAsia" w:ascii="仿宋_GB2312" w:hAnsi="仿宋_GB2312" w:eastAsia="仿宋_GB2312" w:cs="仿宋_GB2312"/>
                <w:highlight w:val="none"/>
                <w:u w:val="single"/>
              </w:rPr>
              <w:t>日0</w:t>
            </w:r>
            <w:r>
              <w:rPr>
                <w:rFonts w:hint="eastAsia" w:ascii="仿宋_GB2312" w:hAnsi="仿宋_GB2312" w:eastAsia="仿宋_GB2312" w:cs="仿宋_GB2312"/>
                <w:u w:val="single"/>
              </w:rPr>
              <w:t>9点00分00秒（北京时间）前</w:t>
            </w:r>
            <w:r>
              <w:rPr>
                <w:rFonts w:hint="eastAsia" w:ascii="仿宋_GB2312" w:hAnsi="仿宋_GB2312" w:eastAsia="仿宋_GB2312" w:cs="仿宋_GB2312"/>
              </w:rPr>
              <w:t>递交（上传）投标文件。</w:t>
            </w:r>
          </w:p>
        </w:tc>
      </w:tr>
    </w:tbl>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 xml:space="preserve">一、项目基本情况                                            </w:t>
      </w:r>
    </w:p>
    <w:p>
      <w:pPr>
        <w:adjustRightInd/>
        <w:spacing w:line="440" w:lineRule="exact"/>
        <w:ind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项目编号：</w:t>
      </w:r>
      <w:r>
        <w:rPr>
          <w:rFonts w:hint="eastAsia" w:ascii="仿宋_GB2312" w:hAnsi="仿宋_GB2312" w:eastAsia="仿宋_GB2312" w:cs="仿宋_GB2312"/>
          <w:sz w:val="24"/>
        </w:rPr>
        <w:t>ZJZT-2022-12900</w:t>
      </w:r>
    </w:p>
    <w:p>
      <w:pPr>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项目名称：</w:t>
      </w:r>
      <w:r>
        <w:rPr>
          <w:rFonts w:hint="eastAsia" w:ascii="仿宋_GB2312" w:hAnsi="仿宋_GB2312" w:eastAsia="仿宋_GB2312" w:cs="仿宋_GB2312"/>
          <w:bCs/>
          <w:sz w:val="24"/>
        </w:rPr>
        <w:t>拱墅区经济运行综合集成系统项目</w:t>
      </w:r>
    </w:p>
    <w:p>
      <w:pPr>
        <w:adjustRightInd/>
        <w:spacing w:line="440" w:lineRule="exact"/>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sz w:val="24"/>
        </w:rPr>
        <w:t>预算金额（元）</w:t>
      </w:r>
      <w:r>
        <w:rPr>
          <w:rFonts w:hint="eastAsia" w:ascii="仿宋_GB2312" w:hAnsi="仿宋_GB2312" w:eastAsia="仿宋_GB2312" w:cs="仿宋_GB2312"/>
          <w:b/>
          <w:sz w:val="24"/>
          <w:highlight w:val="none"/>
        </w:rPr>
        <w:t>：</w:t>
      </w:r>
      <w:r>
        <w:rPr>
          <w:rFonts w:hint="eastAsia" w:ascii="仿宋_GB2312" w:hAnsi="仿宋_GB2312" w:eastAsia="仿宋_GB2312" w:cs="仿宋_GB2312"/>
          <w:bCs/>
          <w:sz w:val="24"/>
          <w:highlight w:val="none"/>
          <w:lang w:eastAsia="zh-CN"/>
        </w:rPr>
        <w:t>7840000</w:t>
      </w:r>
      <w:r>
        <w:rPr>
          <w:rFonts w:hint="eastAsia" w:ascii="仿宋_GB2312" w:hAnsi="仿宋_GB2312" w:eastAsia="仿宋_GB2312" w:cs="仿宋_GB2312"/>
          <w:bCs/>
          <w:sz w:val="24"/>
          <w:highlight w:val="none"/>
        </w:rPr>
        <w:t xml:space="preserve"> </w:t>
      </w:r>
      <w:r>
        <w:rPr>
          <w:rFonts w:hint="eastAsia" w:ascii="仿宋_GB2312" w:hAnsi="仿宋_GB2312" w:eastAsia="仿宋_GB2312" w:cs="仿宋_GB2312"/>
          <w:sz w:val="24"/>
          <w:highlight w:val="none"/>
        </w:rPr>
        <w:t xml:space="preserve"> </w:t>
      </w:r>
    </w:p>
    <w:p>
      <w:pPr>
        <w:adjustRightInd/>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最高限价（元）：</w:t>
      </w:r>
      <w:r>
        <w:rPr>
          <w:rFonts w:hint="eastAsia" w:ascii="仿宋_GB2312" w:hAnsi="仿宋_GB2312" w:eastAsia="仿宋_GB2312" w:cs="仿宋_GB2312"/>
          <w:bCs/>
          <w:sz w:val="24"/>
          <w:highlight w:val="none"/>
        </w:rPr>
        <w:t xml:space="preserve">7840000 </w:t>
      </w:r>
      <w:r>
        <w:rPr>
          <w:rFonts w:hint="eastAsia" w:ascii="仿宋_GB2312" w:hAnsi="仿宋_GB2312" w:eastAsia="仿宋_GB2312" w:cs="仿宋_GB2312"/>
          <w:sz w:val="24"/>
          <w:highlight w:val="none"/>
        </w:rPr>
        <w:t xml:space="preserve"> </w:t>
      </w:r>
    </w:p>
    <w:p>
      <w:pPr>
        <w:pStyle w:val="15"/>
        <w:adjustRightInd/>
        <w:snapToGrid/>
        <w:spacing w:line="440" w:lineRule="exact"/>
        <w:ind w:firstLine="48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采购需求：</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标项名称：拱墅区经济运行综合集成系统项目 </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数量：1</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预算金额（元）：</w:t>
      </w:r>
      <w:r>
        <w:rPr>
          <w:rFonts w:hint="eastAsia" w:ascii="仿宋_GB2312" w:hAnsi="仿宋_GB2312" w:eastAsia="仿宋_GB2312" w:cs="仿宋_GB2312"/>
          <w:bCs/>
          <w:color w:val="auto"/>
          <w:sz w:val="24"/>
        </w:rPr>
        <w:t>7840000</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简要规格描述或项目基本概况介绍、用途：</w:t>
      </w:r>
      <w:r>
        <w:rPr>
          <w:rFonts w:hint="eastAsia" w:ascii="仿宋_GB2312" w:hAnsi="仿宋_GB2312" w:eastAsia="仿宋_GB2312" w:cs="仿宋_GB2312"/>
          <w:bCs/>
          <w:sz w:val="24"/>
        </w:rPr>
        <w:t>拱墅区经济运行综合集成系统项目。</w:t>
      </w:r>
      <w:r>
        <w:rPr>
          <w:rFonts w:hint="eastAsia" w:ascii="仿宋_GB2312" w:hAnsi="仿宋_GB2312" w:eastAsia="仿宋_GB2312" w:cs="仿宋_GB2312"/>
          <w:bCs/>
          <w:color w:val="auto"/>
          <w:kern w:val="2"/>
          <w:sz w:val="24"/>
          <w:szCs w:val="24"/>
        </w:rPr>
        <w:t>详见招标文件第三部分</w:t>
      </w:r>
      <w:r>
        <w:rPr>
          <w:rFonts w:hint="eastAsia" w:ascii="仿宋_GB2312" w:hAnsi="仿宋_GB2312" w:eastAsia="仿宋_GB2312" w:cs="仿宋_GB2312"/>
          <w:bCs/>
          <w:color w:val="auto"/>
          <w:kern w:val="2"/>
          <w:sz w:val="24"/>
          <w:szCs w:val="24"/>
          <w:lang w:eastAsia="zh-CN"/>
        </w:rPr>
        <w:t>“</w:t>
      </w:r>
      <w:r>
        <w:rPr>
          <w:rFonts w:hint="eastAsia" w:ascii="仿宋_GB2312" w:hAnsi="仿宋_GB2312" w:eastAsia="仿宋_GB2312" w:cs="仿宋_GB2312"/>
          <w:bCs/>
          <w:color w:val="auto"/>
          <w:kern w:val="2"/>
          <w:sz w:val="24"/>
          <w:szCs w:val="24"/>
        </w:rPr>
        <w:t>采购需求</w:t>
      </w:r>
      <w:r>
        <w:rPr>
          <w:rFonts w:hint="eastAsia" w:ascii="仿宋_GB2312" w:hAnsi="仿宋_GB2312" w:eastAsia="仿宋_GB2312" w:cs="仿宋_GB2312"/>
          <w:bCs/>
          <w:color w:val="auto"/>
          <w:kern w:val="2"/>
          <w:sz w:val="24"/>
          <w:szCs w:val="24"/>
          <w:lang w:eastAsia="zh-CN"/>
        </w:rPr>
        <w:t>”</w:t>
      </w:r>
      <w:r>
        <w:rPr>
          <w:rFonts w:hint="eastAsia" w:ascii="仿宋_GB2312" w:hAnsi="仿宋_GB2312" w:eastAsia="仿宋_GB2312" w:cs="仿宋_GB2312"/>
          <w:bCs/>
          <w:color w:val="auto"/>
          <w:kern w:val="2"/>
          <w:sz w:val="24"/>
          <w:szCs w:val="24"/>
        </w:rPr>
        <w:t>。</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备注：无</w:t>
      </w:r>
    </w:p>
    <w:p>
      <w:pPr>
        <w:pStyle w:val="131"/>
        <w:adjustRightInd/>
        <w:spacing w:before="0" w:line="440" w:lineRule="exact"/>
        <w:ind w:firstLine="482"/>
        <w:rPr>
          <w:rFonts w:ascii="仿宋_GB2312" w:hAnsi="仿宋_GB2312" w:eastAsia="仿宋_GB2312" w:cs="仿宋_GB2312"/>
        </w:rPr>
      </w:pPr>
      <w:r>
        <w:rPr>
          <w:rFonts w:hint="eastAsia" w:ascii="仿宋_GB2312" w:hAnsi="仿宋_GB2312" w:eastAsia="仿宋_GB2312" w:cs="仿宋_GB2312"/>
          <w:b/>
        </w:rPr>
        <w:t>合同履约期限：</w:t>
      </w:r>
      <w:r>
        <w:rPr>
          <w:rFonts w:hint="eastAsia" w:ascii="仿宋_GB2312" w:hAnsi="仿宋_GB2312" w:eastAsia="仿宋_GB2312" w:cs="仿宋_GB2312"/>
          <w:bCs/>
        </w:rPr>
        <w:t>项目服务周</w:t>
      </w:r>
      <w:r>
        <w:rPr>
          <w:rFonts w:hint="eastAsia" w:ascii="仿宋_GB2312" w:hAnsi="仿宋_GB2312" w:eastAsia="仿宋_GB2312" w:cs="仿宋_GB2312"/>
          <w:bCs/>
          <w:highlight w:val="none"/>
        </w:rPr>
        <w:t>期为18个月，其中建设期为3个月，试运行期3个月，</w:t>
      </w:r>
      <w:r>
        <w:rPr>
          <w:rFonts w:hint="eastAsia" w:ascii="仿宋_GB2312" w:hAnsi="仿宋_GB2312" w:eastAsia="仿宋_GB2312" w:cs="仿宋_GB2312"/>
          <w:bCs/>
        </w:rPr>
        <w:t>项目维保期12个月。</w:t>
      </w:r>
    </w:p>
    <w:p>
      <w:pPr>
        <w:pStyle w:val="15"/>
        <w:adjustRightInd/>
        <w:snapToGrid/>
        <w:spacing w:line="440" w:lineRule="exact"/>
        <w:ind w:firstLine="48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本项目（否）接受联合体投标。</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二、申请人的资格要求：</w:t>
      </w:r>
    </w:p>
    <w:p>
      <w:pPr>
        <w:adjustRightInd/>
        <w:spacing w:line="440" w:lineRule="exact"/>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adjustRightInd/>
        <w:spacing w:line="440" w:lineRule="exact"/>
        <w:ind w:firstLine="480" w:firstLineChars="20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lang w:val="en-US" w:eastAsia="zh-CN"/>
        </w:rPr>
        <w:t>2</w:t>
      </w:r>
      <w:r>
        <w:rPr>
          <w:rFonts w:hint="eastAsia" w:ascii="仿宋_GB2312" w:hAnsi="仿宋_GB2312" w:eastAsia="仿宋_GB2312" w:cs="仿宋_GB2312"/>
          <w:snapToGrid w:val="0"/>
          <w:kern w:val="28"/>
          <w:sz w:val="24"/>
          <w:szCs w:val="20"/>
        </w:rPr>
        <w:t>.</w:t>
      </w:r>
      <w:r>
        <w:rPr>
          <w:rFonts w:hint="eastAsia" w:ascii="仿宋_GB2312" w:hAnsi="仿宋_GB2312" w:eastAsia="仿宋_GB2312" w:cs="仿宋_GB2312"/>
          <w:snapToGrid w:val="0"/>
          <w:kern w:val="28"/>
          <w:sz w:val="24"/>
          <w:szCs w:val="20"/>
          <w:lang w:val="en-US" w:eastAsia="zh-CN"/>
        </w:rPr>
        <w:t xml:space="preserve"> </w:t>
      </w:r>
      <w:r>
        <w:rPr>
          <w:rFonts w:hint="eastAsia" w:ascii="仿宋_GB2312" w:hAnsi="仿宋_GB2312" w:eastAsia="仿宋_GB2312" w:cs="仿宋_GB2312"/>
          <w:snapToGrid w:val="0"/>
          <w:kern w:val="28"/>
          <w:sz w:val="24"/>
          <w:szCs w:val="20"/>
        </w:rPr>
        <w:t>落实政府采购政策需满足的资格要求：本项目属于专门面向中小企业采购的项目</w:t>
      </w:r>
      <w:r>
        <w:rPr>
          <w:rFonts w:hint="eastAsia" w:ascii="仿宋_GB2312" w:hAnsi="仿宋_GB2312" w:eastAsia="仿宋_GB2312" w:cs="仿宋_GB2312"/>
          <w:snapToGrid w:val="0"/>
          <w:kern w:val="28"/>
          <w:sz w:val="24"/>
          <w:szCs w:val="20"/>
          <w:lang w:eastAsia="zh-CN"/>
        </w:rPr>
        <w:t>，</w:t>
      </w:r>
      <w:r>
        <w:rPr>
          <w:rFonts w:hint="eastAsia" w:ascii="仿宋_GB2312" w:hAnsi="仿宋_GB2312" w:eastAsia="仿宋_GB2312" w:cs="仿宋_GB2312"/>
          <w:snapToGrid w:val="0"/>
          <w:kern w:val="28"/>
          <w:sz w:val="24"/>
          <w:szCs w:val="20"/>
        </w:rPr>
        <w:t>提供服务的供应商应为中小微企业（监狱企业、残疾人福利性单位视同小微企业）；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本项目的特定资格要求：无；</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 xml:space="preserve">三、获取招标文件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时间：/至</w:t>
      </w:r>
      <w:r>
        <w:rPr>
          <w:rFonts w:hint="eastAsia" w:ascii="仿宋_GB2312" w:hAnsi="仿宋_GB2312" w:eastAsia="仿宋_GB2312" w:cs="仿宋_GB2312"/>
          <w:bCs/>
          <w:sz w:val="24"/>
          <w:highlight w:val="none"/>
          <w:u w:val="single"/>
        </w:rPr>
        <w:t>2023年</w:t>
      </w:r>
      <w:r>
        <w:rPr>
          <w:rFonts w:hint="eastAsia" w:ascii="仿宋_GB2312" w:hAnsi="仿宋_GB2312" w:eastAsia="仿宋_GB2312" w:cs="仿宋_GB2312"/>
          <w:bCs/>
          <w:sz w:val="24"/>
          <w:highlight w:val="none"/>
          <w:u w:val="single"/>
          <w:lang w:val="en-US" w:eastAsia="zh-CN"/>
        </w:rPr>
        <w:t>03</w:t>
      </w:r>
      <w:r>
        <w:rPr>
          <w:rFonts w:hint="eastAsia" w:ascii="仿宋_GB2312" w:hAnsi="仿宋_GB2312" w:eastAsia="仿宋_GB2312" w:cs="仿宋_GB2312"/>
          <w:bCs/>
          <w:sz w:val="24"/>
          <w:highlight w:val="none"/>
          <w:u w:val="single"/>
        </w:rPr>
        <w:t>月</w:t>
      </w:r>
      <w:r>
        <w:rPr>
          <w:rFonts w:hint="eastAsia" w:ascii="仿宋_GB2312" w:hAnsi="仿宋_GB2312" w:eastAsia="仿宋_GB2312" w:cs="仿宋_GB2312"/>
          <w:bCs/>
          <w:sz w:val="24"/>
          <w:highlight w:val="none"/>
          <w:u w:val="single"/>
          <w:lang w:val="en-US" w:eastAsia="zh-CN"/>
        </w:rPr>
        <w:t>27</w:t>
      </w:r>
      <w:r>
        <w:rPr>
          <w:rFonts w:hint="eastAsia" w:ascii="仿宋_GB2312" w:hAnsi="仿宋_GB2312" w:eastAsia="仿宋_GB2312" w:cs="仿宋_GB2312"/>
          <w:bCs/>
          <w:sz w:val="24"/>
          <w:highlight w:val="none"/>
          <w:u w:val="single"/>
        </w:rPr>
        <w:t>日</w:t>
      </w:r>
      <w:r>
        <w:rPr>
          <w:rFonts w:hint="eastAsia" w:ascii="仿宋_GB2312" w:hAnsi="仿宋_GB2312" w:eastAsia="仿宋_GB2312" w:cs="仿宋_GB2312"/>
          <w:bCs/>
          <w:sz w:val="24"/>
          <w:highlight w:val="none"/>
        </w:rPr>
        <w:t>，每</w:t>
      </w:r>
      <w:r>
        <w:rPr>
          <w:rFonts w:hint="eastAsia" w:ascii="仿宋_GB2312" w:hAnsi="仿宋_GB2312" w:eastAsia="仿宋_GB2312" w:cs="仿宋_GB2312"/>
          <w:bCs/>
          <w:sz w:val="24"/>
        </w:rPr>
        <w:t>天上午00:00至12:00 ，下午12:00至23:59（北京时间，线上获取法定节假日均可，线下获取文件法定节假日除外）</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地点（网址）：政采云平台（https://www.zcygov.cn/）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方式：供应商登录政采云平台https://www.zcygov.cn/在线申请获取采购文件（进入“项目采购”应用，在获取采购文件菜单中选择项目，申请获取采购文件）。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售价（元）：0 </w:t>
      </w:r>
      <w:r>
        <w:rPr>
          <w:rFonts w:hint="eastAsia" w:ascii="仿宋_GB2312" w:hAnsi="仿宋_GB2312" w:eastAsia="仿宋_GB2312" w:cs="仿宋_GB2312"/>
          <w:bCs/>
          <w:sz w:val="24"/>
        </w:rPr>
        <w:tab/>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四、提交投标文件截止时间、开标时间和地点</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rPr>
        <w:t>提交投标文件</w:t>
      </w:r>
      <w:r>
        <w:rPr>
          <w:rFonts w:hint="eastAsia" w:ascii="仿宋_GB2312" w:hAnsi="仿宋_GB2312" w:eastAsia="仿宋_GB2312" w:cs="仿宋_GB2312"/>
          <w:bCs/>
          <w:sz w:val="24"/>
          <w:highlight w:val="none"/>
        </w:rPr>
        <w:t>截止时间：</w:t>
      </w:r>
      <w:r>
        <w:rPr>
          <w:rFonts w:hint="eastAsia" w:ascii="仿宋_GB2312" w:hAnsi="仿宋_GB2312" w:eastAsia="仿宋_GB2312" w:cs="仿宋_GB2312"/>
          <w:bCs/>
          <w:sz w:val="24"/>
          <w:highlight w:val="none"/>
          <w:u w:val="single"/>
        </w:rPr>
        <w:t xml:space="preserve"> 2023年</w:t>
      </w:r>
      <w:r>
        <w:rPr>
          <w:rFonts w:hint="eastAsia" w:ascii="仿宋_GB2312" w:hAnsi="仿宋_GB2312" w:eastAsia="仿宋_GB2312" w:cs="仿宋_GB2312"/>
          <w:bCs/>
          <w:sz w:val="24"/>
          <w:highlight w:val="none"/>
          <w:u w:val="single"/>
          <w:lang w:val="en-US" w:eastAsia="zh-CN"/>
        </w:rPr>
        <w:t>03</w:t>
      </w:r>
      <w:r>
        <w:rPr>
          <w:rFonts w:hint="eastAsia" w:ascii="仿宋_GB2312" w:hAnsi="仿宋_GB2312" w:eastAsia="仿宋_GB2312" w:cs="仿宋_GB2312"/>
          <w:bCs/>
          <w:sz w:val="24"/>
          <w:highlight w:val="none"/>
          <w:u w:val="single"/>
        </w:rPr>
        <w:t>月</w:t>
      </w:r>
      <w:r>
        <w:rPr>
          <w:rFonts w:hint="eastAsia" w:ascii="仿宋_GB2312" w:hAnsi="仿宋_GB2312" w:eastAsia="仿宋_GB2312" w:cs="仿宋_GB2312"/>
          <w:bCs/>
          <w:sz w:val="24"/>
          <w:highlight w:val="none"/>
          <w:u w:val="single"/>
          <w:lang w:val="en-US" w:eastAsia="zh-CN"/>
        </w:rPr>
        <w:t>27</w:t>
      </w:r>
      <w:r>
        <w:rPr>
          <w:rFonts w:hint="eastAsia" w:ascii="仿宋_GB2312" w:hAnsi="仿宋_GB2312" w:eastAsia="仿宋_GB2312" w:cs="仿宋_GB2312"/>
          <w:bCs/>
          <w:sz w:val="24"/>
          <w:highlight w:val="none"/>
          <w:u w:val="single"/>
        </w:rPr>
        <w:t xml:space="preserve">日09点00分00秒 </w:t>
      </w:r>
      <w:r>
        <w:rPr>
          <w:rFonts w:hint="eastAsia" w:ascii="仿宋_GB2312" w:hAnsi="仿宋_GB2312" w:eastAsia="仿宋_GB2312" w:cs="仿宋_GB2312"/>
          <w:bCs/>
          <w:sz w:val="24"/>
          <w:highlight w:val="none"/>
        </w:rPr>
        <w:t>（北京时间）</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 xml:space="preserve">投标地点（网址）：政采云平台（https://www.zcygov.cn/） </w:t>
      </w:r>
    </w:p>
    <w:p>
      <w:pPr>
        <w:adjustRightInd/>
        <w:spacing w:line="440" w:lineRule="exact"/>
        <w:ind w:firstLine="480" w:firstLineChars="200"/>
        <w:rPr>
          <w:rFonts w:ascii="仿宋_GB2312" w:hAnsi="仿宋_GB2312" w:eastAsia="仿宋_GB2312" w:cs="仿宋_GB2312"/>
          <w:bCs/>
          <w:sz w:val="24"/>
          <w:highlight w:val="none"/>
          <w:u w:val="single"/>
        </w:rPr>
      </w:pPr>
      <w:r>
        <w:rPr>
          <w:rFonts w:hint="eastAsia" w:ascii="仿宋_GB2312" w:hAnsi="仿宋_GB2312" w:eastAsia="仿宋_GB2312" w:cs="仿宋_GB2312"/>
          <w:bCs/>
          <w:sz w:val="24"/>
          <w:highlight w:val="none"/>
        </w:rPr>
        <w:t>开标时间：</w:t>
      </w:r>
      <w:r>
        <w:rPr>
          <w:rFonts w:hint="eastAsia" w:ascii="仿宋_GB2312" w:hAnsi="仿宋_GB2312" w:eastAsia="仿宋_GB2312" w:cs="仿宋_GB2312"/>
          <w:bCs/>
          <w:sz w:val="24"/>
          <w:highlight w:val="none"/>
          <w:u w:val="single"/>
        </w:rPr>
        <w:t>2023年</w:t>
      </w:r>
      <w:r>
        <w:rPr>
          <w:rFonts w:hint="eastAsia" w:ascii="仿宋_GB2312" w:hAnsi="仿宋_GB2312" w:eastAsia="仿宋_GB2312" w:cs="仿宋_GB2312"/>
          <w:bCs/>
          <w:sz w:val="24"/>
          <w:highlight w:val="none"/>
          <w:u w:val="single"/>
          <w:lang w:val="en-US" w:eastAsia="zh-CN"/>
        </w:rPr>
        <w:t>03</w:t>
      </w:r>
      <w:r>
        <w:rPr>
          <w:rFonts w:hint="eastAsia" w:ascii="仿宋_GB2312" w:hAnsi="仿宋_GB2312" w:eastAsia="仿宋_GB2312" w:cs="仿宋_GB2312"/>
          <w:bCs/>
          <w:sz w:val="24"/>
          <w:highlight w:val="none"/>
          <w:u w:val="single"/>
        </w:rPr>
        <w:t>月</w:t>
      </w:r>
      <w:r>
        <w:rPr>
          <w:rFonts w:hint="eastAsia" w:ascii="仿宋_GB2312" w:hAnsi="仿宋_GB2312" w:eastAsia="仿宋_GB2312" w:cs="仿宋_GB2312"/>
          <w:bCs/>
          <w:sz w:val="24"/>
          <w:highlight w:val="none"/>
          <w:u w:val="single"/>
          <w:lang w:val="en-US" w:eastAsia="zh-CN"/>
        </w:rPr>
        <w:t>27</w:t>
      </w:r>
      <w:r>
        <w:rPr>
          <w:rFonts w:hint="eastAsia" w:ascii="仿宋_GB2312" w:hAnsi="仿宋_GB2312" w:eastAsia="仿宋_GB2312" w:cs="仿宋_GB2312"/>
          <w:bCs/>
          <w:sz w:val="24"/>
          <w:highlight w:val="none"/>
          <w:u w:val="single"/>
        </w:rPr>
        <w:t xml:space="preserve">日09点00分00秒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highlight w:val="none"/>
        </w:rPr>
        <w:t>开标地点（网址）：政采云平台（https://www.zcygov.</w:t>
      </w:r>
      <w:r>
        <w:rPr>
          <w:rFonts w:hint="eastAsia" w:ascii="仿宋_GB2312" w:hAnsi="仿宋_GB2312" w:eastAsia="仿宋_GB2312" w:cs="仿宋_GB2312"/>
          <w:bCs/>
          <w:sz w:val="24"/>
        </w:rPr>
        <w:t>cn/）</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五、采购意向公开链接</w:t>
      </w:r>
    </w:p>
    <w:p>
      <w:pPr>
        <w:adjustRightInd/>
        <w:spacing w:line="440" w:lineRule="exact"/>
        <w:ind w:firstLine="420" w:firstLineChars="200"/>
        <w:rPr>
          <w:rFonts w:ascii="仿宋_GB2312" w:hAnsi="仿宋_GB2312" w:eastAsia="仿宋_GB2312" w:cs="仿宋_GB2312"/>
          <w:bCs/>
          <w:sz w:val="24"/>
        </w:rPr>
      </w:pPr>
      <w:r>
        <w:fldChar w:fldCharType="begin"/>
      </w:r>
      <w:r>
        <w:instrText xml:space="preserve"> HYPERLINK "https://zfcg.czt.zj.gov.cn/innerUsed_noticeDetails/index.html?noticeId=8557469" </w:instrText>
      </w:r>
      <w:r>
        <w:fldChar w:fldCharType="separate"/>
      </w:r>
      <w:r>
        <w:rPr>
          <w:rFonts w:hint="eastAsia" w:ascii="仿宋_GB2312" w:hAnsi="仿宋_GB2312" w:eastAsia="仿宋_GB2312" w:cs="仿宋_GB2312"/>
          <w:bCs/>
          <w:sz w:val="24"/>
        </w:rPr>
        <w:t>https://zfcg.czt.zj.gov.cn/innerUsed_noticeDetails/index.html?noticeId=9047761&amp;utm=web-government-front.2e418808.0.0.9c6fac506b0b11ed85059f0e7c742cf0</w:t>
      </w:r>
      <w:r>
        <w:rPr>
          <w:rFonts w:hint="eastAsia" w:ascii="仿宋_GB2312" w:hAnsi="仿宋_GB2312" w:eastAsia="仿宋_GB2312" w:cs="仿宋_GB2312"/>
          <w:bCs/>
          <w:sz w:val="24"/>
        </w:rPr>
        <w:fldChar w:fldCharType="end"/>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sz w:val="24"/>
        </w:rPr>
        <w:t xml:space="preserve">六、公告期限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七、其他补充事宜</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pPr>
        <w:adjustRightInd/>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1.采购人信息</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名称：杭州市拱墅区发展改革和经济信息化局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地址：杭州市拱墅区台州路1号</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项目联系人（询问）：严老师</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项目联系方式（询问）：</w:t>
      </w:r>
      <w:r>
        <w:rPr>
          <w:rFonts w:ascii="仿宋_GB2312" w:hAnsi="仿宋_GB2312" w:eastAsia="仿宋_GB2312" w:cs="仿宋_GB2312"/>
          <w:sz w:val="24"/>
          <w:highlight w:val="none"/>
        </w:rPr>
        <w:t>0571-8831802</w:t>
      </w:r>
      <w:r>
        <w:rPr>
          <w:rFonts w:hint="eastAsia" w:ascii="仿宋_GB2312" w:hAnsi="仿宋_GB2312" w:eastAsia="仿宋_GB2312" w:cs="仿宋_GB2312"/>
          <w:sz w:val="24"/>
          <w:highlight w:val="none"/>
        </w:rPr>
        <w:t xml:space="preserve">3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质疑联系人：</w:t>
      </w:r>
      <w:r>
        <w:rPr>
          <w:rFonts w:hint="eastAsia" w:ascii="仿宋_GB2312" w:hAnsi="仿宋_GB2312" w:eastAsia="仿宋_GB2312" w:cs="仿宋_GB2312"/>
          <w:sz w:val="24"/>
          <w:highlight w:val="none"/>
          <w:lang w:eastAsia="zh-CN"/>
        </w:rPr>
        <w:t>祝</w:t>
      </w:r>
      <w:r>
        <w:rPr>
          <w:rFonts w:hint="eastAsia" w:ascii="仿宋_GB2312" w:hAnsi="仿宋_GB2312" w:eastAsia="仿宋_GB2312" w:cs="仿宋_GB2312"/>
          <w:sz w:val="24"/>
          <w:highlight w:val="none"/>
        </w:rPr>
        <w:t xml:space="preserve">老师 </w:t>
      </w:r>
    </w:p>
    <w:p>
      <w:pPr>
        <w:adjustRightInd/>
        <w:spacing w:line="440" w:lineRule="exact"/>
        <w:ind w:firstLine="480" w:firstLineChars="200"/>
        <w:rPr>
          <w:rFonts w:hint="default"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质疑联系方式：</w:t>
      </w:r>
      <w:r>
        <w:rPr>
          <w:rFonts w:ascii="仿宋_GB2312" w:hAnsi="仿宋_GB2312" w:eastAsia="仿宋_GB2312" w:cs="仿宋_GB2312"/>
          <w:sz w:val="24"/>
          <w:highlight w:val="none"/>
        </w:rPr>
        <w:t>0571-88</w:t>
      </w:r>
      <w:r>
        <w:rPr>
          <w:rFonts w:hint="eastAsia" w:ascii="仿宋_GB2312" w:hAnsi="仿宋_GB2312" w:eastAsia="仿宋_GB2312" w:cs="仿宋_GB2312"/>
          <w:sz w:val="24"/>
          <w:highlight w:val="none"/>
          <w:lang w:val="en-US" w:eastAsia="zh-CN"/>
        </w:rPr>
        <w:t>259492</w:t>
      </w:r>
    </w:p>
    <w:p>
      <w:pPr>
        <w:adjustRightInd/>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2.采购代理机构信息</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名称：浙江中通通信有限公司</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地址：浙江省杭州市拱墅区河东路215号D楼2楼招标商务部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传真：/  </w:t>
      </w:r>
    </w:p>
    <w:p>
      <w:pPr>
        <w:adjustRightInd/>
        <w:spacing w:line="44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项目联系人（询问）：奚睿、杨赟</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陈芝、刘克柏</w:t>
      </w:r>
    </w:p>
    <w:p>
      <w:pPr>
        <w:adjustRightInd/>
        <w:spacing w:line="4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项目联系方式（询问）：18580873658；</w:t>
      </w:r>
      <w:r>
        <w:rPr>
          <w:rFonts w:hint="eastAsia" w:ascii="仿宋_GB2312" w:hAnsi="仿宋_GB2312" w:eastAsia="仿宋_GB2312" w:cs="仿宋_GB2312"/>
          <w:sz w:val="24"/>
          <w:lang w:eastAsia="zh-CN"/>
        </w:rPr>
        <w:t>xirui.gyl@chinaccs.cn</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质疑联系人：郭瑜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质疑联系方式：15325816601</w:t>
      </w:r>
    </w:p>
    <w:p>
      <w:pPr>
        <w:adjustRightInd/>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3.同级政府采购监督管理部门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名称：杭州市拱墅区财政局/浙江省政府采购行政裁决服务中心（杭州）</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地址：杭州市上城区四季青街道新业路市民之家G03办公室</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传真：/</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联系人：朱女士/王女士</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监督投诉电话：0571-85252453</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若对项目采购电子交易系统操作有疑问，可登录政采云（https://www.zcygov.cn/），点击右侧咨询小采，获取采小蜜智能服务管家帮助，或拨打政采云服务热线95763获取热线服务帮助。</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CA问题联系电话（人工）：汇信CA 400-888-4636；天谷CA 400-087-8198。                              </w:t>
      </w: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pPr>
        <w:adjustRightInd/>
        <w:spacing w:line="440" w:lineRule="exact"/>
        <w:jc w:val="center"/>
        <w:outlineLvl w:val="1"/>
        <w:rPr>
          <w:rFonts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2"/>
        <w:tblW w:w="90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事项</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项目属性</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采购标的对应的中小企业划分标准所属行业</w:t>
            </w:r>
          </w:p>
        </w:tc>
        <w:tc>
          <w:tcPr>
            <w:tcW w:w="6579" w:type="dxa"/>
            <w:tcBorders>
              <w:top w:val="single" w:color="000000" w:sz="8" w:space="0"/>
              <w:left w:val="single" w:color="000000" w:sz="2" w:space="0"/>
              <w:bottom w:val="single" w:color="000000" w:sz="8" w:space="0"/>
              <w:right w:val="single" w:color="000000" w:sz="8" w:space="0"/>
            </w:tcBorders>
            <w:vAlign w:val="center"/>
          </w:tcPr>
          <w:p>
            <w:pPr>
              <w:tabs>
                <w:tab w:val="left" w:pos="432"/>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（1）标的：</w:t>
            </w:r>
            <w:r>
              <w:rPr>
                <w:rFonts w:hint="eastAsia" w:ascii="仿宋_GB2312" w:hAnsi="仿宋_GB2312" w:eastAsia="仿宋_GB2312" w:cs="仿宋_GB2312"/>
                <w:kern w:val="0"/>
                <w:sz w:val="24"/>
                <w:u w:val="single"/>
              </w:rPr>
              <w:t xml:space="preserve"> 拱墅区经济运行综合集成系统项目 </w:t>
            </w:r>
            <w:r>
              <w:rPr>
                <w:rFonts w:hint="eastAsia" w:ascii="仿宋_GB2312" w:hAnsi="仿宋_GB2312" w:eastAsia="仿宋_GB2312" w:cs="仿宋_GB2312"/>
                <w:kern w:val="0"/>
                <w:sz w:val="24"/>
              </w:rPr>
              <w:t>，属于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bCs/>
                <w:kern w:val="0"/>
                <w:sz w:val="24"/>
                <w:u w:val="single"/>
              </w:rPr>
              <w:t>软件和信息技术服务行业</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tabs>
                <w:tab w:val="left" w:pos="432"/>
              </w:tabs>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根据《关于印发中小企业划型标准规定的通知》（工信部联企业〔2011〕300号）规定：软件和信息技术服务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432"/>
              </w:tabs>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监狱企业、残疾人福利性单位视同小型、微型企业；符合中小企业划分标准的个体工商户，在政府采购活动中视同中小企业。</w:t>
            </w:r>
          </w:p>
          <w:p>
            <w:pPr>
              <w:tabs>
                <w:tab w:val="left" w:pos="432"/>
              </w:tabs>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注：中小企业以供应商填写的《中小企业声明函》为准，残疾人福利性单位以供应商填写的《残疾人福利性单位声明函》（同时提供《关于促进残疾人就业政府采购政策的通知》中规定的残疾人福利性单位需要具备的条件的证明材料）为判定标准，监狱企业须供应商提供由省级以上监狱管理局、戒毒管理局（含新疆生产建设兵团）出具的属于监狱企业的证明文件，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1828425707"/>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本项</w:t>
            </w:r>
            <w:r>
              <w:rPr>
                <w:rFonts w:hint="eastAsia" w:ascii="仿宋_GB2312" w:hAnsi="仿宋_GB2312" w:eastAsia="仿宋_GB2312" w:cs="仿宋_GB2312"/>
                <w:sz w:val="24"/>
              </w:rPr>
              <w:t>目不允许采购进口产品</w:t>
            </w:r>
            <w:r>
              <w:rPr>
                <w:rFonts w:hint="eastAsia" w:ascii="仿宋_GB2312" w:hAnsi="仿宋_GB2312" w:eastAsia="仿宋_GB2312" w:cs="仿宋_GB2312"/>
                <w:kern w:val="0"/>
                <w:sz w:val="24"/>
              </w:rPr>
              <w:t>。</w:t>
            </w:r>
          </w:p>
          <w:p>
            <w:pPr>
              <w:adjustRightInd/>
              <w:spacing w:line="440" w:lineRule="exact"/>
              <w:ind w:firstLine="480" w:firstLineChars="200"/>
              <w:rPr>
                <w:rFonts w:ascii="仿宋_GB2312" w:hAnsi="仿宋_GB2312" w:eastAsia="仿宋_GB2312" w:cs="仿宋_GB2312"/>
              </w:rPr>
            </w:pPr>
            <w:sdt>
              <w:sdtPr>
                <w:rPr>
                  <w:rFonts w:hint="eastAsia" w:ascii="仿宋_GB2312" w:hAnsi="仿宋_GB2312" w:eastAsia="仿宋_GB2312" w:cs="仿宋_GB2312"/>
                  <w:kern w:val="0"/>
                  <w:sz w:val="24"/>
                </w:rPr>
                <w:id w:val="-52852824"/>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可以就</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分包</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728577740"/>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同意将非主体</w:t>
            </w:r>
            <w:r>
              <w:rPr>
                <w:rFonts w:hint="eastAsia" w:ascii="仿宋_GB2312" w:hAnsi="仿宋_GB2312" w:eastAsia="仿宋_GB2312" w:cs="仿宋_GB2312"/>
                <w:sz w:val="24"/>
                <w:highlight w:val="none"/>
              </w:rPr>
              <w:t>、非关键性的</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b/>
                <w:bCs/>
                <w:sz w:val="24"/>
                <w:highlight w:val="none"/>
                <w:u w:val="single"/>
              </w:rPr>
              <w:t>【分包金额不超过合同总金额的30%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工作分包。</w:t>
            </w:r>
          </w:p>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276331357"/>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B</w:t>
            </w:r>
            <w:r>
              <w:rPr>
                <w:rFonts w:hint="eastAsia" w:ascii="仿宋_GB2312" w:hAnsi="仿宋_GB2312" w:eastAsia="仿宋_GB2312" w:cs="仿宋_GB2312"/>
                <w:sz w:val="24"/>
              </w:rPr>
              <w:t>不同意分包。</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212966419"/>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不组织。</w:t>
            </w:r>
          </w:p>
          <w:p>
            <w:pPr>
              <w:adjustRightInd/>
              <w:spacing w:line="440" w:lineRule="exact"/>
              <w:ind w:firstLine="480" w:firstLineChars="200"/>
              <w:rPr>
                <w:rFonts w:ascii="仿宋_GB2312" w:hAnsi="仿宋_GB2312" w:eastAsia="仿宋_GB2312" w:cs="仿宋_GB2312"/>
                <w:sz w:val="24"/>
                <w:szCs w:val="20"/>
              </w:rPr>
            </w:pPr>
            <w:sdt>
              <w:sdtPr>
                <w:rPr>
                  <w:rFonts w:hint="eastAsia" w:ascii="仿宋_GB2312" w:hAnsi="仿宋_GB2312" w:eastAsia="仿宋_GB2312" w:cs="仿宋_GB2312"/>
                  <w:kern w:val="0"/>
                  <w:sz w:val="24"/>
                </w:rPr>
                <w:id w:val="-999802974"/>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B组织，</w:t>
            </w:r>
            <w:r>
              <w:rPr>
                <w:rFonts w:hint="eastAsia" w:ascii="仿宋_GB2312" w:hAnsi="仿宋_GB2312" w:eastAsia="仿宋_GB2312" w:cs="仿宋_GB2312"/>
                <w:sz w:val="24"/>
              </w:rPr>
              <w:t>时间：</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，地点：</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，联系人：</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，联系方式：</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样品提供</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63994648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Wingdings" w:hAnsi="Wingdings" w:eastAsia="仿宋_GB2312" w:cs="仿宋_GB2312"/>
                    <w:kern w:val="0"/>
                    <w:sz w:val="24"/>
                  </w:rPr>
                  <w:t>þ</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不要求提供。</w:t>
            </w:r>
          </w:p>
          <w:p>
            <w:pPr>
              <w:adjustRightInd/>
              <w:spacing w:line="440" w:lineRule="exact"/>
              <w:ind w:firstLine="480" w:firstLineChars="200"/>
              <w:rPr>
                <w:rFonts w:ascii="仿宋_GB2312" w:hAnsi="仿宋_GB2312" w:eastAsia="仿宋_GB2312" w:cs="仿宋_GB2312"/>
                <w:b/>
                <w:sz w:val="24"/>
              </w:rPr>
            </w:pPr>
            <w:sdt>
              <w:sdtPr>
                <w:rPr>
                  <w:rFonts w:hint="eastAsia" w:ascii="仿宋_GB2312" w:hAnsi="仿宋_GB2312" w:eastAsia="仿宋_GB2312" w:cs="仿宋_GB2312"/>
                  <w:kern w:val="0"/>
                  <w:sz w:val="24"/>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859348549"/>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不组织。</w:t>
            </w:r>
          </w:p>
          <w:p>
            <w:pPr>
              <w:adjustRightInd/>
              <w:spacing w:line="440" w:lineRule="exact"/>
              <w:ind w:firstLine="480" w:firstLineChars="200"/>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1174071719"/>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Wingdings" w:hAnsi="Wingdings" w:eastAsia="仿宋_GB2312" w:cs="仿宋_GB2312"/>
                    <w:kern w:val="0"/>
                    <w:sz w:val="24"/>
                  </w:rPr>
                  <w:t>þ</w:t>
                </w:r>
              </w:sdtContent>
            </w:sdt>
            <w:r>
              <w:rPr>
                <w:rFonts w:hint="eastAsia" w:ascii="仿宋_GB2312" w:hAnsi="仿宋_GB2312" w:eastAsia="仿宋_GB2312" w:cs="仿宋_GB2312"/>
                <w:kern w:val="0"/>
                <w:sz w:val="24"/>
              </w:rPr>
              <w:t xml:space="preserve"> B组织。</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在评标时安排每个符合性审查合格的投标人进行方案讲解演示。每个投标人时间不超过20分钟，讲解次序以投标文件解密时间先后次序为准，讲解演示人员不超过3人。讲解演示结束后按要求解答评标委员会提问。</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（2）方案讲解演示选择方式</w:t>
            </w:r>
            <w:r>
              <w:rPr>
                <w:rFonts w:hint="eastAsia" w:ascii="仿宋_GB2312" w:hAnsi="仿宋_GB2312" w:eastAsia="仿宋_GB2312" w:cs="仿宋_GB2312"/>
                <w:kern w:val="0"/>
                <w:sz w:val="24"/>
                <w:u w:val="single"/>
              </w:rPr>
              <w:t xml:space="preserve"> 三 </w:t>
            </w:r>
            <w:r>
              <w:rPr>
                <w:rFonts w:hint="eastAsia" w:ascii="仿宋_GB2312" w:hAnsi="仿宋_GB2312" w:eastAsia="仿宋_GB2312" w:cs="仿宋_GB2312"/>
                <w:kern w:val="0"/>
                <w:sz w:val="24"/>
              </w:rPr>
              <w:t>：</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方式一：政采云平台在线讲解演示。政采云平台在线讲解需投标人根据政采云平台操作要求做好准备工作，提前完善软硬件配置环境。</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方式二：交易中心现场讲解演示。现场讲解地点为</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，讲解演示所用电脑等设备由投标人自备。现场讲解演示人员进场时提供讲解人员名单（加盖公章或授权代表签名）及身份证明，否则不得讲解演示。</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式三：播放供应商递交的演示视频录制文件，如遇未递交演示视频的则自动播放下一次序投标人演示视频。本次要求的演示视频限时为20分钟，视频播放时间达到20分钟后，评审小组可要求停止，超过时间的内容不做评审。</w:t>
            </w:r>
          </w:p>
          <w:p>
            <w:pPr>
              <w:adjustRightInd/>
              <w:spacing w:line="440" w:lineRule="exact"/>
              <w:ind w:firstLine="480" w:firstLineChars="200"/>
              <w:rPr>
                <w:rFonts w:ascii="仿宋_GB2312" w:hAnsi="仿宋_GB2312" w:eastAsia="仿宋_GB2312" w:cs="仿宋_GB2312"/>
                <w:b/>
                <w:kern w:val="0"/>
                <w:sz w:val="24"/>
                <w:lang w:val="zh-CN"/>
              </w:rPr>
            </w:pPr>
            <w:r>
              <w:rPr>
                <w:rFonts w:hint="eastAsia" w:ascii="仿宋_GB2312" w:hAnsi="仿宋_GB2312" w:eastAsia="仿宋_GB2312" w:cs="仿宋_GB2312"/>
                <w:kern w:val="0"/>
                <w:sz w:val="24"/>
                <w:highlight w:val="none"/>
              </w:rPr>
              <w:t>注：因投标人自身原因导致无法演示或者演示</w:t>
            </w:r>
            <w:r>
              <w:rPr>
                <w:rFonts w:hint="eastAsia" w:ascii="仿宋_GB2312" w:hAnsi="仿宋_GB2312" w:eastAsia="仿宋_GB2312" w:cs="仿宋_GB2312"/>
                <w:kern w:val="0"/>
                <w:sz w:val="24"/>
              </w:rPr>
              <w:t>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843" w:type="dxa"/>
            <w:vMerge w:val="restart"/>
            <w:tcBorders>
              <w:top w:val="single" w:color="000000" w:sz="8" w:space="0"/>
              <w:left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579"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（1）资格证明文件：见招标文件第二部分第11.1款。</w:t>
            </w:r>
          </w:p>
          <w:p>
            <w:pPr>
              <w:adjustRightInd/>
              <w:spacing w:line="440" w:lineRule="exact"/>
              <w:ind w:firstLine="480" w:firstLineChars="200"/>
              <w:rPr>
                <w:rFonts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p>
        </w:tc>
        <w:tc>
          <w:tcPr>
            <w:tcW w:w="6579" w:type="dxa"/>
            <w:tcBorders>
              <w:top w:val="single" w:color="auto" w:sz="4"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w:t>
            </w:r>
            <w:r>
              <w:rPr>
                <w:rFonts w:hint="eastAsia" w:ascii="仿宋_GB2312" w:hAnsi="仿宋_GB2312" w:eastAsia="仿宋_GB2312" w:cs="仿宋_GB2312"/>
                <w:sz w:val="24"/>
                <w:lang w:val="en-US" w:eastAsia="zh-CN"/>
              </w:rPr>
              <w:t>办</w:t>
            </w:r>
            <w:r>
              <w:rPr>
                <w:rFonts w:hint="eastAsia" w:ascii="仿宋_GB2312" w:hAnsi="仿宋_GB2312" w:eastAsia="仿宋_GB2312" w:cs="仿宋_GB2312"/>
                <w:sz w:val="24"/>
              </w:rPr>
              <w:t>法”提供。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报价要求</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pPr>
              <w:adjustRightInd/>
              <w:spacing w:line="440" w:lineRule="exact"/>
              <w:ind w:firstLine="482"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b/>
                <w:bCs/>
                <w:kern w:val="0"/>
                <w:sz w:val="24"/>
              </w:rPr>
              <w:t>提醒：验收时检测费用由采购人承担，不包含在投标总价中</w:t>
            </w:r>
            <w:r>
              <w:rPr>
                <w:rFonts w:hint="eastAsia" w:ascii="仿宋_GB2312" w:hAnsi="仿宋_GB2312" w:eastAsia="仿宋_GB2312" w:cs="仿宋_GB2312"/>
                <w:b/>
                <w:bCs/>
                <w:kern w:val="0"/>
                <w:sz w:val="24"/>
                <w:lang w:val="zh-CN"/>
              </w:rPr>
              <w:t>。</w:t>
            </w:r>
          </w:p>
          <w:p>
            <w:pPr>
              <w:adjustRightInd/>
              <w:spacing w:line="440" w:lineRule="exact"/>
              <w:ind w:firstLine="482" w:firstLineChars="20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rPr>
              <w:t>2、</w:t>
            </w:r>
            <w:r>
              <w:rPr>
                <w:rFonts w:hint="eastAsia" w:ascii="仿宋_GB2312" w:hAnsi="仿宋_GB2312" w:eastAsia="仿宋_GB2312" w:cs="仿宋_GB2312"/>
                <w:b/>
                <w:kern w:val="0"/>
                <w:sz w:val="24"/>
                <w:lang w:val="zh-CN"/>
              </w:rPr>
              <w:t>投标报价出现下列情形的，投标无效：</w:t>
            </w:r>
          </w:p>
          <w:p>
            <w:pPr>
              <w:adjustRightInd/>
              <w:spacing w:line="440" w:lineRule="exact"/>
              <w:ind w:firstLine="482" w:firstLineChars="20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w:t>
            </w:r>
            <w:r>
              <w:rPr>
                <w:rFonts w:hint="eastAsia" w:ascii="仿宋_GB2312" w:hAnsi="仿宋_GB2312" w:eastAsia="仿宋_GB2312" w:cs="仿宋_GB2312"/>
                <w:b/>
                <w:kern w:val="0"/>
                <w:sz w:val="24"/>
              </w:rPr>
              <w:t>1</w:t>
            </w:r>
            <w:r>
              <w:rPr>
                <w:rFonts w:hint="eastAsia" w:ascii="仿宋_GB2312" w:hAnsi="仿宋_GB2312" w:eastAsia="仿宋_GB2312" w:cs="仿宋_GB2312"/>
                <w:b/>
                <w:kern w:val="0"/>
                <w:sz w:val="24"/>
                <w:lang w:val="zh-CN"/>
              </w:rPr>
              <w:t>）投标文件出现不是唯一的、有选择性投标报价的；</w:t>
            </w:r>
          </w:p>
          <w:p>
            <w:pPr>
              <w:adjustRightInd/>
              <w:spacing w:line="440" w:lineRule="exact"/>
              <w:ind w:firstLine="482" w:firstLineChars="200"/>
              <w:rPr>
                <w:rFonts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w:t>
            </w:r>
            <w:r>
              <w:rPr>
                <w:rFonts w:hint="eastAsia" w:ascii="仿宋_GB2312" w:hAnsi="仿宋_GB2312" w:eastAsia="仿宋_GB2312" w:cs="仿宋_GB2312"/>
                <w:b/>
                <w:kern w:val="0"/>
                <w:sz w:val="24"/>
              </w:rPr>
              <w:t>2</w:t>
            </w:r>
            <w:r>
              <w:rPr>
                <w:rFonts w:hint="eastAsia" w:ascii="仿宋_GB2312" w:hAnsi="仿宋_GB2312" w:eastAsia="仿宋_GB2312" w:cs="仿宋_GB2312"/>
                <w:b/>
                <w:kern w:val="0"/>
                <w:sz w:val="24"/>
                <w:lang w:val="zh-CN"/>
              </w:rPr>
              <w:t>）投标报价超过招标文件中规定的预算金额或者最高限价的；</w:t>
            </w:r>
          </w:p>
          <w:p>
            <w:pPr>
              <w:adjustRightInd/>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kern w:val="0"/>
                <w:sz w:val="24"/>
              </w:rPr>
              <w:t>（3）报价明显低于其他通过符合性审查投标人的报价，有可能影响产品质量或者不能诚信履约的，未能按要求提供书面说明或者提交相关证明材料证明其报价合理性的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pPr>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kern w:val="0"/>
                <w:sz w:val="24"/>
              </w:rPr>
              <w:t>（4）投标人对根据修正原则修正后的报价不确认的</w:t>
            </w:r>
            <w:r>
              <w:rPr>
                <w:rFonts w:hint="eastAsia" w:ascii="仿宋_GB2312" w:hAnsi="仿宋_GB2312" w:eastAsia="仿宋_GB2312" w:cs="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jc w:val="center"/>
        </w:trPr>
        <w:tc>
          <w:tcPr>
            <w:tcW w:w="629" w:type="dxa"/>
            <w:tcBorders>
              <w:top w:val="single" w:color="auto" w:sz="4" w:space="0"/>
              <w:left w:val="single" w:color="000000" w:sz="8"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843" w:type="dxa"/>
            <w:tcBorders>
              <w:top w:val="single" w:color="000000" w:sz="8" w:space="0"/>
              <w:left w:val="single" w:color="000000" w:sz="2"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jc w:val="center"/>
        </w:trPr>
        <w:tc>
          <w:tcPr>
            <w:tcW w:w="629" w:type="dxa"/>
            <w:tcBorders>
              <w:top w:val="single" w:color="auto" w:sz="4" w:space="0"/>
              <w:left w:val="single" w:color="000000" w:sz="8"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843" w:type="dxa"/>
            <w:tcBorders>
              <w:top w:val="single" w:color="000000" w:sz="8" w:space="0"/>
              <w:left w:val="single" w:color="000000" w:sz="2"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履约保证金</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合同总价的1%。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备份投标文件送达地点和签收人员</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32"/>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kern w:val="28"/>
                <w:sz w:val="24"/>
                <w:szCs w:val="24"/>
                <w:u w:val="single"/>
              </w:rPr>
              <w:t xml:space="preserve"> 浙江省杭州市拱墅区河东路215号D楼2楼招标商务部 </w:t>
            </w:r>
            <w:r>
              <w:rPr>
                <w:rFonts w:hint="eastAsia" w:ascii="仿宋_GB2312" w:hAnsi="仿宋_GB2312" w:eastAsia="仿宋_GB2312" w:cs="仿宋_GB2312"/>
                <w:kern w:val="28"/>
                <w:sz w:val="24"/>
                <w:szCs w:val="24"/>
              </w:rPr>
              <w:t>；备份投标文件签收人员联系电话：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奚睿</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18580873658</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4"/>
              </w:rPr>
              <w:t>。</w:t>
            </w:r>
          </w:p>
          <w:p>
            <w:pPr>
              <w:pStyle w:val="32"/>
              <w:adjustRightInd/>
              <w:spacing w:line="440" w:lineRule="exact"/>
              <w:ind w:firstLine="482" w:firstLineChars="200"/>
              <w:rPr>
                <w:rFonts w:ascii="仿宋_GB2312" w:hAnsi="仿宋_GB2312" w:eastAsia="仿宋_GB2312" w:cs="仿宋_GB2312"/>
                <w:kern w:val="28"/>
                <w:sz w:val="24"/>
              </w:rPr>
            </w:pPr>
            <w:r>
              <w:rPr>
                <w:rFonts w:hint="eastAsia" w:ascii="仿宋_GB2312" w:hAnsi="仿宋_GB2312" w:eastAsia="仿宋_GB2312" w:cs="仿宋_GB2312"/>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843"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代理服务费</w:t>
            </w:r>
          </w:p>
        </w:tc>
        <w:tc>
          <w:tcPr>
            <w:tcW w:w="6579" w:type="dxa"/>
            <w:tcBorders>
              <w:top w:val="single" w:color="000000" w:sz="8" w:space="0"/>
              <w:left w:val="single" w:color="000000" w:sz="2" w:space="0"/>
              <w:bottom w:val="single" w:color="auto" w:sz="4" w:space="0"/>
              <w:right w:val="single" w:color="000000" w:sz="8" w:space="0"/>
            </w:tcBorders>
            <w:vAlign w:val="center"/>
          </w:tcPr>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0"/>
                <w:sz w:val="24"/>
              </w:rPr>
              <w:t>（1）本项目代理服务费：以中标金额为计费基准，计费标准按《计价格［2002］1980号》文件中收费标准的80%计算</w:t>
            </w:r>
            <w:r>
              <w:rPr>
                <w:rFonts w:hint="eastAsia" w:ascii="仿宋_GB2312" w:hAnsi="仿宋_GB2312" w:eastAsia="仿宋_GB2312" w:cs="仿宋_GB2312"/>
                <w:kern w:val="28"/>
                <w:sz w:val="24"/>
                <w:szCs w:val="24"/>
              </w:rPr>
              <w:t>。</w:t>
            </w:r>
          </w:p>
          <w:p>
            <w:pPr>
              <w:pStyle w:val="32"/>
              <w:adjustRightInd/>
              <w:spacing w:line="440" w:lineRule="exact"/>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（2）代理服务费支付：</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① 由</w:t>
            </w:r>
            <w:r>
              <w:rPr>
                <w:rFonts w:hint="eastAsia" w:ascii="仿宋_GB2312" w:hAnsi="仿宋_GB2312" w:eastAsia="仿宋_GB2312" w:cs="仿宋_GB2312"/>
                <w:kern w:val="28"/>
                <w:sz w:val="24"/>
                <w:szCs w:val="24"/>
                <w:u w:val="single"/>
              </w:rPr>
              <w:t>中标（成交）供应商</w:t>
            </w:r>
            <w:r>
              <w:rPr>
                <w:rFonts w:hint="eastAsia" w:ascii="仿宋_GB2312" w:hAnsi="仿宋_GB2312" w:eastAsia="仿宋_GB2312" w:cs="仿宋_GB2312"/>
                <w:kern w:val="28"/>
                <w:sz w:val="24"/>
                <w:szCs w:val="24"/>
              </w:rPr>
              <w:t>在领取中标（成交）通知书时一次性支付。</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② 代理服务费缴纳形式：汇票/支票/电汇/现金</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③ 代理服务费汇入以下账户：</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收款单位（户名）：浙江中通通信有限公司</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开户银行：中信银行杭州天水支行</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账号：3110830019310007249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843"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演示视频</w:t>
            </w:r>
          </w:p>
        </w:tc>
        <w:tc>
          <w:tcPr>
            <w:tcW w:w="6579" w:type="dxa"/>
            <w:tcBorders>
              <w:top w:val="single" w:color="000000" w:sz="8" w:space="0"/>
              <w:left w:val="single" w:color="000000" w:sz="2" w:space="0"/>
              <w:bottom w:val="single" w:color="auto" w:sz="4" w:space="0"/>
              <w:right w:val="single" w:color="000000" w:sz="8" w:space="0"/>
            </w:tcBorders>
            <w:vAlign w:val="center"/>
          </w:tcPr>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在评审时安排所有符合性审查合格的供应商进行演示视频。每个供应商演示视频时间不超过20分钟，演示次序</w:t>
            </w:r>
            <w:r>
              <w:rPr>
                <w:rFonts w:hint="eastAsia" w:ascii="仿宋_GB2312" w:hAnsi="仿宋_GB2312" w:eastAsia="仿宋_GB2312" w:cs="仿宋_GB2312"/>
                <w:kern w:val="0"/>
                <w:sz w:val="24"/>
              </w:rPr>
              <w:t>以投标文件解密时间先后次序为准</w:t>
            </w:r>
            <w:r>
              <w:rPr>
                <w:rFonts w:hint="eastAsia" w:ascii="仿宋_GB2312" w:hAnsi="仿宋_GB2312" w:eastAsia="仿宋_GB2312" w:cs="仿宋_GB2312"/>
                <w:kern w:val="28"/>
                <w:sz w:val="24"/>
                <w:szCs w:val="24"/>
              </w:rPr>
              <w:t>。</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供应商应于提交投标文件截止时间前按照第三部分“采购需求”中的要求向采购代理机构提交相应演示视频文件。</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提交方式：线下提供，载体U盘，也可和备份响应文件一同提交。演示视频文件提交后将不予退回。</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送达地点：</w:t>
            </w:r>
            <w:r>
              <w:rPr>
                <w:rFonts w:hint="eastAsia" w:ascii="仿宋_GB2312" w:hAnsi="仿宋_GB2312" w:eastAsia="仿宋_GB2312" w:cs="仿宋_GB2312"/>
                <w:kern w:val="28"/>
                <w:sz w:val="24"/>
                <w:szCs w:val="24"/>
                <w:u w:val="single"/>
              </w:rPr>
              <w:t xml:space="preserve"> 浙江省杭州市拱墅区河东路215号D楼2楼招标商务部 </w:t>
            </w:r>
            <w:r>
              <w:rPr>
                <w:rFonts w:hint="eastAsia" w:ascii="仿宋_GB2312" w:hAnsi="仿宋_GB2312" w:eastAsia="仿宋_GB2312" w:cs="仿宋_GB2312"/>
                <w:kern w:val="28"/>
                <w:sz w:val="24"/>
                <w:szCs w:val="24"/>
              </w:rPr>
              <w:t>；签收人员联系电话：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奚睿</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18580873658</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28"/>
                <w:sz w:val="24"/>
                <w:szCs w:val="24"/>
              </w:rPr>
              <w:t>。送达时间以签收人签收时间为准。采购代理机构将拒绝接受逾期送达的演示视频文件。邮寄过程中，演示视频文件发生泄露、遗失、损坏或延期送达等情况的，由供应商自行负责。</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评标委员会将按照第四部分“评标</w:t>
            </w:r>
            <w:r>
              <w:rPr>
                <w:rFonts w:hint="eastAsia" w:ascii="仿宋_GB2312" w:hAnsi="仿宋_GB2312" w:eastAsia="仿宋_GB2312" w:cs="仿宋_GB2312"/>
                <w:kern w:val="28"/>
                <w:sz w:val="24"/>
                <w:szCs w:val="24"/>
                <w:lang w:val="en-US" w:eastAsia="zh-CN"/>
              </w:rPr>
              <w:t>办</w:t>
            </w:r>
            <w:r>
              <w:rPr>
                <w:rFonts w:hint="eastAsia" w:ascii="仿宋_GB2312" w:hAnsi="仿宋_GB2312" w:eastAsia="仿宋_GB2312" w:cs="仿宋_GB2312"/>
                <w:kern w:val="28"/>
                <w:sz w:val="24"/>
                <w:szCs w:val="24"/>
              </w:rPr>
              <w:t>法”中的规定对演示视频进行比较与评价。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b/>
                <w:sz w:val="24"/>
              </w:rPr>
              <w:t>分包或转包</w:t>
            </w:r>
          </w:p>
        </w:tc>
        <w:tc>
          <w:tcPr>
            <w:tcW w:w="657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▲1.本项目内容不得转包：供应商不得将本合同标的转包由其他单位承担；</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▲2.本项目部分内容允许分包，要求如下：</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（1）分包内容为本项目的非主体、非关键性工作；</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（2）向</w:t>
            </w:r>
            <w:r>
              <w:rPr>
                <w:rFonts w:hint="eastAsia" w:ascii="仿宋_GB2312" w:hAnsi="仿宋_GB2312" w:eastAsia="仿宋_GB2312" w:cs="仿宋_GB2312"/>
                <w:kern w:val="0"/>
                <w:sz w:val="24"/>
                <w:lang w:val="en-US" w:eastAsia="zh-CN"/>
              </w:rPr>
              <w:t>中</w:t>
            </w:r>
            <w:r>
              <w:rPr>
                <w:rFonts w:hint="eastAsia" w:ascii="仿宋_GB2312" w:hAnsi="仿宋_GB2312" w:eastAsia="仿宋_GB2312" w:cs="仿宋_GB2312"/>
                <w:kern w:val="0"/>
                <w:sz w:val="24"/>
              </w:rPr>
              <w:t>小微企业分包的金额不得高于合同金额的30%；</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（3）分包供应商应具有完成项目内容的相应能力；</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（4）除招标文件约定允许分包的内容外，供应商不得擅自将其他合同标的分包给其他供应商承担。</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说明：供应商如有分包，应在投标文件中明确分包内容，并提供分包意向协议。未提供，视为不分包。</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▲3.享受《政府采购促进中小企业发展管理办法》的通知（财库〔2020〕46号）的规定扶持政策获得政府采购合同的，小微企业不得将合同分包给大中型企业，中型企业不得将合同分包给大型企业。</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▲4.如有违反以上情形，采购人有权解除合同，并追究供应商的违约责任。</w:t>
            </w:r>
          </w:p>
        </w:tc>
      </w:tr>
    </w:tbl>
    <w:p>
      <w:pPr>
        <w:snapToGrid w:val="0"/>
        <w:spacing w:line="360" w:lineRule="auto"/>
        <w:jc w:val="center"/>
        <w:rPr>
          <w:rFonts w:ascii="仿宋_GB2312" w:hAnsi="仿宋_GB2312" w:eastAsia="仿宋_GB2312" w:cs="仿宋_GB2312"/>
          <w:b/>
          <w:sz w:val="32"/>
          <w:szCs w:val="20"/>
        </w:rPr>
      </w:pPr>
    </w:p>
    <w:bookmarkEnd w:id="10"/>
    <w:p>
      <w:pPr>
        <w:rPr>
          <w:rFonts w:ascii="仿宋_GB2312" w:hAnsi="仿宋_GB2312" w:eastAsia="仿宋_GB2312" w:cs="仿宋_GB2312"/>
          <w:b/>
          <w:sz w:val="32"/>
          <w:szCs w:val="20"/>
        </w:rPr>
      </w:pPr>
      <w:bookmarkStart w:id="11" w:name="_Toc164416483"/>
      <w:bookmarkStart w:id="12" w:name="第三部分"/>
      <w:r>
        <w:rPr>
          <w:rFonts w:hint="eastAsia" w:ascii="仿宋_GB2312" w:hAnsi="仿宋_GB2312" w:eastAsia="仿宋_GB2312" w:cs="仿宋_GB2312"/>
          <w:b/>
          <w:sz w:val="32"/>
          <w:szCs w:val="20"/>
        </w:rPr>
        <w:br w:type="page"/>
      </w:r>
    </w:p>
    <w:p>
      <w:pPr>
        <w:adjustRightInd/>
        <w:spacing w:before="240" w:beforeLines="100"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一、总则</w:t>
      </w:r>
    </w:p>
    <w:p>
      <w:pPr>
        <w:adjustRightInd/>
        <w:spacing w:line="440" w:lineRule="exact"/>
        <w:ind w:firstLine="361" w:firstLineChars="150"/>
        <w:jc w:val="left"/>
        <w:rPr>
          <w:rFonts w:ascii="仿宋_GB2312" w:hAnsi="仿宋_GB2312" w:eastAsia="仿宋_GB2312" w:cs="仿宋_GB2312"/>
          <w:b/>
          <w:sz w:val="24"/>
        </w:rPr>
      </w:pPr>
      <w:r>
        <w:rPr>
          <w:rFonts w:hint="eastAsia" w:ascii="仿宋_GB2312" w:hAnsi="仿宋_GB2312" w:eastAsia="仿宋_GB2312" w:cs="仿宋_GB2312"/>
          <w:b/>
          <w:sz w:val="24"/>
        </w:rPr>
        <w:t>1. 适用范围</w:t>
      </w:r>
    </w:p>
    <w:p>
      <w:pPr>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pPr>
        <w:adjustRightInd/>
        <w:spacing w:line="440" w:lineRule="exact"/>
        <w:ind w:firstLine="361" w:firstLineChars="150"/>
        <w:jc w:val="left"/>
        <w:rPr>
          <w:rFonts w:ascii="仿宋_GB2312" w:hAnsi="仿宋_GB2312" w:eastAsia="仿宋_GB2312" w:cs="仿宋_GB2312"/>
          <w:b/>
          <w:sz w:val="24"/>
        </w:rPr>
      </w:pPr>
      <w:r>
        <w:rPr>
          <w:rFonts w:hint="eastAsia" w:ascii="仿宋_GB2312" w:hAnsi="仿宋_GB2312" w:eastAsia="仿宋_GB2312" w:cs="仿宋_GB2312"/>
          <w:b/>
          <w:sz w:val="24"/>
        </w:rPr>
        <w:t>2. 定义</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 “采购代理机构”系指招标公告中载明的本项目的采购代理机构。</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 “电子交易平台”是指本项目政府采购活动所依托的政府采购云平台（https://www.zcygov.cn/）。</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 “▲”系指实质性要求条款，“</w:t>
      </w:r>
      <w:sdt>
        <w:sdtPr>
          <w:rPr>
            <w:rFonts w:hint="eastAsia" w:ascii="仿宋_GB2312" w:hAnsi="仿宋_GB2312" w:eastAsia="仿宋_GB2312" w:cs="仿宋_GB2312"/>
            <w:kern w:val="0"/>
            <w:sz w:val="24"/>
          </w:rPr>
          <w:id w:val="51297023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Wingdings" w:hAnsi="Wingdings" w:eastAsia="仿宋_GB2312" w:cs="仿宋_GB2312"/>
              <w:kern w:val="0"/>
              <w:sz w:val="24"/>
            </w:rPr>
            <w:t>þ</w:t>
          </w:r>
        </w:sdtContent>
      </w:sdt>
      <w:r>
        <w:rPr>
          <w:rFonts w:hint="eastAsia" w:ascii="仿宋_GB2312" w:hAnsi="仿宋_GB2312" w:eastAsia="仿宋_GB2312" w:cs="仿宋_GB2312"/>
          <w:sz w:val="24"/>
        </w:rPr>
        <w:t>”系指适用本项目的要求，“</w:t>
      </w:r>
      <w:sdt>
        <w:sdtPr>
          <w:rPr>
            <w:rFonts w:hint="eastAsia" w:ascii="仿宋_GB2312" w:hAnsi="仿宋_GB2312" w:eastAsia="仿宋_GB2312" w:cs="仿宋_GB2312"/>
            <w:kern w:val="0"/>
            <w:sz w:val="24"/>
          </w:rPr>
          <w:id w:val="404888855"/>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”系指不适用本项目的要求。</w:t>
      </w:r>
    </w:p>
    <w:p>
      <w:pPr>
        <w:adjustRightInd/>
        <w:spacing w:line="440" w:lineRule="exact"/>
        <w:ind w:firstLine="361" w:firstLineChars="150"/>
        <w:jc w:val="left"/>
        <w:rPr>
          <w:rFonts w:ascii="仿宋_GB2312" w:hAnsi="仿宋_GB2312" w:eastAsia="仿宋_GB2312" w:cs="仿宋_GB2312"/>
          <w:b/>
          <w:sz w:val="24"/>
        </w:rPr>
      </w:pPr>
      <w:r>
        <w:rPr>
          <w:rFonts w:hint="eastAsia" w:ascii="仿宋_GB2312" w:hAnsi="仿宋_GB2312" w:eastAsia="仿宋_GB2312" w:cs="仿宋_GB2312"/>
          <w:b/>
          <w:sz w:val="24"/>
        </w:rPr>
        <w:t>3. 采购项目需要落实的政府采购政策</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 支持绿色发展</w:t>
      </w:r>
    </w:p>
    <w:p>
      <w:pPr>
        <w:adjustRightInd/>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 支持中小企业发展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3.3.2 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以联合体形式参加政府采购活动，联合体各方均为中小企业的，联合体视同中小企业。其中，联合体各方均为小微企业的，联合体视同小微企业。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3.3.4 符合《关于促进残疾人就业政府采购政策的通知》（财库〔2017〕141号）规定的条件并提供《残疾人福利性单位声明函》（附件1）的残疾人福利性单位视同小型、微型企业；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3.3.7 中小企业享受扶持政策获得政府采购合同的，小微企业不得将合同分包给大中型企业，中型企业不得将合同分包给大型企业。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3.4 </w:t>
      </w:r>
      <w:r>
        <w:rPr>
          <w:rFonts w:hint="eastAsia" w:ascii="仿宋_GB2312" w:hAnsi="仿宋_GB2312" w:eastAsia="仿宋_GB2312" w:cs="仿宋_GB2312"/>
          <w:bCs/>
          <w:sz w:val="24"/>
        </w:rPr>
        <w:t>支持创新发展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3.4.2</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3.5 平等对待内外资企业和符合条件的破产重整企业</w:t>
      </w:r>
    </w:p>
    <w:p>
      <w:pPr>
        <w:adjustRightInd/>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平等对待内外资企业和符合条件的破产重整企业，切实保障企业公平竞争，平等维护企业的合法利益。</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 xml:space="preserve">2 </w:t>
      </w:r>
      <w:r>
        <w:rPr>
          <w:rFonts w:hint="eastAsia" w:ascii="仿宋_GB2312" w:hAnsi="仿宋_GB2312" w:eastAsia="仿宋_GB2312" w:cs="仿宋_GB2312"/>
          <w:kern w:val="0"/>
          <w:sz w:val="24"/>
          <w:lang w:val="zh-CN"/>
        </w:rPr>
        <w:t>供应商询问</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 xml:space="preserve">3 </w:t>
      </w:r>
      <w:r>
        <w:rPr>
          <w:rFonts w:hint="eastAsia" w:ascii="仿宋_GB2312" w:hAnsi="仿宋_GB2312" w:eastAsia="仿宋_GB2312" w:cs="仿宋_GB2312"/>
          <w:kern w:val="0"/>
          <w:sz w:val="24"/>
          <w:lang w:val="zh-CN"/>
        </w:rPr>
        <w:t>供应商质疑</w:t>
      </w:r>
    </w:p>
    <w:p>
      <w:pPr>
        <w:pStyle w:val="32"/>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3</w:t>
      </w:r>
      <w:r>
        <w:rPr>
          <w:rFonts w:hint="eastAsia" w:ascii="仿宋_GB2312" w:hAnsi="仿宋_GB2312" w:eastAsia="仿宋_GB2312" w:cs="仿宋_GB2312"/>
          <w:sz w:val="24"/>
        </w:rPr>
        <w:t>.1 提出质疑的供应商应当是参与所质疑项目采购活动的供应商。潜在供应商已依法获取其可质疑的招标文件的，可以对该文件提出质疑。</w:t>
      </w:r>
    </w:p>
    <w:p>
      <w:pPr>
        <w:pStyle w:val="32"/>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3</w:t>
      </w:r>
      <w:r>
        <w:rPr>
          <w:rFonts w:hint="eastAsia" w:ascii="仿宋_GB2312" w:hAnsi="仿宋_GB2312" w:eastAsia="仿宋_GB2312" w:cs="仿宋_GB2312"/>
          <w:sz w:val="24"/>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4.3.2.1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对招标文件提出质疑的，质疑期限为供应商获得招标文件之日或者招标文件公告期限届满之日起计算。</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4.3.2.2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对采购过程提出质疑的，质疑期限为各采购程序环节结束之日起计算。</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4.3.2.3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对采购结果提出质疑的，质疑期限自采购结果公告期限届满之日起计算。</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供应商提出质疑应当提交质疑函和必要的证明材料。质疑函应当包括下列内容：</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供应商的姓名或者名称、地址、邮编、联系人及联系电话；</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质疑项目的名称、编号；</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具体、明确的质疑事项和与质疑事项相关的请求；</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4.3.3.4</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事实依据；</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4.3.3.5</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必要的法律依据；</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4.3.3.6</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提出质疑的日期。</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4.3.4 对同一采购程序环节的质疑，供应商须在法定质疑期内一次性提出。</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lang w:val="zh-CN"/>
        </w:rPr>
        <w:t>4.</w:t>
      </w:r>
      <w:r>
        <w:rPr>
          <w:rFonts w:hint="eastAsia" w:ascii="仿宋_GB2312" w:hAnsi="仿宋_GB2312" w:eastAsia="仿宋_GB2312" w:cs="仿宋_GB2312"/>
        </w:rPr>
        <w:t>3.5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lang w:val="zh-CN"/>
        </w:rPr>
        <w:t>4.</w:t>
      </w:r>
      <w:r>
        <w:rPr>
          <w:rFonts w:hint="eastAsia" w:ascii="仿宋_GB2312" w:hAnsi="仿宋_GB2312" w:eastAsia="仿宋_GB2312" w:cs="仿宋_GB2312"/>
        </w:rPr>
        <w:t>3.6 询问或者质疑事项可能影响采购结果的，采购人应当暂停签订合同，已经签订合同的，应当中止履行合同。</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lang w:val="zh-CN"/>
        </w:rPr>
      </w:pPr>
      <w:r>
        <w:rPr>
          <w:rFonts w:hint="eastAsia" w:ascii="仿宋_GB2312" w:hAnsi="仿宋_GB2312" w:eastAsia="仿宋_GB2312" w:cs="仿宋_GB2312"/>
          <w:lang w:val="zh-CN"/>
        </w:rPr>
        <w:t>4.</w:t>
      </w:r>
      <w:r>
        <w:rPr>
          <w:rFonts w:hint="eastAsia" w:ascii="仿宋_GB2312" w:hAnsi="仿宋_GB2312" w:eastAsia="仿宋_GB2312" w:cs="仿宋_GB2312"/>
        </w:rPr>
        <w:t xml:space="preserve">4 </w:t>
      </w:r>
      <w:r>
        <w:rPr>
          <w:rFonts w:hint="eastAsia" w:ascii="仿宋_GB2312" w:hAnsi="仿宋_GB2312" w:eastAsia="仿宋_GB2312" w:cs="仿宋_GB2312"/>
          <w:lang w:val="zh-CN"/>
        </w:rPr>
        <w:t>供应商投诉</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4.4.1 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lang w:val="zh-CN"/>
        </w:rPr>
        <w:t>2</w:t>
      </w:r>
      <w:r>
        <w:rPr>
          <w:rFonts w:hint="eastAsia" w:ascii="仿宋_GB2312" w:hAnsi="仿宋_GB2312" w:eastAsia="仿宋_GB2312" w:cs="仿宋_GB2312"/>
        </w:rPr>
        <w:t xml:space="preserve"> 供应商投诉的事项不得超出已质疑事项的范围，基于质疑答复内容提出的投诉事项除外。</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4.4.3 供应商投诉应当有明确的请求和必要的证明材料。</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4.4.4 以联合体形式参加政府采购活动的，其投诉应当由组成联合体的所有供应商共同提出。</w:t>
      </w:r>
    </w:p>
    <w:p>
      <w:pPr>
        <w:pStyle w:val="889"/>
        <w:shd w:val="clear" w:color="auto" w:fill="FFFFFF"/>
        <w:spacing w:before="0" w:beforeAutospacing="0" w:after="0" w:afterAutospacing="0" w:line="440" w:lineRule="exact"/>
        <w:ind w:firstLine="480" w:firstLineChars="200"/>
        <w:contextualSpacing/>
        <w:rPr>
          <w:rFonts w:hint="eastAsia" w:ascii="仿宋_GB2312" w:hAnsi="仿宋_GB2312" w:eastAsia="仿宋_GB2312" w:cs="仿宋_GB2312"/>
          <w:lang w:val="en-US" w:eastAsia="zh-CN"/>
        </w:rPr>
      </w:pPr>
      <w:r>
        <w:rPr>
          <w:rFonts w:hint="eastAsia" w:ascii="仿宋_GB2312" w:hAnsi="仿宋_GB2312" w:eastAsia="仿宋_GB2312" w:cs="仿宋_GB2312"/>
        </w:rPr>
        <w:t>4.4.5 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r>
        <w:rPr>
          <w:rFonts w:hint="eastAsia" w:ascii="仿宋_GB2312" w:hAnsi="仿宋_GB2312" w:eastAsia="仿宋_GB2312" w:cs="仿宋_GB2312"/>
          <w:lang w:eastAsia="zh-CN"/>
        </w:rPr>
        <w:t>。</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131"/>
        <w:adjustRightInd/>
        <w:spacing w:before="0" w:line="440" w:lineRule="exact"/>
        <w:ind w:firstLine="360"/>
        <w:rPr>
          <w:rFonts w:ascii="仿宋_GB2312" w:hAnsi="仿宋_GB2312" w:eastAsia="仿宋_GB2312" w:cs="仿宋_GB2312"/>
          <w:sz w:val="18"/>
          <w:szCs w:val="18"/>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二、招标文件的构成、澄清、修改</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2"/>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5.1.1 招标公告；</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5.1.2 投标人须知；</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5.1.3 采购需求；</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5.1.4 评标</w:t>
      </w:r>
      <w:r>
        <w:rPr>
          <w:rFonts w:hint="eastAsia" w:ascii="仿宋_GB2312" w:hAnsi="仿宋_GB2312" w:eastAsia="仿宋_GB2312" w:cs="仿宋_GB2312"/>
          <w:sz w:val="24"/>
          <w:szCs w:val="24"/>
          <w:lang w:val="en-US" w:eastAsia="zh-CN"/>
        </w:rPr>
        <w:t>办</w:t>
      </w:r>
      <w:r>
        <w:rPr>
          <w:rFonts w:hint="eastAsia" w:ascii="仿宋_GB2312" w:hAnsi="仿宋_GB2312" w:eastAsia="仿宋_GB2312" w:cs="仿宋_GB2312"/>
          <w:sz w:val="24"/>
          <w:szCs w:val="24"/>
        </w:rPr>
        <w:t>法；</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5.1.5 拟签订的合同文本；</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rPr>
        <w:t xml:space="preserve">5.1.6 </w:t>
      </w:r>
      <w:r>
        <w:rPr>
          <w:rFonts w:hint="eastAsia" w:ascii="仿宋_GB2312" w:hAnsi="仿宋_GB2312" w:eastAsia="仿宋_GB2312" w:cs="仿宋_GB2312"/>
          <w:sz w:val="24"/>
          <w:szCs w:val="24"/>
        </w:rPr>
        <w:t>应提交的有关格式范例。</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 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6.1 已获取招标文件的潜在投标人，若有问题需要澄清，应于投标截止时间前，以书面形式向采购代理机构提出。</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adjustRightInd/>
        <w:spacing w:line="440" w:lineRule="exact"/>
        <w:rPr>
          <w:rFonts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三、投标</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8. 开标前答疑会或现场考察</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采购人组织潜在投标人现场考察或者召开开标前答疑会的，潜在投标人按第二部分投标人须知前附表的规定参加现场考察或者开标前答疑会。</w:t>
      </w:r>
    </w:p>
    <w:p>
      <w:pPr>
        <w:pStyle w:val="32"/>
        <w:adjustRightInd/>
        <w:spacing w:line="440" w:lineRule="exact"/>
        <w:rPr>
          <w:rFonts w:ascii="仿宋_GB2312" w:hAnsi="仿宋_GB2312" w:eastAsia="仿宋_GB2312" w:cs="仿宋_GB2312"/>
          <w:b/>
          <w:szCs w:val="24"/>
        </w:rPr>
      </w:pPr>
      <w:r>
        <w:rPr>
          <w:rFonts w:hint="eastAsia" w:ascii="仿宋_GB2312" w:hAnsi="仿宋_GB2312" w:eastAsia="仿宋_GB2312" w:cs="仿宋_GB2312"/>
          <w:b/>
          <w:kern w:val="28"/>
          <w:sz w:val="24"/>
          <w:szCs w:val="24"/>
        </w:rPr>
        <w:t>9. 投标保证金</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本项目不需缴纳投标保证金。</w:t>
      </w:r>
    </w:p>
    <w:p>
      <w:pPr>
        <w:pStyle w:val="32"/>
        <w:adjustRightInd/>
        <w:spacing w:line="440" w:lineRule="exact"/>
        <w:rPr>
          <w:rFonts w:ascii="仿宋_GB2312" w:hAnsi="仿宋_GB2312" w:eastAsia="仿宋_GB2312" w:cs="仿宋_GB2312"/>
          <w:b/>
          <w:kern w:val="28"/>
          <w:sz w:val="24"/>
          <w:szCs w:val="24"/>
        </w:rPr>
      </w:pPr>
      <w:r>
        <w:rPr>
          <w:rFonts w:hint="eastAsia" w:ascii="仿宋_GB2312" w:hAnsi="仿宋_GB2312" w:eastAsia="仿宋_GB2312" w:cs="仿宋_GB2312"/>
          <w:b/>
          <w:kern w:val="28"/>
          <w:sz w:val="24"/>
          <w:szCs w:val="24"/>
        </w:rPr>
        <w:t>10. 投标文件的语言</w:t>
      </w:r>
    </w:p>
    <w:p>
      <w:pPr>
        <w:adjustRightInd/>
        <w:spacing w:line="440" w:lineRule="exact"/>
        <w:ind w:firstLine="480" w:firstLineChars="200"/>
        <w:rPr>
          <w:rFonts w:ascii="仿宋_GB2312" w:hAnsi="仿宋_GB2312" w:eastAsia="仿宋_GB2312" w:cs="仿宋_GB2312"/>
          <w:snapToGrid w:val="0"/>
          <w:kern w:val="28"/>
          <w:sz w:val="24"/>
          <w:lang w:val="zh-CN"/>
        </w:rPr>
      </w:pPr>
      <w:r>
        <w:rPr>
          <w:rFonts w:hint="eastAsia" w:ascii="仿宋_GB2312" w:hAnsi="仿宋_GB2312" w:eastAsia="仿宋_GB2312" w:cs="仿宋_GB2312"/>
          <w:snapToGrid w:val="0"/>
          <w:kern w:val="28"/>
          <w:sz w:val="24"/>
        </w:rPr>
        <w:t>投标文件及投标人与采购有关的来往通知、函件和文件均应使用中文。</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adjustRightInd/>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11.1 资格文件：</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11.1.1 符合参加政府采购活动应当具备的一般条件的承诺函；</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11.1.2 落实政府采购政策需满足的资格要求；</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11.1.3 本项目的特定资格要求（如果有）。</w:t>
      </w:r>
    </w:p>
    <w:p>
      <w:pPr>
        <w:adjustRightInd/>
        <w:spacing w:line="440" w:lineRule="exact"/>
        <w:ind w:firstLine="482" w:firstLineChars="200"/>
        <w:rPr>
          <w:rFonts w:ascii="仿宋_GB2312" w:hAnsi="仿宋_GB2312" w:eastAsia="仿宋_GB2312" w:cs="仿宋_GB2312"/>
          <w:b/>
          <w:bCs/>
          <w:sz w:val="24"/>
          <w:lang w:val="zh-CN"/>
        </w:rPr>
      </w:pPr>
      <w:r>
        <w:rPr>
          <w:rFonts w:hint="eastAsia" w:ascii="仿宋_GB2312" w:hAnsi="仿宋_GB2312" w:eastAsia="仿宋_GB2312" w:cs="仿宋_GB2312"/>
          <w:b/>
          <w:bCs/>
          <w:sz w:val="24"/>
          <w:lang w:val="zh-CN"/>
        </w:rPr>
        <w:t>11.</w:t>
      </w:r>
      <w:r>
        <w:rPr>
          <w:rFonts w:hint="eastAsia" w:ascii="仿宋_GB2312" w:hAnsi="仿宋_GB2312" w:eastAsia="仿宋_GB2312" w:cs="仿宋_GB2312"/>
          <w:b/>
          <w:bCs/>
          <w:sz w:val="24"/>
        </w:rPr>
        <w:t>2 商务技术</w:t>
      </w:r>
      <w:r>
        <w:rPr>
          <w:rFonts w:hint="eastAsia" w:ascii="仿宋_GB2312" w:hAnsi="仿宋_GB2312" w:eastAsia="仿宋_GB2312" w:cs="仿宋_GB2312"/>
          <w:b/>
          <w:bCs/>
          <w:sz w:val="24"/>
          <w:lang w:val="zh-CN"/>
        </w:rPr>
        <w:t>文件：</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11.2.1 投标函；</w:t>
      </w:r>
      <w:r>
        <w:rPr>
          <w:rFonts w:hint="eastAsia" w:ascii="仿宋_GB2312" w:hAnsi="仿宋_GB2312" w:eastAsia="仿宋_GB2312" w:cs="仿宋_GB2312"/>
          <w:sz w:val="24"/>
          <w:lang w:val="zh-CN"/>
        </w:rPr>
        <w:t xml:space="preserve">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11.2.2 授权委托书或法定代表人（单位负责人、自然人本人）身份证明；</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11.2.3 分包意向协议（如果有）；</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11.2.4 符合性审查资料；</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11.2.5 评标标准相应的商务技术资料；</w:t>
      </w:r>
    </w:p>
    <w:p>
      <w:pPr>
        <w:adjustRightInd/>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11.2.6 投标标的清单；</w:t>
      </w:r>
    </w:p>
    <w:p>
      <w:pPr>
        <w:adjustRightInd/>
        <w:spacing w:line="4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 xml:space="preserve">11.2.7 </w:t>
      </w:r>
      <w:r>
        <w:rPr>
          <w:rFonts w:hint="eastAsia" w:ascii="仿宋_GB2312" w:hAnsi="仿宋_GB2312" w:eastAsia="仿宋_GB2312" w:cs="仿宋_GB2312"/>
          <w:sz w:val="24"/>
        </w:rPr>
        <w:t>拟投入本项目的服务团队情况表</w:t>
      </w:r>
      <w:r>
        <w:rPr>
          <w:rFonts w:hint="eastAsia" w:ascii="仿宋_GB2312" w:hAnsi="仿宋_GB2312" w:eastAsia="仿宋_GB2312" w:cs="仿宋_GB2312"/>
          <w:sz w:val="24"/>
          <w:lang w:eastAsia="zh-CN"/>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xml:space="preserve"> 商务技术偏离表；</w:t>
      </w:r>
    </w:p>
    <w:p>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政府采购供应商廉洁自律承诺书。</w:t>
      </w:r>
    </w:p>
    <w:p>
      <w:pPr>
        <w:adjustRightInd/>
        <w:spacing w:line="440" w:lineRule="exact"/>
        <w:ind w:firstLine="482" w:firstLineChars="200"/>
        <w:rPr>
          <w:rFonts w:ascii="仿宋_GB2312" w:hAnsi="仿宋_GB2312" w:eastAsia="仿宋_GB2312" w:cs="仿宋_GB2312"/>
          <w:b/>
          <w:bCs/>
          <w:sz w:val="24"/>
          <w:lang w:val="zh-CN"/>
        </w:rPr>
      </w:pPr>
      <w:r>
        <w:rPr>
          <w:rFonts w:hint="eastAsia" w:ascii="仿宋_GB2312" w:hAnsi="仿宋_GB2312" w:eastAsia="仿宋_GB2312" w:cs="仿宋_GB2312"/>
          <w:b/>
          <w:bCs/>
          <w:sz w:val="24"/>
          <w:lang w:val="zh-CN"/>
        </w:rPr>
        <w:t>11.3</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bCs/>
          <w:sz w:val="24"/>
          <w:lang w:val="zh-CN"/>
        </w:rPr>
        <w:t xml:space="preserve">报价文件：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11.3.1 开标一览表（报价表）。</w:t>
      </w:r>
    </w:p>
    <w:p>
      <w:pPr>
        <w:adjustRightInd/>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pPr>
        <w:adjustRightInd/>
        <w:spacing w:line="440" w:lineRule="exact"/>
        <w:ind w:firstLine="482" w:firstLineChars="200"/>
        <w:rPr>
          <w:rFonts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pPr>
        <w:adjustRightInd/>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kern w:val="0"/>
          <w:sz w:val="24"/>
          <w:lang w:val="zh-CN"/>
        </w:rPr>
        <w:t>12.1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使用“政采云电子交易客户端”需要提前申领CA数字证书，申领流程请自行前往“浙江政府采购网-下载专区-电子交易客户端-CA驱动和申领流程”进行查阅。</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13. 投标文件的签署、盖章</w:t>
      </w:r>
    </w:p>
    <w:p>
      <w:pPr>
        <w:pStyle w:val="131"/>
        <w:adjustRightInd/>
        <w:spacing w:before="0" w:line="440" w:lineRule="exact"/>
        <w:ind w:firstLine="480"/>
        <w:rPr>
          <w:rFonts w:ascii="仿宋_GB2312" w:hAnsi="仿宋_GB2312" w:eastAsia="仿宋_GB2312" w:cs="仿宋_GB2312"/>
          <w:b/>
        </w:rPr>
      </w:pPr>
      <w:r>
        <w:rPr>
          <w:rFonts w:hint="eastAsia" w:ascii="仿宋_GB2312" w:hAnsi="仿宋_GB2312" w:eastAsia="仿宋_GB2312" w:cs="仿宋_GB2312"/>
          <w:szCs w:val="24"/>
        </w:rPr>
        <w:t>13.1 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13.2 为确保网上操作合法、有效和安全，投标人应当在投标截止时间前完成在“政府采购云平台”的身份认证，确保在电子投标过程中能够对相关数据电文进行加密和使用电子签名。</w:t>
      </w:r>
    </w:p>
    <w:p>
      <w:pPr>
        <w:pStyle w:val="131"/>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rPr>
        <w:t>13.3 招标文件对投标文件签署、盖章的要求适用于电子签名。</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131"/>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14.2 电子交易平台收到投标文件，将妥善保存并即时向供应商发出确认回执通知。在投标截止时间前，除供应商补充、修改或者撤回投标文件外，任何单位和个人不得解密或提取投标文件。</w:t>
      </w:r>
    </w:p>
    <w:p>
      <w:pPr>
        <w:pStyle w:val="131"/>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14.3 采购人、采购代理机构可以视情况延长投标文件提交的截止时间。在上述情况下，采购代理机构与投标人以前在投标截止期方面的全部权利、责任和义务，将适用于延长至新的投标截止期。</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15. 备份投标文件</w:t>
      </w:r>
    </w:p>
    <w:p>
      <w:pPr>
        <w:pStyle w:val="32"/>
        <w:adjustRightInd/>
        <w:spacing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15.1 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但采购人、采购代理机构不强制或变相强制投标人提交备份投标文件。</w:t>
      </w:r>
    </w:p>
    <w:p>
      <w:pPr>
        <w:pStyle w:val="32"/>
        <w:adjustRightInd/>
        <w:spacing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15.2 备份投标文件须在“政采云投标客户端”制作生成，并储存在</w:t>
      </w:r>
      <w:r>
        <w:rPr>
          <w:rFonts w:hint="eastAsia" w:ascii="仿宋_GB2312" w:hAnsi="仿宋_GB2312" w:eastAsia="仿宋_GB2312" w:cs="仿宋_GB2312"/>
          <w:sz w:val="24"/>
        </w:rPr>
        <w:t>DVD光盘或U盘</w:t>
      </w:r>
      <w:r>
        <w:rPr>
          <w:rFonts w:hint="eastAsia" w:ascii="仿宋_GB2312" w:hAnsi="仿宋_GB2312" w:eastAsia="仿宋_GB2312" w:cs="仿宋_GB2312"/>
          <w:sz w:val="24"/>
          <w:szCs w:val="24"/>
        </w:rPr>
        <w:t>中。备份投标文件应当密封包装并在包装上加盖公章并注明投标项目名称，投标人名称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2"/>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15.3 直接提交备份投标文件的，投标人应于投标截止时间前在招标公告中载明的开标地点将备份投标文件提交给采购代理机构，采购代理机构将拒绝接受逾期送达的备份投标文件。</w:t>
      </w:r>
    </w:p>
    <w:p>
      <w:pPr>
        <w:pStyle w:val="32"/>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15.4 以邮政快递方式递交备份投标文件的，投标人应先将备份投标文件按要求密封和标记，再进行邮政快递包装后邮寄。备份投标文件须在投标截止时间之前送达招标文件第二部分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投标人须知前附表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adjustRightInd/>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15.5 投标人仅提交备份投标文件，未在电子交易平台传输递交投标文件的，投标无效。</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16. 投标文件的无效处理</w:t>
      </w:r>
    </w:p>
    <w:p>
      <w:pPr>
        <w:pStyle w:val="24"/>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存在招标文件第四部分第4.2项规定的情形之一的，投标无效。</w:t>
      </w:r>
    </w:p>
    <w:p>
      <w:pPr>
        <w:pStyle w:val="131"/>
        <w:numPr>
          <w:ilvl w:val="0"/>
          <w:numId w:val="1"/>
        </w:numPr>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投标有效期</w:t>
      </w:r>
    </w:p>
    <w:p>
      <w:pPr>
        <w:adjustRightInd/>
        <w:spacing w:line="440" w:lineRule="exact"/>
        <w:ind w:firstLine="480" w:firstLineChars="200"/>
        <w:rPr>
          <w:rFonts w:ascii="仿宋_GB2312" w:hAnsi="仿宋_GB2312" w:eastAsia="仿宋_GB2312" w:cs="仿宋_GB2312"/>
          <w:b/>
          <w:sz w:val="24"/>
          <w:szCs w:val="21"/>
        </w:rPr>
      </w:pPr>
      <w:r>
        <w:rPr>
          <w:rFonts w:hint="eastAsia" w:ascii="仿宋_GB2312" w:hAnsi="仿宋_GB2312" w:eastAsia="仿宋_GB2312" w:cs="仿宋_GB2312"/>
          <w:sz w:val="24"/>
          <w:szCs w:val="20"/>
        </w:rPr>
        <w:t>17.1 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17.2 投标文件合格投递后，自投标截止日期起，在投标有效期内有效。</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17.3 在原定投标有效期满之前，如果出现特殊情况，采购代理机构可以以书面形式通知投标人延长投标有效期。投标人同意延长的，不得要求或被允许修改其投标文件，投标人拒绝延长的，其投标无效。</w:t>
      </w:r>
    </w:p>
    <w:p>
      <w:pPr>
        <w:pStyle w:val="131"/>
        <w:adjustRightInd/>
        <w:spacing w:before="0" w:line="440" w:lineRule="exact"/>
        <w:ind w:firstLine="643"/>
        <w:rPr>
          <w:rFonts w:ascii="仿宋_GB2312" w:hAnsi="仿宋_GB2312" w:eastAsia="仿宋_GB2312" w:cs="仿宋_GB2312"/>
          <w:b/>
          <w:sz w:val="32"/>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四、开标、资格审查与信用信息查询</w:t>
      </w:r>
    </w:p>
    <w:p>
      <w:pPr>
        <w:pStyle w:val="557"/>
        <w:adjustRightInd/>
        <w:spacing w:before="0" w:line="440" w:lineRule="exact"/>
        <w:ind w:left="0" w:firstLine="241" w:firstLineChars="100"/>
        <w:contextualSpacing/>
        <w:rPr>
          <w:rFonts w:ascii="仿宋_GB2312" w:hAnsi="仿宋_GB2312" w:eastAsia="仿宋_GB2312" w:cs="仿宋_GB2312"/>
          <w:sz w:val="24"/>
        </w:rPr>
      </w:pPr>
      <w:r>
        <w:rPr>
          <w:rFonts w:hint="eastAsia" w:ascii="仿宋_GB2312" w:hAnsi="仿宋_GB2312" w:eastAsia="仿宋_GB2312" w:cs="仿宋_GB2312"/>
          <w:b/>
          <w:sz w:val="24"/>
          <w:szCs w:val="24"/>
        </w:rPr>
        <w:t>18. 开标</w:t>
      </w:r>
      <w:r>
        <w:rPr>
          <w:rFonts w:hint="eastAsia" w:ascii="仿宋_GB2312" w:hAnsi="仿宋_GB2312" w:eastAsia="仿宋_GB2312" w:cs="仿宋_GB2312"/>
          <w:sz w:val="24"/>
        </w:rPr>
        <w:t xml:space="preserve"> </w:t>
      </w:r>
    </w:p>
    <w:p>
      <w:pPr>
        <w:pStyle w:val="557"/>
        <w:adjustRightInd/>
        <w:spacing w:before="0" w:line="440" w:lineRule="exact"/>
        <w:ind w:left="0"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18.1 采购代理机构按照招标文件规定的时间通过电子交易平台组织开标，所有投标人均应当准时在线参加。投标人不足3家的，不得开标。</w:t>
      </w:r>
    </w:p>
    <w:p>
      <w:pPr>
        <w:pStyle w:val="557"/>
        <w:adjustRightInd/>
        <w:spacing w:before="0" w:line="440" w:lineRule="exact"/>
        <w:ind w:left="0"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18.2 开标时，电子交易平台按开标时间自动提取所有投标文件。采购代理机构依托电子交易平台发起开始解密指令，投标人按照平台提示和招标文件的规定在半小时内完成在线解密。</w:t>
      </w:r>
    </w:p>
    <w:p>
      <w:pPr>
        <w:pStyle w:val="557"/>
        <w:adjustRightInd/>
        <w:spacing w:before="0" w:line="440" w:lineRule="exact"/>
        <w:ind w:left="0" w:firstLine="480" w:firstLineChars="200"/>
        <w:contextualSpacing/>
        <w:rPr>
          <w:rFonts w:ascii="仿宋_GB2312" w:hAnsi="仿宋_GB2312" w:eastAsia="仿宋_GB2312" w:cs="仿宋_GB2312"/>
          <w:b/>
          <w:sz w:val="24"/>
        </w:rPr>
      </w:pPr>
      <w:r>
        <w:rPr>
          <w:rFonts w:hint="eastAsia" w:ascii="仿宋_GB2312" w:hAnsi="仿宋_GB2312" w:eastAsia="仿宋_GB2312" w:cs="仿宋_GB2312"/>
          <w:sz w:val="24"/>
        </w:rPr>
        <w:t xml:space="preserve">18.3 </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adjustRightInd/>
        <w:spacing w:line="440" w:lineRule="exact"/>
        <w:jc w:val="left"/>
        <w:rPr>
          <w:rFonts w:ascii="仿宋_GB2312" w:hAnsi="仿宋_GB2312" w:eastAsia="仿宋_GB2312" w:cs="仿宋_GB2312"/>
          <w:b/>
          <w:sz w:val="24"/>
          <w:szCs w:val="20"/>
        </w:rPr>
      </w:pPr>
      <w:r>
        <w:rPr>
          <w:rFonts w:hint="eastAsia" w:ascii="仿宋_GB2312" w:hAnsi="仿宋_GB2312" w:eastAsia="仿宋_GB2312" w:cs="仿宋_GB2312"/>
          <w:b/>
          <w:sz w:val="24"/>
          <w:szCs w:val="20"/>
        </w:rPr>
        <w:t>19. 资格审查</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19.1 开标后，采购人或采购代理机构将依法对投标人的资格进行审查。</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19.2 采购人或采购代理机构依据法律法规和招标文件的规定，对投标人的资格进行审查</w:t>
      </w:r>
      <w:r>
        <w:rPr>
          <w:rFonts w:hint="eastAsia" w:ascii="仿宋_GB2312" w:hAnsi="仿宋_GB2312" w:eastAsia="仿宋_GB2312" w:cs="仿宋_GB2312"/>
          <w:sz w:val="24"/>
        </w:rPr>
        <w:t>。</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19.3 投标人未按照招标文件要求提供与资格条件相应的有效资格证明材料的，视为投标人不具备招标文件中规定的资格要求，其投标无效</w:t>
      </w:r>
      <w:r>
        <w:rPr>
          <w:rFonts w:hint="eastAsia" w:ascii="仿宋_GB2312" w:hAnsi="仿宋_GB2312" w:eastAsia="仿宋_GB2312" w:cs="仿宋_GB2312"/>
        </w:rPr>
        <w:t>。</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 对未通过资格审查的投标人，采购人或采购代理机构告知其未通过的原因。</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 合格投标人不足3家的，不再评标。</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20. 信用信息查询</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20.1 信用信息查询渠道及截止时间：采购代理机构将在资格审查时通过“信用中国”网站(www.creditchina.gov.cn)、中国政府采购网(www.ccgp.gov.cn)渠道查询投标人接受资格审查时的信用记录。</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20.2 信用信息查询记录和证据留存的具体方式：现场查询的投标人的信用记录、查询结果经确认后将与采购文件一起存档。</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20.3 信用信息的使用规则：经查询列入失信被执行人名单、重大税收违法案件当事人名单、政府采购严重违法失信行为记录名单的投标人将被拒绝参与政府采购活动。</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131"/>
        <w:adjustRightInd/>
        <w:spacing w:before="0" w:line="440" w:lineRule="exact"/>
        <w:ind w:firstLine="0" w:firstLineChars="0"/>
        <w:rPr>
          <w:rFonts w:ascii="仿宋_GB2312" w:hAnsi="仿宋_GB2312" w:eastAsia="仿宋_GB2312" w:cs="仿宋_GB2312"/>
          <w:kern w:val="0"/>
          <w:szCs w:val="24"/>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五、评标</w:t>
      </w:r>
    </w:p>
    <w:p>
      <w:pPr>
        <w:adjustRightInd/>
        <w:spacing w:line="440" w:lineRule="exact"/>
        <w:rPr>
          <w:rFonts w:ascii="仿宋_GB2312" w:hAnsi="仿宋_GB2312" w:eastAsia="仿宋_GB2312" w:cs="仿宋_GB2312"/>
          <w:b/>
          <w:sz w:val="24"/>
        </w:rPr>
      </w:pPr>
      <w:bookmarkStart w:id="13" w:name="_Toc91899903"/>
      <w:r>
        <w:rPr>
          <w:rFonts w:hint="eastAsia" w:ascii="仿宋_GB2312" w:hAnsi="仿宋_GB2312" w:eastAsia="仿宋_GB2312" w:cs="仿宋_GB2312"/>
          <w:b/>
          <w:sz w:val="24"/>
        </w:rPr>
        <w:t>21. 评标</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评标委员会将根据招标文件和有关规定，履行评标工作职责，并按照评标</w:t>
      </w:r>
      <w:r>
        <w:rPr>
          <w:rFonts w:hint="eastAsia" w:ascii="仿宋_GB2312" w:hAnsi="仿宋_GB2312" w:eastAsia="仿宋_GB2312" w:cs="仿宋_GB2312"/>
          <w:kern w:val="0"/>
          <w:szCs w:val="24"/>
          <w:lang w:val="en-US" w:eastAsia="zh-CN"/>
        </w:rPr>
        <w:t>办</w:t>
      </w:r>
      <w:r>
        <w:rPr>
          <w:rFonts w:hint="eastAsia" w:ascii="仿宋_GB2312" w:hAnsi="仿宋_GB2312" w:eastAsia="仿宋_GB2312" w:cs="仿宋_GB2312"/>
          <w:kern w:val="0"/>
          <w:szCs w:val="24"/>
        </w:rPr>
        <w:t>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bCs/>
          <w:kern w:val="0"/>
          <w:szCs w:val="24"/>
        </w:rPr>
        <w:t>详见招标文件第四部分</w:t>
      </w:r>
      <w:r>
        <w:rPr>
          <w:rFonts w:hint="eastAsia" w:ascii="仿宋_GB2312" w:hAnsi="仿宋_GB2312" w:eastAsia="仿宋_GB2312" w:cs="仿宋_GB2312"/>
          <w:b/>
          <w:bCs/>
          <w:kern w:val="0"/>
          <w:szCs w:val="24"/>
          <w:lang w:eastAsia="zh-CN"/>
        </w:rPr>
        <w:t>“</w:t>
      </w:r>
      <w:r>
        <w:rPr>
          <w:rFonts w:hint="eastAsia" w:ascii="仿宋_GB2312" w:hAnsi="仿宋_GB2312" w:eastAsia="仿宋_GB2312" w:cs="仿宋_GB2312"/>
          <w:b/>
          <w:bCs/>
          <w:kern w:val="0"/>
          <w:szCs w:val="24"/>
        </w:rPr>
        <w:t>评标</w:t>
      </w:r>
      <w:r>
        <w:rPr>
          <w:rFonts w:hint="eastAsia" w:ascii="仿宋_GB2312" w:hAnsi="仿宋_GB2312" w:eastAsia="仿宋_GB2312" w:cs="仿宋_GB2312"/>
          <w:b/>
          <w:bCs/>
          <w:kern w:val="0"/>
          <w:szCs w:val="24"/>
          <w:lang w:val="en-US" w:eastAsia="zh-CN"/>
        </w:rPr>
        <w:t>办</w:t>
      </w:r>
      <w:r>
        <w:rPr>
          <w:rFonts w:hint="eastAsia" w:ascii="仿宋_GB2312" w:hAnsi="仿宋_GB2312" w:eastAsia="仿宋_GB2312" w:cs="仿宋_GB2312"/>
          <w:b/>
          <w:bCs/>
          <w:kern w:val="0"/>
          <w:szCs w:val="24"/>
        </w:rPr>
        <w:t>法</w:t>
      </w:r>
      <w:r>
        <w:rPr>
          <w:rFonts w:hint="eastAsia" w:ascii="仿宋_GB2312" w:hAnsi="仿宋_GB2312" w:eastAsia="仿宋_GB2312" w:cs="仿宋_GB2312"/>
          <w:b/>
          <w:bCs/>
          <w:kern w:val="0"/>
          <w:szCs w:val="24"/>
          <w:lang w:eastAsia="zh-CN"/>
        </w:rPr>
        <w:t>”</w:t>
      </w:r>
      <w:r>
        <w:rPr>
          <w:rFonts w:hint="eastAsia" w:ascii="仿宋_GB2312" w:hAnsi="仿宋_GB2312" w:eastAsia="仿宋_GB2312" w:cs="仿宋_GB2312"/>
          <w:b/>
          <w:bCs/>
          <w:kern w:val="0"/>
          <w:szCs w:val="24"/>
        </w:rPr>
        <w:t>。</w:t>
      </w:r>
    </w:p>
    <w:p>
      <w:pPr>
        <w:adjustRightInd/>
        <w:spacing w:line="440" w:lineRule="exact"/>
        <w:jc w:val="center"/>
        <w:rPr>
          <w:rFonts w:ascii="仿宋_GB2312" w:hAnsi="仿宋_GB2312" w:eastAsia="仿宋_GB2312" w:cs="仿宋_GB2312"/>
          <w:b/>
          <w:sz w:val="32"/>
          <w:szCs w:val="20"/>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六、定 标</w:t>
      </w:r>
    </w:p>
    <w:p>
      <w:pPr>
        <w:pStyle w:val="24"/>
        <w:adjustRightInd/>
        <w:spacing w:line="440" w:lineRule="exact"/>
        <w:ind w:left="479" w:hanging="479" w:hangingChars="199"/>
        <w:rPr>
          <w:rFonts w:ascii="仿宋_GB2312" w:hAnsi="仿宋_GB2312" w:eastAsia="仿宋_GB2312" w:cs="仿宋_GB2312"/>
          <w:b/>
        </w:rPr>
      </w:pPr>
      <w:r>
        <w:rPr>
          <w:rFonts w:hint="eastAsia" w:ascii="仿宋_GB2312" w:hAnsi="仿宋_GB2312" w:eastAsia="仿宋_GB2312" w:cs="仿宋_GB2312"/>
          <w:b/>
        </w:rPr>
        <w:t>22. 确定中标供应商</w:t>
      </w:r>
    </w:p>
    <w:p>
      <w:pPr>
        <w:pStyle w:val="131"/>
        <w:adjustRightInd/>
        <w:spacing w:before="0" w:line="440" w:lineRule="exact"/>
        <w:ind w:firstLine="480"/>
        <w:rPr>
          <w:rFonts w:ascii="仿宋_GB2312" w:hAnsi="仿宋_GB2312" w:eastAsia="仿宋_GB2312" w:cs="仿宋_GB2312"/>
          <w:b/>
          <w:szCs w:val="24"/>
        </w:rPr>
      </w:pPr>
      <w:r>
        <w:rPr>
          <w:rFonts w:hint="eastAsia" w:ascii="仿宋_GB2312" w:hAnsi="仿宋_GB2312"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pPr>
        <w:widowControl/>
        <w:shd w:val="clear" w:color="auto" w:fill="FFFFFF"/>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23.1 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23.3 公告期限为1个工作日。</w:t>
      </w:r>
    </w:p>
    <w:p>
      <w:pPr>
        <w:adjustRightInd/>
        <w:spacing w:line="440" w:lineRule="exact"/>
        <w:ind w:firstLine="482" w:firstLineChars="150"/>
        <w:jc w:val="center"/>
        <w:rPr>
          <w:rFonts w:ascii="仿宋_GB2312" w:hAnsi="仿宋_GB2312" w:eastAsia="仿宋_GB2312" w:cs="仿宋_GB2312"/>
          <w:b/>
          <w:sz w:val="32"/>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七、合同授予</w:t>
      </w:r>
    </w:p>
    <w:p>
      <w:pPr>
        <w:pStyle w:val="24"/>
        <w:adjustRightInd/>
        <w:spacing w:line="440" w:lineRule="exact"/>
        <w:ind w:firstLine="0" w:firstLineChars="0"/>
        <w:rPr>
          <w:rFonts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w:t>
      </w:r>
      <w:r>
        <w:rPr>
          <w:rFonts w:hint="eastAsia" w:ascii="仿宋_GB2312" w:hAnsi="仿宋_GB2312" w:eastAsia="仿宋_GB2312" w:cs="仿宋_GB2312"/>
          <w:lang w:eastAsia="zh-CN"/>
        </w:rPr>
        <w:t>“</w:t>
      </w:r>
      <w:r>
        <w:rPr>
          <w:rFonts w:hint="eastAsia" w:ascii="仿宋_GB2312" w:hAnsi="仿宋_GB2312" w:eastAsia="仿宋_GB2312" w:cs="仿宋_GB2312"/>
        </w:rPr>
        <w:t>拟签订的合同文本</w:t>
      </w:r>
      <w:r>
        <w:rPr>
          <w:rFonts w:hint="eastAsia" w:ascii="仿宋_GB2312" w:hAnsi="仿宋_GB2312" w:eastAsia="仿宋_GB2312" w:cs="仿宋_GB2312"/>
          <w:lang w:eastAsia="zh-CN"/>
        </w:rPr>
        <w:t>”</w:t>
      </w:r>
      <w:r>
        <w:rPr>
          <w:rFonts w:hint="eastAsia" w:ascii="仿宋_GB2312" w:hAnsi="仿宋_GB2312" w:eastAsia="仿宋_GB2312" w:cs="仿宋_GB2312"/>
        </w:rPr>
        <w:t>。</w:t>
      </w:r>
    </w:p>
    <w:p>
      <w:pPr>
        <w:pStyle w:val="24"/>
        <w:adjustRightInd/>
        <w:spacing w:line="440" w:lineRule="exact"/>
        <w:ind w:left="479" w:hanging="479" w:hangingChars="199"/>
        <w:rPr>
          <w:rFonts w:ascii="仿宋_GB2312" w:hAnsi="仿宋_GB2312" w:eastAsia="仿宋_GB2312" w:cs="仿宋_GB2312"/>
          <w:b/>
        </w:rPr>
      </w:pPr>
      <w:r>
        <w:rPr>
          <w:rFonts w:hint="eastAsia" w:ascii="仿宋_GB2312" w:hAnsi="仿宋_GB2312" w:eastAsia="仿宋_GB2312" w:cs="仿宋_GB2312"/>
          <w:b/>
        </w:rPr>
        <w:t>25. 合同的签订</w:t>
      </w:r>
    </w:p>
    <w:p>
      <w:pPr>
        <w:widowControl/>
        <w:shd w:val="clear" w:color="auto" w:fill="FFFFFF"/>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25.1</w:t>
      </w:r>
      <w:r>
        <w:rPr>
          <w:rFonts w:hint="eastAsia" w:ascii="仿宋_GB2312" w:hAnsi="仿宋_GB2312" w:eastAsia="仿宋_GB2312" w:cs="仿宋_GB2312"/>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adjustRightInd/>
        <w:spacing w:before="0"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25.2</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25.3 如签订合同并生效后，供应商无故拒绝或延期，除按照合同条款处理外，列入不良行为记录一次，并给予通报。</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25.4 中标供应商拒绝与采购人签订合同的，采购人可以按照评审报告推荐的中标或者成交候选人名单排序，确定下一候选人为中标供应商，也可以重新开展政府采购活动。</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25.5 采购合同由采购人与中标供应商根据招标文件、投标文件等内容通过政府采购电子交易平台在线签订，自动备案。</w:t>
      </w:r>
    </w:p>
    <w:p>
      <w:pPr>
        <w:pStyle w:val="24"/>
        <w:adjustRightInd/>
        <w:spacing w:line="440" w:lineRule="exact"/>
        <w:ind w:left="479" w:hanging="479" w:hangingChars="199"/>
        <w:rPr>
          <w:rFonts w:ascii="仿宋_GB2312" w:hAnsi="仿宋_GB2312" w:eastAsia="仿宋_GB2312" w:cs="仿宋_GB2312"/>
          <w:b/>
        </w:rPr>
      </w:pPr>
      <w:r>
        <w:rPr>
          <w:rFonts w:hint="eastAsia" w:ascii="仿宋_GB2312" w:hAnsi="仿宋_GB2312" w:eastAsia="仿宋_GB2312" w:cs="仿宋_GB2312"/>
          <w:b/>
        </w:rPr>
        <w:t>26. 履约保证金</w:t>
      </w:r>
    </w:p>
    <w:p>
      <w:pPr>
        <w:tabs>
          <w:tab w:val="left" w:pos="0"/>
        </w:tabs>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_GB2312" w:hAnsi="仿宋_GB2312" w:eastAsia="仿宋_GB2312" w:cs="仿宋_GB2312"/>
          <w:sz w:val="24"/>
        </w:rPr>
        <w:t>。</w:t>
      </w:r>
    </w:p>
    <w:p>
      <w:pPr>
        <w:keepNext/>
        <w:keepLines/>
        <w:tabs>
          <w:tab w:val="left" w:pos="432"/>
        </w:tabs>
        <w:adjustRightInd/>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adjustRightInd/>
        <w:spacing w:line="440" w:lineRule="exact"/>
        <w:ind w:left="479" w:hanging="479" w:hangingChars="199"/>
        <w:rPr>
          <w:rFonts w:hint="eastAsia" w:ascii="仿宋_GB2312" w:hAnsi="仿宋_GB2312" w:eastAsia="仿宋_GB2312" w:cs="仿宋_GB2312"/>
          <w:b/>
        </w:rPr>
      </w:pPr>
      <w:r>
        <w:rPr>
          <w:rFonts w:hint="eastAsia" w:ascii="仿宋_GB2312" w:hAnsi="仿宋_GB2312" w:eastAsia="仿宋_GB2312" w:cs="仿宋_GB2312"/>
          <w:b/>
          <w:lang w:val="en-US" w:eastAsia="zh-CN"/>
        </w:rPr>
        <w:t xml:space="preserve">27. </w:t>
      </w:r>
      <w:r>
        <w:rPr>
          <w:rFonts w:hint="eastAsia" w:ascii="仿宋_GB2312" w:hAnsi="仿宋_GB2312" w:eastAsia="仿宋_GB2312" w:cs="仿宋_GB2312"/>
          <w:b/>
          <w:lang w:val="en-US"/>
        </w:rPr>
        <w:t>预付款</w:t>
      </w:r>
    </w:p>
    <w:p>
      <w:pPr>
        <w:keepNext/>
        <w:keepLines/>
        <w:tabs>
          <w:tab w:val="left" w:pos="432"/>
        </w:tabs>
        <w:adjustRightInd/>
        <w:spacing w:line="440" w:lineRule="exact"/>
        <w:ind w:firstLine="480" w:firstLineChars="200"/>
        <w:rPr>
          <w:rFonts w:hint="eastAsia" w:ascii="仿宋_GB2312" w:hAnsi="仿宋_GB2312" w:eastAsia="仿宋_GB2312" w:cs="仿宋_GB2312"/>
          <w:b w:val="0"/>
          <w:snapToGrid w:val="0"/>
          <w:kern w:val="28"/>
          <w:sz w:val="24"/>
        </w:rPr>
      </w:pPr>
      <w:r>
        <w:rPr>
          <w:rFonts w:hint="eastAsia" w:ascii="仿宋_GB2312" w:hAnsi="仿宋_GB2312" w:eastAsia="仿宋_GB2312" w:cs="仿宋_GB2312"/>
          <w:snapToGrid w:val="0"/>
          <w:kern w:val="28"/>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_GB2312" w:hAnsi="仿宋_GB2312" w:eastAsia="仿宋_GB2312" w:cs="仿宋_GB2312"/>
          <w:snapToGrid w:val="0"/>
          <w:kern w:val="28"/>
          <w:sz w:val="24"/>
        </w:rPr>
        <w:t>不低于</w:t>
      </w:r>
      <w:r>
        <w:rPr>
          <w:rFonts w:hint="eastAsia" w:ascii="仿宋_GB2312" w:hAnsi="仿宋_GB2312" w:eastAsia="仿宋_GB2312" w:cs="仿宋_GB2312"/>
          <w:snapToGrid w:val="0"/>
          <w:kern w:val="28"/>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32"/>
        </w:rPr>
        <w:t>八、电子交易活动的中止</w:t>
      </w:r>
    </w:p>
    <w:p>
      <w:pPr>
        <w:pStyle w:val="131"/>
        <w:adjustRightInd/>
        <w:spacing w:before="0" w:line="440" w:lineRule="exact"/>
        <w:ind w:firstLine="0" w:firstLineChars="0"/>
        <w:rPr>
          <w:rFonts w:ascii="仿宋_GB2312" w:hAnsi="仿宋_GB2312" w:eastAsia="仿宋_GB2312" w:cs="仿宋_GB2312"/>
        </w:rPr>
      </w:pPr>
      <w:r>
        <w:rPr>
          <w:rFonts w:hint="eastAsia" w:ascii="仿宋_GB2312" w:hAnsi="仿宋_GB2312" w:eastAsia="仿宋_GB2312" w:cs="仿宋_GB2312"/>
          <w:b/>
          <w:bCs/>
        </w:rPr>
        <w:t>2</w:t>
      </w:r>
      <w:r>
        <w:rPr>
          <w:rFonts w:hint="eastAsia" w:ascii="仿宋_GB2312" w:hAnsi="仿宋_GB2312" w:eastAsia="仿宋_GB2312" w:cs="仿宋_GB2312"/>
          <w:b/>
          <w:bCs/>
          <w:szCs w:val="24"/>
          <w:lang w:val="en-US" w:eastAsia="zh-CN"/>
        </w:rPr>
        <w:t>8</w:t>
      </w:r>
      <w:r>
        <w:rPr>
          <w:rFonts w:hint="eastAsia" w:ascii="仿宋_GB2312" w:hAnsi="仿宋_GB2312" w:eastAsia="仿宋_GB2312" w:cs="仿宋_GB2312"/>
          <w:b/>
          <w:szCs w:val="24"/>
        </w:rPr>
        <w:t>.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采购过程中出现以下情形，导致电子交易平台无法正常运行，或者无法保证电子交易的公平、公正和安全时，采购代理机构可中止电子交易活动：</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 xml:space="preserve">.1 电子交易平台发生故障而无法登录访问的； </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.2 电子交易平台应用或数据库出现错误，不能进行正常操作的；</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.3 电子交易平台发现严重安全漏洞，有潜在泄密危险的；</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 xml:space="preserve">.4 病毒发作导致不能进行正常操作的； </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.5 其他无法保证电子交易的公平、公正和安全的情况。</w:t>
      </w:r>
    </w:p>
    <w:p>
      <w:pPr>
        <w:pStyle w:val="131"/>
        <w:adjustRightInd/>
        <w:spacing w:before="0" w:line="440" w:lineRule="exact"/>
        <w:ind w:firstLine="0" w:firstLineChars="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9</w:t>
      </w:r>
      <w:r>
        <w:rPr>
          <w:rFonts w:hint="eastAsia" w:ascii="仿宋_GB2312" w:hAnsi="仿宋_GB2312" w:eastAsia="仿宋_GB2312" w:cs="仿宋_GB2312"/>
        </w:rPr>
        <w:t>. 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spacing w:line="440" w:lineRule="exact"/>
        <w:ind w:firstLine="480"/>
        <w:rPr>
          <w:rFonts w:ascii="仿宋_GB2312" w:hAnsi="仿宋_GB2312" w:eastAsia="仿宋_GB2312" w:cs="仿宋_GB2312"/>
          <w:sz w:val="24"/>
        </w:rPr>
      </w:pPr>
    </w:p>
    <w:p>
      <w:pPr>
        <w:adjustRightInd/>
        <w:spacing w:line="440" w:lineRule="exact"/>
        <w:jc w:val="center"/>
        <w:rPr>
          <w:rFonts w:ascii="仿宋_GB2312" w:hAnsi="仿宋_GB2312" w:eastAsia="仿宋_GB2312" w:cs="仿宋_GB2312"/>
          <w:b/>
          <w:sz w:val="32"/>
        </w:rPr>
      </w:pPr>
      <w:r>
        <w:rPr>
          <w:rFonts w:hint="eastAsia" w:ascii="仿宋_GB2312" w:hAnsi="仿宋_GB2312" w:eastAsia="仿宋_GB2312" w:cs="仿宋_GB2312"/>
          <w:b/>
          <w:sz w:val="32"/>
        </w:rPr>
        <w:t>九、验收</w:t>
      </w:r>
    </w:p>
    <w:p>
      <w:pPr>
        <w:pStyle w:val="24"/>
        <w:adjustRightInd/>
        <w:spacing w:line="440" w:lineRule="exact"/>
        <w:ind w:firstLine="0" w:firstLineChars="0"/>
        <w:rPr>
          <w:rFonts w:ascii="仿宋_GB2312" w:hAnsi="仿宋_GB2312" w:eastAsia="仿宋_GB2312" w:cs="仿宋_GB2312"/>
          <w:b/>
        </w:rPr>
      </w:pPr>
      <w:r>
        <w:rPr>
          <w:rFonts w:hint="eastAsia" w:ascii="仿宋_GB2312" w:hAnsi="仿宋_GB2312" w:eastAsia="仿宋_GB2312" w:cs="仿宋_GB2312"/>
          <w:b/>
          <w:lang w:val="en-US" w:eastAsia="zh-CN"/>
        </w:rPr>
        <w:t>30</w:t>
      </w:r>
      <w:r>
        <w:rPr>
          <w:rFonts w:hint="eastAsia" w:ascii="仿宋_GB2312" w:hAnsi="仿宋_GB2312" w:eastAsia="仿宋_GB2312" w:cs="仿宋_GB2312"/>
          <w:b/>
        </w:rPr>
        <w:t>. 验收</w:t>
      </w:r>
    </w:p>
    <w:p>
      <w:pPr>
        <w:tabs>
          <w:tab w:val="left" w:pos="0"/>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.2 采购人可以邀请参加本项目的其他投标人或者第三方机构参与验收。参与验收的投标人或者第三方机构的意见作为验收书的参考资料一并存档。</w:t>
      </w:r>
    </w:p>
    <w:p>
      <w:pPr>
        <w:tabs>
          <w:tab w:val="left" w:pos="0"/>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spacing w:line="440" w:lineRule="exact"/>
        <w:ind w:firstLine="480" w:firstLineChars="200"/>
        <w:rPr>
          <w:rFonts w:ascii="仿宋_GB2312" w:hAnsi="仿宋_GB2312" w:eastAsia="仿宋_GB2312" w:cs="仿宋_GB2312"/>
          <w:sz w:val="18"/>
          <w:szCs w:val="18"/>
        </w:rPr>
      </w:pP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adjustRightInd/>
        <w:spacing w:line="440" w:lineRule="exact"/>
        <w:ind w:firstLine="480"/>
        <w:rPr>
          <w:rFonts w:ascii="仿宋_GB2312" w:hAnsi="仿宋_GB2312" w:eastAsia="仿宋_GB2312" w:cs="仿宋_GB2312"/>
          <w:kern w:val="0"/>
          <w:sz w:val="24"/>
        </w:rPr>
        <w:sectPr>
          <w:footerReference r:id="rId5" w:type="first"/>
          <w:footerReference r:id="rId3" w:type="default"/>
          <w:footerReference r:id="rId4" w:type="even"/>
          <w:pgSz w:w="11906" w:h="16838"/>
          <w:pgMar w:top="1701" w:right="1418" w:bottom="1417" w:left="1418" w:header="1304" w:footer="992" w:gutter="0"/>
          <w:cols w:space="720" w:num="1"/>
          <w:titlePg/>
          <w:docGrid w:linePitch="312" w:charSpace="0"/>
        </w:sectPr>
      </w:pPr>
      <w:bookmarkStart w:id="14" w:name="_Hlt68073093"/>
      <w:bookmarkEnd w:id="14"/>
      <w:bookmarkStart w:id="15" w:name="_Hlt68403820"/>
      <w:bookmarkEnd w:id="15"/>
      <w:bookmarkStart w:id="16" w:name="_Hlt68072990"/>
      <w:bookmarkEnd w:id="16"/>
      <w:bookmarkStart w:id="17" w:name="_Hlt74730295"/>
      <w:bookmarkEnd w:id="17"/>
      <w:bookmarkStart w:id="18" w:name="_Hlt74729768"/>
      <w:bookmarkEnd w:id="18"/>
      <w:bookmarkStart w:id="19" w:name="_Hlt68057669"/>
      <w:bookmarkEnd w:id="19"/>
      <w:bookmarkStart w:id="20" w:name="_Hlt75236011"/>
      <w:bookmarkEnd w:id="20"/>
      <w:bookmarkStart w:id="21" w:name="_Hlt68072998"/>
      <w:bookmarkEnd w:id="21"/>
      <w:bookmarkStart w:id="22" w:name="_Hlt74707468"/>
      <w:bookmarkEnd w:id="22"/>
      <w:bookmarkStart w:id="23" w:name="_Hlt75236101"/>
      <w:bookmarkEnd w:id="23"/>
      <w:bookmarkStart w:id="24" w:name="_Hlt75236290"/>
      <w:bookmarkEnd w:id="24"/>
      <w:bookmarkStart w:id="25" w:name="_Hlt74714665"/>
      <w:bookmarkEnd w:id="25"/>
    </w:p>
    <w:bookmarkEnd w:id="11"/>
    <w:bookmarkEnd w:id="12"/>
    <w:p>
      <w:pPr>
        <w:adjustRightInd/>
        <w:spacing w:before="240" w:beforeLines="100" w:line="360" w:lineRule="auto"/>
        <w:jc w:val="center"/>
        <w:outlineLvl w:val="0"/>
        <w:rPr>
          <w:rFonts w:ascii="仿宋_GB2312" w:hAnsi="仿宋_GB2312" w:eastAsia="仿宋_GB2312" w:cs="仿宋_GB2312"/>
          <w:b/>
          <w:sz w:val="36"/>
          <w:szCs w:val="20"/>
        </w:rPr>
      </w:pPr>
      <w:bookmarkStart w:id="26" w:name="第四部分"/>
      <w:r>
        <w:rPr>
          <w:rFonts w:hint="eastAsia" w:ascii="仿宋_GB2312" w:hAnsi="仿宋_GB2312" w:eastAsia="仿宋_GB2312" w:cs="仿宋_GB2312"/>
          <w:b/>
          <w:sz w:val="36"/>
          <w:szCs w:val="20"/>
        </w:rPr>
        <w:t>第三部分 采购需求</w:t>
      </w:r>
    </w:p>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一、项目概况</w:t>
      </w:r>
    </w:p>
    <w:p>
      <w:pPr>
        <w:pStyle w:val="258"/>
        <w:adjustRightInd/>
        <w:spacing w:line="440" w:lineRule="exact"/>
        <w:ind w:firstLine="480"/>
        <w:rPr>
          <w:rFonts w:ascii="仿宋_GB2312" w:hAnsi="仿宋_GB2312" w:eastAsia="仿宋_GB2312" w:cs="仿宋_GB2312"/>
        </w:rPr>
      </w:pPr>
      <w:bookmarkStart w:id="27" w:name="_Hlk126575985"/>
      <w:r>
        <w:rPr>
          <w:rFonts w:hint="eastAsia" w:ascii="仿宋_GB2312" w:hAnsi="仿宋_GB2312" w:eastAsia="仿宋_GB2312" w:cs="仿宋_GB2312"/>
        </w:rPr>
        <w:t>近年来，我国经济发展面临的国际环境和国内条件都在发生深刻而复杂的变化，经济下行压力持续加大，保持经济稳定运行成为各地政府面临的首要任务。拱墅区高度重视全区经济运行监测预警和研判分析工作，提出要打通汇集各经济部门数据，利用数据赋能全区经济管理和服务工作，及时把握经济运行中出现的情况及问题，为经济工作提供决策辅助功能，增强经济工作的预见性、针对性和有效性，提高经济运行调度的效率和质量。</w:t>
      </w:r>
    </w:p>
    <w:p>
      <w:pPr>
        <w:pStyle w:val="258"/>
        <w:adjustRightInd/>
        <w:spacing w:line="440" w:lineRule="exact"/>
        <w:ind w:firstLine="480"/>
        <w:rPr>
          <w:rFonts w:ascii="仿宋_GB2312" w:hAnsi="仿宋_GB2312" w:eastAsia="仿宋_GB2312" w:cs="仿宋_GB2312"/>
          <w:b/>
          <w:bCs/>
        </w:rPr>
      </w:pPr>
      <w:r>
        <w:rPr>
          <w:rFonts w:hint="eastAsia" w:ascii="仿宋_GB2312" w:hAnsi="仿宋_GB2312" w:eastAsia="仿宋_GB2312" w:cs="仿宋_GB2312"/>
        </w:rPr>
        <w:t>本项目建设以数据应用、效率提升理念为导向，构建“纵向联动、横向协同、共建共享”的拱墅区经济运行综合集成系统，通过对全区经济、产业、项目、楼宇、企业等相关指标及资源要素的动态监测和预警提醒，准确地刻画反映经济运行中出现的情况和问题，增强宏观调控的预见性、针对性和有效性，切实提高经济运行分析工作效率，有效提升安商稳商服务水平，实现全区经济发展“一键感知、一屏调度、一网统管”，实现经济调节“用数据说话、用数据决策、用数据管理、用数据创新”，为区域经济发展提供强有力数字化支撑保障。一是建设经济主题库，归集全区经济领域各类数据并进行数据治理，建设包括企业库、楼宇库、项目库、土地库、政策库等配套数据主题库。二是建设经济运行综合集成系统工作台，围绕各经济部门核心业务与数据，建设包括统一待办、楼宇经济管理、项目管理、企业服务、高企培育等业务和数据资源管理模块。三是搭建智能模型，建设区域经济活力模型、企业安商预警模型、楼楼宇经济指数模型、高企培育模型等智能化模型及算法。四是提炼重点应用场景，建设区域经济活力、项目一点通、安商稳商、楼均论英雄、产业发展、要素保障等重点应用场景。五是建设一屏两端，建设可视化大屏（城运中心版）面向会议模式及可视化展示；建设浙政钉（PC端及移动端）治理端用于业务协同操作；建设服务互动端面向企业服务。</w:t>
      </w:r>
    </w:p>
    <w:bookmarkEnd w:id="27"/>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二、总体要求</w:t>
      </w:r>
      <w:r>
        <w:rPr>
          <w:rFonts w:hint="eastAsia" w:ascii="仿宋_GB2312" w:hAnsi="仿宋_GB2312" w:eastAsia="仿宋_GB2312" w:cs="仿宋_GB2312"/>
          <w:sz w:val="24"/>
        </w:rPr>
        <w:t xml:space="preserve"> </w:t>
      </w:r>
    </w:p>
    <w:p>
      <w:pPr>
        <w:pStyle w:val="258"/>
        <w:adjustRightInd/>
        <w:spacing w:line="440" w:lineRule="exact"/>
        <w:ind w:firstLine="482"/>
        <w:rPr>
          <w:rFonts w:ascii="仿宋_GB2312" w:hAnsi="仿宋_GB2312" w:eastAsia="仿宋_GB2312" w:cs="仿宋_GB2312"/>
          <w:b/>
          <w:bCs/>
        </w:rPr>
      </w:pPr>
      <w:r>
        <w:rPr>
          <w:rFonts w:hint="eastAsia" w:ascii="仿宋_GB2312" w:hAnsi="仿宋_GB2312" w:eastAsia="仿宋_GB2312" w:cs="仿宋_GB2312"/>
          <w:b/>
          <w:bCs/>
        </w:rPr>
        <w:t>2.1.总体设计</w:t>
      </w:r>
    </w:p>
    <w:p>
      <w:pPr>
        <w:pStyle w:val="258"/>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要求本项目依托数字化改革，围绕“四横四纵”框架体系设计。</w:t>
      </w:r>
    </w:p>
    <w:p>
      <w:pPr>
        <w:pStyle w:val="258"/>
        <w:adjustRightInd/>
        <w:spacing w:line="440" w:lineRule="exact"/>
        <w:ind w:firstLine="482"/>
        <w:rPr>
          <w:rFonts w:ascii="仿宋_GB2312" w:hAnsi="仿宋_GB2312" w:eastAsia="仿宋_GB2312" w:cs="仿宋_GB2312"/>
          <w:b/>
          <w:bCs/>
        </w:rPr>
      </w:pPr>
      <w:r>
        <w:rPr>
          <w:rFonts w:hint="eastAsia" w:ascii="仿宋_GB2312" w:hAnsi="仿宋_GB2312" w:eastAsia="仿宋_GB2312" w:cs="仿宋_GB2312"/>
          <w:b/>
          <w:bCs/>
        </w:rPr>
        <w:t>2.2.技术要求</w:t>
      </w:r>
    </w:p>
    <w:p>
      <w:pPr>
        <w:pStyle w:val="258"/>
        <w:adjustRightInd/>
        <w:spacing w:line="440" w:lineRule="exact"/>
        <w:ind w:firstLine="482"/>
        <w:rPr>
          <w:rFonts w:hint="eastAsia" w:ascii="仿宋_GB2312" w:hAnsi="仿宋_GB2312" w:eastAsia="仿宋_GB2312" w:cs="仿宋_GB2312"/>
          <w:b/>
          <w:bCs/>
        </w:rPr>
      </w:pPr>
      <w:r>
        <w:rPr>
          <w:rFonts w:hint="eastAsia" w:ascii="仿宋_GB2312" w:hAnsi="仿宋_GB2312" w:eastAsia="仿宋_GB2312" w:cs="仿宋_GB2312"/>
          <w:i w:val="0"/>
          <w:iCs w:val="0"/>
          <w:caps w:val="0"/>
          <w:color w:val="auto"/>
          <w:spacing w:val="0"/>
          <w:sz w:val="24"/>
          <w:szCs w:val="24"/>
          <w:shd w:val="clear" w:fill="auto"/>
        </w:rPr>
        <w:t>系统应采用主流的技术架构进行开发，并满足浙里办、浙政钉上架要求。</w:t>
      </w:r>
    </w:p>
    <w:p>
      <w:pPr>
        <w:pStyle w:val="258"/>
        <w:adjustRightInd/>
        <w:spacing w:line="440" w:lineRule="exact"/>
        <w:ind w:firstLine="482"/>
        <w:rPr>
          <w:rFonts w:ascii="仿宋_GB2312" w:hAnsi="仿宋_GB2312" w:eastAsia="仿宋_GB2312" w:cs="仿宋_GB2312"/>
          <w:b/>
          <w:bCs/>
        </w:rPr>
      </w:pPr>
      <w:r>
        <w:rPr>
          <w:rFonts w:hint="eastAsia" w:ascii="仿宋_GB2312" w:hAnsi="仿宋_GB2312" w:eastAsia="仿宋_GB2312" w:cs="仿宋_GB2312"/>
          <w:b/>
          <w:bCs/>
        </w:rPr>
        <w:t>2.3.性能要求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2.3.1.稳定性指标</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1. 系统能长时间稳定、可靠运行；</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2. 系统具备负载均衡的能力，无单点故障，确保数据不因意外情况丢失或损坏，确保数据实时安全；</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3. 系统有效工作时间：不少于99.9%；</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4. 系统故障平均间隔时间：不少于180天；</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5. 系统单次故障恢复时间:不超过24小时；</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2.3.2.吞吐量指标</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1. 最大用户数：不少于2000个；</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2. 同时在线用户数：不少于500个；</w:t>
      </w:r>
    </w:p>
    <w:p>
      <w:pPr>
        <w:pStyle w:val="862"/>
        <w:spacing w:line="440" w:lineRule="exact"/>
        <w:ind w:firstLine="720" w:firstLineChars="300"/>
        <w:rPr>
          <w:rFonts w:ascii="仿宋_GB2312" w:hAnsi="仿宋_GB2312" w:eastAsia="仿宋_GB2312" w:cs="仿宋_GB2312"/>
          <w:highlight w:val="none"/>
        </w:rPr>
      </w:pPr>
      <w:r>
        <w:rPr>
          <w:rFonts w:hint="eastAsia" w:ascii="仿宋_GB2312" w:hAnsi="仿宋_GB2312" w:eastAsia="仿宋_GB2312" w:cs="仿宋_GB2312"/>
          <w:highlight w:val="none"/>
        </w:rPr>
        <w:t>3. 并发用户数：不少于</w:t>
      </w:r>
      <w:r>
        <w:rPr>
          <w:rFonts w:hint="eastAsia" w:ascii="仿宋_GB2312" w:hAnsi="仿宋_GB2312" w:eastAsia="仿宋_GB2312" w:cs="仿宋_GB2312"/>
          <w:highlight w:val="none"/>
          <w:lang w:val="en-US" w:eastAsia="zh-CN"/>
        </w:rPr>
        <w:t>100</w:t>
      </w:r>
      <w:r>
        <w:rPr>
          <w:rFonts w:hint="eastAsia" w:ascii="仿宋_GB2312" w:hAnsi="仿宋_GB2312" w:eastAsia="仿宋_GB2312" w:cs="仿宋_GB2312"/>
          <w:highlight w:val="none"/>
        </w:rPr>
        <w:t>个；</w:t>
      </w:r>
    </w:p>
    <w:p>
      <w:pPr>
        <w:pStyle w:val="862"/>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2.3.3.响应速度指标</w:t>
      </w:r>
    </w:p>
    <w:p>
      <w:pPr>
        <w:pStyle w:val="862"/>
        <w:spacing w:line="440" w:lineRule="exact"/>
        <w:ind w:firstLine="720" w:firstLineChars="300"/>
        <w:rPr>
          <w:rFonts w:ascii="仿宋_GB2312" w:hAnsi="仿宋_GB2312" w:eastAsia="仿宋_GB2312" w:cs="仿宋_GB2312"/>
          <w:highlight w:val="none"/>
        </w:rPr>
      </w:pPr>
      <w:r>
        <w:rPr>
          <w:rFonts w:hint="eastAsia" w:ascii="仿宋_GB2312" w:hAnsi="仿宋_GB2312" w:eastAsia="仿宋_GB2312" w:cs="仿宋_GB2312"/>
          <w:highlight w:val="none"/>
        </w:rPr>
        <w:t>1. 简单事务处理（包含各类信息录入、修改、查询业务、主要页面平均响应时间等）≤</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s；</w:t>
      </w:r>
    </w:p>
    <w:p>
      <w:pPr>
        <w:pStyle w:val="862"/>
        <w:spacing w:line="440" w:lineRule="exact"/>
        <w:ind w:firstLine="720" w:firstLineChars="300"/>
        <w:rPr>
          <w:rFonts w:ascii="仿宋_GB2312" w:hAnsi="仿宋_GB2312" w:eastAsia="仿宋_GB2312" w:cs="仿宋_GB2312"/>
          <w:highlight w:val="none"/>
        </w:rPr>
      </w:pPr>
      <w:r>
        <w:rPr>
          <w:rFonts w:hint="eastAsia" w:ascii="仿宋_GB2312" w:hAnsi="仿宋_GB2312" w:eastAsia="仿宋_GB2312" w:cs="仿宋_GB2312"/>
          <w:highlight w:val="none"/>
        </w:rPr>
        <w:t>2. 复杂事务处理≤</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s；</w:t>
      </w:r>
    </w:p>
    <w:p>
      <w:pPr>
        <w:pStyle w:val="258"/>
        <w:adjustRightInd/>
        <w:spacing w:line="440" w:lineRule="exact"/>
        <w:ind w:firstLine="720" w:firstLineChars="300"/>
        <w:rPr>
          <w:rFonts w:ascii="仿宋_GB2312" w:hAnsi="仿宋_GB2312" w:eastAsia="仿宋_GB2312" w:cs="仿宋_GB2312"/>
          <w:highlight w:val="none"/>
        </w:rPr>
      </w:pPr>
      <w:r>
        <w:rPr>
          <w:rFonts w:hint="eastAsia" w:ascii="仿宋_GB2312" w:hAnsi="仿宋_GB2312" w:eastAsia="仿宋_GB2312" w:cs="仿宋_GB2312"/>
          <w:highlight w:val="none"/>
        </w:rPr>
        <w:t>3. 各类固定统计报表形成时间：≤</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s。</w:t>
      </w:r>
    </w:p>
    <w:p>
      <w:pPr>
        <w:pStyle w:val="258"/>
        <w:adjustRightInd/>
        <w:spacing w:line="440" w:lineRule="exact"/>
        <w:ind w:firstLine="482"/>
        <w:rPr>
          <w:rFonts w:ascii="仿宋_GB2312" w:hAnsi="仿宋_GB2312" w:eastAsia="仿宋_GB2312" w:cs="仿宋_GB2312"/>
          <w:b/>
          <w:bCs/>
        </w:rPr>
      </w:pPr>
      <w:r>
        <w:rPr>
          <w:rFonts w:hint="eastAsia" w:ascii="仿宋_GB2312" w:hAnsi="仿宋_GB2312" w:eastAsia="仿宋_GB2312" w:cs="仿宋_GB2312"/>
          <w:b/>
          <w:bCs/>
        </w:rPr>
        <w:t>2.4.安全要求</w:t>
      </w:r>
    </w:p>
    <w:p>
      <w:pPr>
        <w:pStyle w:val="258"/>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本项目将按照网络安全等级保护二级要求建设，保障项目建设的安全性、保密性、完整性和可用性，实现系统安全、稳定、可靠运行。</w:t>
      </w:r>
    </w:p>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三、建设内容</w:t>
      </w:r>
    </w:p>
    <w:p>
      <w:pPr>
        <w:pStyle w:val="258"/>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3.1.项目建设内容清单</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639"/>
        <w:gridCol w:w="712"/>
        <w:gridCol w:w="120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shd w:val="clear" w:color="auto" w:fill="auto"/>
            <w:vAlign w:val="center"/>
          </w:tcPr>
          <w:p>
            <w:pPr>
              <w:widowControl/>
              <w:adjustRightInd/>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系统名称</w:t>
            </w:r>
          </w:p>
        </w:tc>
        <w:tc>
          <w:tcPr>
            <w:tcW w:w="0" w:type="auto"/>
            <w:gridSpan w:val="2"/>
            <w:shd w:val="clear" w:color="auto" w:fill="auto"/>
            <w:vAlign w:val="center"/>
          </w:tcPr>
          <w:p>
            <w:pPr>
              <w:widowControl/>
              <w:adjustRightInd/>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功能模块</w:t>
            </w:r>
          </w:p>
        </w:tc>
        <w:tc>
          <w:tcPr>
            <w:tcW w:w="0" w:type="auto"/>
            <w:shd w:val="clear" w:color="auto" w:fill="auto"/>
            <w:vAlign w:val="center"/>
          </w:tcPr>
          <w:p>
            <w:pPr>
              <w:widowControl/>
              <w:adjustRightInd/>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功能概述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可视化大屏（城运中心版）</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区域经济活力</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通过对经济、市场、要素、消费、科技创新等维度建模计算，以指数形式展示拱墅区经济活力情况，分析结果可形成定期报告。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经济运行监测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围绕经济运行重点指标，对主要指标运行情况进行监测与分析。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企业画像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可视化展示全区各街道企业的风险状况、分行业分产业分布情况，规上企业的风险状态分布情况，同时可通过企业名称查看单家企业具体情况。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项目一点通</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重点产业项目盯引洽谈、签约落地、项目实施、投用产出等全流程进行监测与分析。构建项目画像，对关键节点逾期风险进行自动预警，对项目实施过程中的问题进行协同处置，结合可视化地图对地址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安商稳商分析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从街道层面对企业安商稳商情况进行分析及可视化展示，联动可视化地图，对区内企业标签化管理进行分类上图及交互，企业详情支持企业画像展示。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企业服务分析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从街道层面根据重点企业走访、企业诉求处置等主要工作维度对企业服务情况进行分析与可视化展示，根据街道排名排名情况进行预警。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楼均论英雄</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拱墅区重点商务楼宇进行分析及可视化展示。支持在地图中进行楼宇信息查询并与地图落点联动。构建具体楼宇画像，从楼宇基本信息、规模信息、楼宇管家、入驻企业等多维度展示和反映楼宇情况。从楼宇入驻率、在地注册率、在地税收缴纳率、新招引企业数等指标反映楼宇入驻及经济效益情况，进行楼宇经济指标分析及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产业发展</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围绕区重点产业，从产业空间、产业链建设、产业经济指标、重点企业等维度综合分析产业发展情况，同时结合招商工作，对重点产业招商情况进行综合分析。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要素保障</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对土地要素、资金要素、能源要素、楼宇要素等资源要素情况进行监测、分析与匹配。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重点经济专题</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根据阶段性经济工作重点内容，对重点经济工作进展情况及重点指标进行综合展示与分析。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可视化驾驶舱（PC版）</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区域经济活力</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通过对经济、市场、要素、消费、科技创新等维度建模计算，以指数形式展示拱墅区经济活力情况，分析结果可形成定期报告。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企业画像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可视化展示全区各街道企业的风险状况、分行业分产业分布情况，规上企业的风险状态分布情况，同时可通过企业名称查看单家企业具体情况。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项目一点通</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重点产业项目盯引洽谈、签约落地、项目实施、投用产出等全流程进行监测与分析。构建项目画像，对关键节点逾期风险进行自动预警，对项目实施过程中的问题进行协同处置，结合可视化地图对项目地址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选取合适的指标对企业外迁进行预警，并从预警处置、税源企业外迁税收、稳企率、重点税源流入流出差额等指标对安商稳商工作进行分析。从重点企业走访率、企业诉求答复满意率、涉企诉求处置及时率、大企业裂变项目承接效果子指标维度对企业服务成效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楼均论英雄</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拱墅区重点商务楼宇进行分析及可视化展示。构建具体楼宇画像，从楼宇基本信息、规模信息、楼宇管家、入驻企业等多维度展示和反映楼宇情况。从楼宇入驻率、在地注册率、在地税收缴纳率、新招引企业数等指标反映楼宇入驻及经济效益情况，进行楼宇经济指标分析及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产业发展</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围绕区重点产业，从产业空间、产业链建设、产业经济指标、重点企业等维度综合分析产业发展情况。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要素保障</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要素保障对土地要素、资金要素、能源要素、楼宇要素等要素进行分析与匹配。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营商环境</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对营商环境主要指标及主要工作进行可视化展示与分析，并形成定期报告。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重点经济专题</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根据阶段性经济工作重点内容，对重点经济工作进展情况及重点指标进行综合展示与分析。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经济运行综合集成系统工作台</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统一待办</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待办任务</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以列表形式展示待办任务。支持查看任务列表、任务内容，支持任务跳转处置。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关注任务列表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个人关注任务的新增、查看、编辑、删除。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楼宇列表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以列表形式展示全区商业楼宇基础信息，包括楼宇名称、所属街道、商务面积、入驻企业总数、入驻重点企业数、平均租金等楼宇基础信息。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楼宇详情</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户通过列表选取楼宇信息，转跳楼宇信息详情页面，在展示楼宇基本信息的同时，展示包括楼宇地址、面积、联系人等详情展示楼宇内入驻企业情况，包括入驻企业名称、类型、联系人、联系方式、关键性指标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入驻企业列表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以列表形式展示入驻企业基本信息，包括入驻企业名称、税号、类型、所属行业、企业员工数等。其中是否注册本区与是否纳税本区信息，将与企业标签数据自动完成同步。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入驻企业详情</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用户选择对应入驻企业查看详情，包括入驻企业注册地址、房间、面积等信息。自动关联个性化标签，如重点税源企业、规上企业、科技企业等，点击标签可跳转至重点企业库对应企业详情页。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处理审核</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对街道用户上报入驻企业信息变更、企业迁入迁出、企业注册地址变更等关键信息变更，针对商务局等平台管理员用户提供变更处理审核功能。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要求入驻企业关键信息编辑过程中，调整关键内容由平台管理人员完成审核后，完成关键信息调整及更新。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地址识别</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对辖区内企业注册地址数据进行自动识别，实现在地企业的自动归类。支持未能自动识别地址自动归类和人工校验。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数据比对</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平台内所有入驻企业，通过互联网对接获取包括统一社会信用代码、所属行业、企业员工数、入驻企业注册地等企业信息，完成平台内企业相关数据的比对的同时，利用地址识别功能获取注册地址发生变更企业，并完成对应注册在拱墅企业标签的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异常企业</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根据企业数据比对结果，对企业状态为“注销”的企业，标注为异常企业。支持异常企业名单查看。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楼均论英雄</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楼宇综合画像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提供重点监测楼宇数、已建楼宇数、在建楼宇数、已建楼宇建筑面积、商务面积、平均租金、入驻企业数等楼宇关键数据，并提供分街道展示楼宇税收情况相关数据。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楼宇经济效益分析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提供楼宇实际租用面积数据、商务面积数据、税收规模数据等，协助完成楼宇经济效益分析。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楼宇经济指数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提供分街道楼宇数据、入驻企业数据，以及各街道入驻率数据、在地注册率、在地税收缴纳率、新招引核心产业楼宇企业数等，为楼宇经济指数计算提供数据支撑。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外迁动向企业库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合企业对应诉求以及当前针对外迁风险提供企业服务内容，对外迁风险企业关联信息进行集中展现的同时，并对后续安商稳商工作经验总结等提供经验数据支撑。对辖区内外迁风险较高企业相关情况进行统一展示。对企业外迁风险原由及预计迁出时间等数据进行归集、展示。对于外迁风险较高的企业，支持街道一键发起企业预警单，进入安商稳商联合工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安商稳商联合工作</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根据有关职能部门提供的预警企业单，以及各街道在日常工作过程中发现的安商稳商关联问题，支持提交预警单并完成对应安商稳商联合工作业务流转。支持根据预警单类型派单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派单支持独办、会办、分办；支持预警单多部门处理流转；支持根据预警单结果生成执法部门核查单；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支持对接外迁动向企业库，查看企业相关情况；支持操作记录留痕；支持搜索、导入、导出预警单；支持对接浙政钉ding功能，实现重要流程ding提醒。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企业综合画像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提供全区重点监测企业、预警企业、外迁企业数据。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企业走访服务</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提供企业诉求数据、各街道重点企业走访率、企业走访数据。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企业外迁预警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提供外迁动向企业数据。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安商稳商指数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提供稳企率数据、税源企业外迁税收占比数据、重点税源流入流出差额数据、大企业裂变项目承接效果数据。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企业服务管理</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综合展示</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重点企业数据总览</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在平台首页构建各项业务工作成果展示，帮助区商务局及街道等部门针对全区企业服务、安商稳商相关工作的全局总览。以统计数据分析展示、业务流程节点展示等形式，展示全区总体经济运行情况。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重要考核指标展示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根据省市等上级部门考核任务，以及当前拱墅区经济相关重点任务，梳理重要考核指标并完成统一展示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街道展示包括各街道稳企率、税源企业外迁税收占比、重点税源流入流出差额、大企业裂变项目承接效果、楼宇入驻率、在地注册率、在地税收缴纳率、新招引核心产业楼宇企业数、重点企业走访率、涉企诉求答复满意率等考核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服务企业动态</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根据各部门、街道在企业日常走访过程中记录的服务日志，展示对应企业服务日志信息。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问题交办处置情况</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针对日常巡查与企业诉求上报问题的线上流转业务流程，展示对应线上问题办理单、涉及问题解决的服务日志等详情；展示省三服务平台企业问题信息。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重点监测企业库</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企业信息管理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支持企业匹配信息功能；支持企业关注功能；支持查看企业操作记录；支持发送短信功能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支持管理人员对重点监测企业的管理，包括重点监测企业新增、信息编辑、删除；支持企业信息的批量导入、导出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支持企业的多维度搜索；支持查看外迁企业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支持企业关键信息编辑审核功能，编辑关键字段需要完成平台管理人员完成审核，包括在地、在税、规模以上企业分类审核管理。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企业列表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以列表形式展示企业基础信息包括企业的名称、地址、联系方式等。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完成企业对应个性标签的展示，完成包括重点盯引企业、规模以上企业、重点税源企业、科技企业、上市企业等，以标签浏览形式帮助快速查看全区监测企业详情。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企业基础标签</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平台支持针对重点监测企业信息的标签化管理，提供企业基础标签功能。通过对接市监部门工商数据，展示包括企业名称、地址、联系方式等信息。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个性化标签</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结合区财政、市监、税务等多部门与企业相关业务工作，对包括重点盯引企业、规模以上企业等需要重点关注及服务的企业，提供个性化标签及对应的管理功能。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合区财政、市监、税务等多部门与企业相关业务工作，对包括重点盯引企业、规模以上企业等需要重点关注及服务的企业，提供个性化标签及对应的管理功能。根据企业所在地、纳税情况以及规模以上企业等情况变动，归纳总结包括企业外迁变动、安全等级变更等变化因子，综合评判并展示企业风险等级、风险原因；关联企业服务日志、企业诉求模块，进行数据内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企业简介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针对区领导重点盯引企业，由归属地街道提供企业简介并展示，简介内容保持定期更新。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服务日志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关联服务日志模块，完成企业对应服务日志数据展示。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企业诉求</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关联企业诉求模块，完成企业对应企业诉求内容展示。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处理审核</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针对街道用户上报的重点监测企业关键信息变更，为管理用户提供变更处理审核功能。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要求企业关键信息编辑、变更过程中，调整关键字段内容由平台管理人员完成审核后，完成关键信息调整及更新。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企业诉求</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问题交办</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平台将利用公众服务形式为企业提供服务，积极采集企业各类型诉求，并以企业诉求单形式完成企业各类问题的上报及流转。支持企业诉求单的新增、编辑、删除及搜索功能；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问题交办流程中，提交问题同时支持选择问题类型；问题提交要求完成企业基本信息及问题详情的填写，并支持建议交办部门输入，以及相关附件上传；支持按问题类型生成对应企业诉求单模板；支持查看交办单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督办提醒</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根据问题处理进度，并通过浙政钉提示办理人员及时处理对应问题。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数据互通</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以导入形式完成与省三服务小管家平台的数据对接。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服务日志</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批量导入导出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支持平台内服务日志的批量导入、导出。在导入出现错误时，提供导入异常提示。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分类设置</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在填报服务日志过程中，可选择走访服务、解决问题、会议活动等服务类型，帮助服务日志的有效填报。分类未解决问题的日志类型需关联至首页企业诉求模块。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企业信息库关联</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服务日志将自动关联企业信息库，测算全区重点企业走访率。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数据统计</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考核指标测算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包括楼宇入驻率、在地注册地、属地纳税率等考核指标计算，以及重点企业走访率、涉企诉求答复率、重点税源企业外迁税收占比、重点税源流入流出差额等考核指标测算及展示。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稳企率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根据各街道上报区域外迁企业数、预警企业数、稳企总数等数据，完成稳企率自动计算模型建设，实现包括全区月度稳企率、各街道月度通报稳企率等数据的统计分析展示。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税源企业外迁税收占比</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针对商务局提供的税源企业外迁税收通报表和年度考核文件进行计算，支持表数据导入自动计算。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重点税源流入流出差额</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针对商务局提供的重点税源通报表和年度考核文件进行计算，支持表数据导入自动计算。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大企业裂变项目承接效果</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针对商务局提供的大企业裂变项目通报表和年度考核文件进行计算，支持表数据导入自动计算。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楼宇入驻率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根据全区及各街道楼宇入驻企业办公面积、商务面积、楼宇入驻率考核目标等关键数据，完成楼宇入驻率算法建设，实现全区及各街道楼宇入驻率的统一展示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支持街道楼宇入驻率得分通报。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在地注册率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根据全区及各街道企业实际办公面积、是否注册在拱墅、在地注册率考核目标等关键数据，完成在地注册率算法建设，实现全区及各街道在地注册率的统一展示。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支持街道在地注册率得分通报。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在地税收缴纳率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根据全区及各街道楼宇内纳税企业数、全区企业总数、是否纳税在拱墅、在地税收缴纳率考核目标等关键数据，完成在地税收缴纳率算法建设，实现全区及各街道在地税收缴纳率的统一展示。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支持街道在地税收缴纳率得分季度通报。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新招引核心产业楼宇企业数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参考区投促局考核工作任务，对全区及各街道新招引核心产业楼宇企业数进行计算、排序，排名和得分根据商务局实际需要构建对应计算算法，支持全区新招引核心产业楼宇企业数通报。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重点企业走访率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根据企业风险等级，确定对应重点企业走访频率要求。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根据街道等走访上报，计算对应重点企业走访率。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诉求答复满意率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根据企业诉求单处理评价情况，计算各街道涉企诉求答复满意率。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半年度活动、案例及日常工作配合度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根据商务局实际需求构建自动计算模型。支持半年度活动、案例及日常工作配合度通报；支持数据表格导入。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重要经济指标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货物进出口、服务贸易、跨境月度数据等在内重要经济指标的展示，支持每月度分街道以表格形式批量导入各项重要经济指标。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政策资源</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政策资源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对企业服务相关政策进行梳理与展示，由平台管理员完成政策资源链接或文件通知的上传。支持政策资源的新增、编辑、删除、搜索；支持资源类型、归属部门、是否同步公众号选择；支持政策资源同步公众号。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支持查看资源浏览量情况；支持省、市、区企业服务相关政策资源链接联通；支持资源定推功能。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企业用户</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企业用户管理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支持企业用户账号的开通、审核、管理，管理包括企业用户账号的禁用、启用、删除；支持企业多账号申领。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问题反馈</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针对企业需求和相关问题进行集中管理，满足相关问题全流程处理状态跟踪。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数据查询</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企业综合查询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支持多条件筛选查询企业信息，可下钻查看具体企业详情信息，支持批量导出查询结果信息。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数据库表字段展示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按照数据库中表字段，展示数据库中存在的所有字段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高企培育管理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高企总体情况分析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支持对全区高新技术企业总体情况进行分析，包括高企申报总数统计、高企培育数总数统计、高企预申报数总数统计等，还包括高企数量历史变化趋势分析、技术领域分布分析、街道区域分布分析等。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企业基础库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支持对企业全量列表信息进行管理和维护操作，根据用户实际需求情况提供增删改查、列表展示、简单检索、详情查看等。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高企培育库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支持对高企培育库企业列表信息列表进行管理和维护操作，根据用户实际需求情况提供增删改查、列表展示、简单检索、详情查看等。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重点排查库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支持对重点排查企业信息列表进行管理和维护操作，根据用户实际需求情况提供增删改查、列表展示、简单检索、详情查看等。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高企预申报库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支持对全区高企预申报企业列表信息列表进行管理和维护操作，根据用户实际需求情况提供增删改查、列表展示、简单检索、详情查看等。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存量高企库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支持对全区存量高企信息列表进行管理和维护操作，根据用户实际需求情况提供增删改查、列表展示、简单检索、详情查看等。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高企信息查询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支持通过关键字检索、标签等多条件综合查询筛选过滤对高企信息，并可查看高企详情画像信息。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高企信息批量导入与导出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支持高企信息按模块、按查询筛选条件对不同库中的高企数据进行批量导入、批量导出操作。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项目盯引管理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盯引项目信息填报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包括盯引项目新增填报、编辑、删除、列表、查询等功能。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盯引项目审核</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支持对盯引项目信息填报的审批、撤销、驳回、退回等功能，并支持审批状态显示和查看、审批待办列表和已办列表展示和条件查询等。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盯引项目查询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支持对盯引项目按照时间、产业类型等多维度多条件查询。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营商环境</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指标监测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围绕营商环境指标体系，对本区营商环境各指标在全市范围排名综合展示，对标杆指标、中部指标和落后指标进行晾晒。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指标预警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相关指标出现超时、满意度不高等情况及时亮灯预警，同时推送相关责任部门负责人。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指标整改</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指标责任部门在收到预警后，根据问题及时进行整改，并将整改举措和整改结果进行反馈。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创新事项</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展示营商环境杭州规定改革事项、杭州特色改革事项，拱墅特色改革事项的承接落实情况，对规定事项落实不到位的责任部门进行预警，并要求整改反馈。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案例推广</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形成拱墅区营商环境案例库，展现典型案例、拱墅经验的获奖、获批示、获刊登情况。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报告生成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设置营商环境指标体系汇报模板，根据指标、数据及时生成本月拱墅区营商环境状况。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服务跟踪</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对大走访大调研大服务大解题活动中的走访情况，问题情况进行分类处置，持续跟踪。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项目填报通知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提供责任单位项目信息填报、项目进度填报通知、待办提醒等功能。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项目信息填报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项目信息填报功能，支持项目信息增删改查功能，具体包括项目信息列表、项目编辑页面、项目详情页面、项目检索区等，其中项目信息填报包括项目基本信息、建设规模及内容信息、项目投资信息、项目计划信息、项目地图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项目信息筛选</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支持对已填报的项目进行筛选和进入已筛选项目库，进入筛选库的项目支持审批确认人对项目信息内容的编辑修改。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项目标签</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可对已完成填报的项目，维护形成项目分类标签。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项目进度填报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支持项目进度填报功能，具体填写内容包括项目施工进度、项目状态、项目滞后问题、解决建议和项目图片。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项目进度审核</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支持对项目进度信息的审核确认功能，对进度有问题的支持人工编辑矫正。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项目进度催报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检测项目进度填报完成情况，将未完成进度填报的项目进行标识，并能进行进度填报催报。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支持按照项目年度、项目名称、项目类型、项目状态、责任单位、项目投资规模等的多维度项目信息查询筛选。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项目问题处置</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支持对项目问题的协同处置与流转。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报表综合管理</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报表制度管理</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综合报表制度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统计内专业综合报表和部门综合报表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微观报表制度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主要包含部门共享的企业明细报表和国家联网直报企业报表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报表管理</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报表定制工具</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提供类似在线版的excel，支持报表表样的定制。支持新建报表、单元格设置、属性设置、审核公式管理、保存报表、加载报表、删除报表、表内计算、错误定位功能。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表样管理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对报表表样的指标、分组、地区等定义、修改和版本管理等功能。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指标管理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对报表中使用的指标进行管理，建设企业画像评价指标体系。主要功能包括：新增指标、编辑指标、发布时间、共享范围设置、指标复制等。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期别管理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对报表采集的频度期别进行管理。对上报报表通过期别管理生成不同各频度、不同时期的上报模板，供上报用户填报数据。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数据采集计算</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专业数据上报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专业通过定义好的报表进行数据填报。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国家联网直报数据</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与省局对接，获取隶属于拱墅区的企业一套表数据。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部门数据</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通过excel导入从各部门收集的数据，包括财政、商务、投促、金融、税务、公安、市场监管、法院、数据资源局等部门数据。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数据处理及汇总计算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按照提供的预警各等级的计算规则和评价规则进行定制计算，用于大屏展示。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数据指标化存储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根据定义的报表，拆分指标数据，用户后续的可视化展示。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出库表管理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根据展示要求，组织定义出库表取数，并将数据同步至接口平台。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提供系统中填报、采集及回流的数据查询及结果功能，主要包含：专业数据查询、部门数据查询和企业数据查询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元数据管理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元数据主要包括指标定义管理、指标对比项管理、分组字典管理、地区分组管理、计量单位管理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数据服务及初始化</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1、用户、权限、入库表表样、出库表表样、指标，报表与指标关联关填报专业、所属专业、报表期别等初始化系等进行初始化设置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2、评价指标体系建立及初始化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数据资源管理</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数据看板</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数据归集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通过统计方式主观展示各种途径归集数据量占比、规范性占比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数据仓库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按照源数据层、数据标准层、数据明细层、数据汇总层只管展示数仓治理过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数据统计</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统计当日和历史数据量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数据质量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从问题数据处置率、问题数据反馈率、数据质量bug维度分析展示数据质量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数据更新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按照近1周、近1月、近3月、近6月、近1年、超过1年维度统计数据更新数量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数据应用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按照系统建设子模块数据需求产生数据表和数据量进行统计展示数据应用情况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数据管理</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数据填报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业务应用层30-50项指标源数据接入情况，支持对业务系统或接口接入以外的各类数据进行手工填报、表格导入、导出功能，支持录入信息的增删改查，包括录入数据列表、编辑页面、录入信息查看详情页面等，对录入的同类经济指标数据，可在列表上方进行简单检索定位录入的某条数据信息，如按照指标录入时间进行检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支持对指标数据的查询、检索、查看功能，可按照指标名称、关键词搜索查询定位具体指标并查看具体指标信息。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数据库表字段展示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按照数据库中表字段，展示数据库中存在的所有数据字段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数据脱敏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对敏感数据进行脱敏处理。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系统管理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用户管理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对系统用户进行管理，支持列表查看、用户新增、用户搜索、用户批量管理、用户删除、用户查询、密码管理等功能。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角色管理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对用户角色进行管理，支持角色列表查看、角色搜索、角色新增等操作。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权限管理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展现系统包含的权限，建立权限矩阵，通过权限控制不同角色查看到的数据内容和提供的功能模块。系统管理员可以完成对系统角色的维护，包括角色的新增、删除、角色的功能分配、角色的用户分配。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菜单管理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对系统菜单进行管理，支持列表查看、菜单搜索、菜单新增、修改、显示等功能。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操作日志管理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操作日志进行管理、包含操作日志列表展示、操作人员列表展示、登陆IP列表展示、操作端列表展示、模块标题列表展示、操作对象列表展示、操作类型列表展示、操作结果列表展示、操作时间列表展示、操作人员名称搜索、搜索确认、搜索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短信模板管理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支持短信模板管理，短信模板配置，新建、编辑、删除。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回收站</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支持回收站功能，平台内被删除数据，支持回收站内查找并完成数据还原，支持数据的彻底删除。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浙政钉移动端功能模块</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浙政钉首页</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基于浙政钉拱墅平台，搭建移动端，结合浙政钉工作台以应用形式建设浙政钉移动端首页展示界面。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重点企业库模块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支持重点企业信息的查看、新增、编辑，支持重点企业搜索、关注。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楼宇经济管理模块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支持楼宇基础信息、楼宇入驻企业信息的查看。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企业诉求模块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支持企业诉求单的查看、新增、编辑、删除、搜索；支持问题交办流转。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服务日志模块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支持个人日志的新增、查看、编辑、删除；支持日志的查看、编辑、删除。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要素匹配</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基于浙政钉移动端，开发地块资源查询功能。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一键找楼</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基于浙政钉移动端，开发楼宇资源查询功能。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一键找钱</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基于浙政钉移动端，开发贷款产品查询功能。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企业端功能模块</w:t>
            </w:r>
          </w:p>
        </w:tc>
        <w:tc>
          <w:tcPr>
            <w:tcW w:w="0" w:type="auto"/>
            <w:gridSpan w:val="2"/>
            <w:shd w:val="clear" w:color="000000" w:fill="FFFFFF"/>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服务资源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通过移动端，为企业提供企业服务相关政策资源、培训资源的在线查看。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000000" w:fill="FFFFFF"/>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企业诉求</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企业服务移动端支持企业诉求反馈，并支持企业查看诉求进度。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要素匹配</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基于浙政钉移动端，开发地块资源查询功能。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一键找楼</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基于浙政钉移动端，开发楼宇资源查询功能。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一键找钱</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基于浙政钉移动端，开发贷款产品查询功能。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智能算法模型</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区域经济活力模型</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区域经济活力指数模型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经济活力指数模型，从经济成长性、市场活跃度、要素保障性、消费景气度、科技创新力等多维度搭建模型，通过综合数据处理和计算得到经济活力指数，反映拱墅区当前经济活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经济成长性模型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通过业务建模和数学建模构建经济成长性模型，从GDP增速、GDP关键指标等多维度搭建模型，通过综合数据处理和计算得到经济成长性模型数据结果，反映拱墅区当前经济成长性。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市场活跃度模型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通过业务建模和数学建模构建市场活跃度模型，从市场主体情况、行政办件数量等多维度搭建模型，通过综合数据处理和计算得到市场活跃度模型数据结果，反映拱墅区当前市场活跃度。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要素保障性模型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通过业务建模和数学建模构建要素保障性模型，从能源用电、资金要素等多维度搭建模型，通过综合数据处理和计算得到要素保障性模型数据结果，反映拱墅区当前生产要素保障性情况。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消费景气度模型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通过业务建模和数学建模构建消费景气度模型，从商圈人流、市场价格等多维度搭建模型，通过综合数据处理和计算得到消费景气度模型数据结果，反映拱墅区当前消费市场景气度。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科技创新力模型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通过业务建模和数学建模构建科技创新力模型，从运河英才、知识产权数量等多维度搭建模型，通过综合数据处理和计算得到科技创新力模型数据结果，反映拱墅区当前科技创新力。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项目一点通模型</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盯引计算器模型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根据项目投入与产出情况构建模型对投入产出情况进行智能运算。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履约计算器模型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对项目履约情况进行智能计算。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企业安商预警指数</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安商稳商指数模型，从预警信息处置及时率、稳企率、税源企业外迁税收占比、重点税源流入流出等多维度搭建模型，通过综合数据处理和计算得到安商稳商指数模型数据结果，反映拱墅区安商稳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企业安心指数模型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企业安心指数模型，从重点企业走访率、涉企诉求处置及时率、涉企诉求答复满意率、大企业裂变项目承接等多维度搭建模型，通过综合数据处理和计算得到企业安心指数模型数据结果，反映拱墅区企业稳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楼宇经济指数</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楼宇活力指数模型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通过业务建模和数学建模构建楼宇活力指数模型，从楼宇荣誉资质、人才队伍、商标专利等多维度搭建模型，通过综合数据处理和计算得到楼宇活力指数模型数据结果，反映拱墅区楼宇经济活力情况。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楼宇稳商指数模型，从楼宇入驻率、在地注册率、在地税收缴纳率、新招引企业数等多维度搭建模型，通过综合数据处理和计算得到楼宇稳商指数模型数据结果，反映拱墅区楼宇企业稳定性和经济贡献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企业评价指数</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企业评价指数模型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评价模型分为企业风险预警评价、区域预警和企业综合情况评价，企业风险预警评价根据企业的单位规模、创新能力、经营状况、纳税状况、信誉风险、金融风险和流动风险按照一定规则进行计算，生成高、中、低风险企业评价；区域预警就是根据上述企业的风险状况分行业、分街道进行汇总计算，形成分行业、分街道的风险预警情况；企业综合评价从产业影响度、企业创新能力、增长能力、税收贡献、盈利状况等对企业进行综合评价，按照企业综合评价的计算规则进行定制汇总计算，生成企业综合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高企培育模型</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基础库筛选模型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通过业务建模和数学建模构建高企培育基础库筛选模型，以企业状态、是否独立法人、是否分公司、有效专利数、软件著作权数等维度设定筛选规则，评价筛选进入基础库的高新技术企业，作为培育库候选企业。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培育库筛选模型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高企培育培育库筛选模型，以是否为高新技术企业、成立日期、近三年专利数、近三年软件著作权数、社保人数等维度设定筛选规则，评价筛选进入培育库的高新技术企业，作为重点排查企业库后备队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重点排查库筛选模型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高企培育重点排查库筛选模型，以成立日期、近两年年专利数、近两年软件著作权数、营业收入等维度设定筛选规则，评价筛选进入重点排查库的高新技术企业，作为高企培育重点关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数据支撑</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系统集成对接</w:t>
            </w:r>
          </w:p>
        </w:tc>
        <w:tc>
          <w:tcPr>
            <w:tcW w:w="0" w:type="auto"/>
            <w:gridSpan w:val="2"/>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浙政钉对接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应用上架浙政钉；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区可信数字身份安全管控平台对接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用户体系基于拱墅区可信数字身份安全管控平台对接统一用户体系；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区地理信息平台对接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地图组件对接拱墅区统一地图组件；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浙江省统计局“统计大脑+应用”系统对接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对接“统计大脑+应用”系统数据；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数据拱墅智慧平台对接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对接数据拱墅智慧平台数据；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数据库建设</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主题库</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从企业、楼宇、地块、人等维度建设经济主题数据库；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专题库</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按照本项目业务需求按照经济指标、重点经济专题、项目推进、楼均论英雄、重点产业等建设十五个专题数据库；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安全专项建设</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等保测评等安全建设</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软件系统按要求完成等保二级测评等安全专项建设，并出具等保二级测评报告。</w:t>
            </w:r>
          </w:p>
        </w:tc>
      </w:tr>
    </w:tbl>
    <w:p>
      <w:pPr>
        <w:pStyle w:val="258"/>
        <w:adjustRightInd/>
        <w:spacing w:line="440" w:lineRule="exact"/>
        <w:ind w:firstLine="0" w:firstLineChars="0"/>
        <w:rPr>
          <w:rFonts w:ascii="仿宋_GB2312" w:hAnsi="仿宋_GB2312" w:eastAsia="仿宋_GB2312" w:cs="仿宋_GB2312"/>
          <w:b/>
          <w:bCs/>
        </w:rPr>
      </w:pPr>
      <w:r>
        <w:rPr>
          <w:rFonts w:hint="eastAsia" w:ascii="仿宋_GB2312" w:hAnsi="仿宋_GB2312" w:eastAsia="仿宋_GB2312" w:cs="仿宋_GB2312"/>
          <w:b/>
          <w:bCs/>
        </w:rPr>
        <w:t>四、其它要求</w:t>
      </w:r>
    </w:p>
    <w:p>
      <w:pPr>
        <w:pStyle w:val="862"/>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rPr>
        <w:t>4.</w:t>
      </w:r>
      <w:r>
        <w:rPr>
          <w:rFonts w:hint="eastAsia" w:ascii="仿宋_GB2312" w:hAnsi="仿宋_GB2312" w:eastAsia="仿宋_GB2312" w:cs="仿宋_GB2312"/>
          <w:highlight w:val="none"/>
        </w:rPr>
        <w:t>1.实施进度要求</w:t>
      </w:r>
    </w:p>
    <w:p>
      <w:pPr>
        <w:pStyle w:val="862"/>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合同签订后</w:t>
      </w:r>
      <w:r>
        <w:rPr>
          <w:rFonts w:ascii="仿宋_GB2312" w:hAnsi="仿宋_GB2312" w:eastAsia="仿宋_GB2312" w:cs="仿宋_GB2312"/>
          <w:highlight w:val="none"/>
        </w:rPr>
        <w:t>3</w:t>
      </w:r>
      <w:r>
        <w:rPr>
          <w:rFonts w:hint="eastAsia" w:ascii="仿宋_GB2312" w:hAnsi="仿宋_GB2312" w:eastAsia="仿宋_GB2312" w:cs="仿宋_GB2312"/>
          <w:highlight w:val="none"/>
        </w:rPr>
        <w:t>个月内完成软件的开发建设，组织项目初验并启动试运行。</w:t>
      </w:r>
    </w:p>
    <w:p>
      <w:pPr>
        <w:pStyle w:val="862"/>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试运行</w:t>
      </w:r>
      <w:r>
        <w:rPr>
          <w:rFonts w:ascii="仿宋_GB2312" w:hAnsi="仿宋_GB2312" w:eastAsia="仿宋_GB2312" w:cs="仿宋_GB2312"/>
          <w:highlight w:val="none"/>
        </w:rPr>
        <w:t>3</w:t>
      </w:r>
      <w:r>
        <w:rPr>
          <w:rFonts w:hint="eastAsia" w:ascii="仿宋_GB2312" w:hAnsi="仿宋_GB2312" w:eastAsia="仿宋_GB2312" w:cs="仿宋_GB2312"/>
          <w:highlight w:val="none"/>
        </w:rPr>
        <w:t>个月，完成试运行期间问题整改后组织项目终验，进入正式运行阶段和售后服务阶段。</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投标人应按照上述时间安排，制定相应的项目实施详细进度计划，确定每个实施阶段的时间表及工作目标，非不可抗力原因造成项目延期，投标人需承担违约责任。</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4.2.项目组织及实施要求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1）投标人中标后需要在5个工作日内成立工作团队，并指定一名专职的项目经理，负责项目协调和调度工作。除项目经理外，项目组须配备专职的技术经理、大数据经理，并按照项目实施的要求，配置具有相应能力的开发实施人员。提供的项目经理人选应具备项目管理相关能力，实施团队人员需要具备与本项目相关的知识技能，包括但不限于信息系统管理、JAVA研发、软件设计、网络设计、大数据应用、软件测试等等相关能力。</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2）参与此项目的技术人员必须具有承担过相同类型系统平台开发部署的经验，能够与用户进行良好的沟通，掌握相关领域的相关基础知识，具备相关产品集成、应用和开发的能力。</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3）要求中标人在各阶段及时提供相应的项目管理文档、设计类文档及实施类文档，以便采购人及时了解项目进展情况。</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4）对上述安排投标人应列出详细实施方案，包括但不限于项目管理计划、项目进度计划、项目验收计划、项目组织结构等。</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5）投标人应在投标文件中提供详细的项目组织实施方案，应包括项目组织机构、项目进度计划、项目测试、项目需求、项目风险、沟通机制、项目文档、项目验收等。</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6）投标人应在投标时提交相应演示视频文件，主要包括：</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①应用构建：通过配置化方式直接创建应用系统模块，可配置应用名称、应用所属部门、应用类型、应用管理员、启用状态、应用图标、应用说明等基本信息；并可对已经创建的应用基本信息进行快速修改。</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②快速构建表单能力：通过表单可视化配置，实现“表单分组、控件拖拽”的可视化配置；实现表单字段涉及的“字段名、显示类型、输入框后描述、脱敏类型、输入长度、校验规则、操作属性、默认值、数据来源”等基本信息可视化配置；且可通过触发事件中“外部接口和Sql查询”功能实现表单字段和数据接口参数的关联可视化配置。</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③快速构建审批流程：通过可视化拖拽方式配置审批流程环节；支持审批节点、抄送节点、条件分支等多节点类型；表单中可嵌入多张流程表单，并可以单独分配填写权限。可以固定流程节点负责人，同时可根据表单内的字段值以及组织架构等设置动态的节点负责人。</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④实时数据共享能力演示：在无需第三方业务系统供应商等技术支持下，依托系统登录账号和密码，开发数据共享接口，基于快速构建的表单实现实时共享准确获取第三方业务系统数据。</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⑤系统对接数据实时写入能力：在无需第三方业务系统供应商等技术支持下，依托系统登录账号和密码，开发系统对接数据写入接口，基于快速构建的表单实现将业务数据实时写入第三方业务系统的能力。</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4.3、测试及系统集成要求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1）中标人有责任检查安装现场是否符合软件安装条件。软件产品研发完成或货物到达买方指定的现场后，将由中标人与采购人或其委托的监理机构共同清点审查，并进行签字确认。若有差异，应由中标人承担责任。项目实施过程中，本项目建设范围内如果牵涉到与第三方系统集成、对接等工作，中标人应与其它供应商通力合作，并提供必要的技术支持。</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2）中标人应保证其提供的产品在正确安装、正常使用和保养条件下，在使用寿命期内应具有满意的性能，投标人应对由于设计、工艺或材料的缺陷而产生的故障负完全责任。</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3）中标人在方案设计中要充分考虑数据传输、存储、管理方面采取相应技术措施保障，并建立相关安全管理制度，做好安全审查和保密要求以及分级保护要求，防止信息外泻，造成不良影响。</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4）中标人应当落实国家密码管理有关法律法规、政策和标准规范的要求，同步规划、同步建设、同步运行密码保障系统并定期进行评估。</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5)中标人应当落实政务信息系统整合共享要求，符合政务信息共享标准体系，确保相关系统能够按照规定接入国家共享数据交换平台。</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6）原则上应当采用云计算模式进行应用建设，且支持互联网协议第六版（IPv6）的技术要求。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4.4.售后服务要求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1）提供自项目终验完成之日起1年的免费维护服务，在此期间，投标人应免费处理因技术开发质量发生的故障，并进行正常维护。</w:t>
      </w:r>
    </w:p>
    <w:p>
      <w:pPr>
        <w:pStyle w:val="862"/>
        <w:spacing w:line="440" w:lineRule="exact"/>
        <w:ind w:firstLine="480"/>
        <w:rPr>
          <w:rFonts w:ascii="仿宋_GB2312" w:hAnsi="仿宋_GB2312" w:eastAsia="仿宋_GB2312" w:cs="仿宋_GB2312"/>
          <w:color w:val="000000"/>
        </w:rPr>
      </w:pPr>
      <w:r>
        <w:rPr>
          <w:rFonts w:ascii="仿宋_GB2312" w:hAnsi="仿宋_GB2312" w:eastAsia="仿宋_GB2312" w:cs="仿宋_GB2312"/>
          <w:color w:val="000000"/>
        </w:rPr>
        <w:t>2）在保修期内由于系统本身质量原因造成的任何问题，中标人须免费负责修复。</w:t>
      </w:r>
    </w:p>
    <w:p>
      <w:pPr>
        <w:pStyle w:val="862"/>
        <w:spacing w:line="440" w:lineRule="exact"/>
        <w:ind w:firstLine="480"/>
        <w:rPr>
          <w:rFonts w:ascii="仿宋_GB2312" w:hAnsi="仿宋_GB2312" w:eastAsia="仿宋_GB2312" w:cs="仿宋_GB2312"/>
          <w:color w:val="000000"/>
        </w:rPr>
      </w:pPr>
      <w:r>
        <w:rPr>
          <w:rFonts w:ascii="仿宋_GB2312" w:hAnsi="仿宋_GB2312" w:eastAsia="仿宋_GB2312" w:cs="仿宋_GB2312"/>
          <w:color w:val="000000"/>
        </w:rPr>
        <w:t>3）质量保证期自项目正式验收合格之日开始计算；提供7×24×365全天侯服务，及时解决故障。电话半小时内必须响应，现场排除故障响应时间小于8小时，24小时内恢复系统正常运行。重大技术问题，技术专家2小时内抵达现场，4小时内给予解决；若短期无法解决的，应及时提供应急措施，并提出书面解决方案报采购人批准。</w:t>
      </w:r>
    </w:p>
    <w:p>
      <w:pPr>
        <w:pStyle w:val="862"/>
        <w:spacing w:line="440" w:lineRule="exact"/>
        <w:ind w:firstLine="480"/>
        <w:rPr>
          <w:rFonts w:ascii="仿宋_GB2312" w:hAnsi="仿宋_GB2312" w:eastAsia="仿宋_GB2312" w:cs="仿宋_GB2312"/>
          <w:color w:val="000000"/>
        </w:rPr>
      </w:pPr>
      <w:r>
        <w:rPr>
          <w:rFonts w:ascii="仿宋_GB2312" w:hAnsi="仿宋_GB2312" w:eastAsia="仿宋_GB2312" w:cs="仿宋_GB2312"/>
          <w:color w:val="000000"/>
        </w:rPr>
        <w:t>4）为保证系统正常、安全地运行，技术支持力量和优良的服务是系统正常、安全运行的保障。投标人应据此制定系统详细的技术支持与服务方案，包括服务内容、服务方式、服务响应时间、应急措施及组织结构等。</w:t>
      </w:r>
    </w:p>
    <w:p>
      <w:pPr>
        <w:pStyle w:val="862"/>
        <w:spacing w:line="440" w:lineRule="exact"/>
        <w:ind w:firstLine="480"/>
        <w:rPr>
          <w:rFonts w:ascii="仿宋_GB2312" w:hAnsi="仿宋_GB2312" w:eastAsia="仿宋_GB2312" w:cs="仿宋_GB2312"/>
          <w:color w:val="000000"/>
        </w:rPr>
      </w:pPr>
      <w:r>
        <w:rPr>
          <w:rFonts w:ascii="仿宋_GB2312" w:hAnsi="仿宋_GB2312" w:eastAsia="仿宋_GB2312" w:cs="仿宋_GB2312"/>
          <w:color w:val="000000"/>
        </w:rPr>
        <w:t>5）故障修复时间要求：</w:t>
      </w:r>
    </w:p>
    <w:tbl>
      <w:tblPr>
        <w:tblStyle w:val="62"/>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576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b/>
                <w:bCs/>
                <w:kern w:val="2"/>
              </w:rPr>
            </w:pPr>
            <w:r>
              <w:rPr>
                <w:rFonts w:hint="eastAsia" w:ascii="仿宋_GB2312" w:hAnsi="仿宋_GB2312" w:eastAsia="仿宋_GB2312" w:cs="仿宋_GB2312"/>
                <w:b/>
                <w:bCs/>
                <w:kern w:val="2"/>
              </w:rPr>
              <w:t>故障级别</w:t>
            </w:r>
          </w:p>
        </w:tc>
        <w:tc>
          <w:tcPr>
            <w:tcW w:w="5766" w:type="dxa"/>
          </w:tcPr>
          <w:p>
            <w:pPr>
              <w:pStyle w:val="161"/>
              <w:spacing w:line="440" w:lineRule="exact"/>
              <w:jc w:val="center"/>
              <w:rPr>
                <w:rFonts w:ascii="仿宋_GB2312" w:hAnsi="仿宋_GB2312" w:eastAsia="仿宋_GB2312" w:cs="仿宋_GB2312"/>
                <w:b/>
                <w:bCs/>
                <w:kern w:val="2"/>
              </w:rPr>
            </w:pPr>
            <w:r>
              <w:rPr>
                <w:rFonts w:hint="eastAsia" w:ascii="仿宋_GB2312" w:hAnsi="仿宋_GB2312" w:eastAsia="仿宋_GB2312" w:cs="仿宋_GB2312"/>
                <w:b/>
                <w:bCs/>
                <w:kern w:val="2"/>
              </w:rPr>
              <w:t>故障类型</w:t>
            </w:r>
          </w:p>
        </w:tc>
        <w:tc>
          <w:tcPr>
            <w:tcW w:w="1383" w:type="dxa"/>
          </w:tcPr>
          <w:p>
            <w:pPr>
              <w:pStyle w:val="161"/>
              <w:spacing w:line="440" w:lineRule="exact"/>
              <w:jc w:val="center"/>
              <w:rPr>
                <w:rFonts w:ascii="仿宋_GB2312" w:hAnsi="仿宋_GB2312" w:eastAsia="仿宋_GB2312" w:cs="仿宋_GB2312"/>
                <w:b/>
                <w:bCs/>
                <w:kern w:val="2"/>
              </w:rPr>
            </w:pPr>
            <w:r>
              <w:rPr>
                <w:rFonts w:hint="eastAsia" w:ascii="仿宋_GB2312" w:hAnsi="仿宋_GB2312" w:eastAsia="仿宋_GB2312" w:cs="仿宋_GB2312"/>
                <w:b/>
                <w:bCs/>
                <w:kern w:val="2"/>
              </w:rPr>
              <w:t>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一级故障</w:t>
            </w:r>
          </w:p>
        </w:tc>
        <w:tc>
          <w:tcPr>
            <w:tcW w:w="5766"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整个系统处于瘫痪状态，不能正常运行</w:t>
            </w:r>
          </w:p>
        </w:tc>
        <w:tc>
          <w:tcPr>
            <w:tcW w:w="1383" w:type="dxa"/>
          </w:tcPr>
          <w:p>
            <w:pPr>
              <w:pStyle w:val="161"/>
              <w:spacing w:line="440" w:lineRule="exact"/>
              <w:jc w:val="center"/>
              <w:rPr>
                <w:rFonts w:ascii="仿宋_GB2312" w:hAnsi="仿宋_GB2312" w:eastAsia="仿宋_GB2312" w:cs="仿宋_GB2312"/>
              </w:rPr>
            </w:pPr>
            <w:r>
              <w:rPr>
                <w:rFonts w:ascii="仿宋_GB2312" w:hAnsi="仿宋_GB2312" w:eastAsia="仿宋_GB2312" w:cs="仿宋_GB2312"/>
              </w:rPr>
              <w: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二级故障</w:t>
            </w:r>
          </w:p>
        </w:tc>
        <w:tc>
          <w:tcPr>
            <w:tcW w:w="5766"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系统性能严重下降或局部功能无法使用，业务运作受到影响</w:t>
            </w:r>
          </w:p>
        </w:tc>
        <w:tc>
          <w:tcPr>
            <w:tcW w:w="1383" w:type="dxa"/>
          </w:tcPr>
          <w:p>
            <w:pPr>
              <w:pStyle w:val="161"/>
              <w:spacing w:line="440" w:lineRule="exact"/>
              <w:jc w:val="center"/>
              <w:rPr>
                <w:rFonts w:ascii="仿宋_GB2312" w:hAnsi="仿宋_GB2312" w:eastAsia="仿宋_GB2312" w:cs="仿宋_GB2312"/>
              </w:rPr>
            </w:pPr>
            <w:r>
              <w:rPr>
                <w:rFonts w:ascii="仿宋_GB2312" w:hAnsi="仿宋_GB2312" w:eastAsia="仿宋_GB2312" w:cs="仿宋_GB2312"/>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三级故障</w:t>
            </w:r>
          </w:p>
        </w:tc>
        <w:tc>
          <w:tcPr>
            <w:tcW w:w="5766"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系统部分设备或者软件出现故障，但整个系统仍可正常工作</w:t>
            </w:r>
          </w:p>
        </w:tc>
        <w:tc>
          <w:tcPr>
            <w:tcW w:w="1383" w:type="dxa"/>
          </w:tcPr>
          <w:p>
            <w:pPr>
              <w:pStyle w:val="161"/>
              <w:spacing w:line="440" w:lineRule="exact"/>
              <w:jc w:val="center"/>
              <w:rPr>
                <w:rFonts w:ascii="仿宋_GB2312" w:hAnsi="仿宋_GB2312" w:eastAsia="仿宋_GB2312" w:cs="仿宋_GB2312"/>
              </w:rPr>
            </w:pPr>
            <w:r>
              <w:rPr>
                <w:rFonts w:ascii="仿宋_GB2312" w:hAnsi="仿宋_GB2312" w:eastAsia="仿宋_GB2312" w:cs="仿宋_GB2312"/>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四级故障</w:t>
            </w:r>
          </w:p>
        </w:tc>
        <w:tc>
          <w:tcPr>
            <w:tcW w:w="5766"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系统出现问题，但对业务运作几乎没有影响</w:t>
            </w:r>
          </w:p>
        </w:tc>
        <w:tc>
          <w:tcPr>
            <w:tcW w:w="1383" w:type="dxa"/>
          </w:tcPr>
          <w:p>
            <w:pPr>
              <w:pStyle w:val="161"/>
              <w:spacing w:line="440" w:lineRule="exact"/>
              <w:jc w:val="center"/>
              <w:rPr>
                <w:rFonts w:ascii="仿宋_GB2312" w:hAnsi="仿宋_GB2312" w:eastAsia="仿宋_GB2312" w:cs="仿宋_GB2312"/>
              </w:rPr>
            </w:pPr>
            <w:r>
              <w:rPr>
                <w:rFonts w:ascii="仿宋_GB2312" w:hAnsi="仿宋_GB2312" w:eastAsia="仿宋_GB2312" w:cs="仿宋_GB2312"/>
              </w:rPr>
              <w:t>48小时</w:t>
            </w:r>
          </w:p>
        </w:tc>
      </w:tr>
    </w:tbl>
    <w:p>
      <w:pPr>
        <w:pStyle w:val="258"/>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6）技术人员水平要求：技术人员具有相关的认证和培训证明，能独立处理故障，能深层次分析疑难问题，寻找规范，遵守采购人制度，服务态度积极。</w:t>
      </w:r>
    </w:p>
    <w:p>
      <w:pPr>
        <w:pStyle w:val="258"/>
        <w:adjustRightInd/>
        <w:spacing w:line="440" w:lineRule="exact"/>
        <w:ind w:firstLine="0" w:firstLineChars="0"/>
        <w:rPr>
          <w:rFonts w:ascii="仿宋_GB2312" w:hAnsi="仿宋_GB2312" w:eastAsia="仿宋_GB2312" w:cs="仿宋_GB2312"/>
          <w:b/>
          <w:bCs/>
        </w:rPr>
      </w:pPr>
      <w:r>
        <w:rPr>
          <w:rFonts w:hint="eastAsia" w:ascii="仿宋_GB2312" w:hAnsi="仿宋_GB2312" w:eastAsia="仿宋_GB2312" w:cs="仿宋_GB2312"/>
          <w:b/>
          <w:bCs/>
        </w:rPr>
        <w:t>五、培训</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5.1、系统操作培训要求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1）中标人应对采购人相关技术人员进行中间件、技术架构、应用、维护、开发等知识的全面培训，培训的内容必须覆盖日常操作和管理维护，以及运维体系等课程，必须提供相应的培训教材和相关的详细技术资料，按用户要求进行培训。</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2）培训时间不少于5个工作日，具体以用户方签字确认为准。</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3）提供的培训教材应完整成套，并结合实际应用编制，必须采用简体中文编写。</w:t>
      </w:r>
    </w:p>
    <w:p>
      <w:pPr>
        <w:pStyle w:val="258"/>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4）除培训计划外，在系统运行和推广期间，若采购人有培训需求，应协助采购人进行相关培训。</w:t>
      </w:r>
    </w:p>
    <w:p>
      <w:pPr>
        <w:pStyle w:val="258"/>
        <w:adjustRightInd/>
        <w:spacing w:line="440" w:lineRule="exact"/>
        <w:ind w:firstLine="0" w:firstLineChars="0"/>
        <w:rPr>
          <w:rFonts w:ascii="仿宋_GB2312" w:hAnsi="仿宋_GB2312" w:eastAsia="仿宋_GB2312" w:cs="仿宋_GB2312"/>
          <w:highlight w:val="none"/>
        </w:rPr>
      </w:pPr>
      <w:r>
        <w:rPr>
          <w:rFonts w:hint="eastAsia" w:ascii="仿宋_GB2312" w:hAnsi="仿宋_GB2312" w:eastAsia="仿宋_GB2312" w:cs="仿宋_GB2312"/>
          <w:b/>
          <w:bCs/>
          <w:highlight w:val="none"/>
        </w:rPr>
        <w:t>六、汇总</w:t>
      </w:r>
    </w:p>
    <w:p>
      <w:pPr>
        <w:pStyle w:val="258"/>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本项目除需提供本部分所列采购内容外，还包含提交应覆盖以下内容的相关文档，包括项目实施计划、系统试运行报告、工作总结报告、软件系统等保二级测评报告、用户使用手册及采购人要求提交的其他材料。</w:t>
      </w:r>
    </w:p>
    <w:p>
      <w:pPr>
        <w:pStyle w:val="258"/>
        <w:adjustRightInd/>
        <w:spacing w:line="440" w:lineRule="exact"/>
        <w:ind w:firstLine="480"/>
        <w:rPr>
          <w:rFonts w:ascii="仿宋_GB2312" w:hAnsi="仿宋_GB2312" w:eastAsia="仿宋_GB2312" w:cs="仿宋_GB2312"/>
        </w:rPr>
      </w:pPr>
    </w:p>
    <w:p>
      <w:pPr>
        <w:pStyle w:val="258"/>
        <w:adjustRightInd/>
        <w:spacing w:line="440" w:lineRule="exact"/>
        <w:ind w:firstLine="480"/>
        <w:rPr>
          <w:rFonts w:ascii="仿宋_GB2312" w:hAnsi="仿宋_GB2312" w:eastAsia="仿宋_GB2312" w:cs="仿宋_GB2312"/>
        </w:rPr>
      </w:pPr>
    </w:p>
    <w:p>
      <w:pPr>
        <w:pStyle w:val="258"/>
        <w:adjustRightInd/>
        <w:spacing w:line="440" w:lineRule="exact"/>
        <w:ind w:firstLine="480"/>
        <w:rPr>
          <w:rFonts w:ascii="仿宋_GB2312" w:hAnsi="仿宋_GB2312" w:eastAsia="仿宋_GB2312" w:cs="仿宋_GB2312"/>
        </w:rPr>
      </w:pPr>
    </w:p>
    <w:p>
      <w:pPr>
        <w:pStyle w:val="258"/>
        <w:adjustRightInd/>
        <w:spacing w:line="440" w:lineRule="exact"/>
        <w:ind w:firstLine="480"/>
        <w:rPr>
          <w:rFonts w:ascii="仿宋_GB2312" w:hAnsi="仿宋_GB2312" w:eastAsia="仿宋_GB2312" w:cs="仿宋_GB2312"/>
        </w:rPr>
      </w:pP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24"/>
        </w:rPr>
        <w:br w:type="page"/>
      </w:r>
      <w:r>
        <w:rPr>
          <w:rFonts w:hint="eastAsia" w:ascii="仿宋_GB2312" w:hAnsi="仿宋_GB2312" w:eastAsia="仿宋_GB2312" w:cs="仿宋_GB2312"/>
          <w:b/>
          <w:sz w:val="36"/>
          <w:szCs w:val="20"/>
        </w:rPr>
        <w:t>第四部分</w:t>
      </w:r>
      <w:bookmarkStart w:id="28" w:name="_Toc184312116"/>
      <w:bookmarkEnd w:id="28"/>
      <w:bookmarkStart w:id="29" w:name="_Toc184310341"/>
      <w:bookmarkEnd w:id="29"/>
      <w:bookmarkStart w:id="30" w:name="_Toc184310340"/>
      <w:bookmarkEnd w:id="30"/>
      <w:bookmarkStart w:id="31" w:name="_Toc184313300"/>
      <w:bookmarkEnd w:id="31"/>
      <w:bookmarkStart w:id="32" w:name="_Toc184308072"/>
      <w:bookmarkEnd w:id="32"/>
      <w:bookmarkStart w:id="33" w:name="_Toc184313306"/>
      <w:bookmarkEnd w:id="33"/>
      <w:bookmarkStart w:id="34" w:name="_Toc184312097"/>
      <w:bookmarkEnd w:id="34"/>
      <w:bookmarkStart w:id="35" w:name="_Toc184313288"/>
      <w:bookmarkEnd w:id="35"/>
      <w:bookmarkStart w:id="36" w:name="_Toc184312112"/>
      <w:bookmarkEnd w:id="36"/>
      <w:bookmarkStart w:id="37" w:name="_Toc184314473"/>
      <w:bookmarkEnd w:id="37"/>
      <w:bookmarkStart w:id="38" w:name="_Toc184310273"/>
      <w:bookmarkEnd w:id="38"/>
      <w:bookmarkStart w:id="39" w:name="_Toc184310275"/>
      <w:bookmarkEnd w:id="39"/>
      <w:bookmarkStart w:id="40" w:name="_Toc184314442"/>
      <w:bookmarkEnd w:id="40"/>
      <w:bookmarkStart w:id="41" w:name="_Toc184308070"/>
      <w:bookmarkEnd w:id="41"/>
      <w:bookmarkStart w:id="42" w:name="_Toc184312134"/>
      <w:bookmarkEnd w:id="42"/>
      <w:bookmarkStart w:id="43" w:name="_Toc184313266"/>
      <w:bookmarkEnd w:id="43"/>
      <w:bookmarkStart w:id="44" w:name="_Toc184314471"/>
      <w:bookmarkEnd w:id="44"/>
      <w:bookmarkStart w:id="45" w:name="_Toc184308106"/>
      <w:bookmarkEnd w:id="45"/>
      <w:bookmarkStart w:id="46" w:name="_Toc184308044"/>
      <w:bookmarkEnd w:id="46"/>
      <w:bookmarkStart w:id="47" w:name="_Toc184310286"/>
      <w:bookmarkEnd w:id="47"/>
      <w:bookmarkStart w:id="48" w:name="_Toc184308068"/>
      <w:bookmarkEnd w:id="48"/>
      <w:bookmarkStart w:id="49" w:name="_Toc184308090"/>
      <w:bookmarkEnd w:id="49"/>
      <w:bookmarkStart w:id="50" w:name="_Toc184313289"/>
      <w:bookmarkEnd w:id="50"/>
      <w:bookmarkStart w:id="51" w:name="_Toc184308076"/>
      <w:bookmarkEnd w:id="51"/>
      <w:bookmarkStart w:id="52" w:name="_Toc184313295"/>
      <w:bookmarkEnd w:id="52"/>
      <w:bookmarkStart w:id="53" w:name="_Toc184314434"/>
      <w:bookmarkEnd w:id="53"/>
      <w:bookmarkStart w:id="54" w:name="_Toc184308080"/>
      <w:bookmarkEnd w:id="54"/>
      <w:bookmarkStart w:id="55" w:name="_Toc184313310"/>
      <w:bookmarkEnd w:id="55"/>
      <w:bookmarkStart w:id="56" w:name="_Toc184312087"/>
      <w:bookmarkEnd w:id="56"/>
      <w:bookmarkStart w:id="57" w:name="_Toc184314422"/>
      <w:bookmarkEnd w:id="57"/>
      <w:bookmarkStart w:id="58" w:name="_Toc184312125"/>
      <w:bookmarkEnd w:id="58"/>
      <w:bookmarkStart w:id="59" w:name="_Toc184308097"/>
      <w:bookmarkEnd w:id="59"/>
      <w:bookmarkStart w:id="60" w:name="_Toc184314424"/>
      <w:bookmarkEnd w:id="60"/>
      <w:bookmarkStart w:id="61" w:name="_Toc184313294"/>
      <w:bookmarkEnd w:id="61"/>
      <w:bookmarkStart w:id="62" w:name="_Toc184312124"/>
      <w:bookmarkEnd w:id="62"/>
      <w:bookmarkStart w:id="63" w:name="_Toc184312139"/>
      <w:bookmarkEnd w:id="63"/>
      <w:bookmarkStart w:id="64" w:name="_Toc184308059"/>
      <w:bookmarkEnd w:id="64"/>
      <w:bookmarkStart w:id="65" w:name="_Toc184312084"/>
      <w:bookmarkEnd w:id="65"/>
      <w:bookmarkStart w:id="66" w:name="_Toc184310342"/>
      <w:bookmarkEnd w:id="66"/>
      <w:bookmarkStart w:id="67" w:name="_Toc184310331"/>
      <w:bookmarkEnd w:id="67"/>
      <w:bookmarkStart w:id="68" w:name="_Toc184310308"/>
      <w:bookmarkEnd w:id="68"/>
      <w:bookmarkStart w:id="69" w:name="_Toc184312114"/>
      <w:bookmarkEnd w:id="69"/>
      <w:bookmarkStart w:id="70" w:name="_Toc184314430"/>
      <w:bookmarkEnd w:id="70"/>
      <w:bookmarkStart w:id="71" w:name="_Toc184310284"/>
      <w:bookmarkEnd w:id="71"/>
      <w:bookmarkStart w:id="72" w:name="_Toc184308053"/>
      <w:bookmarkEnd w:id="72"/>
      <w:bookmarkStart w:id="73" w:name="_Toc184313271"/>
      <w:bookmarkEnd w:id="73"/>
      <w:bookmarkStart w:id="74" w:name="_Toc184310316"/>
      <w:bookmarkEnd w:id="74"/>
      <w:bookmarkStart w:id="75" w:name="_Toc184314456"/>
      <w:bookmarkEnd w:id="75"/>
      <w:bookmarkStart w:id="76" w:name="_Toc184308104"/>
      <w:bookmarkEnd w:id="76"/>
      <w:bookmarkStart w:id="77" w:name="_Toc184314475"/>
      <w:bookmarkEnd w:id="77"/>
      <w:bookmarkStart w:id="78" w:name="_Toc184312123"/>
      <w:bookmarkEnd w:id="78"/>
      <w:bookmarkStart w:id="79" w:name="_Toc184314453"/>
      <w:bookmarkEnd w:id="79"/>
      <w:bookmarkStart w:id="80" w:name="_Toc184313275"/>
      <w:bookmarkEnd w:id="80"/>
      <w:bookmarkStart w:id="81" w:name="_Toc184314421"/>
      <w:bookmarkEnd w:id="81"/>
      <w:bookmarkStart w:id="82" w:name="_Toc184313262"/>
      <w:bookmarkEnd w:id="82"/>
      <w:bookmarkStart w:id="83" w:name="_Toc184312079"/>
      <w:bookmarkEnd w:id="83"/>
      <w:bookmarkStart w:id="84" w:name="_Toc184314464"/>
      <w:bookmarkEnd w:id="84"/>
      <w:bookmarkStart w:id="85" w:name="_Toc184308081"/>
      <w:bookmarkEnd w:id="85"/>
      <w:bookmarkStart w:id="86" w:name="_Toc184310279"/>
      <w:bookmarkEnd w:id="86"/>
      <w:bookmarkStart w:id="87" w:name="_Toc184308073"/>
      <w:bookmarkEnd w:id="87"/>
      <w:bookmarkStart w:id="88" w:name="_Toc184310314"/>
      <w:bookmarkEnd w:id="88"/>
      <w:bookmarkStart w:id="89" w:name="_Toc184308108"/>
      <w:bookmarkEnd w:id="89"/>
      <w:bookmarkStart w:id="90" w:name="_Toc184310295"/>
      <w:bookmarkEnd w:id="90"/>
      <w:bookmarkStart w:id="91" w:name="_Toc184313255"/>
      <w:bookmarkEnd w:id="91"/>
      <w:bookmarkStart w:id="92" w:name="_Toc184312102"/>
      <w:bookmarkEnd w:id="92"/>
      <w:bookmarkStart w:id="93" w:name="_Toc184310311"/>
      <w:bookmarkEnd w:id="93"/>
      <w:bookmarkStart w:id="94" w:name="_Toc184313260"/>
      <w:bookmarkEnd w:id="94"/>
      <w:bookmarkStart w:id="95" w:name="_Toc184308088"/>
      <w:bookmarkEnd w:id="95"/>
      <w:bookmarkStart w:id="96" w:name="_Toc184312096"/>
      <w:bookmarkEnd w:id="96"/>
      <w:bookmarkStart w:id="97" w:name="_Toc184310344"/>
      <w:bookmarkEnd w:id="97"/>
      <w:bookmarkStart w:id="98" w:name="_Toc184310337"/>
      <w:bookmarkEnd w:id="98"/>
      <w:bookmarkStart w:id="99" w:name="_Toc184314412"/>
      <w:bookmarkEnd w:id="99"/>
      <w:bookmarkStart w:id="100" w:name="_Toc184308057"/>
      <w:bookmarkEnd w:id="100"/>
      <w:bookmarkStart w:id="101" w:name="_Toc184313282"/>
      <w:bookmarkEnd w:id="101"/>
      <w:bookmarkStart w:id="102" w:name="_Toc184312088"/>
      <w:bookmarkEnd w:id="102"/>
      <w:bookmarkStart w:id="103" w:name="_Toc184313246"/>
      <w:bookmarkEnd w:id="103"/>
      <w:bookmarkStart w:id="104" w:name="_Toc184310281"/>
      <w:bookmarkEnd w:id="104"/>
      <w:bookmarkStart w:id="105" w:name="_Toc184312103"/>
      <w:bookmarkEnd w:id="105"/>
      <w:bookmarkStart w:id="106" w:name="_Toc184308094"/>
      <w:bookmarkEnd w:id="106"/>
      <w:bookmarkStart w:id="107" w:name="_Toc184313238"/>
      <w:bookmarkEnd w:id="107"/>
      <w:bookmarkStart w:id="108" w:name="_Toc184314438"/>
      <w:bookmarkEnd w:id="108"/>
      <w:bookmarkStart w:id="109" w:name="_Toc184313284"/>
      <w:bookmarkEnd w:id="109"/>
      <w:bookmarkStart w:id="110" w:name="_Toc184310287"/>
      <w:bookmarkEnd w:id="110"/>
      <w:bookmarkStart w:id="111" w:name="_Toc184312109"/>
      <w:bookmarkEnd w:id="111"/>
      <w:bookmarkStart w:id="112" w:name="_Toc184314441"/>
      <w:bookmarkEnd w:id="112"/>
      <w:bookmarkStart w:id="113" w:name="_Toc184310332"/>
      <w:bookmarkEnd w:id="113"/>
      <w:bookmarkStart w:id="114" w:name="_Toc184314419"/>
      <w:bookmarkEnd w:id="114"/>
      <w:bookmarkStart w:id="115" w:name="_Toc184310322"/>
      <w:bookmarkEnd w:id="115"/>
      <w:bookmarkStart w:id="116" w:name="_Toc184312122"/>
      <w:bookmarkEnd w:id="116"/>
      <w:bookmarkStart w:id="117" w:name="_Toc184314426"/>
      <w:bookmarkEnd w:id="117"/>
      <w:bookmarkStart w:id="118" w:name="_Toc184313302"/>
      <w:bookmarkEnd w:id="118"/>
      <w:bookmarkStart w:id="119" w:name="_Toc184313261"/>
      <w:bookmarkEnd w:id="119"/>
      <w:bookmarkStart w:id="120" w:name="_Toc184314446"/>
      <w:bookmarkEnd w:id="120"/>
      <w:bookmarkStart w:id="121" w:name="_Toc184310343"/>
      <w:bookmarkEnd w:id="121"/>
      <w:bookmarkStart w:id="122" w:name="_Toc184313239"/>
      <w:bookmarkEnd w:id="122"/>
      <w:bookmarkStart w:id="123" w:name="_Toc184313252"/>
      <w:bookmarkEnd w:id="123"/>
      <w:bookmarkStart w:id="124" w:name="_Toc184310312"/>
      <w:bookmarkEnd w:id="124"/>
      <w:bookmarkStart w:id="125" w:name="_Toc184313293"/>
      <w:bookmarkEnd w:id="125"/>
      <w:bookmarkStart w:id="126" w:name="_Toc184314432"/>
      <w:bookmarkEnd w:id="126"/>
      <w:bookmarkStart w:id="127" w:name="_Toc184310323"/>
      <w:bookmarkEnd w:id="127"/>
      <w:bookmarkStart w:id="128" w:name="_Toc184313248"/>
      <w:bookmarkEnd w:id="128"/>
      <w:bookmarkStart w:id="129" w:name="_Toc184313263"/>
      <w:bookmarkEnd w:id="129"/>
      <w:bookmarkStart w:id="130" w:name="_Toc184308049"/>
      <w:bookmarkEnd w:id="130"/>
      <w:bookmarkStart w:id="131" w:name="_Toc184310298"/>
      <w:bookmarkEnd w:id="131"/>
      <w:bookmarkStart w:id="132" w:name="_Toc184314459"/>
      <w:bookmarkEnd w:id="132"/>
      <w:bookmarkStart w:id="133" w:name="_Toc184308040"/>
      <w:bookmarkEnd w:id="133"/>
      <w:bookmarkStart w:id="134" w:name="_Toc184308083"/>
      <w:bookmarkEnd w:id="134"/>
      <w:bookmarkStart w:id="135" w:name="_Toc184308067"/>
      <w:bookmarkEnd w:id="135"/>
      <w:bookmarkStart w:id="136" w:name="_Toc184314416"/>
      <w:bookmarkEnd w:id="136"/>
      <w:bookmarkStart w:id="137" w:name="_Toc184313305"/>
      <w:bookmarkEnd w:id="137"/>
      <w:bookmarkStart w:id="138" w:name="_Toc184312100"/>
      <w:bookmarkEnd w:id="138"/>
      <w:bookmarkStart w:id="139" w:name="_Toc184314414"/>
      <w:bookmarkEnd w:id="139"/>
      <w:bookmarkStart w:id="140" w:name="_Toc184310336"/>
      <w:bookmarkEnd w:id="140"/>
      <w:bookmarkStart w:id="141" w:name="_Toc184310296"/>
      <w:bookmarkEnd w:id="141"/>
      <w:bookmarkStart w:id="142" w:name="_Toc184313274"/>
      <w:bookmarkEnd w:id="142"/>
      <w:bookmarkStart w:id="143" w:name="_Toc184314423"/>
      <w:bookmarkEnd w:id="143"/>
      <w:bookmarkStart w:id="144" w:name="_Toc184310280"/>
      <w:bookmarkEnd w:id="144"/>
      <w:bookmarkStart w:id="145" w:name="_Toc184310319"/>
      <w:bookmarkEnd w:id="145"/>
      <w:bookmarkStart w:id="146" w:name="_Toc184312071"/>
      <w:bookmarkEnd w:id="146"/>
      <w:bookmarkStart w:id="147" w:name="_Toc184312081"/>
      <w:bookmarkEnd w:id="147"/>
      <w:bookmarkStart w:id="148" w:name="_Toc184313244"/>
      <w:bookmarkEnd w:id="148"/>
      <w:bookmarkStart w:id="149" w:name="_Toc184312130"/>
      <w:bookmarkEnd w:id="149"/>
      <w:bookmarkStart w:id="150" w:name="_Toc184313269"/>
      <w:bookmarkEnd w:id="150"/>
      <w:bookmarkStart w:id="151" w:name="_Toc184308103"/>
      <w:bookmarkEnd w:id="151"/>
      <w:bookmarkStart w:id="152" w:name="_Toc184312117"/>
      <w:bookmarkEnd w:id="152"/>
      <w:bookmarkStart w:id="153" w:name="_Toc184312067"/>
      <w:bookmarkEnd w:id="153"/>
      <w:bookmarkStart w:id="154" w:name="_Toc184313277"/>
      <w:bookmarkEnd w:id="154"/>
      <w:bookmarkStart w:id="155" w:name="_Toc184313297"/>
      <w:bookmarkEnd w:id="155"/>
      <w:bookmarkStart w:id="156" w:name="_Toc184308091"/>
      <w:bookmarkEnd w:id="156"/>
      <w:bookmarkStart w:id="157" w:name="_Toc184310315"/>
      <w:bookmarkEnd w:id="157"/>
      <w:bookmarkStart w:id="158" w:name="_Toc184312077"/>
      <w:bookmarkEnd w:id="158"/>
      <w:bookmarkStart w:id="159" w:name="_Toc184308092"/>
      <w:bookmarkEnd w:id="159"/>
      <w:bookmarkStart w:id="160" w:name="_Toc184312133"/>
      <w:bookmarkEnd w:id="160"/>
      <w:bookmarkStart w:id="161" w:name="_Toc184310277"/>
      <w:bookmarkEnd w:id="161"/>
      <w:bookmarkStart w:id="162" w:name="_Toc184313296"/>
      <w:bookmarkEnd w:id="162"/>
      <w:bookmarkStart w:id="163" w:name="_Toc184314436"/>
      <w:bookmarkEnd w:id="163"/>
      <w:bookmarkStart w:id="164" w:name="_Toc184312111"/>
      <w:bookmarkEnd w:id="164"/>
      <w:bookmarkStart w:id="165" w:name="_Toc184313285"/>
      <w:bookmarkEnd w:id="165"/>
      <w:bookmarkStart w:id="166" w:name="_Toc184314461"/>
      <w:bookmarkEnd w:id="166"/>
      <w:bookmarkStart w:id="167" w:name="_Toc184312086"/>
      <w:bookmarkEnd w:id="167"/>
      <w:bookmarkStart w:id="168" w:name="_Toc184313309"/>
      <w:bookmarkEnd w:id="168"/>
      <w:bookmarkStart w:id="169" w:name="_Toc184310333"/>
      <w:bookmarkEnd w:id="169"/>
      <w:bookmarkStart w:id="170" w:name="_Toc184310306"/>
      <w:bookmarkEnd w:id="170"/>
      <w:bookmarkStart w:id="171" w:name="_Toc184308074"/>
      <w:bookmarkEnd w:id="171"/>
      <w:bookmarkStart w:id="172" w:name="_Toc184312075"/>
      <w:bookmarkEnd w:id="172"/>
      <w:bookmarkStart w:id="173" w:name="_Toc184313259"/>
      <w:bookmarkEnd w:id="173"/>
      <w:bookmarkStart w:id="174" w:name="_Toc184314427"/>
      <w:bookmarkEnd w:id="174"/>
      <w:bookmarkStart w:id="175" w:name="_Toc184308095"/>
      <w:bookmarkEnd w:id="175"/>
      <w:bookmarkStart w:id="176" w:name="_Toc184308079"/>
      <w:bookmarkEnd w:id="176"/>
      <w:bookmarkStart w:id="177" w:name="_Toc184312085"/>
      <w:bookmarkEnd w:id="177"/>
      <w:bookmarkStart w:id="178" w:name="_Toc184312138"/>
      <w:bookmarkEnd w:id="178"/>
      <w:bookmarkStart w:id="179" w:name="_Toc184308096"/>
      <w:bookmarkEnd w:id="179"/>
      <w:bookmarkStart w:id="180" w:name="_Toc184308075"/>
      <w:bookmarkEnd w:id="180"/>
      <w:bookmarkStart w:id="181" w:name="_Toc184310282"/>
      <w:bookmarkEnd w:id="181"/>
      <w:bookmarkStart w:id="182" w:name="_Toc184313257"/>
      <w:bookmarkEnd w:id="182"/>
      <w:bookmarkStart w:id="183" w:name="_Toc184308038"/>
      <w:bookmarkEnd w:id="183"/>
      <w:bookmarkStart w:id="184" w:name="_Toc184313303"/>
      <w:bookmarkEnd w:id="184"/>
      <w:bookmarkStart w:id="185" w:name="_Toc184308037"/>
      <w:bookmarkEnd w:id="185"/>
      <w:bookmarkStart w:id="186" w:name="_Toc184313242"/>
      <w:bookmarkEnd w:id="186"/>
      <w:bookmarkStart w:id="187" w:name="_Toc184308107"/>
      <w:bookmarkEnd w:id="187"/>
      <w:bookmarkStart w:id="188" w:name="_Toc184308051"/>
      <w:bookmarkEnd w:id="188"/>
      <w:bookmarkStart w:id="189" w:name="_Toc184313264"/>
      <w:bookmarkEnd w:id="189"/>
      <w:bookmarkStart w:id="190" w:name="_Toc184314462"/>
      <w:bookmarkEnd w:id="190"/>
      <w:bookmarkStart w:id="191" w:name="_Toc184312083"/>
      <w:bookmarkEnd w:id="191"/>
      <w:bookmarkStart w:id="192" w:name="_Toc184314470"/>
      <w:bookmarkEnd w:id="192"/>
      <w:bookmarkStart w:id="193" w:name="_Toc184308055"/>
      <w:bookmarkEnd w:id="193"/>
      <w:bookmarkStart w:id="194" w:name="_Toc184308082"/>
      <w:bookmarkEnd w:id="194"/>
      <w:bookmarkStart w:id="195" w:name="_Toc184312093"/>
      <w:bookmarkEnd w:id="195"/>
      <w:bookmarkStart w:id="196" w:name="_Toc184313307"/>
      <w:bookmarkEnd w:id="196"/>
      <w:bookmarkStart w:id="197" w:name="_Toc184313298"/>
      <w:bookmarkEnd w:id="197"/>
      <w:bookmarkStart w:id="198" w:name="_Toc184313267"/>
      <w:bookmarkEnd w:id="198"/>
      <w:bookmarkStart w:id="199" w:name="_Toc184313249"/>
      <w:bookmarkEnd w:id="199"/>
      <w:bookmarkStart w:id="200" w:name="_Toc184312072"/>
      <w:bookmarkEnd w:id="200"/>
      <w:bookmarkStart w:id="201" w:name="_Toc184310321"/>
      <w:bookmarkEnd w:id="201"/>
      <w:bookmarkStart w:id="202" w:name="_Toc184313251"/>
      <w:bookmarkEnd w:id="202"/>
      <w:bookmarkStart w:id="203" w:name="_Toc184314431"/>
      <w:bookmarkEnd w:id="203"/>
      <w:bookmarkStart w:id="204" w:name="_Toc184313240"/>
      <w:bookmarkEnd w:id="204"/>
      <w:bookmarkStart w:id="205" w:name="_Toc184313278"/>
      <w:bookmarkEnd w:id="205"/>
      <w:bookmarkStart w:id="206" w:name="_Toc184314467"/>
      <w:bookmarkEnd w:id="206"/>
      <w:bookmarkStart w:id="207" w:name="_Toc184310302"/>
      <w:bookmarkEnd w:id="207"/>
      <w:bookmarkStart w:id="208" w:name="_Toc184314445"/>
      <w:bookmarkEnd w:id="208"/>
      <w:bookmarkStart w:id="209" w:name="_Toc184310328"/>
      <w:bookmarkEnd w:id="209"/>
      <w:bookmarkStart w:id="210" w:name="_Toc184314476"/>
      <w:bookmarkEnd w:id="210"/>
      <w:bookmarkStart w:id="211" w:name="_Toc184314477"/>
      <w:bookmarkEnd w:id="211"/>
      <w:bookmarkStart w:id="212" w:name="_Toc184310274"/>
      <w:bookmarkEnd w:id="212"/>
      <w:bookmarkStart w:id="213" w:name="_Toc184314482"/>
      <w:bookmarkEnd w:id="213"/>
      <w:bookmarkStart w:id="214" w:name="_Toc184308063"/>
      <w:bookmarkEnd w:id="214"/>
      <w:bookmarkStart w:id="215" w:name="_Toc184312091"/>
      <w:bookmarkEnd w:id="215"/>
      <w:bookmarkStart w:id="216" w:name="_Toc184312082"/>
      <w:bookmarkEnd w:id="216"/>
      <w:bookmarkStart w:id="217" w:name="_Toc184312110"/>
      <w:bookmarkEnd w:id="217"/>
      <w:bookmarkStart w:id="218" w:name="_Toc184312127"/>
      <w:bookmarkEnd w:id="218"/>
      <w:bookmarkStart w:id="219" w:name="_Toc184314448"/>
      <w:bookmarkEnd w:id="219"/>
      <w:bookmarkStart w:id="220" w:name="_Toc184313292"/>
      <w:bookmarkEnd w:id="220"/>
      <w:bookmarkStart w:id="221" w:name="_Toc184314466"/>
      <w:bookmarkEnd w:id="221"/>
      <w:bookmarkStart w:id="222" w:name="_Toc184314428"/>
      <w:bookmarkEnd w:id="222"/>
      <w:bookmarkStart w:id="223" w:name="_Toc184308071"/>
      <w:bookmarkEnd w:id="223"/>
      <w:bookmarkStart w:id="224" w:name="_Toc184308041"/>
      <w:bookmarkEnd w:id="224"/>
      <w:bookmarkStart w:id="225" w:name="_Toc184310289"/>
      <w:bookmarkEnd w:id="225"/>
      <w:bookmarkStart w:id="226" w:name="_Toc184314429"/>
      <w:bookmarkEnd w:id="226"/>
      <w:bookmarkStart w:id="227" w:name="_Toc184314479"/>
      <w:bookmarkEnd w:id="227"/>
      <w:bookmarkStart w:id="228" w:name="_Toc184312121"/>
      <w:bookmarkEnd w:id="228"/>
      <w:bookmarkStart w:id="229" w:name="_Toc184308060"/>
      <w:bookmarkEnd w:id="229"/>
      <w:bookmarkStart w:id="230" w:name="_Toc184314478"/>
      <w:bookmarkEnd w:id="230"/>
      <w:bookmarkStart w:id="231" w:name="_Toc184314413"/>
      <w:bookmarkEnd w:id="231"/>
      <w:bookmarkStart w:id="232" w:name="_Toc184310313"/>
      <w:bookmarkEnd w:id="232"/>
      <w:bookmarkStart w:id="233" w:name="_Toc184314417"/>
      <w:bookmarkEnd w:id="233"/>
      <w:bookmarkStart w:id="234" w:name="_Toc184310297"/>
      <w:bookmarkEnd w:id="234"/>
      <w:bookmarkStart w:id="235" w:name="_Toc184313256"/>
      <w:bookmarkEnd w:id="235"/>
      <w:bookmarkStart w:id="236" w:name="_Toc184312115"/>
      <w:bookmarkEnd w:id="236"/>
      <w:bookmarkStart w:id="237" w:name="_Toc184310299"/>
      <w:bookmarkEnd w:id="237"/>
      <w:bookmarkStart w:id="238" w:name="_Toc184310317"/>
      <w:bookmarkEnd w:id="238"/>
      <w:bookmarkStart w:id="239" w:name="_Toc184313301"/>
      <w:bookmarkEnd w:id="239"/>
      <w:bookmarkStart w:id="240" w:name="_Toc184310283"/>
      <w:bookmarkEnd w:id="240"/>
      <w:bookmarkStart w:id="241" w:name="_Toc184313273"/>
      <w:bookmarkEnd w:id="241"/>
      <w:bookmarkStart w:id="242" w:name="_Toc184308047"/>
      <w:bookmarkEnd w:id="242"/>
      <w:bookmarkStart w:id="243" w:name="_Toc184314481"/>
      <w:bookmarkEnd w:id="243"/>
      <w:bookmarkStart w:id="244" w:name="_Toc184310290"/>
      <w:bookmarkEnd w:id="244"/>
      <w:bookmarkStart w:id="245" w:name="_Toc184308086"/>
      <w:bookmarkEnd w:id="245"/>
      <w:bookmarkStart w:id="246" w:name="_Toc184310292"/>
      <w:bookmarkEnd w:id="246"/>
      <w:bookmarkStart w:id="247" w:name="_Toc184310324"/>
      <w:bookmarkEnd w:id="247"/>
      <w:bookmarkStart w:id="248" w:name="_Toc184313253"/>
      <w:bookmarkEnd w:id="248"/>
      <w:bookmarkStart w:id="249" w:name="_Toc184312120"/>
      <w:bookmarkEnd w:id="249"/>
      <w:bookmarkStart w:id="250" w:name="_Toc184313279"/>
      <w:bookmarkEnd w:id="250"/>
      <w:bookmarkStart w:id="251" w:name="_Toc184308084"/>
      <w:bookmarkEnd w:id="251"/>
      <w:bookmarkStart w:id="252" w:name="_Toc184312136"/>
      <w:bookmarkEnd w:id="252"/>
      <w:bookmarkStart w:id="253" w:name="_Toc184310338"/>
      <w:bookmarkEnd w:id="253"/>
      <w:bookmarkStart w:id="254" w:name="_Toc184314450"/>
      <w:bookmarkEnd w:id="254"/>
      <w:bookmarkStart w:id="255" w:name="_Toc184312105"/>
      <w:bookmarkEnd w:id="255"/>
      <w:bookmarkStart w:id="256" w:name="_Toc184310329"/>
      <w:bookmarkEnd w:id="256"/>
      <w:bookmarkStart w:id="257" w:name="_Toc184313254"/>
      <w:bookmarkEnd w:id="257"/>
      <w:bookmarkStart w:id="258" w:name="_Toc184314437"/>
      <w:bookmarkEnd w:id="258"/>
      <w:bookmarkStart w:id="259" w:name="_Toc184312119"/>
      <w:bookmarkEnd w:id="259"/>
      <w:bookmarkStart w:id="260" w:name="_Toc184308052"/>
      <w:bookmarkEnd w:id="260"/>
      <w:bookmarkStart w:id="261" w:name="_Toc184312104"/>
      <w:bookmarkEnd w:id="261"/>
      <w:bookmarkStart w:id="262" w:name="_Toc184310293"/>
      <w:bookmarkEnd w:id="262"/>
      <w:bookmarkStart w:id="263" w:name="_Toc184308065"/>
      <w:bookmarkEnd w:id="263"/>
      <w:bookmarkStart w:id="264" w:name="_Toc184313281"/>
      <w:bookmarkEnd w:id="264"/>
      <w:bookmarkStart w:id="265" w:name="_Toc184314411"/>
      <w:bookmarkEnd w:id="265"/>
      <w:bookmarkStart w:id="266" w:name="_Toc184312068"/>
      <w:bookmarkEnd w:id="266"/>
      <w:bookmarkStart w:id="267" w:name="_Toc184313250"/>
      <w:bookmarkEnd w:id="267"/>
      <w:bookmarkStart w:id="268" w:name="_Toc184314443"/>
      <w:bookmarkEnd w:id="268"/>
      <w:bookmarkStart w:id="269" w:name="_Toc184308043"/>
      <w:bookmarkEnd w:id="269"/>
      <w:bookmarkStart w:id="270" w:name="_Toc184314425"/>
      <w:bookmarkEnd w:id="270"/>
      <w:bookmarkStart w:id="271" w:name="_Toc184308069"/>
      <w:bookmarkEnd w:id="271"/>
      <w:bookmarkStart w:id="272" w:name="_Toc184310334"/>
      <w:bookmarkEnd w:id="272"/>
      <w:bookmarkStart w:id="273" w:name="_Toc184313290"/>
      <w:bookmarkEnd w:id="273"/>
      <w:bookmarkStart w:id="274" w:name="_Toc184310291"/>
      <w:bookmarkEnd w:id="274"/>
      <w:bookmarkStart w:id="275" w:name="_Toc184308087"/>
      <w:bookmarkEnd w:id="275"/>
      <w:bookmarkStart w:id="276" w:name="_Toc184310304"/>
      <w:bookmarkEnd w:id="276"/>
      <w:bookmarkStart w:id="277" w:name="_Toc184314455"/>
      <w:bookmarkEnd w:id="277"/>
      <w:bookmarkStart w:id="278" w:name="_Toc184314415"/>
      <w:bookmarkEnd w:id="278"/>
      <w:bookmarkStart w:id="279" w:name="_Toc184310272"/>
      <w:bookmarkEnd w:id="279"/>
      <w:bookmarkStart w:id="280" w:name="_Toc184313270"/>
      <w:bookmarkEnd w:id="280"/>
      <w:bookmarkStart w:id="281" w:name="_Toc184314472"/>
      <w:bookmarkEnd w:id="281"/>
      <w:bookmarkStart w:id="282" w:name="_Toc184308066"/>
      <w:bookmarkEnd w:id="282"/>
      <w:bookmarkStart w:id="283" w:name="_Toc184308100"/>
      <w:bookmarkEnd w:id="283"/>
      <w:bookmarkStart w:id="284" w:name="_Toc184313272"/>
      <w:bookmarkEnd w:id="284"/>
      <w:bookmarkStart w:id="285" w:name="_Toc184312080"/>
      <w:bookmarkEnd w:id="285"/>
      <w:bookmarkStart w:id="286" w:name="_Toc184312131"/>
      <w:bookmarkEnd w:id="286"/>
      <w:bookmarkStart w:id="287" w:name="_Toc184312076"/>
      <w:bookmarkEnd w:id="287"/>
      <w:bookmarkStart w:id="288" w:name="_Toc184310303"/>
      <w:bookmarkEnd w:id="288"/>
      <w:bookmarkStart w:id="289" w:name="_Toc184312118"/>
      <w:bookmarkEnd w:id="289"/>
      <w:bookmarkStart w:id="290" w:name="_Toc184310326"/>
      <w:bookmarkEnd w:id="290"/>
      <w:bookmarkStart w:id="291" w:name="_Toc184314474"/>
      <w:bookmarkEnd w:id="291"/>
      <w:bookmarkStart w:id="292" w:name="_Toc184312137"/>
      <w:bookmarkEnd w:id="292"/>
      <w:bookmarkStart w:id="293" w:name="_Toc184308045"/>
      <w:bookmarkEnd w:id="293"/>
      <w:bookmarkStart w:id="294" w:name="_Toc184314449"/>
      <w:bookmarkEnd w:id="294"/>
      <w:bookmarkStart w:id="295" w:name="_Toc184313243"/>
      <w:bookmarkEnd w:id="295"/>
      <w:bookmarkStart w:id="296" w:name="_Toc184310318"/>
      <w:bookmarkEnd w:id="296"/>
      <w:bookmarkStart w:id="297" w:name="_Toc184308093"/>
      <w:bookmarkEnd w:id="297"/>
      <w:bookmarkStart w:id="298" w:name="_Toc184313276"/>
      <w:bookmarkEnd w:id="298"/>
      <w:bookmarkStart w:id="299" w:name="_Toc184313268"/>
      <w:bookmarkEnd w:id="299"/>
      <w:bookmarkStart w:id="300" w:name="_Toc184314463"/>
      <w:bookmarkEnd w:id="300"/>
      <w:bookmarkStart w:id="301" w:name="_Toc184308056"/>
      <w:bookmarkEnd w:id="301"/>
      <w:bookmarkStart w:id="302" w:name="_Toc184308105"/>
      <w:bookmarkEnd w:id="302"/>
      <w:bookmarkStart w:id="303" w:name="_Toc184314469"/>
      <w:bookmarkEnd w:id="303"/>
      <w:bookmarkStart w:id="304" w:name="_Toc184310335"/>
      <w:bookmarkEnd w:id="304"/>
      <w:bookmarkStart w:id="305" w:name="_Toc184313247"/>
      <w:bookmarkEnd w:id="305"/>
      <w:bookmarkStart w:id="306" w:name="_Toc184312098"/>
      <w:bookmarkEnd w:id="306"/>
      <w:bookmarkStart w:id="307" w:name="_Toc184314468"/>
      <w:bookmarkEnd w:id="307"/>
      <w:bookmarkStart w:id="308" w:name="_Toc184308064"/>
      <w:bookmarkEnd w:id="308"/>
      <w:bookmarkStart w:id="309" w:name="_Toc184310288"/>
      <w:bookmarkEnd w:id="309"/>
      <w:bookmarkStart w:id="310" w:name="_Toc184308098"/>
      <w:bookmarkEnd w:id="310"/>
      <w:bookmarkStart w:id="311" w:name="_Toc184312090"/>
      <w:bookmarkEnd w:id="311"/>
      <w:bookmarkStart w:id="312" w:name="_Toc184314447"/>
      <w:bookmarkEnd w:id="312"/>
      <w:bookmarkStart w:id="313" w:name="_Toc184314458"/>
      <w:bookmarkEnd w:id="313"/>
      <w:bookmarkStart w:id="314" w:name="_Toc184314452"/>
      <w:bookmarkEnd w:id="314"/>
      <w:bookmarkStart w:id="315" w:name="_Toc184310278"/>
      <w:bookmarkEnd w:id="315"/>
      <w:bookmarkStart w:id="316" w:name="_Toc184312099"/>
      <w:bookmarkEnd w:id="316"/>
      <w:bookmarkStart w:id="317" w:name="_Toc184314410"/>
      <w:bookmarkEnd w:id="317"/>
      <w:bookmarkStart w:id="318" w:name="_Toc184313280"/>
      <w:bookmarkEnd w:id="318"/>
      <w:bookmarkStart w:id="319" w:name="_Toc184308050"/>
      <w:bookmarkEnd w:id="319"/>
      <w:bookmarkStart w:id="320" w:name="_Toc184310276"/>
      <w:bookmarkEnd w:id="320"/>
      <w:bookmarkStart w:id="321" w:name="_Toc184312092"/>
      <w:bookmarkEnd w:id="321"/>
      <w:bookmarkStart w:id="322" w:name="_Toc184310305"/>
      <w:bookmarkEnd w:id="322"/>
      <w:bookmarkStart w:id="323" w:name="_Toc184313308"/>
      <w:bookmarkEnd w:id="323"/>
      <w:bookmarkStart w:id="324" w:name="_Toc184310339"/>
      <w:bookmarkEnd w:id="324"/>
      <w:bookmarkStart w:id="325" w:name="_Toc184312135"/>
      <w:bookmarkEnd w:id="325"/>
      <w:bookmarkStart w:id="326" w:name="_Toc184313286"/>
      <w:bookmarkEnd w:id="326"/>
      <w:bookmarkStart w:id="327" w:name="_Toc184308077"/>
      <w:bookmarkEnd w:id="327"/>
      <w:bookmarkStart w:id="328" w:name="_Toc184308048"/>
      <w:bookmarkEnd w:id="328"/>
      <w:bookmarkStart w:id="329" w:name="_Toc184314457"/>
      <w:bookmarkEnd w:id="329"/>
      <w:bookmarkStart w:id="330" w:name="_Toc184314440"/>
      <w:bookmarkEnd w:id="330"/>
      <w:bookmarkStart w:id="331" w:name="_Toc184312107"/>
      <w:bookmarkEnd w:id="331"/>
      <w:bookmarkStart w:id="332" w:name="_Toc184310330"/>
      <w:bookmarkEnd w:id="332"/>
      <w:bookmarkStart w:id="333" w:name="_Toc184310309"/>
      <w:bookmarkEnd w:id="333"/>
      <w:bookmarkStart w:id="334" w:name="_Toc184308061"/>
      <w:bookmarkEnd w:id="334"/>
      <w:bookmarkStart w:id="335" w:name="_Toc184312094"/>
      <w:bookmarkEnd w:id="335"/>
      <w:bookmarkStart w:id="336" w:name="_Toc184308036"/>
      <w:bookmarkEnd w:id="336"/>
      <w:bookmarkStart w:id="337" w:name="_Toc184314444"/>
      <w:bookmarkEnd w:id="337"/>
      <w:bookmarkStart w:id="338" w:name="_Toc184313304"/>
      <w:bookmarkEnd w:id="338"/>
      <w:bookmarkStart w:id="339" w:name="_Toc184308101"/>
      <w:bookmarkEnd w:id="339"/>
      <w:bookmarkStart w:id="340" w:name="_Toc184310325"/>
      <w:bookmarkEnd w:id="340"/>
      <w:bookmarkStart w:id="341" w:name="_Toc184314418"/>
      <w:bookmarkEnd w:id="341"/>
      <w:bookmarkStart w:id="342" w:name="_Toc184314454"/>
      <w:bookmarkEnd w:id="342"/>
      <w:bookmarkStart w:id="343" w:name="_Toc184312106"/>
      <w:bookmarkEnd w:id="343"/>
      <w:bookmarkStart w:id="344" w:name="_Toc184310294"/>
      <w:bookmarkEnd w:id="344"/>
      <w:bookmarkStart w:id="345" w:name="_Toc184308058"/>
      <w:bookmarkEnd w:id="345"/>
      <w:bookmarkStart w:id="346" w:name="_Toc184308102"/>
      <w:bookmarkEnd w:id="346"/>
      <w:bookmarkStart w:id="347" w:name="_Toc184314439"/>
      <w:bookmarkEnd w:id="347"/>
      <w:bookmarkStart w:id="348" w:name="_Toc184313258"/>
      <w:bookmarkEnd w:id="348"/>
      <w:bookmarkStart w:id="349" w:name="_Toc184313299"/>
      <w:bookmarkEnd w:id="349"/>
      <w:bookmarkStart w:id="350" w:name="_Toc184310327"/>
      <w:bookmarkEnd w:id="350"/>
      <w:bookmarkStart w:id="351" w:name="_Toc184313287"/>
      <w:bookmarkEnd w:id="351"/>
      <w:bookmarkStart w:id="352" w:name="_Toc184313265"/>
      <w:bookmarkEnd w:id="352"/>
      <w:bookmarkStart w:id="353" w:name="_Toc184312132"/>
      <w:bookmarkEnd w:id="353"/>
      <w:bookmarkStart w:id="354" w:name="_Toc184310285"/>
      <w:bookmarkEnd w:id="354"/>
      <w:bookmarkStart w:id="355" w:name="_Toc184312069"/>
      <w:bookmarkEnd w:id="355"/>
      <w:bookmarkStart w:id="356" w:name="_Toc184314435"/>
      <w:bookmarkEnd w:id="356"/>
      <w:bookmarkStart w:id="357" w:name="_Toc184313291"/>
      <w:bookmarkEnd w:id="357"/>
      <w:bookmarkStart w:id="358" w:name="_Toc184308062"/>
      <w:bookmarkEnd w:id="358"/>
      <w:bookmarkStart w:id="359" w:name="_Toc184313245"/>
      <w:bookmarkEnd w:id="359"/>
      <w:bookmarkStart w:id="360" w:name="_Toc184312101"/>
      <w:bookmarkEnd w:id="360"/>
      <w:bookmarkStart w:id="361" w:name="_Toc184312126"/>
      <w:bookmarkEnd w:id="361"/>
      <w:bookmarkStart w:id="362" w:name="_Toc184310300"/>
      <w:bookmarkEnd w:id="362"/>
      <w:bookmarkStart w:id="363" w:name="_Toc184314451"/>
      <w:bookmarkEnd w:id="363"/>
      <w:bookmarkStart w:id="364" w:name="_Toc184308078"/>
      <w:bookmarkEnd w:id="364"/>
      <w:bookmarkStart w:id="365" w:name="_Toc184310301"/>
      <w:bookmarkEnd w:id="365"/>
      <w:bookmarkStart w:id="366" w:name="_Toc184308042"/>
      <w:bookmarkEnd w:id="366"/>
      <w:bookmarkStart w:id="367" w:name="_Toc184312128"/>
      <w:bookmarkEnd w:id="367"/>
      <w:bookmarkStart w:id="368" w:name="_Toc184310320"/>
      <w:bookmarkEnd w:id="368"/>
      <w:bookmarkStart w:id="369" w:name="_Toc184312129"/>
      <w:bookmarkEnd w:id="369"/>
      <w:bookmarkStart w:id="370" w:name="_Toc184312089"/>
      <w:bookmarkEnd w:id="370"/>
      <w:bookmarkStart w:id="371" w:name="_Toc184310310"/>
      <w:bookmarkEnd w:id="371"/>
      <w:bookmarkStart w:id="372" w:name="_Toc184314460"/>
      <w:bookmarkEnd w:id="372"/>
      <w:bookmarkStart w:id="373" w:name="_Toc184312070"/>
      <w:bookmarkEnd w:id="373"/>
      <w:bookmarkStart w:id="374" w:name="_Toc184313241"/>
      <w:bookmarkEnd w:id="374"/>
      <w:bookmarkStart w:id="375" w:name="_Toc184314465"/>
      <w:bookmarkEnd w:id="375"/>
      <w:bookmarkStart w:id="376" w:name="_Toc184314433"/>
      <w:bookmarkEnd w:id="376"/>
      <w:bookmarkStart w:id="377" w:name="_Toc184312073"/>
      <w:bookmarkEnd w:id="377"/>
      <w:bookmarkStart w:id="378" w:name="_Toc184314420"/>
      <w:bookmarkEnd w:id="378"/>
      <w:bookmarkStart w:id="379" w:name="_Toc184308099"/>
      <w:bookmarkEnd w:id="379"/>
      <w:bookmarkStart w:id="380" w:name="_Toc184308085"/>
      <w:bookmarkEnd w:id="380"/>
      <w:bookmarkStart w:id="381" w:name="_Toc184312074"/>
      <w:bookmarkEnd w:id="381"/>
      <w:bookmarkStart w:id="382" w:name="_Toc184308054"/>
      <w:bookmarkEnd w:id="382"/>
      <w:bookmarkStart w:id="383" w:name="_Toc184312095"/>
      <w:bookmarkEnd w:id="383"/>
      <w:bookmarkStart w:id="384" w:name="_Toc184310307"/>
      <w:bookmarkEnd w:id="384"/>
      <w:bookmarkStart w:id="385" w:name="_Toc184308046"/>
      <w:bookmarkEnd w:id="385"/>
      <w:bookmarkStart w:id="386" w:name="_Toc184313283"/>
      <w:bookmarkEnd w:id="386"/>
      <w:bookmarkStart w:id="387" w:name="_Toc184308039"/>
      <w:bookmarkEnd w:id="387"/>
      <w:bookmarkStart w:id="388" w:name="_Toc184312108"/>
      <w:bookmarkEnd w:id="388"/>
      <w:bookmarkStart w:id="389" w:name="_Toc184308089"/>
      <w:bookmarkEnd w:id="389"/>
      <w:bookmarkStart w:id="390" w:name="_Toc184312113"/>
      <w:bookmarkEnd w:id="390"/>
      <w:bookmarkStart w:id="391" w:name="_Toc184312078"/>
      <w:bookmarkEnd w:id="391"/>
      <w:bookmarkStart w:id="392" w:name="_Toc184314480"/>
      <w:bookmarkEnd w:id="392"/>
      <w:r>
        <w:rPr>
          <w:rFonts w:hint="eastAsia" w:ascii="仿宋_GB2312" w:hAnsi="仿宋_GB2312" w:eastAsia="仿宋_GB2312" w:cs="仿宋_GB2312"/>
          <w:b/>
          <w:sz w:val="36"/>
          <w:szCs w:val="20"/>
        </w:rPr>
        <w:t xml:space="preserve"> 评标办法</w:t>
      </w:r>
    </w:p>
    <w:p>
      <w:pPr>
        <w:adjustRightInd/>
        <w:spacing w:line="440" w:lineRule="exact"/>
        <w:jc w:val="center"/>
        <w:outlineLvl w:val="1"/>
        <w:rPr>
          <w:rFonts w:ascii="仿宋_GB2312" w:hAnsi="仿宋_GB2312" w:eastAsia="仿宋_GB2312" w:cs="仿宋_GB2312"/>
          <w:b/>
          <w:sz w:val="32"/>
          <w:szCs w:val="20"/>
        </w:rPr>
      </w:pPr>
      <w:r>
        <w:rPr>
          <w:rFonts w:hint="eastAsia" w:ascii="仿宋_GB2312" w:hAnsi="仿宋_GB2312" w:eastAsia="仿宋_GB2312" w:cs="仿宋_GB2312"/>
          <w:b/>
          <w:sz w:val="32"/>
          <w:szCs w:val="20"/>
        </w:rPr>
        <w:t>评标</w:t>
      </w:r>
      <w:r>
        <w:rPr>
          <w:rFonts w:hint="eastAsia" w:ascii="仿宋_GB2312" w:hAnsi="仿宋_GB2312" w:eastAsia="仿宋_GB2312" w:cs="仿宋_GB2312"/>
          <w:b/>
          <w:sz w:val="32"/>
          <w:szCs w:val="20"/>
          <w:lang w:val="en-US" w:eastAsia="zh-CN"/>
        </w:rPr>
        <w:t>办</w:t>
      </w:r>
      <w:r>
        <w:rPr>
          <w:rFonts w:hint="eastAsia" w:ascii="仿宋_GB2312" w:hAnsi="仿宋_GB2312" w:eastAsia="仿宋_GB2312" w:cs="仿宋_GB2312"/>
          <w:b/>
          <w:sz w:val="32"/>
          <w:szCs w:val="20"/>
        </w:rPr>
        <w:t>法前附表</w:t>
      </w:r>
    </w:p>
    <w:tbl>
      <w:tblPr>
        <w:tblStyle w:val="6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09"/>
        <w:gridCol w:w="941"/>
        <w:gridCol w:w="127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4"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序号</w:t>
            </w:r>
          </w:p>
        </w:tc>
        <w:tc>
          <w:tcPr>
            <w:tcW w:w="5609"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评标标准</w:t>
            </w:r>
          </w:p>
        </w:tc>
        <w:tc>
          <w:tcPr>
            <w:tcW w:w="941"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权重</w:t>
            </w:r>
          </w:p>
        </w:tc>
        <w:tc>
          <w:tcPr>
            <w:tcW w:w="1278"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主观分/客观分属性</w:t>
            </w:r>
          </w:p>
        </w:tc>
        <w:tc>
          <w:tcPr>
            <w:tcW w:w="1506" w:type="dxa"/>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体系认证：</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1）投标人具有有效的ISO9001质量管理体系认证证书，且认证范围应至少包括“计算机应用软件设计、开发”的，得1分。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2）投标人具有有效的ISO27001信息安全管理体系认证证书，且认证范围应至少包括“计算机应用软件设计、开发”的，得1分。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3）投标人具有有效的ISO20000信息技术服务管理体系认证证书，且认证范围应至少包括“计算机应用软件设计、开发”的，得1分。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[提供证书扫描件。否则不得分]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vAlign w:val="center"/>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609" w:type="dxa"/>
            <w:vAlign w:val="center"/>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投标人实力：</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1）投标人参与制定政务服务数据应用相关的国家标准或行业标准或地方标准并发布实施的，得2分。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[同时提供标准发布文件扫描件和《全国标准信息公共服务平台》（https://std.samr.gov.cn/）查询截图，需体现起草单位名称。否则不得分]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2）投标人具有市级及以上大数据分析高新技术研究开发中心的 ，得2分。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[同时提供证书、主管部门批复文件扫描件，否则不得分]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0-4分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vAlign w:val="center"/>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09" w:type="dxa"/>
            <w:vAlign w:val="center"/>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同类业绩：</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投标人自2019年01月01日（以合同签订时间为准）以来，具有类似软件开发案例的，每提供1个得0.2分，最高得1分。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bookmarkStart w:id="404" w:name="_GoBack"/>
            <w:bookmarkEnd w:id="404"/>
            <w:r>
              <w:rPr>
                <w:rFonts w:hint="eastAsia" w:ascii="仿宋_GB2312" w:hAnsi="仿宋_GB2312" w:eastAsia="仿宋_GB2312" w:cs="仿宋_GB2312"/>
                <w:sz w:val="24"/>
                <w:highlight w:val="none"/>
              </w:rPr>
              <w:t>同时提供项目合同、验收报告扫描件，否则不得分]</w:t>
            </w:r>
          </w:p>
        </w:tc>
        <w:tc>
          <w:tcPr>
            <w:tcW w:w="941" w:type="dxa"/>
            <w:vAlign w:val="center"/>
          </w:tcPr>
          <w:p>
            <w:pPr>
              <w:adjustRightInd/>
              <w:spacing w:line="440" w:lineRule="exact"/>
              <w:jc w:val="center"/>
              <w:rPr>
                <w:rFonts w:ascii="仿宋_GB2312" w:hAnsi="仿宋_GB2312" w:eastAsia="仿宋_GB2312" w:cs="仿宋_GB2312"/>
                <w:szCs w:val="21"/>
              </w:rPr>
            </w:pPr>
          </w:p>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总体设计：</w:t>
            </w:r>
          </w:p>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1）投标人提供的总体设计与项目建设背景、数字化改革、采购需求吻合程度高的，得4分；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2）投标人提供的总体设计与项目建设背景、数字化改革、采购需求吻合程度一般的，得2分；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3）投标人提供的总体设计与项目建设背景、数字化改革、采购需求吻合程度低的，得1分；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0-4分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5609" w:type="dxa"/>
            <w:vAlign w:val="center"/>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可视化大屏（城运中心版）建设：</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根据投标人提供的“可视化大屏（城运中心版）”模块详细设计方案：</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满足采购项目建设需求“区域经济活力、经济运行监测、企业画像、项目一点通、安商稳商、楼均论英雄、产业发展、要素保障、重点经济专题”、系统功能完整、完善，完全满足招标文件的所有功能要求的，得6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2）比较满足采购项目建设需求“区域经济活力、项目一点通、安商稳商、楼均论英雄、产业发展、要素保障、重点经济专题”、系统功能比较完整、完善，符合招标文件的大部分功能要求的，得4分；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3）基本满足采购项目建设需求“区域经济活力、项目一点通、安商稳商、楼均论英雄、产业发展、要素保障、重点经济专题”、系统功能基本完整，符合招标文件的基本功能要求的，得3分；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4）与采购项目建设需求“区域经济活力、项目一点通、安商稳商、楼均论英雄、产业发展、要素保障、重点经济专题”、系统功能存在较大偏差，不能符合招标文件的基本功能要求的，得1分；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5）无相关内容或不满足项目实际情况的不得分。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0-6分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可视化驾驶舱（PC版）建设：</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根据投标人提供的“可视化驾驶舱（PC版）”模块详细设计方案：</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满足采购项目建设需求“区域经济活力、企业画像、项目一点通、安商稳商、楼均论英雄、产业发展、要素保障、营商环境、重点经济专题”、系统功能完整、完善，完全满足招标文件的所有功能要求的，得6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2）比较满足采购项目建设需求“区域经济活力、项目一点通、安商稳商、楼均论英雄、产业发展、要素保障、重点经济专题”、系统功能比较完整、完善，符合招标文件的大部分功能要求的，得4分；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3）基本满足采购项目建设需求“区域经济活力、项目一点通、安商稳商、楼均论英雄、产业发展、要素保障、重点经济专题”、系统功能基本完整，符合招标文件的基本功能要求的，得3分；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4）与采购项目建设需求“区域经济活力、项目一点通、安商稳商、楼均论英雄、产业发展、要素保障、重点经济专题”、系统功能存在较大偏差，不能符合招标文件的基本功能要求的，得1分；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5）无相关内容或不满足项目实际情况的不得分。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0-6分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经济运行综合集成系统工作台建设：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根据投标人提供的“经济运行综合集成系统工作台”模块详细设计方案：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统一待办、楼宇经济管理、安商稳商、企业服务管理、高企培育管理、项目盯引管理、营商环境、项目管理、报表综合管理、数据资源管理、系统管理”、系统功能完整、完善，完全满足招标文件的所有功能要求的，得</w:t>
            </w: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统一待办、楼宇经济管理、安商稳商、企业服务管理、高企培育管理、项目盯引管理、营商环境、项目管理、报表综合管理、数据资源管理、系统管理”、系统功能比较完整、完善，符合招标文件的大部分功能要求的，得</w:t>
            </w: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统一待办、楼宇经济管理、安商稳商、企业服务管理、高企培育管理、项目盯引管理、营商环境、项目管理、报表综合管理、数据资源管理、系统管理”、系统功能基本完整，符合招标文件的基本功能要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与采购项目建设需求“统一待办、楼宇经济管理、安商稳商、企业服务管理、高企培育管理、项目盯引管理、营商环境、项目管理、报表综合管理、数据资源管理、系统管理”、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8</w:t>
            </w:r>
            <w:r>
              <w:rPr>
                <w:rFonts w:hint="eastAsia" w:ascii="仿宋_GB2312" w:hAnsi="仿宋_GB2312" w:eastAsia="仿宋_GB2312" w:cs="仿宋_GB2312"/>
                <w:szCs w:val="21"/>
              </w:rPr>
              <w:t>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浙政钉移动端功能建设：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根据投标人提供的“浙政钉移动端功能”模块详细设计方案：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1）满足采购项目建设需求“浙政钉首页、重点企业库模块、楼宇经济管理模块、企业诉求模块、服务日志模块、要素匹配”、系统功能完整、完善，完全满足招标文件的所有功能要求的，得</w:t>
            </w:r>
            <w:r>
              <w:rPr>
                <w:rFonts w:ascii="仿宋_GB2312" w:hAnsi="等线" w:eastAsia="仿宋_GB2312" w:cs="宋体"/>
                <w:color w:val="000000"/>
                <w:kern w:val="0"/>
                <w:sz w:val="24"/>
              </w:rPr>
              <w:t>4</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2）比较满足采购项目建设需求“浙政钉首页、重点企业库模块、楼宇经济管理模块、企业诉求模块、服务日志模块、要素匹配”、系统功能比较完整、完善，符合招标文件的大部分功能要求的，得</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3）基本满足采购项目建设需求“浙政钉首页、重点企业库模块、楼宇经济管理模块、企业诉求模块、服务日志模块、要素匹配”系统功能基本完整，符合招标文件的基本功能要求的，得</w:t>
            </w:r>
            <w:r>
              <w:rPr>
                <w:rFonts w:ascii="仿宋_GB2312" w:hAnsi="等线" w:eastAsia="仿宋_GB2312" w:cs="宋体"/>
                <w:color w:val="000000"/>
                <w:kern w:val="0"/>
                <w:sz w:val="24"/>
              </w:rPr>
              <w:t>2</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4）与采购项目建设需求、“浙政钉首页、重点企业库模块、楼宇经济管理模块、企业诉求模块、服务日志模块、要素匹配”系统功能存在较大偏差，不能符合招标文件的基本功能要求的，得1分；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4</w:t>
            </w:r>
            <w:r>
              <w:rPr>
                <w:rFonts w:hint="eastAsia" w:ascii="仿宋_GB2312" w:hAnsi="仿宋_GB2312" w:eastAsia="仿宋_GB2312" w:cs="仿宋_GB2312"/>
                <w:szCs w:val="21"/>
              </w:rPr>
              <w:t>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企业端功能建设：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根据投标人提供的“企业端功能”模块详细设计方案：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1）满足采购项目建设需求“服务资源、企业诉求、要素匹配”、系统功能完整、完善，完全满足招标文件的所有功能要求的，得</w:t>
            </w:r>
            <w:r>
              <w:rPr>
                <w:rFonts w:ascii="仿宋_GB2312" w:hAnsi="等线" w:eastAsia="仿宋_GB2312" w:cs="宋体"/>
                <w:color w:val="000000"/>
                <w:kern w:val="0"/>
                <w:sz w:val="24"/>
              </w:rPr>
              <w:t>4</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2）比较满足采购项目建设需求“服务资源、企业诉求、要素匹配”、系统功能比较完整、完善，符合招标文件的大部分功能要求的，得</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3）基本满足采购项目建设需求“服务资源、企业诉求、要素匹配”、系统功能基本完整，符合招标文件的基本功能要求的，得</w:t>
            </w:r>
            <w:r>
              <w:rPr>
                <w:rFonts w:ascii="仿宋_GB2312" w:hAnsi="等线" w:eastAsia="仿宋_GB2312" w:cs="宋体"/>
                <w:color w:val="000000"/>
                <w:kern w:val="0"/>
                <w:sz w:val="24"/>
              </w:rPr>
              <w:t>2</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4）与采购项目建设需求“数据看板、数据管理”、系统功能存在较大偏差，不能符合招标文件的基本功能要求的，得1分；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4</w:t>
            </w:r>
            <w:r>
              <w:rPr>
                <w:rFonts w:hint="eastAsia" w:ascii="仿宋_GB2312" w:hAnsi="仿宋_GB2312" w:eastAsia="仿宋_GB2312" w:cs="仿宋_GB2312"/>
                <w:szCs w:val="21"/>
              </w:rPr>
              <w:t>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智能算法模型建设：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根据投标人提供的“智能算法模型”模块详细设计方案：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1）满足采购项目建设需求“区域经济活力指数、企业安商预警指数、楼宇经济指数、高企培育模型”、系统功能完整、完善，完全满足招标文件的所有功能要求的，得</w:t>
            </w: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2）比较满足采购项目建设需求“区域经济活力指数、企业安商预警指数、楼宇经济指数、高企培育模型”、系统功能比较完整、完善，符合招标文件的大部分功能要求的，得</w:t>
            </w: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3）基本满足采购项目建设需求“区域经济活力指数、企业安商预警指数、楼宇经济指数、高企培育模型”、系统功能基本完整，符合招标文件的基本功能要求的，得3分；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4）与采购项目建设需求“区域经济活力指数、企业安商预警指数、楼宇经济指数、高企培育模型”、系统功能存在较大偏差，不能符合招标文件的基本功能要求的，得1分；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8</w:t>
            </w:r>
            <w:r>
              <w:rPr>
                <w:rFonts w:hint="eastAsia" w:ascii="仿宋_GB2312" w:hAnsi="仿宋_GB2312" w:eastAsia="仿宋_GB2312" w:cs="仿宋_GB2312"/>
                <w:szCs w:val="21"/>
              </w:rPr>
              <w:t>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5609" w:type="dxa"/>
            <w:vAlign w:val="center"/>
          </w:tcPr>
          <w:p>
            <w:pPr>
              <w:adjustRightInd/>
              <w:spacing w:line="440" w:lineRule="exac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数据支撑建设：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根据投标人提供的“数据支撑”模块详细设计方案：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1）满足采购项目建设需求“系统集成对接、数据库建设”、系统功能完整、完善，完全满足招标文件的所有功能要求的，得6分；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2）比较满足采购项目建设需求“系统集成对接、数据库建设”、系统功能比较完整、完善，符合招标文件的大部分功能要求的，得4分；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3）基本满足采购项目建设需求“系统集成对接、数据库建设”、系统功能基本完整，符合招标文件的基本功能要求的，得3分；</w:t>
            </w:r>
          </w:p>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4）与采购项目建设需求“系统集成对接、数据库建设”、系统功能存在较大偏差，不能符合招标文件的基本功能要求的，得1分；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0-6分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系统演示视频：</w:t>
            </w:r>
          </w:p>
        </w:tc>
        <w:tc>
          <w:tcPr>
            <w:tcW w:w="941" w:type="dxa"/>
            <w:vMerge w:val="restart"/>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0-15分</w:t>
            </w:r>
          </w:p>
        </w:tc>
        <w:tc>
          <w:tcPr>
            <w:tcW w:w="1278" w:type="dxa"/>
            <w:vMerge w:val="restart"/>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vMerge w:val="restart"/>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664" w:type="dxa"/>
            <w:vMerge w:val="continue"/>
            <w:vAlign w:val="center"/>
          </w:tcPr>
          <w:p>
            <w:pPr>
              <w:adjustRightInd/>
              <w:spacing w:line="440" w:lineRule="exact"/>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1、应用构建：通过配置化方式直接创建应用系统模块，可配置应用名称、应用所属部门、应用类型、应用管理员、启用状态、应用图标、应用说明等基本信息；并可对已经创建的应用基本信息进行快速修改。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664" w:type="dxa"/>
            <w:vMerge w:val="continue"/>
            <w:vAlign w:val="center"/>
          </w:tcPr>
          <w:p>
            <w:pPr>
              <w:adjustRightInd/>
              <w:spacing w:line="440" w:lineRule="exact"/>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2、快速构建表单能力：通过表单可视化配置，实现“表单分组、控件拖拽”的可视化配置；实现表单字段涉及的“字段名、显示类型、输入框后描述、脱敏类型、输入长度、校验规则、操作属性、默认值、数据来源”等基本信息可视化配置；且可通过触发事件中“外部接口和Sql查询”功能实现表单字段和数据接口参数的关联可视化配置。</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64" w:type="dxa"/>
            <w:vMerge w:val="continue"/>
            <w:vAlign w:val="center"/>
          </w:tcPr>
          <w:p>
            <w:pPr>
              <w:adjustRightInd/>
              <w:spacing w:line="440" w:lineRule="exact"/>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3、快速构建审批流程：通过可视化拖拽方式配置审批流程环节；支持审批节点、抄送节点、条件分支等多节点类型；表单中可嵌入多张流程表单，并可以单独分配填写权限。可以固定流程节点负责人，同时可根据表单内的字段值以及组织架构等设置动态的节点负责人。</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vAlign w:val="center"/>
          </w:tcPr>
          <w:p>
            <w:pPr>
              <w:adjustRightInd/>
              <w:spacing w:line="440" w:lineRule="exact"/>
              <w:rPr>
                <w:rFonts w:ascii="仿宋_GB2312" w:hAnsi="仿宋_GB2312" w:eastAsia="仿宋_GB2312" w:cs="仿宋_GB2312"/>
                <w:sz w:val="24"/>
              </w:rPr>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4、实时数据共享能力演示：在无需第三方业务系统供应商等技术支持下，依托系统登录账号和密码，开发数据共享接口，基于快速构建的表单实现实时共享准确获取第三方业务系统数据。</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64" w:type="dxa"/>
            <w:vMerge w:val="continue"/>
            <w:vAlign w:val="center"/>
          </w:tcPr>
          <w:p>
            <w:pPr>
              <w:adjustRightInd/>
              <w:spacing w:line="440" w:lineRule="exact"/>
              <w:rPr>
                <w:rFonts w:ascii="仿宋_GB2312" w:hAnsi="仿宋_GB2312" w:eastAsia="仿宋_GB2312" w:cs="仿宋_GB2312"/>
                <w:sz w:val="24"/>
              </w:rPr>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5、系统对接数据实时写入能力：在无需第三方业务系统供应商等技术支持下，依托系统登录账号和密码，开发系统对接数据写入接口，基于快速构建的表单实现将业务数据实时写入第三方业务系统的能力。</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5609" w:type="dxa"/>
            <w:vAlign w:val="center"/>
          </w:tcPr>
          <w:p>
            <w:pPr>
              <w:adjustRightInd/>
              <w:spacing w:line="440" w:lineRule="exact"/>
              <w:rPr>
                <w:rFonts w:ascii="仿宋_GB2312" w:hAnsi="等线" w:eastAsia="仿宋_GB2312" w:cs="宋体"/>
                <w:color w:val="000000"/>
                <w:kern w:val="0"/>
                <w:sz w:val="24"/>
                <w:highlight w:val="none"/>
              </w:rPr>
            </w:pPr>
            <w:r>
              <w:rPr>
                <w:rFonts w:hint="eastAsia" w:ascii="仿宋_GB2312" w:hAnsi="等线" w:eastAsia="仿宋_GB2312" w:cs="宋体"/>
                <w:color w:val="000000"/>
                <w:kern w:val="0"/>
                <w:sz w:val="24"/>
                <w:highlight w:val="none"/>
              </w:rPr>
              <w:t>项目组人员：</w:t>
            </w:r>
            <w:r>
              <w:rPr>
                <w:rFonts w:hint="eastAsia" w:ascii="仿宋_GB2312" w:hAnsi="等线" w:eastAsia="仿宋_GB2312" w:cs="宋体"/>
                <w:color w:val="000000"/>
                <w:kern w:val="0"/>
                <w:sz w:val="24"/>
                <w:highlight w:val="none"/>
              </w:rPr>
              <w:br w:type="textWrapping"/>
            </w:r>
            <w:r>
              <w:rPr>
                <w:rFonts w:hint="eastAsia" w:ascii="仿宋_GB2312" w:hAnsi="等线" w:eastAsia="仿宋_GB2312" w:cs="宋体"/>
                <w:color w:val="000000"/>
                <w:kern w:val="0"/>
                <w:sz w:val="24"/>
                <w:highlight w:val="none"/>
              </w:rPr>
              <w:t>1）项目经理具备计算机技术与软件专业技术资格的信息系统项目管理师证书、PMP证书的，每个证书得1分，最高得2分，不具备不得分。</w:t>
            </w:r>
            <w:r>
              <w:rPr>
                <w:rFonts w:hint="eastAsia" w:ascii="仿宋_GB2312" w:hAnsi="等线" w:eastAsia="仿宋_GB2312" w:cs="宋体"/>
                <w:color w:val="000000"/>
                <w:kern w:val="0"/>
                <w:sz w:val="24"/>
                <w:highlight w:val="none"/>
              </w:rPr>
              <w:br w:type="textWrapping"/>
            </w:r>
            <w:r>
              <w:rPr>
                <w:rFonts w:hint="eastAsia" w:ascii="仿宋_GB2312" w:hAnsi="等线" w:eastAsia="仿宋_GB2312" w:cs="宋体"/>
                <w:color w:val="000000"/>
                <w:kern w:val="0"/>
                <w:sz w:val="24"/>
                <w:highlight w:val="none"/>
              </w:rPr>
              <w:t>2）技术经理具备工业和信息化部教育与考试中心颁发的软件开发（高级）证书、数据库管理（高级）证书 的，每个证书得1分，最高得2分，不具备不得分。</w:t>
            </w:r>
            <w:r>
              <w:rPr>
                <w:rFonts w:hint="eastAsia" w:ascii="仿宋_GB2312" w:hAnsi="等线" w:eastAsia="仿宋_GB2312" w:cs="宋体"/>
                <w:color w:val="000000"/>
                <w:kern w:val="0"/>
                <w:sz w:val="24"/>
                <w:highlight w:val="none"/>
              </w:rPr>
              <w:br w:type="textWrapping"/>
            </w:r>
            <w:r>
              <w:rPr>
                <w:rFonts w:hint="eastAsia" w:ascii="仿宋_GB2312" w:hAnsi="等线" w:eastAsia="仿宋_GB2312" w:cs="宋体"/>
                <w:color w:val="000000"/>
                <w:kern w:val="0"/>
                <w:sz w:val="24"/>
                <w:highlight w:val="none"/>
              </w:rPr>
              <w:t>3）大数据经理具备工业和信息化部教育与考试中心颁发的大数据分析师（高级）、高级软件工程师的，每个证书得1分，最高得2分，不具备不得分。</w:t>
            </w:r>
            <w:r>
              <w:rPr>
                <w:rFonts w:hint="eastAsia" w:ascii="仿宋_GB2312" w:hAnsi="等线" w:eastAsia="仿宋_GB2312" w:cs="宋体"/>
                <w:color w:val="000000"/>
                <w:kern w:val="0"/>
                <w:sz w:val="24"/>
                <w:highlight w:val="none"/>
              </w:rPr>
              <w:br w:type="textWrapping"/>
            </w:r>
            <w:r>
              <w:rPr>
                <w:rFonts w:hint="eastAsia" w:ascii="仿宋_GB2312" w:hAnsi="等线" w:eastAsia="仿宋_GB2312" w:cs="宋体"/>
                <w:color w:val="000000"/>
                <w:kern w:val="0"/>
                <w:sz w:val="24"/>
                <w:highlight w:val="none"/>
              </w:rPr>
              <w:t>4）业务负责人具备人力资源和社会保障部门颁发的经济（金融）专业中级资格证书的得1分，不具备不得分。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（注：项目经理、</w:t>
            </w:r>
            <w:r>
              <w:rPr>
                <w:rFonts w:hint="eastAsia" w:ascii="仿宋_GB2312" w:hAnsi="等线" w:eastAsia="仿宋_GB2312" w:cs="宋体"/>
                <w:color w:val="000000"/>
                <w:kern w:val="0"/>
                <w:sz w:val="24"/>
                <w:highlight w:val="none"/>
              </w:rPr>
              <w:t>技术经理</w:t>
            </w:r>
            <w:r>
              <w:rPr>
                <w:rFonts w:hint="eastAsia" w:ascii="仿宋_GB2312" w:hAnsi="仿宋_GB2312" w:eastAsia="仿宋_GB2312" w:cs="仿宋_GB2312"/>
                <w:sz w:val="24"/>
                <w:highlight w:val="none"/>
              </w:rPr>
              <w:t>、</w:t>
            </w:r>
            <w:r>
              <w:rPr>
                <w:rFonts w:hint="eastAsia" w:ascii="仿宋_GB2312" w:hAnsi="等线" w:eastAsia="仿宋_GB2312" w:cs="宋体"/>
                <w:color w:val="000000"/>
                <w:kern w:val="0"/>
                <w:sz w:val="24"/>
                <w:highlight w:val="none"/>
              </w:rPr>
              <w:t>大数据经理、业务负责人</w:t>
            </w:r>
            <w:r>
              <w:rPr>
                <w:rFonts w:hint="eastAsia" w:ascii="仿宋_GB2312" w:hAnsi="仿宋_GB2312" w:eastAsia="仿宋_GB2312" w:cs="仿宋_GB2312"/>
                <w:sz w:val="24"/>
                <w:highlight w:val="none"/>
              </w:rPr>
              <w:t>各项人员不重复得分，须提供证书扫描件和</w:t>
            </w:r>
            <w:r>
              <w:rPr>
                <w:rFonts w:hint="eastAsia" w:ascii="仿宋_GB2312" w:hAnsi="仿宋_GB2312" w:eastAsia="仿宋_GB2312" w:cs="仿宋_GB2312"/>
                <w:sz w:val="24"/>
                <w:highlight w:val="none"/>
                <w:lang w:val="en-US" w:eastAsia="zh-CN"/>
              </w:rPr>
              <w:t>2022年12月至2023年02月</w:t>
            </w:r>
            <w:r>
              <w:rPr>
                <w:rFonts w:hint="eastAsia" w:ascii="仿宋_GB2312" w:hAnsi="仿宋_GB2312" w:eastAsia="仿宋_GB2312" w:cs="仿宋_GB2312"/>
                <w:sz w:val="24"/>
                <w:highlight w:val="none"/>
              </w:rPr>
              <w:t>连续的</w:t>
            </w:r>
            <w:r>
              <w:rPr>
                <w:rFonts w:hint="eastAsia" w:ascii="仿宋_GB2312" w:hAnsi="仿宋_GB2312" w:eastAsia="仿宋_GB2312" w:cs="仿宋_GB2312"/>
                <w:sz w:val="24"/>
                <w:highlight w:val="none"/>
                <w:lang w:val="en-US" w:eastAsia="zh-CN"/>
              </w:rPr>
              <w:t>投标人为其缴纳的</w:t>
            </w:r>
            <w:r>
              <w:rPr>
                <w:rFonts w:hint="eastAsia" w:ascii="仿宋_GB2312" w:hAnsi="仿宋_GB2312" w:eastAsia="仿宋_GB2312" w:cs="仿宋_GB2312"/>
                <w:sz w:val="24"/>
                <w:highlight w:val="none"/>
              </w:rPr>
              <w:t>社保证明材料）</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0-7分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实施方案：投标人项目组织实施方案（包括项目进度计划、项目测试、项目需求、项目风险、沟通机制、项目文档、项目验收等）：</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1）投标人提供的项目实施方案详细完整，贴合项目实际、科学合理、规范可操作的，得5分；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2）投标人提供的项目实施方案较详细完整，基本符合项目实际的，投标人提供的项目实施方案较详细，基本符合项目实际、规范、具有一定可操作性的，得3分；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3）投标人提供的项目实施方案存在欠缺、与项目实际有一定差距、可操作性较差的，得1分；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培训计划：</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1）投标人提供的人员培训计划合理规范，培训课程具体丰富，师资配备合理的，得3分；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2）提供的人员培训计划基本合理规范，培训课程简单，师资配备基本合理的，得2分；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3）提供的人员培训计划不甚合理规范，培训课程单一，师资配备不甚合理的，得1分；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5609" w:type="dxa"/>
            <w:vAlign w:val="center"/>
          </w:tcPr>
          <w:p>
            <w:pPr>
              <w:adjustRightInd/>
              <w:spacing w:line="440" w:lineRule="exact"/>
              <w:rPr>
                <w:rFonts w:ascii="宋体" w:hAnsi="宋体" w:cs="宋体"/>
                <w:sz w:val="24"/>
              </w:rPr>
            </w:pPr>
            <w:r>
              <w:rPr>
                <w:rFonts w:hint="eastAsia" w:ascii="仿宋_GB2312" w:hAnsi="等线" w:eastAsia="仿宋_GB2312" w:cs="宋体"/>
                <w:color w:val="000000"/>
                <w:kern w:val="0"/>
                <w:sz w:val="24"/>
              </w:rPr>
              <w:t>质保期服务保障：</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1）投标人的运行服务保障应急预案对本项目后期运维实施可能遇到的问题及其应对措施的承诺情况能充分预判、确保采购人各项系统的正常运行和工作的正常开展的，得3分；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2）投标人的运行服务保障应急预案对本项目后期运维实施可能遇到的问题及其应对措施的承诺情况有一定预判、基本保证采购人各项系统的正常运行和工作的正常开展的，得2分；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3）投标人的运行服务保障应急预案对本项目后期运维实施可能遇到的问题及其应对措施的承诺情况有存在较大欠缺、不能有效保证采购人各项系统的正常运行和工作的正常开展的，得1分；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售后服务网点：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1）投标人在杭州市有售后服务网点（或承诺中标后10个工作日内新设售后服务网点），可以提供本地化技术支持服务，并在售后服务网点设有常驻技术团队，得3分；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2）投标人在杭州市有售后服务网点（或承诺中标后10个工作日内新设售后服务网点），但委托第三方公司提供售后服务的，得1分；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3）投标人无本地服务网点且又不承诺中标后提供本地化服务的，不得分。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[本地化服务网点需提供营业执照扫描件（或新设售后服务机构的承诺函），如委托第三方公司提供售后服务，需另行提供委托协议。否则不得分]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609" w:type="dxa"/>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有效投标报价的最低价作为评标基准价，其最低报价为满分；按［投标报价得分=（评标基准价/投标报价）*10］的计算公式计算。</w:t>
            </w:r>
          </w:p>
          <w:p>
            <w:pPr>
              <w:widowControl/>
              <w:shd w:val="clear" w:color="auto" w:fill="FFFFFF"/>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评标过程中，不得去掉报价中的最高报价和最低报价。</w:t>
            </w:r>
          </w:p>
          <w:p>
            <w:pPr>
              <w:widowControl/>
              <w:shd w:val="clear" w:color="auto" w:fill="FFFFFF"/>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对于未预留份额专门面向中小企业的政府采购服务项目，以及预留份额政府采购服务项目中的非预留部分标项，对小型和微型企业的投标报价给予</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%的扣除，用扣除后的价格参加评审。</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0-10分</w:t>
            </w:r>
          </w:p>
        </w:tc>
        <w:tc>
          <w:tcPr>
            <w:tcW w:w="1278" w:type="dxa"/>
            <w:vAlign w:val="center"/>
          </w:tcPr>
          <w:p>
            <w:pPr>
              <w:adjustRightInd/>
              <w:spacing w:line="440" w:lineRule="exact"/>
              <w:jc w:val="center"/>
              <w:rPr>
                <w:rFonts w:ascii="仿宋_GB2312" w:hAnsi="仿宋_GB2312" w:eastAsia="仿宋_GB2312" w:cs="仿宋_GB2312"/>
                <w:szCs w:val="21"/>
              </w:rPr>
            </w:pPr>
          </w:p>
        </w:tc>
        <w:tc>
          <w:tcPr>
            <w:tcW w:w="1506" w:type="dxa"/>
            <w:vAlign w:val="center"/>
          </w:tcPr>
          <w:p>
            <w:pPr>
              <w:adjustRightInd/>
              <w:spacing w:line="440" w:lineRule="exact"/>
              <w:rPr>
                <w:rFonts w:ascii="仿宋_GB2312" w:hAnsi="仿宋_GB2312" w:eastAsia="仿宋_GB2312" w:cs="仿宋_GB2312"/>
                <w:sz w:val="24"/>
              </w:rPr>
            </w:pPr>
          </w:p>
        </w:tc>
      </w:tr>
    </w:tbl>
    <w:p>
      <w:pPr>
        <w:adjustRightInd/>
        <w:spacing w:line="440" w:lineRule="exact"/>
        <w:ind w:firstLine="400" w:firstLineChars="200"/>
        <w:rPr>
          <w:rFonts w:ascii="仿宋_GB2312" w:hAnsi="仿宋_GB2312" w:eastAsia="仿宋_GB2312" w:cs="仿宋_GB2312"/>
          <w:b/>
          <w:sz w:val="24"/>
        </w:rPr>
      </w:pPr>
      <w:r>
        <w:rPr>
          <w:rFonts w:hint="eastAsia" w:ascii="仿宋_GB2312" w:hAnsi="仿宋_GB2312" w:eastAsia="仿宋_GB2312" w:cs="仿宋_GB2312"/>
          <w:sz w:val="20"/>
          <w:szCs w:val="20"/>
          <w:shd w:val="clear" w:color="auto" w:fill="FFFFFF"/>
        </w:rPr>
        <w:t>*</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pPr>
        <w:adjustRightInd/>
        <w:spacing w:line="440" w:lineRule="exact"/>
        <w:rPr>
          <w:rFonts w:ascii="仿宋_GB2312" w:hAnsi="仿宋_GB2312" w:eastAsia="仿宋_GB2312" w:cs="仿宋_GB2312"/>
          <w:b/>
          <w:sz w:val="28"/>
          <w:szCs w:val="28"/>
        </w:rPr>
      </w:pPr>
      <w:r>
        <w:rPr>
          <w:rFonts w:hint="eastAsia" w:ascii="仿宋_GB2312" w:hAnsi="仿宋_GB2312" w:eastAsia="仿宋_GB2312" w:cs="仿宋_GB2312"/>
          <w:b/>
          <w:sz w:val="32"/>
        </w:rPr>
        <w:t>一、评标方法</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1. 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pPr>
        <w:adjustRightInd/>
        <w:spacing w:line="440" w:lineRule="exact"/>
        <w:rPr>
          <w:rFonts w:ascii="仿宋_GB2312" w:hAnsi="仿宋_GB2312" w:eastAsia="仿宋_GB2312" w:cs="仿宋_GB2312"/>
          <w:b/>
          <w:sz w:val="32"/>
        </w:rPr>
      </w:pPr>
      <w:r>
        <w:rPr>
          <w:rFonts w:hint="eastAsia" w:ascii="仿宋_GB2312" w:hAnsi="仿宋_GB2312" w:eastAsia="仿宋_GB2312" w:cs="仿宋_GB2312"/>
          <w:b/>
          <w:sz w:val="32"/>
        </w:rPr>
        <w:t>二、评标标准</w:t>
      </w:r>
    </w:p>
    <w:p>
      <w:pPr>
        <w:adjustRightInd/>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评标标准：</w:t>
      </w:r>
      <w:r>
        <w:rPr>
          <w:rFonts w:hint="eastAsia" w:ascii="仿宋_GB2312" w:hAnsi="仿宋_GB2312" w:eastAsia="仿宋_GB2312" w:cs="仿宋_GB2312"/>
          <w:kern w:val="0"/>
          <w:sz w:val="24"/>
        </w:rPr>
        <w:t>见评标</w:t>
      </w:r>
      <w:r>
        <w:rPr>
          <w:rFonts w:hint="eastAsia" w:ascii="仿宋_GB2312" w:hAnsi="仿宋_GB2312" w:eastAsia="仿宋_GB2312" w:cs="仿宋_GB2312"/>
          <w:kern w:val="0"/>
          <w:sz w:val="24"/>
          <w:lang w:val="en-US" w:eastAsia="zh-CN"/>
        </w:rPr>
        <w:t>办</w:t>
      </w:r>
      <w:r>
        <w:rPr>
          <w:rFonts w:hint="eastAsia" w:ascii="仿宋_GB2312" w:hAnsi="仿宋_GB2312" w:eastAsia="仿宋_GB2312" w:cs="仿宋_GB2312"/>
          <w:kern w:val="0"/>
          <w:sz w:val="24"/>
        </w:rPr>
        <w:t>法前附表。</w:t>
      </w:r>
    </w:p>
    <w:p>
      <w:pPr>
        <w:adjustRightInd/>
        <w:spacing w:line="440" w:lineRule="exact"/>
        <w:rPr>
          <w:rFonts w:ascii="仿宋_GB2312" w:hAnsi="仿宋_GB2312" w:eastAsia="仿宋_GB2312" w:cs="仿宋_GB2312"/>
          <w:b/>
          <w:sz w:val="32"/>
        </w:rPr>
      </w:pPr>
      <w:r>
        <w:rPr>
          <w:rFonts w:hint="eastAsia" w:ascii="仿宋_GB2312" w:hAnsi="仿宋_GB2312" w:eastAsia="仿宋_GB2312" w:cs="仿宋_GB2312"/>
          <w:b/>
          <w:sz w:val="32"/>
        </w:rPr>
        <w:t>三、评标程序</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3.1 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w:t>
      </w:r>
      <w:r>
        <w:rPr>
          <w:rFonts w:hint="eastAsia" w:ascii="仿宋_GB2312" w:hAnsi="仿宋_GB2312" w:eastAsia="仿宋_GB2312" w:cs="仿宋_GB2312"/>
          <w:kern w:val="0"/>
          <w:sz w:val="24"/>
          <w:lang w:val="en-US" w:eastAsia="zh-CN"/>
        </w:rPr>
        <w:t>办</w:t>
      </w:r>
      <w:r>
        <w:rPr>
          <w:rFonts w:hint="eastAsia" w:ascii="仿宋_GB2312" w:hAnsi="仿宋_GB2312" w:eastAsia="仿宋_GB2312" w:cs="仿宋_GB2312"/>
          <w:kern w:val="0"/>
          <w:sz w:val="24"/>
        </w:rPr>
        <w:t>法和标准，对符合性审查合格的投标文件进行商务和技术评估，综合比较与评价。</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3.3 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p>
    <w:p>
      <w:pPr>
        <w:adjustRightInd/>
        <w:spacing w:line="440" w:lineRule="exact"/>
        <w:ind w:firstLine="482" w:firstLineChars="200"/>
        <w:rPr>
          <w:rFonts w:ascii="仿宋_GB2312" w:hAnsi="仿宋_GB2312" w:eastAsia="仿宋_GB2312" w:cs="仿宋_GB2312"/>
          <w:b/>
          <w:kern w:val="0"/>
          <w:sz w:val="24"/>
        </w:rPr>
      </w:pPr>
      <w:r>
        <w:rPr>
          <w:rFonts w:hint="eastAsia" w:ascii="仿宋_GB2312" w:hAnsi="仿宋_GB2312" w:eastAsia="仿宋_GB2312" w:cs="仿宋_GB2312"/>
          <w:b/>
          <w:kern w:val="0"/>
          <w:sz w:val="24"/>
        </w:rPr>
        <w:t>3.4 报价评审。</w:t>
      </w:r>
    </w:p>
    <w:p>
      <w:pPr>
        <w:pStyle w:val="131"/>
        <w:adjustRightInd/>
        <w:spacing w:before="0"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3.4.1 投标文件报价出现前后不一致的，按照下列规定修正：</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3.4.1.1 投标文件中开标一览表（报价表）内容与投标文件中相应内容不一致的，以开标一览表（报价表）为准；</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3.4.1.2 大写金额和小写金额不一致的，以大写金额为准；</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3.4.1.3 单价金额小数点或者百分比有明显错位的，以开标一览表的总价为准，并修改单价；</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3.4.1.4 总价金额与按单价汇总金额不一致的，以单价金额计算结果为准。</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3.4.1.5 同时出现两种以上不一致的，按照3.4.1规定的顺序修正。修正后的报价按照财政部第87号令《政府采购货物和服务招标投标管理办法》第五十一条第二款的规定经投标人确认后产生约束力。</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3.4.2 投标文件出现不是唯一的、有选择性投标报价的，投标无效。</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3.4.3 投标报价超过招标文件中规定的预算金额或者最高限价的，投标无效。</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3.4.5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3.5 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spacing w:line="440" w:lineRule="exact"/>
        <w:ind w:firstLine="480" w:firstLineChars="200"/>
        <w:rPr>
          <w:rFonts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3.6 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440" w:lineRule="exact"/>
        <w:rPr>
          <w:rFonts w:ascii="仿宋_GB2312" w:hAnsi="仿宋_GB2312" w:eastAsia="仿宋_GB2312" w:cs="仿宋_GB2312"/>
          <w:b/>
          <w:sz w:val="32"/>
        </w:rPr>
      </w:pPr>
      <w:r>
        <w:rPr>
          <w:rFonts w:hint="eastAsia" w:ascii="仿宋_GB2312" w:hAnsi="仿宋_GB2312" w:eastAsia="仿宋_GB2312" w:cs="仿宋_GB2312"/>
          <w:b/>
          <w:sz w:val="32"/>
        </w:rPr>
        <w:t>四、评标中的其他事项</w:t>
      </w:r>
    </w:p>
    <w:p>
      <w:pPr>
        <w:pStyle w:val="131"/>
        <w:adjustRightInd/>
        <w:spacing w:before="0" w:line="440" w:lineRule="exact"/>
        <w:ind w:firstLine="482"/>
        <w:rPr>
          <w:rFonts w:ascii="仿宋_GB2312" w:hAnsi="仿宋_GB2312" w:eastAsia="仿宋_GB2312" w:cs="仿宋_GB2312"/>
          <w:kern w:val="0"/>
          <w:szCs w:val="24"/>
        </w:rPr>
      </w:pPr>
      <w:r>
        <w:rPr>
          <w:rFonts w:hint="eastAsia" w:ascii="仿宋_GB2312" w:hAnsi="仿宋_GB2312" w:eastAsia="仿宋_GB2312" w:cs="仿宋_GB2312"/>
          <w:b/>
          <w:kern w:val="0"/>
          <w:szCs w:val="24"/>
        </w:rPr>
        <w:t>4.1 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adjustRightInd/>
        <w:spacing w:line="440" w:lineRule="exact"/>
        <w:ind w:firstLine="482"/>
        <w:rPr>
          <w:rFonts w:ascii="仿宋_GB2312" w:hAnsi="仿宋_GB2312" w:eastAsia="仿宋_GB2312" w:cs="仿宋_GB2312"/>
          <w:szCs w:val="21"/>
        </w:rPr>
      </w:pPr>
      <w:r>
        <w:rPr>
          <w:rFonts w:hint="eastAsia" w:ascii="仿宋_GB2312" w:hAnsi="仿宋_GB2312" w:eastAsia="仿宋_GB2312" w:cs="仿宋_GB2312"/>
          <w:b/>
          <w:kern w:val="0"/>
        </w:rPr>
        <w:t>4.2 投标无效。</w:t>
      </w:r>
      <w:r>
        <w:rPr>
          <w:rFonts w:hint="eastAsia" w:ascii="仿宋_GB2312" w:hAnsi="仿宋_GB2312" w:eastAsia="仿宋_GB2312" w:cs="仿宋_GB2312"/>
          <w:szCs w:val="21"/>
        </w:rPr>
        <w:t>有下列情形之一的，投标无效：</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 投标人不具备招标文件中规定的资格要求的（投标人未提供有效的资格文件的，视为投标人不具备招标文件中规定的资格要求）；</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4.2.2 投标文件未按照招标文件要求签署、盖章的；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4.2.3 采购人拟采购的产品属于政府强制采购的节能产品品目清单范围的，投标人未按招标文件要求提供国家确定的认证机构出具的、处于有效期之内的节能产品认证证书的；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4.2.4 投标文件含有采购人不能接受的附加条件的；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4.2.5 投标文件中承诺的投标有效期少于招标文件中载明的投标有效期的；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4.2.6 投标文件出现不是唯一的、有选择性投标报价的；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4.2.7 投标报价超过招标文件中规定的预算金额或者最高限价的；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4.2.8 报价明显低于其他通过符合性审查投标人的报价，有可能影响产品质量或者不能诚信履约的，未能按要求提供书面说明或者提交相关证明材料，不能证明其报价合理性的；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4.2.9 投标人对根据修正原则修正后的报价不确认的；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4.2.10 投标人提供虚假材料投标的；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4.2.11 投标人有恶意串通、妨碍其他投标人的竞争行为、损害采购人或者其他投标人的合法权益情形的；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4.2.12 投标人仅提交备份投标文件，未在电子交易平台传输递交投标文件的，投标无效；</w:t>
      </w:r>
    </w:p>
    <w:p>
      <w:pPr>
        <w:keepNext/>
        <w:keepLines/>
        <w:tabs>
          <w:tab w:val="left" w:pos="432"/>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4.2.13 投标文件不满足招标文件的其它实质性要求的；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4.2.14 法律、法规、规章（适用本市的）及省级以上规范性文件（适用本市的）规定的其他无效情形。</w:t>
      </w:r>
    </w:p>
    <w:p>
      <w:pPr>
        <w:pStyle w:val="24"/>
        <w:adjustRightInd/>
        <w:spacing w:line="440" w:lineRule="exact"/>
        <w:ind w:firstLine="482"/>
        <w:rPr>
          <w:rFonts w:ascii="仿宋_GB2312" w:hAnsi="仿宋_GB2312" w:eastAsia="仿宋_GB2312" w:cs="仿宋_GB2312"/>
        </w:rPr>
      </w:pPr>
      <w:r>
        <w:rPr>
          <w:rFonts w:hint="eastAsia" w:ascii="仿宋_GB2312" w:hAnsi="仿宋_GB2312" w:eastAsia="仿宋_GB2312" w:cs="仿宋_GB2312"/>
          <w:b/>
        </w:rPr>
        <w:t>5. 废标。</w:t>
      </w:r>
      <w:r>
        <w:rPr>
          <w:rFonts w:hint="eastAsia" w:ascii="仿宋_GB2312" w:hAnsi="仿宋_GB2312" w:eastAsia="仿宋_GB2312" w:cs="仿宋_GB2312"/>
        </w:rPr>
        <w:t>根据《中华人民共和国政府采购法》第三十六条之规定，在采购中，出现下列情形之一的，应予废标：</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5.1 符合专业条件的供应商或者对招标文件作实质响应的供应商不足3家的；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5.2 出现影响采购公正的违法、违规行为的；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5.3 投标人的报价均超过了采购预算，采购人不能支付的；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5.4 因重大变故，采购任务取消的。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废标后，采购代理机构应当将废标理由通知所有投标人。</w:t>
      </w:r>
    </w:p>
    <w:p>
      <w:pPr>
        <w:pStyle w:val="24"/>
        <w:adjustRightInd/>
        <w:spacing w:line="440" w:lineRule="exact"/>
        <w:ind w:firstLine="482"/>
        <w:rPr>
          <w:rFonts w:ascii="仿宋_GB2312" w:hAnsi="仿宋_GB2312" w:eastAsia="仿宋_GB2312" w:cs="仿宋_GB2312"/>
        </w:rPr>
      </w:pPr>
      <w:r>
        <w:rPr>
          <w:rFonts w:hint="eastAsia" w:ascii="仿宋_GB2312" w:hAnsi="仿宋_GB2312" w:eastAsia="仿宋_GB2312" w:cs="仿宋_GB2312"/>
          <w:b/>
        </w:rPr>
        <w:t>6. 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adjustRightInd/>
        <w:spacing w:line="440" w:lineRule="exact"/>
        <w:ind w:firstLine="482"/>
        <w:rPr>
          <w:rFonts w:ascii="仿宋_GB2312" w:hAnsi="仿宋_GB2312" w:eastAsia="仿宋_GB2312" w:cs="仿宋_GB2312"/>
        </w:rPr>
      </w:pPr>
      <w:r>
        <w:rPr>
          <w:rFonts w:hint="eastAsia" w:ascii="仿宋_GB2312" w:hAnsi="仿宋_GB2312" w:eastAsia="仿宋_GB2312" w:cs="仿宋_GB2312"/>
          <w:b/>
          <w:kern w:val="0"/>
        </w:rPr>
        <w:t>7. 重新开展采购。</w:t>
      </w:r>
      <w:r>
        <w:rPr>
          <w:rFonts w:hint="eastAsia" w:ascii="仿宋_GB2312" w:hAnsi="仿宋_GB2312" w:eastAsia="仿宋_GB2312" w:cs="仿宋_GB2312"/>
        </w:rPr>
        <w:t>有政府采购法第七十一条、第七十二条规定的违法行为之一，影响或者可能影响中标结果的，依照下列规定处理：</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7.1 未确定中标供应商的，终止本次政府采购活动，重新开展政府采购活动。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7.2 已确定中标供应商但尚未签订政府采购合同的，中标结果无效，从合格的中标候选人中另行确定中标供应商；没有合格的中标候选人的，重新开展政府采购活动。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7.3 政府采购合同已签订但尚未履行的，撤销合同，从合格的中标候选人中另行确定中标供应商；没有合格的中标候选人的，重新开展政府采购活动。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7.4 政府采购合同已经履行，给采购人、供应商造成损失的，由责任人承担赔偿责任。</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7.5 政府采购当事人有其他违反政府采购法或者政府采购法实施条例等法律法规规定的行为，经改正后仍然影响或者可能影响中标结果或者依法被认定为中标无效的，依照7.1-7.4规定处理。</w:t>
      </w:r>
    </w:p>
    <w:bookmarkEnd w:id="26"/>
    <w:p>
      <w:pPr>
        <w:rPr>
          <w:rFonts w:ascii="仿宋_GB2312" w:hAnsi="仿宋_GB2312" w:eastAsia="仿宋_GB2312" w:cs="仿宋_GB2312"/>
          <w:b/>
          <w:sz w:val="36"/>
          <w:szCs w:val="36"/>
        </w:rPr>
      </w:pPr>
      <w:bookmarkStart w:id="393" w:name="第五部分"/>
      <w:bookmarkStart w:id="394" w:name="_Toc86217003"/>
    </w:p>
    <w:p>
      <w:pPr>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第五部分 拟签订的合同文本</w:t>
      </w:r>
    </w:p>
    <w:p>
      <w:pPr>
        <w:rPr>
          <w:rFonts w:ascii="仿宋_GB2312" w:hAnsi="仿宋_GB2312" w:eastAsia="仿宋_GB2312" w:cs="仿宋_GB2312"/>
          <w:sz w:val="24"/>
          <w:u w:val="single"/>
        </w:rPr>
      </w:pPr>
      <w:r>
        <w:rPr>
          <w:rFonts w:hint="eastAsia" w:ascii="仿宋_GB2312" w:hAnsi="仿宋_GB2312" w:eastAsia="仿宋_GB2312" w:cs="仿宋_GB2312"/>
          <w:sz w:val="24"/>
        </w:rPr>
        <w:t>合同编号：</w:t>
      </w:r>
      <w:r>
        <w:rPr>
          <w:rFonts w:hint="eastAsia" w:ascii="仿宋_GB2312" w:hAnsi="仿宋_GB2312" w:eastAsia="仿宋_GB2312" w:cs="仿宋_GB2312"/>
          <w:sz w:val="24"/>
          <w:u w:val="single"/>
        </w:rPr>
        <w:t xml:space="preserve">           </w:t>
      </w:r>
    </w:p>
    <w:p>
      <w:pPr>
        <w:spacing w:line="480" w:lineRule="auto"/>
        <w:jc w:val="center"/>
        <w:rPr>
          <w:rFonts w:ascii="仿宋_GB2312" w:hAnsi="仿宋_GB2312" w:eastAsia="仿宋_GB2312" w:cs="仿宋_GB2312"/>
          <w:b/>
          <w:sz w:val="28"/>
          <w:szCs w:val="28"/>
        </w:rPr>
      </w:pPr>
    </w:p>
    <w:p>
      <w:pPr>
        <w:snapToGrid w:val="0"/>
        <w:spacing w:line="360" w:lineRule="auto"/>
        <w:jc w:val="center"/>
        <w:rPr>
          <w:rFonts w:ascii="仿宋_GB2312" w:hAnsi="仿宋_GB2312" w:eastAsia="仿宋_GB2312" w:cs="仿宋_GB2312"/>
          <w:b/>
          <w:sz w:val="32"/>
          <w:szCs w:val="32"/>
        </w:rPr>
      </w:pPr>
    </w:p>
    <w:p>
      <w:pPr>
        <w:adjustRightInd/>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p>
    <w:p>
      <w:pPr>
        <w:adjustRightInd/>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政府采购合同</w:t>
      </w:r>
    </w:p>
    <w:p>
      <w:pPr>
        <w:adjustRightInd/>
        <w:spacing w:line="660" w:lineRule="exact"/>
        <w:jc w:val="center"/>
        <w:rPr>
          <w:rFonts w:ascii="仿宋_GB2312" w:hAnsi="仿宋_GB2312" w:eastAsia="仿宋_GB2312" w:cs="仿宋_GB2312"/>
          <w:b/>
          <w:sz w:val="28"/>
          <w:szCs w:val="28"/>
        </w:rPr>
      </w:pPr>
    </w:p>
    <w:p>
      <w:pPr>
        <w:adjustRightInd/>
        <w:spacing w:line="660" w:lineRule="exact"/>
        <w:jc w:val="center"/>
        <w:rPr>
          <w:rFonts w:ascii="仿宋_GB2312" w:hAnsi="仿宋_GB2312" w:eastAsia="仿宋_GB2312" w:cs="仿宋_GB2312"/>
          <w:sz w:val="28"/>
          <w:szCs w:val="28"/>
        </w:rPr>
      </w:pPr>
      <w:r>
        <w:rPr>
          <w:rFonts w:hint="eastAsia" w:ascii="仿宋_GB2312" w:hAnsi="仿宋_GB2312" w:eastAsia="仿宋_GB2312" w:cs="仿宋_GB2312"/>
          <w:b/>
          <w:sz w:val="28"/>
          <w:szCs w:val="28"/>
        </w:rPr>
        <w:t>项目编号：</w:t>
      </w:r>
    </w:p>
    <w:p>
      <w:pPr>
        <w:pStyle w:val="979"/>
        <w:spacing w:after="120" w:line="360" w:lineRule="auto"/>
        <w:ind w:firstLine="0"/>
        <w:rPr>
          <w:rFonts w:ascii="仿宋_GB2312" w:hAnsi="仿宋_GB2312" w:eastAsia="仿宋_GB2312" w:cs="仿宋_GB2312"/>
          <w:sz w:val="32"/>
          <w:szCs w:val="32"/>
        </w:rPr>
      </w:pPr>
    </w:p>
    <w:p>
      <w:pPr>
        <w:pStyle w:val="979"/>
        <w:spacing w:after="120" w:line="360" w:lineRule="auto"/>
        <w:ind w:firstLine="0"/>
        <w:rPr>
          <w:rFonts w:ascii="仿宋_GB2312" w:hAnsi="仿宋_GB2312" w:eastAsia="仿宋_GB2312" w:cs="仿宋_GB2312"/>
          <w:sz w:val="32"/>
          <w:szCs w:val="32"/>
        </w:rPr>
      </w:pPr>
    </w:p>
    <w:p>
      <w:pPr>
        <w:pStyle w:val="979"/>
        <w:spacing w:after="120" w:line="360" w:lineRule="auto"/>
        <w:ind w:firstLine="0"/>
        <w:rPr>
          <w:rFonts w:ascii="仿宋_GB2312" w:hAnsi="仿宋_GB2312" w:eastAsia="仿宋_GB2312" w:cs="仿宋_GB2312"/>
          <w:sz w:val="32"/>
          <w:szCs w:val="32"/>
        </w:rPr>
      </w:pPr>
    </w:p>
    <w:p>
      <w:pPr>
        <w:pStyle w:val="979"/>
        <w:spacing w:after="120" w:line="360" w:lineRule="auto"/>
        <w:ind w:firstLine="0"/>
        <w:rPr>
          <w:rFonts w:ascii="仿宋_GB2312" w:hAnsi="仿宋_GB2312" w:eastAsia="仿宋_GB2312" w:cs="仿宋_GB2312"/>
          <w:sz w:val="32"/>
          <w:szCs w:val="32"/>
        </w:rPr>
      </w:pPr>
    </w:p>
    <w:p>
      <w:pPr>
        <w:pStyle w:val="979"/>
        <w:spacing w:line="660" w:lineRule="exact"/>
        <w:ind w:firstLine="1260" w:firstLineChars="450"/>
        <w:rPr>
          <w:rFonts w:ascii="仿宋_GB2312" w:hAnsi="仿宋_GB2312" w:eastAsia="仿宋_GB2312" w:cs="仿宋_GB2312"/>
          <w:szCs w:val="28"/>
        </w:rPr>
      </w:pPr>
      <w:r>
        <w:rPr>
          <w:rFonts w:hint="eastAsia" w:ascii="仿宋_GB2312" w:hAnsi="仿宋_GB2312" w:eastAsia="仿宋_GB2312" w:cs="仿宋_GB2312"/>
          <w:szCs w:val="28"/>
        </w:rPr>
        <w:t>甲方：</w:t>
      </w:r>
      <w:r>
        <w:rPr>
          <w:rFonts w:hint="eastAsia" w:ascii="仿宋_GB2312" w:hAnsi="仿宋_GB2312" w:eastAsia="仿宋_GB2312" w:cs="仿宋_GB2312"/>
          <w:szCs w:val="28"/>
          <w:u w:val="single"/>
        </w:rPr>
        <w:t>杭州市拱墅区发展改革和经济信息化局</w:t>
      </w:r>
      <w:r>
        <w:rPr>
          <w:rFonts w:hint="eastAsia" w:ascii="仿宋_GB2312" w:hAnsi="仿宋_GB2312" w:eastAsia="仿宋_GB2312" w:cs="仿宋_GB2312"/>
          <w:szCs w:val="28"/>
        </w:rPr>
        <w:t xml:space="preserve"> </w:t>
      </w:r>
    </w:p>
    <w:p>
      <w:pPr>
        <w:pStyle w:val="979"/>
        <w:spacing w:line="660" w:lineRule="exact"/>
        <w:ind w:firstLine="1260" w:firstLineChars="450"/>
        <w:rPr>
          <w:rFonts w:ascii="仿宋_GB2312" w:hAnsi="仿宋_GB2312" w:eastAsia="仿宋_GB2312" w:cs="仿宋_GB2312"/>
          <w:szCs w:val="28"/>
        </w:rPr>
      </w:pPr>
      <w:r>
        <w:rPr>
          <w:rFonts w:hint="eastAsia" w:ascii="仿宋_GB2312" w:hAnsi="仿宋_GB2312" w:eastAsia="仿宋_GB2312" w:cs="仿宋_GB2312"/>
          <w:szCs w:val="28"/>
        </w:rPr>
        <w:t>乙方：</w:t>
      </w:r>
      <w:r>
        <w:rPr>
          <w:rFonts w:hint="eastAsia" w:ascii="仿宋_GB2312" w:hAnsi="仿宋_GB2312" w:eastAsia="仿宋_GB2312" w:cs="仿宋_GB2312"/>
          <w:szCs w:val="28"/>
          <w:u w:val="single"/>
        </w:rPr>
        <w:t xml:space="preserve">           </w:t>
      </w:r>
    </w:p>
    <w:p>
      <w:pPr>
        <w:pStyle w:val="979"/>
        <w:spacing w:line="660" w:lineRule="exact"/>
        <w:ind w:firstLine="1260" w:firstLineChars="450"/>
        <w:rPr>
          <w:rFonts w:ascii="仿宋_GB2312" w:hAnsi="仿宋_GB2312" w:eastAsia="仿宋_GB2312" w:cs="仿宋_GB2312"/>
          <w:szCs w:val="28"/>
        </w:rPr>
      </w:pPr>
      <w:r>
        <w:rPr>
          <w:rFonts w:hint="eastAsia" w:ascii="仿宋_GB2312" w:hAnsi="仿宋_GB2312" w:eastAsia="仿宋_GB2312" w:cs="仿宋_GB2312"/>
          <w:szCs w:val="28"/>
        </w:rPr>
        <w:t>签署日期：    年    月    日</w:t>
      </w:r>
    </w:p>
    <w:p>
      <w:pPr>
        <w:pStyle w:val="979"/>
        <w:spacing w:line="440" w:lineRule="exact"/>
        <w:ind w:firstLine="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仿宋_GB2312" w:hAnsi="仿宋_GB2312" w:eastAsia="仿宋_GB2312" w:cs="仿宋_GB2312"/>
          <w:b/>
          <w:bCs/>
          <w:sz w:val="32"/>
          <w:szCs w:val="32"/>
        </w:rPr>
        <w:t>合同条款</w:t>
      </w:r>
    </w:p>
    <w:p>
      <w:pPr>
        <w:pStyle w:val="979"/>
        <w:spacing w:line="440" w:lineRule="exact"/>
        <w:ind w:firstLine="0"/>
        <w:jc w:val="center"/>
        <w:rPr>
          <w:rFonts w:ascii="仿宋_GB2312" w:hAnsi="仿宋_GB2312" w:eastAsia="仿宋_GB2312" w:cs="仿宋_GB2312"/>
          <w:sz w:val="18"/>
          <w:szCs w:val="18"/>
        </w:rPr>
      </w:pP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u w:val="single"/>
        </w:rPr>
        <w:t>杭州市拱墅区发展改革和经济信息化局</w:t>
      </w:r>
      <w:r>
        <w:rPr>
          <w:rFonts w:hint="eastAsia" w:ascii="仿宋_GB2312" w:hAnsi="仿宋_GB2312" w:eastAsia="仿宋_GB2312" w:cs="仿宋_GB2312"/>
          <w:szCs w:val="21"/>
        </w:rPr>
        <w:t>（甲方）</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（项目名称）中所需</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（标项名称）经</w:t>
      </w:r>
      <w:r>
        <w:rPr>
          <w:rFonts w:hint="eastAsia" w:ascii="仿宋_GB2312" w:hAnsi="仿宋_GB2312" w:eastAsia="仿宋_GB2312" w:cs="仿宋_GB2312"/>
          <w:kern w:val="0"/>
          <w:szCs w:val="21"/>
          <w:u w:val="single"/>
        </w:rPr>
        <w:t>杭州市拱墅区发展改革和经济信息化局</w:t>
      </w:r>
      <w:r>
        <w:rPr>
          <w:rFonts w:hint="eastAsia" w:ascii="仿宋_GB2312" w:hAnsi="仿宋_GB2312" w:eastAsia="仿宋_GB2312" w:cs="仿宋_GB2312"/>
          <w:kern w:val="0"/>
          <w:szCs w:val="21"/>
        </w:rPr>
        <w:t>（采购人）</w:t>
      </w:r>
      <w:r>
        <w:rPr>
          <w:rFonts w:hint="eastAsia" w:ascii="仿宋_GB2312" w:hAnsi="仿宋_GB2312" w:eastAsia="仿宋_GB2312" w:cs="仿宋_GB2312"/>
          <w:szCs w:val="21"/>
        </w:rPr>
        <w:t>以招标文件（项目编号：</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）进行公开招标，确定</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（乙方）为中标人。甲、乙双方依据《中华人民共和国民法典》、《中华人民共和国政府采购法》等相关法律法规以及本项目招标文件的规定，在平等自愿的基础上，达成如下合同。</w:t>
      </w:r>
    </w:p>
    <w:p>
      <w:pPr>
        <w:adjustRightInd/>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一、下列文件构成本合同的组成部分</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组成本合同的文件及优先解释顺序如下：</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1.本合同书</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2.中标通知书</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3.询标承诺</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4.投标文件</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5.招标文件</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以上文件应该认为是一个整体，彼此相互解释和补充。</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二、合同标的物</w:t>
      </w:r>
      <w:r>
        <w:rPr>
          <w:rFonts w:hint="eastAsia" w:ascii="仿宋_GB2312" w:hAnsi="仿宋_GB2312" w:eastAsia="仿宋_GB2312" w:cs="仿宋_GB2312"/>
          <w:szCs w:val="21"/>
        </w:rPr>
        <w:t>（详见附件清单）</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1.本合同标的物名称：</w:t>
      </w:r>
      <w:r>
        <w:rPr>
          <w:rFonts w:hint="eastAsia" w:ascii="仿宋_GB2312" w:hAnsi="仿宋_GB2312" w:eastAsia="仿宋_GB2312" w:cs="仿宋_GB2312"/>
          <w:szCs w:val="21"/>
          <w:u w:val="single"/>
        </w:rPr>
        <w:t>【   】</w:t>
      </w:r>
    </w:p>
    <w:p>
      <w:pPr>
        <w:pStyle w:val="979"/>
        <w:spacing w:line="440" w:lineRule="exact"/>
        <w:rPr>
          <w:rFonts w:ascii="仿宋_GB2312" w:hAnsi="仿宋_GB2312" w:eastAsia="仿宋_GB2312" w:cs="仿宋_GB2312"/>
          <w:sz w:val="21"/>
          <w:szCs w:val="21"/>
          <w:u w:val="single"/>
        </w:rPr>
      </w:pPr>
      <w:r>
        <w:rPr>
          <w:rFonts w:hint="eastAsia" w:ascii="仿宋_GB2312" w:hAnsi="仿宋_GB2312" w:eastAsia="仿宋_GB2312" w:cs="仿宋_GB2312"/>
          <w:sz w:val="21"/>
          <w:szCs w:val="21"/>
        </w:rPr>
        <w:t>2.本合同标的物数量：</w:t>
      </w:r>
      <w:r>
        <w:rPr>
          <w:rFonts w:hint="eastAsia" w:ascii="仿宋_GB2312" w:hAnsi="仿宋_GB2312" w:eastAsia="仿宋_GB2312" w:cs="仿宋_GB2312"/>
          <w:sz w:val="21"/>
          <w:szCs w:val="21"/>
          <w:u w:val="single"/>
        </w:rPr>
        <w:t>【   】</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3.质量标准和要求：</w:t>
      </w:r>
      <w:r>
        <w:rPr>
          <w:rFonts w:hint="eastAsia" w:ascii="仿宋_GB2312" w:hAnsi="仿宋_GB2312" w:eastAsia="仿宋_GB2312" w:cs="仿宋_GB2312"/>
          <w:sz w:val="21"/>
          <w:szCs w:val="21"/>
          <w:u w:val="single"/>
        </w:rPr>
        <w:t>【   】</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三、合同价款与支付方式</w:t>
      </w:r>
    </w:p>
    <w:p>
      <w:pPr>
        <w:adjustRightInd/>
        <w:spacing w:line="440" w:lineRule="exact"/>
        <w:ind w:firstLine="420"/>
        <w:rPr>
          <w:rFonts w:ascii="仿宋_GB2312" w:hAnsi="仿宋_GB2312" w:eastAsia="仿宋_GB2312" w:cs="仿宋_GB2312"/>
        </w:rPr>
      </w:pPr>
      <w:r>
        <w:rPr>
          <w:rFonts w:hint="eastAsia" w:ascii="仿宋_GB2312" w:hAnsi="仿宋_GB2312" w:eastAsia="仿宋_GB2312" w:cs="仿宋_GB2312"/>
        </w:rPr>
        <w:t>1.本合同总价为：¥</w:t>
      </w:r>
      <w:r>
        <w:rPr>
          <w:rFonts w:hint="eastAsia" w:ascii="仿宋_GB2312" w:hAnsi="仿宋_GB2312" w:eastAsia="仿宋_GB2312" w:cs="仿宋_GB2312"/>
          <w:u w:val="single"/>
        </w:rPr>
        <w:t>【    】</w:t>
      </w:r>
      <w:r>
        <w:rPr>
          <w:rFonts w:hint="eastAsia" w:ascii="仿宋_GB2312" w:hAnsi="仿宋_GB2312" w:eastAsia="仿宋_GB2312" w:cs="仿宋_GB2312"/>
        </w:rPr>
        <w:t>元人民币（大写：</w:t>
      </w:r>
      <w:r>
        <w:rPr>
          <w:rFonts w:hint="eastAsia" w:ascii="仿宋_GB2312" w:hAnsi="仿宋_GB2312" w:eastAsia="仿宋_GB2312" w:cs="仿宋_GB2312"/>
          <w:szCs w:val="21"/>
          <w:u w:val="single"/>
        </w:rPr>
        <w:t>【   】</w:t>
      </w:r>
      <w:r>
        <w:rPr>
          <w:rFonts w:hint="eastAsia" w:ascii="仿宋_GB2312" w:hAnsi="仿宋_GB2312" w:eastAsia="仿宋_GB2312" w:cs="仿宋_GB2312"/>
        </w:rPr>
        <w:t>）（含税价，合同价款不受费率变动影响）。</w:t>
      </w:r>
    </w:p>
    <w:p>
      <w:pPr>
        <w:adjustRightInd/>
        <w:spacing w:line="440" w:lineRule="exact"/>
        <w:ind w:firstLine="420"/>
        <w:rPr>
          <w:rFonts w:ascii="仿宋_GB2312" w:hAnsi="仿宋_GB2312" w:eastAsia="仿宋_GB2312" w:cs="仿宋_GB2312"/>
        </w:rPr>
      </w:pPr>
      <w:r>
        <w:rPr>
          <w:rFonts w:hint="eastAsia" w:ascii="仿宋_GB2312" w:hAnsi="仿宋_GB2312" w:eastAsia="仿宋_GB2312" w:cs="仿宋_GB2312"/>
        </w:rPr>
        <w:t>2.支付方式：按本合同项下的项目进度支付费用（应根据项目特点具体约定，以下阶段支付仅为参考）</w:t>
      </w:r>
    </w:p>
    <w:p>
      <w:pPr>
        <w:adjustRightInd/>
        <w:spacing w:line="440" w:lineRule="exact"/>
        <w:ind w:firstLine="420"/>
        <w:rPr>
          <w:rFonts w:ascii="仿宋_GB2312" w:hAnsi="仿宋_GB2312" w:eastAsia="仿宋_GB2312" w:cs="仿宋_GB2312"/>
        </w:rPr>
      </w:pPr>
      <w:r>
        <w:rPr>
          <w:rFonts w:hint="eastAsia" w:ascii="仿宋_GB2312" w:hAnsi="仿宋_GB2312" w:eastAsia="仿宋_GB2312" w:cs="仿宋_GB2312"/>
        </w:rPr>
        <w:t>本合同中的支付条件与方式如下（单位：人民币，元）：</w:t>
      </w:r>
    </w:p>
    <w:tbl>
      <w:tblPr>
        <w:tblStyle w:val="6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37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88" w:type="dxa"/>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付款</w:t>
            </w:r>
          </w:p>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阶段</w:t>
            </w:r>
          </w:p>
        </w:tc>
        <w:tc>
          <w:tcPr>
            <w:tcW w:w="6378" w:type="dxa"/>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付款条件</w:t>
            </w:r>
          </w:p>
        </w:tc>
        <w:tc>
          <w:tcPr>
            <w:tcW w:w="851" w:type="dxa"/>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支付</w:t>
            </w:r>
          </w:p>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比例</w:t>
            </w:r>
          </w:p>
        </w:tc>
        <w:tc>
          <w:tcPr>
            <w:tcW w:w="850" w:type="dxa"/>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支付</w:t>
            </w:r>
          </w:p>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第1次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双方签订合同，乙方提交《拱墅区网络与信息安全承诺书》（单位）、《拱墅区网络与信息安全保密承诺书（个人）》、《廉政承诺书》并按要求提交履约保证金后7个工作日内。</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50%</w:t>
            </w:r>
          </w:p>
        </w:tc>
        <w:tc>
          <w:tcPr>
            <w:tcW w:w="850" w:type="dxa"/>
            <w:vAlign w:val="center"/>
          </w:tcPr>
          <w:p>
            <w:pPr>
              <w:adjustRightInd/>
              <w:spacing w:line="440" w:lineRule="exact"/>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第2次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完成软件的开发建设，文档资料齐全，初验合格后10个工作日内。</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30%</w:t>
            </w:r>
          </w:p>
        </w:tc>
        <w:tc>
          <w:tcPr>
            <w:tcW w:w="850" w:type="dxa"/>
            <w:vAlign w:val="center"/>
          </w:tcPr>
          <w:p>
            <w:pPr>
              <w:adjustRightInd/>
              <w:spacing w:line="440" w:lineRule="exact"/>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第3次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项目试运行不少于3个月并完成终验收。乙方提供数据归集确认单、源代码归集确认单（甲方知识产权部分），提供软件等保测评报告，完成培训；乙方在服务期间未发生违约情况或乙方已承担违约责任。</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850" w:type="dxa"/>
            <w:vAlign w:val="center"/>
          </w:tcPr>
          <w:p>
            <w:pPr>
              <w:adjustRightInd/>
              <w:spacing w:line="440" w:lineRule="exact"/>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第4次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12个月的免费维护期满。</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5%</w:t>
            </w:r>
          </w:p>
        </w:tc>
        <w:tc>
          <w:tcPr>
            <w:tcW w:w="850" w:type="dxa"/>
            <w:vAlign w:val="center"/>
          </w:tcPr>
          <w:p>
            <w:pPr>
              <w:adjustRightInd/>
              <w:spacing w:line="440" w:lineRule="exact"/>
              <w:jc w:val="center"/>
              <w:rPr>
                <w:rFonts w:ascii="仿宋_GB2312" w:hAnsi="仿宋_GB2312" w:eastAsia="仿宋_GB2312" w:cs="仿宋_GB2312"/>
                <w:highlight w:val="none"/>
              </w:rPr>
            </w:pPr>
          </w:p>
        </w:tc>
      </w:tr>
    </w:tbl>
    <w:p>
      <w:pPr>
        <w:adjustRightInd/>
        <w:spacing w:line="440" w:lineRule="exact"/>
        <w:ind w:firstLine="420"/>
        <w:rPr>
          <w:rFonts w:ascii="仿宋_GB2312" w:hAnsi="仿宋_GB2312" w:eastAsia="仿宋_GB2312" w:cs="仿宋_GB2312"/>
        </w:rPr>
      </w:pPr>
      <w:r>
        <w:rPr>
          <w:rFonts w:hint="eastAsia" w:ascii="仿宋_GB2312" w:hAnsi="仿宋_GB2312" w:eastAsia="仿宋_GB2312" w:cs="仿宋_GB2312"/>
          <w:highlight w:val="none"/>
        </w:rPr>
        <w:t>3.合同款支付时，乙方需提供同等金额的正规发票给甲方，甲方收到发票后按规定向</w:t>
      </w:r>
      <w:r>
        <w:rPr>
          <w:rFonts w:hint="eastAsia" w:ascii="仿宋_GB2312" w:hAnsi="仿宋_GB2312" w:eastAsia="仿宋_GB2312" w:cs="仿宋_GB2312"/>
        </w:rPr>
        <w:t>财政部门申请支付。以上付款条件中所指的付款时间是指在乙方提供发票后，甲方完成向财政部门申报支付手续的时间，财政部门审查及实际支付可能造成的时间延误不视为甲方违约。</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4.乙方收款账户信息：</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账户名：</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银行账号：</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开户银行：</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四、合同交付</w:t>
      </w:r>
    </w:p>
    <w:p>
      <w:pPr>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1.正式交付期限：【   】年【】月【】日前。</w:t>
      </w:r>
    </w:p>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rPr>
        <w:t>（1）合同签订</w:t>
      </w:r>
      <w:r>
        <w:rPr>
          <w:rFonts w:hint="eastAsia" w:ascii="仿宋_GB2312" w:hAnsi="仿宋_GB2312" w:eastAsia="仿宋_GB2312" w:cs="仿宋_GB2312"/>
          <w:highlight w:val="none"/>
        </w:rPr>
        <w:t>后【0.5】个月进一步优化需求分析、细化系统建设计划和测试验收方案，编制完成系统概要设计、详细设计、数据库设计等，报甲方审查。</w:t>
      </w:r>
    </w:p>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highlight w:val="none"/>
        </w:rPr>
        <w:t>（2）合同签订后【3】个月内系统建设基本完成，报甲方审查通过后组织项目初验。</w:t>
      </w:r>
    </w:p>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highlight w:val="none"/>
        </w:rPr>
        <w:t>（3）系统建设全部完成，初验后项目投入试运行，试运行不少于【3】个月，期间完成培训、等保测评、第三方检测等相关要求，建立完善的系统运维体系。试运行满后组织终验。</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（4）在合同交付期内，经终验合格，正式交付使用后进入维保期，项目免费维保期【12】个月。</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2.交付地点：杭州市拱墅区发展改革和经济信息化局。</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五、履约保证金</w:t>
      </w:r>
    </w:p>
    <w:p>
      <w:pPr>
        <w:adjustRightInd/>
        <w:spacing w:line="440" w:lineRule="exact"/>
        <w:ind w:firstLine="480" w:firstLineChars="200"/>
        <w:rPr>
          <w:rFonts w:ascii="仿宋_GB2312" w:hAnsi="仿宋_GB2312" w:eastAsia="仿宋_GB2312" w:cs="仿宋_GB2312"/>
          <w:szCs w:val="21"/>
          <w:highlight w:val="none"/>
        </w:rPr>
      </w:pPr>
      <w:r>
        <w:rPr>
          <w:rFonts w:hint="eastAsia" w:ascii="仿宋_GB2312" w:hAnsi="仿宋_GB2312" w:eastAsia="仿宋_GB2312" w:cs="仿宋_GB2312"/>
          <w:kern w:val="0"/>
          <w:sz w:val="24"/>
          <w:highlight w:val="none"/>
        </w:rPr>
        <w:t>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终验）结束后应及时退还，延迟退还的，应当按照合同约定和法律规定承担相应的赔偿责任</w:t>
      </w:r>
      <w:r>
        <w:rPr>
          <w:rFonts w:hint="eastAsia" w:ascii="仿宋_GB2312" w:hAnsi="仿宋_GB2312" w:eastAsia="仿宋_GB2312" w:cs="仿宋_GB2312"/>
          <w:szCs w:val="21"/>
          <w:highlight w:val="none"/>
        </w:rPr>
        <w:t>。</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highlight w:val="none"/>
        </w:rPr>
        <w:t>乙方在服务期间发生违约情况的</w:t>
      </w:r>
      <w:r>
        <w:rPr>
          <w:rFonts w:hint="eastAsia" w:ascii="仿宋_GB2312" w:hAnsi="仿宋_GB2312" w:eastAsia="仿宋_GB2312" w:cs="仿宋_GB2312"/>
          <w:szCs w:val="21"/>
          <w:highlight w:val="none"/>
        </w:rPr>
        <w:t>，甲方可从履约保证金中扣除乙方相应违约金，若履约保证金不足以补偿甲方损失的，超出部分由乙方继续承担。</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六、甲乙双方的权利义务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1.甲方的权利义务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甲方有权利随时对乙方的工作进展情况进行询问和监督，并要求乙方提供项目相关资料。甲方有权要求乙方按照监督检查情况制定相应措施并加以整改。甲方不因行使该监督和检查权而承担任何责任，也不因此减轻或免除乙方根据本合同约定或相关法律法规规定应承担的任何义务或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（2）甲方有权对软件进行修改或提出修改意见，有权根据国家政策或法律法规的变动对服务项目的需求标准和质量要求作出相应变动或者取消项目。</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（3）乙方将项目制作完成后，项目版权归甲方所有（详见合同第八条“产权与安全”）。</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（4）甲方将依据本协议对项目进行验收、书面确认。</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（5）甲方有权按法律规定和本合同约定终止本合同。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（6）甲方有权将乙方履行合同情况及不符合相关法律法规的规定情况，向相关部门报告并纳入不良信用记录、年检（报）、评估、执法等监管体系中。</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（7）甲方提供项目制作的文本资料和图片，并保证提供的资料不违反国家有关法律，不涉及任何版权的不确定性或者纠纷，如甲方提供的资料涉及上述问题，所引发的经济、法律问题，由甲方承担相应的责任。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（8）甲方应为乙方履行本合同过程中与相关政府部门及其他第三方的沟通、协调提供必要的协助。</w:t>
      </w:r>
    </w:p>
    <w:p>
      <w:pPr>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（9）甲方须按照协议金额向乙方支付相关费用。</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2.乙方的权利义务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（1）乙方应按合同约定的时间、质量完成工作。乙方应接受并配合甲方或甲方组织的对本合同履行情况的监督与检查，对于甲方指出的问题，应及时作出合理解释或予以纠正。</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有义务保证其开发（提供）的提供的服务及相关的软件和技术资料均已取得有关知识产权的权利人的合法授权，不侵犯任何第三方的知识产权、商业秘密、个人隐私信息。如发生涉及到专利权、著作权、商标权等争议，乙方负责处理并承担由此引起的全部法律及经济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（3）乙方有义务保证其开发建设的项目内容健康，不违反国家法律法规、社会善良风俗。</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（4）乙方提供满足本项目正常开展的人员配备，包括但不限于项目经理、测试人员、研发人员等，并提供项目计划书，定期与甲方沟通，及时解决项目实施过程中出现的问题。</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（5）乙方负责培训甲方人员，提供操作说明文档；质保期内，乙方负责软件的运行维护，并持续跟进系统运行情况，及时解决运行中的问题。</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乙方有义务保证完全符合本项目的需求，不能与拱墅区的信息安全防御体系有任何冲突，如发生冲突，维护期内乙方必须免费解决，以适应拱墅区信息安全防御体系；乙方有义务保证其制作的项目符合合同约定的其他要求。</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（7）乙方不得对本合同项目进行转包或者未经甲方书面同意采取分包。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（8）乙方需签订《廉政承诺书》，并遵守相关承诺。</w:t>
      </w:r>
    </w:p>
    <w:p>
      <w:pPr>
        <w:adjustRightInd/>
        <w:spacing w:line="440" w:lineRule="exact"/>
        <w:rPr>
          <w:rFonts w:ascii="仿宋_GB2312" w:hAnsi="仿宋_GB2312" w:eastAsia="仿宋_GB2312" w:cs="仿宋_GB2312"/>
          <w:b/>
          <w:bCs/>
        </w:rPr>
      </w:pPr>
      <w:r>
        <w:rPr>
          <w:rFonts w:hint="eastAsia" w:ascii="仿宋_GB2312" w:hAnsi="仿宋_GB2312" w:eastAsia="仿宋_GB2312" w:cs="仿宋_GB2312"/>
          <w:b/>
          <w:bCs/>
        </w:rPr>
        <w:t>七、违约责任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1.除合同规定的不可抗力外，如果乙方没有按照合同规定的时间提供服务，甲方可要求乙方支付违约金。每延迟一周，按合同总价的0.5%支付违约金，一周按7天计算，不足7天按一周计算。如果违约金累计达到</w:t>
      </w:r>
      <w:r>
        <w:rPr>
          <w:rFonts w:hint="eastAsia" w:ascii="仿宋_GB2312" w:hAnsi="仿宋_GB2312" w:eastAsia="仿宋_GB2312" w:cs="仿宋_GB2312"/>
        </w:rPr>
        <w:t>合同总价</w:t>
      </w:r>
      <w:r>
        <w:rPr>
          <w:rFonts w:hint="eastAsia" w:ascii="仿宋_GB2312" w:hAnsi="仿宋_GB2312" w:eastAsia="仿宋_GB2312" w:cs="仿宋_GB2312"/>
          <w:szCs w:val="21"/>
        </w:rPr>
        <w:t>的5%，甲方有权解除合同。若违约金不足以补偿甲方损失的，超出部分由乙方继续承担。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2.乙方应严格按照合同约定的内容和标准完成项目，若乙方不能按合同约定完成建设内容或所完成的建设内容存在严重质量问题，经确认后，乙方应向甲方支付</w:t>
      </w:r>
      <w:r>
        <w:rPr>
          <w:rFonts w:hint="eastAsia" w:ascii="仿宋_GB2312" w:hAnsi="仿宋_GB2312" w:eastAsia="仿宋_GB2312" w:cs="仿宋_GB2312"/>
        </w:rPr>
        <w:t>合同总价</w:t>
      </w:r>
      <w:r>
        <w:rPr>
          <w:rFonts w:hint="eastAsia" w:ascii="仿宋_GB2312" w:hAnsi="仿宋_GB2312" w:eastAsia="仿宋_GB2312" w:cs="仿宋_GB2312"/>
          <w:szCs w:val="21"/>
        </w:rPr>
        <w:t>5%的违约金，如经甲方催告后7个工作日内，乙方拒不改正或者没有改正意向的，甲方有权解除合同，违约金不足以补偿甲方损失的，超出部分由乙方继续承担。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3.乙方在项目开发或运行期间由于乙方管理不善等原因，造成安全事故并造成重大影响的，乙方向甲方赔偿</w:t>
      </w:r>
      <w:r>
        <w:rPr>
          <w:rFonts w:hint="eastAsia" w:ascii="仿宋_GB2312" w:hAnsi="仿宋_GB2312" w:eastAsia="仿宋_GB2312" w:cs="仿宋_GB2312"/>
        </w:rPr>
        <w:t>合同总价</w:t>
      </w:r>
      <w:r>
        <w:rPr>
          <w:rFonts w:hint="eastAsia" w:ascii="仿宋_GB2312" w:hAnsi="仿宋_GB2312" w:eastAsia="仿宋_GB2312" w:cs="仿宋_GB2312"/>
          <w:szCs w:val="21"/>
        </w:rPr>
        <w:t>的5%的违约金，违约金不足以赔偿甲方损失的，以甲方实际损失为准，并且，相关法律、经济责任由乙方一并承担。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4.解除合同时，乙方应在收到甲方通知后一周内退还甲方已支付的合同款，逾期退还合同款的，自超过之日起，每日按未退还金额的0.1%支付违约金。</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5.乙方应按招标文件要求派出工作需要的驻场人员，驻场人员不能按承诺时间到位，或因故退出及无法直接参与项目工作时，乙方应承担违约责任，并向甲方支付每人每天1000元的违约金。</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6.乙方对甲方或其委托的监理工程师提出的整改意见不能按时按要求整改完成超过1次，并可能导致项目延期的，自第2次起，每次按5000元支付违约金。</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7.乙方违反本合同第六条“甲乙双方的权利义务”第2款第2项及第3项的，应当向甲方支付合同总价5%的违约金，并且甲方有权解除合同。若违约金不足以补偿甲方损失的，超出部分由乙方继续承担，并且，因乙方违反本合同上述约定所引起的法律、经济责任均由乙方承担。</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8.乙方转包，或者未经甲方书面同意采取分包方式履行合同的，甲方有权解除合同，乙方应向甲方支付合同总价5%的违约金，违约金不足以补偿甲方损失的，超出部分由乙方继续承担。</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9.若因一方违约，守约方为主张自身权利而支出的律师费、保全费、诉讼费、差旅费、误工费等相关费用，均由违约方承担。</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10.其他违约责任按《中华人民共和国民法典》及相关法律法规处理。</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八、产权与安全</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1.本项目建设内容中的定制化软件部分知识产权和所有业务应用相关数据产权归甲方所有，乙方不得未经甲方书面许可，擅自使用或提供给第三方。</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2.乙方原则上需提供本项目定制开发的所有源代码和开发文档，甲方有权对软件进行修改或提出修改意见。</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3.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4、安全责任（乙方义务）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4.1.乙方应按照《中华人民共和国网络安全法》、《中华人民共和国数据安全法》的要求，履行网络和数据安全保护义务。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4.2.项目涉及乙方工作人员均需签订《保密承诺书》，且乙方应对项目涉及工作人员进行背景审查</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4.3.乙方应当采取技术措施和其他必要措施，确保其网络和数据安全，防止信息泄露、毁损、丢失。在发生或者可能发生信息泄露、毁损、丢失的情况时，应当立即采取补救措施，并在第一时间告知甲方。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4.4.乙方应合理使用操作账号，严禁乙方存在多名工作人员共用操作账号的情形，同时操作账号应采用高强度的密码、并定期更新账号密码。</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4.5.未经甲方允许，乙方不得对项目云资源私开端口，不得利用项目资源进行与该项目无关的工作，不得将政务网和互联网私自打通。</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4.6.乙方应严格按照要求使用、处理、交换、共享数据资源。做好数据落地相应的数据保护工作，严格执行数据安全技术标准和安全管理措施，避免相关数据出现泄露、窃取、篡改的风险。</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4.7.乙方应认真组织开展各项数据处理活动，查找项目数据安全隐患和漏洞，对薄弱环节和潜在威胁采取有力措施进行整改，避免和消除数据安全风险，履行数据安全保护义务。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4.8.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5、安全部分处罚条款</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5.1.由于乙方原因，受到国家级安全问题通报的，每出现1次，乙方应承担违约责任，并向甲方支付合同总价的1%,每次金额不超过10万。</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5.2.由于乙方原因，受到省级安全问题通报的，每出现1次，乙方应承担违约责任，并向甲方支付合同总价的0.5%,每次金额不超过5万。</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5.3.由于乙方原因，受到市级安全问题通报的，每出现1次，乙方应承担违约责任，并向甲方支付合同总价的0.25%,每次金额不超过2.5万。</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每次通报后，乙方应及时解决并递交书面整改报告，若乙方未根据整改报告按期整改的，乙方应承担违约责任，并按上述标准的2倍向甲方支付违约金。</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九、转让和分包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十、合同变更、解除</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（1）发生不可预见的紧急情况，继续按照原合同履行不能实现采购目的，又不能从其他投标人处采购；</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（2）因甲方的过错导致不能实现采购目的，重新采购费用和违约金、违约损失赔偿金额占合同金额比例过大，但违背国家利益或社会公共利益的除外。</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（3）属于合同主要条款确定的事项，但变更不改变合同实质性内容；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（4）合同主要条款以外的内容；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2.有下列情形之一的，政府采购合同的双方当事人合意后可以解除合同：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（1）因不可抗力致使不能实现合同目的；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（2）在履行期限届满之前，乙方明确表示或者以自己的行为表示不履行主要义务；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（3）法律、法规规定的其他情形。</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3.有下列情形之一的，甲方可以单方解除合同：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（1）乙方迟延履行主要义务，经催告后在合理期限内仍未履行；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（2）乙方迟延履行义务或者有其他违约行为致使不能实现合同目的；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（3）乙方转包，或者未经甲方书面同意采取分包方式履行合同；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（4）法律、法规规定和合同约定的其他情形。</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 有下列情形之一的，本合同终止</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（1）本合同期满，双方未续签合同的；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（2）乙方服务能力丧失，致使本合同服务无法正常提供的；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（3）在履行合同过程中，发现乙方已不符合承接主体应具备的条件，造成合同无法履行的；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（4）受国家政策或法律法规变动影响，经双方协商终止本合同的。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5.甲方依据本合同约定解除合同的，自甲方作出的书面解除合同通知书送达乙方之日起解除，同时应当报</w:t>
      </w:r>
      <w:r>
        <w:rPr>
          <w:rFonts w:hint="eastAsia" w:ascii="仿宋_GB2312" w:hAnsi="仿宋_GB2312" w:eastAsia="仿宋_GB2312" w:cs="仿宋_GB2312"/>
          <w:kern w:val="0"/>
          <w:szCs w:val="21"/>
        </w:rPr>
        <w:t>同级政府采购监督管理部门</w:t>
      </w:r>
      <w:r>
        <w:rPr>
          <w:rFonts w:hint="eastAsia" w:ascii="仿宋_GB2312" w:hAnsi="仿宋_GB2312" w:eastAsia="仿宋_GB2312" w:cs="仿宋_GB2312"/>
          <w:szCs w:val="21"/>
        </w:rPr>
        <w:t>备案。</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如乙方自身存在经营困难无清偿能力、破产或出现任何可能导致甲方的权利无法得到保障的情形时，甲方经报同级政府采购监督管理部门审批后，可在任何时候以书面通知乙方，提出终止合同而不必给乙方补偿。该合同的终止将不损害或不影响甲方已经采取或将要采取任何行动或补救措施的权利。</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十一、不可抗力</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2.如果双方中任何一方遭遇法律规定的不可抗力，致使合同履行受阻时，履行合同的期限应予延长，延长的期限应相当于不可抗力所影响的时间。但当不可抗力事故持续超过</w:t>
      </w:r>
      <w:r>
        <w:rPr>
          <w:rFonts w:hint="eastAsia" w:ascii="仿宋_GB2312" w:hAnsi="仿宋_GB2312" w:eastAsia="仿宋_GB2312" w:cs="仿宋_GB2312"/>
          <w:szCs w:val="21"/>
          <w:u w:val="single"/>
        </w:rPr>
        <w:t>120</w:t>
      </w:r>
      <w:r>
        <w:rPr>
          <w:rFonts w:hint="eastAsia" w:ascii="仿宋_GB2312" w:hAnsi="仿宋_GB2312" w:eastAsia="仿宋_GB2312" w:cs="仿宋_GB2312"/>
          <w:szCs w:val="21"/>
        </w:rPr>
        <w:t>天的，且双方未就合同的继续履行达成一致意见的，未受不可抗力影响的一方有权书面通知受阻方终止合同。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3.受事故影响的一方应在不可抗力的事故发生后尽快书面形式通知另一方，并在事故影响消除后</w:t>
      </w:r>
      <w:r>
        <w:rPr>
          <w:rFonts w:hint="eastAsia" w:ascii="仿宋_GB2312" w:hAnsi="仿宋_GB2312" w:eastAsia="仿宋_GB2312" w:cs="仿宋_GB2312"/>
          <w:szCs w:val="21"/>
          <w:u w:val="single"/>
        </w:rPr>
        <w:t>10</w:t>
      </w:r>
      <w:r>
        <w:rPr>
          <w:rFonts w:hint="eastAsia" w:ascii="仿宋_GB2312" w:hAnsi="仿宋_GB2312" w:eastAsia="仿宋_GB2312" w:cs="仿宋_GB2312"/>
          <w:szCs w:val="21"/>
        </w:rPr>
        <w:t>个工作日内，将有关部门出具的证明文件、详细情况报告以及不可抗力对履行合同影响程度的说明用特快专递或挂号信寄给对方。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5.不可抗力使合同的某些内容有变更必要的，双方应通过协商达成进一步履行合同的协议，因不可抗力致使合同不能履行的，合同终止。</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6.金钱债务的迟延责任不得因不可抗力而免除；迟延履行期间发生的不可抗力不具有免责效力。</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十二、服务人员</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甲乙双方指定代表，作为履行本合同服务事宜的主要联系人。</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甲方代表：</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乙方代表：</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十三、服务考核</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甲方对乙方服务质量进行客观评估，具体考核办法（如有）作为合同附件。</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项目完成后，乙方应及时向甲方发出书面履约完成通知，甲方在收到乙方履约完成通知后，应及时做好组织验收的准备工作，制定验收方案，成立验收小组，组织实施验收和履约评价。</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验收小组完成验收后应出具验收书，验收书应包括每一项技术、服务、安全等标准的履约情况。如果发现与合同中要求不符，乙方须承担由此产的一切损失和费用。</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十四、合同的生效及其他</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合同将在双方签字盖章后开始生效。政府采购项目的采购合同内容的确定应以招标文件和投标文件为基础，不得违背其实质性内容。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乙双方在合作过程中，应自觉维护双方共同声誉，不得损害对方的形象和声誉。保密义务在本协议期满、解除或终止后仍然有效。本合同未尽事宜，双方可再协商签订补充协议，补充协议同合同具有同等法律效力。采购合同的履行、违约责任和解决争议的方式等适用《中华人民共和国民法典》。</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十五、解决争议的方法</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合同履行中发生的争议，可通过合同当事人双方友好协商解决。如自协商开始之起15日内得不到解决，双方应将争议提交同级政府采购监督管理部门调解。调解不成的，应向甲方所在地人民法院提起诉讼。</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诉讼费用除人民法院另有裁决外，应由败诉方负担。</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十六、合同份数</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本合同一式肆份，具有同等法律效力，甲乙双方各执贰份。</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9"/>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甲方（单位章）：</w:t>
            </w:r>
          </w:p>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杭州市拱墅区发展改革和经济信息化局</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乙方（单位章）：</w:t>
            </w:r>
          </w:p>
          <w:p>
            <w:pPr>
              <w:adjustRightInd/>
              <w:spacing w:line="44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法定代表人：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或授权代表：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地　　址：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邮政编码：</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电　　话：</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开户银行：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账　　号：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纳税人识别号：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纳税人识别号：</w:t>
            </w:r>
          </w:p>
        </w:tc>
      </w:tr>
    </w:tbl>
    <w:p>
      <w:pPr>
        <w:adjustRightInd/>
        <w:spacing w:line="440" w:lineRule="exact"/>
        <w:rPr>
          <w:rFonts w:ascii="仿宋_GB2312" w:hAnsi="仿宋_GB2312" w:eastAsia="仿宋_GB2312" w:cs="仿宋_GB2312"/>
          <w:szCs w:val="21"/>
        </w:rPr>
      </w:pPr>
    </w:p>
    <w:p>
      <w:pPr>
        <w:adjustRightInd/>
        <w:spacing w:line="440" w:lineRule="exact"/>
        <w:ind w:firstLine="221" w:firstLineChars="100"/>
        <w:rPr>
          <w:rFonts w:ascii="仿宋_GB2312" w:hAnsi="仿宋_GB2312" w:eastAsia="仿宋_GB2312" w:cs="仿宋_GB2312"/>
          <w:b/>
          <w:bCs/>
          <w:sz w:val="22"/>
          <w:szCs w:val="28"/>
        </w:rPr>
      </w:pPr>
      <w:r>
        <w:rPr>
          <w:rFonts w:hint="eastAsia" w:ascii="仿宋_GB2312" w:hAnsi="仿宋_GB2312" w:eastAsia="仿宋_GB2312" w:cs="仿宋_GB2312"/>
          <w:b/>
          <w:bCs/>
          <w:sz w:val="22"/>
          <w:szCs w:val="28"/>
        </w:rPr>
        <w:t>附件：内容清单</w:t>
      </w:r>
    </w:p>
    <w:p>
      <w:pPr>
        <w:pStyle w:val="979"/>
        <w:spacing w:line="440" w:lineRule="exact"/>
        <w:rPr>
          <w:rFonts w:ascii="仿宋_GB2312" w:hAnsi="仿宋_GB2312" w:eastAsia="仿宋_GB2312" w:cs="仿宋_GB2312"/>
          <w:snapToGrid w:val="0"/>
          <w:szCs w:val="21"/>
        </w:rPr>
      </w:pPr>
    </w:p>
    <w:p>
      <w:pPr>
        <w:adjustRightInd/>
        <w:snapToGrid w:val="0"/>
        <w:spacing w:line="360" w:lineRule="auto"/>
        <w:ind w:firstLine="480" w:firstLineChars="200"/>
        <w:rPr>
          <w:rFonts w:ascii="仿宋_GB2312" w:hAnsi="仿宋_GB2312" w:eastAsia="仿宋_GB2312" w:cs="仿宋_GB2312"/>
          <w:bCs/>
          <w:sz w:val="24"/>
        </w:rPr>
      </w:pPr>
    </w:p>
    <w:p>
      <w:pPr>
        <w:spacing w:line="460" w:lineRule="exact"/>
        <w:ind w:firstLine="480" w:firstLineChars="200"/>
        <w:rPr>
          <w:rFonts w:ascii="仿宋_GB2312" w:hAnsi="仿宋_GB2312" w:eastAsia="仿宋_GB2312" w:cs="仿宋_GB2312"/>
          <w:sz w:val="24"/>
        </w:rPr>
      </w:pP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pStyle w:val="32"/>
        <w:adjustRightInd/>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32"/>
        <w:adjustRightInd/>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rPr>
          <w:rFonts w:ascii="仿宋_GB2312" w:hAnsi="仿宋_GB2312" w:eastAsia="仿宋_GB2312" w:cs="仿宋_GB2312"/>
          <w:b/>
          <w:sz w:val="32"/>
          <w:szCs w:val="32"/>
          <w:lang w:val="zh-TW" w:eastAsia="zh-TW"/>
        </w:rPr>
      </w:pPr>
      <w:r>
        <w:rPr>
          <w:rFonts w:hint="eastAsia" w:ascii="仿宋_GB2312" w:hAnsi="仿宋_GB2312" w:eastAsia="仿宋_GB2312" w:cs="仿宋_GB2312"/>
          <w:b/>
          <w:sz w:val="32"/>
          <w:szCs w:val="32"/>
          <w:lang w:val="zh-TW" w:eastAsia="zh-TW"/>
        </w:rPr>
        <w:br w:type="page"/>
      </w: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393"/>
      <w:r>
        <w:rPr>
          <w:rFonts w:hint="eastAsia" w:ascii="仿宋_GB2312" w:hAnsi="仿宋_GB2312" w:eastAsia="仿宋_GB2312" w:cs="仿宋_GB2312"/>
          <w:b/>
          <w:sz w:val="36"/>
          <w:szCs w:val="20"/>
        </w:rPr>
        <w:t xml:space="preserve"> </w:t>
      </w:r>
      <w:bookmarkEnd w:id="394"/>
      <w:r>
        <w:rPr>
          <w:rFonts w:hint="eastAsia" w:ascii="仿宋_GB2312" w:hAnsi="仿宋_GB2312" w:eastAsia="仿宋_GB2312" w:cs="仿宋_GB2312"/>
          <w:b/>
          <w:sz w:val="36"/>
          <w:szCs w:val="20"/>
        </w:rPr>
        <w:t>应提交的有关格式范例</w:t>
      </w:r>
    </w:p>
    <w:p>
      <w:pPr>
        <w:adjustRightInd/>
        <w:spacing w:line="440" w:lineRule="exact"/>
        <w:jc w:val="center"/>
        <w:rPr>
          <w:rFonts w:ascii="仿宋_GB2312" w:hAnsi="仿宋_GB2312" w:eastAsia="仿宋_GB2312" w:cs="仿宋_GB2312"/>
          <w:b/>
          <w:kern w:val="0"/>
          <w:sz w:val="36"/>
          <w:szCs w:val="36"/>
        </w:rPr>
      </w:pPr>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pPr>
        <w:adjustRightInd/>
        <w:spacing w:line="440" w:lineRule="exact"/>
        <w:jc w:val="center"/>
        <w:rPr>
          <w:rFonts w:ascii="仿宋_GB2312" w:hAnsi="仿宋_GB2312" w:eastAsia="仿宋_GB2312" w:cs="仿宋_GB2312"/>
          <w:b/>
          <w:kern w:val="0"/>
          <w:sz w:val="36"/>
          <w:szCs w:val="36"/>
        </w:rPr>
      </w:pPr>
    </w:p>
    <w:p>
      <w:pPr>
        <w:adjustRightInd/>
        <w:spacing w:line="440" w:lineRule="exact"/>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adjustRightInd/>
        <w:spacing w:line="440" w:lineRule="exact"/>
        <w:jc w:val="center"/>
        <w:rPr>
          <w:rFonts w:ascii="仿宋_GB2312" w:hAnsi="仿宋_GB2312" w:eastAsia="仿宋_GB2312" w:cs="仿宋_GB2312"/>
          <w:b/>
          <w:kern w:val="0"/>
          <w:sz w:val="36"/>
          <w:szCs w:val="36"/>
        </w:rPr>
      </w:pPr>
    </w:p>
    <w:p>
      <w:pPr>
        <w:numPr>
          <w:ilvl w:val="0"/>
          <w:numId w:val="2"/>
        </w:num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符合参加政府采购活动应当具备的一般条件的承诺函……………（页码）</w:t>
      </w:r>
    </w:p>
    <w:p>
      <w:pPr>
        <w:numPr>
          <w:ilvl w:val="0"/>
          <w:numId w:val="2"/>
        </w:num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落实政府采购政策需满足的资格要求………………………………（页码）</w:t>
      </w:r>
    </w:p>
    <w:p>
      <w:pPr>
        <w:numPr>
          <w:ilvl w:val="0"/>
          <w:numId w:val="2"/>
        </w:num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本项目的特定资格要求………………………………………………（页码）</w:t>
      </w:r>
    </w:p>
    <w:p>
      <w:pPr>
        <w:adjustRightInd/>
        <w:spacing w:line="440" w:lineRule="exact"/>
        <w:ind w:firstLine="480" w:firstLineChars="200"/>
        <w:rPr>
          <w:rFonts w:ascii="仿宋_GB2312" w:hAnsi="仿宋_GB2312" w:eastAsia="仿宋_GB2312" w:cs="仿宋_GB2312"/>
          <w:sz w:val="24"/>
        </w:rPr>
      </w:pPr>
    </w:p>
    <w:p>
      <w:pPr>
        <w:adjustRightInd/>
        <w:spacing w:line="440" w:lineRule="exact"/>
        <w:ind w:firstLine="480" w:firstLineChars="200"/>
        <w:rPr>
          <w:rFonts w:ascii="仿宋_GB2312" w:hAnsi="仿宋_GB2312" w:eastAsia="仿宋_GB2312" w:cs="仿宋_GB2312"/>
          <w:sz w:val="24"/>
        </w:rPr>
      </w:pP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kern w:val="0"/>
          <w:sz w:val="24"/>
        </w:rPr>
        <w:br w:type="page"/>
      </w:r>
      <w:r>
        <w:rPr>
          <w:rFonts w:hint="eastAsia" w:ascii="仿宋_GB2312" w:hAnsi="仿宋_GB2312" w:eastAsia="仿宋_GB2312" w:cs="仿宋_GB2312"/>
          <w:b/>
          <w:kern w:val="0"/>
          <w:sz w:val="32"/>
          <w:szCs w:val="32"/>
        </w:rPr>
        <w:t>一、 符合参加政府采购活动应当具备的一般条件的承诺函</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（项目名称）【项目编号：】政府采购活动，郑重承诺：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（三）不存在以下情况：</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rPr>
          <w:rFonts w:ascii="仿宋_GB2312" w:hAnsi="仿宋_GB2312" w:eastAsia="仿宋_GB2312" w:cs="仿宋_GB231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二、落实政府采购政策需满足的资格要求</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根据招标公告落实政府采购政策需满足的资格要求选择提供相应的材料</w:t>
      </w:r>
      <w:r>
        <w:rPr>
          <w:rFonts w:hint="eastAsia" w:ascii="仿宋_GB2312" w:hAnsi="仿宋_GB2312" w:eastAsia="仿宋_GB2312" w:cs="仿宋_GB2312"/>
          <w:sz w:val="24"/>
        </w:rPr>
        <w:t>；未要求的，无需提供）</w:t>
      </w:r>
    </w:p>
    <w:p>
      <w:pPr>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A.专门面向中小企业，货物全部由符合政策要求的中小企业（或小微企业）制造或者服务全部由符合政策要求的中小企业（或小微企业）承接的，提供相应的中小企业声明函（附件5）</w:t>
      </w:r>
      <w:r>
        <w:rPr>
          <w:rFonts w:hint="eastAsia" w:ascii="仿宋_GB2312" w:hAnsi="仿宋_GB2312" w:eastAsia="仿宋_GB2312" w:cs="仿宋_GB2312"/>
          <w:sz w:val="24"/>
        </w:rPr>
        <w:t xml:space="preserve">。 </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adjustRightInd/>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中小企业声明函（服务）</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拱墅区经济运行综合集成系统项目（项目名称） </w:t>
      </w:r>
      <w:r>
        <w:rPr>
          <w:rFonts w:hint="eastAsia" w:ascii="仿宋_GB2312" w:hAnsi="仿宋_GB2312" w:eastAsia="仿宋_GB2312" w:cs="仿宋_GB2312"/>
          <w:sz w:val="24"/>
        </w:rPr>
        <w:t>采购活动，服务全部由符合政策要求的中小企业承接。相关企业（含联合体中的中小企业、签订分包意向协议的中小企业）的具体情况如下：</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adjustRightInd/>
        <w:spacing w:line="440" w:lineRule="exact"/>
        <w:ind w:firstLine="310" w:firstLineChars="147"/>
        <w:jc w:val="left"/>
        <w:rPr>
          <w:rFonts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adjustRightInd/>
        <w:spacing w:line="440" w:lineRule="exact"/>
        <w:rPr>
          <w:rFonts w:ascii="仿宋_GB2312" w:hAnsi="仿宋_GB2312" w:eastAsia="仿宋_GB2312" w:cs="仿宋_GB2312"/>
          <w:sz w:val="24"/>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keepLines/>
        <w:tabs>
          <w:tab w:val="left" w:pos="432"/>
        </w:tabs>
        <w:adjustRightInd/>
        <w:spacing w:line="440" w:lineRule="exact"/>
        <w:ind w:hanging="431"/>
        <w:rPr>
          <w:rFonts w:ascii="仿宋_GB2312" w:hAnsi="仿宋_GB2312" w:eastAsia="仿宋_GB2312" w:cs="仿宋_GB2312"/>
        </w:rPr>
      </w:pPr>
    </w:p>
    <w:p>
      <w:pPr>
        <w:adjustRightInd/>
        <w:spacing w:line="440" w:lineRule="exact"/>
        <w:ind w:firstLine="643" w:firstLineChars="200"/>
        <w:rPr>
          <w:rFonts w:ascii="仿宋_GB2312" w:hAnsi="仿宋_GB2312" w:eastAsia="仿宋_GB2312" w:cs="仿宋_GB2312"/>
          <w:b/>
          <w:sz w:val="32"/>
          <w:szCs w:val="32"/>
        </w:rPr>
      </w:pPr>
    </w:p>
    <w:p>
      <w:pPr>
        <w:widowControl/>
        <w:spacing w:line="360" w:lineRule="auto"/>
        <w:ind w:left="150"/>
        <w:jc w:val="center"/>
        <w:rPr>
          <w:rFonts w:ascii="仿宋_GB2312" w:hAnsi="仿宋_GB2312" w:eastAsia="仿宋_GB2312" w:cs="仿宋_GB2312"/>
          <w:b/>
          <w:kern w:val="0"/>
          <w:sz w:val="32"/>
          <w:szCs w:val="32"/>
        </w:rPr>
      </w:pPr>
      <w:r>
        <w:rPr>
          <w:rFonts w:hint="eastAsia" w:ascii="仿宋_GB2312" w:hAnsi="仿宋_GB2312" w:eastAsia="仿宋_GB2312" w:cs="仿宋_GB2312"/>
          <w:b/>
          <w:sz w:val="32"/>
          <w:szCs w:val="32"/>
        </w:rPr>
        <w:br w:type="page"/>
      </w:r>
      <w:r>
        <w:rPr>
          <w:rFonts w:hint="eastAsia" w:ascii="仿宋_GB2312" w:hAnsi="仿宋_GB2312" w:eastAsia="仿宋_GB2312" w:cs="仿宋_GB2312"/>
          <w:b/>
          <w:kern w:val="0"/>
          <w:sz w:val="32"/>
          <w:szCs w:val="32"/>
        </w:rPr>
        <w:t>三、本项目的特定资格要求</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w:t>
      </w:r>
      <w:r>
        <w:rPr>
          <w:rFonts w:hint="eastAsia" w:ascii="仿宋_GB2312" w:hAnsi="仿宋_GB2312" w:eastAsia="仿宋_GB2312" w:cs="仿宋_GB2312"/>
          <w:b/>
          <w:bCs/>
          <w:sz w:val="24"/>
        </w:rPr>
        <w:t>未要求的，无需提供</w:t>
      </w:r>
      <w:r>
        <w:rPr>
          <w:rFonts w:hint="eastAsia" w:ascii="仿宋_GB2312" w:hAnsi="仿宋_GB2312" w:eastAsia="仿宋_GB2312" w:cs="仿宋_GB2312"/>
          <w:sz w:val="24"/>
        </w:rPr>
        <w:t>）</w:t>
      </w:r>
    </w:p>
    <w:p>
      <w:pPr>
        <w:spacing w:line="360" w:lineRule="auto"/>
        <w:rPr>
          <w:rFonts w:ascii="仿宋_GB2312" w:hAnsi="仿宋_GB2312" w:eastAsia="仿宋_GB2312" w:cs="仿宋_GB2312"/>
        </w:rPr>
      </w:pPr>
    </w:p>
    <w:p>
      <w:pPr>
        <w:rPr>
          <w:rFonts w:ascii="仿宋_GB2312" w:hAnsi="仿宋_GB2312" w:eastAsia="仿宋_GB2312" w:cs="仿宋_GB2312"/>
          <w:b/>
          <w:sz w:val="32"/>
          <w:szCs w:val="32"/>
        </w:rPr>
      </w:pPr>
    </w:p>
    <w:p>
      <w:pPr>
        <w:adjustRightInd/>
        <w:spacing w:line="440" w:lineRule="exact"/>
        <w:rPr>
          <w:rFonts w:ascii="仿宋_GB2312" w:hAnsi="仿宋_GB2312" w:eastAsia="仿宋_GB2312" w:cs="仿宋_GB2312"/>
          <w:b/>
          <w:kern w:val="0"/>
          <w:sz w:val="32"/>
          <w:szCs w:val="32"/>
        </w:rPr>
      </w:pPr>
    </w:p>
    <w:p>
      <w:pP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pPr>
        <w:adjustRightInd/>
        <w:spacing w:line="440" w:lineRule="exact"/>
        <w:jc w:val="center"/>
        <w:rPr>
          <w:rFonts w:ascii="仿宋_GB2312" w:hAnsi="仿宋_GB2312" w:eastAsia="仿宋_GB2312" w:cs="仿宋_GB2312"/>
          <w:b/>
          <w:kern w:val="0"/>
          <w:sz w:val="24"/>
        </w:rPr>
      </w:pPr>
    </w:p>
    <w:p>
      <w:pPr>
        <w:adjustRightInd/>
        <w:spacing w:line="440" w:lineRule="exact"/>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投标函…………………………………………………………………………………（页码）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授权委托书或法定代表人（单位负责人、自然人本人）身份证明………………（页码）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分包意向协议（如果有）……………………………………………………………（页码）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符合性审查资料………………………………………………………………………（页码）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评标标准相应的商务技术资料………………………………………………………（页码）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投标标的清单…………………………………………………………………………（页码）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拟投入本项目的服务团队情况表……………………………………………………（页码）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商务技术偏离表………………………………………………………………………（页码）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lang w:val="zh-CN"/>
        </w:rPr>
        <w:t>政府采购供应商廉洁自律承诺书</w:t>
      </w:r>
      <w:r>
        <w:rPr>
          <w:rFonts w:hint="eastAsia" w:ascii="仿宋_GB2312" w:hAnsi="仿宋_GB2312" w:eastAsia="仿宋_GB2312" w:cs="仿宋_GB2312"/>
          <w:szCs w:val="21"/>
        </w:rPr>
        <w:t>……………………………………………………（页码）</w:t>
      </w:r>
    </w:p>
    <w:p>
      <w:pPr>
        <w:snapToGrid w:val="0"/>
        <w:spacing w:line="360" w:lineRule="auto"/>
        <w:jc w:val="center"/>
        <w:rPr>
          <w:rFonts w:ascii="仿宋_GB2312" w:hAnsi="仿宋_GB2312" w:eastAsia="仿宋_GB2312" w:cs="仿宋_GB2312"/>
          <w:b/>
          <w:kern w:val="0"/>
          <w:sz w:val="32"/>
          <w:szCs w:val="32"/>
          <w:lang w:val="zh-CN"/>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我方参加你方组织的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（项目名称）【项目编号：】招标的有关活动，并对此项目进行投标。为此：</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2.1资格文件：</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2.1.1 承诺函；</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2.1.2 落实政府采购政策需满足的资格要求；</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2.1.3 本项目的特定资格要求（如果有）。</w:t>
      </w:r>
    </w:p>
    <w:p>
      <w:pPr>
        <w:adjustRightInd/>
        <w:spacing w:line="440" w:lineRule="exact"/>
        <w:ind w:left="210" w:leftChars="1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2.2.1 投标函；</w:t>
      </w:r>
      <w:r>
        <w:rPr>
          <w:rFonts w:hint="eastAsia" w:ascii="仿宋_GB2312" w:hAnsi="仿宋_GB2312" w:eastAsia="仿宋_GB2312" w:cs="仿宋_GB2312"/>
          <w:sz w:val="24"/>
          <w:lang w:val="zh-CN"/>
        </w:rPr>
        <w:t xml:space="preserve"> </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2.2.2 授权委托书或法定代表人（单位负责人）身份证明；</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2.2.3 分包意向协议（如果有）；</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2.2.4 符合性审查资料；</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2.2.5 评标标准相应的商务技术资料；</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2.2.6 投标标的清单；</w:t>
      </w:r>
    </w:p>
    <w:p>
      <w:pPr>
        <w:adjustRightInd/>
        <w:spacing w:line="440" w:lineRule="exact"/>
        <w:ind w:left="420" w:leftChars="200"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2.2.</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 xml:space="preserve"> 拟投入本项目的服务团队情况表</w:t>
      </w:r>
      <w:r>
        <w:rPr>
          <w:rFonts w:hint="eastAsia" w:ascii="仿宋_GB2312" w:hAnsi="仿宋_GB2312" w:eastAsia="仿宋_GB2312" w:cs="仿宋_GB2312"/>
          <w:sz w:val="24"/>
          <w:lang w:eastAsia="zh-CN"/>
        </w:rPr>
        <w:t>；</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2.2.8 </w:t>
      </w:r>
      <w:r>
        <w:rPr>
          <w:rFonts w:hint="eastAsia" w:ascii="仿宋_GB2312" w:hAnsi="仿宋_GB2312" w:eastAsia="仿宋_GB2312" w:cs="仿宋_GB2312"/>
          <w:sz w:val="24"/>
        </w:rPr>
        <w:t>商务技术偏离表；</w:t>
      </w:r>
    </w:p>
    <w:p>
      <w:pPr>
        <w:adjustRightInd/>
        <w:spacing w:line="440" w:lineRule="exact"/>
        <w:ind w:left="420" w:leftChars="2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政府采购供应商廉洁自律承诺书。</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 报价文件</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2.3.1 开标一览表（报价表）。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4、如我方中标，我方承诺：</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5、其他补充说明：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adjustRightInd/>
        <w:spacing w:line="440" w:lineRule="exact"/>
        <w:ind w:right="420"/>
        <w:rPr>
          <w:rFonts w:ascii="仿宋_GB2312" w:hAnsi="仿宋_GB2312" w:eastAsia="仿宋_GB2312" w:cs="仿宋_GB2312"/>
          <w:b/>
          <w:kern w:val="0"/>
          <w:sz w:val="32"/>
          <w:szCs w:val="32"/>
        </w:rPr>
      </w:pPr>
      <w:r>
        <w:rPr>
          <w:rFonts w:hint="eastAsia" w:ascii="仿宋_GB2312" w:hAnsi="仿宋_GB2312" w:eastAsia="仿宋_GB2312" w:cs="仿宋_GB2312"/>
          <w:sz w:val="24"/>
        </w:rPr>
        <w:t>注：按本格式和要求提供。</w:t>
      </w: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 xml:space="preserve">授权委托书  </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w:t>
      </w:r>
      <w:r>
        <w:rPr>
          <w:rFonts w:hint="eastAsia" w:ascii="仿宋_GB2312" w:hAnsi="仿宋_GB2312" w:eastAsia="仿宋_GB2312" w:cs="仿宋_GB2312"/>
          <w:kern w:val="0"/>
          <w:sz w:val="24"/>
          <w:lang w:val="zh-CN"/>
        </w:rPr>
        <w:t>政府采购投标的一切事项，其法律后果由我方承担。</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日期：  年  月   日</w:t>
      </w:r>
    </w:p>
    <w:p>
      <w:pPr>
        <w:adjustRightInd/>
        <w:spacing w:line="440" w:lineRule="exact"/>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法定代表人、单位负责人或自然人本人的身份证明（适用于法定代表人、单位负责人或者自然人本人代表投标人参加投标）</w:t>
      </w:r>
    </w:p>
    <w:p>
      <w:pPr>
        <w:pStyle w:val="149"/>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国徽面：                                 人像面：</w:t>
            </w:r>
          </w:p>
          <w:p>
            <w:pPr>
              <w:pStyle w:val="149"/>
              <w:spacing w:line="440" w:lineRule="exact"/>
              <w:rPr>
                <w:rFonts w:ascii="仿宋_GB2312" w:hAnsi="仿宋_GB2312" w:eastAsia="仿宋_GB2312" w:cs="仿宋_GB2312"/>
                <w:bCs/>
                <w:sz w:val="24"/>
              </w:rPr>
            </w:pPr>
          </w:p>
        </w:tc>
      </w:tr>
    </w:tbl>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日期：  年  月   日</w:t>
      </w: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lang w:val="zh-CN"/>
        </w:rPr>
        <w:t>、分包意向协议（如果有）</w:t>
      </w:r>
    </w:p>
    <w:p>
      <w:pPr>
        <w:adjustRightInd/>
        <w:spacing w:line="440" w:lineRule="exact"/>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四</w:t>
      </w:r>
      <w:r>
        <w:rPr>
          <w:rFonts w:hint="eastAsia" w:ascii="仿宋_GB2312" w:hAnsi="仿宋_GB2312" w:eastAsia="仿宋_GB2312" w:cs="仿宋_GB2312"/>
          <w:b/>
          <w:kern w:val="0"/>
          <w:sz w:val="32"/>
          <w:szCs w:val="32"/>
          <w:lang w:val="zh-CN"/>
        </w:rPr>
        <w:t>、符合性审查资料</w:t>
      </w:r>
    </w:p>
    <w:p>
      <w:pPr>
        <w:jc w:val="center"/>
        <w:rPr>
          <w:rFonts w:ascii="仿宋_GB2312" w:hAnsi="仿宋_GB2312" w:eastAsia="仿宋_GB2312" w:cs="仿宋_GB2312"/>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见投标文件</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bl>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五、评标标准相应的商务技术资料</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（按招标文件第四部分评标</w:t>
      </w:r>
      <w:r>
        <w:rPr>
          <w:rFonts w:hint="eastAsia" w:ascii="仿宋_GB2312" w:hAnsi="仿宋_GB2312" w:eastAsia="仿宋_GB2312" w:cs="仿宋_GB2312"/>
          <w:b/>
          <w:sz w:val="24"/>
          <w:lang w:val="en-US" w:eastAsia="zh-CN"/>
        </w:rPr>
        <w:t>办</w:t>
      </w:r>
      <w:r>
        <w:rPr>
          <w:rFonts w:hint="eastAsia" w:ascii="仿宋_GB2312" w:hAnsi="仿宋_GB2312" w:eastAsia="仿宋_GB2312" w:cs="仿宋_GB2312"/>
          <w:b/>
          <w:sz w:val="24"/>
        </w:rPr>
        <w:t>法前附表中“投标文件中评标标准相应的商务技术资料目录”提供资料。）</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六、投标标的清单</w:t>
      </w:r>
    </w:p>
    <w:p>
      <w:pPr>
        <w:pStyle w:val="60"/>
        <w:adjustRightInd/>
        <w:spacing w:line="440" w:lineRule="exact"/>
        <w:ind w:firstLine="0"/>
        <w:rPr>
          <w:rFonts w:ascii="仿宋_GB2312" w:hAnsi="仿宋_GB2312" w:eastAsia="仿宋_GB2312" w:cs="仿宋_GB2312"/>
          <w:lang w:val="en-US"/>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7"/>
        <w:gridCol w:w="1486"/>
        <w:gridCol w:w="1334"/>
        <w:gridCol w:w="1793"/>
        <w:gridCol w:w="144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服务范围</w:t>
            </w: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服务要求</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服务时间</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服务标准</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r>
    </w:tbl>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pStyle w:val="32"/>
        <w:adjustRightInd/>
        <w:spacing w:line="440" w:lineRule="exact"/>
        <w:jc w:val="cente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kern w:val="0"/>
          <w:sz w:val="32"/>
          <w:szCs w:val="32"/>
        </w:rPr>
        <w:br w:type="page"/>
      </w:r>
      <w:r>
        <w:rPr>
          <w:rFonts w:hint="eastAsia" w:ascii="仿宋_GB2312" w:hAnsi="仿宋_GB2312" w:eastAsia="仿宋_GB2312" w:cs="仿宋_GB2312"/>
          <w:b/>
          <w:snapToGrid/>
          <w:kern w:val="0"/>
          <w:sz w:val="32"/>
          <w:szCs w:val="32"/>
          <w:lang w:val="en-US" w:eastAsia="zh-CN" w:bidi="ar-SA"/>
        </w:rPr>
        <w:t>七、拟投入本项目的服务团队情况表</w:t>
      </w:r>
    </w:p>
    <w:p>
      <w:pPr>
        <w:adjustRightInd/>
        <w:spacing w:line="440" w:lineRule="exact"/>
        <w:jc w:val="cente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snapToGrid/>
          <w:kern w:val="0"/>
          <w:sz w:val="32"/>
          <w:szCs w:val="32"/>
          <w:lang w:val="en-US" w:eastAsia="zh-CN" w:bidi="ar-SA"/>
        </w:rPr>
        <w:t>（一）拟投入本项目的服务团队人员汇总表</w:t>
      </w:r>
    </w:p>
    <w:tbl>
      <w:tblPr>
        <w:tblStyle w:val="6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28"/>
        <w:gridCol w:w="737"/>
        <w:gridCol w:w="1348"/>
        <w:gridCol w:w="2745"/>
        <w:gridCol w:w="1350"/>
        <w:gridCol w:w="1392"/>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序号</w:t>
            </w:r>
          </w:p>
        </w:tc>
        <w:tc>
          <w:tcPr>
            <w:tcW w:w="828"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姓名</w:t>
            </w:r>
          </w:p>
        </w:tc>
        <w:tc>
          <w:tcPr>
            <w:tcW w:w="737"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学历</w:t>
            </w:r>
          </w:p>
        </w:tc>
        <w:tc>
          <w:tcPr>
            <w:tcW w:w="1348" w:type="dxa"/>
            <w:vAlign w:val="center"/>
          </w:tcPr>
          <w:p>
            <w:pPr>
              <w:autoSpaceDE w:val="0"/>
              <w:autoSpaceDN w:val="0"/>
              <w:adjustRightInd/>
              <w:spacing w:line="440" w:lineRule="exact"/>
              <w:jc w:val="center"/>
              <w:rPr>
                <w:rFonts w:hint="default" w:ascii="仿宋_GB2312" w:hAnsi="仿宋_GB2312" w:eastAsia="仿宋_GB2312" w:cs="仿宋_GB2312"/>
                <w:b/>
                <w:kern w:val="0"/>
                <w:sz w:val="21"/>
                <w:szCs w:val="21"/>
                <w:lang w:val="en-US" w:eastAsia="zh-CN"/>
              </w:rPr>
            </w:pPr>
            <w:r>
              <w:rPr>
                <w:rFonts w:hint="eastAsia" w:ascii="仿宋_GB2312" w:hAnsi="仿宋_GB2312" w:eastAsia="仿宋_GB2312" w:cs="仿宋_GB2312"/>
                <w:b/>
                <w:kern w:val="0"/>
                <w:sz w:val="21"/>
                <w:szCs w:val="21"/>
                <w:lang w:val="en-US" w:eastAsia="zh-CN"/>
              </w:rPr>
              <w:t>身份证号码</w:t>
            </w:r>
          </w:p>
        </w:tc>
        <w:tc>
          <w:tcPr>
            <w:tcW w:w="2745"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职称及相关专业认证（或执业资格）情况（如评分需要）</w:t>
            </w:r>
          </w:p>
        </w:tc>
        <w:tc>
          <w:tcPr>
            <w:tcW w:w="1350"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在本单位工作年限</w:t>
            </w:r>
          </w:p>
        </w:tc>
        <w:tc>
          <w:tcPr>
            <w:tcW w:w="1392"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在本项目中拟担任职务</w:t>
            </w:r>
          </w:p>
        </w:tc>
        <w:tc>
          <w:tcPr>
            <w:tcW w:w="719"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8"/>
            <w:vAlign w:val="center"/>
          </w:tcPr>
          <w:p>
            <w:pPr>
              <w:autoSpaceDE w:val="0"/>
              <w:autoSpaceDN w:val="0"/>
              <w:adjustRightInd/>
              <w:spacing w:line="440" w:lineRule="exact"/>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其他说明：（如有）</w:t>
            </w:r>
          </w:p>
        </w:tc>
      </w:tr>
    </w:tbl>
    <w:p>
      <w:pPr>
        <w:adjustRightInd/>
        <w:spacing w:line="440" w:lineRule="exact"/>
        <w:rPr>
          <w:rFonts w:hint="eastAsia" w:ascii="仿宋_GB2312" w:hAnsi="仿宋_GB2312" w:eastAsia="仿宋_GB2312" w:cs="仿宋_GB2312"/>
          <w:sz w:val="24"/>
        </w:rPr>
      </w:pPr>
      <w:r>
        <w:rPr>
          <w:rFonts w:hint="eastAsia" w:ascii="仿宋_GB2312" w:hAnsi="仿宋_GB2312" w:eastAsia="仿宋_GB2312" w:cs="仿宋_GB2312"/>
          <w:b/>
          <w:kern w:val="0"/>
          <w:sz w:val="24"/>
        </w:rPr>
        <w:t>注：本表后附对应的人员详细情况表及其为投标人正式员工的证明文件（投标人为其缴纳的社保记录等证明文件，其中社保记录可附在对应的人员详细情况表后）。</w:t>
      </w:r>
    </w:p>
    <w:p>
      <w:pPr>
        <w:adjustRightInd/>
        <w:spacing w:line="440" w:lineRule="exact"/>
        <w:jc w:val="center"/>
        <w:rPr>
          <w:rFonts w:ascii="宋体" w:hAnsi="宋体" w:cs="仿宋"/>
          <w:b/>
          <w:sz w:val="24"/>
        </w:rPr>
      </w:pPr>
    </w:p>
    <w:p>
      <w:pPr>
        <w:adjustRightInd/>
        <w:spacing w:line="440" w:lineRule="exact"/>
        <w:jc w:val="center"/>
        <w:rPr>
          <w:rFonts w:ascii="宋体" w:hAnsi="宋体" w:cs="仿宋"/>
          <w:b/>
          <w:sz w:val="24"/>
        </w:rPr>
        <w:sectPr>
          <w:pgSz w:w="11906" w:h="16838"/>
          <w:pgMar w:top="1276" w:right="1418" w:bottom="1247" w:left="1418" w:header="851" w:footer="992" w:gutter="0"/>
          <w:cols w:space="720" w:num="1"/>
          <w:titlePg/>
          <w:docGrid w:linePitch="312" w:charSpace="0"/>
        </w:sectPr>
      </w:pPr>
    </w:p>
    <w:p>
      <w:pPr>
        <w:adjustRightInd/>
        <w:spacing w:line="440" w:lineRule="exact"/>
        <w:jc w:val="cente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snapToGrid/>
          <w:kern w:val="0"/>
          <w:sz w:val="32"/>
          <w:szCs w:val="32"/>
          <w:lang w:val="en-US" w:eastAsia="zh-CN" w:bidi="ar-SA"/>
        </w:rPr>
        <w:t>（二）拟投入本项目的服务团队人员详细情况表</w:t>
      </w:r>
    </w:p>
    <w:tbl>
      <w:tblPr>
        <w:tblStyle w:val="6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885"/>
        <w:gridCol w:w="1778"/>
        <w:gridCol w:w="1701"/>
        <w:gridCol w:w="994"/>
        <w:gridCol w:w="128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6802" w:type="dxa"/>
            <w:gridSpan w:val="5"/>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rPr>
              <w:t>（对应人员汇总表中的序号）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3" w:type="dxa"/>
            <w:gridSpan w:val="5"/>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一般情况</w:t>
            </w:r>
          </w:p>
        </w:tc>
        <w:tc>
          <w:tcPr>
            <w:tcW w:w="1289"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证明材料</w:t>
            </w:r>
          </w:p>
        </w:tc>
        <w:tc>
          <w:tcPr>
            <w:tcW w:w="1040"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姓名</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身份证</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年龄</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left"/>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是否为正式员工</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adjustRightInd/>
              <w:spacing w:line="4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社保记录等</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在本单位任职时间</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left"/>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职务（本单位）</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职务/职责（本项目）</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学历</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相关证书</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职称及相关专业认证（或执业资格）</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242" w:type="dxa"/>
            <w:gridSpan w:val="7"/>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以往经验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3663"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项目名称</w:t>
            </w:r>
          </w:p>
        </w:tc>
        <w:tc>
          <w:tcPr>
            <w:tcW w:w="1701"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合同签订时间</w:t>
            </w:r>
          </w:p>
        </w:tc>
        <w:tc>
          <w:tcPr>
            <w:tcW w:w="994"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该项目中任职</w:t>
            </w:r>
          </w:p>
        </w:tc>
        <w:tc>
          <w:tcPr>
            <w:tcW w:w="1289"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证明材料</w:t>
            </w:r>
          </w:p>
        </w:tc>
        <w:tc>
          <w:tcPr>
            <w:tcW w:w="1040"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按第四部分 评标办法要求提供证明材料等</w:t>
            </w: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备注：</w:t>
            </w:r>
          </w:p>
        </w:tc>
      </w:tr>
    </w:tbl>
    <w:p>
      <w:pPr>
        <w:adjustRightInd/>
        <w:spacing w:line="44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注：本表后附对应的证明材料；“职称及相关专业认证（或执业资格）”、“以往经验”仅在评标办法有对应评分项时填写；具体内容见第四部分</w:t>
      </w:r>
      <w:r>
        <w:rPr>
          <w:rFonts w:hint="eastAsia" w:ascii="仿宋_GB2312" w:hAnsi="仿宋_GB2312" w:eastAsia="仿宋_GB2312" w:cs="仿宋_GB2312"/>
          <w:b/>
          <w:kern w:val="0"/>
          <w:sz w:val="24"/>
          <w:szCs w:val="24"/>
          <w:lang w:eastAsia="zh-CN"/>
        </w:rPr>
        <w:t>“评标办法”</w:t>
      </w:r>
      <w:r>
        <w:rPr>
          <w:rFonts w:hint="eastAsia" w:ascii="仿宋_GB2312" w:hAnsi="仿宋_GB2312" w:eastAsia="仿宋_GB2312" w:cs="仿宋_GB2312"/>
          <w:b/>
          <w:kern w:val="0"/>
          <w:sz w:val="24"/>
          <w:szCs w:val="24"/>
        </w:rPr>
        <w:t>。</w:t>
      </w:r>
    </w:p>
    <w:p>
      <w:pPr>
        <w:rPr>
          <w:rFonts w:ascii="宋体" w:hAnsi="宋体" w:cs="宋体"/>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bookmarkStart w:id="395" w:name="_Toc29010"/>
      <w:bookmarkStart w:id="396" w:name="_Toc11163"/>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八</w:t>
      </w:r>
      <w:r>
        <w:rPr>
          <w:rFonts w:hint="eastAsia" w:ascii="仿宋_GB2312" w:hAnsi="仿宋_GB2312" w:eastAsia="仿宋_GB2312" w:cs="仿宋_GB2312"/>
          <w:b/>
          <w:kern w:val="0"/>
          <w:sz w:val="32"/>
          <w:szCs w:val="32"/>
        </w:rPr>
        <w:t>、</w:t>
      </w:r>
      <w:bookmarkEnd w:id="395"/>
      <w:bookmarkEnd w:id="396"/>
      <w:r>
        <w:rPr>
          <w:rFonts w:hint="eastAsia" w:ascii="仿宋_GB2312" w:hAnsi="仿宋_GB2312"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adjustRightInd/>
              <w:spacing w:line="440" w:lineRule="exact"/>
              <w:jc w:val="center"/>
              <w:rPr>
                <w:rFonts w:ascii="仿宋_GB2312" w:hAnsi="仿宋_GB2312" w:eastAsia="仿宋_GB2312" w:cs="仿宋_GB2312"/>
                <w:b/>
                <w:kern w:val="0"/>
                <w:sz w:val="32"/>
                <w:szCs w:val="32"/>
              </w:rPr>
            </w:pPr>
          </w:p>
        </w:tc>
        <w:tc>
          <w:tcPr>
            <w:tcW w:w="3546" w:type="dxa"/>
          </w:tcPr>
          <w:p>
            <w:pPr>
              <w:adjustRightInd/>
              <w:spacing w:line="440" w:lineRule="exact"/>
              <w:jc w:val="center"/>
              <w:rPr>
                <w:rFonts w:ascii="仿宋_GB2312" w:hAnsi="仿宋_GB2312" w:eastAsia="仿宋_GB2312" w:cs="仿宋_GB2312"/>
                <w:b/>
                <w:kern w:val="0"/>
                <w:sz w:val="32"/>
                <w:szCs w:val="32"/>
              </w:rPr>
            </w:pPr>
          </w:p>
        </w:tc>
        <w:tc>
          <w:tcPr>
            <w:tcW w:w="1276" w:type="dxa"/>
          </w:tcPr>
          <w:p>
            <w:pPr>
              <w:adjustRightInd/>
              <w:spacing w:line="440" w:lineRule="exact"/>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adjustRightInd/>
              <w:spacing w:line="440" w:lineRule="exact"/>
              <w:jc w:val="center"/>
              <w:rPr>
                <w:rFonts w:ascii="仿宋_GB2312" w:hAnsi="仿宋_GB2312" w:eastAsia="仿宋_GB2312" w:cs="仿宋_GB2312"/>
                <w:b/>
                <w:kern w:val="0"/>
                <w:sz w:val="32"/>
                <w:szCs w:val="32"/>
              </w:rPr>
            </w:pPr>
          </w:p>
        </w:tc>
        <w:tc>
          <w:tcPr>
            <w:tcW w:w="3546" w:type="dxa"/>
          </w:tcPr>
          <w:p>
            <w:pPr>
              <w:adjustRightInd/>
              <w:spacing w:line="440" w:lineRule="exact"/>
              <w:jc w:val="center"/>
              <w:rPr>
                <w:rFonts w:ascii="仿宋_GB2312" w:hAnsi="仿宋_GB2312" w:eastAsia="仿宋_GB2312" w:cs="仿宋_GB2312"/>
                <w:b/>
                <w:kern w:val="0"/>
                <w:sz w:val="32"/>
                <w:szCs w:val="32"/>
              </w:rPr>
            </w:pPr>
          </w:p>
        </w:tc>
        <w:tc>
          <w:tcPr>
            <w:tcW w:w="1276" w:type="dxa"/>
          </w:tcPr>
          <w:p>
            <w:pPr>
              <w:adjustRightInd/>
              <w:spacing w:line="440" w:lineRule="exact"/>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adjustRightInd/>
              <w:spacing w:line="440" w:lineRule="exact"/>
              <w:jc w:val="center"/>
              <w:rPr>
                <w:rFonts w:ascii="仿宋_GB2312" w:hAnsi="仿宋_GB2312" w:eastAsia="仿宋_GB2312" w:cs="仿宋_GB2312"/>
                <w:b/>
                <w:kern w:val="0"/>
                <w:sz w:val="32"/>
                <w:szCs w:val="32"/>
              </w:rPr>
            </w:pPr>
          </w:p>
        </w:tc>
        <w:tc>
          <w:tcPr>
            <w:tcW w:w="3546" w:type="dxa"/>
          </w:tcPr>
          <w:p>
            <w:pPr>
              <w:adjustRightInd/>
              <w:spacing w:line="440" w:lineRule="exact"/>
              <w:jc w:val="center"/>
              <w:rPr>
                <w:rFonts w:ascii="仿宋_GB2312" w:hAnsi="仿宋_GB2312" w:eastAsia="仿宋_GB2312" w:cs="仿宋_GB2312"/>
                <w:b/>
                <w:kern w:val="0"/>
                <w:sz w:val="32"/>
                <w:szCs w:val="32"/>
              </w:rPr>
            </w:pPr>
          </w:p>
        </w:tc>
        <w:tc>
          <w:tcPr>
            <w:tcW w:w="1276" w:type="dxa"/>
          </w:tcPr>
          <w:p>
            <w:pPr>
              <w:adjustRightInd/>
              <w:spacing w:line="440" w:lineRule="exact"/>
              <w:jc w:val="center"/>
              <w:rPr>
                <w:rFonts w:ascii="仿宋_GB2312" w:hAnsi="仿宋_GB2312" w:eastAsia="仿宋_GB2312" w:cs="仿宋_GB2312"/>
                <w:b/>
                <w:kern w:val="0"/>
                <w:sz w:val="32"/>
                <w:szCs w:val="32"/>
              </w:rPr>
            </w:pPr>
          </w:p>
        </w:tc>
      </w:tr>
    </w:tbl>
    <w:p>
      <w:pPr>
        <w:adjustRightInd/>
        <w:spacing w:line="44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adjustRightInd/>
        <w:spacing w:line="440" w:lineRule="exact"/>
        <w:jc w:val="center"/>
        <w:rPr>
          <w:rFonts w:ascii="仿宋_GB2312" w:hAnsi="仿宋_GB2312" w:eastAsia="仿宋_GB2312" w:cs="仿宋_GB2312"/>
          <w:b/>
          <w:kern w:val="0"/>
          <w:sz w:val="32"/>
          <w:szCs w:val="32"/>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九</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val="zh-CN"/>
        </w:rPr>
        <w:t>政府采购供应商廉洁自律承诺书</w:t>
      </w:r>
    </w:p>
    <w:p>
      <w:pPr>
        <w:snapToGrid w:val="0"/>
        <w:spacing w:line="360" w:lineRule="auto"/>
        <w:rPr>
          <w:rFonts w:ascii="仿宋_GB2312" w:hAnsi="仿宋_GB2312" w:eastAsia="仿宋_GB2312" w:cs="仿宋_GB2312"/>
          <w:sz w:val="24"/>
        </w:rPr>
      </w:pPr>
    </w:p>
    <w:p>
      <w:pPr>
        <w:adjustRightInd/>
        <w:spacing w:line="440" w:lineRule="exact"/>
        <w:rPr>
          <w:rFonts w:ascii="仿宋_GB2312" w:hAnsi="仿宋_GB2312" w:eastAsia="仿宋_GB2312" w:cs="仿宋_GB2312"/>
          <w:kern w:val="0"/>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五、不为项目有关人员个人装修住房、婚丧嫁娶、配偶子女工作安排等提供好处；</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w:t>
      </w:r>
    </w:p>
    <w:p>
      <w:pPr>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p>
    <w:p>
      <w:pPr>
        <w:autoSpaceDE w:val="0"/>
        <w:autoSpaceDN w:val="0"/>
        <w:adjustRightInd/>
        <w:spacing w:line="440" w:lineRule="exact"/>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注：按本格式和要求提供。</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sectPr>
          <w:footerReference r:id="rId7" w:type="first"/>
          <w:footerReference r:id="rId6" w:type="default"/>
          <w:pgSz w:w="11906" w:h="16838"/>
          <w:pgMar w:top="1701" w:right="1418" w:bottom="1417" w:left="1418" w:header="1304" w:footer="992" w:gutter="0"/>
          <w:cols w:space="720" w:num="1"/>
          <w:titlePg/>
          <w:docGrid w:linePitch="312" w:charSpace="0"/>
        </w:sectPr>
      </w:pPr>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adjustRightInd/>
        <w:spacing w:line="440" w:lineRule="exact"/>
        <w:jc w:val="center"/>
        <w:rPr>
          <w:rFonts w:ascii="仿宋_GB2312" w:hAnsi="仿宋_GB2312" w:eastAsia="仿宋_GB2312" w:cs="仿宋_GB2312"/>
          <w:b/>
          <w:kern w:val="0"/>
          <w:sz w:val="36"/>
          <w:szCs w:val="36"/>
        </w:rPr>
      </w:pPr>
    </w:p>
    <w:p>
      <w:pPr>
        <w:adjustRightInd/>
        <w:spacing w:line="440" w:lineRule="exact"/>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adjustRightInd/>
        <w:spacing w:line="440" w:lineRule="exact"/>
        <w:jc w:val="center"/>
        <w:rPr>
          <w:rFonts w:ascii="仿宋_GB2312" w:hAnsi="仿宋_GB2312" w:eastAsia="仿宋_GB2312" w:cs="仿宋_GB2312"/>
          <w:b/>
          <w:kern w:val="0"/>
          <w:sz w:val="36"/>
          <w:szCs w:val="36"/>
        </w:rPr>
      </w:pPr>
    </w:p>
    <w:p>
      <w:pPr>
        <w:numPr>
          <w:ilvl w:val="0"/>
          <w:numId w:val="4"/>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开标一览表（报价表）………………………………………………………（页码）</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footerReference r:id="rId10" w:type="first"/>
          <w:headerReference r:id="rId8" w:type="default"/>
          <w:footerReference r:id="rId9" w:type="default"/>
          <w:pgSz w:w="11906" w:h="16838"/>
          <w:pgMar w:top="1701" w:right="1418" w:bottom="1417" w:left="1418" w:header="1304" w:footer="992" w:gutter="0"/>
          <w:cols w:space="720" w:num="1"/>
          <w:titlePg/>
          <w:docGrid w:linePitch="312" w:charSpace="0"/>
        </w:sectPr>
      </w:pPr>
    </w:p>
    <w:p>
      <w:pPr>
        <w:pStyle w:val="693"/>
        <w:keepNext w:val="0"/>
        <w:pageBreakBefore w:val="0"/>
        <w:tabs>
          <w:tab w:val="clear" w:pos="720"/>
        </w:tabs>
        <w:adjustRightInd/>
        <w:spacing w:line="440" w:lineRule="exact"/>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kern w:val="0"/>
          <w:sz w:val="24"/>
          <w:lang w:val="zh-CN"/>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按你方招标文件要求，我</w:t>
      </w:r>
      <w:r>
        <w:rPr>
          <w:rFonts w:hint="eastAsia" w:ascii="仿宋_GB2312" w:hAnsi="仿宋_GB2312" w:eastAsia="仿宋_GB2312" w:cs="仿宋_GB2312"/>
          <w:kern w:val="0"/>
          <w:sz w:val="24"/>
        </w:rPr>
        <w:t>方</w:t>
      </w:r>
      <w:r>
        <w:rPr>
          <w:rFonts w:hint="eastAsia" w:ascii="仿宋_GB2312" w:hAnsi="仿宋_GB2312" w:eastAsia="仿宋_GB2312" w:cs="仿宋_GB2312"/>
          <w:kern w:val="0"/>
          <w:sz w:val="24"/>
          <w:lang w:val="zh-CN"/>
        </w:rPr>
        <w:t>，本投标文件签字方，谨此向你方发出要约如下：如你方接受本投标，我方承诺按照如下开标一览表（报价表）的价格完成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（项目名称）【项目编号：】的实施</w:t>
      </w:r>
      <w:r>
        <w:rPr>
          <w:rFonts w:hint="eastAsia" w:ascii="仿宋_GB2312" w:hAnsi="仿宋_GB2312" w:eastAsia="仿宋_GB2312" w:cs="仿宋_GB2312"/>
          <w:kern w:val="0"/>
          <w:sz w:val="24"/>
          <w:lang w:val="zh-CN"/>
        </w:rPr>
        <w:t>。</w:t>
      </w:r>
    </w:p>
    <w:p>
      <w:pPr>
        <w:adjustRightInd/>
        <w:spacing w:line="440" w:lineRule="exact"/>
        <w:jc w:val="center"/>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开标一览表（报价表）（</w:t>
      </w:r>
      <w:r>
        <w:rPr>
          <w:rFonts w:hint="eastAsia" w:ascii="仿宋_GB2312" w:hAnsi="仿宋_GB2312" w:eastAsia="仿宋_GB2312" w:cs="仿宋_GB2312"/>
          <w:b/>
          <w:kern w:val="0"/>
          <w:sz w:val="24"/>
        </w:rPr>
        <w:t>金额</w:t>
      </w:r>
      <w:r>
        <w:rPr>
          <w:rFonts w:hint="eastAsia" w:ascii="仿宋_GB2312" w:hAnsi="仿宋_GB2312" w:eastAsia="仿宋_GB2312" w:cs="仿宋_GB2312"/>
          <w:b/>
          <w:kern w:val="0"/>
          <w:sz w:val="24"/>
          <w:lang w:val="zh-CN"/>
        </w:rPr>
        <w:t>单位均为人民币元）</w:t>
      </w:r>
    </w:p>
    <w:tbl>
      <w:tblPr>
        <w:tblStyle w:val="62"/>
        <w:tblW w:w="11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17"/>
        <w:gridCol w:w="1843"/>
        <w:gridCol w:w="1834"/>
        <w:gridCol w:w="1185"/>
        <w:gridCol w:w="1554"/>
        <w:gridCol w:w="140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417"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1843"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服务范围</w:t>
            </w:r>
          </w:p>
        </w:tc>
        <w:tc>
          <w:tcPr>
            <w:tcW w:w="1834"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服务要求</w:t>
            </w:r>
          </w:p>
        </w:tc>
        <w:tc>
          <w:tcPr>
            <w:tcW w:w="1185"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服务时间</w:t>
            </w:r>
          </w:p>
        </w:tc>
        <w:tc>
          <w:tcPr>
            <w:tcW w:w="1554"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服务标准</w:t>
            </w:r>
          </w:p>
        </w:tc>
        <w:tc>
          <w:tcPr>
            <w:tcW w:w="1407"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服务人数</w:t>
            </w:r>
          </w:p>
        </w:tc>
        <w:tc>
          <w:tcPr>
            <w:tcW w:w="1854"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17"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5" w:type="dxa"/>
            <w:gridSpan w:val="4"/>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投标报价（小写）</w:t>
            </w:r>
          </w:p>
        </w:tc>
        <w:tc>
          <w:tcPr>
            <w:tcW w:w="6000" w:type="dxa"/>
            <w:gridSpan w:val="4"/>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5" w:type="dxa"/>
            <w:gridSpan w:val="4"/>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投标报价（大写）</w:t>
            </w:r>
          </w:p>
        </w:tc>
        <w:tc>
          <w:tcPr>
            <w:tcW w:w="6000" w:type="dxa"/>
            <w:gridSpan w:val="4"/>
            <w:vAlign w:val="center"/>
          </w:tcPr>
          <w:p>
            <w:pPr>
              <w:adjustRightInd/>
              <w:spacing w:line="440" w:lineRule="exact"/>
              <w:jc w:val="center"/>
              <w:rPr>
                <w:rFonts w:ascii="仿宋_GB2312" w:hAnsi="仿宋_GB2312" w:eastAsia="仿宋_GB2312" w:cs="仿宋_GB2312"/>
                <w:sz w:val="24"/>
              </w:rPr>
            </w:pPr>
          </w:p>
        </w:tc>
      </w:tr>
    </w:tbl>
    <w:p>
      <w:pPr>
        <w:spacing w:line="440" w:lineRule="exact"/>
        <w:ind w:left="48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注：</w:t>
      </w:r>
    </w:p>
    <w:p>
      <w:pPr>
        <w:spacing w:line="440" w:lineRule="exact"/>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1、投标人需按本表格式填写，</w:t>
      </w:r>
      <w:r>
        <w:rPr>
          <w:rFonts w:hint="eastAsia" w:ascii="仿宋_GB2312" w:hAnsi="仿宋_GB2312" w:eastAsia="仿宋_GB2312" w:cs="仿宋_GB2312"/>
          <w:b/>
          <w:bCs/>
          <w:kern w:val="0"/>
          <w:sz w:val="24"/>
          <w:lang w:val="zh-CN"/>
        </w:rPr>
        <w:t>否则视为投标文件含有采购人不能接受的附加条件，投标无效</w:t>
      </w:r>
      <w:r>
        <w:rPr>
          <w:rFonts w:hint="eastAsia" w:ascii="仿宋_GB2312" w:hAnsi="仿宋_GB2312" w:eastAsia="仿宋_GB2312" w:cs="仿宋_GB2312"/>
          <w:kern w:val="0"/>
          <w:sz w:val="24"/>
          <w:lang w:val="zh-CN"/>
        </w:rPr>
        <w:t>。</w:t>
      </w:r>
    </w:p>
    <w:p>
      <w:pPr>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2、有关本项目实施所涉及的一切费用均计入报价。</w:t>
      </w:r>
      <w:r>
        <w:rPr>
          <w:rFonts w:hint="eastAsia" w:ascii="仿宋_GB2312" w:hAnsi="仿宋_GB2312" w:eastAsia="仿宋_GB2312" w:cs="仿宋_GB2312"/>
          <w:b/>
          <w:bCs/>
          <w:kern w:val="0"/>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Pr>
          <w:rFonts w:hint="eastAsia" w:ascii="仿宋_GB2312" w:hAnsi="仿宋_GB2312" w:eastAsia="仿宋_GB2312" w:cs="仿宋_GB2312"/>
          <w:b/>
          <w:bCs/>
          <w:sz w:val="24"/>
        </w:rPr>
        <w:t>。</w:t>
      </w:r>
    </w:p>
    <w:p>
      <w:pPr>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、特别提示：采购代理机构将对项目名称和项目编号，中标供应商名称、地址和中标金额，主要中标标的名称、服务范围、服务要求、服务时间、服务标准等予以公示。</w:t>
      </w:r>
    </w:p>
    <w:p>
      <w:pPr>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szCs w:val="22"/>
        </w:rPr>
        <w:t>4</w:t>
      </w:r>
      <w:r>
        <w:rPr>
          <w:rFonts w:hint="eastAsia" w:ascii="仿宋_GB2312" w:hAnsi="仿宋_GB2312" w:eastAsia="仿宋_GB2312" w:cs="仿宋_GB2312"/>
          <w:kern w:val="0"/>
          <w:sz w:val="24"/>
          <w:szCs w:val="22"/>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_GB2312" w:hAnsi="仿宋_GB2312" w:eastAsia="仿宋_GB2312" w:cs="仿宋_GB2312"/>
          <w:kern w:val="0"/>
          <w:sz w:val="24"/>
          <w:lang w:val="zh-CN"/>
        </w:rPr>
        <w:t>。</w:t>
      </w:r>
    </w:p>
    <w:p>
      <w:pPr>
        <w:spacing w:line="360" w:lineRule="auto"/>
        <w:ind w:firstLine="482" w:firstLineChars="200"/>
        <w:rPr>
          <w:rFonts w:ascii="仿宋_GB2312" w:hAnsi="仿宋_GB2312" w:eastAsia="仿宋_GB2312" w:cs="仿宋_GB2312"/>
          <w:b/>
          <w:kern w:val="0"/>
          <w:sz w:val="24"/>
        </w:r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pgSz w:w="16838" w:h="11906" w:orient="landscape"/>
          <w:pgMar w:top="1701" w:right="1417" w:bottom="1418" w:left="1417" w:header="1304" w:footer="992" w:gutter="0"/>
          <w:cols w:space="720" w:num="1"/>
          <w:titlePg/>
          <w:docGrid w:linePitch="312" w:charSpace="0"/>
        </w:sectPr>
      </w:pPr>
    </w:p>
    <w:p>
      <w:pPr>
        <w:rPr>
          <w:rFonts w:ascii="仿宋_GB2312" w:hAnsi="仿宋_GB2312" w:eastAsia="仿宋_GB2312" w:cs="仿宋_GB2312"/>
          <w:b/>
          <w:kern w:val="0"/>
          <w:sz w:val="36"/>
          <w:szCs w:val="36"/>
        </w:rPr>
      </w:pPr>
      <w:bookmarkStart w:id="397" w:name="_Toc465665161"/>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附件</w:t>
      </w:r>
      <w:bookmarkEnd w:id="397"/>
    </w:p>
    <w:p>
      <w:pPr>
        <w:adjustRightInd/>
        <w:spacing w:line="440" w:lineRule="exac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adjustRightInd/>
        <w:spacing w:line="440" w:lineRule="exact"/>
        <w:jc w:val="center"/>
        <w:rPr>
          <w:rFonts w:ascii="仿宋_GB2312" w:hAnsi="仿宋_GB2312" w:eastAsia="仿宋_GB2312" w:cs="仿宋_GB2312"/>
          <w:b/>
          <w:spacing w:val="6"/>
          <w:sz w:val="32"/>
          <w:szCs w:val="32"/>
        </w:rPr>
      </w:pPr>
      <w:bookmarkStart w:id="398" w:name="OLE_LINK13"/>
      <w:bookmarkStart w:id="399" w:name="OLE_LINK14"/>
      <w:r>
        <w:rPr>
          <w:rFonts w:hint="eastAsia" w:ascii="仿宋_GB2312" w:hAnsi="仿宋_GB2312" w:eastAsia="仿宋_GB2312" w:cs="仿宋_GB2312"/>
          <w:b/>
          <w:spacing w:val="6"/>
          <w:sz w:val="32"/>
          <w:szCs w:val="32"/>
        </w:rPr>
        <w:t>残疾人福利性单位声明函</w:t>
      </w:r>
    </w:p>
    <w:bookmarkEnd w:id="398"/>
    <w:bookmarkEnd w:id="399"/>
    <w:p>
      <w:pPr>
        <w:adjustRightInd/>
        <w:spacing w:line="440" w:lineRule="exact"/>
        <w:rPr>
          <w:rFonts w:ascii="仿宋_GB2312" w:hAnsi="仿宋_GB2312" w:eastAsia="仿宋_GB2312" w:cs="仿宋_GB2312"/>
          <w:b/>
          <w:spacing w:val="6"/>
          <w:sz w:val="30"/>
          <w:szCs w:val="30"/>
        </w:rPr>
      </w:pP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项目采购活动提供本单位制造的货物（由本单位承担工程/提供服务），或者提供其他残疾人福利性单位制造的货物（不包括使用非残疾人福利性单位注册商标的货物）。</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adjustRightInd/>
        <w:spacing w:line="440" w:lineRule="exact"/>
        <w:ind w:firstLine="480" w:firstLineChars="200"/>
        <w:rPr>
          <w:rFonts w:ascii="仿宋_GB2312" w:hAnsi="仿宋_GB2312" w:eastAsia="仿宋_GB2312" w:cs="仿宋_GB2312"/>
          <w:sz w:val="24"/>
        </w:rPr>
      </w:pPr>
    </w:p>
    <w:p>
      <w:pPr>
        <w:adjustRightInd/>
        <w:spacing w:line="440" w:lineRule="exact"/>
        <w:ind w:firstLine="480" w:firstLineChars="200"/>
        <w:rPr>
          <w:rFonts w:ascii="仿宋_GB2312" w:hAnsi="仿宋_GB2312" w:eastAsia="仿宋_GB2312" w:cs="仿宋_GB2312"/>
          <w:sz w:val="24"/>
        </w:rPr>
      </w:pPr>
    </w:p>
    <w:p>
      <w:pPr>
        <w:tabs>
          <w:tab w:val="left" w:pos="4860"/>
        </w:tabs>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日  期：</w:t>
      </w:r>
    </w:p>
    <w:p>
      <w:pPr>
        <w:spacing w:line="360" w:lineRule="auto"/>
        <w:ind w:firstLine="480" w:firstLineChars="200"/>
        <w:rPr>
          <w:rFonts w:ascii="仿宋_GB2312" w:hAnsi="仿宋_GB2312" w:eastAsia="仿宋_GB2312" w:cs="仿宋_GB2312"/>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spacing w:line="440" w:lineRule="exact"/>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pPr>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440" w:lineRule="exact"/>
        <w:ind w:firstLine="600" w:firstLineChars="200"/>
        <w:jc w:val="left"/>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spacing w:line="440" w:lineRule="exact"/>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pPr>
        <w:spacing w:line="440" w:lineRule="exact"/>
        <w:jc w:val="center"/>
        <w:rPr>
          <w:rFonts w:ascii="仿宋_GB2312" w:hAnsi="仿宋_GB2312" w:eastAsia="仿宋_GB2312" w:cs="仿宋_GB2312"/>
          <w:b/>
          <w:sz w:val="24"/>
        </w:rPr>
      </w:pPr>
    </w:p>
    <w:p>
      <w:pPr>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440" w:lineRule="exact"/>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440" w:lineRule="exact"/>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440" w:lineRule="exact"/>
        <w:rPr>
          <w:rFonts w:ascii="仿宋_GB2312" w:hAnsi="仿宋_GB2312" w:eastAsia="仿宋_GB2312" w:cs="仿宋_GB2312"/>
          <w:b/>
          <w:sz w:val="24"/>
        </w:rPr>
      </w:pPr>
    </w:p>
    <w:p>
      <w:pPr>
        <w:spacing w:line="440" w:lineRule="exact"/>
        <w:rPr>
          <w:rFonts w:ascii="仿宋_GB2312" w:hAnsi="仿宋_GB2312" w:eastAsia="仿宋_GB2312" w:cs="仿宋_GB2312"/>
          <w:b/>
          <w:sz w:val="24"/>
        </w:rPr>
      </w:pP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440" w:lineRule="exact"/>
        <w:rPr>
          <w:rFonts w:ascii="仿宋_GB2312" w:hAnsi="仿宋_GB2312" w:eastAsia="仿宋_GB2312" w:cs="仿宋_GB2312"/>
          <w:b/>
          <w:sz w:val="24"/>
        </w:rPr>
      </w:pPr>
    </w:p>
    <w:p>
      <w:pPr>
        <w:autoSpaceDE w:val="0"/>
        <w:autoSpaceDN w:val="0"/>
        <w:spacing w:line="440" w:lineRule="exact"/>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autoSpaceDE w:val="0"/>
        <w:autoSpaceDN w:val="0"/>
        <w:adjustRightInd/>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附件4：</w:t>
      </w:r>
      <w:r>
        <w:rPr>
          <w:rFonts w:hint="eastAsia" w:ascii="仿宋_GB2312" w:hAnsi="仿宋_GB2312" w:eastAsia="仿宋_GB2312" w:cs="仿宋_GB2312"/>
          <w:b/>
          <w:bCs/>
          <w:sz w:val="32"/>
          <w:szCs w:val="32"/>
        </w:rPr>
        <w:t>业务专用章使用说明函</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（项目名称）项目【项目编号：    】</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 xml:space="preserve">我方所使用的“XX专用章”与法定名称章具有同等的法律效力，对使用“XX专用章”的行为予以完全承认，并愿意承担相应责任。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pPr>
        <w:adjustRightInd/>
        <w:spacing w:line="440" w:lineRule="exact"/>
        <w:ind w:firstLine="494"/>
        <w:rPr>
          <w:rFonts w:ascii="仿宋_GB2312" w:hAnsi="仿宋_GB2312" w:eastAsia="仿宋_GB2312" w:cs="仿宋_GB2312"/>
          <w:sz w:val="24"/>
        </w:rPr>
      </w:pPr>
    </w:p>
    <w:p>
      <w:pPr>
        <w:adjustRightInd/>
        <w:spacing w:line="440" w:lineRule="exact"/>
        <w:ind w:firstLine="494"/>
        <w:rPr>
          <w:rFonts w:ascii="仿宋_GB2312" w:hAnsi="仿宋_GB2312" w:eastAsia="仿宋_GB2312" w:cs="仿宋_GB2312"/>
          <w:sz w:val="24"/>
        </w:rPr>
      </w:pPr>
    </w:p>
    <w:p>
      <w:pPr>
        <w:adjustRightInd/>
        <w:spacing w:line="440" w:lineRule="exact"/>
        <w:ind w:firstLine="494"/>
        <w:rPr>
          <w:rFonts w:ascii="仿宋_GB2312" w:hAnsi="仿宋_GB2312" w:eastAsia="仿宋_GB2312" w:cs="仿宋_GB2312"/>
          <w:sz w:val="24"/>
        </w:rPr>
      </w:pPr>
    </w:p>
    <w:p>
      <w:pPr>
        <w:adjustRightInd/>
        <w:spacing w:line="440" w:lineRule="exact"/>
        <w:ind w:firstLine="494"/>
        <w:rPr>
          <w:rFonts w:ascii="仿宋_GB2312" w:hAnsi="仿宋_GB2312" w:eastAsia="仿宋_GB2312" w:cs="仿宋_GB2312"/>
          <w:sz w:val="24"/>
        </w:rPr>
      </w:pPr>
    </w:p>
    <w:p>
      <w:pPr>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pPr>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日期：       年     月     日</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附：</w:t>
      </w:r>
    </w:p>
    <w:p>
      <w:pPr>
        <w:adjustRightInd/>
        <w:spacing w:line="440" w:lineRule="exact"/>
        <w:rPr>
          <w:rFonts w:ascii="仿宋_GB2312" w:hAnsi="仿宋_GB2312" w:eastAsia="仿宋_GB2312" w:cs="仿宋_GB2312"/>
          <w:bCs/>
          <w:sz w:val="24"/>
        </w:rPr>
      </w:pPr>
      <w:r>
        <w:rPr>
          <w:rFonts w:hint="eastAsia" w:ascii="仿宋_GB2312" w:hAnsi="仿宋_GB2312" w:eastAsia="仿宋_GB2312" w:cs="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_GB2312" w:hAnsi="仿宋_GB2312" w:eastAsia="仿宋_GB2312" w:cs="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4"/>
        </w:rPr>
        <w:t>投标单位法定名称章（印模）                投标单位“XX专用章”（印模）</w:t>
      </w: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autoSpaceDE w:val="0"/>
        <w:autoSpaceDN w:val="0"/>
        <w:adjustRightInd/>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附件5：中小企业声明函</w:t>
      </w:r>
    </w:p>
    <w:p>
      <w:pPr>
        <w:adjustRightInd/>
        <w:spacing w:line="440" w:lineRule="exact"/>
        <w:jc w:val="center"/>
        <w:rPr>
          <w:rFonts w:ascii="仿宋_GB2312" w:hAnsi="仿宋_GB2312" w:eastAsia="仿宋_GB2312" w:cs="仿宋_GB2312"/>
          <w:b/>
          <w:sz w:val="32"/>
          <w:szCs w:val="32"/>
        </w:rPr>
      </w:pPr>
    </w:p>
    <w:p>
      <w:pPr>
        <w:adjustRightInd/>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中小企业声明函（服务）</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拱墅区经济运行综合集成系统项目（项目名称） </w:t>
      </w:r>
      <w:r>
        <w:rPr>
          <w:rFonts w:hint="eastAsia" w:ascii="仿宋_GB2312" w:hAnsi="仿宋_GB2312" w:eastAsia="仿宋_GB2312" w:cs="仿宋_GB2312"/>
          <w:sz w:val="24"/>
        </w:rPr>
        <w:t>采购活动，服务全部由符合政策要求的中小企业承接。相关企业（含联合体中的中小企业、签订分包意向协议的中小企业）的具体情况如下：</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adjustRightInd/>
        <w:spacing w:line="440" w:lineRule="exact"/>
        <w:ind w:firstLine="310" w:firstLineChars="147"/>
        <w:jc w:val="left"/>
        <w:rPr>
          <w:rFonts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adjustRightInd/>
        <w:spacing w:line="440" w:lineRule="exact"/>
        <w:rPr>
          <w:rFonts w:ascii="仿宋_GB2312" w:hAnsi="仿宋_GB2312" w:eastAsia="仿宋_GB2312" w:cs="仿宋_GB2312"/>
          <w:sz w:val="24"/>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r>
        <w:rPr>
          <w:rFonts w:hint="eastAsia" w:ascii="仿宋_GB2312" w:hAnsi="仿宋_GB2312" w:eastAsia="仿宋_GB2312" w:cs="仿宋_GB2312"/>
          <w:b/>
          <w:spacing w:val="6"/>
          <w:sz w:val="32"/>
          <w:szCs w:val="32"/>
        </w:rPr>
        <w:t>附件6：分包意向协议</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（分包供应商2名称），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adjustRightInd/>
        <w:spacing w:line="440" w:lineRule="exact"/>
        <w:ind w:firstLine="420" w:firstLineChars="200"/>
        <w:rPr>
          <w:rFonts w:ascii="仿宋_GB2312" w:hAnsi="仿宋_GB2312" w:eastAsia="仿宋_GB2312" w:cs="仿宋_GB2312"/>
          <w:kern w:val="0"/>
        </w:rPr>
      </w:pPr>
      <w:r>
        <w:rPr>
          <w:rFonts w:hint="eastAsia"/>
        </w:rPr>
        <w:t>……</w:t>
      </w:r>
    </w:p>
    <w:p>
      <w:pPr>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lang w:val="zh-CN"/>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二、分包供应商中小企业合同份额</w:t>
      </w:r>
    </w:p>
    <w:p>
      <w:pPr>
        <w:adjustRightInd/>
        <w:spacing w:line="440" w:lineRule="exact"/>
        <w:ind w:firstLine="480" w:firstLineChars="200"/>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（分包供应商X，……）提供的服务全部由小微企业承接，</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sz w:val="24"/>
          <w:szCs w:val="3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pPr>
        <w:adjustRightInd/>
        <w:spacing w:line="440" w:lineRule="exact"/>
        <w:ind w:firstLine="480"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sz w:val="24"/>
        </w:rPr>
        <w:t>2、中小企业合同金额达到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lang w:val="zh-CN"/>
        </w:rPr>
        <w:t>分包意向协议</w:t>
      </w:r>
      <w:r>
        <w:rPr>
          <w:rFonts w:hint="eastAsia" w:ascii="仿宋_GB2312" w:hAnsi="仿宋_GB2312" w:eastAsia="仿宋_GB2312" w:cs="仿宋_GB2312"/>
          <w:b/>
          <w:bCs/>
          <w:sz w:val="24"/>
        </w:rPr>
        <w:t>中中小企业、小微企业合同金额应当达到的比例要求填写。</w:t>
      </w:r>
      <w:r>
        <w:rPr>
          <w:rFonts w:hint="eastAsia" w:ascii="仿宋_GB2312" w:hAnsi="仿宋_GB2312" w:eastAsia="仿宋_GB2312" w:cs="仿宋_GB2312"/>
          <w:b/>
          <w:bCs/>
          <w:kern w:val="0"/>
          <w:sz w:val="24"/>
          <w:lang w:val="zh-CN"/>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三、分包工作履行期限、地点、方式</w:t>
      </w:r>
    </w:p>
    <w:p>
      <w:pPr>
        <w:adjustRightInd/>
        <w:spacing w:line="440" w:lineRule="exact"/>
        <w:ind w:firstLine="480" w:firstLineChars="200"/>
        <w:rPr>
          <w:rFonts w:ascii="仿宋_GB2312" w:hAnsi="仿宋_GB2312" w:eastAsia="仿宋_GB2312" w:cs="仿宋_GB2312"/>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四、质量</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五、价款或者报酬</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六、违约责任</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七、争议解决的办法</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八、其他</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djustRightInd/>
        <w:spacing w:line="440" w:lineRule="exact"/>
        <w:ind w:firstLine="3840" w:firstLineChars="1600"/>
        <w:rPr>
          <w:rFonts w:ascii="仿宋_GB2312" w:hAnsi="仿宋_GB2312" w:eastAsia="仿宋_GB2312" w:cs="仿宋_GB2312"/>
          <w:kern w:val="0"/>
          <w:sz w:val="24"/>
          <w:lang w:val="zh-CN"/>
        </w:rPr>
      </w:pPr>
    </w:p>
    <w:p>
      <w:pPr>
        <w:adjustRightInd/>
        <w:spacing w:line="440" w:lineRule="exact"/>
        <w:ind w:firstLine="3840" w:firstLineChars="1600"/>
        <w:rPr>
          <w:rFonts w:ascii="仿宋_GB2312" w:hAnsi="仿宋_GB2312" w:eastAsia="仿宋_GB2312" w:cs="仿宋_GB2312"/>
          <w:kern w:val="0"/>
          <w:sz w:val="24"/>
          <w:lang w:val="zh-CN"/>
        </w:rPr>
      </w:pPr>
    </w:p>
    <w:p>
      <w:pPr>
        <w:adjustRightInd/>
        <w:spacing w:line="440" w:lineRule="exact"/>
        <w:ind w:firstLine="3840" w:firstLineChars="16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投标人名称（电子签名）：</w:t>
      </w:r>
    </w:p>
    <w:p>
      <w:pPr>
        <w:adjustRightInd/>
        <w:spacing w:line="440" w:lineRule="exact"/>
        <w:ind w:firstLine="3840" w:firstLineChars="16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分包供应商名称（电子签名/公章）：</w:t>
      </w:r>
    </w:p>
    <w:p>
      <w:pPr>
        <w:adjustRightInd/>
        <w:spacing w:line="440" w:lineRule="exact"/>
        <w:ind w:firstLine="3840" w:firstLineChars="16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sectPr>
      <w:headerReference r:id="rId11" w:type="first"/>
      <w:footerReference r:id="rId14" w:type="first"/>
      <w:footerReference r:id="rId12" w:type="default"/>
      <w:footerReference r:id="rId13" w:type="even"/>
      <w:pgSz w:w="11906" w:h="16838"/>
      <w:pgMar w:top="1701" w:right="1418" w:bottom="1417" w:left="1418" w:header="1304"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dobeSongStd-Light">
    <w:altName w:val="宋体"/>
    <w:panose1 w:val="000000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hAnsi="仿宋_GB2312" w:eastAsia="仿宋_GB2312" w:cs="仿宋_GB2312"/>
      </w:rPr>
    </w:pPr>
    <w:r>
      <w:rPr>
        <w:rFonts w:hint="eastAsia" w:ascii="仿宋_GB2312" w:hAnsi="仿宋_GB2312" w:eastAsia="仿宋_GB2312" w:cs="仿宋_GB2312"/>
        <w:kern w:val="0"/>
      </w:rPr>
      <w:t xml:space="preserve">第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PAGE </w:instrText>
    </w:r>
    <w:r>
      <w:rPr>
        <w:rFonts w:hint="eastAsia" w:ascii="仿宋_GB2312" w:hAnsi="仿宋_GB2312" w:eastAsia="仿宋_GB2312" w:cs="仿宋_GB2312"/>
        <w:kern w:val="0"/>
      </w:rPr>
      <w:fldChar w:fldCharType="separate"/>
    </w:r>
    <w:r>
      <w:rPr>
        <w:rFonts w:hint="eastAsia" w:ascii="仿宋_GB2312" w:hAnsi="仿宋_GB2312" w:eastAsia="仿宋_GB2312" w:cs="仿宋_GB2312"/>
        <w:kern w:val="0"/>
      </w:rPr>
      <w:t>24</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 共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NUMPAGES </w:instrText>
    </w:r>
    <w:r>
      <w:rPr>
        <w:rFonts w:hint="eastAsia" w:ascii="仿宋_GB2312" w:hAnsi="仿宋_GB2312" w:eastAsia="仿宋_GB2312" w:cs="仿宋_GB2312"/>
        <w:kern w:val="0"/>
      </w:rPr>
      <w:fldChar w:fldCharType="separate"/>
    </w:r>
    <w:r>
      <w:rPr>
        <w:rFonts w:hint="eastAsia" w:ascii="仿宋_GB2312" w:hAnsi="仿宋_GB2312" w:eastAsia="仿宋_GB2312" w:cs="仿宋_GB2312"/>
        <w:kern w:val="0"/>
      </w:rPr>
      <w:t>73</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0" w:name="_Toc36110187"/>
    <w:bookmarkStart w:id="401" w:name="_Toc131845147"/>
    <w:bookmarkStart w:id="402" w:name="_Toc164085800"/>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25</w: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hAnsi="仿宋_GB2312" w:eastAsia="仿宋_GB2312" w:cs="仿宋_GB2312"/>
      </w:rPr>
    </w:pPr>
    <w:r>
      <w:rPr>
        <w:rFonts w:hint="eastAsia" w:ascii="仿宋_GB2312" w:hAnsi="仿宋_GB2312" w:eastAsia="仿宋_GB2312" w:cs="仿宋_GB2312"/>
        <w:kern w:val="0"/>
      </w:rPr>
      <w:t xml:space="preserve">第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PAGE </w:instrText>
    </w:r>
    <w:r>
      <w:rPr>
        <w:rFonts w:hint="eastAsia" w:ascii="仿宋_GB2312" w:hAnsi="仿宋_GB2312" w:eastAsia="仿宋_GB2312" w:cs="仿宋_GB2312"/>
        <w:kern w:val="0"/>
      </w:rPr>
      <w:fldChar w:fldCharType="separate"/>
    </w:r>
    <w:r>
      <w:rPr>
        <w:rFonts w:hint="eastAsia" w:ascii="仿宋_GB2312" w:hAnsi="仿宋_GB2312" w:eastAsia="仿宋_GB2312" w:cs="仿宋_GB2312"/>
        <w:kern w:val="0"/>
      </w:rPr>
      <w:t>1</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 共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NUMPAGES </w:instrText>
    </w:r>
    <w:r>
      <w:rPr>
        <w:rFonts w:hint="eastAsia" w:ascii="仿宋_GB2312" w:hAnsi="仿宋_GB2312" w:eastAsia="仿宋_GB2312" w:cs="仿宋_GB2312"/>
        <w:kern w:val="0"/>
      </w:rPr>
      <w:fldChar w:fldCharType="separate"/>
    </w:r>
    <w:r>
      <w:rPr>
        <w:rFonts w:hint="eastAsia" w:ascii="仿宋_GB2312" w:hAnsi="仿宋_GB2312" w:eastAsia="仿宋_GB2312" w:cs="仿宋_GB2312"/>
        <w:kern w:val="0"/>
      </w:rPr>
      <w:t>73</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C8DE6"/>
    <w:multiLevelType w:val="singleLevel"/>
    <w:tmpl w:val="0ABC8DE6"/>
    <w:lvl w:ilvl="0" w:tentative="0">
      <w:start w:val="1"/>
      <w:numFmt w:val="decimal"/>
      <w:suff w:val="nothing"/>
      <w:lvlText w:val="（%1）"/>
      <w:lvlJc w:val="left"/>
    </w:lvl>
  </w:abstractNum>
  <w:abstractNum w:abstractNumId="1">
    <w:nsid w:val="446E7E03"/>
    <w:multiLevelType w:val="singleLevel"/>
    <w:tmpl w:val="446E7E03"/>
    <w:lvl w:ilvl="0" w:tentative="0">
      <w:start w:val="1"/>
      <w:numFmt w:val="decimal"/>
      <w:suff w:val="nothing"/>
      <w:lvlText w:val="（%1）"/>
      <w:lvlJc w:val="left"/>
    </w:lvl>
  </w:abstractNum>
  <w:abstractNum w:abstractNumId="2">
    <w:nsid w:val="5305FA48"/>
    <w:multiLevelType w:val="singleLevel"/>
    <w:tmpl w:val="5305FA48"/>
    <w:lvl w:ilvl="0" w:tentative="0">
      <w:start w:val="17"/>
      <w:numFmt w:val="decimal"/>
      <w:suff w:val="space"/>
      <w:lvlText w:val="%1."/>
      <w:lvlJc w:val="left"/>
    </w:lvl>
  </w:abstractNum>
  <w:abstractNum w:abstractNumId="3">
    <w:nsid w:val="54CCB9A6"/>
    <w:multiLevelType w:val="singleLevel"/>
    <w:tmpl w:val="54CCB9A6"/>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jg0N2NlMjlhNWE0OWFlZGNmNDBmMjQ5MjE1ZjMifQ=="/>
  </w:docVars>
  <w:rsids>
    <w:rsidRoot w:val="002A6531"/>
    <w:rsid w:val="002A6531"/>
    <w:rsid w:val="004630D0"/>
    <w:rsid w:val="004F5A21"/>
    <w:rsid w:val="00606EF6"/>
    <w:rsid w:val="00E64D9D"/>
    <w:rsid w:val="01B85F94"/>
    <w:rsid w:val="049A3CFD"/>
    <w:rsid w:val="057F5ACA"/>
    <w:rsid w:val="06B82286"/>
    <w:rsid w:val="06C37571"/>
    <w:rsid w:val="06DC6607"/>
    <w:rsid w:val="07027CB2"/>
    <w:rsid w:val="0708351A"/>
    <w:rsid w:val="07A27430"/>
    <w:rsid w:val="0984254F"/>
    <w:rsid w:val="09F8619B"/>
    <w:rsid w:val="0A1B42AE"/>
    <w:rsid w:val="0B627840"/>
    <w:rsid w:val="0C3778AA"/>
    <w:rsid w:val="0D0E21B0"/>
    <w:rsid w:val="0EF273CF"/>
    <w:rsid w:val="104430E9"/>
    <w:rsid w:val="11D6135B"/>
    <w:rsid w:val="12F54660"/>
    <w:rsid w:val="132C5A96"/>
    <w:rsid w:val="143E41A1"/>
    <w:rsid w:val="14CA3B00"/>
    <w:rsid w:val="155021F9"/>
    <w:rsid w:val="15F47BFE"/>
    <w:rsid w:val="16C77784"/>
    <w:rsid w:val="16F8688F"/>
    <w:rsid w:val="17D9680D"/>
    <w:rsid w:val="183C7EC1"/>
    <w:rsid w:val="18F24A44"/>
    <w:rsid w:val="19A90B8D"/>
    <w:rsid w:val="19C00AAD"/>
    <w:rsid w:val="1A0E0A54"/>
    <w:rsid w:val="1B0C0F76"/>
    <w:rsid w:val="1D3C739E"/>
    <w:rsid w:val="1DAC76FD"/>
    <w:rsid w:val="23ED7BCB"/>
    <w:rsid w:val="2401066A"/>
    <w:rsid w:val="24BB1D20"/>
    <w:rsid w:val="252356BF"/>
    <w:rsid w:val="26CA7500"/>
    <w:rsid w:val="26D84772"/>
    <w:rsid w:val="292872DC"/>
    <w:rsid w:val="29C60DE7"/>
    <w:rsid w:val="30C47844"/>
    <w:rsid w:val="31493F5D"/>
    <w:rsid w:val="33B01E61"/>
    <w:rsid w:val="34272982"/>
    <w:rsid w:val="34850E43"/>
    <w:rsid w:val="34C86083"/>
    <w:rsid w:val="35AF70D3"/>
    <w:rsid w:val="37695060"/>
    <w:rsid w:val="37EC4555"/>
    <w:rsid w:val="3811448F"/>
    <w:rsid w:val="396A2631"/>
    <w:rsid w:val="3B3A5399"/>
    <w:rsid w:val="3B69669C"/>
    <w:rsid w:val="3B817199"/>
    <w:rsid w:val="3ED97330"/>
    <w:rsid w:val="41F80BC1"/>
    <w:rsid w:val="46F4261E"/>
    <w:rsid w:val="470A242A"/>
    <w:rsid w:val="476F03B2"/>
    <w:rsid w:val="4AA743C5"/>
    <w:rsid w:val="4AD43DC8"/>
    <w:rsid w:val="4B0871C6"/>
    <w:rsid w:val="4B6B7152"/>
    <w:rsid w:val="4BE17463"/>
    <w:rsid w:val="4C3A4C43"/>
    <w:rsid w:val="4CE80B6E"/>
    <w:rsid w:val="4DEF3BD6"/>
    <w:rsid w:val="4F503A71"/>
    <w:rsid w:val="54081636"/>
    <w:rsid w:val="54216F96"/>
    <w:rsid w:val="54B4023E"/>
    <w:rsid w:val="55726D8E"/>
    <w:rsid w:val="578A30A4"/>
    <w:rsid w:val="585564FD"/>
    <w:rsid w:val="58A64BE1"/>
    <w:rsid w:val="59913259"/>
    <w:rsid w:val="5D8A53F3"/>
    <w:rsid w:val="6061550F"/>
    <w:rsid w:val="664509B6"/>
    <w:rsid w:val="6BAD0CF9"/>
    <w:rsid w:val="6BCD2FEB"/>
    <w:rsid w:val="6DCA07E7"/>
    <w:rsid w:val="71A54719"/>
    <w:rsid w:val="73B722CE"/>
    <w:rsid w:val="73B974DB"/>
    <w:rsid w:val="74266F71"/>
    <w:rsid w:val="767A1922"/>
    <w:rsid w:val="7721487B"/>
    <w:rsid w:val="779315C1"/>
    <w:rsid w:val="7A1672D5"/>
    <w:rsid w:val="7A205476"/>
    <w:rsid w:val="7D314D55"/>
    <w:rsid w:val="7DA02D5B"/>
    <w:rsid w:val="7E34791B"/>
    <w:rsid w:val="7E8F57C3"/>
    <w:rsid w:val="7E95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1"/>
    <w:qFormat/>
    <w:uiPriority w:val="0"/>
    <w:pPr>
      <w:ind w:firstLine="420"/>
    </w:pPr>
    <w:rPr>
      <w:rFonts w:hAnsi="Calibri" w:cs="Times New Roman"/>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rPr>
      <w:i/>
      <w:iCs/>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Keyboard"/>
    <w:basedOn w:val="69"/>
    <w:qFormat/>
    <w:uiPriority w:val="0"/>
    <w:rPr>
      <w:rFonts w:hint="default" w:ascii="Consolas" w:hAnsi="Consolas" w:eastAsia="Consolas" w:cs="Consolas"/>
      <w:color w:val="FFFFFF"/>
      <w:sz w:val="21"/>
      <w:szCs w:val="21"/>
      <w:shd w:val="clear" w:color="auto" w:fill="333333"/>
    </w:rPr>
  </w:style>
  <w:style w:type="character" w:styleId="81">
    <w:name w:val="HTML Sample"/>
    <w:basedOn w:val="69"/>
    <w:qFormat/>
    <w:uiPriority w:val="0"/>
    <w:rPr>
      <w:rFonts w:ascii="Consolas" w:hAnsi="Consolas" w:eastAsia="Consolas" w:cs="Consolas"/>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正文空2格  1."/>
    <w:basedOn w:val="1"/>
    <w:qFormat/>
    <w:uiPriority w:val="99"/>
    <w:pPr>
      <w:spacing w:line="360" w:lineRule="auto"/>
      <w:ind w:firstLine="480" w:firstLineChars="200"/>
      <w:textAlignment w:val="baseline"/>
    </w:pPr>
    <w:rPr>
      <w:rFonts w:ascii="宋体" w:eastAsia="仿宋" w:cs="宋体"/>
      <w:kern w:val="0"/>
      <w:sz w:val="28"/>
      <w:szCs w:val="20"/>
    </w:rPr>
  </w:style>
  <w:style w:type="character" w:customStyle="1" w:styleId="965">
    <w:name w:val="first-child"/>
    <w:basedOn w:val="69"/>
    <w:qFormat/>
    <w:uiPriority w:val="0"/>
  </w:style>
  <w:style w:type="character" w:customStyle="1" w:styleId="966">
    <w:name w:val="color-green"/>
    <w:basedOn w:val="69"/>
    <w:qFormat/>
    <w:uiPriority w:val="0"/>
    <w:rPr>
      <w:color w:val="02B202"/>
      <w:sz w:val="19"/>
      <w:szCs w:val="19"/>
      <w:bdr w:val="single" w:color="02B202" w:sz="6" w:space="0"/>
      <w:shd w:val="clear" w:color="auto" w:fill="FFFFFF"/>
    </w:rPr>
  </w:style>
  <w:style w:type="character" w:customStyle="1" w:styleId="967">
    <w:name w:val="color-blue"/>
    <w:basedOn w:val="69"/>
    <w:qFormat/>
    <w:uiPriority w:val="0"/>
    <w:rPr>
      <w:color w:val="2272DE"/>
      <w:sz w:val="19"/>
      <w:szCs w:val="19"/>
      <w:bdr w:val="single" w:color="2272DE" w:sz="6" w:space="0"/>
      <w:shd w:val="clear" w:color="auto" w:fill="FFFFFF"/>
    </w:rPr>
  </w:style>
  <w:style w:type="character" w:customStyle="1" w:styleId="968">
    <w:name w:val="color-red"/>
    <w:basedOn w:val="69"/>
    <w:qFormat/>
    <w:uiPriority w:val="0"/>
    <w:rPr>
      <w:color w:val="FF6E40"/>
      <w:sz w:val="19"/>
      <w:szCs w:val="19"/>
      <w:bdr w:val="single" w:color="FF6E40" w:sz="6" w:space="0"/>
      <w:shd w:val="clear" w:color="auto" w:fill="FFFFFF"/>
    </w:rPr>
  </w:style>
  <w:style w:type="character" w:customStyle="1" w:styleId="969">
    <w:name w:val="tit"/>
    <w:basedOn w:val="69"/>
    <w:qFormat/>
    <w:uiPriority w:val="0"/>
    <w:rPr>
      <w:color w:val="FFFFFF"/>
    </w:rPr>
  </w:style>
  <w:style w:type="character" w:customStyle="1" w:styleId="970">
    <w:name w:val="btn_xlxz"/>
    <w:basedOn w:val="69"/>
    <w:qFormat/>
    <w:uiPriority w:val="0"/>
  </w:style>
  <w:style w:type="character" w:customStyle="1" w:styleId="971">
    <w:name w:val="btn_xlxz1"/>
    <w:basedOn w:val="69"/>
    <w:qFormat/>
    <w:uiPriority w:val="0"/>
  </w:style>
  <w:style w:type="paragraph" w:customStyle="1" w:styleId="972">
    <w:name w:val="_Style 971"/>
    <w:basedOn w:val="1"/>
    <w:next w:val="1"/>
    <w:qFormat/>
    <w:uiPriority w:val="0"/>
    <w:pPr>
      <w:pBdr>
        <w:bottom w:val="single" w:color="auto" w:sz="6" w:space="1"/>
      </w:pBdr>
      <w:jc w:val="center"/>
    </w:pPr>
    <w:rPr>
      <w:rFonts w:ascii="Arial"/>
      <w:vanish/>
      <w:sz w:val="16"/>
    </w:rPr>
  </w:style>
  <w:style w:type="paragraph" w:customStyle="1" w:styleId="973">
    <w:name w:val="_Style 972"/>
    <w:basedOn w:val="1"/>
    <w:next w:val="1"/>
    <w:qFormat/>
    <w:uiPriority w:val="0"/>
    <w:pPr>
      <w:pBdr>
        <w:top w:val="single" w:color="auto" w:sz="6" w:space="1"/>
      </w:pBdr>
      <w:jc w:val="center"/>
    </w:pPr>
    <w:rPr>
      <w:rFonts w:ascii="Arial"/>
      <w:vanish/>
      <w:sz w:val="16"/>
    </w:rPr>
  </w:style>
  <w:style w:type="paragraph" w:customStyle="1" w:styleId="974">
    <w:name w:val="[基本段落]"/>
    <w:basedOn w:val="1"/>
    <w:unhideWhenUsed/>
    <w:qFormat/>
    <w:uiPriority w:val="99"/>
    <w:pPr>
      <w:autoSpaceDE w:val="0"/>
      <w:autoSpaceDN w:val="0"/>
      <w:spacing w:line="288" w:lineRule="auto"/>
      <w:textAlignment w:val="center"/>
    </w:pPr>
    <w:rPr>
      <w:rFonts w:hint="eastAsia" w:ascii="AdobeSongStd-Light" w:hAnsi="AdobeSongStd-Light" w:eastAsia="AdobeSongStd-Light" w:cstheme="minorBidi"/>
      <w:color w:val="000000"/>
      <w:kern w:val="0"/>
      <w:sz w:val="24"/>
      <w:szCs w:val="20"/>
      <w:lang w:val="zh-CN"/>
    </w:rPr>
  </w:style>
  <w:style w:type="paragraph" w:customStyle="1" w:styleId="975">
    <w:name w:val="_Style 974"/>
    <w:basedOn w:val="1"/>
    <w:next w:val="1"/>
    <w:qFormat/>
    <w:uiPriority w:val="0"/>
    <w:pPr>
      <w:pBdr>
        <w:bottom w:val="single" w:color="auto" w:sz="6" w:space="1"/>
      </w:pBdr>
      <w:jc w:val="center"/>
    </w:pPr>
    <w:rPr>
      <w:rFonts w:ascii="Arial"/>
      <w:vanish/>
      <w:sz w:val="16"/>
    </w:rPr>
  </w:style>
  <w:style w:type="paragraph" w:customStyle="1" w:styleId="976">
    <w:name w:val="_Style 975"/>
    <w:basedOn w:val="1"/>
    <w:next w:val="1"/>
    <w:qFormat/>
    <w:uiPriority w:val="0"/>
    <w:pPr>
      <w:pBdr>
        <w:top w:val="single" w:color="auto" w:sz="6" w:space="1"/>
      </w:pBdr>
      <w:jc w:val="center"/>
    </w:pPr>
    <w:rPr>
      <w:rFonts w:ascii="Arial"/>
      <w:vanish/>
      <w:sz w:val="16"/>
    </w:rPr>
  </w:style>
  <w:style w:type="paragraph" w:customStyle="1" w:styleId="977">
    <w:name w:val="_Style 976"/>
    <w:basedOn w:val="1"/>
    <w:next w:val="1"/>
    <w:qFormat/>
    <w:uiPriority w:val="0"/>
    <w:pPr>
      <w:pBdr>
        <w:bottom w:val="single" w:color="auto" w:sz="6" w:space="1"/>
      </w:pBdr>
      <w:jc w:val="center"/>
    </w:pPr>
    <w:rPr>
      <w:rFonts w:ascii="Arial"/>
      <w:vanish/>
      <w:sz w:val="16"/>
    </w:rPr>
  </w:style>
  <w:style w:type="paragraph" w:customStyle="1" w:styleId="978">
    <w:name w:val="_Style 977"/>
    <w:basedOn w:val="1"/>
    <w:next w:val="1"/>
    <w:qFormat/>
    <w:uiPriority w:val="0"/>
    <w:pPr>
      <w:pBdr>
        <w:top w:val="single" w:color="auto" w:sz="6" w:space="1"/>
      </w:pBdr>
      <w:jc w:val="center"/>
    </w:pPr>
    <w:rPr>
      <w:rFonts w:ascii="Arial"/>
      <w:vanish/>
      <w:sz w:val="16"/>
    </w:rPr>
  </w:style>
  <w:style w:type="paragraph" w:customStyle="1" w:styleId="979">
    <w:name w:val="Normal Indent1"/>
    <w:basedOn w:val="1"/>
    <w:next w:val="23"/>
    <w:qFormat/>
    <w:uiPriority w:val="0"/>
    <w:pPr>
      <w:widowControl/>
      <w:adjustRightInd/>
      <w:ind w:firstLine="420"/>
      <w:jc w:val="left"/>
    </w:pPr>
    <w:rPr>
      <w:rFonts w:ascii="宋体"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96</Pages>
  <Words>52379</Words>
  <Characters>54374</Characters>
  <Lines>424</Lines>
  <Paragraphs>119</Paragraphs>
  <TotalTime>0</TotalTime>
  <ScaleCrop>false</ScaleCrop>
  <LinksUpToDate>false</LinksUpToDate>
  <CharactersWithSpaces>57706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Biubiu</cp:lastModifiedBy>
  <cp:lastPrinted>2021-12-27T11:06:00Z</cp:lastPrinted>
  <dcterms:modified xsi:type="dcterms:W3CDTF">2023-03-06T01:37:39Z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690E802C004F4FD9A507AE0BE70625C3</vt:lpwstr>
  </property>
</Properties>
</file>