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2DE38">
      <w:pPr>
        <w:spacing w:line="360" w:lineRule="auto"/>
        <w:jc w:val="center"/>
        <w:rPr>
          <w:rFonts w:hint="eastAsia" w:ascii="宋体" w:hAnsi="宋体" w:cs="宋体"/>
          <w:b/>
          <w:color w:val="auto"/>
          <w:sz w:val="24"/>
          <w:highlight w:val="none"/>
        </w:rPr>
      </w:pPr>
    </w:p>
    <w:p w14:paraId="5093FC75">
      <w:pPr>
        <w:spacing w:line="360" w:lineRule="auto"/>
        <w:jc w:val="center"/>
        <w:rPr>
          <w:rFonts w:hint="eastAsia" w:ascii="宋体" w:hAnsi="宋体" w:cs="宋体"/>
          <w:b/>
          <w:color w:val="auto"/>
          <w:sz w:val="24"/>
          <w:highlight w:val="none"/>
        </w:rPr>
      </w:pPr>
    </w:p>
    <w:p w14:paraId="584906EB">
      <w:pPr>
        <w:adjustRightInd/>
        <w:spacing w:line="360" w:lineRule="auto"/>
        <w:jc w:val="center"/>
        <w:rPr>
          <w:rFonts w:hint="eastAsia" w:ascii="宋体" w:hAnsi="宋体" w:cs="宋体"/>
          <w:b/>
          <w:color w:val="auto"/>
          <w:sz w:val="44"/>
          <w:szCs w:val="44"/>
          <w:highlight w:val="none"/>
        </w:rPr>
      </w:pPr>
    </w:p>
    <w:p w14:paraId="049B4D3A">
      <w:pPr>
        <w:spacing w:line="360" w:lineRule="auto"/>
        <w:jc w:val="center"/>
        <w:rPr>
          <w:rFonts w:hint="eastAsia" w:ascii="宋体" w:hAnsi="宋体" w:cs="宋体"/>
          <w:b/>
          <w:color w:val="auto"/>
          <w:sz w:val="44"/>
          <w:szCs w:val="44"/>
          <w:highlight w:val="none"/>
        </w:rPr>
      </w:pPr>
    </w:p>
    <w:p w14:paraId="54EE541B">
      <w:pPr>
        <w:adjustRightInd/>
        <w:spacing w:line="360" w:lineRule="auto"/>
        <w:jc w:val="center"/>
        <w:rPr>
          <w:rFonts w:hint="eastAsia" w:ascii="宋体" w:hAnsi="宋体" w:cs="宋体"/>
          <w:b/>
          <w:color w:val="auto"/>
          <w:sz w:val="48"/>
          <w:szCs w:val="48"/>
          <w:highlight w:val="none"/>
        </w:rPr>
      </w:pPr>
    </w:p>
    <w:p w14:paraId="561D65D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大关校区学生宿舍改造</w:t>
      </w:r>
      <w:r>
        <w:rPr>
          <w:rFonts w:hint="eastAsia" w:ascii="宋体" w:hAnsi="宋体" w:cs="宋体"/>
          <w:color w:val="auto"/>
          <w:sz w:val="48"/>
          <w:szCs w:val="48"/>
          <w:highlight w:val="none"/>
        </w:rPr>
        <w:t xml:space="preserve"> </w:t>
      </w:r>
    </w:p>
    <w:p w14:paraId="40D83D9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2BEF5C9">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（电子交易）</w:t>
      </w:r>
    </w:p>
    <w:p w14:paraId="32E8018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ZJZT-2025-13461</w:t>
      </w:r>
    </w:p>
    <w:p w14:paraId="098E7168">
      <w:pPr>
        <w:adjustRightInd/>
        <w:spacing w:line="360" w:lineRule="auto"/>
        <w:jc w:val="center"/>
        <w:rPr>
          <w:rFonts w:hint="eastAsia" w:ascii="宋体" w:hAnsi="宋体" w:eastAsia="宋体" w:cs="宋体"/>
          <w:color w:val="auto"/>
          <w:sz w:val="28"/>
          <w:szCs w:val="20"/>
          <w:highlight w:val="none"/>
          <w:lang w:eastAsia="zh-CN"/>
        </w:rPr>
      </w:pPr>
      <w:r>
        <w:rPr>
          <w:rFonts w:hint="eastAsia" w:ascii="宋体" w:hAnsi="宋体" w:cs="宋体"/>
          <w:color w:val="auto"/>
          <w:sz w:val="28"/>
          <w:szCs w:val="20"/>
          <w:highlight w:val="none"/>
          <w:lang w:eastAsia="zh-CN"/>
        </w:rPr>
        <w:t>【</w:t>
      </w:r>
      <w:r>
        <w:rPr>
          <w:rFonts w:hint="eastAsia" w:ascii="宋体" w:hAnsi="宋体" w:cs="宋体"/>
          <w:color w:val="auto"/>
          <w:sz w:val="28"/>
          <w:szCs w:val="20"/>
          <w:highlight w:val="none"/>
          <w:lang w:val="en-US" w:eastAsia="zh-CN"/>
        </w:rPr>
        <w:t>重新招标</w:t>
      </w:r>
      <w:r>
        <w:rPr>
          <w:rFonts w:hint="eastAsia" w:ascii="宋体" w:hAnsi="宋体" w:cs="宋体"/>
          <w:color w:val="auto"/>
          <w:sz w:val="28"/>
          <w:szCs w:val="20"/>
          <w:highlight w:val="none"/>
          <w:lang w:eastAsia="zh-CN"/>
        </w:rPr>
        <w:t>】</w:t>
      </w:r>
    </w:p>
    <w:p w14:paraId="38A15775">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0A4F195">
      <w:pPr>
        <w:spacing w:line="360" w:lineRule="auto"/>
        <w:jc w:val="center"/>
        <w:rPr>
          <w:rFonts w:hint="eastAsia" w:ascii="宋体" w:hAnsi="宋体" w:cs="宋体"/>
          <w:b/>
          <w:color w:val="auto"/>
          <w:sz w:val="44"/>
          <w:szCs w:val="44"/>
          <w:highlight w:val="none"/>
        </w:rPr>
      </w:pPr>
    </w:p>
    <w:p w14:paraId="72D49EF1">
      <w:pPr>
        <w:spacing w:line="360" w:lineRule="auto"/>
        <w:jc w:val="center"/>
        <w:rPr>
          <w:rFonts w:hint="eastAsia" w:ascii="宋体" w:hAnsi="宋体" w:cs="宋体"/>
          <w:color w:val="auto"/>
          <w:sz w:val="24"/>
          <w:highlight w:val="none"/>
        </w:rPr>
      </w:pPr>
    </w:p>
    <w:p w14:paraId="61E27E22">
      <w:pPr>
        <w:spacing w:line="360" w:lineRule="auto"/>
        <w:jc w:val="center"/>
        <w:rPr>
          <w:rFonts w:hint="eastAsia" w:ascii="宋体" w:hAnsi="宋体" w:cs="宋体"/>
          <w:color w:val="auto"/>
          <w:sz w:val="24"/>
          <w:highlight w:val="none"/>
        </w:rPr>
      </w:pPr>
    </w:p>
    <w:p w14:paraId="490DBE7C">
      <w:pPr>
        <w:spacing w:line="360" w:lineRule="auto"/>
        <w:rPr>
          <w:rFonts w:hint="eastAsia" w:ascii="宋体" w:hAnsi="宋体" w:cs="宋体"/>
          <w:color w:val="auto"/>
          <w:sz w:val="32"/>
          <w:szCs w:val="32"/>
          <w:highlight w:val="none"/>
        </w:rPr>
      </w:pPr>
    </w:p>
    <w:p w14:paraId="2F51769C">
      <w:pPr>
        <w:tabs>
          <w:tab w:val="left" w:pos="3780"/>
        </w:tabs>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浙江省杭州第十一中学</w:t>
      </w:r>
      <w:r>
        <w:rPr>
          <w:rFonts w:hint="eastAsia" w:ascii="宋体" w:hAnsi="宋体" w:cs="宋体"/>
          <w:color w:val="auto"/>
          <w:sz w:val="32"/>
          <w:szCs w:val="32"/>
          <w:highlight w:val="none"/>
        </w:rPr>
        <w:t xml:space="preserve">    </w:t>
      </w:r>
    </w:p>
    <w:p w14:paraId="63401729">
      <w:pPr>
        <w:tabs>
          <w:tab w:val="left" w:pos="3780"/>
        </w:tabs>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浙江中通通信有限公司</w:t>
      </w:r>
    </w:p>
    <w:p w14:paraId="2CC56D97">
      <w:pPr>
        <w:tabs>
          <w:tab w:val="left" w:pos="3780"/>
        </w:tabs>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七月</w:t>
      </w:r>
    </w:p>
    <w:p w14:paraId="2D0A10B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62F6A82">
      <w:pPr>
        <w:spacing w:line="360" w:lineRule="auto"/>
        <w:jc w:val="center"/>
        <w:rPr>
          <w:rFonts w:hint="eastAsia" w:ascii="宋体" w:hAnsi="宋体" w:cs="宋体"/>
          <w:color w:val="auto"/>
          <w:sz w:val="24"/>
          <w:highlight w:val="none"/>
        </w:rPr>
      </w:pPr>
    </w:p>
    <w:p w14:paraId="1415E202">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68C260B">
      <w:pPr>
        <w:spacing w:line="360" w:lineRule="auto"/>
        <w:rPr>
          <w:rFonts w:hint="eastAsia" w:ascii="宋体" w:hAnsi="宋体" w:cs="宋体"/>
          <w:color w:val="auto"/>
          <w:sz w:val="32"/>
          <w:szCs w:val="32"/>
          <w:highlight w:val="none"/>
        </w:rPr>
      </w:pPr>
    </w:p>
    <w:p w14:paraId="699C3A20">
      <w:pPr>
        <w:spacing w:line="360" w:lineRule="auto"/>
        <w:rPr>
          <w:rFonts w:hint="eastAsia" w:ascii="宋体" w:hAnsi="宋体" w:cs="宋体"/>
          <w:color w:val="auto"/>
          <w:sz w:val="32"/>
          <w:szCs w:val="32"/>
          <w:highlight w:val="none"/>
        </w:rPr>
      </w:pPr>
    </w:p>
    <w:p w14:paraId="296EDE6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1D57DEA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F058B7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2C3B25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89E6F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131198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3ACF32F">
      <w:pPr>
        <w:spacing w:line="360" w:lineRule="auto"/>
        <w:ind w:firstLine="1280" w:firstLineChars="400"/>
        <w:rPr>
          <w:rFonts w:hint="eastAsia" w:ascii="宋体" w:hAnsi="宋体" w:cs="宋体"/>
          <w:color w:val="auto"/>
          <w:sz w:val="32"/>
          <w:szCs w:val="32"/>
          <w:highlight w:val="none"/>
        </w:rPr>
      </w:pPr>
    </w:p>
    <w:p w14:paraId="2CFA332F">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58A609A">
      <w:pPr>
        <w:spacing w:line="360" w:lineRule="auto"/>
        <w:ind w:firstLine="549" w:firstLineChars="229"/>
        <w:rPr>
          <w:rFonts w:hint="eastAsia" w:ascii="宋体" w:hAnsi="宋体" w:cs="宋体"/>
          <w:color w:val="auto"/>
          <w:sz w:val="24"/>
          <w:highlight w:val="none"/>
        </w:rPr>
      </w:pPr>
    </w:p>
    <w:p w14:paraId="78A8B534">
      <w:pPr>
        <w:spacing w:line="360" w:lineRule="auto"/>
        <w:ind w:firstLine="549" w:firstLineChars="229"/>
        <w:rPr>
          <w:rFonts w:hint="eastAsia" w:ascii="宋体" w:hAnsi="宋体" w:cs="宋体"/>
          <w:color w:val="auto"/>
          <w:sz w:val="24"/>
          <w:highlight w:val="none"/>
        </w:rPr>
      </w:pPr>
    </w:p>
    <w:p w14:paraId="7B3C941B">
      <w:pPr>
        <w:spacing w:line="360" w:lineRule="auto"/>
        <w:ind w:firstLine="549" w:firstLineChars="229"/>
        <w:rPr>
          <w:rFonts w:hint="eastAsia" w:ascii="宋体" w:hAnsi="宋体" w:cs="宋体"/>
          <w:color w:val="auto"/>
          <w:sz w:val="24"/>
          <w:highlight w:val="none"/>
        </w:rPr>
      </w:pPr>
    </w:p>
    <w:p w14:paraId="5E0AD8B3">
      <w:pPr>
        <w:spacing w:line="360" w:lineRule="auto"/>
        <w:ind w:firstLine="549" w:firstLineChars="229"/>
        <w:rPr>
          <w:rFonts w:hint="eastAsia" w:ascii="宋体" w:hAnsi="宋体" w:cs="宋体"/>
          <w:color w:val="auto"/>
          <w:sz w:val="24"/>
          <w:highlight w:val="none"/>
        </w:rPr>
      </w:pPr>
    </w:p>
    <w:p w14:paraId="612845D5">
      <w:pPr>
        <w:spacing w:line="360" w:lineRule="auto"/>
        <w:ind w:firstLine="549" w:firstLineChars="229"/>
        <w:rPr>
          <w:rFonts w:hint="eastAsia" w:ascii="宋体" w:hAnsi="宋体" w:cs="宋体"/>
          <w:color w:val="auto"/>
          <w:sz w:val="24"/>
          <w:highlight w:val="none"/>
        </w:rPr>
      </w:pPr>
    </w:p>
    <w:p w14:paraId="610BF16A">
      <w:pPr>
        <w:spacing w:line="360" w:lineRule="auto"/>
        <w:ind w:firstLine="549" w:firstLineChars="229"/>
        <w:rPr>
          <w:rFonts w:hint="eastAsia" w:ascii="宋体" w:hAnsi="宋体" w:cs="宋体"/>
          <w:color w:val="auto"/>
          <w:sz w:val="24"/>
          <w:highlight w:val="none"/>
        </w:rPr>
      </w:pPr>
    </w:p>
    <w:p w14:paraId="22396513">
      <w:pPr>
        <w:spacing w:line="360" w:lineRule="auto"/>
        <w:ind w:firstLine="549" w:firstLineChars="229"/>
        <w:rPr>
          <w:rFonts w:hint="eastAsia" w:ascii="宋体" w:hAnsi="宋体" w:cs="宋体"/>
          <w:color w:val="auto"/>
          <w:sz w:val="24"/>
          <w:highlight w:val="none"/>
        </w:rPr>
      </w:pPr>
    </w:p>
    <w:p w14:paraId="0EE73D28">
      <w:pPr>
        <w:spacing w:line="360" w:lineRule="auto"/>
        <w:ind w:firstLine="549" w:firstLineChars="229"/>
        <w:rPr>
          <w:rFonts w:hint="eastAsia" w:ascii="宋体" w:hAnsi="宋体" w:cs="宋体"/>
          <w:color w:val="auto"/>
          <w:sz w:val="24"/>
          <w:highlight w:val="none"/>
        </w:rPr>
      </w:pPr>
    </w:p>
    <w:p w14:paraId="5821E44C">
      <w:pPr>
        <w:spacing w:line="360" w:lineRule="auto"/>
        <w:ind w:firstLine="549" w:firstLineChars="229"/>
        <w:rPr>
          <w:rFonts w:hint="eastAsia" w:ascii="宋体" w:hAnsi="宋体" w:cs="宋体"/>
          <w:color w:val="auto"/>
          <w:sz w:val="24"/>
          <w:highlight w:val="none"/>
        </w:rPr>
      </w:pPr>
    </w:p>
    <w:p w14:paraId="27401D5D">
      <w:pPr>
        <w:spacing w:line="360" w:lineRule="auto"/>
        <w:ind w:firstLine="549" w:firstLineChars="229"/>
        <w:rPr>
          <w:rFonts w:hint="eastAsia" w:ascii="宋体" w:hAnsi="宋体" w:cs="宋体"/>
          <w:color w:val="auto"/>
          <w:sz w:val="24"/>
          <w:highlight w:val="none"/>
        </w:rPr>
      </w:pPr>
    </w:p>
    <w:p w14:paraId="61B345E2">
      <w:pPr>
        <w:spacing w:line="360" w:lineRule="auto"/>
        <w:ind w:firstLine="549" w:firstLineChars="229"/>
        <w:rPr>
          <w:rFonts w:hint="eastAsia" w:ascii="宋体" w:hAnsi="宋体" w:cs="宋体"/>
          <w:color w:val="auto"/>
          <w:sz w:val="24"/>
          <w:highlight w:val="none"/>
        </w:rPr>
      </w:pPr>
    </w:p>
    <w:p w14:paraId="358CEBC8">
      <w:pPr>
        <w:spacing w:line="360" w:lineRule="auto"/>
        <w:ind w:firstLine="549" w:firstLineChars="229"/>
        <w:rPr>
          <w:rFonts w:hint="eastAsia" w:ascii="宋体" w:hAnsi="宋体" w:cs="宋体"/>
          <w:color w:val="auto"/>
          <w:sz w:val="24"/>
          <w:highlight w:val="none"/>
        </w:rPr>
      </w:pPr>
    </w:p>
    <w:p w14:paraId="7A3E3B15">
      <w:pPr>
        <w:spacing w:line="360" w:lineRule="auto"/>
        <w:rPr>
          <w:rFonts w:hint="eastAsia" w:ascii="宋体" w:hAnsi="宋体" w:cs="宋体"/>
          <w:color w:val="auto"/>
          <w:sz w:val="24"/>
          <w:highlight w:val="none"/>
        </w:rPr>
      </w:pPr>
    </w:p>
    <w:p w14:paraId="406D9641">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72A1EB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35EA44C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大关校区学生宿舍改造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采购项目的潜在供应商应在政采云平台（</w:t>
      </w:r>
      <w:r>
        <w:rPr>
          <w:rFonts w:hint="eastAsia"/>
          <w:color w:val="auto"/>
          <w:highlight w:val="none"/>
        </w:rPr>
        <w:fldChar w:fldCharType="begin"/>
      </w:r>
      <w:r>
        <w:rPr>
          <w:color w:val="auto"/>
          <w:highlight w:val="none"/>
        </w:rPr>
        <w:instrText xml:space="preserve"> HYPERLINK "https://www.zcygov.cn/）获取（下载）招标文件，并于2021年" </w:instrText>
      </w:r>
      <w:r>
        <w:rPr>
          <w:rFonts w:hint="eastAsia"/>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775D536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552002">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ZJZT-2025-13461</w:t>
      </w:r>
    </w:p>
    <w:p w14:paraId="26B9D029">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w:t>
      </w:r>
    </w:p>
    <w:p w14:paraId="417369CB">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1290000</w:t>
      </w:r>
      <w:r>
        <w:rPr>
          <w:rFonts w:hint="eastAsia" w:ascii="宋体" w:hAnsi="宋体" w:cs="宋体"/>
          <w:color w:val="auto"/>
          <w:sz w:val="24"/>
          <w:highlight w:val="none"/>
        </w:rPr>
        <w:t xml:space="preserve">  </w:t>
      </w:r>
    </w:p>
    <w:p w14:paraId="03AE73BB">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1289554</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569A7E63">
      <w:pPr>
        <w:pStyle w:val="4"/>
        <w:spacing w:line="360" w:lineRule="auto"/>
        <w:ind w:firstLine="482" w:firstLineChars="20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大关校区学生宿舍改造</w:t>
      </w:r>
      <w:r>
        <w:rPr>
          <w:rFonts w:hint="eastAsia" w:hAnsi="宋体" w:cs="宋体"/>
          <w:bCs/>
          <w:snapToGrid/>
          <w:color w:val="auto"/>
          <w:kern w:val="2"/>
          <w:sz w:val="24"/>
          <w:szCs w:val="24"/>
          <w:highlight w:val="none"/>
        </w:rPr>
        <w:t>，主要内容：原部分墙体拆除、门拆除、原门洞封堵等</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新增墙体、门窗</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房间装饰装修及其他改造</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配套给排水、电气改造等；详见采购文件第三部分采购需求。</w:t>
      </w:r>
    </w:p>
    <w:p w14:paraId="7FEF714E">
      <w:pPr>
        <w:pStyle w:val="132"/>
        <w:snapToGrid w:val="0"/>
        <w:spacing w:before="0"/>
        <w:ind w:firstLine="482"/>
        <w:outlineLvl w:val="2"/>
        <w:rPr>
          <w:rFonts w:hint="eastAsia" w:ascii="宋体" w:hAnsi="宋体" w:cs="宋体"/>
          <w:color w:val="auto"/>
          <w:highlight w:val="none"/>
        </w:rPr>
      </w:pPr>
      <w:r>
        <w:rPr>
          <w:rFonts w:hint="eastAsia" w:ascii="宋体" w:hAnsi="宋体" w:cs="宋体"/>
          <w:b/>
          <w:color w:val="auto"/>
          <w:highlight w:val="none"/>
        </w:rPr>
        <w:t>合同履约期限：工期：</w:t>
      </w:r>
      <w:r>
        <w:rPr>
          <w:rFonts w:hint="eastAsia" w:ascii="宋体" w:hAnsi="宋体" w:cs="宋体"/>
          <w:b/>
          <w:color w:val="auto"/>
          <w:highlight w:val="none"/>
          <w:lang w:val="en-US" w:eastAsia="zh-CN"/>
        </w:rPr>
        <w:t>35</w:t>
      </w:r>
      <w:r>
        <w:rPr>
          <w:rFonts w:hint="eastAsia" w:ascii="宋体" w:hAnsi="宋体" w:cs="宋体"/>
          <w:b/>
          <w:color w:val="auto"/>
          <w:highlight w:val="none"/>
          <w:lang w:eastAsia="zh-CN"/>
        </w:rPr>
        <w:t>日历天</w:t>
      </w:r>
      <w:r>
        <w:rPr>
          <w:rFonts w:hint="eastAsia" w:ascii="宋体" w:hAnsi="宋体" w:cs="宋体"/>
          <w:b/>
          <w:color w:val="auto"/>
          <w:highlight w:val="none"/>
        </w:rPr>
        <w:t>。</w:t>
      </w:r>
    </w:p>
    <w:p w14:paraId="1FDAB945">
      <w:pPr>
        <w:pStyle w:val="4"/>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本项目接受联合体：</w:t>
      </w:r>
    </w:p>
    <w:p w14:paraId="25025054">
      <w:pPr>
        <w:pStyle w:val="4"/>
        <w:spacing w:line="360" w:lineRule="auto"/>
        <w:ind w:firstLine="480" w:firstLineChars="200"/>
        <w:rPr>
          <w:rFonts w:hint="eastAsia"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64D06C32">
      <w:pPr>
        <w:pStyle w:val="4"/>
        <w:spacing w:line="360" w:lineRule="auto"/>
        <w:ind w:firstLine="480" w:firstLineChars="200"/>
        <w:rPr>
          <w:rFonts w:hint="eastAsia"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2AD3B785">
      <w:pPr>
        <w:pStyle w:val="132"/>
        <w:snapToGrid w:val="0"/>
        <w:spacing w:before="0"/>
        <w:ind w:firstLine="482"/>
        <w:outlineLvl w:val="2"/>
        <w:rPr>
          <w:rFonts w:hint="eastAsia"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17343EB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A578ED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C0F67BC">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160B4F6C">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F2979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57AE158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C7DCE0A">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工程全部由符合政策要求的中小企业承建，提供中小企业声明函；</w:t>
      </w:r>
    </w:p>
    <w:p w14:paraId="11562D3A">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工程全部由符合政策要求的小微企业承建，提供中小企业声明函；</w:t>
      </w:r>
    </w:p>
    <w:p w14:paraId="3211CA83">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F92BF2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6BBC4AE1">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1918290">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p w14:paraId="364AACA6">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有特定资格要求：</w:t>
      </w:r>
    </w:p>
    <w:p w14:paraId="69CE2A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（1）具有有效的专业承包企业建筑装修装饰工程二级及以上资质；</w:t>
      </w:r>
    </w:p>
    <w:p w14:paraId="25312F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（2）拟派项目负责人应具有有效的建筑工程专业二级及以上建造师资格；</w:t>
      </w:r>
    </w:p>
    <w:p w14:paraId="6B08C8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有效的建筑施工企业安全生产许可证，其主要负责人（法定代表人、企业经理、企业分管安全生产的副经理、企业技术负责人）具有“三类人员”A类证书，企业分管安全生产的副经理具有任命文件；拟派项目经理具有有效的B类证书；拟派现场安全管理人员具有有效的C类证书；</w:t>
      </w:r>
    </w:p>
    <w:p w14:paraId="4B01C1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响应文件提交（上传）截止时间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提供拟派项目负责人无在建工程承诺书。</w:t>
      </w:r>
    </w:p>
    <w:p w14:paraId="1D6FF39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E00D3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066F2E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880991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87E3B7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DBCD10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FAAB57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四、响应文件提交（上传）</w:t>
      </w:r>
    </w:p>
    <w:p w14:paraId="030015C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550703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9ED2680">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五、响应文件开启 </w:t>
      </w:r>
    </w:p>
    <w:p w14:paraId="49EAE26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0分</w:t>
      </w:r>
      <w:r>
        <w:rPr>
          <w:rFonts w:hint="eastAsia" w:ascii="宋体" w:hAnsi="宋体" w:cs="宋体"/>
          <w:bCs/>
          <w:color w:val="auto"/>
          <w:sz w:val="24"/>
          <w:highlight w:val="none"/>
          <w:u w:val="single"/>
        </w:rPr>
        <w:t xml:space="preserve"> </w:t>
      </w:r>
    </w:p>
    <w:p w14:paraId="52FC647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37A6AA9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六、公告期限 </w:t>
      </w:r>
    </w:p>
    <w:p w14:paraId="0FEAD3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自本公告发布之日起3个工作日。</w:t>
      </w:r>
    </w:p>
    <w:p w14:paraId="3ED1BF2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0F9E5B7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49287F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B45C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407E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8453DB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35CC3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08C816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 xml:space="preserve"> </w:t>
      </w:r>
    </w:p>
    <w:p w14:paraId="7F2270D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Theme="majorEastAsia" w:hAnsiTheme="majorEastAsia" w:eastAsiaTheme="majorEastAsia"/>
          <w:color w:val="auto"/>
          <w:sz w:val="24"/>
          <w:highlight w:val="none"/>
          <w:lang w:eastAsia="zh-CN"/>
        </w:rPr>
        <w:t>杭州市拱墅区八丈井东路150号</w:t>
      </w:r>
      <w:r>
        <w:rPr>
          <w:rFonts w:hint="eastAsia" w:ascii="宋体" w:hAnsi="宋体" w:cs="宋体"/>
          <w:color w:val="auto"/>
          <w:sz w:val="24"/>
          <w:highlight w:val="none"/>
        </w:rPr>
        <w:t xml:space="preserve">       </w:t>
      </w:r>
    </w:p>
    <w:p w14:paraId="675067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129DF4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Theme="majorEastAsia" w:hAnsiTheme="majorEastAsia" w:eastAsiaTheme="majorEastAsia"/>
          <w:color w:val="auto"/>
          <w:sz w:val="24"/>
          <w:highlight w:val="none"/>
          <w:lang w:eastAsia="zh-CN"/>
        </w:rPr>
        <w:t>翁老师</w:t>
      </w:r>
      <w:r>
        <w:rPr>
          <w:rFonts w:hint="eastAsia" w:ascii="宋体" w:hAnsi="宋体" w:cs="宋体"/>
          <w:color w:val="auto"/>
          <w:sz w:val="24"/>
          <w:highlight w:val="none"/>
        </w:rPr>
        <w:t xml:space="preserve"> </w:t>
      </w:r>
    </w:p>
    <w:p w14:paraId="50C936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0571-88038395</w:t>
      </w:r>
      <w:r>
        <w:rPr>
          <w:rFonts w:hint="eastAsia" w:ascii="宋体" w:hAnsi="宋体" w:cs="宋体"/>
          <w:color w:val="auto"/>
          <w:sz w:val="24"/>
          <w:highlight w:val="none"/>
        </w:rPr>
        <w:t xml:space="preserve"> </w:t>
      </w:r>
    </w:p>
    <w:p w14:paraId="523725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Theme="majorEastAsia" w:hAnsiTheme="majorEastAsia" w:eastAsiaTheme="majorEastAsia"/>
          <w:color w:val="auto"/>
          <w:sz w:val="24"/>
          <w:highlight w:val="none"/>
        </w:rPr>
        <w:t>李老师</w:t>
      </w:r>
      <w:r>
        <w:rPr>
          <w:rFonts w:hint="eastAsia" w:ascii="宋体" w:hAnsi="宋体" w:cs="宋体"/>
          <w:color w:val="auto"/>
          <w:sz w:val="24"/>
          <w:highlight w:val="none"/>
        </w:rPr>
        <w:t xml:space="preserve"> </w:t>
      </w:r>
    </w:p>
    <w:p w14:paraId="289C69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质疑联系方式： </w:t>
      </w:r>
      <w:r>
        <w:rPr>
          <w:rFonts w:hint="eastAsia" w:asciiTheme="majorEastAsia" w:hAnsiTheme="majorEastAsia" w:eastAsiaTheme="majorEastAsia"/>
          <w:color w:val="auto"/>
          <w:sz w:val="24"/>
          <w:highlight w:val="none"/>
          <w:lang w:eastAsia="zh-CN"/>
        </w:rPr>
        <w:t>0571-87881268</w:t>
      </w:r>
      <w:r>
        <w:rPr>
          <w:rFonts w:hint="eastAsia" w:ascii="宋体" w:hAnsi="宋体" w:cs="宋体"/>
          <w:color w:val="auto"/>
          <w:sz w:val="24"/>
          <w:highlight w:val="none"/>
        </w:rPr>
        <w:t xml:space="preserve"> </w:t>
      </w:r>
    </w:p>
    <w:p w14:paraId="13838E6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38F9AE1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称：浙江中通通信有限公司</w:t>
      </w:r>
    </w:p>
    <w:p w14:paraId="5D97E7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址：杭州市拱墅区河东路215号</w:t>
      </w:r>
    </w:p>
    <w:p w14:paraId="2794D5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3BD1E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项目联系人（询问）：干祥平          </w:t>
      </w:r>
    </w:p>
    <w:p w14:paraId="593593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项目联系方式（询问）：15068155620</w:t>
      </w:r>
    </w:p>
    <w:p w14:paraId="776E9F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质疑联系人：杨女士             </w:t>
      </w:r>
    </w:p>
    <w:p w14:paraId="69DD40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质疑联系方式：13386521846</w:t>
      </w:r>
    </w:p>
    <w:p w14:paraId="6803A0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E1EBE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C7A4B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6AB168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3314B8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CF7E2F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监督投诉电话：0571-87227671,0571-87800218政策咨询电话：X先生，0571-8958XXXX 政府采购监管部门工作人员     </w:t>
      </w:r>
    </w:p>
    <w:p w14:paraId="0CCBFC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08AFCAC1">
      <w:pPr>
        <w:snapToGrid w:val="0"/>
        <w:spacing w:line="360" w:lineRule="auto"/>
        <w:ind w:firstLine="480" w:firstLineChars="200"/>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5B02113F">
      <w:pPr>
        <w:pStyle w:val="35"/>
        <w:spacing w:line="360" w:lineRule="auto"/>
        <w:jc w:val="center"/>
        <w:outlineLvl w:val="0"/>
        <w:rPr>
          <w:rFonts w:hint="eastAsia"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795C947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7B1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B9BA9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337B61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B50EFE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240F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92CA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427213B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2D6C0530">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83D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0C5B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4515C6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6F680AB8">
            <w:pPr>
              <w:pStyle w:val="3"/>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大关校区学生宿舍改造</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05701761">
            <w:pPr>
              <w:pStyle w:val="3"/>
              <w:ind w:left="0" w:firstLine="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26A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2322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37EDFE6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469B93">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FCB3988">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2E2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587E2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06EC35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2ED4C8D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42A2F3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61E0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27E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3F3AA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6CBA17B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3A2DD6A0">
            <w:pPr>
              <w:pStyle w:val="82"/>
              <w:spacing w:line="360" w:lineRule="auto"/>
              <w:ind w:firstLine="0" w:firstLineChars="0"/>
              <w:rPr>
                <w:rFonts w:hint="eastAsia" w:ascii="宋体" w:hAnsi="宋体" w:cs="宋体"/>
                <w:color w:val="auto"/>
                <w:sz w:val="24"/>
                <w:highlight w:val="none"/>
              </w:rPr>
            </w:pPr>
            <w:sdt>
              <w:sdtPr>
                <w:rPr>
                  <w:rFonts w:hint="eastAsia" w:ascii="宋体" w:hAnsi="宋体" w:cs="宋体"/>
                  <w:color w:val="auto"/>
                  <w:sz w:val="24"/>
                  <w:highlight w:val="none"/>
                </w:rPr>
                <w:id w:val="688692135"/>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A不组织。</w:t>
            </w:r>
          </w:p>
          <w:p w14:paraId="0B8F82AF">
            <w:pPr>
              <w:pStyle w:val="82"/>
              <w:spacing w:line="360" w:lineRule="auto"/>
              <w:ind w:firstLine="0" w:firstLineChars="0"/>
              <w:rPr>
                <w:rFonts w:hint="eastAsia" w:ascii="宋体" w:hAnsi="宋体" w:cs="宋体"/>
                <w:color w:val="auto"/>
                <w:sz w:val="24"/>
                <w:szCs w:val="20"/>
                <w:highlight w:val="none"/>
              </w:rPr>
            </w:pPr>
            <w:sdt>
              <w:sdtPr>
                <w:rPr>
                  <w:rFonts w:hint="eastAsia" w:ascii="宋体" w:hAnsi="宋体" w:cs="宋体"/>
                  <w:color w:val="auto"/>
                  <w:sz w:val="24"/>
                  <w:highlight w:val="none"/>
                </w:rPr>
                <w:id w:val="374731186"/>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B951CCA">
            <w:pPr>
              <w:pStyle w:val="82"/>
              <w:ind w:firstLine="0" w:firstLineChars="0"/>
              <w:rPr>
                <w:rFonts w:hint="eastAsia"/>
                <w:color w:val="auto"/>
                <w:highlight w:val="none"/>
              </w:rPr>
            </w:pPr>
            <w:r>
              <w:rPr>
                <w:rFonts w:hint="eastAsia" w:ascii="宋体" w:hAnsi="宋体" w:cs="宋体"/>
                <w:color w:val="auto"/>
                <w:sz w:val="24"/>
                <w:highlight w:val="none"/>
              </w:rPr>
              <w:t>☐C不统一组织，供应商在获取采购文件后，自行至项目现场考察。地点： ，联系人： ，联系方式： 。</w:t>
            </w:r>
          </w:p>
        </w:tc>
      </w:tr>
      <w:tr w14:paraId="6564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BC924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6E793B1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BDC29D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83DB9C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430DDD1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8941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8678D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2FD7CB2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49A0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41A47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F42EC02">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2F6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649D4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9799515">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08592771">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F4AC13D">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1E41AE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36E9C0C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09655F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626D726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BCA825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9A0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CF4EB1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2AEBB77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FEAD9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5FABB733">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A2A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AE6290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1AC106F4">
            <w:pPr>
              <w:snapToGrid w:val="0"/>
              <w:spacing w:line="360" w:lineRule="auto"/>
              <w:jc w:val="center"/>
              <w:rPr>
                <w:rFonts w:hint="eastAsia" w:ascii="宋体" w:hAnsi="宋体" w:cs="宋体"/>
                <w:b/>
                <w:color w:val="auto"/>
                <w:sz w:val="24"/>
                <w:highlight w:val="none"/>
              </w:rPr>
            </w:pPr>
          </w:p>
        </w:tc>
        <w:tc>
          <w:tcPr>
            <w:tcW w:w="6927" w:type="dxa"/>
            <w:vAlign w:val="center"/>
          </w:tcPr>
          <w:p w14:paraId="7A3479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499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25A9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72E9FA3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15307FE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A665E8">
            <w:pPr>
              <w:pStyle w:val="82"/>
              <w:ind w:firstLine="480"/>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4745491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 xml:space="preserve">强制采购节能产品。产品：    </w:t>
            </w:r>
          </w:p>
          <w:p w14:paraId="0AA02B3C">
            <w:pPr>
              <w:pStyle w:val="8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3DA747E2">
            <w:pPr>
              <w:pStyle w:val="8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557D7916">
            <w:pPr>
              <w:pStyle w:val="82"/>
              <w:ind w:firstLine="480"/>
              <w:rPr>
                <w:rFonts w:hint="eastAsia"/>
                <w:color w:val="auto"/>
                <w:highlight w:val="none"/>
              </w:rPr>
            </w:pPr>
            <w:r>
              <w:rPr>
                <w:rFonts w:hint="eastAsia" w:ascii="宋体" w:hAnsi="宋体" w:eastAsia="宋体" w:cs="宋体"/>
                <w:color w:val="auto"/>
                <w:sz w:val="24"/>
                <w:szCs w:val="24"/>
                <w:highlight w:val="none"/>
              </w:rPr>
              <w:t>□无</w:t>
            </w:r>
          </w:p>
        </w:tc>
      </w:tr>
      <w:tr w14:paraId="5D4F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AE748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FB9AA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30D66354">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2BAD603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551CC04">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E0C96B6">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63FE951D">
            <w:pPr>
              <w:pStyle w:val="3"/>
              <w:rPr>
                <w:rFonts w:hint="eastAsia"/>
                <w:color w:val="auto"/>
                <w:highlight w:val="none"/>
              </w:rPr>
            </w:pPr>
          </w:p>
          <w:p w14:paraId="38AB60F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B2A424">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3ED8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57BD912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1E7745D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60BFF2F2">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706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CDE7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7631AD3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6ACE9C99">
            <w:pPr>
              <w:pStyle w:val="35"/>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杭州市拱墅区河东路215号D楼一楼</w:t>
            </w:r>
            <w:r>
              <w:rPr>
                <w:rFonts w:hint="eastAsia" w:hAnsi="宋体" w:cs="宋体"/>
                <w:color w:val="auto"/>
                <w:kern w:val="28"/>
                <w:sz w:val="24"/>
                <w:szCs w:val="24"/>
                <w:highlight w:val="none"/>
              </w:rPr>
              <w:t>；</w:t>
            </w:r>
          </w:p>
          <w:p w14:paraId="135A96F1">
            <w:pPr>
              <w:pStyle w:val="35"/>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蒋亦文13968192050   </w:t>
            </w:r>
            <w:r>
              <w:rPr>
                <w:rFonts w:hint="eastAsia" w:hAnsi="宋体" w:cs="宋体"/>
                <w:color w:val="auto"/>
                <w:sz w:val="24"/>
                <w:szCs w:val="24"/>
                <w:highlight w:val="none"/>
              </w:rPr>
              <w:t>。</w:t>
            </w:r>
          </w:p>
          <w:p w14:paraId="155D4AAF">
            <w:pPr>
              <w:pStyle w:val="35"/>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415E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4C6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5E3812F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83CD90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1D5A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214E6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06EDA472">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成交候选人数量</w:t>
            </w:r>
          </w:p>
        </w:tc>
        <w:tc>
          <w:tcPr>
            <w:tcW w:w="6927" w:type="dxa"/>
            <w:vAlign w:val="center"/>
          </w:tcPr>
          <w:p w14:paraId="65CA4F8D">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rPr>
              <w:t>本项目推荐的成交候选人数量：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 xml:space="preserve">家    </w:t>
            </w:r>
            <w:r>
              <w:rPr>
                <w:rFonts w:hint="eastAsia" w:ascii="宋体" w:hAnsi="宋体" w:cs="宋体"/>
                <w:color w:val="auto"/>
                <w:kern w:val="0"/>
                <w:sz w:val="24"/>
                <w:highlight w:val="none"/>
                <w:lang w:val="en"/>
              </w:rPr>
              <w:t>。</w:t>
            </w:r>
          </w:p>
        </w:tc>
      </w:tr>
      <w:tr w14:paraId="65C8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7" w:hRule="atLeast"/>
        </w:trPr>
        <w:tc>
          <w:tcPr>
            <w:tcW w:w="714" w:type="dxa"/>
          </w:tcPr>
          <w:p w14:paraId="48CC1646">
            <w:pPr>
              <w:snapToGrid w:val="0"/>
              <w:spacing w:line="360" w:lineRule="auto"/>
              <w:jc w:val="center"/>
              <w:rPr>
                <w:rFonts w:hint="eastAsia" w:ascii="宋体" w:hAnsi="宋体" w:eastAsia="宋体" w:cs="宋体"/>
                <w:color w:val="auto"/>
                <w:sz w:val="24"/>
                <w:highlight w:val="none"/>
              </w:rPr>
            </w:pPr>
          </w:p>
          <w:p w14:paraId="15E0DD88">
            <w:pPr>
              <w:snapToGrid w:val="0"/>
              <w:spacing w:line="360" w:lineRule="auto"/>
              <w:jc w:val="center"/>
              <w:rPr>
                <w:rFonts w:hint="eastAsia" w:ascii="宋体" w:hAnsi="宋体" w:eastAsia="宋体" w:cs="宋体"/>
                <w:color w:val="auto"/>
                <w:sz w:val="24"/>
                <w:highlight w:val="none"/>
              </w:rPr>
            </w:pPr>
          </w:p>
          <w:p w14:paraId="3745AD5C">
            <w:pPr>
              <w:snapToGrid w:val="0"/>
              <w:spacing w:line="360" w:lineRule="auto"/>
              <w:jc w:val="center"/>
              <w:rPr>
                <w:rFonts w:hint="eastAsia" w:ascii="宋体" w:hAnsi="宋体" w:eastAsia="宋体" w:cs="宋体"/>
                <w:color w:val="auto"/>
                <w:sz w:val="24"/>
                <w:highlight w:val="none"/>
              </w:rPr>
            </w:pPr>
          </w:p>
          <w:p w14:paraId="61587DBD">
            <w:pPr>
              <w:snapToGrid w:val="0"/>
              <w:spacing w:line="360" w:lineRule="auto"/>
              <w:jc w:val="center"/>
              <w:rPr>
                <w:rFonts w:hint="eastAsia" w:ascii="宋体" w:hAnsi="宋体" w:eastAsia="宋体" w:cs="宋体"/>
                <w:color w:val="auto"/>
                <w:sz w:val="24"/>
                <w:highlight w:val="none"/>
              </w:rPr>
            </w:pPr>
          </w:p>
          <w:p w14:paraId="0555965B">
            <w:pPr>
              <w:snapToGrid w:val="0"/>
              <w:spacing w:line="360" w:lineRule="auto"/>
              <w:jc w:val="center"/>
              <w:rPr>
                <w:rFonts w:hint="eastAsia" w:ascii="宋体" w:hAnsi="宋体" w:eastAsia="宋体" w:cs="宋体"/>
                <w:color w:val="auto"/>
                <w:sz w:val="24"/>
                <w:highlight w:val="none"/>
              </w:rPr>
            </w:pPr>
          </w:p>
          <w:p w14:paraId="535E76A5">
            <w:pPr>
              <w:snapToGrid w:val="0"/>
              <w:spacing w:line="360" w:lineRule="auto"/>
              <w:jc w:val="center"/>
              <w:rPr>
                <w:rFonts w:hint="eastAsia" w:ascii="宋体" w:hAnsi="宋体" w:eastAsia="宋体" w:cs="宋体"/>
                <w:color w:val="auto"/>
                <w:sz w:val="24"/>
                <w:highlight w:val="none"/>
              </w:rPr>
            </w:pPr>
          </w:p>
          <w:p w14:paraId="3D722F5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093" w:type="dxa"/>
            <w:vAlign w:val="center"/>
          </w:tcPr>
          <w:p w14:paraId="608F67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
              </w:rPr>
              <w:t>代理费用收取方式及标准</w:t>
            </w:r>
          </w:p>
        </w:tc>
        <w:tc>
          <w:tcPr>
            <w:tcW w:w="6927" w:type="dxa"/>
            <w:vAlign w:val="center"/>
          </w:tcPr>
          <w:p w14:paraId="784D2297">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本项目采购代理服务费和造价咨询费由成交供应商支付给采购代理机构。各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en"/>
              </w:rPr>
              <w:t>供应商在报价时应计入此费用。</w:t>
            </w:r>
          </w:p>
          <w:p w14:paraId="47CE22F5">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1、采购代理服务费以中标金额为基数按【2002】1980号文《招标代理服务收费管理办法》规定收费标准80%计取，计入报价中；</w:t>
            </w:r>
          </w:p>
          <w:p w14:paraId="24F7832B">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2.造价咨询费以中标金额为基数</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lang w:val="en"/>
              </w:rPr>
              <w:t>（浙建价协〔2021〕13号）文件规定的收费标准的80%计取，若实际结算价低于2000元的，按2000元计取，计入报价中；</w:t>
            </w:r>
          </w:p>
          <w:p w14:paraId="3653663D">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以上两项费用由成交人在收到成交通知书</w:t>
            </w:r>
            <w:r>
              <w:rPr>
                <w:rFonts w:hint="eastAsia" w:ascii="宋体" w:hAnsi="宋体" w:cs="宋体"/>
                <w:color w:val="auto"/>
                <w:kern w:val="0"/>
                <w:sz w:val="24"/>
                <w:highlight w:val="none"/>
                <w:lang w:val="en-US" w:eastAsia="zh-CN"/>
              </w:rPr>
              <w:t>后7个工作日内</w:t>
            </w:r>
            <w:r>
              <w:rPr>
                <w:rFonts w:hint="eastAsia" w:ascii="宋体" w:hAnsi="宋体" w:cs="宋体"/>
                <w:color w:val="auto"/>
                <w:kern w:val="0"/>
                <w:sz w:val="24"/>
                <w:highlight w:val="none"/>
                <w:lang w:val="en"/>
              </w:rPr>
              <w:t>支付给采购代理机构。</w:t>
            </w:r>
          </w:p>
          <w:p w14:paraId="1EF20DD4">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汇入以下账户：</w:t>
            </w:r>
          </w:p>
          <w:p w14:paraId="705A12A7">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户名：浙江中通通信有限公司</w:t>
            </w:r>
          </w:p>
          <w:p w14:paraId="08AEEB0B">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开户：中信银行杭州天水支行</w:t>
            </w:r>
          </w:p>
          <w:p w14:paraId="62689EE2">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rPr>
              <w:t>账号：</w:t>
            </w:r>
            <w:bookmarkStart w:id="1034" w:name="_GoBack"/>
            <w:bookmarkEnd w:id="1034"/>
            <w:r>
              <w:rPr>
                <w:rFonts w:hint="eastAsia" w:ascii="宋体" w:hAnsi="宋体" w:cs="宋体"/>
                <w:color w:val="auto"/>
                <w:kern w:val="0"/>
                <w:sz w:val="24"/>
                <w:highlight w:val="none"/>
                <w:lang w:val="en" w:eastAsia="zh-CN"/>
              </w:rPr>
              <w:t>3110830019310022863</w:t>
            </w:r>
          </w:p>
        </w:tc>
      </w:tr>
    </w:tbl>
    <w:p w14:paraId="6615BF04">
      <w:pPr>
        <w:snapToGrid w:val="0"/>
        <w:spacing w:line="360" w:lineRule="auto"/>
        <w:jc w:val="center"/>
        <w:rPr>
          <w:rFonts w:hint="eastAsia" w:ascii="宋体" w:hAnsi="宋体" w:cs="宋体"/>
          <w:b/>
          <w:color w:val="auto"/>
          <w:sz w:val="32"/>
          <w:szCs w:val="20"/>
          <w:highlight w:val="none"/>
        </w:rPr>
      </w:pPr>
    </w:p>
    <w:bookmarkEnd w:id="10"/>
    <w:p w14:paraId="6B4DEBCB">
      <w:pPr>
        <w:widowControl/>
        <w:adjustRightInd/>
        <w:jc w:val="left"/>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275BC7CE">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070CE37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47ECD2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5F904BB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2.定义</w:t>
      </w:r>
    </w:p>
    <w:p w14:paraId="3DB5BE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006529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43ED06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71B31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94F77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896F6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27A8E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72B87DD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AC173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A6C9B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3881EA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80CA2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7B339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BB5C15">
      <w:pPr>
        <w:tabs>
          <w:tab w:val="left" w:pos="0"/>
        </w:tabs>
        <w:ind w:firstLine="480" w:firstLineChars="200"/>
        <w:rPr>
          <w:color w:val="auto"/>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C8699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287CF7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302E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6813FE0">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77C4B71">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6670A7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08431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A0323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6929F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1E7B16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1695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48192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9E82692">
      <w:pPr>
        <w:tabs>
          <w:tab w:val="left" w:pos="432"/>
        </w:tabs>
        <w:ind w:firstLine="480" w:firstLineChars="200"/>
        <w:rPr>
          <w:color w:val="auto"/>
          <w:highlight w:val="none"/>
        </w:rPr>
      </w:pPr>
      <w:r>
        <w:rPr>
          <w:rFonts w:hint="eastAsia" w:ascii="宋体" w:hAnsi="宋体" w:cs="仿宋"/>
          <w:color w:val="auto"/>
          <w:sz w:val="24"/>
          <w:highlight w:val="none"/>
        </w:rPr>
        <w:t>3.4.2 采购人应当贯彻落实知识产权保护相关法律法规，应当采购使用正版软件。</w:t>
      </w:r>
    </w:p>
    <w:p w14:paraId="1A1C7FD0">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260210F">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4CE115C3">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4.1在线询问、质疑、投诉</w:t>
      </w:r>
    </w:p>
    <w:p w14:paraId="720CC77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CC9BD">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FE449C6">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EF2359">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82BCEE5">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3ACFE8F">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EAE85D9">
      <w:pPr>
        <w:pStyle w:val="4"/>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8519DC3">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1E2A11">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6409B0D">
      <w:pPr>
        <w:pStyle w:val="35"/>
        <w:snapToGrid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7892980">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5409DD01">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970507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4CBF506">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F838A1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455AD4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598F2">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294412">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质疑函范本及制作说明详见附件2。</w:t>
      </w:r>
    </w:p>
    <w:p w14:paraId="7E253D4D">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4.3.4对同一采购程序环节的质疑，供应商须在法定质疑期内一次性提出。</w:t>
      </w:r>
    </w:p>
    <w:p w14:paraId="75ADC036">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B3C098">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BF04D20">
      <w:pPr>
        <w:pStyle w:val="890"/>
        <w:adjustRightInd w:val="0"/>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CCBB08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D3FCDBC">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C482F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4.4.3供应商投诉应当有明确的请求和必要的证明材料。</w:t>
      </w:r>
    </w:p>
    <w:p w14:paraId="34E0CCCB">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2F1D4EC8">
      <w:pPr>
        <w:pStyle w:val="890"/>
        <w:snapToGrid w:val="0"/>
        <w:spacing w:after="240" w:afterAutospacing="0" w:line="360" w:lineRule="auto"/>
        <w:ind w:firstLine="480" w:firstLineChars="200"/>
        <w:contextualSpacing/>
        <w:rPr>
          <w:rFonts w:hint="eastAsia"/>
          <w:color w:val="auto"/>
          <w:highlight w:val="none"/>
        </w:rPr>
      </w:pPr>
      <w:r>
        <w:rPr>
          <w:rFonts w:hint="eastAsia" w:asciiTheme="minorEastAsia" w:hAnsiTheme="minorEastAsia" w:eastAsiaTheme="minorEastAsia"/>
          <w:color w:val="auto"/>
          <w:highlight w:val="none"/>
        </w:rPr>
        <w:t>4.4.5</w:t>
      </w:r>
      <w:r>
        <w:rPr>
          <w:rFonts w:hint="eastAsia"/>
          <w:color w:val="auto"/>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r>
        <w:rPr>
          <w:rFonts w:hint="eastAsia" w:cs="仿宋"/>
          <w:color w:val="auto"/>
          <w:highlight w:val="none"/>
        </w:rPr>
        <w:t>。</w:t>
      </w:r>
    </w:p>
    <w:p w14:paraId="126409A1">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D21718">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0CCB0A2">
      <w:pPr>
        <w:pStyle w:val="890"/>
        <w:snapToGrid w:val="0"/>
        <w:spacing w:after="240" w:afterAutospacing="0" w:line="360" w:lineRule="auto"/>
        <w:ind w:firstLine="480" w:firstLineChars="200"/>
        <w:contextualSpacing/>
        <w:rPr>
          <w:rFonts w:hint="eastAsia"/>
          <w:color w:val="auto"/>
          <w:highlight w:val="none"/>
        </w:rPr>
      </w:pPr>
    </w:p>
    <w:p w14:paraId="77A12A8A">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投诉书范本及制作说明详见附件3。</w:t>
      </w:r>
    </w:p>
    <w:p w14:paraId="7CE9DB5A">
      <w:pPr>
        <w:pStyle w:val="132"/>
        <w:snapToGrid w:val="0"/>
        <w:spacing w:before="0"/>
        <w:ind w:firstLine="360"/>
        <w:rPr>
          <w:rFonts w:hint="eastAsia" w:ascii="宋体" w:hAnsi="宋体" w:cs="宋体"/>
          <w:color w:val="auto"/>
          <w:sz w:val="18"/>
          <w:szCs w:val="18"/>
          <w:highlight w:val="none"/>
        </w:rPr>
      </w:pPr>
    </w:p>
    <w:p w14:paraId="32910934">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011ACCF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5．采购文件的构成</w:t>
      </w:r>
    </w:p>
    <w:p w14:paraId="7C35AE43">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采购文件包括下列文件及附件：</w:t>
      </w:r>
    </w:p>
    <w:p w14:paraId="326B49B0">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5.1.1竞争性磋商公告；</w:t>
      </w:r>
    </w:p>
    <w:p w14:paraId="58F6A201">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08B1DBA1">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A436C1B">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5.1.4评审办法；</w:t>
      </w:r>
    </w:p>
    <w:p w14:paraId="77971F9F">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BA5127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6C25B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6932FE50">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采购文件的澄清、修改</w:t>
      </w:r>
    </w:p>
    <w:p w14:paraId="6453240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6499AF4D">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6E714DB">
      <w:pPr>
        <w:pStyle w:val="25"/>
        <w:rPr>
          <w:rFonts w:hint="eastAsia" w:hAnsi="宋体" w:cs="宋体"/>
          <w:color w:val="auto"/>
          <w:sz w:val="18"/>
          <w:szCs w:val="18"/>
          <w:highlight w:val="none"/>
          <w:lang w:val="en-US"/>
        </w:rPr>
      </w:pPr>
    </w:p>
    <w:p w14:paraId="1A180761">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6DFC46B">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采购文件的获取</w:t>
      </w:r>
    </w:p>
    <w:p w14:paraId="717F0ED7">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3269435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8.磋商前答疑会或现场考察</w:t>
      </w:r>
    </w:p>
    <w:p w14:paraId="0B4A5155">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3D1ED7BC">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9.磋商保证金</w:t>
      </w:r>
    </w:p>
    <w:p w14:paraId="6347276E">
      <w:pPr>
        <w:pStyle w:val="4"/>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本项目不需缴纳磋商保证金。</w:t>
      </w:r>
    </w:p>
    <w:p w14:paraId="3BC0828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响应文件的语言</w:t>
      </w:r>
    </w:p>
    <w:p w14:paraId="635C272B">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1578A50">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响应文件的组成</w:t>
      </w:r>
    </w:p>
    <w:p w14:paraId="76621C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CE34A8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6AFC1C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3FAA2F8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EF5E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F031B">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26FE7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3FC3A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E6B669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294B5FB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4BA38D1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11.2.5评审标准相应的商务技术资料；</w:t>
      </w:r>
    </w:p>
    <w:p w14:paraId="5C68087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11.2.6商务技术偏离表；</w:t>
      </w:r>
    </w:p>
    <w:p w14:paraId="1E18982A">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092572E">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2743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11.3.1报价单；</w:t>
      </w:r>
    </w:p>
    <w:p w14:paraId="72676D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11.3.2已标价工程量清单；</w:t>
      </w:r>
    </w:p>
    <w:p w14:paraId="04D2D53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74AA8C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76398F3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19372DC9">
      <w:pPr>
        <w:spacing w:line="360" w:lineRule="auto"/>
        <w:ind w:firstLine="720" w:firstLineChars="300"/>
        <w:rPr>
          <w:color w:val="auto"/>
          <w:highlight w:val="none"/>
        </w:rPr>
      </w:pPr>
      <w:r>
        <w:rPr>
          <w:rFonts w:hint="eastAsia"/>
          <w:color w:val="auto"/>
          <w:sz w:val="24"/>
          <w:highlight w:val="none"/>
          <w:shd w:val="clear" w:color="auto" w:fill="FFFFFF"/>
        </w:rPr>
        <w:t>供应商可事先在公开官网查询、核对相关证书和报告内容，确保投标（响应）文件资料准确无误。供应商应对响应文件中材料的真实性、合法性负责。</w:t>
      </w:r>
    </w:p>
    <w:p w14:paraId="74E4298B">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701ABC2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CB1B56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88A27E2">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728EAA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13.响应文件的签署、盖章</w:t>
      </w:r>
    </w:p>
    <w:p w14:paraId="07BF1BE8">
      <w:pPr>
        <w:pStyle w:val="13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499E43D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9D3731">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455B3375">
      <w:pPr>
        <w:pStyle w:val="132"/>
        <w:snapToGrid w:val="0"/>
        <w:spacing w:before="0"/>
        <w:ind w:firstLine="0" w:firstLineChars="0"/>
        <w:rPr>
          <w:rFonts w:hint="eastAsia" w:ascii="宋体" w:hAnsi="宋体" w:cs="宋体"/>
          <w:b/>
          <w:color w:val="auto"/>
          <w:szCs w:val="24"/>
          <w:highlight w:val="none"/>
        </w:rPr>
      </w:pPr>
    </w:p>
    <w:p w14:paraId="56D1F57B">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FC351B0">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321BD42">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0664B2C">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F5E8152">
      <w:pPr>
        <w:pStyle w:val="35"/>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15.备份响应文件</w:t>
      </w:r>
    </w:p>
    <w:p w14:paraId="2793F252">
      <w:pPr>
        <w:pStyle w:val="35"/>
        <w:snapToGrid w:val="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71C3EADC">
      <w:pPr>
        <w:pStyle w:val="35"/>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415E72C">
      <w:pPr>
        <w:pStyle w:val="35"/>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752302A">
      <w:pPr>
        <w:pStyle w:val="35"/>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70EA968">
      <w:pPr>
        <w:pStyle w:val="35"/>
        <w:snapToGrid w:val="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5885AEB5">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16.响应文件的无效处理</w:t>
      </w:r>
    </w:p>
    <w:p w14:paraId="1B8C2AE0">
      <w:pPr>
        <w:pStyle w:val="5"/>
        <w:spacing w:line="360" w:lineRule="auto"/>
        <w:ind w:firstLine="360" w:firstLineChars="150"/>
        <w:rPr>
          <w:rFonts w:hint="eastAsia"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6B559409">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17.响应文件有效期</w:t>
      </w:r>
    </w:p>
    <w:p w14:paraId="4D1D141B">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6F992CF1">
      <w:pPr>
        <w:pStyle w:val="132"/>
        <w:spacing w:before="0"/>
        <w:ind w:firstLine="480"/>
        <w:rPr>
          <w:rFonts w:hint="eastAsia"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625E1149">
      <w:pPr>
        <w:pStyle w:val="132"/>
        <w:spacing w:before="0"/>
        <w:ind w:firstLine="480"/>
        <w:rPr>
          <w:rFonts w:hint="eastAsia"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DCA018C">
      <w:pPr>
        <w:pStyle w:val="132"/>
        <w:spacing w:before="0"/>
        <w:ind w:firstLine="643"/>
        <w:rPr>
          <w:rFonts w:hint="eastAsia" w:ascii="宋体" w:hAnsi="宋体" w:cs="宋体"/>
          <w:b/>
          <w:color w:val="auto"/>
          <w:sz w:val="32"/>
          <w:highlight w:val="none"/>
        </w:rPr>
      </w:pPr>
    </w:p>
    <w:p w14:paraId="59AA4481">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7412F13C">
      <w:pPr>
        <w:pStyle w:val="558"/>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15BD8BFA">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23AFAEFE">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5D91074">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359053D">
      <w:pPr>
        <w:pStyle w:val="558"/>
        <w:spacing w:before="0" w:line="360" w:lineRule="auto"/>
        <w:ind w:left="0" w:firstLine="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592AB9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571B09C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3535D41">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702D5C67">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173EDACD">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15C95DB">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7EDD2EB">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9C14B7A">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47795373">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4832B3C">
      <w:pPr>
        <w:pStyle w:val="132"/>
        <w:spacing w:before="0"/>
        <w:ind w:firstLine="0" w:firstLineChars="0"/>
        <w:rPr>
          <w:rFonts w:hint="eastAsia" w:ascii="宋体" w:hAnsi="宋体" w:cs="宋体"/>
          <w:color w:val="auto"/>
          <w:kern w:val="0"/>
          <w:szCs w:val="24"/>
          <w:highlight w:val="none"/>
        </w:rPr>
      </w:pPr>
    </w:p>
    <w:p w14:paraId="071E6914">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五、评审</w:t>
      </w:r>
    </w:p>
    <w:p w14:paraId="34B1D44C">
      <w:pPr>
        <w:spacing w:line="360" w:lineRule="auto"/>
        <w:rPr>
          <w:rFonts w:hint="eastAsia"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52A2BA5">
      <w:pPr>
        <w:spacing w:line="360" w:lineRule="auto"/>
        <w:rPr>
          <w:rFonts w:hint="eastAsia" w:ascii="宋体" w:hAnsi="宋体" w:cs="宋体"/>
          <w:b/>
          <w:color w:val="auto"/>
          <w:sz w:val="24"/>
          <w:highlight w:val="none"/>
        </w:rPr>
      </w:pPr>
    </w:p>
    <w:p w14:paraId="5DD93015">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701678FB">
      <w:pPr>
        <w:pStyle w:val="5"/>
        <w:spacing w:line="360" w:lineRule="auto"/>
        <w:ind w:left="479" w:hanging="479" w:hangingChars="199"/>
        <w:rPr>
          <w:rFonts w:hint="eastAsia" w:cs="宋体"/>
          <w:b/>
          <w:color w:val="auto"/>
          <w:highlight w:val="none"/>
        </w:rPr>
      </w:pPr>
      <w:r>
        <w:rPr>
          <w:rFonts w:hint="eastAsia" w:cs="宋体"/>
          <w:b/>
          <w:color w:val="auto"/>
          <w:highlight w:val="none"/>
        </w:rPr>
        <w:t>22. 确定成交供应商</w:t>
      </w:r>
    </w:p>
    <w:p w14:paraId="292C2FD8">
      <w:pPr>
        <w:pStyle w:val="132"/>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F343249">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079D291">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4C8FD96B">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594C86B">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7D995F2">
      <w:pPr>
        <w:widowControl/>
        <w:spacing w:line="360" w:lineRule="auto"/>
        <w:ind w:firstLine="480"/>
        <w:rPr>
          <w:rFonts w:hint="eastAsia" w:ascii="宋体" w:hAnsi="宋体" w:cs="宋体"/>
          <w:color w:val="auto"/>
          <w:sz w:val="24"/>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14:paraId="715A6663">
      <w:pPr>
        <w:snapToGrid w:val="0"/>
        <w:spacing w:line="360" w:lineRule="auto"/>
        <w:ind w:left="120" w:leftChars="57" w:firstLine="482" w:firstLineChars="150"/>
        <w:jc w:val="center"/>
        <w:rPr>
          <w:rFonts w:hint="eastAsia" w:ascii="宋体" w:hAnsi="宋体" w:cs="宋体"/>
          <w:b/>
          <w:color w:val="auto"/>
          <w:sz w:val="32"/>
          <w:highlight w:val="none"/>
        </w:rPr>
      </w:pPr>
    </w:p>
    <w:p w14:paraId="3416DF5F">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C841FA4">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3BED881">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B84A580">
      <w:pPr>
        <w:widowControl/>
        <w:snapToGrid w:val="0"/>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ACE1B21">
      <w:pPr>
        <w:pStyle w:val="13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FF3B61A">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39DD99D">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9B2318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5422EB8C">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5AB33C17">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9151D37">
      <w:pPr>
        <w:tabs>
          <w:tab w:val="left" w:pos="432"/>
        </w:tabs>
        <w:snapToGrid w:val="0"/>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A0E9F2C">
      <w:pPr>
        <w:tabs>
          <w:tab w:val="left" w:pos="432"/>
        </w:tabs>
        <w:rPr>
          <w:color w:val="auto"/>
          <w:highlight w:val="none"/>
        </w:rPr>
      </w:pPr>
      <w:r>
        <w:rPr>
          <w:rFonts w:ascii="宋体" w:hAnsi="宋体"/>
          <w:b/>
          <w:bCs/>
          <w:color w:val="auto"/>
          <w:sz w:val="24"/>
          <w:szCs w:val="32"/>
          <w:highlight w:val="none"/>
        </w:rPr>
        <w:t>27.预付款</w:t>
      </w:r>
    </w:p>
    <w:p w14:paraId="0DFD2CC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44ACC229">
      <w:pPr>
        <w:rPr>
          <w:color w:val="auto"/>
          <w:highlight w:val="none"/>
        </w:rPr>
      </w:pPr>
    </w:p>
    <w:p w14:paraId="32A18B3E">
      <w:pPr>
        <w:snapToGrid w:val="0"/>
        <w:spacing w:line="360" w:lineRule="auto"/>
        <w:ind w:firstLine="3357" w:firstLineChars="1045"/>
        <w:rPr>
          <w:rFonts w:hint="eastAsia" w:ascii="宋体" w:hAnsi="宋体" w:cs="宋体"/>
          <w:b/>
          <w:color w:val="auto"/>
          <w:sz w:val="32"/>
          <w:highlight w:val="none"/>
        </w:rPr>
      </w:pPr>
    </w:p>
    <w:p w14:paraId="7A679606">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2F34F79">
      <w:pPr>
        <w:pStyle w:val="132"/>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B3CD95A">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86B506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7F838E3">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8AB428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23AB14">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66F209">
      <w:pPr>
        <w:pStyle w:val="132"/>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601FF5">
      <w:pPr>
        <w:tabs>
          <w:tab w:val="left" w:pos="0"/>
        </w:tabs>
        <w:spacing w:line="360" w:lineRule="auto"/>
        <w:ind w:firstLine="480"/>
        <w:rPr>
          <w:rFonts w:hint="eastAsia" w:ascii="宋体" w:hAnsi="宋体" w:cs="宋体"/>
          <w:color w:val="auto"/>
          <w:sz w:val="24"/>
          <w:highlight w:val="none"/>
        </w:rPr>
      </w:pPr>
    </w:p>
    <w:p w14:paraId="16B6C7EF">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九、验收</w:t>
      </w:r>
    </w:p>
    <w:p w14:paraId="7D20CBB3">
      <w:pPr>
        <w:pStyle w:val="5"/>
        <w:spacing w:line="360" w:lineRule="auto"/>
        <w:ind w:firstLine="0" w:firstLineChars="0"/>
        <w:rPr>
          <w:rFonts w:hint="eastAsia" w:cs="宋体"/>
          <w:b/>
          <w:color w:val="auto"/>
          <w:highlight w:val="none"/>
        </w:rPr>
      </w:pPr>
      <w:r>
        <w:rPr>
          <w:rFonts w:hint="eastAsia" w:cs="宋体"/>
          <w:b/>
          <w:color w:val="auto"/>
          <w:highlight w:val="none"/>
        </w:rPr>
        <w:t>30.验收</w:t>
      </w:r>
    </w:p>
    <w:p w14:paraId="6E3394D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E24EB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3F3263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0CD980">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200EA14">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bookmarkStart w:id="19" w:name="_Hlt74714665"/>
      <w:bookmarkEnd w:id="19"/>
      <w:bookmarkStart w:id="20" w:name="_Hlt74707468"/>
      <w:bookmarkEnd w:id="20"/>
      <w:bookmarkStart w:id="21" w:name="_Hlt74729768"/>
      <w:bookmarkEnd w:id="21"/>
      <w:bookmarkStart w:id="22" w:name="_Hlt68072990"/>
      <w:bookmarkEnd w:id="22"/>
      <w:bookmarkStart w:id="23" w:name="_Hlt68403820"/>
      <w:bookmarkEnd w:id="23"/>
      <w:bookmarkStart w:id="24" w:name="_Hlt75236011"/>
      <w:bookmarkEnd w:id="24"/>
      <w:bookmarkStart w:id="25" w:name="_Hlt75236101"/>
      <w:bookmarkEnd w:id="25"/>
      <w:bookmarkStart w:id="26" w:name="_Hlt68073093"/>
      <w:bookmarkEnd w:id="26"/>
      <w:bookmarkStart w:id="27" w:name="_Hlt68072998"/>
      <w:bookmarkEnd w:id="27"/>
      <w:bookmarkStart w:id="28" w:name="_Hlt68057669"/>
      <w:bookmarkEnd w:id="28"/>
      <w:bookmarkStart w:id="29" w:name="_Hlt74730295"/>
      <w:bookmarkEnd w:id="29"/>
      <w:bookmarkStart w:id="30" w:name="_Hlt75236290"/>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820CE4B">
      <w:pPr>
        <w:pStyle w:val="80"/>
        <w:rPr>
          <w:rFonts w:hint="eastAsia"/>
          <w:color w:val="auto"/>
          <w:highlight w:val="none"/>
        </w:rPr>
        <w:sectPr>
          <w:pgSz w:w="11906" w:h="16838"/>
          <w:pgMar w:top="1440" w:right="1080" w:bottom="1440" w:left="1080" w:header="851" w:footer="992" w:gutter="0"/>
          <w:cols w:space="720" w:num="1"/>
          <w:titlePg/>
          <w:docGrid w:linePitch="312" w:charSpace="0"/>
        </w:sectPr>
      </w:pPr>
    </w:p>
    <w:bookmarkEnd w:id="13"/>
    <w:bookmarkEnd w:id="14"/>
    <w:p w14:paraId="3D96E298">
      <w:pPr>
        <w:pStyle w:val="35"/>
        <w:spacing w:line="360" w:lineRule="auto"/>
        <w:jc w:val="center"/>
        <w:outlineLvl w:val="0"/>
        <w:rPr>
          <w:rFonts w:hint="eastAsia"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607FC8C5">
      <w:pPr>
        <w:spacing w:line="360" w:lineRule="auto"/>
        <w:jc w:val="left"/>
        <w:outlineLvl w:val="0"/>
        <w:rPr>
          <w:rFonts w:hint="eastAsia"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21460875">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lang w:eastAsia="zh-CN"/>
        </w:rPr>
        <w:t>大关校区学生宿舍改造</w:t>
      </w:r>
      <w:r>
        <w:rPr>
          <w:rFonts w:hint="eastAsia" w:ascii="宋体" w:hAnsi="宋体"/>
          <w:color w:val="auto"/>
          <w:sz w:val="24"/>
          <w:highlight w:val="none"/>
          <w:u w:val="single"/>
        </w:rPr>
        <w:t>，本项目具体范围包括但不限于以下内容：原部分墙体拆除、门拆除、原门洞封堵等，新增墙体、门窗，房间装饰装修及其他改造，配套给排水、电气改造等；具体详见竞争性磋商文件、工程量清单及编制说明和图纸全部内容。</w:t>
      </w:r>
    </w:p>
    <w:p w14:paraId="16BF30A5">
      <w:pPr>
        <w:spacing w:line="360" w:lineRule="auto"/>
        <w:jc w:val="left"/>
        <w:outlineLvl w:val="1"/>
        <w:rPr>
          <w:rFonts w:hint="eastAsia"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3FB9F000">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1.工程名称</w:t>
      </w:r>
    </w:p>
    <w:p w14:paraId="5B39037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大关校区学生宿舍改造</w:t>
      </w:r>
      <w:r>
        <w:rPr>
          <w:rFonts w:hint="eastAsia" w:ascii="宋体" w:hAnsi="宋体"/>
          <w:color w:val="auto"/>
          <w:sz w:val="24"/>
          <w:highlight w:val="none"/>
          <w:u w:val="single"/>
        </w:rPr>
        <w:t xml:space="preserve">  </w:t>
      </w:r>
    </w:p>
    <w:p w14:paraId="3546F9C5">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2.现场条件</w:t>
      </w:r>
    </w:p>
    <w:p w14:paraId="7EE8D8F9">
      <w:pPr>
        <w:spacing w:line="360" w:lineRule="auto"/>
        <w:ind w:firstLine="720" w:firstLineChars="3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已具备现场施工条件。 </w:t>
      </w:r>
    </w:p>
    <w:p w14:paraId="45D8C39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采购人不集中组织现场踏勘，供应商应需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成交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7D355F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成交供应商必须按照采购人的施工管理规定进行施工，如需要按采购人管理需要临时调整施工时间等，施工作业环境的种种不利因素，如夜间施工、垃圾装袋外运等等均需由供应商考虑，并将所需费用包含在磋商响应报价中。</w:t>
      </w:r>
    </w:p>
    <w:p w14:paraId="71949DDE">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本项目采购人不提供住宿，由供应商自行解决，相关费用包含在报价中。</w:t>
      </w:r>
    </w:p>
    <w:p w14:paraId="6D794B0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供应商须满足采购人管理的要求、遵守采购人的施工安全管理制度以及其他相关管理制度，服从监理的管理和协调，确保施工项目的安全、高效、顺利进行，满足采购人的日常需求，防范施工安全、消防等安全事件的发生。采购人的管理部门有权对施工项目的组织和实施进行监督、检查，并提出整改要求，但此类监督检查并不解除供应商对施工项目应负的全部责任，如成交供应商不按要求整改或整改后仍不符合采购人的规定，采购人可从工程进度款或履约保证金中酌情扣罚，情节严重的，可解除合同，给采购人造成的全部损失由供应商承担，并可拒绝该供应商继续参与采购人其他项目的投标活动。</w:t>
      </w:r>
    </w:p>
    <w:p w14:paraId="613F3ADB">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按采购人相关管理制度需要签订的承诺或协议将作为承包合同的附件，是承包采购人项目须遵守的内容之一。</w:t>
      </w:r>
    </w:p>
    <w:p w14:paraId="51C1C723">
      <w:pPr>
        <w:spacing w:line="360" w:lineRule="auto"/>
        <w:ind w:left="210" w:leftChars="100" w:firstLine="480" w:firstLineChars="200"/>
        <w:jc w:val="left"/>
        <w:rPr>
          <w:rFonts w:hint="eastAsia" w:ascii="宋体" w:hAnsi="宋体"/>
          <w:color w:val="auto"/>
          <w:sz w:val="24"/>
          <w:highlight w:val="none"/>
          <w:u w:val="single"/>
        </w:rPr>
      </w:pPr>
      <w:r>
        <w:rPr>
          <w:rFonts w:hint="eastAsia" w:ascii="宋体" w:hAnsi="宋体" w:cs="宋体"/>
          <w:color w:val="auto"/>
          <w:sz w:val="24"/>
          <w:highlight w:val="none"/>
          <w:u w:val="single"/>
        </w:rPr>
        <w:t>以上与施工相关的管理要求所需要的费用包含在各综合单价、合价和磋商响应总报价中。</w:t>
      </w:r>
    </w:p>
    <w:p w14:paraId="120172EB">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w:t>
      </w:r>
    </w:p>
    <w:p w14:paraId="5CA255B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大关校区学生宿舍改造</w:t>
      </w:r>
      <w:r>
        <w:rPr>
          <w:rFonts w:hint="eastAsia" w:ascii="宋体" w:hAnsi="宋体"/>
          <w:color w:val="auto"/>
          <w:sz w:val="24"/>
          <w:highlight w:val="none"/>
          <w:u w:val="single"/>
        </w:rPr>
        <w:t xml:space="preserve">，本项目具体范围包括但不限于以下内容：原部分墙体拆除、门拆除、原门洞封堵等，新增墙体、门窗，房间装饰装修及其他改造，配套给排水、电气改造等；具体详见竞争性磋商文件、工程量清单及编制说明和图纸全部内容。 </w:t>
      </w:r>
    </w:p>
    <w:p w14:paraId="5AC058F3">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w:t>
      </w:r>
    </w:p>
    <w:p w14:paraId="202156F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符合现行国家有关工程施工验收规范和标准的合格要求，注：如上述国家标准有最新版本或替代标准颁布，则执行最新版本或替代标准。</w:t>
      </w:r>
    </w:p>
    <w:p w14:paraId="3A112E46">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5.工程施工要求</w:t>
      </w:r>
    </w:p>
    <w:p w14:paraId="4028FB49">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（1）</w:t>
      </w:r>
      <w:r>
        <w:rPr>
          <w:rFonts w:hint="eastAsia" w:ascii="宋体" w:hAnsi="宋体"/>
          <w:color w:val="auto"/>
          <w:sz w:val="24"/>
          <w:highlight w:val="none"/>
          <w:u w:val="single"/>
        </w:rPr>
        <w:t>工程技术规范要求：</w:t>
      </w:r>
    </w:p>
    <w:p w14:paraId="7F3D00C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本工程项目的材料、设备、施工必须达到现行中华人民共和国及省、市、行业的一切有关法规、规范的要求，如标准及规范要求有出入则以较严格者为准。</w:t>
      </w:r>
    </w:p>
    <w:p w14:paraId="6253A34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3DAC355C">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安全文明施工要求</w:t>
      </w:r>
    </w:p>
    <w:p w14:paraId="1287DE5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①成交供应商应对进度施工现场的施工人员进行安全文明施工教育，配备必要的劳动保护用具，保证工程的施工安全和人身安全。</w:t>
      </w:r>
    </w:p>
    <w:p w14:paraId="01699A3C">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②成交供应商应强化安全意识，抓好安全生产，杜绝事故发生，施工中若因供应商原因发生安全及人身事故由成交供应商自行负责处理，并承担全部费用。</w:t>
      </w:r>
    </w:p>
    <w:p w14:paraId="4B4E8F1E">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③成交供应商须遵守地方政府和有关部门及采购人对施工场地交通、环卫、安全和施工噪音等的管理规定，并按规定办理相关审批手续。</w:t>
      </w:r>
    </w:p>
    <w:p w14:paraId="1FD548E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④成交供应商应采取有效措施尽量减小尘土和噪音污染，需要进行夜间作业时应经有关部门批准。</w:t>
      </w:r>
    </w:p>
    <w:p w14:paraId="545A33B6">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其它施工过程中需注意事项</w:t>
      </w:r>
    </w:p>
    <w:p w14:paraId="237EA1A3">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本工程在施工期间，成交供应商应注意保护好采购人周边现有成品，如有损坏，须无条件修复至采购人满意。</w:t>
      </w:r>
    </w:p>
    <w:p w14:paraId="4C0BBFDC">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①废弃材料不得丢弃或随意堆放在校园内，清理产生的拆除费、搬运费、交通运输费等各项费用均由供应商自行考虑并计入响应总价且一次性包干</w:t>
      </w:r>
    </w:p>
    <w:p w14:paraId="79CC25F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②工程完工后，成交供应商需对施工现场进行全面的清洁工作。 </w:t>
      </w:r>
    </w:p>
    <w:p w14:paraId="27DAA7FE">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③本项目如需土方外运，成交供应商应根据《关于发布杭州市工程渣土消纳市场信息价的通知》（杭渣土领【2020】1号 ）及《关于明确杭州市工程渣土运输及消纳项目计价清单和报价口径的通知》等相关文件精神并结合项目方案实际合理报价，成交的施工企业须按照杭城管【2022】39号《关于进一步规范建筑垃圾审批管理和执法工作的通知》办理好相关备案手续。</w:t>
      </w:r>
    </w:p>
    <w:p w14:paraId="0A6B7499">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6.工程管理要求</w:t>
      </w:r>
    </w:p>
    <w:p w14:paraId="5764C355">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（1）</w:t>
      </w:r>
      <w:r>
        <w:rPr>
          <w:rFonts w:hint="eastAsia" w:ascii="宋体" w:hAnsi="宋体"/>
          <w:color w:val="auto"/>
          <w:sz w:val="24"/>
          <w:highlight w:val="none"/>
          <w:u w:val="single"/>
        </w:rPr>
        <w:t>工程管理原则：</w:t>
      </w:r>
    </w:p>
    <w:p w14:paraId="4FA6851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①本工程承包范围内的工程项目，成交供应商未经采购人同意，一律不得转包，一经发现采购人有权立即取消其承包资格，成交供应商应承担由此引起的一切经济责任和法律责任；</w:t>
      </w:r>
    </w:p>
    <w:p w14:paraId="424CD52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②在工程实施过程中，如发现成交供应商为挂靠单位，采购人可立即终止合同。成交供应商应承担由此引起的一切经济责任和法律责任。</w:t>
      </w:r>
    </w:p>
    <w:p w14:paraId="189A983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③成交供应商须严格按照已确认的施工技术方案组织实施，并无条件接受采购人的项目管理部门的管理。</w:t>
      </w:r>
    </w:p>
    <w:p w14:paraId="7DCEDF74">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45F650C">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项目管理班子人员要求:</w:t>
      </w:r>
    </w:p>
    <w:p w14:paraId="5AB4333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①项目经理：本项目拟派项目经理除具备二级建造师及以上资格，无在建项目外，还应具有类似施工经验以及相关专业技术职称，在施工过程中，应确保到位率达到80%（含）以上；</w:t>
      </w:r>
    </w:p>
    <w:p w14:paraId="4E1E4F4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②拟派技术负责人应具有类似工程施工经验以及相关专业技术职称；</w:t>
      </w:r>
    </w:p>
    <w:p w14:paraId="7BD41F6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③拟派项目管理班子中施工员、安全员、质检员、材料员等重要岗位应人员配置齐全。</w:t>
      </w:r>
    </w:p>
    <w:p w14:paraId="13C56645">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工程管理其他要求</w:t>
      </w:r>
    </w:p>
    <w:p w14:paraId="16F1333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①本项目施工现场采购人不提供食宿，施工期间，所有施工人员的食宿均由成交供应商自行安排，材料的堆放及停车必须服从采购人的安排。</w:t>
      </w:r>
    </w:p>
    <w:p w14:paraId="3E46B02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②施工现场严禁吸烟。</w:t>
      </w:r>
    </w:p>
    <w:p w14:paraId="38DFB21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③如涉及学校安全管理需要，成交供应商须严格遵守采购人要求，所有进场人员需按照采购人要求做好登记办理施工出入手续。</w:t>
      </w:r>
    </w:p>
    <w:p w14:paraId="78BFD67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④承包人由于违反安全操作规范，被政府有关部门处罚，如通报批评、警告和罚款等，承包人承担一切责任，并每被查处一次，发包人每次扣罚违约金5000元，上述扣款在工程进度款中逐期扣除。</w:t>
      </w:r>
    </w:p>
    <w:p w14:paraId="7294C48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fldChar w:fldCharType="begin"/>
      </w:r>
      <w:r>
        <w:rPr>
          <w:rFonts w:hint="eastAsia" w:ascii="宋体" w:hAnsi="宋体"/>
          <w:color w:val="auto"/>
          <w:sz w:val="24"/>
          <w:highlight w:val="none"/>
          <w:u w:val="single"/>
        </w:rPr>
        <w:instrText xml:space="preserve"> = 5 \* GB3 \* MERGEFORMAT </w:instrText>
      </w:r>
      <w:r>
        <w:rPr>
          <w:rFonts w:hint="eastAsia" w:ascii="宋体" w:hAnsi="宋体"/>
          <w:color w:val="auto"/>
          <w:sz w:val="24"/>
          <w:highlight w:val="none"/>
          <w:u w:val="single"/>
        </w:rPr>
        <w:fldChar w:fldCharType="separate"/>
      </w:r>
      <w:r>
        <w:rPr>
          <w:color w:val="auto"/>
          <w:highlight w:val="none"/>
        </w:rPr>
        <w:t>⑤</w:t>
      </w:r>
      <w:r>
        <w:rPr>
          <w:rFonts w:hint="eastAsia" w:ascii="宋体" w:hAnsi="宋体"/>
          <w:color w:val="auto"/>
          <w:sz w:val="24"/>
          <w:highlight w:val="none"/>
          <w:u w:val="single"/>
        </w:rPr>
        <w:fldChar w:fldCharType="end"/>
      </w:r>
      <w:r>
        <w:rPr>
          <w:rFonts w:hint="eastAsia" w:ascii="宋体" w:hAnsi="宋体"/>
          <w:color w:val="auto"/>
          <w:sz w:val="24"/>
          <w:highlight w:val="none"/>
          <w:u w:val="single"/>
        </w:rPr>
        <w:t>承包人应强化安全意识，抓好安全生产，杜绝事故发生，施工中若发生安全及人身事故均由承包人自行负责处理，承担一切责任包括全部费用。安全事故每发生一次，承包人向发包人支付1万元的违约金，上述扣款在工程进度款中逐期扣除。</w:t>
      </w:r>
    </w:p>
    <w:p w14:paraId="5044CC7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fldChar w:fldCharType="begin"/>
      </w:r>
      <w:r>
        <w:rPr>
          <w:rFonts w:hint="eastAsia" w:ascii="宋体" w:hAnsi="宋体"/>
          <w:color w:val="auto"/>
          <w:sz w:val="24"/>
          <w:highlight w:val="none"/>
          <w:u w:val="single"/>
        </w:rPr>
        <w:instrText xml:space="preserve"> = 6 \* GB3 \* MERGEFORMAT </w:instrText>
      </w:r>
      <w:r>
        <w:rPr>
          <w:rFonts w:hint="eastAsia" w:ascii="宋体" w:hAnsi="宋体"/>
          <w:color w:val="auto"/>
          <w:sz w:val="24"/>
          <w:highlight w:val="none"/>
          <w:u w:val="single"/>
        </w:rPr>
        <w:fldChar w:fldCharType="separate"/>
      </w:r>
      <w:r>
        <w:rPr>
          <w:color w:val="auto"/>
          <w:highlight w:val="none"/>
        </w:rPr>
        <w:t>⑥</w:t>
      </w:r>
      <w:r>
        <w:rPr>
          <w:rFonts w:hint="eastAsia" w:ascii="宋体" w:hAnsi="宋体"/>
          <w:color w:val="auto"/>
          <w:sz w:val="24"/>
          <w:highlight w:val="none"/>
          <w:u w:val="single"/>
        </w:rPr>
        <w:fldChar w:fldCharType="end"/>
      </w:r>
      <w:r>
        <w:rPr>
          <w:rFonts w:hint="eastAsia" w:ascii="宋体" w:hAnsi="宋体"/>
          <w:color w:val="auto"/>
          <w:sz w:val="24"/>
          <w:highlight w:val="none"/>
          <w:u w:val="single"/>
        </w:rPr>
        <w:t xml:space="preserve">发包人或监理工程师有权对承包人的安全施工状况进行检查，发现有违反安全施工情况的，有权提出整改要求，承包人须按要求进行整改。   </w:t>
      </w:r>
    </w:p>
    <w:p w14:paraId="7A6474C0">
      <w:p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7ADFD83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ascii="宋体" w:hAnsi="宋体"/>
          <w:color w:val="auto"/>
          <w:sz w:val="24"/>
          <w:highlight w:val="none"/>
          <w:u w:val="single"/>
        </w:rPr>
        <w:t>（1）</w:t>
      </w:r>
      <w:r>
        <w:rPr>
          <w:rFonts w:hint="eastAsia" w:ascii="宋体" w:hAnsi="宋体"/>
          <w:color w:val="auto"/>
          <w:sz w:val="24"/>
          <w:highlight w:val="none"/>
          <w:u w:val="single"/>
        </w:rPr>
        <w:t>本项目涉及的所有材料设备，必须经采购人/监理公司确认后方能采购、进场、加工、安装。否则一律不予承认，不予支付相应款项。</w:t>
      </w:r>
    </w:p>
    <w:p w14:paraId="7875C61C">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593E192E">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3E58E10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本项目材料品牌满足主材品牌表要求,详见清单编制说明；</w:t>
      </w:r>
    </w:p>
    <w:p w14:paraId="72BE029D">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供应商应当有详细的材料（设备）供应计划及质量保证措施；</w:t>
      </w:r>
    </w:p>
    <w:p w14:paraId="7E7733E6">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（5）</w:t>
      </w:r>
      <w:r>
        <w:rPr>
          <w:rFonts w:hint="eastAsia" w:ascii="宋体" w:hAnsi="宋体"/>
          <w:color w:val="auto"/>
          <w:sz w:val="24"/>
          <w:highlight w:val="none"/>
          <w:u w:val="single"/>
        </w:rPr>
        <w:t>材料的质量要求：材料检验按法律、法规、文件规定的见证取样和送检规定的程序进行。凡检验结果证明其有害物质含量指标超标的产品不得在工程上使用。</w:t>
      </w:r>
    </w:p>
    <w:p w14:paraId="3E0EE9ED">
      <w:pPr>
        <w:spacing w:line="360" w:lineRule="auto"/>
        <w:jc w:val="left"/>
        <w:outlineLvl w:val="1"/>
        <w:rPr>
          <w:rFonts w:hint="eastAsia"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5D310E2D">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w:t>
      </w:r>
      <w:r>
        <w:rPr>
          <w:rFonts w:hint="eastAsia" w:ascii="宋体" w:hAnsi="宋体" w:cs="仿宋_GB2312"/>
          <w:color w:val="auto"/>
          <w:sz w:val="24"/>
          <w:highlight w:val="none"/>
          <w:u w:val="single"/>
          <w:lang w:val="en-US" w:eastAsia="zh-CN"/>
        </w:rPr>
        <w:t>35</w:t>
      </w:r>
      <w:r>
        <w:rPr>
          <w:rFonts w:hint="eastAsia" w:ascii="宋体" w:hAnsi="宋体"/>
          <w:color w:val="auto"/>
          <w:sz w:val="24"/>
          <w:highlight w:val="none"/>
          <w:u w:val="single"/>
          <w:lang w:eastAsia="zh-CN"/>
        </w:rPr>
        <w:t>日历天</w:t>
      </w:r>
    </w:p>
    <w:p w14:paraId="3DF9AF76">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olor w:val="auto"/>
          <w:sz w:val="24"/>
          <w:highlight w:val="none"/>
          <w:u w:val="single"/>
          <w:lang w:eastAsia="zh-CN"/>
        </w:rPr>
        <w:t>浙江省杭州第十一中学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杭州市拱墅区八丈井东路150号</w:t>
      </w:r>
      <w:r>
        <w:rPr>
          <w:rFonts w:hint="eastAsia" w:ascii="宋体" w:hAnsi="宋体"/>
          <w:color w:val="auto"/>
          <w:sz w:val="24"/>
          <w:highlight w:val="none"/>
          <w:u w:val="single"/>
        </w:rPr>
        <w:t xml:space="preserve">） </w:t>
      </w:r>
    </w:p>
    <w:p w14:paraId="2ECD16EA">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3.付款条件（进度和方式）</w:t>
      </w:r>
    </w:p>
    <w:p w14:paraId="0CF4C8B5">
      <w:pPr>
        <w:pStyle w:val="259"/>
        <w:ind w:firstLine="0" w:firstLineChars="0"/>
        <w:rPr>
          <w:color w:val="auto"/>
          <w:highlight w:val="none"/>
        </w:rPr>
      </w:pP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020CCD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5C475FD">
            <w:pPr>
              <w:spacing w:line="360" w:lineRule="auto"/>
              <w:jc w:val="center"/>
              <w:rPr>
                <w:rFonts w:hint="eastAsia" w:ascii="宋体" w:hAnsi="宋体" w:cs="仿宋_GB2312"/>
                <w:color w:val="auto"/>
                <w:sz w:val="24"/>
                <w:highlight w:val="none"/>
              </w:rPr>
            </w:pPr>
            <w:bookmarkStart w:id="32" w:name="_Hlk198637528"/>
            <w:r>
              <w:rPr>
                <w:rFonts w:hint="eastAsia" w:ascii="宋体" w:hAnsi="宋体" w:cs="仿宋_GB2312"/>
                <w:color w:val="auto"/>
                <w:sz w:val="24"/>
                <w:highlight w:val="none"/>
              </w:rPr>
              <w:t>序号</w:t>
            </w:r>
          </w:p>
        </w:tc>
        <w:tc>
          <w:tcPr>
            <w:tcW w:w="2519" w:type="dxa"/>
            <w:shd w:val="clear" w:color="auto" w:fill="auto"/>
            <w:vAlign w:val="center"/>
          </w:tcPr>
          <w:p w14:paraId="7CEF212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7CD7E8D9">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付款方式</w:t>
            </w:r>
          </w:p>
        </w:tc>
      </w:tr>
      <w:tr w14:paraId="2CABD5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4039A2FB">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2519" w:type="dxa"/>
            <w:shd w:val="clear" w:color="auto" w:fill="auto"/>
            <w:vAlign w:val="center"/>
          </w:tcPr>
          <w:p w14:paraId="7E2E5CE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50</w:t>
            </w:r>
          </w:p>
        </w:tc>
        <w:tc>
          <w:tcPr>
            <w:tcW w:w="5841" w:type="dxa"/>
            <w:shd w:val="clear" w:color="auto" w:fill="auto"/>
            <w:vAlign w:val="center"/>
          </w:tcPr>
          <w:p w14:paraId="53B0474A">
            <w:pPr>
              <w:pStyle w:val="82"/>
              <w:ind w:firstLine="480"/>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合同生效、具备实施条件后，成交供应商在5个工作日内提交银行或者保险公司出具的预付款保函，采购人在5 个工作日内支付合同总价的50%作为预付款(因客观原因造成采购人预付款逾期支付的，不追究逾期支付违约责任，具体付款日期按实际支付时间执行)</w:t>
            </w:r>
          </w:p>
        </w:tc>
      </w:tr>
      <w:tr w14:paraId="44D166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572A4D64">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2519" w:type="dxa"/>
            <w:shd w:val="clear" w:color="auto" w:fill="auto"/>
            <w:vAlign w:val="center"/>
          </w:tcPr>
          <w:p w14:paraId="0CE7D085">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val="en-US" w:eastAsia="zh-CN"/>
              </w:rPr>
              <w:t>5</w:t>
            </w:r>
          </w:p>
        </w:tc>
        <w:tc>
          <w:tcPr>
            <w:tcW w:w="5841" w:type="dxa"/>
            <w:shd w:val="clear" w:color="auto" w:fill="auto"/>
            <w:vAlign w:val="center"/>
          </w:tcPr>
          <w:p w14:paraId="343733F7">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工程竣工验收合格、提交所有竣工资料（包括但不限于监理工程师签署的全部工程验收合格的资料、缺陷修补完成的证明材料等）、并移交接收管理部门后，支付合同金额的35%；</w:t>
            </w:r>
          </w:p>
        </w:tc>
      </w:tr>
      <w:tr w14:paraId="5395B6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05C8317">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3</w:t>
            </w:r>
          </w:p>
        </w:tc>
        <w:tc>
          <w:tcPr>
            <w:tcW w:w="2519" w:type="dxa"/>
            <w:shd w:val="clear" w:color="auto" w:fill="auto"/>
            <w:vAlign w:val="center"/>
          </w:tcPr>
          <w:p w14:paraId="681DE271">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5841" w:type="dxa"/>
            <w:shd w:val="clear" w:color="auto" w:fill="auto"/>
            <w:vAlign w:val="center"/>
          </w:tcPr>
          <w:p w14:paraId="5D850821">
            <w:pPr>
              <w:spacing w:line="360" w:lineRule="auto"/>
              <w:jc w:val="left"/>
              <w:rPr>
                <w:rFonts w:hint="eastAsia" w:ascii="宋体" w:hAnsi="宋体" w:cs="仿宋_GB2312"/>
                <w:color w:val="auto"/>
                <w:sz w:val="24"/>
                <w:highlight w:val="none"/>
              </w:rPr>
            </w:pPr>
            <w:r>
              <w:rPr>
                <w:rFonts w:hint="eastAsia" w:ascii="宋体" w:hAnsi="宋体" w:cs="宋体"/>
                <w:color w:val="auto"/>
                <w:sz w:val="24"/>
                <w:highlight w:val="none"/>
              </w:rPr>
              <w:t>待工程决算审价结束且资料归档后，发包人收到承包人质量保证金保函</w:t>
            </w:r>
            <w:r>
              <w:rPr>
                <w:rFonts w:hint="eastAsia" w:ascii="宋体" w:hAnsi="宋体" w:cs="宋体"/>
                <w:color w:val="auto"/>
                <w:sz w:val="24"/>
                <w:highlight w:val="none"/>
                <w:lang w:eastAsia="zh-CN"/>
              </w:rPr>
              <w:t>（</w:t>
            </w:r>
            <w:r>
              <w:rPr>
                <w:rFonts w:hint="eastAsia" w:ascii="宋体" w:hAnsi="宋体" w:cs="宋体"/>
                <w:color w:val="auto"/>
                <w:sz w:val="24"/>
                <w:highlight w:val="none"/>
              </w:rPr>
              <w:t>质量保证金</w:t>
            </w:r>
            <w:r>
              <w:rPr>
                <w:rFonts w:hint="eastAsia" w:ascii="宋体" w:hAnsi="宋体" w:cs="宋体"/>
                <w:color w:val="auto"/>
                <w:sz w:val="24"/>
                <w:highlight w:val="none"/>
                <w:lang w:val="en-US" w:eastAsia="zh-CN"/>
              </w:rPr>
              <w:t>金额为</w:t>
            </w:r>
            <w:r>
              <w:rPr>
                <w:rFonts w:hint="eastAsia" w:ascii="宋体" w:hAnsi="宋体" w:cs="宋体"/>
                <w:color w:val="auto"/>
                <w:sz w:val="24"/>
                <w:highlight w:val="none"/>
              </w:rPr>
              <w:t>审定的工程结算总价</w:t>
            </w:r>
            <w:r>
              <w:rPr>
                <w:rFonts w:hint="eastAsia" w:ascii="宋体" w:hAnsi="宋体" w:cs="宋体"/>
                <w:color w:val="auto"/>
                <w:sz w:val="24"/>
                <w:highlight w:val="none"/>
                <w:lang w:val="en-US" w:eastAsia="zh-CN"/>
              </w:rPr>
              <w:t>的1%</w:t>
            </w:r>
            <w:r>
              <w:rPr>
                <w:rFonts w:hint="eastAsia" w:ascii="宋体" w:hAnsi="宋体" w:cs="宋体"/>
                <w:color w:val="auto"/>
                <w:sz w:val="24"/>
                <w:highlight w:val="none"/>
                <w:lang w:eastAsia="zh-CN"/>
              </w:rPr>
              <w:t>）</w:t>
            </w:r>
            <w:r>
              <w:rPr>
                <w:rFonts w:hint="eastAsia" w:ascii="宋体" w:hAnsi="宋体" w:cs="宋体"/>
                <w:color w:val="auto"/>
                <w:sz w:val="24"/>
                <w:highlight w:val="none"/>
              </w:rPr>
              <w:t>后付至经审定的工程结算总价（本工程结算造价以第三方审计单位审核为准）的100％。</w:t>
            </w:r>
          </w:p>
        </w:tc>
      </w:tr>
      <w:bookmarkEnd w:id="32"/>
    </w:tbl>
    <w:p w14:paraId="317C998D">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4.工程售后服务要求</w:t>
      </w:r>
    </w:p>
    <w:p w14:paraId="141B7ED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（1）保修期：按工程质量保修书规定执行，质量保证期为本项目验收合格后不少于2年（具体详见工程质量保修书）。</w:t>
      </w:r>
    </w:p>
    <w:p w14:paraId="7DDD653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成交供应商应与采购人签订工程质量保修书，在质量保修期内，按照有关法律、法规、规章的管理规定和双方约定，承担本工程质量保修责任。</w:t>
      </w:r>
    </w:p>
    <w:p w14:paraId="3181569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（2）在保修期内，成交供应商对有缺陷的部位必须无偿地给予修理与更换，并承担一切由此引起的对采购人或第三者的直接损失，除非该缺陷是由于人为破坏或合同规定的不可抗因素造成的损坏。</w:t>
      </w:r>
    </w:p>
    <w:p w14:paraId="49E37D5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（3）成交供应商必须对所承包的工程的质量负全部责任，其责任不因其他材料生产商提供的保证书而减轻或更改。</w:t>
      </w:r>
    </w:p>
    <w:p w14:paraId="374CBCC3">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（4）供应商应当在缺陷责任期内具有完善的售后技术支持和服务体系，能够提供服务标准、服务流程、服务内容。 </w:t>
      </w:r>
    </w:p>
    <w:p w14:paraId="15F2613B">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0E88C67D">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成交供应商在项目执行过程中必须严格按照有关安全操作规程进行操作，需为所有入场实施安装人员购买意外保险，做好安全防范工作，防止一切事故的发生；施工期间，出现人身伤亡等事故，一切后果均由供应商自行承担。</w:t>
      </w:r>
    </w:p>
    <w:p w14:paraId="303369C6">
      <w:pPr>
        <w:spacing w:line="360" w:lineRule="auto"/>
        <w:jc w:val="left"/>
        <w:outlineLvl w:val="1"/>
        <w:rPr>
          <w:rFonts w:hint="eastAsia"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3F6DABE5">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（1）、本项目采用工程量清单方式进行报价。</w:t>
      </w:r>
    </w:p>
    <w:p w14:paraId="6D68374C">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2）、本项目报价时，供应商在磋商文件、施工图纸的基础上，结合现场特殊情况、图纸无法表达或未表明的局部细节等进行报价。编制和报价过程须考虑为达到图纸表达的效果及需要的各项施工工艺、设备、材料、辅材辅料等，并填报综合单价和合价、按规定计取各项费用等。</w:t>
      </w:r>
    </w:p>
    <w:p w14:paraId="521E46E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w:t>
      </w:r>
    </w:p>
    <w:p w14:paraId="6E932C7D">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4）、供应商的技术文件中或磋商文件及所附采购图纸、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设计方案优化、劳务、材料、设备、机械等成本的价格变动而作任何调整。</w:t>
      </w:r>
    </w:p>
    <w:p w14:paraId="1F1E9B11">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（5）、供应商应先到工地踏勘以充分了解工地位置、情况、道路、储存空间、装卸限制及任何其它足以影响承包价的情况，任何因忽视或误解工地情况而导致的索赔或工期延长申请将不获批准。</w:t>
      </w:r>
    </w:p>
    <w:p w14:paraId="742FA521">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（6）、供应商应充分考虑停电、停水、二次搬运、施工场地不足、成品保护、重大活动引起的中断施工等情况可能引起的费用和工期。</w:t>
      </w:r>
    </w:p>
    <w:p w14:paraId="62DEC78A">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（7）、公共费用（如交通、市容、环保、噪音、治安等费用）由供应商自行调研作为单项费用计入措施项目费中，否则视作优惠。</w:t>
      </w:r>
    </w:p>
    <w:p w14:paraId="1799F05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（8）、根据相关规范要求，部分材料设备须通过第三方检测，涉及到的检测、监测、质检费用由成交供应商在磋商响应报价中综合考虑。</w:t>
      </w:r>
    </w:p>
    <w:p w14:paraId="07A63970">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9）、成交供应商在验收前需进行室内空气检测（依据GB-1883-2002标准），合格的检测报告作为验收合格依据，室内空气检测≥3个点位，初次检测不合格的，进行整改。直至检测合格，费用由成交供应商在磋商响应报价中综合考虑。</w:t>
      </w:r>
    </w:p>
    <w:p w14:paraId="0EF62C85">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（10）、本工程所有需要拆除的项目及现场要求的其他物体的拆除、清理、外运和处置，按“项”包干，结算不作调整，具体由供应商根据图纸和现场实际情况自行考虑。</w:t>
      </w:r>
    </w:p>
    <w:p w14:paraId="1516B1F3">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（11）、竣工后的开荒保洁费用包含在磋商总报价中，成交后，不另行支付。</w:t>
      </w:r>
    </w:p>
    <w:p w14:paraId="22B583A2">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（12）、响应文件中价格全部采用人民币报价。报价应是唯一的，采购人将不接受有选择的报价，且该磋商响应总价不受外汇汇率及其它因素的影响。</w:t>
      </w:r>
    </w:p>
    <w:p w14:paraId="288794DA">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13）、本项目采用固定单价，工程量按实结算。供应商所报价格中应包含规费、税金、企业管理费、措施费等国家、省、市强制性要求的费用。若磋商供应商报价不足或未报价，则视作优惠，一旦中标，磋商供应商自行承担该费用。</w:t>
      </w:r>
    </w:p>
    <w:p w14:paraId="545EE9BE">
      <w:pPr>
        <w:spacing w:line="360" w:lineRule="auto"/>
        <w:jc w:val="left"/>
        <w:outlineLvl w:val="1"/>
        <w:rPr>
          <w:rFonts w:hint="default"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六</w:t>
      </w:r>
      <w:r>
        <w:rPr>
          <w:rFonts w:hint="eastAsia" w:ascii="宋体" w:hAnsi="宋体" w:cs="仿宋_GB2312"/>
          <w:b/>
          <w:bCs/>
          <w:color w:val="auto"/>
          <w:sz w:val="24"/>
          <w:highlight w:val="none"/>
        </w:rPr>
        <w:t>、</w:t>
      </w:r>
      <w:r>
        <w:rPr>
          <w:rFonts w:hint="eastAsia" w:ascii="宋体" w:hAnsi="宋体" w:eastAsia="宋体" w:cs="宋体"/>
          <w:color w:val="auto"/>
          <w:sz w:val="24"/>
          <w:highlight w:val="none"/>
        </w:rPr>
        <w:t>参考制造商或品牌</w:t>
      </w:r>
      <w:r>
        <w:rPr>
          <w:rFonts w:hint="eastAsia" w:ascii="宋体" w:hAnsi="宋体" w:eastAsia="宋体" w:cs="宋体"/>
          <w:color w:val="auto"/>
          <w:sz w:val="24"/>
          <w:highlight w:val="none"/>
          <w:lang w:val="en-US" w:eastAsia="zh-CN"/>
        </w:rPr>
        <w:t>相关要求</w:t>
      </w:r>
    </w:p>
    <w:p w14:paraId="7B1B2F67">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工程用全部材料及设备应是全新的和质量合格的产品，均应满足设计文件的要求，并得到采购人、设计单位认可，且必须符合国家标准和相关技术规范规范，满足全年全天候工作。材料、设备进场前应向采购人和监理人提交产品说明（中文）、合格证、样品、装箱单、图纸等相关资料，并得到认可。</w:t>
      </w:r>
    </w:p>
    <w:p w14:paraId="2BF64EC8">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在投标报价时在推荐表中的推荐品牌内任选其一（或选择相当于推荐品牌同档次的品牌），并在材料表中或编制说明中注明主材的品牌、规格。</w:t>
      </w:r>
    </w:p>
    <w:p w14:paraId="6BB009EE">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所有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未确定品牌厂家的材料必须采用信誉好、品牌好、知名度高、同等行业中规模中等以上的生产厂家的产品，产品必须满足国家质量标准，由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自行采购。</w:t>
      </w:r>
    </w:p>
    <w:p w14:paraId="500AD872">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本编制说明中主要材料（设备）推荐品牌表中对材料设备品牌及系列、规格、型号等有要求的，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应按要求选择，并在"工程量清单报价说明"中注明。如未标明，则由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在要求范围内指定。</w:t>
      </w:r>
    </w:p>
    <w:p w14:paraId="053D82D8">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w:t>
      </w:r>
      <w:r>
        <w:rPr>
          <w:rFonts w:hint="eastAsia" w:ascii="宋体" w:hAnsi="宋体" w:cs="宋体"/>
          <w:color w:val="auto"/>
          <w:sz w:val="24"/>
          <w:highlight w:val="none"/>
          <w:lang w:eastAsia="zh-CN"/>
        </w:rPr>
        <w:t>磋商响应文件</w:t>
      </w:r>
      <w:r>
        <w:rPr>
          <w:rFonts w:hint="eastAsia" w:ascii="宋体" w:hAnsi="宋体" w:cs="宋体"/>
          <w:color w:val="auto"/>
          <w:sz w:val="24"/>
          <w:highlight w:val="none"/>
        </w:rPr>
        <w:t>中若提供了</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推荐品牌外的产品，应同时提供相当于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推荐品牌产品的证明材料。</w:t>
      </w:r>
    </w:p>
    <w:p w14:paraId="37DEC74B">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6.供应商</w:t>
      </w:r>
      <w:r>
        <w:rPr>
          <w:rFonts w:hint="eastAsia" w:ascii="宋体" w:hAnsi="宋体" w:cs="宋体"/>
          <w:color w:val="auto"/>
          <w:sz w:val="24"/>
          <w:highlight w:val="none"/>
        </w:rPr>
        <w:t>在施工过程中若采用与招标同档次品牌，必须经发包人签证同意后实施，否则不予以实施和结算。</w:t>
      </w:r>
    </w:p>
    <w:p w14:paraId="74834949">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本工程所选用建筑材料应符合《民用建筑工程室内环境污染控制规范》《建筑设计防火规范》等有关要求。</w:t>
      </w:r>
    </w:p>
    <w:p w14:paraId="537554DE">
      <w:pPr>
        <w:snapToGrid w:val="0"/>
        <w:spacing w:line="360" w:lineRule="auto"/>
        <w:ind w:firstLine="470" w:firstLineChars="196"/>
        <w:jc w:val="center"/>
        <w:rPr>
          <w:rFonts w:hint="eastAsia" w:ascii="宋体" w:hAnsi="宋体" w:cs="宋体"/>
          <w:b/>
          <w:color w:val="auto"/>
          <w:sz w:val="36"/>
          <w:szCs w:val="20"/>
          <w:highlight w:val="none"/>
        </w:rPr>
      </w:pPr>
      <w:r>
        <w:rPr>
          <w:rFonts w:hint="eastAsia" w:ascii="宋体" w:hAnsi="宋体" w:eastAsia="宋体" w:cs="宋体"/>
          <w:color w:val="auto"/>
          <w:sz w:val="24"/>
          <w:highlight w:val="none"/>
        </w:rPr>
        <w:t>参考制造商或品牌的材料表</w:t>
      </w:r>
    </w:p>
    <w:tbl>
      <w:tblPr>
        <w:tblStyle w:val="63"/>
        <w:tblpPr w:leftFromText="180" w:rightFromText="180" w:vertAnchor="text" w:horzAnchor="page" w:tblpX="1780" w:tblpY="455"/>
        <w:tblOverlap w:val="never"/>
        <w:tblW w:w="43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570"/>
        <w:gridCol w:w="4058"/>
      </w:tblGrid>
      <w:tr w14:paraId="7313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08" w:type="pct"/>
            <w:vAlign w:val="center"/>
          </w:tcPr>
          <w:p w14:paraId="47481D5C">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55" w:type="pct"/>
            <w:vAlign w:val="center"/>
          </w:tcPr>
          <w:p w14:paraId="71A13C37">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材料/设备名称</w:t>
            </w:r>
          </w:p>
        </w:tc>
        <w:tc>
          <w:tcPr>
            <w:tcW w:w="2335" w:type="pct"/>
            <w:vAlign w:val="center"/>
          </w:tcPr>
          <w:p w14:paraId="04409B8B">
            <w:pPr>
              <w:widowControl/>
              <w:ind w:left="107" w:hanging="122" w:hangingChars="51"/>
              <w:jc w:val="center"/>
              <w:rPr>
                <w:rFonts w:hint="eastAsia" w:ascii="宋体" w:hAnsi="宋体" w:eastAsia="宋体" w:cs="宋体"/>
                <w:color w:val="auto"/>
                <w:sz w:val="24"/>
                <w:szCs w:val="24"/>
                <w:highlight w:val="none"/>
                <w:lang w:val="en-US" w:eastAsia="zh-CN"/>
              </w:rPr>
            </w:pPr>
          </w:p>
          <w:p w14:paraId="1C18FEC5">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推荐生产厂或品牌</w:t>
            </w:r>
          </w:p>
          <w:p w14:paraId="102D21D4">
            <w:pPr>
              <w:widowControl/>
              <w:jc w:val="center"/>
              <w:rPr>
                <w:rFonts w:hint="eastAsia" w:ascii="宋体" w:hAnsi="宋体" w:eastAsia="宋体" w:cs="宋体"/>
                <w:color w:val="auto"/>
                <w:sz w:val="24"/>
                <w:szCs w:val="24"/>
                <w:highlight w:val="none"/>
                <w:lang w:val="en-US" w:eastAsia="zh-CN"/>
              </w:rPr>
            </w:pPr>
          </w:p>
        </w:tc>
      </w:tr>
      <w:tr w14:paraId="41F3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08" w:type="pct"/>
            <w:vAlign w:val="center"/>
          </w:tcPr>
          <w:p w14:paraId="23378142">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55" w:type="pct"/>
            <w:vAlign w:val="center"/>
          </w:tcPr>
          <w:p w14:paraId="35AE1EB9">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电线、电缆</w:t>
            </w:r>
          </w:p>
        </w:tc>
        <w:tc>
          <w:tcPr>
            <w:tcW w:w="2335" w:type="pct"/>
            <w:vAlign w:val="center"/>
          </w:tcPr>
          <w:p w14:paraId="218BA22F">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浙江元通、江苏宝胜、浙江万马、</w:t>
            </w:r>
          </w:p>
          <w:p w14:paraId="6C7AD6C5">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上上、远东或同等档次及以上</w:t>
            </w:r>
          </w:p>
        </w:tc>
      </w:tr>
      <w:tr w14:paraId="2739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705977AD">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55" w:type="pct"/>
            <w:vAlign w:val="center"/>
          </w:tcPr>
          <w:p w14:paraId="0FD12005">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照明灯具（含光源）</w:t>
            </w:r>
          </w:p>
        </w:tc>
        <w:tc>
          <w:tcPr>
            <w:tcW w:w="2335" w:type="pct"/>
            <w:vAlign w:val="center"/>
          </w:tcPr>
          <w:p w14:paraId="56D6786A">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三雄极光、松下、雷士或同等档次及以上</w:t>
            </w:r>
          </w:p>
        </w:tc>
      </w:tr>
      <w:tr w14:paraId="3DFC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4849BDF1">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55" w:type="pct"/>
            <w:vAlign w:val="center"/>
          </w:tcPr>
          <w:p w14:paraId="22B424B3">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开关、插座</w:t>
            </w:r>
          </w:p>
        </w:tc>
        <w:tc>
          <w:tcPr>
            <w:tcW w:w="2335" w:type="pct"/>
            <w:vAlign w:val="center"/>
          </w:tcPr>
          <w:p w14:paraId="0A8632A5">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西门子、施耐德、松下、ABB 或</w:t>
            </w:r>
          </w:p>
          <w:p w14:paraId="4A01A03D">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同等档次及以上</w:t>
            </w:r>
          </w:p>
        </w:tc>
      </w:tr>
      <w:tr w14:paraId="2FFD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5B461C84">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55" w:type="pct"/>
            <w:vAlign w:val="center"/>
          </w:tcPr>
          <w:p w14:paraId="349A8C1E">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配电箱（含设备自带控制</w:t>
            </w:r>
          </w:p>
          <w:p w14:paraId="0644A2ED">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箱）内元器件</w:t>
            </w:r>
          </w:p>
        </w:tc>
        <w:tc>
          <w:tcPr>
            <w:tcW w:w="2335" w:type="pct"/>
            <w:vAlign w:val="center"/>
          </w:tcPr>
          <w:p w14:paraId="01448CB0">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施耐德、ABB、西门子或同等档</w:t>
            </w:r>
          </w:p>
          <w:p w14:paraId="46EB1598">
            <w:pPr>
              <w:widowControl/>
              <w:ind w:left="107" w:hanging="122" w:hangingChars="51"/>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次及以上</w:t>
            </w:r>
          </w:p>
        </w:tc>
      </w:tr>
      <w:tr w14:paraId="30AF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12B7055D">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55" w:type="pct"/>
            <w:shd w:val="clear" w:color="auto" w:fill="auto"/>
            <w:vAlign w:val="center"/>
          </w:tcPr>
          <w:p w14:paraId="61B5FAD1">
            <w:pPr>
              <w:widowControl/>
              <w:ind w:left="107" w:hanging="122" w:hangingChars="51"/>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卫生洁具</w:t>
            </w:r>
          </w:p>
        </w:tc>
        <w:tc>
          <w:tcPr>
            <w:tcW w:w="2335" w:type="pct"/>
            <w:shd w:val="clear" w:color="auto" w:fill="auto"/>
            <w:vAlign w:val="center"/>
          </w:tcPr>
          <w:p w14:paraId="464BB6EE">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箭牌</w:t>
            </w:r>
            <w:r>
              <w:rPr>
                <w:rFonts w:hint="eastAsia" w:ascii="宋体" w:hAnsi="宋体" w:eastAsia="宋体" w:cs="宋体"/>
                <w:bCs w:val="0"/>
                <w:color w:val="auto"/>
                <w:sz w:val="24"/>
                <w:szCs w:val="24"/>
                <w:highlight w:val="none"/>
              </w:rPr>
              <w:t>、TOTO、科勒</w:t>
            </w:r>
            <w:r>
              <w:rPr>
                <w:rFonts w:hint="eastAsia" w:ascii="宋体" w:hAnsi="宋体" w:eastAsia="宋体" w:cs="宋体"/>
                <w:color w:val="auto"/>
                <w:sz w:val="24"/>
                <w:szCs w:val="24"/>
                <w:highlight w:val="none"/>
                <w:lang w:val="en-US" w:eastAsia="zh-CN"/>
              </w:rPr>
              <w:t>或同等档</w:t>
            </w:r>
          </w:p>
          <w:p w14:paraId="376FC218">
            <w:pPr>
              <w:pStyle w:val="968"/>
              <w:ind w:firstLine="480" w:firstLineChars="200"/>
              <w:jc w:val="center"/>
              <w:rPr>
                <w:rFonts w:hint="eastAsia" w:ascii="宋体" w:hAnsi="宋体" w:eastAsia="宋体" w:cs="宋体"/>
                <w:bCs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次及以上</w:t>
            </w:r>
          </w:p>
        </w:tc>
      </w:tr>
      <w:tr w14:paraId="0132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vAlign w:val="center"/>
          </w:tcPr>
          <w:p w14:paraId="4BAC16C2">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55" w:type="pct"/>
            <w:shd w:val="clear" w:color="auto" w:fill="auto"/>
            <w:vAlign w:val="center"/>
          </w:tcPr>
          <w:p w14:paraId="45E3E228">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PVC-U管、PPR管</w:t>
            </w:r>
          </w:p>
        </w:tc>
        <w:tc>
          <w:tcPr>
            <w:tcW w:w="2335" w:type="pct"/>
            <w:shd w:val="clear" w:color="auto" w:fill="auto"/>
            <w:vAlign w:val="center"/>
          </w:tcPr>
          <w:p w14:paraId="55DE1B2B">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联塑</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中财</w:t>
            </w:r>
            <w:r>
              <w:rPr>
                <w:rFonts w:hint="eastAsia" w:ascii="宋体" w:hAnsi="宋体" w:eastAsia="宋体" w:cs="宋体"/>
                <w:bCs w:val="0"/>
                <w:color w:val="auto"/>
                <w:sz w:val="24"/>
                <w:szCs w:val="24"/>
                <w:highlight w:val="none"/>
              </w:rPr>
              <w:t>、公元</w:t>
            </w:r>
            <w:r>
              <w:rPr>
                <w:rFonts w:hint="eastAsia" w:ascii="宋体" w:hAnsi="宋体" w:eastAsia="宋体" w:cs="宋体"/>
                <w:color w:val="auto"/>
                <w:sz w:val="24"/>
                <w:szCs w:val="24"/>
                <w:highlight w:val="none"/>
                <w:lang w:val="en-US" w:eastAsia="zh-CN"/>
              </w:rPr>
              <w:t>或同等档</w:t>
            </w:r>
          </w:p>
          <w:p w14:paraId="60DAA502">
            <w:pPr>
              <w:pStyle w:val="968"/>
              <w:ind w:firstLine="0" w:firstLineChars="0"/>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次及以上</w:t>
            </w:r>
          </w:p>
        </w:tc>
      </w:tr>
      <w:tr w14:paraId="1C6C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2FC5DBDD">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55" w:type="pct"/>
            <w:shd w:val="clear" w:color="auto" w:fill="auto"/>
            <w:vAlign w:val="center"/>
          </w:tcPr>
          <w:p w14:paraId="5F07459A">
            <w:pPr>
              <w:widowControl/>
              <w:ind w:left="107" w:hanging="122" w:hangingChars="5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钢塑复合管</w:t>
            </w:r>
          </w:p>
        </w:tc>
        <w:tc>
          <w:tcPr>
            <w:tcW w:w="2335" w:type="pct"/>
            <w:shd w:val="clear" w:color="auto" w:fill="auto"/>
            <w:vAlign w:val="center"/>
          </w:tcPr>
          <w:p w14:paraId="63B12370">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联塑</w:t>
            </w:r>
            <w:r>
              <w:rPr>
                <w:rFonts w:hint="eastAsia" w:ascii="宋体" w:hAnsi="宋体" w:eastAsia="宋体" w:cs="宋体"/>
                <w:bCs w:val="0"/>
                <w:color w:val="auto"/>
                <w:sz w:val="24"/>
                <w:szCs w:val="24"/>
                <w:highlight w:val="none"/>
              </w:rPr>
              <w:t>、伟星、公元</w:t>
            </w:r>
            <w:r>
              <w:rPr>
                <w:rFonts w:hint="eastAsia" w:ascii="宋体" w:hAnsi="宋体" w:eastAsia="宋体" w:cs="宋体"/>
                <w:color w:val="auto"/>
                <w:sz w:val="24"/>
                <w:szCs w:val="24"/>
                <w:highlight w:val="none"/>
                <w:lang w:val="en-US" w:eastAsia="zh-CN"/>
              </w:rPr>
              <w:t>或同等档</w:t>
            </w:r>
          </w:p>
          <w:p w14:paraId="6BE68812">
            <w:pPr>
              <w:pStyle w:val="968"/>
              <w:ind w:firstLine="0" w:firstLineChars="0"/>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次及以上</w:t>
            </w:r>
          </w:p>
        </w:tc>
      </w:tr>
      <w:tr w14:paraId="1900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3446A1F0">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55" w:type="pct"/>
            <w:shd w:val="clear" w:color="auto" w:fill="auto"/>
            <w:vAlign w:val="center"/>
          </w:tcPr>
          <w:p w14:paraId="6A629E13">
            <w:pPr>
              <w:pStyle w:val="96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不锈钢管</w:t>
            </w:r>
          </w:p>
        </w:tc>
        <w:tc>
          <w:tcPr>
            <w:tcW w:w="2335" w:type="pct"/>
            <w:shd w:val="clear" w:color="auto" w:fill="auto"/>
            <w:vAlign w:val="center"/>
          </w:tcPr>
          <w:p w14:paraId="251929B5">
            <w:pPr>
              <w:widowControl/>
              <w:ind w:left="107" w:hanging="122" w:hangingChars="51"/>
              <w:jc w:val="center"/>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联塑</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中财</w:t>
            </w:r>
            <w:r>
              <w:rPr>
                <w:rFonts w:hint="eastAsia" w:ascii="宋体" w:hAnsi="宋体" w:eastAsia="宋体" w:cs="宋体"/>
                <w:bCs w:val="0"/>
                <w:color w:val="auto"/>
                <w:sz w:val="24"/>
                <w:szCs w:val="24"/>
                <w:highlight w:val="none"/>
              </w:rPr>
              <w:t>、公元</w:t>
            </w:r>
            <w:r>
              <w:rPr>
                <w:rFonts w:hint="eastAsia" w:ascii="宋体" w:hAnsi="宋体" w:eastAsia="宋体" w:cs="宋体"/>
                <w:color w:val="auto"/>
                <w:sz w:val="24"/>
                <w:szCs w:val="24"/>
                <w:highlight w:val="none"/>
                <w:lang w:val="en-US" w:eastAsia="zh-CN"/>
              </w:rPr>
              <w:t>或同等档</w:t>
            </w:r>
          </w:p>
          <w:p w14:paraId="052F696F">
            <w:pPr>
              <w:pStyle w:val="968"/>
              <w:ind w:firstLine="0" w:firstLineChars="0"/>
              <w:jc w:val="center"/>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lang w:val="en-US" w:eastAsia="zh-CN"/>
              </w:rPr>
              <w:t>次及以上</w:t>
            </w:r>
          </w:p>
        </w:tc>
      </w:tr>
      <w:tr w14:paraId="68C9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18C0B568">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55" w:type="pct"/>
            <w:shd w:val="clear" w:color="auto" w:fill="auto"/>
            <w:vAlign w:val="center"/>
          </w:tcPr>
          <w:p w14:paraId="1E96365A">
            <w:pPr>
              <w:pStyle w:val="59"/>
              <w:widowControl/>
              <w:spacing w:beforeAutospacing="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瓷砖</w:t>
            </w:r>
          </w:p>
        </w:tc>
        <w:tc>
          <w:tcPr>
            <w:tcW w:w="2335" w:type="pct"/>
            <w:shd w:val="clear" w:color="auto" w:fill="auto"/>
            <w:vAlign w:val="center"/>
          </w:tcPr>
          <w:p w14:paraId="51C006F4">
            <w:pPr>
              <w:widowControl/>
              <w:ind w:left="122" w:leftChars="0" w:hanging="122" w:hangingChars="5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东鹏、马可波罗，</w:t>
            </w:r>
            <w:r>
              <w:rPr>
                <w:rFonts w:hint="eastAsia" w:ascii="宋体" w:hAnsi="宋体" w:eastAsia="宋体" w:cs="宋体"/>
                <w:color w:val="auto"/>
                <w:sz w:val="24"/>
                <w:szCs w:val="24"/>
                <w:highlight w:val="none"/>
                <w:lang w:val="en-US" w:eastAsia="zh-CN"/>
              </w:rPr>
              <w:t>斯米克</w:t>
            </w:r>
            <w:r>
              <w:rPr>
                <w:rFonts w:hint="eastAsia" w:ascii="宋体" w:hAnsi="宋体" w:eastAsia="宋体" w:cs="宋体"/>
                <w:color w:val="auto"/>
                <w:sz w:val="24"/>
                <w:szCs w:val="24"/>
                <w:highlight w:val="none"/>
              </w:rPr>
              <w:t>或同等档次及以上</w:t>
            </w:r>
          </w:p>
        </w:tc>
      </w:tr>
      <w:tr w14:paraId="008C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2939E49B">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55" w:type="pct"/>
            <w:shd w:val="clear" w:color="auto" w:fill="auto"/>
            <w:vAlign w:val="center"/>
          </w:tcPr>
          <w:p w14:paraId="3F12135F">
            <w:pPr>
              <w:pStyle w:val="59"/>
              <w:widowControl/>
              <w:spacing w:beforeAutospacing="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乳胶漆</w:t>
            </w:r>
          </w:p>
        </w:tc>
        <w:tc>
          <w:tcPr>
            <w:tcW w:w="2335" w:type="pct"/>
            <w:shd w:val="clear" w:color="auto" w:fill="auto"/>
            <w:vAlign w:val="center"/>
          </w:tcPr>
          <w:p w14:paraId="18CFF40D">
            <w:pPr>
              <w:widowControl/>
              <w:ind w:left="122" w:leftChars="0" w:hanging="122" w:hangingChars="5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立邦、多乐士、三棵树或同等档次及以上</w:t>
            </w:r>
          </w:p>
        </w:tc>
      </w:tr>
      <w:tr w14:paraId="4DBB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75889AA7">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55" w:type="pct"/>
            <w:shd w:val="clear" w:color="auto" w:fill="auto"/>
            <w:vAlign w:val="center"/>
          </w:tcPr>
          <w:p w14:paraId="4FCDCF07">
            <w:pPr>
              <w:pStyle w:val="59"/>
              <w:widowControl/>
              <w:spacing w:beforeAutospacing="0" w:afterAutospacing="0"/>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铝扣板</w:t>
            </w:r>
          </w:p>
        </w:tc>
        <w:tc>
          <w:tcPr>
            <w:tcW w:w="2335" w:type="pct"/>
            <w:shd w:val="clear" w:color="auto" w:fill="auto"/>
            <w:vAlign w:val="center"/>
          </w:tcPr>
          <w:p w14:paraId="7714B55A">
            <w:pPr>
              <w:widowControl/>
              <w:ind w:left="122" w:leftChars="0" w:hanging="122" w:hangingChars="5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奥普、友邦、欧陆或同等档次及以上</w:t>
            </w:r>
          </w:p>
        </w:tc>
      </w:tr>
      <w:tr w14:paraId="6472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22FADC37">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55" w:type="pct"/>
            <w:shd w:val="clear" w:color="auto" w:fill="auto"/>
            <w:vAlign w:val="center"/>
          </w:tcPr>
          <w:p w14:paraId="43A78748">
            <w:pPr>
              <w:pStyle w:val="96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轻钢龙骨、石膏板</w:t>
            </w:r>
          </w:p>
        </w:tc>
        <w:tc>
          <w:tcPr>
            <w:tcW w:w="2335" w:type="pct"/>
            <w:shd w:val="clear" w:color="auto" w:fill="auto"/>
            <w:vAlign w:val="center"/>
          </w:tcPr>
          <w:p w14:paraId="21EF8071">
            <w:pPr>
              <w:pStyle w:val="968"/>
              <w:ind w:firstLine="0" w:firstLineChars="0"/>
              <w:jc w:val="cente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龙牌、可耐福、杰科</w:t>
            </w:r>
            <w:r>
              <w:rPr>
                <w:rFonts w:hint="eastAsia" w:ascii="宋体" w:hAnsi="宋体" w:eastAsia="宋体" w:cs="宋体"/>
                <w:color w:val="auto"/>
                <w:sz w:val="24"/>
                <w:szCs w:val="24"/>
                <w:highlight w:val="none"/>
              </w:rPr>
              <w:t>或同等档次及以上</w:t>
            </w:r>
          </w:p>
        </w:tc>
      </w:tr>
      <w:tr w14:paraId="64C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08082C35">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55" w:type="pct"/>
            <w:shd w:val="clear" w:color="auto" w:fill="auto"/>
            <w:vAlign w:val="center"/>
          </w:tcPr>
          <w:p w14:paraId="5A5EA589">
            <w:pPr>
              <w:pStyle w:val="96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阻燃板</w:t>
            </w:r>
          </w:p>
        </w:tc>
        <w:tc>
          <w:tcPr>
            <w:tcW w:w="2335" w:type="pct"/>
            <w:shd w:val="clear" w:color="auto" w:fill="auto"/>
            <w:vAlign w:val="center"/>
          </w:tcPr>
          <w:p w14:paraId="47A3E8B7">
            <w:pPr>
              <w:pStyle w:val="968"/>
              <w:ind w:firstLine="0" w:firstLineChars="0"/>
              <w:jc w:val="cente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兔宝宝、千年舟、莫干山</w:t>
            </w:r>
            <w:r>
              <w:rPr>
                <w:rFonts w:hint="eastAsia" w:ascii="宋体" w:hAnsi="宋体" w:eastAsia="宋体" w:cs="宋体"/>
                <w:color w:val="auto"/>
                <w:sz w:val="24"/>
                <w:szCs w:val="24"/>
                <w:highlight w:val="none"/>
              </w:rPr>
              <w:t>或同等档次及以上</w:t>
            </w:r>
          </w:p>
        </w:tc>
      </w:tr>
      <w:tr w14:paraId="725C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8" w:type="pct"/>
          </w:tcPr>
          <w:p w14:paraId="1EE32E9D">
            <w:pPr>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55" w:type="pct"/>
            <w:shd w:val="clear" w:color="auto" w:fill="auto"/>
            <w:vAlign w:val="center"/>
          </w:tcPr>
          <w:p w14:paraId="77C2A002">
            <w:pPr>
              <w:pStyle w:val="96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防水涂料</w:t>
            </w:r>
          </w:p>
        </w:tc>
        <w:tc>
          <w:tcPr>
            <w:tcW w:w="2335" w:type="pct"/>
            <w:shd w:val="clear" w:color="auto" w:fill="auto"/>
            <w:vAlign w:val="center"/>
          </w:tcPr>
          <w:p w14:paraId="686E2707">
            <w:pPr>
              <w:pStyle w:val="968"/>
              <w:ind w:firstLine="0" w:firstLineChars="0"/>
              <w:jc w:val="center"/>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东方雨虹、德高、科顺</w:t>
            </w:r>
            <w:r>
              <w:rPr>
                <w:rFonts w:hint="eastAsia" w:ascii="宋体" w:hAnsi="宋体" w:eastAsia="宋体" w:cs="宋体"/>
                <w:color w:val="auto"/>
                <w:sz w:val="24"/>
                <w:szCs w:val="24"/>
                <w:highlight w:val="none"/>
              </w:rPr>
              <w:t>或同等档次及以上</w:t>
            </w:r>
          </w:p>
        </w:tc>
      </w:tr>
    </w:tbl>
    <w:p w14:paraId="302F7761">
      <w:pPr>
        <w:pStyle w:val="80"/>
        <w:rPr>
          <w:rFonts w:hint="eastAsia"/>
          <w:color w:val="auto"/>
          <w:highlight w:val="none"/>
        </w:rPr>
        <w:sectPr>
          <w:pgSz w:w="11907" w:h="16840"/>
          <w:pgMar w:top="1440" w:right="1080" w:bottom="1440" w:left="1080" w:header="851" w:footer="851" w:gutter="0"/>
          <w:cols w:space="720" w:num="1"/>
        </w:sectPr>
      </w:pPr>
    </w:p>
    <w:p w14:paraId="74662F1B">
      <w:pPr>
        <w:snapToGrid w:val="0"/>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3" w:name="_Toc184314462"/>
      <w:bookmarkEnd w:id="33"/>
      <w:bookmarkStart w:id="34" w:name="_Toc184308084"/>
      <w:bookmarkEnd w:id="34"/>
      <w:bookmarkStart w:id="35" w:name="_Toc184310298"/>
      <w:bookmarkEnd w:id="35"/>
      <w:bookmarkStart w:id="36" w:name="_Toc184312108"/>
      <w:bookmarkEnd w:id="36"/>
      <w:bookmarkStart w:id="37" w:name="_Toc184313252"/>
      <w:bookmarkEnd w:id="37"/>
      <w:bookmarkStart w:id="38" w:name="_Toc184314410"/>
      <w:bookmarkEnd w:id="38"/>
      <w:bookmarkStart w:id="39" w:name="_Toc184308096"/>
      <w:bookmarkEnd w:id="39"/>
      <w:bookmarkStart w:id="40" w:name="_Toc184308038"/>
      <w:bookmarkEnd w:id="40"/>
      <w:bookmarkStart w:id="41" w:name="_Toc184312075"/>
      <w:bookmarkEnd w:id="41"/>
      <w:bookmarkStart w:id="42" w:name="_Toc184308106"/>
      <w:bookmarkEnd w:id="42"/>
      <w:bookmarkStart w:id="43" w:name="_Toc184313281"/>
      <w:bookmarkEnd w:id="43"/>
      <w:bookmarkStart w:id="44" w:name="_Toc184312139"/>
      <w:bookmarkEnd w:id="44"/>
      <w:bookmarkStart w:id="45" w:name="_Toc184314419"/>
      <w:bookmarkEnd w:id="45"/>
      <w:bookmarkStart w:id="46" w:name="_Toc184308055"/>
      <w:bookmarkEnd w:id="46"/>
      <w:bookmarkStart w:id="47" w:name="_Toc184310274"/>
      <w:bookmarkEnd w:id="47"/>
      <w:bookmarkStart w:id="48" w:name="_Toc184310314"/>
      <w:bookmarkEnd w:id="48"/>
      <w:bookmarkStart w:id="49" w:name="_Toc184312107"/>
      <w:bookmarkEnd w:id="49"/>
      <w:bookmarkStart w:id="50" w:name="_Toc184310311"/>
      <w:bookmarkEnd w:id="50"/>
      <w:bookmarkStart w:id="51" w:name="_Toc184308048"/>
      <w:bookmarkEnd w:id="51"/>
      <w:bookmarkStart w:id="52" w:name="_Toc184314434"/>
      <w:bookmarkEnd w:id="52"/>
      <w:bookmarkStart w:id="53" w:name="_Toc184314426"/>
      <w:bookmarkEnd w:id="53"/>
      <w:bookmarkStart w:id="54" w:name="_Toc184313239"/>
      <w:bookmarkEnd w:id="54"/>
      <w:bookmarkStart w:id="55" w:name="_Toc184310308"/>
      <w:bookmarkEnd w:id="55"/>
      <w:bookmarkStart w:id="56" w:name="_Toc184308085"/>
      <w:bookmarkEnd w:id="56"/>
      <w:bookmarkStart w:id="57" w:name="_Toc184314441"/>
      <w:bookmarkEnd w:id="57"/>
      <w:bookmarkStart w:id="58" w:name="_Toc184314458"/>
      <w:bookmarkEnd w:id="58"/>
      <w:bookmarkStart w:id="59" w:name="_Toc184313250"/>
      <w:bookmarkEnd w:id="59"/>
      <w:bookmarkStart w:id="60" w:name="_Toc184310302"/>
      <w:bookmarkEnd w:id="60"/>
      <w:bookmarkStart w:id="61" w:name="_Toc184312136"/>
      <w:bookmarkEnd w:id="61"/>
      <w:bookmarkStart w:id="62" w:name="_Toc184308090"/>
      <w:bookmarkEnd w:id="62"/>
      <w:bookmarkStart w:id="63" w:name="_Toc184308043"/>
      <w:bookmarkEnd w:id="63"/>
      <w:bookmarkStart w:id="64" w:name="_Toc184313296"/>
      <w:bookmarkEnd w:id="64"/>
      <w:bookmarkStart w:id="65" w:name="_Toc184314440"/>
      <w:bookmarkEnd w:id="65"/>
      <w:bookmarkStart w:id="66" w:name="_Toc184308050"/>
      <w:bookmarkEnd w:id="66"/>
      <w:bookmarkStart w:id="67" w:name="_Toc184313305"/>
      <w:bookmarkEnd w:id="67"/>
      <w:bookmarkStart w:id="68" w:name="_Toc184314411"/>
      <w:bookmarkEnd w:id="68"/>
      <w:bookmarkStart w:id="69" w:name="_Toc184312091"/>
      <w:bookmarkEnd w:id="69"/>
      <w:bookmarkStart w:id="70" w:name="_Toc184312080"/>
      <w:bookmarkEnd w:id="70"/>
      <w:bookmarkStart w:id="71" w:name="_Toc184310331"/>
      <w:bookmarkEnd w:id="71"/>
      <w:bookmarkStart w:id="72" w:name="_Toc184308103"/>
      <w:bookmarkEnd w:id="72"/>
      <w:bookmarkStart w:id="73" w:name="_Toc184310336"/>
      <w:bookmarkEnd w:id="73"/>
      <w:bookmarkStart w:id="74" w:name="_Toc184308071"/>
      <w:bookmarkEnd w:id="74"/>
      <w:bookmarkStart w:id="75" w:name="_Toc184312076"/>
      <w:bookmarkEnd w:id="75"/>
      <w:bookmarkStart w:id="76" w:name="_Toc184308062"/>
      <w:bookmarkEnd w:id="76"/>
      <w:bookmarkStart w:id="77" w:name="_Toc184308091"/>
      <w:bookmarkEnd w:id="77"/>
      <w:bookmarkStart w:id="78" w:name="_Toc184314437"/>
      <w:bookmarkEnd w:id="78"/>
      <w:bookmarkStart w:id="79" w:name="_Toc184314475"/>
      <w:bookmarkEnd w:id="79"/>
      <w:bookmarkStart w:id="80" w:name="_Toc184313295"/>
      <w:bookmarkEnd w:id="80"/>
      <w:bookmarkStart w:id="81" w:name="_Toc184312114"/>
      <w:bookmarkEnd w:id="81"/>
      <w:bookmarkStart w:id="82" w:name="_Toc184313298"/>
      <w:bookmarkEnd w:id="82"/>
      <w:bookmarkStart w:id="83" w:name="_Toc184312078"/>
      <w:bookmarkEnd w:id="83"/>
      <w:bookmarkStart w:id="84" w:name="_Toc184313280"/>
      <w:bookmarkEnd w:id="84"/>
      <w:bookmarkStart w:id="85" w:name="_Toc184314481"/>
      <w:bookmarkEnd w:id="85"/>
      <w:bookmarkStart w:id="86" w:name="_Toc184313244"/>
      <w:bookmarkEnd w:id="86"/>
      <w:bookmarkStart w:id="87" w:name="_Toc184314468"/>
      <w:bookmarkEnd w:id="87"/>
      <w:bookmarkStart w:id="88" w:name="_Toc184310309"/>
      <w:bookmarkEnd w:id="88"/>
      <w:bookmarkStart w:id="89" w:name="_Toc184314457"/>
      <w:bookmarkEnd w:id="89"/>
      <w:bookmarkStart w:id="90" w:name="_Toc184310307"/>
      <w:bookmarkEnd w:id="90"/>
      <w:bookmarkStart w:id="91" w:name="_Toc184314472"/>
      <w:bookmarkEnd w:id="91"/>
      <w:bookmarkStart w:id="92" w:name="_Toc184313241"/>
      <w:bookmarkEnd w:id="92"/>
      <w:bookmarkStart w:id="93" w:name="_Toc184310327"/>
      <w:bookmarkEnd w:id="93"/>
      <w:bookmarkStart w:id="94" w:name="_Toc184313240"/>
      <w:bookmarkEnd w:id="94"/>
      <w:bookmarkStart w:id="95" w:name="_Toc184308042"/>
      <w:bookmarkEnd w:id="95"/>
      <w:bookmarkStart w:id="96" w:name="_Toc184312098"/>
      <w:bookmarkEnd w:id="96"/>
      <w:bookmarkStart w:id="97" w:name="_Toc184313292"/>
      <w:bookmarkEnd w:id="97"/>
      <w:bookmarkStart w:id="98" w:name="_Toc184313243"/>
      <w:bookmarkEnd w:id="98"/>
      <w:bookmarkStart w:id="99" w:name="_Toc184312092"/>
      <w:bookmarkEnd w:id="99"/>
      <w:bookmarkStart w:id="100" w:name="_Toc184314476"/>
      <w:bookmarkEnd w:id="100"/>
      <w:bookmarkStart w:id="101" w:name="_Toc184308092"/>
      <w:bookmarkEnd w:id="101"/>
      <w:bookmarkStart w:id="102" w:name="_Toc184313271"/>
      <w:bookmarkEnd w:id="102"/>
      <w:bookmarkStart w:id="103" w:name="_Toc184313303"/>
      <w:bookmarkEnd w:id="103"/>
      <w:bookmarkStart w:id="104" w:name="_Toc184313307"/>
      <w:bookmarkEnd w:id="104"/>
      <w:bookmarkStart w:id="105" w:name="_Toc184310338"/>
      <w:bookmarkEnd w:id="105"/>
      <w:bookmarkStart w:id="106" w:name="_Toc184308057"/>
      <w:bookmarkEnd w:id="106"/>
      <w:bookmarkStart w:id="107" w:name="_Toc184310322"/>
      <w:bookmarkEnd w:id="107"/>
      <w:bookmarkStart w:id="108" w:name="_Toc184308082"/>
      <w:bookmarkEnd w:id="108"/>
      <w:bookmarkStart w:id="109" w:name="_Toc184310277"/>
      <w:bookmarkEnd w:id="109"/>
      <w:bookmarkStart w:id="110" w:name="_Toc184310325"/>
      <w:bookmarkEnd w:id="110"/>
      <w:bookmarkStart w:id="111" w:name="_Toc184308060"/>
      <w:bookmarkEnd w:id="111"/>
      <w:bookmarkStart w:id="112" w:name="_Toc184314425"/>
      <w:bookmarkEnd w:id="112"/>
      <w:bookmarkStart w:id="113" w:name="_Toc184313273"/>
      <w:bookmarkEnd w:id="113"/>
      <w:bookmarkStart w:id="114" w:name="_Toc184312129"/>
      <w:bookmarkEnd w:id="114"/>
      <w:bookmarkStart w:id="115" w:name="_Toc184314478"/>
      <w:bookmarkEnd w:id="115"/>
      <w:bookmarkStart w:id="116" w:name="_Toc184312105"/>
      <w:bookmarkEnd w:id="116"/>
      <w:bookmarkStart w:id="117" w:name="_Toc184308086"/>
      <w:bookmarkEnd w:id="117"/>
      <w:bookmarkStart w:id="118" w:name="_Toc184310319"/>
      <w:bookmarkEnd w:id="118"/>
      <w:bookmarkStart w:id="119" w:name="_Toc184313261"/>
      <w:bookmarkEnd w:id="119"/>
      <w:bookmarkStart w:id="120" w:name="_Toc184312135"/>
      <w:bookmarkEnd w:id="120"/>
      <w:bookmarkStart w:id="121" w:name="_Toc184310291"/>
      <w:bookmarkEnd w:id="121"/>
      <w:bookmarkStart w:id="122" w:name="_Toc184314453"/>
      <w:bookmarkEnd w:id="122"/>
      <w:bookmarkStart w:id="123" w:name="_Toc184314439"/>
      <w:bookmarkEnd w:id="123"/>
      <w:bookmarkStart w:id="124" w:name="_Toc184310326"/>
      <w:bookmarkEnd w:id="124"/>
      <w:bookmarkStart w:id="125" w:name="_Toc184314477"/>
      <w:bookmarkEnd w:id="125"/>
      <w:bookmarkStart w:id="126" w:name="_Toc184308049"/>
      <w:bookmarkEnd w:id="126"/>
      <w:bookmarkStart w:id="127" w:name="_Toc184314445"/>
      <w:bookmarkEnd w:id="127"/>
      <w:bookmarkStart w:id="128" w:name="_Toc184310276"/>
      <w:bookmarkEnd w:id="128"/>
      <w:bookmarkStart w:id="129" w:name="_Toc184313297"/>
      <w:bookmarkEnd w:id="129"/>
      <w:bookmarkStart w:id="130" w:name="_Toc184313238"/>
      <w:bookmarkEnd w:id="130"/>
      <w:bookmarkStart w:id="131" w:name="_Toc184310295"/>
      <w:bookmarkEnd w:id="131"/>
      <w:bookmarkStart w:id="132" w:name="_Toc184310344"/>
      <w:bookmarkEnd w:id="132"/>
      <w:bookmarkStart w:id="133" w:name="_Toc184314464"/>
      <w:bookmarkEnd w:id="133"/>
      <w:bookmarkStart w:id="134" w:name="_Toc184312127"/>
      <w:bookmarkEnd w:id="134"/>
      <w:bookmarkStart w:id="135" w:name="_Toc184308053"/>
      <w:bookmarkEnd w:id="135"/>
      <w:bookmarkStart w:id="136" w:name="_Toc184308102"/>
      <w:bookmarkEnd w:id="136"/>
      <w:bookmarkStart w:id="137" w:name="_Toc184314432"/>
      <w:bookmarkEnd w:id="137"/>
      <w:bookmarkStart w:id="138" w:name="_Toc184312118"/>
      <w:bookmarkEnd w:id="138"/>
      <w:bookmarkStart w:id="139" w:name="_Toc184313267"/>
      <w:bookmarkEnd w:id="139"/>
      <w:bookmarkStart w:id="140" w:name="_Toc184312099"/>
      <w:bookmarkEnd w:id="140"/>
      <w:bookmarkStart w:id="141" w:name="_Toc184308100"/>
      <w:bookmarkEnd w:id="141"/>
      <w:bookmarkStart w:id="142" w:name="_Toc184310341"/>
      <w:bookmarkEnd w:id="142"/>
      <w:bookmarkStart w:id="143" w:name="_Toc184310343"/>
      <w:bookmarkEnd w:id="143"/>
      <w:bookmarkStart w:id="144" w:name="_Toc184313260"/>
      <w:bookmarkEnd w:id="144"/>
      <w:bookmarkStart w:id="145" w:name="_Toc184314469"/>
      <w:bookmarkEnd w:id="145"/>
      <w:bookmarkStart w:id="146" w:name="_Toc184308074"/>
      <w:bookmarkEnd w:id="146"/>
      <w:bookmarkStart w:id="147" w:name="_Toc184312131"/>
      <w:bookmarkEnd w:id="147"/>
      <w:bookmarkStart w:id="148" w:name="_Toc184312096"/>
      <w:bookmarkEnd w:id="148"/>
      <w:bookmarkStart w:id="149" w:name="_Toc184314422"/>
      <w:bookmarkEnd w:id="149"/>
      <w:bookmarkStart w:id="150" w:name="_Toc184313255"/>
      <w:bookmarkEnd w:id="150"/>
      <w:bookmarkStart w:id="151" w:name="_Toc184308098"/>
      <w:bookmarkEnd w:id="151"/>
      <w:bookmarkStart w:id="152" w:name="_Toc184314421"/>
      <w:bookmarkEnd w:id="152"/>
      <w:bookmarkStart w:id="153" w:name="_Toc184310292"/>
      <w:bookmarkEnd w:id="153"/>
      <w:bookmarkStart w:id="154" w:name="_Toc184310299"/>
      <w:bookmarkEnd w:id="154"/>
      <w:bookmarkStart w:id="155" w:name="_Toc184312132"/>
      <w:bookmarkEnd w:id="155"/>
      <w:bookmarkStart w:id="156" w:name="_Toc184308058"/>
      <w:bookmarkEnd w:id="156"/>
      <w:bookmarkStart w:id="157" w:name="_Toc184312138"/>
      <w:bookmarkEnd w:id="157"/>
      <w:bookmarkStart w:id="158" w:name="_Toc184312087"/>
      <w:bookmarkEnd w:id="158"/>
      <w:bookmarkStart w:id="159" w:name="_Toc184308064"/>
      <w:bookmarkEnd w:id="159"/>
      <w:bookmarkStart w:id="160" w:name="_Toc184312112"/>
      <w:bookmarkEnd w:id="160"/>
      <w:bookmarkStart w:id="161" w:name="_Toc184314456"/>
      <w:bookmarkEnd w:id="161"/>
      <w:bookmarkStart w:id="162" w:name="_Toc184314451"/>
      <w:bookmarkEnd w:id="162"/>
      <w:bookmarkStart w:id="163" w:name="_Toc184314452"/>
      <w:bookmarkEnd w:id="163"/>
      <w:bookmarkStart w:id="164" w:name="_Toc184308075"/>
      <w:bookmarkEnd w:id="164"/>
      <w:bookmarkStart w:id="165" w:name="_Toc184308078"/>
      <w:bookmarkEnd w:id="165"/>
      <w:bookmarkStart w:id="166" w:name="_Toc184312069"/>
      <w:bookmarkEnd w:id="166"/>
      <w:bookmarkStart w:id="167" w:name="_Toc184314420"/>
      <w:bookmarkEnd w:id="167"/>
      <w:bookmarkStart w:id="168" w:name="_Toc184310303"/>
      <w:bookmarkEnd w:id="168"/>
      <w:bookmarkStart w:id="169" w:name="_Toc184313278"/>
      <w:bookmarkEnd w:id="169"/>
      <w:bookmarkStart w:id="170" w:name="_Toc184308040"/>
      <w:bookmarkEnd w:id="170"/>
      <w:bookmarkStart w:id="171" w:name="_Toc184314415"/>
      <w:bookmarkEnd w:id="171"/>
      <w:bookmarkStart w:id="172" w:name="_Toc184314428"/>
      <w:bookmarkEnd w:id="172"/>
      <w:bookmarkStart w:id="173" w:name="_Toc184314474"/>
      <w:bookmarkEnd w:id="173"/>
      <w:bookmarkStart w:id="174" w:name="_Toc184312083"/>
      <w:bookmarkEnd w:id="174"/>
      <w:bookmarkStart w:id="175" w:name="_Toc184312109"/>
      <w:bookmarkEnd w:id="175"/>
      <w:bookmarkStart w:id="176" w:name="_Toc184313248"/>
      <w:bookmarkEnd w:id="176"/>
      <w:bookmarkStart w:id="177" w:name="_Toc184308079"/>
      <w:bookmarkEnd w:id="177"/>
      <w:bookmarkStart w:id="178" w:name="_Toc184314433"/>
      <w:bookmarkEnd w:id="178"/>
      <w:bookmarkStart w:id="179" w:name="_Toc184314463"/>
      <w:bookmarkEnd w:id="179"/>
      <w:bookmarkStart w:id="180" w:name="_Toc184313288"/>
      <w:bookmarkEnd w:id="180"/>
      <w:bookmarkStart w:id="181" w:name="_Toc184314438"/>
      <w:bookmarkEnd w:id="181"/>
      <w:bookmarkStart w:id="182" w:name="_Toc184313306"/>
      <w:bookmarkEnd w:id="182"/>
      <w:bookmarkStart w:id="183" w:name="_Toc184313245"/>
      <w:bookmarkEnd w:id="183"/>
      <w:bookmarkStart w:id="184" w:name="_Toc184313299"/>
      <w:bookmarkEnd w:id="184"/>
      <w:bookmarkStart w:id="185" w:name="_Toc184312101"/>
      <w:bookmarkEnd w:id="185"/>
      <w:bookmarkStart w:id="186" w:name="_Toc184313282"/>
      <w:bookmarkEnd w:id="186"/>
      <w:bookmarkStart w:id="187" w:name="_Toc184310289"/>
      <w:bookmarkEnd w:id="187"/>
      <w:bookmarkStart w:id="188" w:name="_Toc184310323"/>
      <w:bookmarkEnd w:id="188"/>
      <w:bookmarkStart w:id="189" w:name="_Toc184314423"/>
      <w:bookmarkEnd w:id="189"/>
      <w:bookmarkStart w:id="190" w:name="_Toc184310294"/>
      <w:bookmarkEnd w:id="190"/>
      <w:bookmarkStart w:id="191" w:name="_Toc184308052"/>
      <w:bookmarkEnd w:id="191"/>
      <w:bookmarkStart w:id="192" w:name="_Toc184313293"/>
      <w:bookmarkEnd w:id="192"/>
      <w:bookmarkStart w:id="193" w:name="_Toc184313308"/>
      <w:bookmarkEnd w:id="193"/>
      <w:bookmarkStart w:id="194" w:name="_Toc184313302"/>
      <w:bookmarkEnd w:id="194"/>
      <w:bookmarkStart w:id="195" w:name="_Toc184308097"/>
      <w:bookmarkEnd w:id="195"/>
      <w:bookmarkStart w:id="196" w:name="_Toc184310340"/>
      <w:bookmarkEnd w:id="196"/>
      <w:bookmarkStart w:id="197" w:name="_Toc184308104"/>
      <w:bookmarkEnd w:id="197"/>
      <w:bookmarkStart w:id="198" w:name="_Toc184312082"/>
      <w:bookmarkEnd w:id="198"/>
      <w:bookmarkStart w:id="199" w:name="_Toc184312104"/>
      <w:bookmarkEnd w:id="199"/>
      <w:bookmarkStart w:id="200" w:name="_Toc184314413"/>
      <w:bookmarkEnd w:id="200"/>
      <w:bookmarkStart w:id="201" w:name="_Toc184310330"/>
      <w:bookmarkEnd w:id="201"/>
      <w:bookmarkStart w:id="202" w:name="_Toc184310320"/>
      <w:bookmarkEnd w:id="202"/>
      <w:bookmarkStart w:id="203" w:name="_Toc184308066"/>
      <w:bookmarkEnd w:id="203"/>
      <w:bookmarkStart w:id="204" w:name="_Toc184313270"/>
      <w:bookmarkEnd w:id="204"/>
      <w:bookmarkStart w:id="205" w:name="_Toc184310305"/>
      <w:bookmarkEnd w:id="205"/>
      <w:bookmarkStart w:id="206" w:name="_Toc184310280"/>
      <w:bookmarkEnd w:id="206"/>
      <w:bookmarkStart w:id="207" w:name="_Toc184308061"/>
      <w:bookmarkEnd w:id="207"/>
      <w:bookmarkStart w:id="208" w:name="_Toc184313246"/>
      <w:bookmarkEnd w:id="208"/>
      <w:bookmarkStart w:id="209" w:name="_Toc184314466"/>
      <w:bookmarkEnd w:id="209"/>
      <w:bookmarkStart w:id="210" w:name="_Toc184312119"/>
      <w:bookmarkEnd w:id="210"/>
      <w:bookmarkStart w:id="211" w:name="_Toc184313247"/>
      <w:bookmarkEnd w:id="211"/>
      <w:bookmarkStart w:id="212" w:name="_Toc184314459"/>
      <w:bookmarkEnd w:id="212"/>
      <w:bookmarkStart w:id="213" w:name="_Toc184308046"/>
      <w:bookmarkEnd w:id="213"/>
      <w:bookmarkStart w:id="214" w:name="_Toc184308083"/>
      <w:bookmarkEnd w:id="214"/>
      <w:bookmarkStart w:id="215" w:name="_Toc184312097"/>
      <w:bookmarkEnd w:id="215"/>
      <w:bookmarkStart w:id="216" w:name="_Toc184312123"/>
      <w:bookmarkEnd w:id="216"/>
      <w:bookmarkStart w:id="217" w:name="_Toc184310306"/>
      <w:bookmarkEnd w:id="217"/>
      <w:bookmarkStart w:id="218" w:name="_Toc184313256"/>
      <w:bookmarkEnd w:id="218"/>
      <w:bookmarkStart w:id="219" w:name="_Toc184313269"/>
      <w:bookmarkEnd w:id="219"/>
      <w:bookmarkStart w:id="220" w:name="_Toc184314431"/>
      <w:bookmarkEnd w:id="220"/>
      <w:bookmarkStart w:id="221" w:name="_Toc184313310"/>
      <w:bookmarkEnd w:id="221"/>
      <w:bookmarkStart w:id="222" w:name="_Toc184310339"/>
      <w:bookmarkEnd w:id="222"/>
      <w:bookmarkStart w:id="223" w:name="_Toc184308099"/>
      <w:bookmarkEnd w:id="223"/>
      <w:bookmarkStart w:id="224" w:name="_Toc184314414"/>
      <w:bookmarkEnd w:id="224"/>
      <w:bookmarkStart w:id="225" w:name="_Toc184313285"/>
      <w:bookmarkEnd w:id="225"/>
      <w:bookmarkStart w:id="226" w:name="_Toc184310290"/>
      <w:bookmarkEnd w:id="226"/>
      <w:bookmarkStart w:id="227" w:name="_Toc184310288"/>
      <w:bookmarkEnd w:id="227"/>
      <w:bookmarkStart w:id="228" w:name="_Toc184310272"/>
      <w:bookmarkEnd w:id="228"/>
      <w:bookmarkStart w:id="229" w:name="_Toc184308089"/>
      <w:bookmarkEnd w:id="229"/>
      <w:bookmarkStart w:id="230" w:name="_Toc184314460"/>
      <w:bookmarkEnd w:id="230"/>
      <w:bookmarkStart w:id="231" w:name="_Toc184314467"/>
      <w:bookmarkEnd w:id="231"/>
      <w:bookmarkStart w:id="232" w:name="_Toc184312115"/>
      <w:bookmarkEnd w:id="232"/>
      <w:bookmarkStart w:id="233" w:name="_Toc184313274"/>
      <w:bookmarkEnd w:id="233"/>
      <w:bookmarkStart w:id="234" w:name="_Toc184314416"/>
      <w:bookmarkEnd w:id="234"/>
      <w:bookmarkStart w:id="235" w:name="_Toc184308045"/>
      <w:bookmarkEnd w:id="235"/>
      <w:bookmarkStart w:id="236" w:name="_Toc184308095"/>
      <w:bookmarkEnd w:id="236"/>
      <w:bookmarkStart w:id="237" w:name="_Toc184313249"/>
      <w:bookmarkEnd w:id="237"/>
      <w:bookmarkStart w:id="238" w:name="_Toc184312116"/>
      <w:bookmarkEnd w:id="238"/>
      <w:bookmarkStart w:id="239" w:name="_Toc184314424"/>
      <w:bookmarkEnd w:id="239"/>
      <w:bookmarkStart w:id="240" w:name="_Toc184313272"/>
      <w:bookmarkEnd w:id="240"/>
      <w:bookmarkStart w:id="241" w:name="_Toc184308059"/>
      <w:bookmarkEnd w:id="241"/>
      <w:bookmarkStart w:id="242" w:name="_Toc184313254"/>
      <w:bookmarkEnd w:id="242"/>
      <w:bookmarkStart w:id="243" w:name="_Toc184312090"/>
      <w:bookmarkEnd w:id="243"/>
      <w:bookmarkStart w:id="244" w:name="_Toc184310297"/>
      <w:bookmarkEnd w:id="244"/>
      <w:bookmarkStart w:id="245" w:name="_Toc184314448"/>
      <w:bookmarkEnd w:id="245"/>
      <w:bookmarkStart w:id="246" w:name="_Toc184313258"/>
      <w:bookmarkEnd w:id="246"/>
      <w:bookmarkStart w:id="247" w:name="_Toc184314447"/>
      <w:bookmarkEnd w:id="247"/>
      <w:bookmarkStart w:id="248" w:name="_Toc184308073"/>
      <w:bookmarkEnd w:id="248"/>
      <w:bookmarkStart w:id="249" w:name="_Toc184310282"/>
      <w:bookmarkEnd w:id="249"/>
      <w:bookmarkStart w:id="250" w:name="_Toc184314443"/>
      <w:bookmarkEnd w:id="250"/>
      <w:bookmarkStart w:id="251" w:name="_Toc184308051"/>
      <w:bookmarkEnd w:id="251"/>
      <w:bookmarkStart w:id="252" w:name="_Toc184314427"/>
      <w:bookmarkEnd w:id="252"/>
      <w:bookmarkStart w:id="253" w:name="_Toc184308094"/>
      <w:bookmarkEnd w:id="253"/>
      <w:bookmarkStart w:id="254" w:name="_Toc184308047"/>
      <w:bookmarkEnd w:id="254"/>
      <w:bookmarkStart w:id="255" w:name="_Toc184310279"/>
      <w:bookmarkEnd w:id="255"/>
      <w:bookmarkStart w:id="256" w:name="_Toc184310293"/>
      <w:bookmarkEnd w:id="256"/>
      <w:bookmarkStart w:id="257" w:name="_Toc184314412"/>
      <w:bookmarkEnd w:id="257"/>
      <w:bookmarkStart w:id="258" w:name="_Toc184312120"/>
      <w:bookmarkEnd w:id="258"/>
      <w:bookmarkStart w:id="259" w:name="_Toc184313251"/>
      <w:bookmarkEnd w:id="259"/>
      <w:bookmarkStart w:id="260" w:name="_Toc184313263"/>
      <w:bookmarkEnd w:id="260"/>
      <w:bookmarkStart w:id="261" w:name="_Toc184308105"/>
      <w:bookmarkEnd w:id="261"/>
      <w:bookmarkStart w:id="262" w:name="_Toc184312102"/>
      <w:bookmarkEnd w:id="262"/>
      <w:bookmarkStart w:id="263" w:name="_Toc184312100"/>
      <w:bookmarkEnd w:id="263"/>
      <w:bookmarkStart w:id="264" w:name="_Toc184312134"/>
      <w:bookmarkEnd w:id="264"/>
      <w:bookmarkStart w:id="265" w:name="_Toc184312073"/>
      <w:bookmarkEnd w:id="265"/>
      <w:bookmarkStart w:id="266" w:name="_Toc184310342"/>
      <w:bookmarkEnd w:id="266"/>
      <w:bookmarkStart w:id="267" w:name="_Toc184312089"/>
      <w:bookmarkEnd w:id="267"/>
      <w:bookmarkStart w:id="268" w:name="_Toc184312130"/>
      <w:bookmarkEnd w:id="268"/>
      <w:bookmarkStart w:id="269" w:name="_Toc184313290"/>
      <w:bookmarkEnd w:id="269"/>
      <w:bookmarkStart w:id="270" w:name="_Toc184308063"/>
      <w:bookmarkEnd w:id="270"/>
      <w:bookmarkStart w:id="271" w:name="_Toc184312110"/>
      <w:bookmarkEnd w:id="271"/>
      <w:bookmarkStart w:id="272" w:name="_Toc184310287"/>
      <w:bookmarkEnd w:id="272"/>
      <w:bookmarkStart w:id="273" w:name="_Toc184312133"/>
      <w:bookmarkEnd w:id="273"/>
      <w:bookmarkStart w:id="274" w:name="_Toc184314473"/>
      <w:bookmarkEnd w:id="274"/>
      <w:bookmarkStart w:id="275" w:name="_Toc184313304"/>
      <w:bookmarkEnd w:id="275"/>
      <w:bookmarkStart w:id="276" w:name="_Toc184312125"/>
      <w:bookmarkEnd w:id="276"/>
      <w:bookmarkStart w:id="277" w:name="_Toc184314429"/>
      <w:bookmarkEnd w:id="277"/>
      <w:bookmarkStart w:id="278" w:name="_Toc184313268"/>
      <w:bookmarkEnd w:id="278"/>
      <w:bookmarkStart w:id="279" w:name="_Toc184308101"/>
      <w:bookmarkEnd w:id="279"/>
      <w:bookmarkStart w:id="280" w:name="_Toc184314470"/>
      <w:bookmarkEnd w:id="280"/>
      <w:bookmarkStart w:id="281" w:name="_Toc184313242"/>
      <w:bookmarkEnd w:id="281"/>
      <w:bookmarkStart w:id="282" w:name="_Toc184312088"/>
      <w:bookmarkEnd w:id="282"/>
      <w:bookmarkStart w:id="283" w:name="_Toc184314446"/>
      <w:bookmarkEnd w:id="283"/>
      <w:bookmarkStart w:id="284" w:name="_Toc184310310"/>
      <w:bookmarkEnd w:id="284"/>
      <w:bookmarkStart w:id="285" w:name="_Toc184314417"/>
      <w:bookmarkEnd w:id="285"/>
      <w:bookmarkStart w:id="286" w:name="_Toc184312126"/>
      <w:bookmarkEnd w:id="286"/>
      <w:bookmarkStart w:id="287" w:name="_Toc184313279"/>
      <w:bookmarkEnd w:id="287"/>
      <w:bookmarkStart w:id="288" w:name="_Toc184312084"/>
      <w:bookmarkEnd w:id="288"/>
      <w:bookmarkStart w:id="289" w:name="_Toc184308056"/>
      <w:bookmarkEnd w:id="289"/>
      <w:bookmarkStart w:id="290" w:name="_Toc184313284"/>
      <w:bookmarkEnd w:id="290"/>
      <w:bookmarkStart w:id="291" w:name="_Toc184310329"/>
      <w:bookmarkEnd w:id="291"/>
      <w:bookmarkStart w:id="292" w:name="_Toc184310286"/>
      <w:bookmarkEnd w:id="292"/>
      <w:bookmarkStart w:id="293" w:name="_Toc184312095"/>
      <w:bookmarkEnd w:id="293"/>
      <w:bookmarkStart w:id="294" w:name="_Toc184310328"/>
      <w:bookmarkEnd w:id="294"/>
      <w:bookmarkStart w:id="295" w:name="_Toc184308044"/>
      <w:bookmarkEnd w:id="295"/>
      <w:bookmarkStart w:id="296" w:name="_Toc184314430"/>
      <w:bookmarkEnd w:id="296"/>
      <w:bookmarkStart w:id="297" w:name="_Toc184312067"/>
      <w:bookmarkEnd w:id="297"/>
      <w:bookmarkStart w:id="298" w:name="_Toc184313286"/>
      <w:bookmarkEnd w:id="298"/>
      <w:bookmarkStart w:id="299" w:name="_Toc184313287"/>
      <w:bookmarkEnd w:id="299"/>
      <w:bookmarkStart w:id="300" w:name="_Toc184310321"/>
      <w:bookmarkEnd w:id="300"/>
      <w:bookmarkStart w:id="301" w:name="_Toc184308041"/>
      <w:bookmarkEnd w:id="301"/>
      <w:bookmarkStart w:id="302" w:name="_Toc184308069"/>
      <w:bookmarkEnd w:id="302"/>
      <w:bookmarkStart w:id="303" w:name="_Toc184313301"/>
      <w:bookmarkEnd w:id="303"/>
      <w:bookmarkStart w:id="304" w:name="_Toc184308054"/>
      <w:bookmarkEnd w:id="304"/>
      <w:bookmarkStart w:id="305" w:name="_Toc184308080"/>
      <w:bookmarkEnd w:id="305"/>
      <w:bookmarkStart w:id="306" w:name="_Toc184312117"/>
      <w:bookmarkEnd w:id="306"/>
      <w:bookmarkStart w:id="307" w:name="_Toc184314461"/>
      <w:bookmarkEnd w:id="307"/>
      <w:bookmarkStart w:id="308" w:name="_Toc184312071"/>
      <w:bookmarkEnd w:id="308"/>
      <w:bookmarkStart w:id="309" w:name="_Toc184312072"/>
      <w:bookmarkEnd w:id="309"/>
      <w:bookmarkStart w:id="310" w:name="_Toc184312124"/>
      <w:bookmarkEnd w:id="310"/>
      <w:bookmarkStart w:id="311" w:name="_Toc184308108"/>
      <w:bookmarkEnd w:id="311"/>
      <w:bookmarkStart w:id="312" w:name="_Toc184314444"/>
      <w:bookmarkEnd w:id="312"/>
      <w:bookmarkStart w:id="313" w:name="_Toc184308081"/>
      <w:bookmarkEnd w:id="313"/>
      <w:bookmarkStart w:id="314" w:name="_Toc184314465"/>
      <w:bookmarkEnd w:id="314"/>
      <w:bookmarkStart w:id="315" w:name="_Toc184308065"/>
      <w:bookmarkEnd w:id="315"/>
      <w:bookmarkStart w:id="316" w:name="_Toc184308093"/>
      <w:bookmarkEnd w:id="316"/>
      <w:bookmarkStart w:id="317" w:name="_Toc184308076"/>
      <w:bookmarkEnd w:id="317"/>
      <w:bookmarkStart w:id="318" w:name="_Toc184312106"/>
      <w:bookmarkEnd w:id="318"/>
      <w:bookmarkStart w:id="319" w:name="_Toc184313275"/>
      <w:bookmarkEnd w:id="319"/>
      <w:bookmarkStart w:id="320" w:name="_Toc184313257"/>
      <w:bookmarkEnd w:id="320"/>
      <w:bookmarkStart w:id="321" w:name="_Toc184310296"/>
      <w:bookmarkEnd w:id="321"/>
      <w:bookmarkStart w:id="322" w:name="_Toc184310284"/>
      <w:bookmarkEnd w:id="322"/>
      <w:bookmarkStart w:id="323" w:name="_Toc184310316"/>
      <w:bookmarkEnd w:id="323"/>
      <w:bookmarkStart w:id="324" w:name="_Toc184312122"/>
      <w:bookmarkEnd w:id="324"/>
      <w:bookmarkStart w:id="325" w:name="_Toc184308068"/>
      <w:bookmarkEnd w:id="325"/>
      <w:bookmarkStart w:id="326" w:name="_Toc184310300"/>
      <w:bookmarkEnd w:id="326"/>
      <w:bookmarkStart w:id="327" w:name="_Toc184313289"/>
      <w:bookmarkEnd w:id="327"/>
      <w:bookmarkStart w:id="328" w:name="_Toc184308077"/>
      <w:bookmarkEnd w:id="328"/>
      <w:bookmarkStart w:id="329" w:name="_Toc184312128"/>
      <w:bookmarkEnd w:id="329"/>
      <w:bookmarkStart w:id="330" w:name="_Toc184314480"/>
      <w:bookmarkEnd w:id="330"/>
      <w:bookmarkStart w:id="331" w:name="_Toc184313264"/>
      <w:bookmarkEnd w:id="331"/>
      <w:bookmarkStart w:id="332" w:name="_Toc184308039"/>
      <w:bookmarkEnd w:id="332"/>
      <w:bookmarkStart w:id="333" w:name="_Toc184308037"/>
      <w:bookmarkEnd w:id="333"/>
      <w:bookmarkStart w:id="334" w:name="_Toc184314435"/>
      <w:bookmarkEnd w:id="334"/>
      <w:bookmarkStart w:id="335" w:name="_Toc184314450"/>
      <w:bookmarkEnd w:id="335"/>
      <w:bookmarkStart w:id="336" w:name="_Toc184310324"/>
      <w:bookmarkEnd w:id="336"/>
      <w:bookmarkStart w:id="337" w:name="_Toc184308088"/>
      <w:bookmarkEnd w:id="337"/>
      <w:bookmarkStart w:id="338" w:name="_Toc184314418"/>
      <w:bookmarkEnd w:id="338"/>
      <w:bookmarkStart w:id="339" w:name="_Toc184310337"/>
      <w:bookmarkEnd w:id="339"/>
      <w:bookmarkStart w:id="340" w:name="_Toc184308070"/>
      <w:bookmarkEnd w:id="340"/>
      <w:bookmarkStart w:id="341" w:name="_Toc184313291"/>
      <w:bookmarkEnd w:id="341"/>
      <w:bookmarkStart w:id="342" w:name="_Toc184313300"/>
      <w:bookmarkEnd w:id="342"/>
      <w:bookmarkStart w:id="343" w:name="_Toc184310273"/>
      <w:bookmarkEnd w:id="343"/>
      <w:bookmarkStart w:id="344" w:name="_Toc184313277"/>
      <w:bookmarkEnd w:id="344"/>
      <w:bookmarkStart w:id="345" w:name="_Toc184312074"/>
      <w:bookmarkEnd w:id="345"/>
      <w:bookmarkStart w:id="346" w:name="_Toc184308036"/>
      <w:bookmarkEnd w:id="346"/>
      <w:bookmarkStart w:id="347" w:name="_Toc184313253"/>
      <w:bookmarkEnd w:id="347"/>
      <w:bookmarkStart w:id="348" w:name="_Toc184313309"/>
      <w:bookmarkEnd w:id="348"/>
      <w:bookmarkStart w:id="349" w:name="_Toc184310285"/>
      <w:bookmarkEnd w:id="349"/>
      <w:bookmarkStart w:id="350" w:name="_Toc184314449"/>
      <w:bookmarkEnd w:id="350"/>
      <w:bookmarkStart w:id="351" w:name="_Toc184313283"/>
      <w:bookmarkEnd w:id="351"/>
      <w:bookmarkStart w:id="352" w:name="_Toc184310315"/>
      <w:bookmarkEnd w:id="352"/>
      <w:bookmarkStart w:id="353" w:name="_Toc184312085"/>
      <w:bookmarkEnd w:id="353"/>
      <w:bookmarkStart w:id="354" w:name="_Toc184313294"/>
      <w:bookmarkEnd w:id="354"/>
      <w:bookmarkStart w:id="355" w:name="_Toc184313265"/>
      <w:bookmarkEnd w:id="355"/>
      <w:bookmarkStart w:id="356" w:name="_Toc184314436"/>
      <w:bookmarkEnd w:id="356"/>
      <w:bookmarkStart w:id="357" w:name="_Toc184313276"/>
      <w:bookmarkEnd w:id="357"/>
      <w:bookmarkStart w:id="358" w:name="_Toc184310283"/>
      <w:bookmarkEnd w:id="358"/>
      <w:bookmarkStart w:id="359" w:name="_Toc184310275"/>
      <w:bookmarkEnd w:id="359"/>
      <w:bookmarkStart w:id="360" w:name="_Toc184312070"/>
      <w:bookmarkEnd w:id="360"/>
      <w:bookmarkStart w:id="361" w:name="_Toc184310304"/>
      <w:bookmarkEnd w:id="361"/>
      <w:bookmarkStart w:id="362" w:name="_Toc184312111"/>
      <w:bookmarkEnd w:id="362"/>
      <w:bookmarkStart w:id="363" w:name="_Toc184308072"/>
      <w:bookmarkEnd w:id="363"/>
      <w:bookmarkStart w:id="364" w:name="_Toc184310278"/>
      <w:bookmarkEnd w:id="364"/>
      <w:bookmarkStart w:id="365" w:name="_Toc184310334"/>
      <w:bookmarkEnd w:id="365"/>
      <w:bookmarkStart w:id="366" w:name="_Toc184314455"/>
      <w:bookmarkEnd w:id="366"/>
      <w:bookmarkStart w:id="367" w:name="_Toc184314482"/>
      <w:bookmarkEnd w:id="367"/>
      <w:bookmarkStart w:id="368" w:name="_Toc184310281"/>
      <w:bookmarkEnd w:id="368"/>
      <w:bookmarkStart w:id="369" w:name="_Toc184313259"/>
      <w:bookmarkEnd w:id="369"/>
      <w:bookmarkStart w:id="370" w:name="_Toc184312094"/>
      <w:bookmarkEnd w:id="370"/>
      <w:bookmarkStart w:id="371" w:name="_Toc184313266"/>
      <w:bookmarkEnd w:id="371"/>
      <w:bookmarkStart w:id="372" w:name="_Toc184312103"/>
      <w:bookmarkEnd w:id="372"/>
      <w:bookmarkStart w:id="373" w:name="_Toc184313262"/>
      <w:bookmarkEnd w:id="373"/>
      <w:bookmarkStart w:id="374" w:name="_Toc184308087"/>
      <w:bookmarkEnd w:id="374"/>
      <w:bookmarkStart w:id="375" w:name="_Toc184314479"/>
      <w:bookmarkEnd w:id="375"/>
      <w:bookmarkStart w:id="376" w:name="_Toc184312093"/>
      <w:bookmarkEnd w:id="376"/>
      <w:bookmarkStart w:id="377" w:name="_Toc184312079"/>
      <w:bookmarkEnd w:id="377"/>
      <w:bookmarkStart w:id="378" w:name="_Toc184308107"/>
      <w:bookmarkEnd w:id="378"/>
      <w:bookmarkStart w:id="379" w:name="_Toc184314454"/>
      <w:bookmarkEnd w:id="379"/>
      <w:bookmarkStart w:id="380" w:name="_Toc184312137"/>
      <w:bookmarkEnd w:id="380"/>
      <w:bookmarkStart w:id="381" w:name="_Toc184310312"/>
      <w:bookmarkEnd w:id="381"/>
      <w:bookmarkStart w:id="382" w:name="_Toc184310335"/>
      <w:bookmarkEnd w:id="382"/>
      <w:bookmarkStart w:id="383" w:name="_Toc184310333"/>
      <w:bookmarkEnd w:id="383"/>
      <w:bookmarkStart w:id="384" w:name="_Toc184312086"/>
      <w:bookmarkEnd w:id="384"/>
      <w:bookmarkStart w:id="385" w:name="_Toc184312077"/>
      <w:bookmarkEnd w:id="385"/>
      <w:bookmarkStart w:id="386" w:name="_Toc184314471"/>
      <w:bookmarkEnd w:id="386"/>
      <w:bookmarkStart w:id="387" w:name="_Toc184310332"/>
      <w:bookmarkEnd w:id="387"/>
      <w:bookmarkStart w:id="388" w:name="_Toc184312121"/>
      <w:bookmarkEnd w:id="388"/>
      <w:bookmarkStart w:id="389" w:name="_Toc184312113"/>
      <w:bookmarkEnd w:id="389"/>
      <w:bookmarkStart w:id="390" w:name="_Toc184312081"/>
      <w:bookmarkEnd w:id="390"/>
      <w:bookmarkStart w:id="391" w:name="_Toc184308067"/>
      <w:bookmarkEnd w:id="391"/>
      <w:bookmarkStart w:id="392" w:name="_Toc184314442"/>
      <w:bookmarkEnd w:id="392"/>
      <w:bookmarkStart w:id="393" w:name="_Toc184310301"/>
      <w:bookmarkEnd w:id="393"/>
      <w:bookmarkStart w:id="394" w:name="_Toc184312068"/>
      <w:bookmarkEnd w:id="394"/>
      <w:bookmarkStart w:id="395" w:name="_Toc184310318"/>
      <w:bookmarkEnd w:id="395"/>
      <w:bookmarkStart w:id="396" w:name="_Toc184310313"/>
      <w:bookmarkEnd w:id="396"/>
      <w:bookmarkStart w:id="397" w:name="_Toc184310317"/>
      <w:bookmarkEnd w:id="397"/>
      <w:r>
        <w:rPr>
          <w:rFonts w:hint="eastAsia" w:ascii="宋体" w:hAnsi="宋体" w:cs="宋体"/>
          <w:b/>
          <w:color w:val="auto"/>
          <w:sz w:val="36"/>
          <w:szCs w:val="20"/>
          <w:highlight w:val="none"/>
        </w:rPr>
        <w:t xml:space="preserve"> 评审办法</w:t>
      </w:r>
    </w:p>
    <w:p w14:paraId="0F2A1CB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p w14:paraId="5D9B6BC5">
      <w:pPr>
        <w:pStyle w:val="60"/>
        <w:rPr>
          <w:rFonts w:hint="eastAsia" w:ascii="宋体" w:hAnsi="宋体" w:cs="宋体"/>
          <w:color w:val="auto"/>
          <w:sz w:val="32"/>
          <w:highlight w:val="none"/>
        </w:rPr>
      </w:pPr>
    </w:p>
    <w:tbl>
      <w:tblPr>
        <w:tblStyle w:val="6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294"/>
        <w:gridCol w:w="956"/>
        <w:gridCol w:w="1276"/>
        <w:gridCol w:w="1453"/>
      </w:tblGrid>
      <w:tr w14:paraId="337D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E824A9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5294" w:type="dxa"/>
            <w:vAlign w:val="center"/>
          </w:tcPr>
          <w:p w14:paraId="5775785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评审标准</w:t>
            </w:r>
          </w:p>
        </w:tc>
        <w:tc>
          <w:tcPr>
            <w:tcW w:w="956" w:type="dxa"/>
            <w:vAlign w:val="center"/>
          </w:tcPr>
          <w:p w14:paraId="5097C0B5">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权重</w:t>
            </w:r>
          </w:p>
          <w:p w14:paraId="68C8C4AE">
            <w:pPr>
              <w:snapToGrid w:val="0"/>
              <w:outlineLvl w:val="0"/>
              <w:rPr>
                <w:rFonts w:hint="eastAsia" w:ascii="宋体" w:hAnsi="宋体" w:cs="宋体"/>
                <w:b/>
                <w:color w:val="auto"/>
                <w:sz w:val="24"/>
                <w:highlight w:val="none"/>
              </w:rPr>
            </w:pPr>
            <w:r>
              <w:rPr>
                <w:rFonts w:hint="eastAsia" w:ascii="宋体" w:hAnsi="宋体" w:cs="宋体"/>
                <w:b/>
                <w:bCs/>
                <w:color w:val="auto"/>
                <w:sz w:val="24"/>
                <w:highlight w:val="none"/>
              </w:rPr>
              <w:t>（分）</w:t>
            </w:r>
          </w:p>
        </w:tc>
        <w:tc>
          <w:tcPr>
            <w:tcW w:w="1276" w:type="dxa"/>
            <w:vAlign w:val="center"/>
          </w:tcPr>
          <w:p w14:paraId="792E3AB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主观分/客观分</w:t>
            </w:r>
          </w:p>
        </w:tc>
        <w:tc>
          <w:tcPr>
            <w:tcW w:w="1453" w:type="dxa"/>
          </w:tcPr>
          <w:p w14:paraId="7D90B508">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响应文件中评审标准相应的商务技术资料目录</w:t>
            </w:r>
            <w:r>
              <w:rPr>
                <w:rFonts w:hint="eastAsia" w:ascii="宋体" w:hAnsi="宋体" w:cs="宋体"/>
                <w:b/>
                <w:color w:val="auto"/>
                <w:sz w:val="24"/>
                <w:highlight w:val="none"/>
              </w:rPr>
              <w:t> *</w:t>
            </w:r>
          </w:p>
        </w:tc>
      </w:tr>
      <w:tr w14:paraId="1DBA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2DF5E5A">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5294" w:type="dxa"/>
            <w:vAlign w:val="center"/>
          </w:tcPr>
          <w:p w14:paraId="4E335EA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供应商同类项目业绩：自2022年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月1日（以合同签订日期为准）至响应文件提交截止时间，具有改造类业绩，每提供一个项目的证明材料得1分，最高2分，未提供的不得分。</w:t>
            </w:r>
          </w:p>
          <w:p w14:paraId="23C2790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业绩证明材料须提供施工合同复印件加盖公章；要求证明材料能反映评审要素，提供的证明材料不能反映评审要素的可提供其他的佐证材料。</w:t>
            </w:r>
          </w:p>
        </w:tc>
        <w:tc>
          <w:tcPr>
            <w:tcW w:w="956" w:type="dxa"/>
            <w:vAlign w:val="center"/>
          </w:tcPr>
          <w:p w14:paraId="76AA8611">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1276" w:type="dxa"/>
            <w:vAlign w:val="center"/>
          </w:tcPr>
          <w:p w14:paraId="06E629AC">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46D969C0">
            <w:pPr>
              <w:snapToGrid w:val="0"/>
              <w:jc w:val="center"/>
              <w:outlineLvl w:val="0"/>
              <w:rPr>
                <w:rFonts w:hint="eastAsia" w:ascii="宋体" w:hAnsi="宋体" w:cs="宋体"/>
                <w:color w:val="auto"/>
                <w:sz w:val="24"/>
                <w:highlight w:val="none"/>
              </w:rPr>
            </w:pPr>
          </w:p>
        </w:tc>
      </w:tr>
      <w:tr w14:paraId="66A6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0C14A4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5294" w:type="dxa"/>
            <w:vAlign w:val="center"/>
          </w:tcPr>
          <w:p w14:paraId="324B639B">
            <w:pPr>
              <w:snapToGrid w:val="0"/>
              <w:spacing w:line="400" w:lineRule="exact"/>
              <w:outlineLvl w:val="0"/>
              <w:rPr>
                <w:rFonts w:hint="eastAsia" w:ascii="宋体" w:hAnsi="宋体" w:cs="宋体"/>
                <w:color w:val="auto"/>
                <w:sz w:val="24"/>
                <w:highlight w:val="none"/>
              </w:rPr>
            </w:pPr>
            <w:r>
              <w:rPr>
                <w:rFonts w:hint="eastAsia" w:ascii="宋体" w:hAnsi="宋体" w:cs="宋体"/>
                <w:color w:val="auto"/>
                <w:sz w:val="24"/>
                <w:highlight w:val="none"/>
              </w:rPr>
              <w:t>供应商具有有效期内的质量管理体系认证证书、环境管理体系认证证书、职业健康安全管理体系认证证书的，每项得1分，本项最多3分，未提供不得分；</w:t>
            </w:r>
          </w:p>
          <w:p w14:paraId="1138F4AC">
            <w:pPr>
              <w:snapToGrid w:val="0"/>
              <w:spacing w:line="400" w:lineRule="exact"/>
              <w:outlineLvl w:val="0"/>
              <w:rPr>
                <w:rFonts w:hint="eastAsia" w:ascii="宋体" w:hAnsi="宋体" w:cs="宋体"/>
                <w:color w:val="auto"/>
                <w:sz w:val="24"/>
                <w:highlight w:val="none"/>
              </w:rPr>
            </w:pPr>
            <w:r>
              <w:rPr>
                <w:rFonts w:hint="eastAsia" w:ascii="宋体" w:hAnsi="宋体" w:cs="宋体"/>
                <w:color w:val="auto"/>
                <w:sz w:val="24"/>
                <w:highlight w:val="none"/>
              </w:rPr>
              <w:t>注：提供有效的认证证书复印件（并提供国家认证认可监督管理委员会官网（https://www.cnca.gov.cn/）查询截图）加盖公章，不提供不得分。</w:t>
            </w:r>
          </w:p>
        </w:tc>
        <w:tc>
          <w:tcPr>
            <w:tcW w:w="956" w:type="dxa"/>
            <w:vAlign w:val="center"/>
          </w:tcPr>
          <w:p w14:paraId="510F2946">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1276" w:type="dxa"/>
            <w:vAlign w:val="center"/>
          </w:tcPr>
          <w:p w14:paraId="4DAF4483">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57E42683">
            <w:pPr>
              <w:snapToGrid w:val="0"/>
              <w:jc w:val="center"/>
              <w:outlineLvl w:val="0"/>
              <w:rPr>
                <w:rFonts w:hint="eastAsia" w:ascii="宋体" w:hAnsi="宋体" w:cs="宋体"/>
                <w:color w:val="auto"/>
                <w:sz w:val="24"/>
                <w:highlight w:val="none"/>
              </w:rPr>
            </w:pPr>
          </w:p>
        </w:tc>
      </w:tr>
      <w:tr w14:paraId="14B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558C741">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294" w:type="dxa"/>
            <w:vAlign w:val="center"/>
          </w:tcPr>
          <w:p w14:paraId="09E0D09F">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w:t>
            </w:r>
          </w:p>
          <w:p w14:paraId="10B02C98">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项目负责人到位率承诺90%及以上的得2分；</w:t>
            </w:r>
          </w:p>
          <w:p w14:paraId="51AB8BF9">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项目负责人到位率承诺85%（含）-90%（不含）的得1分；</w:t>
            </w:r>
          </w:p>
          <w:p w14:paraId="3D25B79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项目负责人到位率承诺80%（不含）以下的不得分，提供承诺书，如合同履约阶段未按承诺到位的，采购人有权终止合同。 </w:t>
            </w:r>
          </w:p>
        </w:tc>
        <w:tc>
          <w:tcPr>
            <w:tcW w:w="956" w:type="dxa"/>
            <w:vAlign w:val="center"/>
          </w:tcPr>
          <w:p w14:paraId="6B01A194">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1276" w:type="dxa"/>
            <w:vAlign w:val="center"/>
          </w:tcPr>
          <w:p w14:paraId="38A096AA">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03C0C0D1">
            <w:pPr>
              <w:snapToGrid w:val="0"/>
              <w:jc w:val="center"/>
              <w:rPr>
                <w:rFonts w:hint="eastAsia" w:ascii="宋体" w:hAnsi="宋体" w:cs="宋体"/>
                <w:color w:val="auto"/>
                <w:sz w:val="24"/>
                <w:highlight w:val="none"/>
              </w:rPr>
            </w:pPr>
          </w:p>
        </w:tc>
      </w:tr>
      <w:tr w14:paraId="0F0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3816B80">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294" w:type="dxa"/>
            <w:vAlign w:val="center"/>
          </w:tcPr>
          <w:p w14:paraId="1705AE2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拟派项目负责人具有工程师职称证书的，得1分,高级工程师职称的得2分，没有不得分。</w:t>
            </w:r>
          </w:p>
          <w:p w14:paraId="4FF788F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注：提供职称证书复印件加盖公章。</w:t>
            </w:r>
          </w:p>
        </w:tc>
        <w:tc>
          <w:tcPr>
            <w:tcW w:w="956" w:type="dxa"/>
            <w:vAlign w:val="center"/>
          </w:tcPr>
          <w:p w14:paraId="664DD09B">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2</w:t>
            </w:r>
          </w:p>
        </w:tc>
        <w:tc>
          <w:tcPr>
            <w:tcW w:w="1276" w:type="dxa"/>
            <w:vAlign w:val="center"/>
          </w:tcPr>
          <w:p w14:paraId="5248AD96">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4938472E">
            <w:pPr>
              <w:snapToGrid w:val="0"/>
              <w:jc w:val="center"/>
              <w:rPr>
                <w:rFonts w:hint="eastAsia" w:ascii="宋体" w:hAnsi="宋体" w:cs="宋体"/>
                <w:color w:val="auto"/>
                <w:sz w:val="24"/>
                <w:highlight w:val="none"/>
              </w:rPr>
            </w:pPr>
          </w:p>
        </w:tc>
      </w:tr>
      <w:tr w14:paraId="435D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4B799E4">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294" w:type="dxa"/>
            <w:vAlign w:val="center"/>
          </w:tcPr>
          <w:p w14:paraId="72979C36">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拟派技术负责人具有工程师职称证书的，得1分,高级工程师职称的得2分，没有不得分。</w:t>
            </w:r>
          </w:p>
          <w:p w14:paraId="3D50C26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注：提供职称证书复印件加盖公章。</w:t>
            </w:r>
          </w:p>
        </w:tc>
        <w:tc>
          <w:tcPr>
            <w:tcW w:w="956" w:type="dxa"/>
            <w:vAlign w:val="center"/>
          </w:tcPr>
          <w:p w14:paraId="5E3E836B">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2</w:t>
            </w:r>
          </w:p>
        </w:tc>
        <w:tc>
          <w:tcPr>
            <w:tcW w:w="1276" w:type="dxa"/>
            <w:vAlign w:val="center"/>
          </w:tcPr>
          <w:p w14:paraId="1F447AD6">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21292ADA">
            <w:pPr>
              <w:snapToGrid w:val="0"/>
              <w:jc w:val="center"/>
              <w:rPr>
                <w:rFonts w:hint="eastAsia" w:ascii="宋体" w:hAnsi="宋体" w:cs="宋体"/>
                <w:color w:val="auto"/>
                <w:sz w:val="24"/>
                <w:highlight w:val="none"/>
              </w:rPr>
            </w:pPr>
          </w:p>
        </w:tc>
      </w:tr>
      <w:tr w14:paraId="4B46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C147F31">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294" w:type="dxa"/>
            <w:vAlign w:val="center"/>
          </w:tcPr>
          <w:p w14:paraId="396084D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分析本工程的重点、难点以及应对措施：</w:t>
            </w:r>
          </w:p>
          <w:p w14:paraId="46D4363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根据本项目的实施内容、工期要求以及现场情况，分析实施过程中的重点、难点准确且应对措施科学、合理。（评分范围：5，4，3，2，1，0）。</w:t>
            </w:r>
          </w:p>
        </w:tc>
        <w:tc>
          <w:tcPr>
            <w:tcW w:w="956" w:type="dxa"/>
            <w:vAlign w:val="center"/>
          </w:tcPr>
          <w:p w14:paraId="5631CD14">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4F9548F6">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2D1CF742">
            <w:pPr>
              <w:snapToGrid w:val="0"/>
              <w:jc w:val="center"/>
              <w:rPr>
                <w:rFonts w:hint="eastAsia" w:ascii="宋体" w:hAnsi="宋体" w:cs="宋体"/>
                <w:color w:val="auto"/>
                <w:sz w:val="24"/>
                <w:highlight w:val="none"/>
              </w:rPr>
            </w:pPr>
          </w:p>
        </w:tc>
      </w:tr>
      <w:tr w14:paraId="1C61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A1FB56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294" w:type="dxa"/>
            <w:vAlign w:val="center"/>
          </w:tcPr>
          <w:p w14:paraId="5D7E90B9">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针对学校、本项目工程的特点和施工环境下组织施工技术方案和措施。</w:t>
            </w:r>
          </w:p>
          <w:p w14:paraId="5B82E96A">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（1）针对本项目的施工技术方案和措施满足项目需求，内容全面、合理。（评分范围：5，4，3，2，1，0）。</w:t>
            </w:r>
          </w:p>
          <w:p w14:paraId="48416A0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（2）本工程范围内产生的建筑垃圾等的运输、搬运专项方案满足项目需求，内容全面、合理。（评分范围：5，4，3，2，1，0）</w:t>
            </w:r>
          </w:p>
        </w:tc>
        <w:tc>
          <w:tcPr>
            <w:tcW w:w="956" w:type="dxa"/>
            <w:vAlign w:val="center"/>
          </w:tcPr>
          <w:p w14:paraId="108DD60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10</w:t>
            </w:r>
          </w:p>
        </w:tc>
        <w:tc>
          <w:tcPr>
            <w:tcW w:w="1276" w:type="dxa"/>
            <w:vAlign w:val="center"/>
          </w:tcPr>
          <w:p w14:paraId="2C57AC1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A7101DC">
            <w:pPr>
              <w:snapToGrid w:val="0"/>
              <w:jc w:val="center"/>
              <w:rPr>
                <w:rFonts w:hint="eastAsia" w:ascii="宋体" w:hAnsi="宋体" w:cs="宋体"/>
                <w:color w:val="auto"/>
                <w:sz w:val="24"/>
                <w:highlight w:val="none"/>
              </w:rPr>
            </w:pPr>
          </w:p>
        </w:tc>
      </w:tr>
      <w:tr w14:paraId="6F59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734C18C">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5294" w:type="dxa"/>
            <w:vAlign w:val="center"/>
          </w:tcPr>
          <w:p w14:paraId="1DF1EBD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施工质量控制措施：</w:t>
            </w:r>
          </w:p>
          <w:p w14:paraId="64F1FBC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质量控制措施满足项目需求，内容全面、科学、合理，针对性、可操作性强。（评分范围：5，4，3，2，1，0）</w:t>
            </w:r>
          </w:p>
        </w:tc>
        <w:tc>
          <w:tcPr>
            <w:tcW w:w="956" w:type="dxa"/>
            <w:vAlign w:val="center"/>
          </w:tcPr>
          <w:p w14:paraId="325535F2">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0A035C49">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DF8080E">
            <w:pPr>
              <w:snapToGrid w:val="0"/>
              <w:jc w:val="center"/>
              <w:rPr>
                <w:rFonts w:hint="eastAsia" w:ascii="宋体" w:hAnsi="宋体" w:cs="宋体"/>
                <w:color w:val="auto"/>
                <w:sz w:val="24"/>
                <w:highlight w:val="none"/>
              </w:rPr>
            </w:pPr>
          </w:p>
        </w:tc>
      </w:tr>
      <w:tr w14:paraId="5722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8186AD">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5294" w:type="dxa"/>
            <w:vAlign w:val="center"/>
          </w:tcPr>
          <w:p w14:paraId="1E188E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针对工期承诺的进度计划实施方案进行评审：</w:t>
            </w:r>
          </w:p>
          <w:p w14:paraId="2F12A9A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进度计划制定及进度控制措施满足项目需求，针对性和可行性强。（评分范围：5，4，3，2，1，0）</w:t>
            </w:r>
          </w:p>
        </w:tc>
        <w:tc>
          <w:tcPr>
            <w:tcW w:w="956" w:type="dxa"/>
            <w:vAlign w:val="center"/>
          </w:tcPr>
          <w:p w14:paraId="7A02BDE2">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563B87F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4DC6BD8">
            <w:pPr>
              <w:snapToGrid w:val="0"/>
              <w:jc w:val="center"/>
              <w:rPr>
                <w:rFonts w:hint="eastAsia" w:ascii="宋体" w:hAnsi="宋体" w:cs="宋体"/>
                <w:color w:val="auto"/>
                <w:sz w:val="24"/>
                <w:highlight w:val="none"/>
              </w:rPr>
            </w:pPr>
          </w:p>
        </w:tc>
      </w:tr>
      <w:tr w14:paraId="0D19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204A1F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5294" w:type="dxa"/>
            <w:vAlign w:val="center"/>
          </w:tcPr>
          <w:p w14:paraId="16C5B9B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安全、文明施工及环保、消防等的保证措施：</w:t>
            </w:r>
          </w:p>
          <w:p w14:paraId="3A71DA6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各项内容及措施满足项目需求，全面、科学、合理，针对性、可操作性强。（评分范围：5，4，3，2，1，0）</w:t>
            </w:r>
          </w:p>
        </w:tc>
        <w:tc>
          <w:tcPr>
            <w:tcW w:w="956" w:type="dxa"/>
            <w:vAlign w:val="center"/>
          </w:tcPr>
          <w:p w14:paraId="3CD3604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14206D1D">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B06C0A9">
            <w:pPr>
              <w:snapToGrid w:val="0"/>
              <w:jc w:val="center"/>
              <w:rPr>
                <w:rFonts w:hint="eastAsia" w:ascii="宋体" w:hAnsi="宋体" w:cs="宋体"/>
                <w:color w:val="auto"/>
                <w:sz w:val="24"/>
                <w:highlight w:val="none"/>
              </w:rPr>
            </w:pPr>
          </w:p>
        </w:tc>
      </w:tr>
      <w:tr w14:paraId="6FAB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59AF4E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5294" w:type="dxa"/>
            <w:vAlign w:val="center"/>
          </w:tcPr>
          <w:p w14:paraId="14B1677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供应商在项目施工过程中的降噪措施。</w:t>
            </w:r>
          </w:p>
          <w:p w14:paraId="74DBAA4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措施满足项目需求，全面、科学、合理，针对性、可操作性强。（评分范围：5，4，3，2，1，0）</w:t>
            </w:r>
          </w:p>
        </w:tc>
        <w:tc>
          <w:tcPr>
            <w:tcW w:w="956" w:type="dxa"/>
            <w:vAlign w:val="center"/>
          </w:tcPr>
          <w:p w14:paraId="2A215D43">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5D038E9B">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6C82C425">
            <w:pPr>
              <w:snapToGrid w:val="0"/>
              <w:jc w:val="center"/>
              <w:rPr>
                <w:rFonts w:hint="eastAsia" w:ascii="宋体" w:hAnsi="宋体" w:cs="宋体"/>
                <w:color w:val="auto"/>
                <w:sz w:val="24"/>
                <w:highlight w:val="none"/>
              </w:rPr>
            </w:pPr>
          </w:p>
        </w:tc>
      </w:tr>
      <w:tr w14:paraId="7664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9D5BAD9">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5294" w:type="dxa"/>
            <w:vAlign w:val="center"/>
          </w:tcPr>
          <w:p w14:paraId="076DD4A7">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投入施工材料规格、供应计划及质量保证措施：</w:t>
            </w:r>
          </w:p>
          <w:p w14:paraId="1B83B887">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材料规格详细、供应计划及质量保证措施满足项目需求，全面、科学、合理，针对性、可操作性强。（评分范围：5，4，3，2，1，0）</w:t>
            </w:r>
          </w:p>
        </w:tc>
        <w:tc>
          <w:tcPr>
            <w:tcW w:w="956" w:type="dxa"/>
            <w:vAlign w:val="center"/>
          </w:tcPr>
          <w:p w14:paraId="274ACCD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7BA0231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9705B1D">
            <w:pPr>
              <w:snapToGrid w:val="0"/>
              <w:jc w:val="center"/>
              <w:rPr>
                <w:rFonts w:hint="eastAsia" w:ascii="宋体" w:hAnsi="宋体" w:cs="宋体"/>
                <w:color w:val="auto"/>
                <w:sz w:val="24"/>
                <w:highlight w:val="none"/>
              </w:rPr>
            </w:pPr>
          </w:p>
        </w:tc>
      </w:tr>
      <w:tr w14:paraId="0960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2296F26">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5294" w:type="dxa"/>
            <w:vAlign w:val="center"/>
          </w:tcPr>
          <w:p w14:paraId="0A99C82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项目实施过程中针对成品保护的各项措施：</w:t>
            </w:r>
          </w:p>
          <w:p w14:paraId="48A0D86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成品保护各项内容及措施满足项目需求，全面、科学、合理。（评分范围：5，4，3，2，1，0）</w:t>
            </w:r>
          </w:p>
        </w:tc>
        <w:tc>
          <w:tcPr>
            <w:tcW w:w="956" w:type="dxa"/>
            <w:vAlign w:val="center"/>
          </w:tcPr>
          <w:p w14:paraId="5D9B2D38">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25229C4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BD22EF4">
            <w:pPr>
              <w:snapToGrid w:val="0"/>
              <w:jc w:val="center"/>
              <w:rPr>
                <w:rFonts w:hint="eastAsia" w:ascii="宋体" w:hAnsi="宋体" w:cs="宋体"/>
                <w:color w:val="auto"/>
                <w:sz w:val="24"/>
                <w:highlight w:val="none"/>
              </w:rPr>
            </w:pPr>
          </w:p>
        </w:tc>
      </w:tr>
      <w:tr w14:paraId="315F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5F9354E">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5294" w:type="dxa"/>
            <w:vAlign w:val="center"/>
          </w:tcPr>
          <w:p w14:paraId="047EDA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交付前各项检验、检测方案：依据的标准、检验检测项目及时间计划、检验检测保障和目标承诺与本项目实施内容相适应且合理、科学、可靠。（评分范围：5，4，3，2，1，0）</w:t>
            </w:r>
          </w:p>
        </w:tc>
        <w:tc>
          <w:tcPr>
            <w:tcW w:w="956" w:type="dxa"/>
            <w:vAlign w:val="center"/>
          </w:tcPr>
          <w:p w14:paraId="1184352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17F8065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21180409">
            <w:pPr>
              <w:snapToGrid w:val="0"/>
              <w:jc w:val="center"/>
              <w:rPr>
                <w:rFonts w:hint="eastAsia" w:ascii="宋体" w:hAnsi="宋体" w:cs="宋体"/>
                <w:color w:val="auto"/>
                <w:sz w:val="24"/>
                <w:highlight w:val="none"/>
              </w:rPr>
            </w:pPr>
          </w:p>
        </w:tc>
      </w:tr>
      <w:tr w14:paraId="7D5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96D5EF4">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5294" w:type="dxa"/>
            <w:vAlign w:val="center"/>
          </w:tcPr>
          <w:p w14:paraId="33E08E8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施工工程中突发事件的应急措施及处理方案。（评分范围：5，4，3，2，1，0）</w:t>
            </w:r>
          </w:p>
        </w:tc>
        <w:tc>
          <w:tcPr>
            <w:tcW w:w="956" w:type="dxa"/>
            <w:vAlign w:val="center"/>
          </w:tcPr>
          <w:p w14:paraId="48C8D3B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5B6F0B4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E1100BB">
            <w:pPr>
              <w:snapToGrid w:val="0"/>
              <w:jc w:val="center"/>
              <w:rPr>
                <w:rFonts w:hint="eastAsia" w:ascii="宋体" w:hAnsi="宋体" w:cs="宋体"/>
                <w:color w:val="auto"/>
                <w:sz w:val="24"/>
                <w:highlight w:val="none"/>
              </w:rPr>
            </w:pPr>
          </w:p>
        </w:tc>
      </w:tr>
      <w:tr w14:paraId="29A6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933F4E">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5294" w:type="dxa"/>
            <w:vAlign w:val="center"/>
          </w:tcPr>
          <w:p w14:paraId="45F0903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项目保修期内措施：</w:t>
            </w:r>
          </w:p>
          <w:p w14:paraId="38DA6C7F">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各项内容及措施完善、全面，可操作性强。（评分范围：5，4，3，2，1，0）</w:t>
            </w:r>
          </w:p>
        </w:tc>
        <w:tc>
          <w:tcPr>
            <w:tcW w:w="956" w:type="dxa"/>
            <w:vAlign w:val="center"/>
          </w:tcPr>
          <w:p w14:paraId="2E81130A">
            <w:pPr>
              <w:snapToGrid w:val="0"/>
              <w:spacing w:line="400" w:lineRule="exact"/>
              <w:jc w:val="center"/>
              <w:outlineLvl w:val="0"/>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val="en-US" w:eastAsia="zh-CN"/>
              </w:rPr>
              <w:t>5</w:t>
            </w:r>
          </w:p>
        </w:tc>
        <w:tc>
          <w:tcPr>
            <w:tcW w:w="1276" w:type="dxa"/>
            <w:vAlign w:val="center"/>
          </w:tcPr>
          <w:p w14:paraId="28C4246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07B44421">
            <w:pPr>
              <w:snapToGrid w:val="0"/>
              <w:jc w:val="center"/>
              <w:rPr>
                <w:rFonts w:hint="eastAsia" w:ascii="宋体" w:hAnsi="宋体" w:cs="宋体"/>
                <w:color w:val="auto"/>
                <w:sz w:val="24"/>
                <w:highlight w:val="none"/>
              </w:rPr>
            </w:pPr>
          </w:p>
        </w:tc>
      </w:tr>
      <w:tr w14:paraId="016F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7F5CF2E">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294" w:type="dxa"/>
            <w:vAlign w:val="center"/>
          </w:tcPr>
          <w:p w14:paraId="526CA680">
            <w:pPr>
              <w:snapToGrid w:val="0"/>
              <w:spacing w:line="400" w:lineRule="exact"/>
              <w:rPr>
                <w:rFonts w:hint="eastAsia" w:ascii="宋体" w:hAnsi="宋体" w:eastAsia="宋体" w:cs="宋体"/>
                <w:color w:val="auto"/>
                <w:sz w:val="24"/>
                <w:highlight w:val="none"/>
                <w:lang w:eastAsia="zh-CN"/>
              </w:rPr>
            </w:pPr>
            <w:r>
              <w:rPr>
                <w:rFonts w:hint="eastAsia" w:ascii="宋体" w:hAnsi="宋体"/>
                <w:color w:val="auto"/>
                <w:sz w:val="24"/>
                <w:highlight w:val="none"/>
                <w:lang w:val="en-US" w:eastAsia="zh-CN"/>
              </w:rPr>
              <w:t>根据学校情况，供应商针对</w:t>
            </w:r>
            <w:r>
              <w:rPr>
                <w:rFonts w:hint="eastAsia" w:ascii="宋体" w:hAnsi="宋体"/>
                <w:color w:val="auto"/>
                <w:sz w:val="24"/>
                <w:highlight w:val="none"/>
              </w:rPr>
              <w:t>施工现场的人员管理及进出场管理措施</w:t>
            </w:r>
            <w:r>
              <w:rPr>
                <w:rFonts w:hint="eastAsia" w:ascii="宋体" w:hAnsi="宋体"/>
                <w:color w:val="auto"/>
                <w:sz w:val="24"/>
                <w:highlight w:val="none"/>
                <w:lang w:eastAsia="zh-CN"/>
              </w:rPr>
              <w:t>：</w:t>
            </w:r>
            <w:r>
              <w:rPr>
                <w:rFonts w:hint="eastAsia" w:ascii="宋体" w:hAnsi="宋体" w:cs="宋体"/>
                <w:color w:val="auto"/>
                <w:sz w:val="24"/>
                <w:highlight w:val="none"/>
              </w:rPr>
              <w:t>（评分范围：3，2，1，0）</w:t>
            </w:r>
          </w:p>
        </w:tc>
        <w:tc>
          <w:tcPr>
            <w:tcW w:w="956" w:type="dxa"/>
            <w:vAlign w:val="center"/>
          </w:tcPr>
          <w:p w14:paraId="6F118E7F">
            <w:pPr>
              <w:snapToGrid w:val="0"/>
              <w:spacing w:line="400" w:lineRule="exact"/>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76" w:type="dxa"/>
            <w:vAlign w:val="center"/>
          </w:tcPr>
          <w:p w14:paraId="5BEA40B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09B326B4">
            <w:pPr>
              <w:snapToGrid w:val="0"/>
              <w:jc w:val="center"/>
              <w:rPr>
                <w:rFonts w:hint="eastAsia" w:ascii="宋体" w:hAnsi="宋体" w:cs="宋体"/>
                <w:color w:val="auto"/>
                <w:sz w:val="24"/>
                <w:highlight w:val="none"/>
              </w:rPr>
            </w:pPr>
          </w:p>
        </w:tc>
      </w:tr>
      <w:tr w14:paraId="08D9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F5289EC">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294" w:type="dxa"/>
            <w:vAlign w:val="center"/>
          </w:tcPr>
          <w:p w14:paraId="4C82251C">
            <w:pPr>
              <w:snapToGrid w:val="0"/>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在本次采购项目中使用的材料（设备）列入政府采购节能产品、环境标志产品品目清单范围的，每提供一个节能产品得0.5分，每提供一个环境标志产品得0.5分。（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r>
              <w:rPr>
                <w:rFonts w:hint="eastAsia" w:ascii="宋体" w:hAnsi="宋体" w:cs="宋体"/>
                <w:color w:val="auto"/>
                <w:sz w:val="24"/>
                <w:highlight w:val="none"/>
                <w:lang w:eastAsia="zh-CN"/>
              </w:rPr>
              <w:t>。</w:t>
            </w:r>
          </w:p>
        </w:tc>
        <w:tc>
          <w:tcPr>
            <w:tcW w:w="956" w:type="dxa"/>
            <w:vAlign w:val="center"/>
          </w:tcPr>
          <w:p w14:paraId="37D67F1C">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1</w:t>
            </w:r>
          </w:p>
        </w:tc>
        <w:tc>
          <w:tcPr>
            <w:tcW w:w="1276" w:type="dxa"/>
            <w:vAlign w:val="center"/>
          </w:tcPr>
          <w:p w14:paraId="3AD72A2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6B78802A">
            <w:pPr>
              <w:snapToGrid w:val="0"/>
              <w:jc w:val="center"/>
              <w:rPr>
                <w:rFonts w:hint="eastAsia" w:ascii="宋体" w:hAnsi="宋体" w:cs="宋体"/>
                <w:color w:val="auto"/>
                <w:sz w:val="24"/>
                <w:highlight w:val="none"/>
              </w:rPr>
            </w:pPr>
          </w:p>
        </w:tc>
      </w:tr>
      <w:tr w14:paraId="5B4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2634217B">
            <w:pPr>
              <w:snapToGrid w:val="0"/>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5294" w:type="dxa"/>
            <w:shd w:val="clear" w:color="auto" w:fill="auto"/>
          </w:tcPr>
          <w:p w14:paraId="38F5362A">
            <w:pPr>
              <w:snapToGrid w:val="0"/>
              <w:outlineLvl w:val="0"/>
              <w:rPr>
                <w:rFonts w:hint="eastAsia"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］的计算公式计算。</w:t>
            </w:r>
          </w:p>
          <w:p w14:paraId="322BB1DD">
            <w:pPr>
              <w:widowControl/>
              <w:shd w:val="clear" w:color="auto" w:fill="FFFFFF"/>
              <w:adjustRightInd/>
              <w:snapToGrid w:val="0"/>
              <w:ind w:firstLine="420"/>
              <w:jc w:val="left"/>
              <w:rPr>
                <w:rFonts w:hint="eastAsia"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51534580">
            <w:pPr>
              <w:widowControl/>
              <w:shd w:val="clear" w:color="auto" w:fill="FFFFFF"/>
              <w:adjustRightInd/>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因落实政府采购政策需要进行价格调整的，以调整后的价格计算评审基准价和最后报价。</w:t>
            </w:r>
          </w:p>
        </w:tc>
        <w:tc>
          <w:tcPr>
            <w:tcW w:w="956" w:type="dxa"/>
            <w:shd w:val="clear" w:color="auto" w:fill="auto"/>
            <w:vAlign w:val="center"/>
          </w:tcPr>
          <w:p w14:paraId="029E0DA7">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25</w:t>
            </w:r>
          </w:p>
        </w:tc>
        <w:tc>
          <w:tcPr>
            <w:tcW w:w="1276" w:type="dxa"/>
            <w:shd w:val="clear" w:color="auto" w:fill="auto"/>
            <w:vAlign w:val="center"/>
          </w:tcPr>
          <w:p w14:paraId="047E847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shd w:val="clear" w:color="auto" w:fill="auto"/>
            <w:vAlign w:val="center"/>
          </w:tcPr>
          <w:p w14:paraId="04AC263F">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32458490">
      <w:pPr>
        <w:pStyle w:val="60"/>
        <w:rPr>
          <w:rFonts w:hint="eastAsia" w:ascii="宋体" w:hAnsi="宋体" w:cs="宋体"/>
          <w:color w:val="auto"/>
          <w:sz w:val="32"/>
          <w:highlight w:val="none"/>
        </w:rPr>
      </w:pPr>
    </w:p>
    <w:p w14:paraId="46CEB859">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38319DC">
      <w:pPr>
        <w:jc w:val="left"/>
        <w:rPr>
          <w:rFonts w:hint="eastAsia" w:ascii="宋体" w:hAnsi="宋体" w:cs="宋体"/>
          <w:b/>
          <w:color w:val="auto"/>
          <w:sz w:val="28"/>
          <w:szCs w:val="28"/>
          <w:highlight w:val="none"/>
        </w:rPr>
      </w:pPr>
      <w:r>
        <w:rPr>
          <w:rFonts w:hint="eastAsia" w:ascii="宋体" w:hAnsi="宋体" w:cs="宋体"/>
          <w:b/>
          <w:color w:val="auto"/>
          <w:sz w:val="32"/>
          <w:highlight w:val="none"/>
        </w:rPr>
        <w:t>一、评审方法</w:t>
      </w:r>
    </w:p>
    <w:p w14:paraId="5783B322">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27C119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二、评审标准</w:t>
      </w:r>
    </w:p>
    <w:p w14:paraId="1CBCB45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0E5E39B5">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三、评审程序</w:t>
      </w:r>
    </w:p>
    <w:p w14:paraId="4FD883A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03FB8FF">
      <w:pPr>
        <w:spacing w:line="360" w:lineRule="auto"/>
        <w:ind w:firstLine="472" w:firstLineChars="196"/>
        <w:rPr>
          <w:rFonts w:hint="eastAsia"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7A8D6DE">
      <w:pPr>
        <w:spacing w:line="360" w:lineRule="auto"/>
        <w:ind w:firstLine="470" w:firstLineChars="196"/>
        <w:rPr>
          <w:rFonts w:hint="eastAsia"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5347E062">
      <w:pPr>
        <w:spacing w:line="360" w:lineRule="auto"/>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0777F25C">
      <w:pPr>
        <w:spacing w:line="360" w:lineRule="auto"/>
        <w:ind w:firstLine="470" w:firstLineChars="196"/>
        <w:rPr>
          <w:rFonts w:hint="eastAsia"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1F997656">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5D5D7C95">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6815AEF">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8A77DE">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5A25287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E8EF6A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D999487">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3.6报价评审。</w:t>
      </w:r>
    </w:p>
    <w:p w14:paraId="77E3BE6E">
      <w:pPr>
        <w:pStyle w:val="132"/>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70D756C">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A5EACF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7D1F5061">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355B9DB6">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6BE2E5B">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905075E">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70F85E5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348FEF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26AE44A">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en"/>
        </w:rPr>
        <w:t>。</w:t>
      </w:r>
    </w:p>
    <w:p w14:paraId="79C49D1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6CB3A4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四、评审中的其他事项</w:t>
      </w:r>
    </w:p>
    <w:p w14:paraId="3D883F44">
      <w:pPr>
        <w:pStyle w:val="13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EEFDC63">
      <w:pPr>
        <w:pStyle w:val="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2E67C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F4DF50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CBEB8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0BC782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7FED191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5E947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166DF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0295E12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4AEAF0A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32200B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1263E2CB">
      <w:pPr>
        <w:pStyle w:val="8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D00391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2C9A51A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373ABB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345414E">
      <w:pPr>
        <w:pStyle w:val="5"/>
        <w:snapToGrid w:val="0"/>
        <w:spacing w:line="360" w:lineRule="auto"/>
        <w:ind w:firstLine="472" w:firstLineChars="196"/>
        <w:rPr>
          <w:rFonts w:hint="eastAsia"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7467E">
      <w:pPr>
        <w:pStyle w:val="5"/>
        <w:snapToGrid w:val="0"/>
        <w:spacing w:line="360" w:lineRule="auto"/>
        <w:rPr>
          <w:rFonts w:hint="eastAsia" w:cs="宋体"/>
          <w:color w:val="auto"/>
          <w:highlight w:val="none"/>
        </w:rPr>
      </w:pPr>
      <w:r>
        <w:rPr>
          <w:rFonts w:hint="eastAsia" w:cs="宋体"/>
          <w:color w:val="auto"/>
          <w:highlight w:val="none"/>
        </w:rPr>
        <w:t>5.1因情况变化，不再符合规定的竞争性磋商采购方式适用情形的；</w:t>
      </w:r>
    </w:p>
    <w:p w14:paraId="2D8844F6">
      <w:pPr>
        <w:pStyle w:val="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FCA6E80">
      <w:pPr>
        <w:pStyle w:val="5"/>
        <w:snapToGrid w:val="0"/>
        <w:spacing w:line="360" w:lineRule="auto"/>
        <w:rPr>
          <w:rFonts w:hint="eastAsia"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3FE1C3C">
      <w:pPr>
        <w:pStyle w:val="5"/>
        <w:snapToGrid w:val="0"/>
        <w:spacing w:line="360" w:lineRule="auto"/>
        <w:rPr>
          <w:rFonts w:hint="eastAsia"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68E0DAC">
      <w:pPr>
        <w:pStyle w:val="5"/>
        <w:snapToGrid w:val="0"/>
        <w:spacing w:line="360" w:lineRule="auto"/>
        <w:ind w:firstLine="482"/>
        <w:rPr>
          <w:rFonts w:hint="eastAsia"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2AF84A2">
      <w:pPr>
        <w:pStyle w:val="5"/>
        <w:snapToGrid w:val="0"/>
        <w:spacing w:line="360" w:lineRule="auto"/>
        <w:rPr>
          <w:rFonts w:hint="eastAsia" w:cs="宋体"/>
          <w:color w:val="auto"/>
          <w:highlight w:val="none"/>
        </w:rPr>
      </w:pPr>
      <w:r>
        <w:rPr>
          <w:rFonts w:hint="eastAsia" w:cs="宋体"/>
          <w:color w:val="auto"/>
          <w:highlight w:val="none"/>
        </w:rPr>
        <w:t>6.1未确定成交供应商的，终止本次政府采购活动，重新开展政府采购活动。</w:t>
      </w:r>
    </w:p>
    <w:p w14:paraId="62800C26">
      <w:pPr>
        <w:pStyle w:val="5"/>
        <w:snapToGrid w:val="0"/>
        <w:spacing w:line="360" w:lineRule="auto"/>
        <w:rPr>
          <w:rFonts w:hint="eastAsia"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55EEAB7">
      <w:pPr>
        <w:pStyle w:val="5"/>
        <w:snapToGrid w:val="0"/>
        <w:spacing w:line="360" w:lineRule="auto"/>
        <w:rPr>
          <w:rFonts w:hint="eastAsia"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055F5151">
      <w:pPr>
        <w:pStyle w:val="5"/>
        <w:snapToGrid w:val="0"/>
        <w:spacing w:line="360" w:lineRule="auto"/>
        <w:rPr>
          <w:rFonts w:hint="eastAsia" w:cs="宋体"/>
          <w:color w:val="auto"/>
          <w:highlight w:val="none"/>
        </w:rPr>
      </w:pPr>
      <w:r>
        <w:rPr>
          <w:rFonts w:hint="eastAsia" w:cs="宋体"/>
          <w:color w:val="auto"/>
          <w:highlight w:val="none"/>
        </w:rPr>
        <w:t>6.4政府采购合同已经履行，给采购人、供应商造成损失的，由责任人承担赔偿责任。</w:t>
      </w:r>
    </w:p>
    <w:p w14:paraId="34BF33F1">
      <w:pPr>
        <w:pStyle w:val="5"/>
        <w:snapToGrid w:val="0"/>
        <w:spacing w:line="360" w:lineRule="auto"/>
        <w:rPr>
          <w:rFonts w:hint="eastAsia"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6388223">
      <w:pPr>
        <w:pStyle w:val="5"/>
        <w:snapToGrid w:val="0"/>
        <w:spacing w:line="360" w:lineRule="auto"/>
        <w:ind w:firstLine="0" w:firstLineChars="0"/>
        <w:rPr>
          <w:rFonts w:hint="eastAsia" w:cs="宋体"/>
          <w:color w:val="auto"/>
          <w:highlight w:val="none"/>
        </w:rPr>
        <w:sectPr>
          <w:pgSz w:w="11907" w:h="16840"/>
          <w:pgMar w:top="1440" w:right="1080" w:bottom="1440" w:left="1080" w:header="851" w:footer="851" w:gutter="0"/>
          <w:cols w:space="720" w:num="1"/>
        </w:sectPr>
      </w:pPr>
    </w:p>
    <w:bookmarkEnd w:id="31"/>
    <w:p w14:paraId="60E54D88">
      <w:pPr>
        <w:spacing w:line="360" w:lineRule="auto"/>
        <w:jc w:val="center"/>
        <w:outlineLvl w:val="0"/>
        <w:rPr>
          <w:rFonts w:hint="eastAsia"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14:paraId="57DC4BEC">
      <w:pPr>
        <w:snapToGrid w:val="0"/>
        <w:spacing w:line="360" w:lineRule="auto"/>
        <w:ind w:firstLine="480" w:firstLineChars="200"/>
        <w:jc w:val="left"/>
        <w:rPr>
          <w:rFonts w:hint="eastAsia"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39597DB1">
      <w:pPr>
        <w:keepNext/>
        <w:keepLines/>
        <w:numPr>
          <w:ilvl w:val="1"/>
          <w:numId w:val="0"/>
        </w:numPr>
        <w:snapToGrid w:val="0"/>
        <w:spacing w:before="100" w:line="360" w:lineRule="auto"/>
        <w:jc w:val="center"/>
        <w:outlineLvl w:val="1"/>
        <w:rPr>
          <w:rFonts w:hint="eastAsia"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00" w:name="_Toc97299497"/>
      <w:bookmarkStart w:id="401" w:name="_Toc32130"/>
      <w:r>
        <w:rPr>
          <w:rFonts w:hint="eastAsia" w:ascii="宋体" w:hAnsi="宋体" w:cs="宋体"/>
          <w:snapToGrid w:val="0"/>
          <w:color w:val="auto"/>
          <w:kern w:val="44"/>
          <w:sz w:val="28"/>
          <w:szCs w:val="20"/>
          <w:highlight w:val="none"/>
        </w:rPr>
        <w:t>第一部分  合同协议书</w:t>
      </w:r>
      <w:bookmarkEnd w:id="400"/>
      <w:bookmarkEnd w:id="401"/>
    </w:p>
    <w:p w14:paraId="3937CACA">
      <w:pPr>
        <w:snapToGrid w:val="0"/>
        <w:spacing w:line="360" w:lineRule="auto"/>
        <w:ind w:firstLine="470" w:firstLineChars="196"/>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02" w:name="SOA_hhxys_fbr"/>
      <w:r>
        <w:rPr>
          <w:rFonts w:hint="eastAsia" w:ascii="宋体" w:hAnsi="宋体" w:cs="宋体"/>
          <w:snapToGrid w:val="0"/>
          <w:color w:val="auto"/>
          <w:kern w:val="0"/>
          <w:sz w:val="24"/>
          <w:highlight w:val="none"/>
          <w:u w:val="single"/>
          <w:lang w:eastAsia="zh-CN"/>
        </w:rPr>
        <w:t>浙江省杭州第十一中学</w:t>
      </w:r>
      <w:r>
        <w:rPr>
          <w:rFonts w:hint="eastAsia" w:ascii="宋体" w:hAnsi="宋体" w:cs="宋体"/>
          <w:snapToGrid w:val="0"/>
          <w:color w:val="auto"/>
          <w:kern w:val="0"/>
          <w:sz w:val="24"/>
          <w:highlight w:val="none"/>
          <w:u w:val="single"/>
        </w:rPr>
        <w:t xml:space="preserve">    </w:t>
      </w:r>
      <w:bookmarkEnd w:id="402"/>
      <w:r>
        <w:rPr>
          <w:rFonts w:hint="eastAsia" w:ascii="宋体" w:hAnsi="宋体" w:cs="宋体"/>
          <w:snapToGrid w:val="0"/>
          <w:color w:val="auto"/>
          <w:kern w:val="0"/>
          <w:sz w:val="24"/>
          <w:highlight w:val="none"/>
          <w:u w:val="single"/>
        </w:rPr>
        <w:t xml:space="preserve"> </w:t>
      </w:r>
    </w:p>
    <w:p w14:paraId="2C6B78E8">
      <w:pPr>
        <w:snapToGrid w:val="0"/>
        <w:spacing w:line="360" w:lineRule="auto"/>
        <w:ind w:firstLine="470" w:firstLineChars="196"/>
        <w:rPr>
          <w:rFonts w:hint="eastAsia"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Start w:id="403" w:name="SOA_hhxys_cbr"/>
      <w:r>
        <w:rPr>
          <w:rFonts w:hint="eastAsia" w:ascii="宋体" w:hAnsi="宋体" w:cs="宋体"/>
          <w:snapToGrid w:val="0"/>
          <w:color w:val="auto"/>
          <w:kern w:val="0"/>
          <w:sz w:val="24"/>
          <w:highlight w:val="none"/>
          <w:u w:val="single"/>
        </w:rPr>
        <w:t xml:space="preserve">  </w:t>
      </w:r>
      <w:bookmarkEnd w:id="403"/>
    </w:p>
    <w:p w14:paraId="320A27B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大关校区学生宿舍改造</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4AA32DC4">
      <w:pPr>
        <w:snapToGrid w:val="0"/>
        <w:spacing w:before="24" w:beforeLines="10" w:after="24" w:afterLines="10" w:line="360" w:lineRule="auto"/>
        <w:rPr>
          <w:rFonts w:hint="eastAsia" w:ascii="宋体" w:hAnsi="宋体" w:cs="宋体"/>
          <w:b/>
          <w:bCs/>
          <w:snapToGrid w:val="0"/>
          <w:color w:val="auto"/>
          <w:kern w:val="0"/>
          <w:sz w:val="24"/>
          <w:highlight w:val="none"/>
        </w:rPr>
      </w:pPr>
      <w:bookmarkStart w:id="404" w:name="_Toc361220410"/>
      <w:bookmarkStart w:id="405" w:name="_Toc97299498"/>
      <w:r>
        <w:rPr>
          <w:rFonts w:hint="eastAsia" w:ascii="宋体" w:hAnsi="宋体" w:cs="宋体"/>
          <w:b/>
          <w:bCs/>
          <w:snapToGrid w:val="0"/>
          <w:color w:val="auto"/>
          <w:kern w:val="0"/>
          <w:sz w:val="24"/>
          <w:highlight w:val="none"/>
        </w:rPr>
        <w:t>一、工程概况</w:t>
      </w:r>
      <w:bookmarkEnd w:id="404"/>
      <w:bookmarkEnd w:id="405"/>
    </w:p>
    <w:p w14:paraId="711F8334">
      <w:pPr>
        <w:snapToGrid w:val="0"/>
        <w:spacing w:line="360" w:lineRule="auto"/>
        <w:ind w:firstLine="470" w:firstLineChars="196"/>
        <w:rPr>
          <w:rFonts w:hint="eastAsia"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大关校区学生宿舍改造</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60F95B46">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杭州市拱墅区八丈井东路150号</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92F7028">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BEEA5AC">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5D56639E">
      <w:pPr>
        <w:snapToGrid w:val="0"/>
        <w:spacing w:line="360" w:lineRule="auto"/>
        <w:ind w:firstLine="463" w:firstLineChars="193"/>
        <w:rPr>
          <w:rFonts w:hint="eastAsia"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bCs/>
          <w:snapToGrid w:val="0"/>
          <w:color w:val="auto"/>
          <w:kern w:val="0"/>
          <w:sz w:val="24"/>
          <w:highlight w:val="none"/>
          <w:u w:val="single"/>
          <w:lang w:eastAsia="zh-CN"/>
        </w:rPr>
        <w:t>大关校区学生宿舍改造</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56387DB6">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03B9CBD">
      <w:pPr>
        <w:snapToGrid w:val="0"/>
        <w:spacing w:line="360" w:lineRule="auto"/>
        <w:ind w:firstLine="463" w:firstLineChars="193"/>
        <w:rPr>
          <w:rFonts w:hint="eastAsia" w:ascii="宋体" w:hAnsi="宋体" w:eastAsia="宋体" w:cs="宋体"/>
          <w:bCs/>
          <w:snapToGrid w:val="0"/>
          <w:color w:val="auto"/>
          <w:kern w:val="0"/>
          <w:sz w:val="24"/>
          <w:highlight w:val="none"/>
          <w:lang w:eastAsia="zh-CN"/>
        </w:rPr>
      </w:pPr>
      <w:bookmarkStart w:id="406" w:name="_Toc361220411"/>
      <w:r>
        <w:rPr>
          <w:rFonts w:hint="eastAsia" w:ascii="宋体" w:hAnsi="宋体" w:cs="宋体"/>
          <w:bCs/>
          <w:snapToGrid w:val="0"/>
          <w:color w:val="auto"/>
          <w:kern w:val="0"/>
          <w:sz w:val="24"/>
          <w:highlight w:val="none"/>
          <w:u w:val="single"/>
          <w:lang w:eastAsia="zh-CN"/>
        </w:rPr>
        <w:t>本项目具体范围包括但不限于以下内容：原部分墙体拆除、门拆除、原门洞封堵等，新增墙体、门窗，房间装饰装修及其他改造，配套给排水、电气改造等；具体详见竞争性磋商文件、工程量清单及编制说明和图纸全部内容。</w:t>
      </w:r>
      <w:r>
        <w:rPr>
          <w:rFonts w:hint="eastAsia" w:ascii="宋体" w:hAnsi="宋体" w:cs="宋体"/>
          <w:bCs/>
          <w:snapToGrid w:val="0"/>
          <w:color w:val="auto"/>
          <w:kern w:val="0"/>
          <w:sz w:val="24"/>
          <w:highlight w:val="none"/>
          <w:lang w:eastAsia="zh-CN"/>
        </w:rPr>
        <w:t xml:space="preserve"> </w:t>
      </w:r>
    </w:p>
    <w:p w14:paraId="19F8CE89">
      <w:pPr>
        <w:snapToGrid w:val="0"/>
        <w:spacing w:line="360" w:lineRule="auto"/>
        <w:rPr>
          <w:rFonts w:hint="eastAsia" w:ascii="宋体" w:hAnsi="宋体" w:cs="宋体"/>
          <w:b/>
          <w:bCs/>
          <w:snapToGrid w:val="0"/>
          <w:color w:val="auto"/>
          <w:kern w:val="0"/>
          <w:sz w:val="24"/>
          <w:highlight w:val="none"/>
        </w:rPr>
      </w:pPr>
      <w:bookmarkStart w:id="407" w:name="_Toc97299499"/>
      <w:r>
        <w:rPr>
          <w:rFonts w:hint="eastAsia" w:ascii="宋体" w:hAnsi="宋体" w:cs="宋体"/>
          <w:b/>
          <w:bCs/>
          <w:snapToGrid w:val="0"/>
          <w:color w:val="auto"/>
          <w:kern w:val="0"/>
          <w:sz w:val="24"/>
          <w:highlight w:val="none"/>
        </w:rPr>
        <w:t>二、合同工期</w:t>
      </w:r>
      <w:bookmarkEnd w:id="406"/>
      <w:bookmarkEnd w:id="407"/>
    </w:p>
    <w:p w14:paraId="7918295E">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2EF805EB">
      <w:pPr>
        <w:snapToGrid w:val="0"/>
        <w:spacing w:line="360" w:lineRule="auto"/>
        <w:ind w:firstLine="459"/>
        <w:rPr>
          <w:rFonts w:hint="eastAsia" w:ascii="宋体" w:hAnsi="宋体" w:cs="宋体"/>
          <w:snapToGrid w:val="0"/>
          <w:color w:val="auto"/>
          <w:kern w:val="0"/>
          <w:sz w:val="24"/>
          <w:highlight w:val="none"/>
        </w:rPr>
      </w:pPr>
      <w:bookmarkStart w:id="408"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2025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8"/>
    </w:p>
    <w:p w14:paraId="7C07CB21">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5208AB1F">
      <w:pPr>
        <w:snapToGrid w:val="0"/>
        <w:spacing w:line="360" w:lineRule="auto"/>
        <w:rPr>
          <w:rFonts w:hint="eastAsia" w:ascii="宋体" w:hAnsi="宋体" w:cs="宋体"/>
          <w:b/>
          <w:bCs/>
          <w:snapToGrid w:val="0"/>
          <w:color w:val="auto"/>
          <w:kern w:val="0"/>
          <w:sz w:val="24"/>
          <w:highlight w:val="none"/>
        </w:rPr>
      </w:pPr>
      <w:bookmarkStart w:id="409" w:name="_Toc361220412"/>
      <w:bookmarkStart w:id="410" w:name="_Toc97299500"/>
      <w:r>
        <w:rPr>
          <w:rFonts w:hint="eastAsia" w:ascii="宋体" w:hAnsi="宋体" w:cs="宋体"/>
          <w:b/>
          <w:bCs/>
          <w:snapToGrid w:val="0"/>
          <w:color w:val="auto"/>
          <w:kern w:val="0"/>
          <w:sz w:val="24"/>
          <w:highlight w:val="none"/>
        </w:rPr>
        <w:t>三、质量标准</w:t>
      </w:r>
      <w:bookmarkEnd w:id="409"/>
      <w:bookmarkEnd w:id="410"/>
    </w:p>
    <w:p w14:paraId="3199A119">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国家施工验收规范合格</w:t>
      </w:r>
      <w:r>
        <w:rPr>
          <w:rFonts w:hint="eastAsia" w:ascii="宋体" w:hAnsi="宋体" w:cs="宋体"/>
          <w:snapToGrid w:val="0"/>
          <w:color w:val="auto"/>
          <w:kern w:val="0"/>
          <w:sz w:val="24"/>
          <w:highlight w:val="none"/>
        </w:rPr>
        <w:t>标准。</w:t>
      </w:r>
    </w:p>
    <w:p w14:paraId="6DC617F1">
      <w:pPr>
        <w:snapToGrid w:val="0"/>
        <w:spacing w:line="360" w:lineRule="auto"/>
        <w:rPr>
          <w:rFonts w:hint="eastAsia" w:ascii="宋体" w:hAnsi="宋体" w:cs="宋体"/>
          <w:b/>
          <w:bCs/>
          <w:snapToGrid w:val="0"/>
          <w:color w:val="auto"/>
          <w:kern w:val="0"/>
          <w:sz w:val="24"/>
          <w:highlight w:val="none"/>
        </w:rPr>
      </w:pPr>
      <w:bookmarkStart w:id="411" w:name="_Toc361220413"/>
      <w:bookmarkStart w:id="412" w:name="_Toc97299501"/>
      <w:r>
        <w:rPr>
          <w:rFonts w:hint="eastAsia" w:ascii="宋体" w:hAnsi="宋体" w:cs="宋体"/>
          <w:b/>
          <w:bCs/>
          <w:snapToGrid w:val="0"/>
          <w:color w:val="auto"/>
          <w:kern w:val="0"/>
          <w:sz w:val="24"/>
          <w:highlight w:val="none"/>
        </w:rPr>
        <w:t>四、签约合同价与合同价格形式</w:t>
      </w:r>
      <w:bookmarkEnd w:id="411"/>
      <w:bookmarkEnd w:id="412"/>
    </w:p>
    <w:p w14:paraId="63916CEA">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5D0C2A4B">
      <w:pPr>
        <w:snapToGrid w:val="0"/>
        <w:spacing w:line="360" w:lineRule="auto"/>
        <w:ind w:firstLine="600" w:firstLineChars="25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3" w:name="SOA_hhxys_ht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4" w:name="SOA_hhxys_ht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6BF5E8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669B493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E54EF2A">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wmsgf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wmsgf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B6807D5">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71014DAB">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sb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sb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5A0D8A6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5483D08F">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gczgj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gczgj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5FE4E5C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6B50B9DE">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zlje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zlje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14:paraId="12F77608">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3" w:name="SOA_hhxys_htjgxs"/>
      <w:r>
        <w:rPr>
          <w:rFonts w:hint="eastAsia" w:ascii="宋体" w:hAnsi="宋体" w:cs="宋体"/>
          <w:snapToGrid w:val="0"/>
          <w:color w:val="auto"/>
          <w:kern w:val="0"/>
          <w:sz w:val="24"/>
          <w:highlight w:val="none"/>
          <w:u w:val="single"/>
        </w:rPr>
        <w:t xml:space="preserve"> 固定单价合同</w:t>
      </w:r>
      <w:bookmarkEnd w:id="42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3A77D877">
      <w:pPr>
        <w:snapToGrid w:val="0"/>
        <w:spacing w:line="360" w:lineRule="auto"/>
        <w:rPr>
          <w:rFonts w:hint="eastAsia" w:ascii="宋体" w:hAnsi="宋体" w:cs="宋体"/>
          <w:b/>
          <w:bCs/>
          <w:snapToGrid w:val="0"/>
          <w:color w:val="auto"/>
          <w:kern w:val="0"/>
          <w:sz w:val="24"/>
          <w:highlight w:val="none"/>
        </w:rPr>
      </w:pPr>
      <w:bookmarkStart w:id="424" w:name="_Toc361220414"/>
      <w:bookmarkStart w:id="425" w:name="_Toc97299502"/>
      <w:r>
        <w:rPr>
          <w:rFonts w:hint="eastAsia" w:ascii="宋体" w:hAnsi="宋体" w:cs="宋体"/>
          <w:b/>
          <w:bCs/>
          <w:snapToGrid w:val="0"/>
          <w:color w:val="auto"/>
          <w:kern w:val="0"/>
          <w:sz w:val="24"/>
          <w:highlight w:val="none"/>
        </w:rPr>
        <w:t>五、项目经理</w:t>
      </w:r>
      <w:bookmarkEnd w:id="424"/>
      <w:bookmarkEnd w:id="425"/>
    </w:p>
    <w:p w14:paraId="22B8129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6" w:name="SOA_hhxys_cbrxmjl"/>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0AAEF285">
      <w:pPr>
        <w:snapToGrid w:val="0"/>
        <w:spacing w:line="360" w:lineRule="auto"/>
        <w:rPr>
          <w:rFonts w:hint="eastAsia" w:ascii="宋体" w:hAnsi="宋体" w:cs="宋体"/>
          <w:b/>
          <w:bCs/>
          <w:snapToGrid w:val="0"/>
          <w:color w:val="auto"/>
          <w:kern w:val="0"/>
          <w:sz w:val="24"/>
          <w:highlight w:val="none"/>
        </w:rPr>
      </w:pPr>
      <w:bookmarkStart w:id="427" w:name="_Toc97299503"/>
      <w:bookmarkStart w:id="428" w:name="_Toc361220415"/>
      <w:r>
        <w:rPr>
          <w:rFonts w:hint="eastAsia" w:ascii="宋体" w:hAnsi="宋体" w:cs="宋体"/>
          <w:b/>
          <w:bCs/>
          <w:snapToGrid w:val="0"/>
          <w:color w:val="auto"/>
          <w:kern w:val="0"/>
          <w:sz w:val="24"/>
          <w:highlight w:val="none"/>
        </w:rPr>
        <w:t>六、合同文件构成</w:t>
      </w:r>
      <w:bookmarkEnd w:id="427"/>
      <w:bookmarkEnd w:id="428"/>
    </w:p>
    <w:p w14:paraId="749A97DA">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69C08798">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1A1EC6BC">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29BADF15">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010CF8BB">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69AED813">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73A44F4E">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0183590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26FC08F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2DF18D68">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26CA964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4F4DD0E">
      <w:pPr>
        <w:snapToGrid w:val="0"/>
        <w:spacing w:line="360" w:lineRule="auto"/>
        <w:rPr>
          <w:rFonts w:hint="eastAsia" w:ascii="宋体" w:hAnsi="宋体" w:cs="宋体"/>
          <w:b/>
          <w:bCs/>
          <w:snapToGrid w:val="0"/>
          <w:color w:val="auto"/>
          <w:kern w:val="0"/>
          <w:sz w:val="24"/>
          <w:highlight w:val="none"/>
        </w:rPr>
      </w:pPr>
      <w:bookmarkStart w:id="429" w:name="_Toc97299504"/>
      <w:bookmarkStart w:id="430" w:name="_Toc361220416"/>
      <w:r>
        <w:rPr>
          <w:rFonts w:hint="eastAsia" w:ascii="宋体" w:hAnsi="宋体" w:cs="宋体"/>
          <w:b/>
          <w:bCs/>
          <w:snapToGrid w:val="0"/>
          <w:color w:val="auto"/>
          <w:kern w:val="0"/>
          <w:sz w:val="24"/>
          <w:highlight w:val="none"/>
        </w:rPr>
        <w:t>七、承诺</w:t>
      </w:r>
      <w:bookmarkEnd w:id="429"/>
      <w:bookmarkEnd w:id="430"/>
    </w:p>
    <w:p w14:paraId="00D13273">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7489252A">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4C63AFB9">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27592E24">
      <w:pPr>
        <w:snapToGrid w:val="0"/>
        <w:spacing w:line="360" w:lineRule="auto"/>
        <w:rPr>
          <w:rFonts w:hint="eastAsia" w:ascii="宋体" w:hAnsi="宋体" w:cs="宋体"/>
          <w:b/>
          <w:bCs/>
          <w:snapToGrid w:val="0"/>
          <w:color w:val="auto"/>
          <w:kern w:val="0"/>
          <w:sz w:val="24"/>
          <w:highlight w:val="none"/>
        </w:rPr>
      </w:pPr>
      <w:bookmarkStart w:id="431" w:name="_Toc361220417"/>
      <w:bookmarkStart w:id="432" w:name="_Toc97299505"/>
      <w:r>
        <w:rPr>
          <w:rFonts w:hint="eastAsia" w:ascii="宋体" w:hAnsi="宋体" w:cs="宋体"/>
          <w:b/>
          <w:bCs/>
          <w:snapToGrid w:val="0"/>
          <w:color w:val="auto"/>
          <w:kern w:val="0"/>
          <w:sz w:val="24"/>
          <w:highlight w:val="none"/>
        </w:rPr>
        <w:t>八、词语含义</w:t>
      </w:r>
      <w:bookmarkEnd w:id="431"/>
      <w:bookmarkEnd w:id="432"/>
    </w:p>
    <w:p w14:paraId="234BDE11">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3092F47D">
      <w:pPr>
        <w:snapToGrid w:val="0"/>
        <w:spacing w:line="360" w:lineRule="auto"/>
        <w:rPr>
          <w:rFonts w:hint="eastAsia" w:ascii="宋体" w:hAnsi="宋体" w:cs="宋体"/>
          <w:b/>
          <w:bCs/>
          <w:snapToGrid w:val="0"/>
          <w:color w:val="auto"/>
          <w:kern w:val="0"/>
          <w:sz w:val="24"/>
          <w:highlight w:val="none"/>
        </w:rPr>
      </w:pPr>
      <w:bookmarkStart w:id="433" w:name="_Toc97299506"/>
      <w:bookmarkStart w:id="434" w:name="_Toc361220418"/>
      <w:r>
        <w:rPr>
          <w:rFonts w:hint="eastAsia" w:ascii="宋体" w:hAnsi="宋体" w:cs="宋体"/>
          <w:b/>
          <w:bCs/>
          <w:snapToGrid w:val="0"/>
          <w:color w:val="auto"/>
          <w:kern w:val="0"/>
          <w:sz w:val="24"/>
          <w:highlight w:val="none"/>
        </w:rPr>
        <w:t>九、签订时间</w:t>
      </w:r>
      <w:bookmarkEnd w:id="433"/>
      <w:bookmarkEnd w:id="434"/>
    </w:p>
    <w:p w14:paraId="10BA2FBD">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5" w:name="SOA_hhxys_htqdn"/>
      <w:r>
        <w:rPr>
          <w:rFonts w:hint="eastAsia" w:ascii="宋体" w:hAnsi="宋体" w:cs="宋体"/>
          <w:bCs/>
          <w:snapToGrid w:val="0"/>
          <w:color w:val="auto"/>
          <w:kern w:val="0"/>
          <w:sz w:val="24"/>
          <w:highlight w:val="none"/>
          <w:u w:val="single"/>
        </w:rPr>
        <w:t xml:space="preserve"> 2025  </w:t>
      </w:r>
      <w:bookmarkEnd w:id="435"/>
      <w:r>
        <w:rPr>
          <w:rFonts w:hint="eastAsia" w:ascii="宋体" w:hAnsi="宋体" w:cs="宋体"/>
          <w:bCs/>
          <w:snapToGrid w:val="0"/>
          <w:color w:val="auto"/>
          <w:kern w:val="0"/>
          <w:sz w:val="24"/>
          <w:highlight w:val="none"/>
        </w:rPr>
        <w:t>年</w:t>
      </w:r>
      <w:bookmarkStart w:id="436" w:name="SOA_hhxys_htqdy"/>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rPr>
        <w:t>月</w:t>
      </w:r>
      <w:bookmarkStart w:id="437" w:name="SOA_hhxys_htqdr"/>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日签订。</w:t>
      </w:r>
    </w:p>
    <w:p w14:paraId="51C60E58">
      <w:pPr>
        <w:snapToGrid w:val="0"/>
        <w:spacing w:line="360" w:lineRule="auto"/>
        <w:rPr>
          <w:rFonts w:hint="eastAsia" w:ascii="宋体" w:hAnsi="宋体" w:cs="宋体"/>
          <w:b/>
          <w:bCs/>
          <w:snapToGrid w:val="0"/>
          <w:color w:val="auto"/>
          <w:kern w:val="0"/>
          <w:sz w:val="24"/>
          <w:highlight w:val="none"/>
        </w:rPr>
      </w:pPr>
      <w:bookmarkStart w:id="438" w:name="_Toc97299507"/>
      <w:bookmarkStart w:id="439" w:name="_Toc361220419"/>
      <w:r>
        <w:rPr>
          <w:rFonts w:hint="eastAsia" w:ascii="宋体" w:hAnsi="宋体" w:cs="宋体"/>
          <w:b/>
          <w:bCs/>
          <w:snapToGrid w:val="0"/>
          <w:color w:val="auto"/>
          <w:kern w:val="0"/>
          <w:sz w:val="24"/>
          <w:highlight w:val="none"/>
        </w:rPr>
        <w:t>十、签订地点</w:t>
      </w:r>
      <w:bookmarkEnd w:id="438"/>
      <w:bookmarkEnd w:id="439"/>
    </w:p>
    <w:p w14:paraId="36213803">
      <w:pPr>
        <w:snapToGrid w:val="0"/>
        <w:spacing w:line="360" w:lineRule="auto"/>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0"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杭州市拱墅区八丈井东路150号</w:t>
      </w:r>
      <w:r>
        <w:rPr>
          <w:rFonts w:hint="eastAsia" w:ascii="宋体" w:hAnsi="宋体" w:cs="宋体"/>
          <w:bCs/>
          <w:snapToGrid w:val="0"/>
          <w:color w:val="auto"/>
          <w:kern w:val="0"/>
          <w:sz w:val="24"/>
          <w:highlight w:val="none"/>
          <w:u w:val="single"/>
        </w:rPr>
        <w:t xml:space="preserve">   </w:t>
      </w:r>
      <w:bookmarkEnd w:id="440"/>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336E901A">
      <w:pPr>
        <w:snapToGrid w:val="0"/>
        <w:spacing w:line="360" w:lineRule="auto"/>
        <w:rPr>
          <w:rFonts w:hint="eastAsia" w:ascii="宋体" w:hAnsi="宋体" w:cs="宋体"/>
          <w:b/>
          <w:bCs/>
          <w:snapToGrid w:val="0"/>
          <w:color w:val="auto"/>
          <w:kern w:val="0"/>
          <w:sz w:val="24"/>
          <w:highlight w:val="none"/>
        </w:rPr>
      </w:pPr>
      <w:bookmarkStart w:id="441" w:name="_Toc361220420"/>
      <w:bookmarkStart w:id="442" w:name="_Toc97299508"/>
      <w:r>
        <w:rPr>
          <w:rFonts w:hint="eastAsia" w:ascii="宋体" w:hAnsi="宋体" w:cs="宋体"/>
          <w:b/>
          <w:bCs/>
          <w:snapToGrid w:val="0"/>
          <w:color w:val="auto"/>
          <w:kern w:val="0"/>
          <w:sz w:val="24"/>
          <w:highlight w:val="none"/>
        </w:rPr>
        <w:t>十一、补充协议</w:t>
      </w:r>
      <w:bookmarkEnd w:id="441"/>
      <w:bookmarkEnd w:id="442"/>
    </w:p>
    <w:p w14:paraId="339AF416">
      <w:pPr>
        <w:snapToGrid w:val="0"/>
        <w:spacing w:line="360" w:lineRule="auto"/>
        <w:ind w:firstLine="480" w:firstLineChars="200"/>
        <w:rPr>
          <w:rFonts w:hint="eastAsia"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A92C423">
      <w:pPr>
        <w:snapToGrid w:val="0"/>
        <w:spacing w:line="360" w:lineRule="auto"/>
        <w:rPr>
          <w:rFonts w:hint="eastAsia" w:ascii="宋体" w:hAnsi="宋体" w:cs="宋体"/>
          <w:b/>
          <w:bCs/>
          <w:snapToGrid w:val="0"/>
          <w:color w:val="auto"/>
          <w:kern w:val="0"/>
          <w:sz w:val="24"/>
          <w:highlight w:val="none"/>
        </w:rPr>
      </w:pPr>
      <w:bookmarkStart w:id="443" w:name="_Toc361220421"/>
      <w:bookmarkStart w:id="444" w:name="_Toc97299509"/>
      <w:r>
        <w:rPr>
          <w:rFonts w:hint="eastAsia" w:ascii="宋体" w:hAnsi="宋体" w:cs="宋体"/>
          <w:b/>
          <w:bCs/>
          <w:snapToGrid w:val="0"/>
          <w:color w:val="auto"/>
          <w:kern w:val="0"/>
          <w:sz w:val="24"/>
          <w:highlight w:val="none"/>
        </w:rPr>
        <w:t>十二、合同生效</w:t>
      </w:r>
      <w:bookmarkEnd w:id="443"/>
      <w:bookmarkEnd w:id="444"/>
    </w:p>
    <w:p w14:paraId="4B7B4BE1">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5"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5"/>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541AD66C">
      <w:pPr>
        <w:snapToGrid w:val="0"/>
        <w:spacing w:line="360" w:lineRule="auto"/>
        <w:rPr>
          <w:rFonts w:hint="eastAsia" w:ascii="宋体" w:hAnsi="宋体" w:cs="宋体"/>
          <w:b/>
          <w:bCs/>
          <w:snapToGrid w:val="0"/>
          <w:color w:val="auto"/>
          <w:kern w:val="0"/>
          <w:sz w:val="24"/>
          <w:highlight w:val="none"/>
        </w:rPr>
      </w:pPr>
      <w:bookmarkStart w:id="446" w:name="_Toc361220422"/>
      <w:bookmarkStart w:id="447" w:name="_Toc97299510"/>
      <w:r>
        <w:rPr>
          <w:rFonts w:hint="eastAsia" w:ascii="宋体" w:hAnsi="宋体" w:cs="宋体"/>
          <w:b/>
          <w:bCs/>
          <w:snapToGrid w:val="0"/>
          <w:color w:val="auto"/>
          <w:kern w:val="0"/>
          <w:sz w:val="24"/>
          <w:highlight w:val="none"/>
        </w:rPr>
        <w:t>十三、合同份数</w:t>
      </w:r>
      <w:bookmarkEnd w:id="446"/>
      <w:bookmarkEnd w:id="447"/>
    </w:p>
    <w:p w14:paraId="24A0C55A">
      <w:pPr>
        <w:snapToGrid w:val="0"/>
        <w:spacing w:line="360" w:lineRule="auto"/>
        <w:ind w:left="210" w:leftChars="100" w:firstLine="240" w:firstLineChars="1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46BFD88C">
      <w:pPr>
        <w:snapToGrid w:val="0"/>
        <w:spacing w:line="360" w:lineRule="auto"/>
        <w:ind w:firstLine="480" w:firstLineChars="200"/>
        <w:rPr>
          <w:rFonts w:hint="eastAsia" w:ascii="宋体" w:hAnsi="宋体" w:cs="宋体"/>
          <w:snapToGrid w:val="0"/>
          <w:color w:val="auto"/>
          <w:kern w:val="0"/>
          <w:sz w:val="24"/>
          <w:highlight w:val="none"/>
        </w:rPr>
      </w:pPr>
    </w:p>
    <w:p w14:paraId="48E35E4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55A5C24E">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531C20B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792032B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347A58C">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EA6D5E2">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16819C3">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1B145CD">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8CF9BF8">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F9F5268">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E294D66">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14:paraId="118B384B">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24FB6100">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p>
    <w:p w14:paraId="5AC508FA">
      <w:pPr>
        <w:keepNext/>
        <w:keepLines/>
        <w:numPr>
          <w:ilvl w:val="1"/>
          <w:numId w:val="0"/>
        </w:numPr>
        <w:spacing w:before="100" w:line="400" w:lineRule="exact"/>
        <w:jc w:val="center"/>
        <w:rPr>
          <w:rFonts w:hint="eastAsia" w:ascii="宋体" w:hAnsi="宋体" w:cs="宋体"/>
          <w:snapToGrid w:val="0"/>
          <w:color w:val="auto"/>
          <w:kern w:val="0"/>
          <w:sz w:val="24"/>
          <w:highlight w:val="none"/>
        </w:rPr>
      </w:pPr>
    </w:p>
    <w:p w14:paraId="53F63FB4">
      <w:pPr>
        <w:keepNext/>
        <w:keepLines/>
        <w:numPr>
          <w:ilvl w:val="1"/>
          <w:numId w:val="0"/>
        </w:numPr>
        <w:spacing w:before="100" w:line="400" w:lineRule="exact"/>
        <w:jc w:val="center"/>
        <w:outlineLvl w:val="1"/>
        <w:rPr>
          <w:rFonts w:hint="eastAsia"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69485879"/>
      <w:bookmarkStart w:id="457" w:name="_Toc97299511"/>
      <w:bookmarkStart w:id="458" w:name="_Toc31640"/>
      <w:r>
        <w:rPr>
          <w:rFonts w:hint="eastAsia" w:ascii="宋体" w:hAnsi="宋体" w:cs="宋体"/>
          <w:snapToGrid w:val="0"/>
          <w:color w:val="auto"/>
          <w:kern w:val="44"/>
          <w:sz w:val="28"/>
          <w:szCs w:val="20"/>
          <w:highlight w:val="none"/>
        </w:rPr>
        <w:t>第二部分  通用条款（略）</w:t>
      </w:r>
      <w:bookmarkEnd w:id="456"/>
      <w:bookmarkEnd w:id="457"/>
      <w:bookmarkEnd w:id="458"/>
    </w:p>
    <w:p w14:paraId="28F6B0E9">
      <w:pPr>
        <w:keepNext/>
        <w:keepLines/>
        <w:numPr>
          <w:ilvl w:val="1"/>
          <w:numId w:val="0"/>
        </w:numPr>
        <w:spacing w:before="100" w:line="400" w:lineRule="exact"/>
        <w:jc w:val="center"/>
        <w:outlineLvl w:val="1"/>
        <w:rPr>
          <w:rFonts w:hint="eastAsia" w:ascii="宋体" w:hAnsi="宋体" w:cs="宋体"/>
          <w:snapToGrid w:val="0"/>
          <w:color w:val="auto"/>
          <w:kern w:val="44"/>
          <w:sz w:val="28"/>
          <w:szCs w:val="20"/>
          <w:highlight w:val="none"/>
        </w:rPr>
      </w:pPr>
      <w:bookmarkStart w:id="459" w:name="_Toc8278"/>
      <w:bookmarkStart w:id="460" w:name="_Toc69485880"/>
      <w:bookmarkStart w:id="461" w:name="_Toc97299512"/>
      <w:r>
        <w:rPr>
          <w:rFonts w:hint="eastAsia" w:ascii="宋体" w:hAnsi="宋体" w:cs="宋体"/>
          <w:snapToGrid w:val="0"/>
          <w:color w:val="auto"/>
          <w:kern w:val="44"/>
          <w:sz w:val="28"/>
          <w:szCs w:val="20"/>
          <w:highlight w:val="none"/>
        </w:rPr>
        <w:t>第三部分  专用条款</w:t>
      </w:r>
      <w:bookmarkEnd w:id="459"/>
      <w:bookmarkEnd w:id="460"/>
      <w:bookmarkEnd w:id="461"/>
    </w:p>
    <w:p w14:paraId="1AEDB04A">
      <w:pPr>
        <w:keepNext/>
        <w:numPr>
          <w:ilvl w:val="3"/>
          <w:numId w:val="0"/>
        </w:numPr>
        <w:tabs>
          <w:tab w:val="left" w:pos="864"/>
        </w:tabs>
        <w:snapToGrid w:val="0"/>
        <w:spacing w:line="360" w:lineRule="auto"/>
        <w:ind w:left="426" w:hanging="420"/>
        <w:rPr>
          <w:rFonts w:hint="eastAsia" w:ascii="宋体" w:hAnsi="宋体" w:cs="宋体"/>
          <w:b/>
          <w:color w:val="auto"/>
          <w:szCs w:val="21"/>
          <w:highlight w:val="none"/>
        </w:rPr>
      </w:pPr>
      <w:bookmarkStart w:id="462" w:name="_Toc351203633"/>
      <w:r>
        <w:rPr>
          <w:rFonts w:hint="eastAsia" w:ascii="宋体" w:hAnsi="宋体" w:cs="宋体"/>
          <w:b/>
          <w:color w:val="auto"/>
          <w:szCs w:val="21"/>
          <w:highlight w:val="none"/>
        </w:rPr>
        <w:t>1</w:t>
      </w:r>
      <w:bookmarkStart w:id="463" w:name="_Toc296503156"/>
      <w:bookmarkStart w:id="464" w:name="_Toc292559361"/>
      <w:bookmarkStart w:id="465" w:name="_Toc296347155"/>
      <w:bookmarkStart w:id="466" w:name="_Toc296944495"/>
      <w:bookmarkStart w:id="467" w:name="_Toc292559866"/>
      <w:bookmarkStart w:id="468" w:name="_Toc296346657"/>
      <w:bookmarkStart w:id="469" w:name="_Toc297048342"/>
      <w:bookmarkStart w:id="470" w:name="_Toc296890984"/>
      <w:bookmarkStart w:id="471" w:name="_Toc297120456"/>
      <w:bookmarkStart w:id="472" w:name="_Toc296891196"/>
      <w:r>
        <w:rPr>
          <w:rFonts w:hint="eastAsia" w:ascii="宋体" w:hAnsi="宋体" w:cs="宋体"/>
          <w:b/>
          <w:color w:val="auto"/>
          <w:szCs w:val="21"/>
          <w:highlight w:val="none"/>
        </w:rPr>
        <w:t>. 一般约定</w:t>
      </w:r>
      <w:bookmarkEnd w:id="462"/>
    </w:p>
    <w:bookmarkEnd w:id="463"/>
    <w:bookmarkEnd w:id="464"/>
    <w:bookmarkEnd w:id="465"/>
    <w:bookmarkEnd w:id="466"/>
    <w:bookmarkEnd w:id="467"/>
    <w:bookmarkEnd w:id="468"/>
    <w:bookmarkEnd w:id="469"/>
    <w:bookmarkEnd w:id="470"/>
    <w:bookmarkEnd w:id="471"/>
    <w:bookmarkEnd w:id="472"/>
    <w:p w14:paraId="2B90D1F6">
      <w:pPr>
        <w:snapToGrid w:val="0"/>
        <w:spacing w:line="360" w:lineRule="auto"/>
        <w:ind w:firstLine="367" w:firstLineChars="17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 词语定义</w:t>
      </w:r>
    </w:p>
    <w:p w14:paraId="6DD3A45B">
      <w:pPr>
        <w:snapToGrid w:val="0"/>
        <w:spacing w:line="360" w:lineRule="auto"/>
        <w:ind w:firstLine="367" w:firstLineChars="17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1.1.1合同</w:t>
      </w:r>
    </w:p>
    <w:p w14:paraId="6B5516AA">
      <w:pPr>
        <w:snapToGrid w:val="0"/>
        <w:spacing w:line="360" w:lineRule="auto"/>
        <w:ind w:firstLine="411" w:firstLineChars="196"/>
        <w:rPr>
          <w:rFonts w:hint="eastAsia"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1.1.1.10其他合同文件包括：</w:t>
      </w:r>
      <w:r>
        <w:rPr>
          <w:rFonts w:hint="eastAsia" w:ascii="宋体" w:hAnsi="宋体" w:cs="宋体"/>
          <w:snapToGrid w:val="0"/>
          <w:color w:val="auto"/>
          <w:kern w:val="0"/>
          <w:szCs w:val="21"/>
          <w:highlight w:val="none"/>
          <w:u w:val="single"/>
        </w:rPr>
        <w:t xml:space="preserve">   本项目竞争性磋商文件、补充文件及其他文件等、双方有关工程的洽商、变更等书面协议或文件视为本合同的组成部分。       </w:t>
      </w:r>
    </w:p>
    <w:p w14:paraId="3A536F45">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合同当事人及其他相关方</w:t>
      </w:r>
    </w:p>
    <w:p w14:paraId="2DE0791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1.1.2.4监理人：</w:t>
      </w:r>
    </w:p>
    <w:p w14:paraId="17933F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06FAD5C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FE7F1E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03931F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D3ED0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DC853A9">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1.1.2.5 设计人：</w:t>
      </w:r>
    </w:p>
    <w:p w14:paraId="493E5283">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    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76F03671">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资质类别和等级：</w:t>
      </w:r>
      <w:r>
        <w:rPr>
          <w:rFonts w:hint="eastAsia" w:ascii="宋体" w:hAnsi="宋体" w:cs="宋体"/>
          <w:snapToGrid w:val="0"/>
          <w:color w:val="auto"/>
          <w:kern w:val="0"/>
          <w:szCs w:val="21"/>
          <w:highlight w:val="none"/>
          <w:u w:val="single"/>
        </w:rPr>
        <w:t>                            </w:t>
      </w:r>
      <w:r>
        <w:rPr>
          <w:rFonts w:hint="eastAsia" w:ascii="宋体" w:hAnsi="宋体" w:cs="宋体"/>
          <w:snapToGrid w:val="0"/>
          <w:color w:val="auto"/>
          <w:kern w:val="0"/>
          <w:szCs w:val="21"/>
          <w:highlight w:val="none"/>
        </w:rPr>
        <w:t>；</w:t>
      </w:r>
    </w:p>
    <w:p w14:paraId="7865787F">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67CC8C42">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电子信箱：</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2D2D9E03">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通信地址：</w:t>
      </w:r>
      <w:r>
        <w:rPr>
          <w:rFonts w:hint="eastAsia" w:ascii="宋体" w:hAnsi="宋体" w:cs="宋体"/>
          <w:snapToGrid w:val="0"/>
          <w:color w:val="auto"/>
          <w:kern w:val="0"/>
          <w:szCs w:val="21"/>
          <w:highlight w:val="none"/>
          <w:u w:val="single"/>
        </w:rPr>
        <w:t>      /                </w:t>
      </w:r>
      <w:r>
        <w:rPr>
          <w:rFonts w:hint="eastAsia" w:ascii="宋体" w:hAnsi="宋体" w:cs="宋体"/>
          <w:snapToGrid w:val="0"/>
          <w:color w:val="auto"/>
          <w:kern w:val="0"/>
          <w:szCs w:val="21"/>
          <w:highlight w:val="none"/>
        </w:rPr>
        <w:t>。</w:t>
      </w:r>
    </w:p>
    <w:p w14:paraId="4A13B15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7087C8D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无       </w:t>
      </w:r>
      <w:r>
        <w:rPr>
          <w:rFonts w:hint="eastAsia" w:ascii="宋体" w:hAnsi="宋体" w:cs="宋体"/>
          <w:color w:val="auto"/>
          <w:szCs w:val="21"/>
          <w:highlight w:val="none"/>
        </w:rPr>
        <w:t>。</w:t>
      </w:r>
    </w:p>
    <w:p w14:paraId="2431100A">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设计范围内的建筑物、构筑物占地 </w:t>
      </w:r>
      <w:r>
        <w:rPr>
          <w:rFonts w:hint="eastAsia" w:ascii="宋体" w:hAnsi="宋体" w:cs="宋体"/>
          <w:color w:val="auto"/>
          <w:kern w:val="0"/>
          <w:szCs w:val="21"/>
          <w:highlight w:val="none"/>
        </w:rPr>
        <w:t>。</w:t>
      </w:r>
    </w:p>
    <w:p w14:paraId="094115FF">
      <w:pPr>
        <w:adjustRightInd/>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20F57A41">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045FE64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 杭州市建设工程工程量清单计价实施细则》(杭建市发〔2018〕578号)；</w:t>
      </w:r>
    </w:p>
    <w:p w14:paraId="6E131E3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1.3.2 《关于进一步加强杭州市建设工程市场要素价格动态管理的指导意见》（杭建市发〔2018〕579号）；</w:t>
      </w:r>
    </w:p>
    <w:p w14:paraId="6E7C1D8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1.3.3  省市建设行政部门颁发的其他现行有效文件(包括但不仅限于以下文件)：</w:t>
      </w:r>
    </w:p>
    <w:p w14:paraId="2A86426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（1）《关于转发省建设厅&lt;关于进一步加强建筑施工领域企业安全生产工作的实施意见&gt;的通知》（杭建工发〔2011〕130号）；</w:t>
      </w:r>
    </w:p>
    <w:p w14:paraId="7BAF1CD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（2）《关于进一步加强建设工程安全质量物联网管理应用平台建设的通知》（杭建工发〔2012〕426号）；</w:t>
      </w:r>
    </w:p>
    <w:p w14:paraId="07F2951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（3）《关于开展建筑工程扬尘在线监测设施安装工作的通知》（杭建工〔2019〕103号）；</w:t>
      </w:r>
    </w:p>
    <w:p w14:paraId="004E485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（4）《关于巩固G20杭州峰会成果进一步加强建设工程文明施工管理的若干意见》（杭建工发〔2017〕112号）；</w:t>
      </w:r>
    </w:p>
    <w:p w14:paraId="5639A87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（5）《杭州市建设领域农民工“无欠薪”管理实施细则（试行）》（杭建市〔2018〕161号）；</w:t>
      </w:r>
    </w:p>
    <w:p w14:paraId="7D00B0E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（6）《关于杭州市建筑工地全面推广使用“浙里工程建设现场管控”重大应用（浙里建）的通知》（杭建数改办（2022）1号）</w:t>
      </w:r>
    </w:p>
    <w:p w14:paraId="1E90583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（7）《杭州市建设工程渣土管理办法》（市政府令第192号）</w:t>
      </w:r>
    </w:p>
    <w:p w14:paraId="2294902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（8）市政府办公厅2022年5月15日发布的《杭州市人民政府办公厅关于进一步规范工程建筑垃圾管理的通知》</w:t>
      </w:r>
    </w:p>
    <w:p w14:paraId="386A995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（9）《关于发布杭州市工程渣土消纳市场信息价的通知》（杭渣土领〔2020〕1号）</w:t>
      </w:r>
    </w:p>
    <w:p w14:paraId="6C892D1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（10）市建委2020年10月30日发布的《关于明确杭州市渣土运输及消纳项目计价清单编制和报价口径的通知》</w:t>
      </w:r>
    </w:p>
    <w:p w14:paraId="6592C13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（11）《关于转发&lt;关于在全省工程建设领域改革保证金制度的通知&gt;的通知》（杭建市通知〔2020〕4号）</w:t>
      </w:r>
    </w:p>
    <w:p w14:paraId="4A0A2A6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（12）《关于进一步提升杭州市市政道路建设质量管理的若干意见》（杭建工发〔2021〕32 号）</w:t>
      </w:r>
    </w:p>
    <w:p w14:paraId="030879D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（13）《关于全面推广应用承插型盘扣式脚手架的通知》（杭建工发〔2021〕358号）</w:t>
      </w:r>
    </w:p>
    <w:p w14:paraId="77372C8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（14）《关于明确杭州市建筑施工领域安全生产责任保险费用计取的通知》（杭建招标造价中心〔2021〕84号）</w:t>
      </w:r>
    </w:p>
    <w:p w14:paraId="1AB542AB">
      <w:pPr>
        <w:spacing w:line="360" w:lineRule="auto"/>
        <w:ind w:firstLine="417" w:firstLineChars="198"/>
        <w:rPr>
          <w:rFonts w:hint="eastAsia" w:ascii="宋体" w:hAnsi="宋体" w:cs="宋体"/>
          <w:b/>
          <w:bCs/>
          <w:color w:val="auto"/>
          <w:szCs w:val="21"/>
          <w:highlight w:val="none"/>
        </w:rPr>
      </w:pPr>
      <w:r>
        <w:rPr>
          <w:rFonts w:hint="eastAsia" w:ascii="宋体" w:hAnsi="宋体" w:cs="宋体"/>
          <w:b/>
          <w:bCs/>
          <w:color w:val="auto"/>
          <w:szCs w:val="21"/>
          <w:highlight w:val="none"/>
        </w:rPr>
        <w:t>（15）其他：</w:t>
      </w:r>
    </w:p>
    <w:p w14:paraId="36CB671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①《杭州市建筑市场管理若干规定》（杭州市人民政府令第277号）；</w:t>
      </w:r>
    </w:p>
    <w:p w14:paraId="343E0C4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②《杭州市建设工程文明施工管理规定》（杭州市人民政府第278号）；</w:t>
      </w:r>
    </w:p>
    <w:p w14:paraId="4B6A11D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③浙江省人民政府办公厅《关于深化企业减负担降成本改革的若干意见》 浙政办发[2017]48号；</w:t>
      </w:r>
    </w:p>
    <w:p w14:paraId="3F3ACC88">
      <w:pPr>
        <w:tabs>
          <w:tab w:val="left" w:pos="0"/>
        </w:tabs>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④《建筑内部装修设计防火规范》GB50222-2017；</w:t>
      </w:r>
    </w:p>
    <w:p w14:paraId="4DC54111">
      <w:pPr>
        <w:autoSpaceDE w:val="0"/>
        <w:autoSpaceDN w:val="0"/>
        <w:snapToGrid w:val="0"/>
        <w:spacing w:line="360" w:lineRule="auto"/>
        <w:ind w:firstLine="422" w:firstLineChars="200"/>
        <w:jc w:val="left"/>
        <w:rPr>
          <w:rFonts w:hint="eastAsia" w:ascii="宋体" w:hAnsi="宋体" w:cs="宋体"/>
          <w:snapToGrid w:val="0"/>
          <w:color w:val="auto"/>
          <w:kern w:val="0"/>
          <w:szCs w:val="21"/>
          <w:highlight w:val="none"/>
        </w:rPr>
      </w:pPr>
      <w:r>
        <w:rPr>
          <w:rFonts w:hint="eastAsia" w:ascii="宋体" w:hAnsi="宋体" w:cs="宋体"/>
          <w:b/>
          <w:color w:val="auto"/>
          <w:szCs w:val="21"/>
          <w:highlight w:val="none"/>
          <w:u w:val="single"/>
        </w:rPr>
        <w:t>⑤其它法律、行政法规、地方性法规等。</w:t>
      </w:r>
    </w:p>
    <w:p w14:paraId="235E03D7">
      <w:pPr>
        <w:autoSpaceDE w:val="0"/>
        <w:autoSpaceDN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省、市建设管理部门发布的规范性文件      </w:t>
      </w:r>
      <w:r>
        <w:rPr>
          <w:rFonts w:hint="eastAsia" w:ascii="宋体" w:hAnsi="宋体" w:cs="宋体"/>
          <w:color w:val="auto"/>
          <w:szCs w:val="21"/>
          <w:highlight w:val="none"/>
        </w:rPr>
        <w:t>。</w:t>
      </w:r>
    </w:p>
    <w:p w14:paraId="68C620B3">
      <w:pPr>
        <w:autoSpaceDE w:val="0"/>
        <w:autoSpaceDN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13E16BD1">
      <w:pPr>
        <w:snapToGrid w:val="0"/>
        <w:spacing w:line="360" w:lineRule="auto"/>
        <w:ind w:firstLine="420" w:firstLineChars="200"/>
        <w:rPr>
          <w:rFonts w:hint="eastAsia"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1.4.1适用于工程的标准规范包括：</w:t>
      </w:r>
      <w:r>
        <w:rPr>
          <w:rFonts w:hint="eastAsia" w:ascii="宋体" w:hAnsi="宋体" w:cs="宋体"/>
          <w:b/>
          <w:snapToGrid w:val="0"/>
          <w:color w:val="auto"/>
          <w:kern w:val="0"/>
          <w:szCs w:val="21"/>
          <w:highlight w:val="none"/>
          <w:u w:val="single"/>
        </w:rPr>
        <w:t xml:space="preserve"> </w:t>
      </w:r>
      <w:r>
        <w:rPr>
          <w:rFonts w:hint="eastAsia" w:ascii="宋体" w:hAnsi="宋体" w:cs="宋体"/>
          <w:color w:val="auto"/>
          <w:szCs w:val="21"/>
          <w:highlight w:val="none"/>
          <w:u w:val="single"/>
        </w:rPr>
        <w:t>采用现行有效的适用于本工程的施工和验收标准、规范，包括《建设工程项目管理规范》（GB/T50326-2017），若不同标准和规范之间要求不一致的，以较高标准为优先</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w:t>
      </w:r>
    </w:p>
    <w:p w14:paraId="49F1DCE9">
      <w:pPr>
        <w:snapToGrid w:val="0"/>
        <w:spacing w:line="360" w:lineRule="auto"/>
        <w:ind w:firstLine="420" w:firstLineChars="200"/>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1.4.2 发包人提供国外标准、规范的名称：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5EB4A205">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发包人提供国外标准、规范的份数：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52B88FAE">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发包人提供国外标准、规范的名称：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0D6CD557">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1.4.3发包人对工程的技术标准和功能要求的特殊要求：</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234116E4">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 合同文件的优先顺序</w:t>
      </w:r>
    </w:p>
    <w:p w14:paraId="1317E9B8">
      <w:pPr>
        <w:autoSpaceDE w:val="0"/>
        <w:autoSpaceDN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合同文件组成及优先顺序为：</w:t>
      </w:r>
    </w:p>
    <w:p w14:paraId="176DF6DC">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（1）合同协议书</w:t>
      </w:r>
      <w:r>
        <w:rPr>
          <w:rFonts w:hint="eastAsia" w:ascii="宋体" w:hAnsi="宋体" w:cs="宋体"/>
          <w:b/>
          <w:snapToGrid w:val="0"/>
          <w:color w:val="auto"/>
          <w:kern w:val="0"/>
          <w:szCs w:val="21"/>
          <w:highlight w:val="none"/>
        </w:rPr>
        <w:t>；</w:t>
      </w:r>
    </w:p>
    <w:p w14:paraId="70A4268B">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（2）成交通知书（或项目发承包基本情况表）</w:t>
      </w:r>
      <w:r>
        <w:rPr>
          <w:rFonts w:hint="eastAsia" w:ascii="宋体" w:hAnsi="宋体" w:cs="宋体"/>
          <w:b/>
          <w:snapToGrid w:val="0"/>
          <w:color w:val="auto"/>
          <w:kern w:val="0"/>
          <w:szCs w:val="21"/>
          <w:highlight w:val="none"/>
        </w:rPr>
        <w:t>；</w:t>
      </w:r>
    </w:p>
    <w:p w14:paraId="64678D6B">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（3）磋商响应文件及磋商记录（如果有）</w:t>
      </w:r>
      <w:r>
        <w:rPr>
          <w:rFonts w:hint="eastAsia" w:ascii="宋体" w:hAnsi="宋体" w:cs="宋体"/>
          <w:b/>
          <w:snapToGrid w:val="0"/>
          <w:color w:val="auto"/>
          <w:kern w:val="0"/>
          <w:szCs w:val="21"/>
          <w:highlight w:val="none"/>
        </w:rPr>
        <w:t>；</w:t>
      </w:r>
    </w:p>
    <w:p w14:paraId="73A92380">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（4）专用合同条款及其附件</w:t>
      </w:r>
      <w:r>
        <w:rPr>
          <w:rFonts w:hint="eastAsia" w:ascii="宋体" w:hAnsi="宋体" w:cs="宋体"/>
          <w:b/>
          <w:snapToGrid w:val="0"/>
          <w:color w:val="auto"/>
          <w:kern w:val="0"/>
          <w:szCs w:val="21"/>
          <w:highlight w:val="none"/>
        </w:rPr>
        <w:t>；</w:t>
      </w:r>
    </w:p>
    <w:p w14:paraId="3AC3D957">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（5）通用合同条款</w:t>
      </w:r>
      <w:r>
        <w:rPr>
          <w:rFonts w:hint="eastAsia" w:ascii="宋体" w:hAnsi="宋体" w:cs="宋体"/>
          <w:b/>
          <w:snapToGrid w:val="0"/>
          <w:color w:val="auto"/>
          <w:kern w:val="0"/>
          <w:szCs w:val="21"/>
          <w:highlight w:val="none"/>
        </w:rPr>
        <w:t>；</w:t>
      </w:r>
    </w:p>
    <w:p w14:paraId="0675B18E">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（6）技术标准和要求</w:t>
      </w:r>
      <w:r>
        <w:rPr>
          <w:rFonts w:hint="eastAsia" w:ascii="宋体" w:hAnsi="宋体" w:cs="宋体"/>
          <w:b/>
          <w:snapToGrid w:val="0"/>
          <w:color w:val="auto"/>
          <w:kern w:val="0"/>
          <w:szCs w:val="21"/>
          <w:highlight w:val="none"/>
        </w:rPr>
        <w:t>；</w:t>
      </w:r>
    </w:p>
    <w:p w14:paraId="6C294AFB">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（7）图纸（如有） ；</w:t>
      </w:r>
    </w:p>
    <w:p w14:paraId="072E7A72">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（8）已标价工程量清单或预算书</w:t>
      </w:r>
      <w:r>
        <w:rPr>
          <w:rFonts w:hint="eastAsia" w:ascii="宋体" w:hAnsi="宋体" w:cs="宋体"/>
          <w:b/>
          <w:snapToGrid w:val="0"/>
          <w:color w:val="auto"/>
          <w:kern w:val="0"/>
          <w:szCs w:val="21"/>
          <w:highlight w:val="none"/>
        </w:rPr>
        <w:t>；</w:t>
      </w:r>
    </w:p>
    <w:p w14:paraId="1D1C1340">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（9）其他合同文件</w:t>
      </w:r>
      <w:r>
        <w:rPr>
          <w:rFonts w:hint="eastAsia" w:ascii="宋体" w:hAnsi="宋体" w:cs="宋体"/>
          <w:b/>
          <w:snapToGrid w:val="0"/>
          <w:color w:val="auto"/>
          <w:kern w:val="0"/>
          <w:szCs w:val="21"/>
          <w:highlight w:val="none"/>
        </w:rPr>
        <w:t>：</w:t>
      </w:r>
    </w:p>
    <w:p w14:paraId="591B3BB1">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①施工组织设计</w:t>
      </w:r>
      <w:r>
        <w:rPr>
          <w:rFonts w:hint="eastAsia" w:ascii="宋体" w:hAnsi="宋体" w:cs="宋体"/>
          <w:b/>
          <w:snapToGrid w:val="0"/>
          <w:color w:val="auto"/>
          <w:kern w:val="0"/>
          <w:szCs w:val="21"/>
          <w:highlight w:val="none"/>
        </w:rPr>
        <w:t>；</w:t>
      </w:r>
    </w:p>
    <w:p w14:paraId="04CDCD0C">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 xml:space="preserve">②其他：响应文件、采购文件（含招标工程量清单）及招标答疑（如果有）、询标纪要（如果有）、变更联系单、会审纪要等双方认为应作为合同构成的其它文件。      </w:t>
      </w:r>
    </w:p>
    <w:p w14:paraId="663FED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3D822F3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14:paraId="4659A1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b/>
          <w:color w:val="auto"/>
          <w:szCs w:val="21"/>
          <w:highlight w:val="none"/>
          <w:u w:val="single"/>
        </w:rPr>
        <w:t>施工合同签署后3日历天内提供，至迟不得晚于第7.3.2项〔开工通知〕载明的开工日期前3天向承包人提供图纸</w:t>
      </w:r>
      <w:r>
        <w:rPr>
          <w:rFonts w:hint="eastAsia" w:ascii="宋体" w:hAnsi="宋体" w:cs="宋体"/>
          <w:color w:val="auto"/>
          <w:szCs w:val="21"/>
          <w:highlight w:val="none"/>
        </w:rPr>
        <w:t>；</w:t>
      </w:r>
    </w:p>
    <w:p w14:paraId="779A58C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b/>
          <w:color w:val="auto"/>
          <w:szCs w:val="21"/>
          <w:highlight w:val="none"/>
          <w:u w:val="single"/>
        </w:rPr>
        <w:t>提供完整的施工图纸4套（已包括城建归档等竣工图）。承包人要求增加的，发包人可代为复制，复制费由承包人承担。标准图集由承包人自备</w:t>
      </w:r>
      <w:r>
        <w:rPr>
          <w:rFonts w:hint="eastAsia" w:ascii="宋体" w:hAnsi="宋体" w:cs="宋体"/>
          <w:color w:val="auto"/>
          <w:szCs w:val="21"/>
          <w:highlight w:val="none"/>
        </w:rPr>
        <w:t>；</w:t>
      </w:r>
    </w:p>
    <w:p w14:paraId="774BD7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b/>
          <w:color w:val="auto"/>
          <w:szCs w:val="21"/>
          <w:highlight w:val="none"/>
          <w:u w:val="single"/>
        </w:rPr>
        <w:t>整套施工图纸</w:t>
      </w:r>
      <w:r>
        <w:rPr>
          <w:rFonts w:hint="eastAsia" w:ascii="宋体" w:hAnsi="宋体" w:cs="宋体"/>
          <w:color w:val="auto"/>
          <w:szCs w:val="21"/>
          <w:highlight w:val="none"/>
        </w:rPr>
        <w:t>。</w:t>
      </w:r>
    </w:p>
    <w:p w14:paraId="33A87E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14:paraId="620D1D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b/>
          <w:bCs/>
          <w:color w:val="auto"/>
          <w:szCs w:val="21"/>
          <w:highlight w:val="none"/>
          <w:u w:val="single"/>
        </w:rPr>
        <w:t>施工组织设计、详细的工期质量安全文明保证措施方案、施工总进度计划、资金使用计划表、工程形象进度报告、发包人（监理）和政府规定要求必须提供的其他文件</w:t>
      </w:r>
      <w:r>
        <w:rPr>
          <w:rFonts w:hint="eastAsia" w:ascii="宋体" w:hAnsi="宋体" w:cs="宋体"/>
          <w:color w:val="auto"/>
          <w:szCs w:val="21"/>
          <w:highlight w:val="none"/>
        </w:rPr>
        <w:t>；</w:t>
      </w:r>
    </w:p>
    <w:p w14:paraId="2C2AFB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b/>
          <w:color w:val="auto"/>
          <w:szCs w:val="21"/>
          <w:highlight w:val="none"/>
          <w:u w:val="single"/>
        </w:rPr>
        <w:t>施工组织设计、施工总进度计划要求在发包人提供完整的施工图纸后3 天内提供，至迟不得晚于第7.3.2项〔开工通知〕载明的开工日期前3天；每月20日递交工程形象进度报告；发包人（或监理人）和政府规定要求必须提供的其他文件按发包人要求和政府相关规定时间提供</w:t>
      </w:r>
      <w:r>
        <w:rPr>
          <w:rFonts w:hint="eastAsia" w:ascii="宋体" w:hAnsi="宋体" w:cs="宋体"/>
          <w:color w:val="auto"/>
          <w:szCs w:val="21"/>
          <w:highlight w:val="none"/>
        </w:rPr>
        <w:t>；</w:t>
      </w:r>
    </w:p>
    <w:p w14:paraId="07FA863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b/>
          <w:color w:val="auto"/>
          <w:szCs w:val="21"/>
          <w:highlight w:val="none"/>
          <w:u w:val="single"/>
        </w:rPr>
        <w:t>一式伍份</w:t>
      </w:r>
      <w:r>
        <w:rPr>
          <w:rFonts w:hint="eastAsia" w:ascii="宋体" w:hAnsi="宋体" w:cs="宋体"/>
          <w:color w:val="auto"/>
          <w:szCs w:val="21"/>
          <w:highlight w:val="none"/>
        </w:rPr>
        <w:t>；</w:t>
      </w:r>
    </w:p>
    <w:p w14:paraId="30FCAF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b/>
          <w:color w:val="auto"/>
          <w:szCs w:val="21"/>
          <w:highlight w:val="none"/>
          <w:u w:val="single"/>
        </w:rPr>
        <w:t>以书面形式提供，并按相关要求进行签字和盖章，若发包人要求提供对应电子文档的，应按要求提供电子文档</w:t>
      </w:r>
      <w:r>
        <w:rPr>
          <w:rFonts w:hint="eastAsia" w:ascii="宋体" w:hAnsi="宋体" w:cs="宋体"/>
          <w:color w:val="auto"/>
          <w:szCs w:val="21"/>
          <w:highlight w:val="none"/>
        </w:rPr>
        <w:t>；</w:t>
      </w:r>
    </w:p>
    <w:p w14:paraId="68E0A7D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0D9435F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14:paraId="09E6B0B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b/>
          <w:color w:val="auto"/>
          <w:szCs w:val="21"/>
          <w:highlight w:val="none"/>
          <w:u w:val="single"/>
        </w:rPr>
        <w:t>承包人应在施工现场办公室另外保存至少一套完整的图纸、设计变更联系单等，供发包人、监理人及有关人员进行工程检查时使用</w:t>
      </w:r>
      <w:r>
        <w:rPr>
          <w:rFonts w:hint="eastAsia" w:ascii="宋体" w:hAnsi="宋体" w:cs="宋体"/>
          <w:color w:val="auto"/>
          <w:szCs w:val="21"/>
          <w:highlight w:val="none"/>
        </w:rPr>
        <w:t>。</w:t>
      </w:r>
    </w:p>
    <w:p w14:paraId="7216964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 联络</w:t>
      </w:r>
    </w:p>
    <w:p w14:paraId="6790F3C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7</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3EE59B4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b/>
          <w:color w:val="auto"/>
          <w:szCs w:val="21"/>
          <w:highlight w:val="none"/>
          <w:u w:val="single"/>
        </w:rPr>
        <w:t>发包人现场办公室</w:t>
      </w:r>
      <w:r>
        <w:rPr>
          <w:rFonts w:hint="eastAsia" w:ascii="宋体" w:hAnsi="宋体" w:cs="宋体"/>
          <w:color w:val="auto"/>
          <w:kern w:val="0"/>
          <w:szCs w:val="21"/>
          <w:highlight w:val="none"/>
        </w:rPr>
        <w:t>；</w:t>
      </w:r>
    </w:p>
    <w:p w14:paraId="09828ED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70ADBF3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b/>
          <w:color w:val="auto"/>
          <w:szCs w:val="21"/>
          <w:highlight w:val="none"/>
          <w:u w:val="single"/>
        </w:rPr>
        <w:t>承包人现场办公室</w:t>
      </w:r>
      <w:r>
        <w:rPr>
          <w:rFonts w:hint="eastAsia" w:ascii="宋体" w:hAnsi="宋体" w:cs="宋体"/>
          <w:color w:val="auto"/>
          <w:kern w:val="0"/>
          <w:szCs w:val="21"/>
          <w:highlight w:val="none"/>
        </w:rPr>
        <w:t>；</w:t>
      </w:r>
    </w:p>
    <w:p w14:paraId="548D924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5631537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b/>
          <w:color w:val="auto"/>
          <w:szCs w:val="21"/>
          <w:highlight w:val="none"/>
          <w:u w:val="single"/>
        </w:rPr>
        <w:t>监理人现场办公室</w:t>
      </w:r>
      <w:r>
        <w:rPr>
          <w:rFonts w:hint="eastAsia" w:ascii="宋体" w:hAnsi="宋体" w:cs="宋体"/>
          <w:color w:val="auto"/>
          <w:kern w:val="0"/>
          <w:szCs w:val="21"/>
          <w:highlight w:val="none"/>
        </w:rPr>
        <w:t>；</w:t>
      </w:r>
    </w:p>
    <w:p w14:paraId="3D5C7D8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2048C1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 交通运输</w:t>
      </w:r>
    </w:p>
    <w:p w14:paraId="222764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473" w:name="_Toc303539100"/>
      <w:bookmarkStart w:id="474" w:name="_Toc318581155"/>
      <w:bookmarkStart w:id="475" w:name="_Toc300934943"/>
      <w:bookmarkStart w:id="476" w:name="_Toc312677986"/>
      <w:bookmarkStart w:id="477" w:name="_Toc304295521"/>
      <w:r>
        <w:rPr>
          <w:rFonts w:hint="eastAsia" w:ascii="宋体" w:hAnsi="宋体" w:cs="宋体"/>
          <w:color w:val="auto"/>
          <w:szCs w:val="21"/>
          <w:highlight w:val="none"/>
        </w:rPr>
        <w:t>.10.1 出入现场的权利</w:t>
      </w:r>
    </w:p>
    <w:p w14:paraId="5C4CAF2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b/>
          <w:color w:val="auto"/>
          <w:szCs w:val="21"/>
          <w:highlight w:val="none"/>
          <w:u w:val="single"/>
        </w:rPr>
        <w:t>由承包人负责铺设临时道路及出入工地的道口开设，费用纳入措施项目费中。遵照政府有关部门对施工场地交通的管理规定，按规定办理相关手续，费用由承包人负责，发包人给予配合。如承包人未及时办理有关手续而造成的罚款由承包人承担</w:t>
      </w:r>
      <w:r>
        <w:rPr>
          <w:rFonts w:hint="eastAsia" w:ascii="宋体" w:hAnsi="宋体" w:cs="宋体"/>
          <w:color w:val="auto"/>
          <w:szCs w:val="21"/>
          <w:highlight w:val="none"/>
        </w:rPr>
        <w:t>。</w:t>
      </w:r>
    </w:p>
    <w:bookmarkEnd w:id="473"/>
    <w:bookmarkEnd w:id="474"/>
    <w:bookmarkEnd w:id="475"/>
    <w:bookmarkEnd w:id="476"/>
    <w:bookmarkEnd w:id="477"/>
    <w:p w14:paraId="04E7971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478" w:name="_Toc318581156"/>
      <w:bookmarkStart w:id="479" w:name="_Toc300934944"/>
      <w:bookmarkStart w:id="480" w:name="_Toc304295522"/>
      <w:bookmarkStart w:id="481" w:name="_Toc303539101"/>
      <w:bookmarkStart w:id="482" w:name="_Toc312677987"/>
      <w:r>
        <w:rPr>
          <w:rFonts w:hint="eastAsia" w:ascii="宋体" w:hAnsi="宋体" w:cs="宋体"/>
          <w:color w:val="auto"/>
          <w:szCs w:val="21"/>
          <w:highlight w:val="none"/>
        </w:rPr>
        <w:t>.10.3 场内交通</w:t>
      </w:r>
    </w:p>
    <w:p w14:paraId="439C7B9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b/>
          <w:color w:val="auto"/>
          <w:szCs w:val="21"/>
          <w:highlight w:val="none"/>
          <w:u w:val="single"/>
        </w:rPr>
        <w:t>以施工现场为界，现场不提供临时场地，承包人施工需要场外借地的，其借地费用由承包人负责</w:t>
      </w:r>
      <w:r>
        <w:rPr>
          <w:rFonts w:hint="eastAsia" w:ascii="宋体" w:hAnsi="宋体" w:cs="宋体"/>
          <w:color w:val="auto"/>
          <w:szCs w:val="21"/>
          <w:highlight w:val="none"/>
        </w:rPr>
        <w:t>。</w:t>
      </w:r>
    </w:p>
    <w:p w14:paraId="653D293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b/>
          <w:color w:val="auto"/>
          <w:szCs w:val="21"/>
          <w:highlight w:val="none"/>
          <w:u w:val="single"/>
        </w:rPr>
        <w:t>遵照政府有关部门对施工场地交通、环卫和施工噪音的管理规定及物业规定，按规定办理相关手续，费用由承包人负责，发包人给予配合。如承包人未及时办理有关手续而造成的罚款由承包人承担</w:t>
      </w:r>
      <w:r>
        <w:rPr>
          <w:rFonts w:hint="eastAsia" w:ascii="宋体" w:hAnsi="宋体" w:cs="宋体"/>
          <w:color w:val="auto"/>
          <w:szCs w:val="21"/>
          <w:highlight w:val="none"/>
        </w:rPr>
        <w:t>。</w:t>
      </w:r>
      <w:bookmarkEnd w:id="478"/>
      <w:bookmarkEnd w:id="479"/>
      <w:bookmarkEnd w:id="480"/>
      <w:bookmarkEnd w:id="481"/>
      <w:bookmarkEnd w:id="482"/>
      <w:r>
        <w:rPr>
          <w:rFonts w:hint="eastAsia" w:ascii="宋体" w:hAnsi="宋体" w:cs="宋体"/>
          <w:color w:val="auto"/>
          <w:szCs w:val="21"/>
          <w:highlight w:val="none"/>
        </w:rPr>
        <w:t xml:space="preserve">  </w:t>
      </w:r>
      <w:bookmarkStart w:id="483" w:name="_Toc318581157"/>
    </w:p>
    <w:p w14:paraId="7662FE0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1.10.4超大件和超重件的运输</w:t>
      </w:r>
    </w:p>
    <w:p w14:paraId="4EB7D3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color w:val="auto"/>
          <w:szCs w:val="21"/>
          <w:highlight w:val="none"/>
          <w:u w:val="single"/>
        </w:rPr>
        <w:t>承包人</w:t>
      </w:r>
      <w:r>
        <w:rPr>
          <w:rFonts w:hint="eastAsia" w:ascii="宋体" w:hAnsi="宋体" w:cs="宋体"/>
          <w:color w:val="auto"/>
          <w:szCs w:val="21"/>
          <w:highlight w:val="none"/>
        </w:rPr>
        <w:t>承担。</w:t>
      </w:r>
    </w:p>
    <w:bookmarkEnd w:id="483"/>
    <w:p w14:paraId="7D48B62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知识产权</w:t>
      </w:r>
    </w:p>
    <w:p w14:paraId="6980FEA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szCs w:val="21"/>
          <w:highlight w:val="none"/>
          <w:u w:val="single"/>
        </w:rPr>
        <w:t>发包人</w:t>
      </w:r>
      <w:r>
        <w:rPr>
          <w:rFonts w:hint="eastAsia" w:ascii="宋体" w:hAnsi="宋体" w:cs="宋体"/>
          <w:color w:val="auto"/>
          <w:szCs w:val="21"/>
          <w:highlight w:val="none"/>
        </w:rPr>
        <w:t>。</w:t>
      </w:r>
    </w:p>
    <w:p w14:paraId="14B77DF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b/>
          <w:color w:val="auto"/>
          <w:szCs w:val="21"/>
          <w:highlight w:val="none"/>
          <w:u w:val="single"/>
        </w:rPr>
        <w:t>承包人应对发包人提供的全部资料文件进行保密，未经发包人书面同意不得以任何形式复制、披露、泄露、转让给任何第三方，或用于其他工程；否则应承担违约责任并赔偿发包人损失</w:t>
      </w:r>
      <w:r>
        <w:rPr>
          <w:rFonts w:hint="eastAsia" w:ascii="宋体" w:hAnsi="宋体" w:cs="宋体"/>
          <w:color w:val="auto"/>
          <w:szCs w:val="21"/>
          <w:highlight w:val="none"/>
        </w:rPr>
        <w:t>。</w:t>
      </w:r>
    </w:p>
    <w:p w14:paraId="5E68CA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751CDDB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F73AD9E">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color w:val="auto"/>
          <w:szCs w:val="21"/>
          <w:highlight w:val="none"/>
          <w:u w:val="single"/>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14:paraId="43D8804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14:paraId="63BF1E8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b/>
          <w:color w:val="auto"/>
          <w:szCs w:val="21"/>
          <w:highlight w:val="none"/>
          <w:u w:val="single"/>
        </w:rPr>
        <w:t>是</w:t>
      </w:r>
      <w:r>
        <w:rPr>
          <w:rFonts w:hint="eastAsia" w:ascii="宋体" w:hAnsi="宋体" w:cs="宋体"/>
          <w:color w:val="auto"/>
          <w:kern w:val="0"/>
          <w:szCs w:val="21"/>
          <w:highlight w:val="none"/>
        </w:rPr>
        <w:t>。</w:t>
      </w:r>
    </w:p>
    <w:p w14:paraId="36040ED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b/>
          <w:color w:val="auto"/>
          <w:szCs w:val="21"/>
          <w:highlight w:val="none"/>
          <w:u w:val="single"/>
        </w:rPr>
        <w:t>工程量按实调整</w:t>
      </w:r>
      <w:r>
        <w:rPr>
          <w:rFonts w:hint="eastAsia" w:ascii="宋体" w:hAnsi="宋体" w:cs="宋体"/>
          <w:color w:val="auto"/>
          <w:kern w:val="0"/>
          <w:szCs w:val="21"/>
          <w:highlight w:val="none"/>
        </w:rPr>
        <w:t>。</w:t>
      </w:r>
    </w:p>
    <w:p w14:paraId="54BA4577">
      <w:pPr>
        <w:tabs>
          <w:tab w:val="left" w:pos="864"/>
        </w:tabs>
        <w:snapToGrid w:val="0"/>
        <w:spacing w:line="360" w:lineRule="auto"/>
        <w:rPr>
          <w:rFonts w:hint="eastAsia" w:ascii="宋体" w:hAnsi="宋体" w:cs="宋体"/>
          <w:color w:val="auto"/>
          <w:szCs w:val="21"/>
          <w:highlight w:val="none"/>
        </w:rPr>
      </w:pPr>
      <w:bookmarkStart w:id="484" w:name="_Toc351203634"/>
      <w:r>
        <w:rPr>
          <w:rFonts w:hint="eastAsia" w:ascii="宋体" w:hAnsi="宋体" w:cs="宋体"/>
          <w:color w:val="auto"/>
          <w:szCs w:val="21"/>
          <w:highlight w:val="none"/>
        </w:rPr>
        <w:t>2</w:t>
      </w:r>
      <w:bookmarkStart w:id="485" w:name="_Toc297048343"/>
      <w:bookmarkStart w:id="486" w:name="_Toc296346658"/>
      <w:bookmarkStart w:id="487" w:name="_Toc292559362"/>
      <w:bookmarkStart w:id="488" w:name="_Toc296890985"/>
      <w:bookmarkStart w:id="489" w:name="_Toc296503157"/>
      <w:bookmarkStart w:id="490" w:name="_Toc296891197"/>
      <w:bookmarkStart w:id="491" w:name="_Toc292559867"/>
      <w:bookmarkStart w:id="492" w:name="_Toc297120457"/>
      <w:bookmarkStart w:id="493" w:name="_Toc296944496"/>
      <w:bookmarkStart w:id="494" w:name="_Toc296347156"/>
      <w:r>
        <w:rPr>
          <w:rFonts w:hint="eastAsia" w:ascii="宋体" w:hAnsi="宋体" w:cs="宋体"/>
          <w:color w:val="auto"/>
          <w:szCs w:val="21"/>
          <w:highlight w:val="none"/>
        </w:rPr>
        <w:t>. 发包人</w:t>
      </w:r>
      <w:bookmarkEnd w:id="484"/>
    </w:p>
    <w:bookmarkEnd w:id="485"/>
    <w:bookmarkEnd w:id="486"/>
    <w:bookmarkEnd w:id="487"/>
    <w:bookmarkEnd w:id="488"/>
    <w:bookmarkEnd w:id="489"/>
    <w:bookmarkEnd w:id="490"/>
    <w:bookmarkEnd w:id="491"/>
    <w:bookmarkEnd w:id="492"/>
    <w:bookmarkEnd w:id="493"/>
    <w:bookmarkEnd w:id="494"/>
    <w:p w14:paraId="0907CD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发包人代表</w:t>
      </w:r>
    </w:p>
    <w:p w14:paraId="0B688CC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14:paraId="44EE83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D2CC0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8E7A1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91F4BB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0A945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8EDBFF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3EA3927">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hint="eastAsia" w:ascii="宋体" w:hAnsi="宋体" w:cs="宋体"/>
          <w:color w:val="auto"/>
          <w:szCs w:val="21"/>
          <w:highlight w:val="none"/>
        </w:rPr>
        <w:t>。</w:t>
      </w:r>
    </w:p>
    <w:p w14:paraId="5B9F6B0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0DDAC26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14:paraId="1C613D8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b/>
          <w:color w:val="auto"/>
          <w:szCs w:val="21"/>
          <w:highlight w:val="none"/>
          <w:u w:val="single"/>
        </w:rPr>
        <w:t>施工合同签署后3日历天内移交，最迟于开工日期3天前向承包人移交施工现场</w:t>
      </w:r>
      <w:r>
        <w:rPr>
          <w:rFonts w:hint="eastAsia" w:ascii="宋体" w:hAnsi="宋体" w:cs="宋体"/>
          <w:color w:val="auto"/>
          <w:szCs w:val="21"/>
          <w:highlight w:val="none"/>
        </w:rPr>
        <w:t>。</w:t>
      </w:r>
    </w:p>
    <w:p w14:paraId="5982B9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14:paraId="0716A3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p>
    <w:p w14:paraId="0A81E6C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rPr>
        <w:t>（1）</w:t>
      </w:r>
      <w:r>
        <w:rPr>
          <w:rFonts w:hint="eastAsia" w:ascii="宋体" w:hAnsi="宋体" w:cs="宋体"/>
          <w:b/>
          <w:color w:val="auto"/>
          <w:szCs w:val="21"/>
          <w:highlight w:val="none"/>
          <w:u w:val="single"/>
        </w:rPr>
        <w:t>水、电、通讯条件：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中标后不再作调整。</w:t>
      </w:r>
    </w:p>
    <w:p w14:paraId="34803FC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（2）交通条件：现已开通，公共道路与施工场地的连接通道由承包人自行对接，并承担相关费用，中标后不再作调整。承包人还应遵守杭州市交通管理部门限制通行的有关规定。</w:t>
      </w:r>
    </w:p>
    <w:p w14:paraId="371BB86B">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u w:val="single"/>
        </w:rPr>
        <w:t>（3）图纸会审和设计交底时间:开工日3天前，由发包人组织设计人、承包人、监理人进行图纸会审，设计人向承包人进行设计交底</w:t>
      </w:r>
      <w:r>
        <w:rPr>
          <w:rFonts w:hint="eastAsia" w:ascii="宋体" w:hAnsi="宋体" w:cs="宋体"/>
          <w:color w:val="auto"/>
          <w:szCs w:val="21"/>
          <w:highlight w:val="none"/>
        </w:rPr>
        <w:t>。</w:t>
      </w:r>
    </w:p>
    <w:p w14:paraId="3D7EB5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资金来源证明及支付担保</w:t>
      </w:r>
    </w:p>
    <w:p w14:paraId="410FF2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b/>
          <w:color w:val="auto"/>
          <w:szCs w:val="21"/>
          <w:highlight w:val="none"/>
          <w:u w:val="single"/>
        </w:rPr>
        <w:t>按通用条款约定</w:t>
      </w:r>
      <w:r>
        <w:rPr>
          <w:rFonts w:hint="eastAsia" w:ascii="宋体" w:hAnsi="宋体" w:cs="宋体"/>
          <w:color w:val="auto"/>
          <w:szCs w:val="21"/>
          <w:highlight w:val="none"/>
        </w:rPr>
        <w:t>。</w:t>
      </w:r>
    </w:p>
    <w:p w14:paraId="1BD036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b/>
          <w:color w:val="auto"/>
          <w:szCs w:val="21"/>
          <w:highlight w:val="none"/>
          <w:u w:val="single"/>
        </w:rPr>
        <w:t>否</w:t>
      </w:r>
      <w:r>
        <w:rPr>
          <w:rFonts w:hint="eastAsia" w:ascii="宋体" w:hAnsi="宋体" w:cs="宋体"/>
          <w:color w:val="auto"/>
          <w:szCs w:val="21"/>
          <w:highlight w:val="none"/>
        </w:rPr>
        <w:t>。</w:t>
      </w:r>
    </w:p>
    <w:p w14:paraId="1DDA63C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E3270EE">
      <w:pPr>
        <w:tabs>
          <w:tab w:val="left" w:pos="864"/>
        </w:tabs>
        <w:snapToGrid w:val="0"/>
        <w:spacing w:line="360" w:lineRule="auto"/>
        <w:rPr>
          <w:rFonts w:hint="eastAsia" w:ascii="宋体" w:hAnsi="宋体" w:cs="宋体"/>
          <w:color w:val="auto"/>
          <w:szCs w:val="21"/>
          <w:highlight w:val="none"/>
        </w:rPr>
      </w:pPr>
      <w:bookmarkStart w:id="495" w:name="_Toc351203635"/>
      <w:r>
        <w:rPr>
          <w:rFonts w:hint="eastAsia" w:ascii="宋体" w:hAnsi="宋体" w:cs="宋体"/>
          <w:color w:val="auto"/>
          <w:szCs w:val="21"/>
          <w:highlight w:val="none"/>
        </w:rPr>
        <w:t>3</w:t>
      </w:r>
      <w:bookmarkStart w:id="496" w:name="_Toc297048344"/>
      <w:bookmarkStart w:id="497" w:name="_Toc296347157"/>
      <w:bookmarkStart w:id="498" w:name="_Toc296891198"/>
      <w:bookmarkStart w:id="499" w:name="_Toc296944497"/>
      <w:bookmarkStart w:id="500" w:name="_Toc296890986"/>
      <w:bookmarkStart w:id="501" w:name="_Toc292559868"/>
      <w:bookmarkStart w:id="502" w:name="_Toc297120458"/>
      <w:bookmarkStart w:id="503" w:name="_Toc292559363"/>
      <w:bookmarkStart w:id="504" w:name="_Toc296346659"/>
      <w:bookmarkStart w:id="505" w:name="_Toc296503158"/>
      <w:r>
        <w:rPr>
          <w:rFonts w:hint="eastAsia" w:ascii="宋体" w:hAnsi="宋体" w:cs="宋体"/>
          <w:color w:val="auto"/>
          <w:szCs w:val="21"/>
          <w:highlight w:val="none"/>
        </w:rPr>
        <w:t>. 承包人</w:t>
      </w:r>
      <w:bookmarkEnd w:id="495"/>
    </w:p>
    <w:bookmarkEnd w:id="496"/>
    <w:bookmarkEnd w:id="497"/>
    <w:bookmarkEnd w:id="498"/>
    <w:bookmarkEnd w:id="499"/>
    <w:bookmarkEnd w:id="500"/>
    <w:bookmarkEnd w:id="501"/>
    <w:bookmarkEnd w:id="502"/>
    <w:bookmarkEnd w:id="503"/>
    <w:bookmarkEnd w:id="504"/>
    <w:bookmarkEnd w:id="505"/>
    <w:p w14:paraId="502337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承包人的一般义务</w:t>
      </w:r>
    </w:p>
    <w:p w14:paraId="721B99D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承包人递交的竣工资料的内容：</w:t>
      </w:r>
      <w:r>
        <w:rPr>
          <w:rFonts w:hint="eastAsia" w:ascii="宋体" w:hAnsi="宋体" w:cs="宋体"/>
          <w:b/>
          <w:color w:val="auto"/>
          <w:szCs w:val="21"/>
          <w:highlight w:val="none"/>
          <w:u w:val="single"/>
        </w:rPr>
        <w:t>按GB/T 50328—2014、JGJ／T185-2009、杭建办发〔2013〕153 号及杭州市城建档案馆资料归档要求</w:t>
      </w:r>
      <w:r>
        <w:rPr>
          <w:rFonts w:hint="eastAsia" w:ascii="宋体" w:hAnsi="宋体" w:cs="宋体"/>
          <w:color w:val="auto"/>
          <w:szCs w:val="21"/>
          <w:highlight w:val="none"/>
        </w:rPr>
        <w:t>。</w:t>
      </w:r>
    </w:p>
    <w:p w14:paraId="27E913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承包人需要递交的竣工资料套数：</w:t>
      </w:r>
      <w:r>
        <w:rPr>
          <w:rFonts w:hint="eastAsia" w:ascii="宋体" w:hAnsi="宋体" w:cs="宋体"/>
          <w:b/>
          <w:color w:val="auto"/>
          <w:szCs w:val="21"/>
          <w:highlight w:val="none"/>
          <w:u w:val="single"/>
        </w:rPr>
        <w:t>一式四套，含工程施工过程的声像资料一套及电子版竣工图一套</w:t>
      </w:r>
      <w:r>
        <w:rPr>
          <w:rFonts w:hint="eastAsia" w:ascii="宋体" w:hAnsi="宋体" w:cs="宋体"/>
          <w:color w:val="auto"/>
          <w:szCs w:val="21"/>
          <w:highlight w:val="none"/>
        </w:rPr>
        <w:t>。</w:t>
      </w:r>
    </w:p>
    <w:p w14:paraId="339A8261">
      <w:pPr>
        <w:snapToGrid w:val="0"/>
        <w:spacing w:line="360" w:lineRule="auto"/>
        <w:ind w:left="638" w:leftChars="304"/>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承包人递交的竣工资料的费用承担：</w:t>
      </w:r>
      <w:r>
        <w:rPr>
          <w:rFonts w:hint="eastAsia" w:ascii="宋体" w:hAnsi="宋体" w:cs="宋体"/>
          <w:b/>
          <w:color w:val="auto"/>
          <w:szCs w:val="21"/>
          <w:highlight w:val="none"/>
          <w:u w:val="single"/>
        </w:rPr>
        <w:t>全部由承包人承担（包括因竣工资料不符合招标人、监理、城建档案管及其他有关部门要求，而产生的资料整理和整改费用）</w:t>
      </w:r>
      <w:r>
        <w:rPr>
          <w:rFonts w:hint="eastAsia" w:ascii="宋体" w:hAnsi="宋体" w:cs="宋体"/>
          <w:color w:val="auto"/>
          <w:szCs w:val="21"/>
          <w:highlight w:val="none"/>
        </w:rPr>
        <w:t>。</w:t>
      </w:r>
    </w:p>
    <w:p w14:paraId="498897E8">
      <w:pPr>
        <w:snapToGrid w:val="0"/>
        <w:spacing w:line="360" w:lineRule="auto"/>
        <w:ind w:left="638" w:leftChars="304"/>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承包人递交的竣工资料移交时间：</w:t>
      </w:r>
      <w:r>
        <w:rPr>
          <w:rFonts w:hint="eastAsia" w:ascii="宋体" w:hAnsi="宋体" w:cs="宋体"/>
          <w:b/>
          <w:color w:val="auto"/>
          <w:szCs w:val="21"/>
          <w:highlight w:val="none"/>
          <w:u w:val="single"/>
        </w:rPr>
        <w:t>工程竣工验收合格后30日历天内</w:t>
      </w:r>
      <w:r>
        <w:rPr>
          <w:rFonts w:hint="eastAsia" w:ascii="宋体" w:hAnsi="宋体" w:cs="宋体"/>
          <w:color w:val="auto"/>
          <w:szCs w:val="21"/>
          <w:highlight w:val="none"/>
        </w:rPr>
        <w:t>。</w:t>
      </w:r>
    </w:p>
    <w:p w14:paraId="183882D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承包人递交的竣工资料形式要求：</w:t>
      </w:r>
      <w:r>
        <w:rPr>
          <w:rFonts w:hint="eastAsia" w:ascii="宋体" w:hAnsi="宋体" w:cs="宋体"/>
          <w:b/>
          <w:color w:val="auto"/>
          <w:szCs w:val="21"/>
          <w:highlight w:val="none"/>
          <w:u w:val="single"/>
        </w:rPr>
        <w:t>按GB/T 50328—2014、JGJ／T185-2009、杭建办发〔2013〕153 号及杭州市城建档案馆资料归档要求</w:t>
      </w:r>
      <w:r>
        <w:rPr>
          <w:rFonts w:hint="eastAsia" w:ascii="宋体" w:hAnsi="宋体" w:cs="宋体"/>
          <w:color w:val="auto"/>
          <w:szCs w:val="21"/>
          <w:highlight w:val="none"/>
        </w:rPr>
        <w:t>。</w:t>
      </w:r>
    </w:p>
    <w:p w14:paraId="4B011B1F">
      <w:pPr>
        <w:numPr>
          <w:ilvl w:val="0"/>
          <w:numId w:val="1"/>
        </w:num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047A4F0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承包人应农名工工资管理按照杭州市相关文件执行。</w:t>
      </w:r>
    </w:p>
    <w:p w14:paraId="63358B9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183807F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3896D48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承包人应规范建筑垃圾处置分包合同管理，建筑垃圾运输业务应当发包给本工程建筑垃圾处置证核准确定的运输单位。</w:t>
      </w:r>
    </w:p>
    <w:p w14:paraId="0D64A05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承包人负责根据施工合同约定和相关法律法规要求，编制工程建筑垃圾处置方案，向项目所在地城管部门进行备案，并在工地出入口做好公示及日常维护工作。</w:t>
      </w:r>
    </w:p>
    <w:p w14:paraId="68687DF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0BB4CAA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承包人与运输、处置单位结算相关费用前应当查验接纳回执。</w:t>
      </w:r>
    </w:p>
    <w:p w14:paraId="31CEB69E">
      <w:pPr>
        <w:spacing w:line="360" w:lineRule="auto"/>
        <w:ind w:left="420" w:left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同时按约定时间和要求，完成以下工作（费用列入投标总价）</w:t>
      </w:r>
    </w:p>
    <w:p w14:paraId="6240985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1)承包人领取中标通知书后，需立即组织施工机械和人员进场，在最短的时间内（7天内进场）做好开工准备开始施工，如不能如期进场施工，造成工期的拖延，由此产生的经济损失，由承包人承担。</w:t>
      </w:r>
    </w:p>
    <w:p w14:paraId="63217D1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2)承包人按政府建设主管部门规定办理各项开工准备工作，密切配合发包人办理相关许可证和质安监报监手续等。</w:t>
      </w:r>
    </w:p>
    <w:p w14:paraId="16C82D9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3)承包人须自行解决由于施工原因造成的邻里纠纷，并承担相关费用。</w:t>
      </w:r>
    </w:p>
    <w:p w14:paraId="18893AEB">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4)协助发包人协调处理好施工过程中发生的其他相关问题</w:t>
      </w:r>
      <w:r>
        <w:rPr>
          <w:rFonts w:hint="eastAsia" w:ascii="宋体" w:hAnsi="宋体" w:cs="宋体"/>
          <w:color w:val="auto"/>
          <w:szCs w:val="21"/>
          <w:highlight w:val="none"/>
        </w:rPr>
        <w:t>。</w:t>
      </w:r>
    </w:p>
    <w:p w14:paraId="63A60D0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项目经理</w:t>
      </w:r>
    </w:p>
    <w:p w14:paraId="744EC69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0D24A0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1335FB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AEBA2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CC343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A047B0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8EFA11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C04C7E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E74BD4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8D617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DE21A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color w:val="auto"/>
          <w:szCs w:val="21"/>
          <w:highlight w:val="none"/>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hint="eastAsia" w:ascii="宋体" w:hAnsi="宋体" w:cs="宋体"/>
          <w:color w:val="auto"/>
          <w:szCs w:val="21"/>
          <w:highlight w:val="none"/>
        </w:rPr>
        <w:t>。</w:t>
      </w:r>
    </w:p>
    <w:p w14:paraId="062A35D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color w:val="auto"/>
          <w:szCs w:val="21"/>
          <w:highlight w:val="none"/>
          <w:u w:val="single"/>
        </w:rPr>
        <w:t>项目负责人每月到位率为   %(以磋商响应文件承诺为准)及以上（每月按    天，每天按8小时计），重要施工工序或环节时项目负责人等重要人员必须到场</w:t>
      </w:r>
      <w:r>
        <w:rPr>
          <w:rFonts w:hint="eastAsia" w:ascii="宋体" w:hAnsi="宋体" w:cs="宋体"/>
          <w:color w:val="auto"/>
          <w:szCs w:val="21"/>
          <w:highlight w:val="none"/>
        </w:rPr>
        <w:t>。</w:t>
      </w:r>
    </w:p>
    <w:p w14:paraId="1C5F272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承包人未递交劳动合同，以及没有为项目经理缴纳社会保险证明的违约责任：</w:t>
      </w:r>
      <w:r>
        <w:rPr>
          <w:rFonts w:hint="eastAsia" w:ascii="宋体" w:hAnsi="宋体" w:cs="宋体"/>
          <w:b/>
          <w:color w:val="auto"/>
          <w:szCs w:val="21"/>
          <w:highlight w:val="none"/>
          <w:u w:val="single"/>
        </w:rPr>
        <w:t>发包人责令承包人立即改正，并扣减承包人5000元的违约金。上述违约金直接在工程款中扣除，最终以结算审定金额为准。由上述原因造成工程费用和工期增加的，均由承包人承担</w:t>
      </w:r>
      <w:r>
        <w:rPr>
          <w:rFonts w:hint="eastAsia" w:ascii="宋体" w:hAnsi="宋体" w:cs="宋体"/>
          <w:color w:val="auto"/>
          <w:szCs w:val="21"/>
          <w:highlight w:val="none"/>
        </w:rPr>
        <w:t>。</w:t>
      </w:r>
    </w:p>
    <w:p w14:paraId="096E050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color w:val="auto"/>
          <w:szCs w:val="21"/>
          <w:highlight w:val="none"/>
          <w:u w:val="single"/>
        </w:rPr>
        <w:t>项目负责人按月到位率达不到合同约定比例的，扣减承包人5000元违约金。项目负责人无故缺席或迟到重要施工工序、环节、会议的，发包人有权视情节严重程度处以1000元/次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color w:val="auto"/>
          <w:szCs w:val="21"/>
          <w:highlight w:val="none"/>
        </w:rPr>
        <w:t>。</w:t>
      </w:r>
    </w:p>
    <w:p w14:paraId="5CC362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b/>
          <w:color w:val="auto"/>
          <w:szCs w:val="21"/>
          <w:highlight w:val="none"/>
          <w:u w:val="single"/>
        </w:rPr>
        <w:t>不允许承包人更换项目负责人，如因特殊情况确需更换项目负责人的，需报发包人、建设主管部门和招投标监督管理部门批准后，方可予以更换。承包人未按上述约定擅自更换项目负责人的视为承包人违约，并按1万元/人/次扣减承包人违约金。上述违约金直接在当次工程款中扣除，最终以结算审定金额为准</w:t>
      </w:r>
      <w:r>
        <w:rPr>
          <w:rFonts w:hint="eastAsia" w:ascii="宋体" w:hAnsi="宋体" w:cs="宋体"/>
          <w:color w:val="auto"/>
          <w:szCs w:val="21"/>
          <w:highlight w:val="none"/>
        </w:rPr>
        <w:t>。</w:t>
      </w:r>
    </w:p>
    <w:p w14:paraId="4EA06F0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color w:val="auto"/>
          <w:szCs w:val="21"/>
          <w:highlight w:val="none"/>
          <w:u w:val="single"/>
        </w:rPr>
        <w:t>按10000元/人/次承担违约金，上述违约金直接在当次工程款中扣除，最终以结算审定金额为准</w:t>
      </w:r>
      <w:r>
        <w:rPr>
          <w:rFonts w:hint="eastAsia" w:ascii="宋体" w:hAnsi="宋体" w:cs="宋体"/>
          <w:color w:val="auto"/>
          <w:szCs w:val="21"/>
          <w:highlight w:val="none"/>
        </w:rPr>
        <w:t>。</w:t>
      </w:r>
    </w:p>
    <w:p w14:paraId="7BD168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承包人人员</w:t>
      </w:r>
    </w:p>
    <w:p w14:paraId="2BB2CA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承包人递交项目管理机构及施工现场管理人员安排报告的期限：</w:t>
      </w:r>
      <w:r>
        <w:rPr>
          <w:rFonts w:hint="eastAsia" w:ascii="宋体" w:hAnsi="宋体" w:cs="宋体"/>
          <w:b/>
          <w:color w:val="auto"/>
          <w:szCs w:val="21"/>
          <w:highlight w:val="none"/>
          <w:u w:val="single"/>
        </w:rPr>
        <w:t>承包人应在施工合同签署后7日历天内按合同文件（投标承诺）提供项目管理机构及施工现场管理人员安排报告。承包人实际到位的主要管理人员与合同文件（投标承诺）不一致时，发包人有权要求承包方承担5000元的违约金，若确需调换部分人员的，必须征得发包人的书面认同；若未经同意擅自调换，发包人有权终止合同并追究其违约责任</w:t>
      </w:r>
      <w:r>
        <w:rPr>
          <w:rFonts w:hint="eastAsia" w:ascii="宋体" w:hAnsi="宋体" w:cs="宋体"/>
          <w:color w:val="auto"/>
          <w:szCs w:val="21"/>
          <w:highlight w:val="none"/>
        </w:rPr>
        <w:t>。</w:t>
      </w:r>
    </w:p>
    <w:p w14:paraId="050A97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color w:val="auto"/>
          <w:szCs w:val="21"/>
          <w:highlight w:val="none"/>
          <w:u w:val="single"/>
        </w:rPr>
        <w:t>承包人以下人员，经监理提出，发包人同意，必须在3天内调离本工程范围，否则承包人应按1000元/人/次承担违约金；同时，承包人应在3天内用发包人批准的合格的人员代替上述调离的人员。上述违约金直接在当次工程款中扣除，最终以结算审定金额为准</w:t>
      </w:r>
      <w:r>
        <w:rPr>
          <w:rFonts w:hint="eastAsia" w:ascii="宋体" w:hAnsi="宋体" w:cs="宋体"/>
          <w:color w:val="auto"/>
          <w:szCs w:val="21"/>
          <w:highlight w:val="none"/>
        </w:rPr>
        <w:t>。</w:t>
      </w:r>
    </w:p>
    <w:p w14:paraId="0274EFC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b/>
          <w:color w:val="auto"/>
          <w:szCs w:val="21"/>
          <w:highlight w:val="none"/>
          <w:u w:val="single"/>
        </w:rPr>
        <w:t>主要施工管理人员到位率要求在90%（含）及以上，以日历天为计算基数。承包人应在主要施工管理人员离场前24小时前，向监理人递交书面离场申请（还应注明临时代行人员情况及其职责范围），并征得发包人书面同意后，方可离场</w:t>
      </w:r>
      <w:r>
        <w:rPr>
          <w:rFonts w:hint="eastAsia" w:ascii="宋体" w:hAnsi="宋体" w:cs="宋体"/>
          <w:color w:val="auto"/>
          <w:szCs w:val="21"/>
          <w:highlight w:val="none"/>
        </w:rPr>
        <w:t>。</w:t>
      </w:r>
    </w:p>
    <w:p w14:paraId="5B200B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b/>
          <w:color w:val="auto"/>
          <w:szCs w:val="21"/>
          <w:highlight w:val="none"/>
          <w:u w:val="single"/>
        </w:rPr>
        <w:t>不允许承包人更换主要施工管理人员，如因特殊情况确需更换的，须经发包人同意并备案。承包人未按上述约定擅自更换主要施工管理人员的视为承包人违约，承包人应按1000元/人/次承担违约金。上述违约金直接在当次工程款中扣除，最终以结算审定金额为准</w:t>
      </w:r>
      <w:r>
        <w:rPr>
          <w:rFonts w:hint="eastAsia" w:ascii="宋体" w:hAnsi="宋体" w:cs="宋体"/>
          <w:color w:val="auto"/>
          <w:szCs w:val="21"/>
          <w:highlight w:val="none"/>
        </w:rPr>
        <w:t>。</w:t>
      </w:r>
    </w:p>
    <w:p w14:paraId="77621AE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color w:val="auto"/>
          <w:szCs w:val="21"/>
          <w:highlight w:val="none"/>
          <w:u w:val="single"/>
        </w:rPr>
        <w:t>发包人将扣减承包人1000元/人的违约金；主要施工管理人员无故缺席或迟到重要施工工序、环节、会议的，承包人应按1000元/次/人承担违约金，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color w:val="auto"/>
          <w:szCs w:val="21"/>
          <w:highlight w:val="none"/>
        </w:rPr>
        <w:t>。</w:t>
      </w:r>
    </w:p>
    <w:p w14:paraId="09AFE2E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06" w:name="_Toc292559869"/>
      <w:bookmarkStart w:id="507" w:name="_Toc297216151"/>
      <w:bookmarkStart w:id="508" w:name="_Toc296891199"/>
      <w:bookmarkStart w:id="509" w:name="_Toc296347158"/>
      <w:bookmarkStart w:id="510" w:name="_Toc296944498"/>
      <w:bookmarkStart w:id="511" w:name="_Toc292559364"/>
      <w:bookmarkStart w:id="512" w:name="_Toc297123492"/>
      <w:bookmarkStart w:id="513" w:name="_Toc297120459"/>
      <w:bookmarkStart w:id="514" w:name="_Toc296503159"/>
      <w:bookmarkStart w:id="515" w:name="_Toc303539102"/>
      <w:bookmarkStart w:id="516" w:name="_Toc297048345"/>
      <w:bookmarkStart w:id="517" w:name="_Toc296346660"/>
      <w:bookmarkStart w:id="518" w:name="_Toc300934945"/>
      <w:bookmarkStart w:id="519" w:name="_Toc312677988"/>
      <w:bookmarkStart w:id="520" w:name="_Toc304295523"/>
      <w:bookmarkStart w:id="521" w:name="_Toc296890987"/>
      <w:r>
        <w:rPr>
          <w:rFonts w:hint="eastAsia" w:ascii="宋体" w:hAnsi="宋体" w:cs="宋体"/>
          <w:color w:val="auto"/>
          <w:szCs w:val="21"/>
          <w:highlight w:val="none"/>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3BA03B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22" w:name="_Toc297120460"/>
      <w:bookmarkStart w:id="523" w:name="_Toc297048346"/>
      <w:bookmarkStart w:id="524" w:name="_Toc297216152"/>
      <w:bookmarkStart w:id="525" w:name="_Toc296503160"/>
      <w:bookmarkStart w:id="526" w:name="_Toc296890988"/>
      <w:bookmarkStart w:id="527" w:name="_Toc296347159"/>
      <w:bookmarkStart w:id="528" w:name="_Toc300934946"/>
      <w:bookmarkStart w:id="529" w:name="_Toc297123493"/>
      <w:bookmarkStart w:id="530" w:name="_Toc296944499"/>
      <w:bookmarkStart w:id="531" w:name="_Toc296346661"/>
      <w:bookmarkStart w:id="532" w:name="_Toc304295524"/>
      <w:bookmarkStart w:id="533" w:name="_Toc292559870"/>
      <w:bookmarkStart w:id="534" w:name="_Toc292559365"/>
      <w:bookmarkStart w:id="535" w:name="_Toc303539103"/>
      <w:bookmarkStart w:id="536" w:name="_Toc296891200"/>
      <w:bookmarkStart w:id="537" w:name="_Toc312677989"/>
      <w:bookmarkStart w:id="538" w:name="_Toc318581158"/>
      <w:r>
        <w:rPr>
          <w:rFonts w:hint="eastAsia" w:ascii="宋体" w:hAnsi="宋体" w:cs="宋体"/>
          <w:color w:val="auto"/>
          <w:szCs w:val="21"/>
          <w:highlight w:val="none"/>
        </w:rPr>
        <w:t>.5.1 分包的一般约定</w:t>
      </w:r>
    </w:p>
    <w:p w14:paraId="0D09A6A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464B0E96">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b/>
          <w:color w:val="auto"/>
          <w:szCs w:val="21"/>
          <w:highlight w:val="none"/>
          <w:u w:val="single"/>
        </w:rPr>
        <w:t>合同范围均为关键性工作范围</w:t>
      </w:r>
      <w:r>
        <w:rPr>
          <w:rFonts w:hint="eastAsia" w:ascii="宋体" w:hAnsi="宋体" w:cs="宋体"/>
          <w:color w:val="auto"/>
          <w:szCs w:val="21"/>
          <w:highlight w:val="none"/>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6891201"/>
      <w:bookmarkStart w:id="540" w:name="_Toc303539104"/>
      <w:bookmarkStart w:id="541" w:name="_Toc300934947"/>
      <w:bookmarkStart w:id="542" w:name="_Toc304295525"/>
      <w:bookmarkStart w:id="543" w:name="_Toc297216153"/>
      <w:bookmarkStart w:id="544" w:name="_Toc296503161"/>
      <w:bookmarkStart w:id="545" w:name="_Toc297120461"/>
      <w:bookmarkStart w:id="546" w:name="_Toc296944500"/>
      <w:bookmarkStart w:id="547" w:name="_Toc296347160"/>
      <w:bookmarkStart w:id="548" w:name="_Toc297123494"/>
      <w:bookmarkStart w:id="549" w:name="_Toc296890989"/>
      <w:bookmarkStart w:id="550" w:name="_Toc296346662"/>
      <w:bookmarkStart w:id="551" w:name="_Toc297048347"/>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487B79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w:t>
      </w:r>
      <w:bookmarkStart w:id="552" w:name="_Toc318581159"/>
      <w:bookmarkStart w:id="553" w:name="_Toc312677990"/>
      <w:r>
        <w:rPr>
          <w:rFonts w:hint="eastAsia" w:ascii="宋体" w:hAnsi="宋体" w:cs="宋体"/>
          <w:color w:val="auto"/>
          <w:szCs w:val="21"/>
          <w:highlight w:val="none"/>
        </w:rPr>
        <w:t>.5.2分包的确定</w:t>
      </w:r>
    </w:p>
    <w:p w14:paraId="4403D58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color w:val="auto"/>
          <w:szCs w:val="21"/>
          <w:highlight w:val="none"/>
          <w:u w:val="single"/>
        </w:rPr>
        <w:t>双方协商确定</w:t>
      </w:r>
      <w:r>
        <w:rPr>
          <w:rFonts w:hint="eastAsia" w:ascii="宋体" w:hAnsi="宋体" w:cs="宋体"/>
          <w:color w:val="auto"/>
          <w:szCs w:val="21"/>
          <w:highlight w:val="none"/>
        </w:rPr>
        <w:t>。</w:t>
      </w:r>
    </w:p>
    <w:p w14:paraId="62233D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0531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p w14:paraId="4B4E25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b/>
          <w:color w:val="auto"/>
          <w:szCs w:val="21"/>
          <w:highlight w:val="none"/>
          <w:u w:val="single"/>
        </w:rPr>
        <w:t>另行约定</w:t>
      </w:r>
      <w:r>
        <w:rPr>
          <w:rFonts w:hint="eastAsia" w:ascii="宋体" w:hAnsi="宋体" w:cs="宋体"/>
          <w:color w:val="auto"/>
          <w:szCs w:val="21"/>
          <w:highlight w:val="none"/>
        </w:rPr>
        <w:t>。</w:t>
      </w:r>
    </w:p>
    <w:bookmarkEnd w:id="552"/>
    <w:bookmarkEnd w:id="553"/>
    <w:p w14:paraId="0FF6712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工程照管与成品、半成品保护</w:t>
      </w:r>
    </w:p>
    <w:p w14:paraId="7C5F5AD3">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b/>
          <w:color w:val="auto"/>
          <w:szCs w:val="21"/>
          <w:highlight w:val="none"/>
          <w:u w:val="single"/>
        </w:rPr>
        <w:t>自发包人向承包人移交施工现场之日起，直到颁发工程接收证书之日止</w:t>
      </w:r>
      <w:r>
        <w:rPr>
          <w:rFonts w:hint="eastAsia" w:ascii="宋体" w:hAnsi="宋体" w:cs="宋体"/>
          <w:color w:val="auto"/>
          <w:kern w:val="0"/>
          <w:szCs w:val="21"/>
          <w:highlight w:val="none"/>
        </w:rPr>
        <w:t>。</w:t>
      </w:r>
    </w:p>
    <w:p w14:paraId="712C4E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 履约担保</w:t>
      </w:r>
    </w:p>
    <w:p w14:paraId="4BC4F7B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b/>
          <w:color w:val="auto"/>
          <w:szCs w:val="21"/>
          <w:highlight w:val="none"/>
          <w:u w:val="single"/>
        </w:rPr>
        <w:t>是</w:t>
      </w:r>
      <w:r>
        <w:rPr>
          <w:rFonts w:hint="eastAsia" w:ascii="宋体" w:hAnsi="宋体" w:cs="宋体"/>
          <w:color w:val="auto"/>
          <w:szCs w:val="21"/>
          <w:highlight w:val="none"/>
        </w:rPr>
        <w:t>。</w:t>
      </w:r>
    </w:p>
    <w:p w14:paraId="5E5F877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b/>
          <w:color w:val="auto"/>
          <w:szCs w:val="21"/>
          <w:highlight w:val="none"/>
          <w:u w:val="single"/>
        </w:rPr>
        <w:t>非现金形式，于签订合同5日内应向发包人交纳合同总金额的1％作为履约保证金，项目竣工验收合格后转为质量保证金，质保期满后无息退还</w:t>
      </w:r>
      <w:r>
        <w:rPr>
          <w:rFonts w:hint="eastAsia" w:ascii="宋体" w:hAnsi="宋体" w:cs="宋体"/>
          <w:color w:val="auto"/>
          <w:szCs w:val="21"/>
          <w:highlight w:val="none"/>
        </w:rPr>
        <w:t>。</w:t>
      </w:r>
    </w:p>
    <w:p w14:paraId="11DD8ABF">
      <w:pPr>
        <w:tabs>
          <w:tab w:val="left" w:pos="864"/>
        </w:tabs>
        <w:snapToGrid w:val="0"/>
        <w:spacing w:line="360" w:lineRule="auto"/>
        <w:rPr>
          <w:rFonts w:hint="eastAsia" w:ascii="宋体" w:hAnsi="宋体" w:cs="宋体"/>
          <w:color w:val="auto"/>
          <w:szCs w:val="21"/>
          <w:highlight w:val="none"/>
        </w:rPr>
      </w:pPr>
      <w:bookmarkStart w:id="554" w:name="_Toc351203636"/>
      <w:r>
        <w:rPr>
          <w:rFonts w:hint="eastAsia" w:ascii="宋体" w:hAnsi="宋体" w:cs="宋体"/>
          <w:color w:val="auto"/>
          <w:szCs w:val="21"/>
          <w:highlight w:val="none"/>
        </w:rPr>
        <w:t>4</w:t>
      </w:r>
      <w:bookmarkStart w:id="555" w:name="_Toc292559871"/>
      <w:bookmarkStart w:id="556" w:name="_Toc267251413"/>
      <w:bookmarkStart w:id="557" w:name="_Toc296347161"/>
      <w:bookmarkStart w:id="558" w:name="_Toc296944501"/>
      <w:bookmarkStart w:id="559" w:name="_Toc297120462"/>
      <w:bookmarkStart w:id="560" w:name="_Toc296346663"/>
      <w:bookmarkStart w:id="561" w:name="_Toc297048348"/>
      <w:bookmarkStart w:id="562" w:name="_Toc296503162"/>
      <w:bookmarkStart w:id="563" w:name="_Toc296891202"/>
      <w:bookmarkStart w:id="564" w:name="_Toc296890990"/>
      <w:bookmarkStart w:id="565" w:name="_Toc292559366"/>
      <w:r>
        <w:rPr>
          <w:rFonts w:hint="eastAsia" w:ascii="宋体" w:hAnsi="宋体" w:cs="宋体"/>
          <w:color w:val="auto"/>
          <w:szCs w:val="21"/>
          <w:highlight w:val="none"/>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cs="宋体"/>
          <w:color w:val="auto"/>
          <w:szCs w:val="21"/>
          <w:highlight w:val="none"/>
        </w:rPr>
        <w:t>理人</w:t>
      </w:r>
      <w:bookmarkEnd w:id="554"/>
    </w:p>
    <w:p w14:paraId="7B208E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4.1监理人的一般规定</w:t>
      </w:r>
    </w:p>
    <w:p w14:paraId="2AF5E88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b/>
          <w:color w:val="auto"/>
          <w:szCs w:val="21"/>
          <w:highlight w:val="none"/>
          <w:u w:val="single"/>
        </w:rPr>
        <w:t>按监理合同约定实行</w:t>
      </w:r>
      <w:r>
        <w:rPr>
          <w:rFonts w:hint="eastAsia" w:ascii="宋体" w:hAnsi="宋体" w:cs="宋体"/>
          <w:color w:val="auto"/>
          <w:szCs w:val="21"/>
          <w:highlight w:val="none"/>
        </w:rPr>
        <w:t>。</w:t>
      </w:r>
    </w:p>
    <w:p w14:paraId="36E572C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color w:val="auto"/>
          <w:szCs w:val="21"/>
          <w:highlight w:val="none"/>
          <w:u w:val="single"/>
        </w:rPr>
        <w:t>在监理工作范围内，凡涉及下列事项必须取得发包人专门以书面形式授权且签证确认后，监理人方可实施</w:t>
      </w:r>
      <w:r>
        <w:rPr>
          <w:rFonts w:hint="eastAsia" w:ascii="宋体" w:hAnsi="宋体" w:cs="宋体"/>
          <w:color w:val="auto"/>
          <w:szCs w:val="21"/>
          <w:highlight w:val="none"/>
        </w:rPr>
        <w:t xml:space="preserve">。 </w:t>
      </w:r>
    </w:p>
    <w:p w14:paraId="1B722FC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（1）同意工程分包，承包人主要项目管理人员更换，或主要材料、设备替换； </w:t>
      </w:r>
    </w:p>
    <w:p w14:paraId="06A021E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（2）签发开工令、同意暂停施工或延期； </w:t>
      </w:r>
    </w:p>
    <w:p w14:paraId="4840E29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（3）同意设计变更、经济签证或技术标准和要求变更； </w:t>
      </w:r>
    </w:p>
    <w:p w14:paraId="7C40E47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（4）同意合同价款调整、索赔，或暂列金额、暂估价的使用； </w:t>
      </w:r>
    </w:p>
    <w:p w14:paraId="6089728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（5）签发工程计量、支付证书、竣工结清证书； </w:t>
      </w:r>
    </w:p>
    <w:p w14:paraId="13FAD7F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（6）其他须发包人书面确定的事项。</w:t>
      </w:r>
    </w:p>
    <w:p w14:paraId="193B15E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如上述事项未经发包人事先授权且确认的，发包人均有权不予认可，且不能作为竣工结算的有效依据。 </w:t>
      </w:r>
    </w:p>
    <w:p w14:paraId="0AC471ED">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除上述约定事项外，其他事项授权监理人依照监理合同及相关监理规范办理</w:t>
      </w:r>
      <w:r>
        <w:rPr>
          <w:rFonts w:hint="eastAsia" w:ascii="宋体" w:hAnsi="宋体" w:cs="宋体"/>
          <w:color w:val="auto"/>
          <w:szCs w:val="21"/>
          <w:highlight w:val="none"/>
        </w:rPr>
        <w:t>。</w:t>
      </w:r>
    </w:p>
    <w:p w14:paraId="2D53424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color w:val="auto"/>
          <w:szCs w:val="21"/>
          <w:highlight w:val="none"/>
          <w:u w:val="single"/>
        </w:rPr>
        <w:t>/</w:t>
      </w:r>
      <w:r>
        <w:rPr>
          <w:rFonts w:hint="eastAsia" w:ascii="宋体" w:hAnsi="宋体" w:cs="宋体"/>
          <w:color w:val="auto"/>
          <w:szCs w:val="21"/>
          <w:highlight w:val="none"/>
        </w:rPr>
        <w:t>。</w:t>
      </w:r>
    </w:p>
    <w:p w14:paraId="6E21711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监理人员</w:t>
      </w:r>
    </w:p>
    <w:p w14:paraId="13FC18A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14:paraId="494BB45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8521B0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0E31E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420864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ECCC8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133145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FA062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6EADC5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商定或确定</w:t>
      </w:r>
    </w:p>
    <w:p w14:paraId="3B13929A">
      <w:pPr>
        <w:snapToGrid w:val="0"/>
        <w:spacing w:line="360" w:lineRule="auto"/>
        <w:ind w:firstLine="420" w:firstLineChars="200"/>
        <w:rPr>
          <w:rFonts w:hint="eastAsia" w:ascii="宋体" w:hAnsi="宋体" w:cs="宋体"/>
          <w:color w:val="auto"/>
          <w:szCs w:val="21"/>
          <w:highlight w:val="none"/>
        </w:rPr>
      </w:pPr>
      <w:bookmarkStart w:id="566" w:name="_Toc267251418"/>
      <w:r>
        <w:rPr>
          <w:rFonts w:hint="eastAsia" w:ascii="宋体" w:hAnsi="宋体" w:cs="宋体"/>
          <w:color w:val="auto"/>
          <w:szCs w:val="21"/>
          <w:highlight w:val="none"/>
        </w:rPr>
        <w:t>在发包人和承包人不能通过协商达成一致意见时，发包人授权监理人对以下事项进行确定：</w:t>
      </w:r>
    </w:p>
    <w:p w14:paraId="78EC0318">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13FB82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488F44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50F4904">
      <w:pPr>
        <w:tabs>
          <w:tab w:val="left" w:pos="864"/>
        </w:tabs>
        <w:snapToGrid w:val="0"/>
        <w:spacing w:line="360" w:lineRule="auto"/>
        <w:rPr>
          <w:rFonts w:hint="eastAsia" w:ascii="宋体" w:hAnsi="宋体" w:cs="宋体"/>
          <w:color w:val="auto"/>
          <w:szCs w:val="21"/>
          <w:highlight w:val="none"/>
        </w:rPr>
      </w:pPr>
      <w:bookmarkStart w:id="567" w:name="_Toc351203637"/>
      <w:r>
        <w:rPr>
          <w:rFonts w:hint="eastAsia" w:ascii="宋体" w:hAnsi="宋体" w:cs="宋体"/>
          <w:color w:val="auto"/>
          <w:szCs w:val="21"/>
          <w:highlight w:val="none"/>
        </w:rPr>
        <w:t>5</w:t>
      </w:r>
      <w:bookmarkEnd w:id="566"/>
      <w:bookmarkStart w:id="568" w:name="_Toc296347162"/>
      <w:bookmarkStart w:id="569" w:name="_Toc292559367"/>
      <w:bookmarkStart w:id="570" w:name="_Toc297120463"/>
      <w:bookmarkStart w:id="571" w:name="_Toc296346664"/>
      <w:bookmarkStart w:id="572" w:name="_Toc296890991"/>
      <w:bookmarkStart w:id="573" w:name="_Toc296944502"/>
      <w:bookmarkStart w:id="574" w:name="_Toc296891203"/>
      <w:bookmarkStart w:id="575" w:name="_Toc296503163"/>
      <w:bookmarkStart w:id="576" w:name="_Toc292559872"/>
      <w:bookmarkStart w:id="577" w:name="_Toc297048349"/>
      <w:r>
        <w:rPr>
          <w:rFonts w:hint="eastAsia" w:ascii="宋体" w:hAnsi="宋体" w:cs="宋体"/>
          <w:color w:val="auto"/>
          <w:szCs w:val="21"/>
          <w:highlight w:val="none"/>
        </w:rPr>
        <w:t>. 工程质量</w:t>
      </w:r>
      <w:bookmarkEnd w:id="567"/>
    </w:p>
    <w:p w14:paraId="5670EB6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质量要求</w:t>
      </w:r>
    </w:p>
    <w:p w14:paraId="4503BD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bookmarkStart w:id="578" w:name="_Toc318581164"/>
      <w:bookmarkStart w:id="579" w:name="_Toc304295527"/>
      <w:bookmarkStart w:id="580" w:name="_Toc297123496"/>
      <w:bookmarkStart w:id="581" w:name="_Toc312677997"/>
      <w:bookmarkStart w:id="582" w:name="_Toc297216155"/>
      <w:bookmarkStart w:id="583" w:name="_Toc303539106"/>
      <w:bookmarkStart w:id="584" w:name="_Toc300934949"/>
      <w:r>
        <w:rPr>
          <w:rFonts w:hint="eastAsia" w:ascii="宋体" w:hAnsi="宋体" w:cs="宋体"/>
          <w:color w:val="auto"/>
          <w:szCs w:val="21"/>
          <w:highlight w:val="none"/>
        </w:rPr>
        <w:t>.1.1 特殊质量标准和要求：</w:t>
      </w:r>
    </w:p>
    <w:p w14:paraId="3B7CB99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（1）质量标准应符合相关国家标准和规范要求。 </w:t>
      </w:r>
    </w:p>
    <w:p w14:paraId="3AE7CA3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（2）有消防要求的材料、设备检验需与工程同步，不得影响消防验收。 </w:t>
      </w:r>
    </w:p>
    <w:p w14:paraId="69447D7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 </w:t>
      </w:r>
    </w:p>
    <w:p w14:paraId="038DF28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（4）承包人在报价时应充分考虑本工程的质量要求，对本工程各项工艺、材料的检查、检验、试验、测试等所需费用和时间应充分考虑。 </w:t>
      </w:r>
    </w:p>
    <w:p w14:paraId="779E1D0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（5）在交付及保修期间，如因质量问题需维修，而责任暂时无法界定时，承包人应无条 件先进行维修，待界定责任主体后向相应责任主体追偿。 </w:t>
      </w:r>
    </w:p>
    <w:p w14:paraId="07CB81CA">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（6）本合同工程质量验收时需一次性通过合格验收。</w:t>
      </w:r>
    </w:p>
    <w:p w14:paraId="253ECE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57FB78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隐蔽工程检查</w:t>
      </w:r>
    </w:p>
    <w:p w14:paraId="3FB0858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color w:val="auto"/>
          <w:szCs w:val="21"/>
          <w:highlight w:val="none"/>
          <w:u w:val="single"/>
        </w:rPr>
        <w:t>按通用合同条款约定，承包人未通知监理人到场检查，私自将工程隐蔽部位覆盖的，监理人有权指示承包人钻孔探测或揭开检查，无论工程隐蔽部位质量是否合格，由此造成的工程费用及工期增加，均由承包人承担，且发包人有权视具体情况，要求承包人承担1000元/次及以上的违约金</w:t>
      </w:r>
      <w:r>
        <w:rPr>
          <w:rFonts w:hint="eastAsia" w:ascii="宋体" w:hAnsi="宋体" w:cs="宋体"/>
          <w:color w:val="auto"/>
          <w:szCs w:val="21"/>
          <w:highlight w:val="none"/>
        </w:rPr>
        <w:t>。</w:t>
      </w:r>
    </w:p>
    <w:p w14:paraId="71FFF4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b/>
          <w:bCs/>
          <w:color w:val="auto"/>
          <w:szCs w:val="21"/>
          <w:highlight w:val="none"/>
          <w:u w:val="single"/>
        </w:rPr>
        <w:t>24</w:t>
      </w:r>
      <w:r>
        <w:rPr>
          <w:rFonts w:hint="eastAsia" w:ascii="宋体" w:hAnsi="宋体" w:cs="宋体"/>
          <w:color w:val="auto"/>
          <w:szCs w:val="21"/>
          <w:highlight w:val="none"/>
        </w:rPr>
        <w:t>小时递交书面延期要求。</w:t>
      </w:r>
    </w:p>
    <w:p w14:paraId="035B2A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bCs/>
          <w:color w:val="auto"/>
          <w:szCs w:val="21"/>
          <w:highlight w:val="none"/>
          <w:u w:val="single"/>
        </w:rPr>
        <w:t>24</w:t>
      </w:r>
      <w:r>
        <w:rPr>
          <w:rFonts w:hint="eastAsia" w:ascii="宋体" w:hAnsi="宋体" w:cs="宋体"/>
          <w:color w:val="auto"/>
          <w:szCs w:val="21"/>
          <w:highlight w:val="none"/>
        </w:rPr>
        <w:t>小时。</w:t>
      </w:r>
    </w:p>
    <w:p w14:paraId="5B71C8EC">
      <w:pPr>
        <w:tabs>
          <w:tab w:val="left" w:pos="864"/>
        </w:tabs>
        <w:snapToGrid w:val="0"/>
        <w:spacing w:line="360" w:lineRule="auto"/>
        <w:rPr>
          <w:rFonts w:hint="eastAsia" w:ascii="宋体" w:hAnsi="宋体" w:cs="宋体"/>
          <w:color w:val="auto"/>
          <w:szCs w:val="21"/>
          <w:highlight w:val="none"/>
        </w:rPr>
      </w:pPr>
      <w:bookmarkStart w:id="585" w:name="_Toc351203638"/>
      <w:r>
        <w:rPr>
          <w:rFonts w:hint="eastAsia" w:ascii="宋体" w:hAnsi="宋体" w:cs="宋体"/>
          <w:color w:val="auto"/>
          <w:szCs w:val="21"/>
          <w:highlight w:val="none"/>
        </w:rPr>
        <w:t>6. 安全文明施工与环境保护</w:t>
      </w:r>
      <w:bookmarkEnd w:id="585"/>
    </w:p>
    <w:p w14:paraId="3735EB7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6.1安全文明施工</w:t>
      </w:r>
    </w:p>
    <w:p w14:paraId="2A97E78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color w:val="auto"/>
          <w:szCs w:val="21"/>
          <w:highlight w:val="none"/>
          <w:u w:val="single"/>
        </w:rPr>
        <w:t>施工现场按照《建筑施工安全检查标准》（JGJ59-2011）评定达到“合格”标准</w:t>
      </w:r>
      <w:r>
        <w:rPr>
          <w:rFonts w:hint="eastAsia" w:ascii="宋体" w:hAnsi="宋体" w:cs="宋体"/>
          <w:color w:val="auto"/>
          <w:szCs w:val="21"/>
          <w:highlight w:val="none"/>
        </w:rPr>
        <w:t>。</w:t>
      </w:r>
    </w:p>
    <w:p w14:paraId="209962E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77441B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209BE6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6.1.5 文明施工</w:t>
      </w:r>
    </w:p>
    <w:p w14:paraId="4AD97238">
      <w:pPr>
        <w:spacing w:line="360" w:lineRule="auto"/>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14:paraId="12FFA62A">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（1）遵守地方政府和有关部门对施工场地交通、环卫、安全和施工噪音等管理规定，并办理相关审批手续</w:t>
      </w:r>
      <w:r>
        <w:rPr>
          <w:rFonts w:hint="eastAsia" w:ascii="宋体" w:hAnsi="宋体" w:cs="宋体"/>
          <w:b/>
          <w:color w:val="auto"/>
          <w:szCs w:val="21"/>
          <w:highlight w:val="none"/>
        </w:rPr>
        <w:t>。</w:t>
      </w:r>
    </w:p>
    <w:p w14:paraId="74965F3D">
      <w:pPr>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u w:val="single"/>
        </w:rPr>
        <w:t>（2）承包人应采取有效措施尽量减小尘土和噪音污染，需要进行夜间作业时应经有关部门批准</w:t>
      </w:r>
      <w:r>
        <w:rPr>
          <w:rFonts w:hint="eastAsia" w:ascii="宋体" w:hAnsi="宋体" w:cs="宋体"/>
          <w:b/>
          <w:color w:val="auto"/>
          <w:szCs w:val="21"/>
          <w:highlight w:val="none"/>
        </w:rPr>
        <w:t>。</w:t>
      </w:r>
    </w:p>
    <w:p w14:paraId="47D09A06">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（3）其他：</w:t>
      </w:r>
    </w:p>
    <w:p w14:paraId="28B1C38E">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有权要求承包人承担相应的违约责任。  </w:t>
      </w:r>
    </w:p>
    <w:p w14:paraId="46A7DD3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承包人进场后与发包人签订现场安全文明施工协议书，由承包人编制专项详细方案，经双方确认后，承包人严格按此方案要求实施。材料堆放整齐，水、电设施管理规范，认真落实各项安全保护措施，并随时接受行业安全检查人员、发包人或监理工程师及有关部门的监督检查。</w:t>
      </w:r>
    </w:p>
    <w:p w14:paraId="30DECE3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承包人必须按照《杭州市建设工程文明施工管理规定》等省市区工程建设安全文明施工的有关规定，每天清扫卫生，以达到杭州市双标化工地的要求。相关安全生产、文明施工费用必须足额投入，专款专用，否则发包人有权拒绝支付该项费用。</w:t>
      </w:r>
    </w:p>
    <w:p w14:paraId="6E99ED25">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14:paraId="222B8421">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⑤安全施工所发生的费用承包人已在投标报价中包干，发生重大伤亡事故或其他事故，承包人应及时上报发包人，并承担全部赔偿责任（非承包人原因除外）。若出现重大事故的，承包人应承担1万元的违约金（重大事故的判别以建设部令《工程建设重大事故报告合调查程序规定》为准），并确保在15天内，按照相关程序积极妥善处理好善后事宜，否则发包人有权直接处理。</w:t>
      </w:r>
    </w:p>
    <w:p w14:paraId="7A7897D0">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（4）上述手续办理费用约定如下：承包人已在投标报价中包干，发生重大伤亡事故或其他事故，承包人应及时上报发包人，并承担全部赔偿责任</w:t>
      </w:r>
      <w:r>
        <w:rPr>
          <w:rFonts w:hint="eastAsia" w:ascii="宋体" w:hAnsi="宋体" w:cs="宋体"/>
          <w:color w:val="auto"/>
          <w:szCs w:val="21"/>
          <w:highlight w:val="none"/>
        </w:rPr>
        <w:t>。</w:t>
      </w:r>
    </w:p>
    <w:p w14:paraId="7F64FEB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b/>
          <w:color w:val="auto"/>
          <w:szCs w:val="21"/>
          <w:highlight w:val="none"/>
          <w:u w:val="single"/>
        </w:rPr>
        <w:t>发包人应在开工后15天内预付安全文明施工费总额的60%，剩余部分支付视相关措施的落实情况与进度款同期支付</w:t>
      </w:r>
      <w:r>
        <w:rPr>
          <w:rFonts w:hint="eastAsia" w:ascii="宋体" w:hAnsi="宋体" w:cs="宋体"/>
          <w:color w:val="auto"/>
          <w:szCs w:val="21"/>
          <w:highlight w:val="none"/>
        </w:rPr>
        <w:t>。</w:t>
      </w:r>
    </w:p>
    <w:bookmarkEnd w:id="578"/>
    <w:bookmarkEnd w:id="579"/>
    <w:bookmarkEnd w:id="580"/>
    <w:bookmarkEnd w:id="581"/>
    <w:bookmarkEnd w:id="582"/>
    <w:bookmarkEnd w:id="583"/>
    <w:bookmarkEnd w:id="584"/>
    <w:p w14:paraId="608DCCB6">
      <w:pPr>
        <w:tabs>
          <w:tab w:val="left" w:pos="864"/>
        </w:tabs>
        <w:snapToGrid w:val="0"/>
        <w:spacing w:line="360" w:lineRule="auto"/>
        <w:rPr>
          <w:rFonts w:hint="eastAsia" w:ascii="宋体" w:hAnsi="宋体" w:cs="宋体"/>
          <w:color w:val="auto"/>
          <w:szCs w:val="21"/>
          <w:highlight w:val="none"/>
        </w:rPr>
      </w:pPr>
      <w:bookmarkStart w:id="586" w:name="_Toc351203639"/>
      <w:r>
        <w:rPr>
          <w:rFonts w:hint="eastAsia" w:ascii="宋体" w:hAnsi="宋体" w:cs="宋体"/>
          <w:color w:val="auto"/>
          <w:szCs w:val="21"/>
          <w:highlight w:val="none"/>
        </w:rPr>
        <w:t>7. 工期和进度</w:t>
      </w:r>
      <w:bookmarkEnd w:id="586"/>
    </w:p>
    <w:p w14:paraId="3AF34E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施工组织设计</w:t>
      </w:r>
    </w:p>
    <w:p w14:paraId="2318D79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b/>
          <w:color w:val="auto"/>
          <w:szCs w:val="21"/>
          <w:highlight w:val="none"/>
          <w:u w:val="single"/>
        </w:rPr>
        <w:t>按监理工程师要求</w:t>
      </w:r>
      <w:r>
        <w:rPr>
          <w:rFonts w:hint="eastAsia" w:ascii="宋体" w:hAnsi="宋体" w:cs="宋体"/>
          <w:color w:val="auto"/>
          <w:szCs w:val="21"/>
          <w:highlight w:val="none"/>
        </w:rPr>
        <w:t>。</w:t>
      </w:r>
    </w:p>
    <w:p w14:paraId="0B141620">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施工组织设计的递交和修改</w:t>
      </w:r>
    </w:p>
    <w:p w14:paraId="1CA181AD">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承包人递交详细施工组织设计的期限的约定：</w:t>
      </w:r>
      <w:r>
        <w:rPr>
          <w:rFonts w:hint="eastAsia" w:ascii="宋体" w:hAnsi="宋体" w:cs="宋体"/>
          <w:b/>
          <w:color w:val="auto"/>
          <w:szCs w:val="21"/>
          <w:highlight w:val="none"/>
          <w:u w:val="single"/>
        </w:rPr>
        <w:t>合同签订后（3）天内提供详细施工组织设计（施工方案）和进度计划</w:t>
      </w:r>
      <w:r>
        <w:rPr>
          <w:rFonts w:hint="eastAsia" w:ascii="宋体" w:hAnsi="宋体" w:cs="宋体"/>
          <w:color w:val="auto"/>
          <w:szCs w:val="21"/>
          <w:highlight w:val="none"/>
        </w:rPr>
        <w:t>。</w:t>
      </w:r>
    </w:p>
    <w:p w14:paraId="7AF8783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2929339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587" w:name="_Toc304295541"/>
      <w:bookmarkStart w:id="588" w:name="_Toc297216173"/>
      <w:bookmarkStart w:id="589" w:name="_Toc312678005"/>
      <w:bookmarkStart w:id="590" w:name="_Toc303539123"/>
      <w:bookmarkStart w:id="591" w:name="_Toc297123514"/>
      <w:bookmarkStart w:id="592" w:name="_Toc312677479"/>
      <w:bookmarkStart w:id="593" w:name="_Toc300934966"/>
      <w:r>
        <w:rPr>
          <w:rFonts w:hint="eastAsia" w:ascii="宋体" w:hAnsi="宋体" w:cs="宋体"/>
          <w:color w:val="auto"/>
          <w:szCs w:val="21"/>
          <w:highlight w:val="none"/>
        </w:rPr>
        <w:t>.2 施工进度计划</w:t>
      </w:r>
    </w:p>
    <w:p w14:paraId="2CAE19A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14:paraId="2E19F82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3552A32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开工</w:t>
      </w:r>
    </w:p>
    <w:p w14:paraId="3E49C99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7.3.1 开工准备</w:t>
      </w:r>
    </w:p>
    <w:p w14:paraId="2FC85996">
      <w:pPr>
        <w:snapToGrid w:val="0"/>
        <w:spacing w:line="360" w:lineRule="auto"/>
        <w:ind w:firstLine="645"/>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关于承包人递交</w:t>
      </w:r>
      <w:r>
        <w:rPr>
          <w:rFonts w:hint="eastAsia" w:ascii="宋体" w:hAnsi="宋体" w:cs="宋体"/>
          <w:color w:val="auto"/>
          <w:kern w:val="0"/>
          <w:szCs w:val="21"/>
          <w:highlight w:val="none"/>
        </w:rPr>
        <w:t>工程开工报审表的期限：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421A94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b/>
          <w:color w:val="auto"/>
          <w:szCs w:val="21"/>
          <w:highlight w:val="none"/>
          <w:u w:val="single"/>
        </w:rPr>
        <w:t>同施工组织设计的递交时间</w:t>
      </w:r>
      <w:r>
        <w:rPr>
          <w:rFonts w:hint="eastAsia" w:ascii="宋体" w:hAnsi="宋体" w:cs="宋体"/>
          <w:color w:val="auto"/>
          <w:szCs w:val="21"/>
          <w:highlight w:val="none"/>
        </w:rPr>
        <w:t>。</w:t>
      </w:r>
    </w:p>
    <w:p w14:paraId="0A6713A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b/>
          <w:color w:val="auto"/>
          <w:szCs w:val="21"/>
          <w:highlight w:val="none"/>
          <w:u w:val="single"/>
        </w:rPr>
        <w:t>同施工组织设计的递交时间</w:t>
      </w:r>
      <w:r>
        <w:rPr>
          <w:rFonts w:hint="eastAsia" w:ascii="宋体" w:hAnsi="宋体" w:cs="宋体"/>
          <w:color w:val="auto"/>
          <w:szCs w:val="21"/>
          <w:highlight w:val="none"/>
        </w:rPr>
        <w:t>。</w:t>
      </w:r>
    </w:p>
    <w:p w14:paraId="2F6AD7B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7.3.2开工通知</w:t>
      </w:r>
    </w:p>
    <w:p w14:paraId="30E2A20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587"/>
    <w:bookmarkEnd w:id="588"/>
    <w:bookmarkEnd w:id="589"/>
    <w:bookmarkEnd w:id="590"/>
    <w:bookmarkEnd w:id="591"/>
    <w:bookmarkEnd w:id="592"/>
    <w:bookmarkEnd w:id="593"/>
    <w:p w14:paraId="016FE8B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测量放线</w:t>
      </w:r>
    </w:p>
    <w:p w14:paraId="3D3FE1CA">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b/>
          <w:color w:val="auto"/>
          <w:szCs w:val="21"/>
          <w:highlight w:val="none"/>
          <w:u w:val="single"/>
        </w:rPr>
        <w:t>开工前5天，将水准点和坐标控制点以书面形式通过监理人递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hint="eastAsia" w:ascii="宋体" w:hAnsi="宋体" w:cs="宋体"/>
          <w:color w:val="auto"/>
          <w:szCs w:val="21"/>
          <w:highlight w:val="none"/>
        </w:rPr>
        <w:t>。</w:t>
      </w:r>
    </w:p>
    <w:p w14:paraId="56C5E16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594" w:name="_Toc312678010"/>
      <w:bookmarkStart w:id="595" w:name="_Toc303539125"/>
      <w:bookmarkStart w:id="596" w:name="_Toc312677484"/>
      <w:bookmarkStart w:id="597" w:name="_Toc304295546"/>
      <w:bookmarkStart w:id="598" w:name="_Toc300934968"/>
      <w:bookmarkStart w:id="599" w:name="_Toc297216175"/>
      <w:bookmarkStart w:id="600" w:name="_Toc297123516"/>
      <w:r>
        <w:rPr>
          <w:rFonts w:hint="eastAsia" w:ascii="宋体" w:hAnsi="宋体" w:cs="宋体"/>
          <w:color w:val="auto"/>
          <w:szCs w:val="21"/>
          <w:highlight w:val="none"/>
        </w:rPr>
        <w:t>.5 工期延误</w:t>
      </w:r>
    </w:p>
    <w:bookmarkEnd w:id="594"/>
    <w:bookmarkEnd w:id="595"/>
    <w:bookmarkEnd w:id="596"/>
    <w:bookmarkEnd w:id="597"/>
    <w:bookmarkEnd w:id="598"/>
    <w:bookmarkEnd w:id="599"/>
    <w:bookmarkEnd w:id="600"/>
    <w:p w14:paraId="0064AAE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14:paraId="30FDE14C">
      <w:pPr>
        <w:spacing w:line="360" w:lineRule="auto"/>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14:paraId="16B8F7FB">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①重大设计变更引起的工期延误</w:t>
      </w:r>
      <w:r>
        <w:rPr>
          <w:rFonts w:hint="eastAsia" w:ascii="宋体" w:hAnsi="宋体" w:cs="宋体"/>
          <w:b/>
          <w:color w:val="auto"/>
          <w:szCs w:val="21"/>
          <w:highlight w:val="none"/>
        </w:rPr>
        <w:t>；</w:t>
      </w:r>
    </w:p>
    <w:p w14:paraId="510E121A">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14:paraId="23D958F2">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若因发包人原因导致局部工程施工受到影响，承包人应采取合理措施予以弥补，延期工程如果不在工程施工进度网络计划的关键线路上，工程总工期不予延长。</w:t>
      </w:r>
    </w:p>
    <w:p w14:paraId="64360C29">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14:paraId="087D6F58">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承包人按协议条款约定的开工日期开始施工，具体开、停和复工的时间以发包人（或监理单位）的签证为准。除经监理和发包人联系单签证同意外，工期一律不得顺延</w:t>
      </w:r>
      <w:r>
        <w:rPr>
          <w:rFonts w:hint="eastAsia" w:ascii="宋体" w:hAnsi="宋体" w:cs="宋体"/>
          <w:color w:val="auto"/>
          <w:szCs w:val="21"/>
          <w:highlight w:val="none"/>
        </w:rPr>
        <w:t>。</w:t>
      </w:r>
    </w:p>
    <w:p w14:paraId="4F252C6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bookmarkStart w:id="601" w:name="_Toc318581169"/>
      <w:bookmarkStart w:id="602" w:name="_Toc312678012"/>
      <w:bookmarkStart w:id="603" w:name="_Toc312677486"/>
      <w:bookmarkStart w:id="604" w:name="_Toc297216177"/>
      <w:bookmarkStart w:id="605" w:name="_Toc303539127"/>
      <w:bookmarkStart w:id="606" w:name="_Toc300934970"/>
      <w:bookmarkStart w:id="607" w:name="_Toc297123518"/>
      <w:bookmarkStart w:id="608" w:name="_Toc304295548"/>
      <w:r>
        <w:rPr>
          <w:rFonts w:hint="eastAsia" w:ascii="宋体" w:hAnsi="宋体" w:cs="宋体"/>
          <w:color w:val="auto"/>
          <w:szCs w:val="21"/>
          <w:highlight w:val="none"/>
        </w:rPr>
        <w:t>.5.2 因承包人原因导致工期延误</w:t>
      </w:r>
    </w:p>
    <w:bookmarkEnd w:id="601"/>
    <w:bookmarkEnd w:id="602"/>
    <w:bookmarkEnd w:id="603"/>
    <w:p w14:paraId="602556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w:t>
      </w:r>
      <w:bookmarkStart w:id="609" w:name="_Toc312678013"/>
      <w:bookmarkStart w:id="610" w:name="_Toc312677487"/>
      <w:bookmarkStart w:id="611"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b/>
          <w:color w:val="auto"/>
          <w:szCs w:val="21"/>
          <w:highlight w:val="none"/>
          <w:u w:val="single"/>
        </w:rPr>
        <w:t>工期延误每延误一天，乙方应按1000元/天的标准向发包人支付违约金。违约金不足以弥补甲方造成的实际损失的，乙方还应承担甲方因此所造成的实际损失，该损失包括但不限于甲方租金损失、其他乙方据此而向甲方提出的索赔、后续乙方不能按时进场施工而产生的损失、因乙方的赶工计划而导致甲方产生的额外费用等等。当甲方认为必要时，可以安排其他承包人完成剩余工作</w:t>
      </w:r>
      <w:r>
        <w:rPr>
          <w:rFonts w:hint="eastAsia" w:ascii="宋体" w:hAnsi="宋体" w:cs="宋体"/>
          <w:color w:val="auto"/>
          <w:szCs w:val="21"/>
          <w:highlight w:val="none"/>
        </w:rPr>
        <w:t>。</w:t>
      </w:r>
      <w:bookmarkEnd w:id="604"/>
      <w:bookmarkEnd w:id="605"/>
      <w:bookmarkEnd w:id="606"/>
      <w:bookmarkEnd w:id="607"/>
      <w:bookmarkEnd w:id="608"/>
      <w:bookmarkEnd w:id="609"/>
      <w:bookmarkEnd w:id="610"/>
    </w:p>
    <w:bookmarkEnd w:id="611"/>
    <w:p w14:paraId="1371090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2" w:name="_Toc318581171"/>
      <w:bookmarkStart w:id="613" w:name="_Toc312678014"/>
      <w:r>
        <w:rPr>
          <w:rFonts w:hint="eastAsia" w:ascii="宋体" w:hAnsi="宋体" w:cs="宋体"/>
          <w:color w:val="auto"/>
          <w:szCs w:val="21"/>
          <w:highlight w:val="none"/>
        </w:rPr>
        <w:t>期竣工违约金的上限：</w:t>
      </w:r>
      <w:r>
        <w:rPr>
          <w:rFonts w:hint="eastAsia" w:ascii="宋体" w:hAnsi="宋体" w:cs="宋体"/>
          <w:b/>
          <w:color w:val="auto"/>
          <w:szCs w:val="21"/>
          <w:highlight w:val="none"/>
          <w:u w:val="single"/>
        </w:rPr>
        <w:t>工期延误违约金，最高为合同价的2%，甲方可以从应付或到期应付给乙方的任何款项中扣除此金额，甲方也有权要求乙方直接承担</w:t>
      </w:r>
      <w:r>
        <w:rPr>
          <w:rFonts w:hint="eastAsia" w:ascii="宋体" w:hAnsi="宋体" w:cs="宋体"/>
          <w:color w:val="auto"/>
          <w:szCs w:val="21"/>
          <w:highlight w:val="none"/>
        </w:rPr>
        <w:t>。</w:t>
      </w:r>
    </w:p>
    <w:bookmarkEnd w:id="612"/>
    <w:bookmarkEnd w:id="613"/>
    <w:p w14:paraId="727460A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614" w:name="_Toc297216178"/>
      <w:bookmarkStart w:id="615" w:name="_Toc303539128"/>
      <w:bookmarkStart w:id="616" w:name="_Toc304295549"/>
      <w:bookmarkStart w:id="617" w:name="_Toc297123519"/>
      <w:bookmarkStart w:id="618" w:name="_Toc300934971"/>
      <w:bookmarkStart w:id="619" w:name="_Toc312678015"/>
      <w:r>
        <w:rPr>
          <w:rFonts w:hint="eastAsia" w:ascii="宋体" w:hAnsi="宋体" w:cs="宋体"/>
          <w:color w:val="auto"/>
          <w:szCs w:val="21"/>
          <w:highlight w:val="none"/>
        </w:rPr>
        <w:t>.6 不</w:t>
      </w:r>
      <w:bookmarkEnd w:id="614"/>
      <w:bookmarkEnd w:id="615"/>
      <w:bookmarkEnd w:id="616"/>
      <w:bookmarkEnd w:id="617"/>
      <w:bookmarkEnd w:id="618"/>
      <w:bookmarkEnd w:id="619"/>
      <w:r>
        <w:rPr>
          <w:rFonts w:hint="eastAsia" w:ascii="宋体" w:hAnsi="宋体" w:cs="宋体"/>
          <w:color w:val="auto"/>
          <w:szCs w:val="21"/>
          <w:highlight w:val="none"/>
        </w:rPr>
        <w:t>利物质条件</w:t>
      </w:r>
    </w:p>
    <w:p w14:paraId="75ACE452">
      <w:pPr>
        <w:spacing w:line="360" w:lineRule="auto"/>
        <w:ind w:firstLine="415" w:firstLineChars="198"/>
        <w:rPr>
          <w:rFonts w:hint="eastAsia" w:ascii="宋体" w:hAnsi="宋体" w:cs="宋体"/>
          <w:color w:val="auto"/>
          <w:szCs w:val="21"/>
          <w:highlight w:val="none"/>
        </w:rPr>
      </w:pPr>
      <w:bookmarkStart w:id="620" w:name="_Toc300934972"/>
      <w:bookmarkStart w:id="621" w:name="_Toc297216179"/>
      <w:bookmarkStart w:id="622" w:name="_Toc303539129"/>
      <w:bookmarkStart w:id="623" w:name="_Toc304295550"/>
      <w:bookmarkStart w:id="624" w:name="_Toc297123520"/>
      <w:bookmarkStart w:id="625" w:name="_Toc318581172"/>
      <w:bookmarkStart w:id="626" w:name="_Toc312678016"/>
      <w:r>
        <w:rPr>
          <w:rFonts w:hint="eastAsia" w:ascii="宋体" w:hAnsi="宋体" w:cs="宋体"/>
          <w:color w:val="auto"/>
          <w:szCs w:val="21"/>
          <w:highlight w:val="none"/>
        </w:rPr>
        <w:t>不利物质条件的其他情形和有关约定：</w:t>
      </w:r>
    </w:p>
    <w:p w14:paraId="04C00F29">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施工场地周围地下管线</w:t>
      </w:r>
      <w:r>
        <w:rPr>
          <w:rFonts w:hint="eastAsia" w:ascii="宋体" w:hAnsi="宋体" w:cs="宋体"/>
          <w:b/>
          <w:color w:val="auto"/>
          <w:szCs w:val="21"/>
          <w:highlight w:val="none"/>
        </w:rPr>
        <w:t>；</w:t>
      </w:r>
    </w:p>
    <w:p w14:paraId="571244A0">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地下障碍物和污染物</w:t>
      </w:r>
      <w:r>
        <w:rPr>
          <w:rFonts w:hint="eastAsia" w:ascii="宋体" w:hAnsi="宋体" w:cs="宋体"/>
          <w:b/>
          <w:color w:val="auto"/>
          <w:szCs w:val="21"/>
          <w:highlight w:val="none"/>
        </w:rPr>
        <w:t>；</w:t>
      </w:r>
    </w:p>
    <w:p w14:paraId="72DF98D2">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（3）</w:t>
      </w:r>
      <w:r>
        <w:rPr>
          <w:rFonts w:hint="eastAsia" w:ascii="宋体" w:hAnsi="宋体" w:cs="宋体"/>
          <w:b/>
          <w:color w:val="auto"/>
          <w:szCs w:val="21"/>
          <w:highlight w:val="none"/>
          <w:u w:val="single"/>
        </w:rPr>
        <w:t>邻近建筑物、构筑物的保护要求</w:t>
      </w:r>
      <w:r>
        <w:rPr>
          <w:rFonts w:hint="eastAsia" w:ascii="宋体" w:hAnsi="宋体" w:cs="宋体"/>
          <w:b/>
          <w:color w:val="auto"/>
          <w:szCs w:val="21"/>
          <w:highlight w:val="none"/>
        </w:rPr>
        <w:t>；</w:t>
      </w:r>
    </w:p>
    <w:p w14:paraId="06F6A34F">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u w:val="single"/>
        </w:rPr>
        <w:t xml:space="preserve">其他： / </w:t>
      </w:r>
      <w:r>
        <w:rPr>
          <w:rFonts w:hint="eastAsia" w:ascii="宋体" w:hAnsi="宋体" w:cs="宋体"/>
          <w:color w:val="auto"/>
          <w:szCs w:val="21"/>
          <w:highlight w:val="none"/>
        </w:rPr>
        <w:t>。</w:t>
      </w:r>
    </w:p>
    <w:bookmarkEnd w:id="620"/>
    <w:bookmarkEnd w:id="621"/>
    <w:bookmarkEnd w:id="622"/>
    <w:bookmarkEnd w:id="623"/>
    <w:bookmarkEnd w:id="624"/>
    <w:bookmarkEnd w:id="625"/>
    <w:bookmarkEnd w:id="626"/>
    <w:p w14:paraId="3EE3BA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627" w:name="_Toc297123521"/>
      <w:bookmarkStart w:id="628" w:name="_Toc300934973"/>
      <w:bookmarkStart w:id="629" w:name="_Toc303539130"/>
      <w:bookmarkStart w:id="630" w:name="_Toc304295551"/>
      <w:bookmarkStart w:id="631" w:name="_Toc312678017"/>
      <w:bookmarkStart w:id="632" w:name="_Toc297216180"/>
      <w:r>
        <w:rPr>
          <w:rFonts w:hint="eastAsia" w:ascii="宋体" w:hAnsi="宋体" w:cs="宋体"/>
          <w:color w:val="auto"/>
          <w:szCs w:val="21"/>
          <w:highlight w:val="none"/>
        </w:rPr>
        <w:t>.7异常恶劣的气候条件</w:t>
      </w:r>
    </w:p>
    <w:bookmarkEnd w:id="627"/>
    <w:bookmarkEnd w:id="628"/>
    <w:bookmarkEnd w:id="629"/>
    <w:bookmarkEnd w:id="630"/>
    <w:bookmarkEnd w:id="631"/>
    <w:bookmarkEnd w:id="632"/>
    <w:p w14:paraId="416E38E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3C8A6444">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日最高气温达到40 度及以上；</w:t>
      </w:r>
    </w:p>
    <w:p w14:paraId="243556D4">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启动台风橙色及以上预警；</w:t>
      </w:r>
    </w:p>
    <w:p w14:paraId="2D50B97D">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（3）</w:t>
      </w:r>
      <w:r>
        <w:rPr>
          <w:rFonts w:hint="eastAsia" w:ascii="宋体" w:hAnsi="宋体" w:cs="宋体"/>
          <w:b/>
          <w:color w:val="auto"/>
          <w:szCs w:val="21"/>
          <w:highlight w:val="none"/>
          <w:u w:val="single"/>
        </w:rPr>
        <w:t>启动防汛预案一级响应；</w:t>
      </w:r>
    </w:p>
    <w:p w14:paraId="0CE8CC47">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（4）</w:t>
      </w:r>
      <w:r>
        <w:rPr>
          <w:rFonts w:hint="eastAsia" w:ascii="宋体" w:hAnsi="宋体" w:cs="宋体"/>
          <w:b/>
          <w:color w:val="auto"/>
          <w:szCs w:val="21"/>
          <w:highlight w:val="none"/>
          <w:u w:val="single"/>
        </w:rPr>
        <w:t>启动防冻预案一级响应，</w:t>
      </w:r>
    </w:p>
    <w:p w14:paraId="59F1676E">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u w:val="single"/>
        </w:rPr>
        <w:t>其他属于承包人不能预见、不能避免并不能克服的客观情况</w:t>
      </w:r>
      <w:r>
        <w:rPr>
          <w:rFonts w:hint="eastAsia" w:ascii="宋体" w:hAnsi="宋体" w:cs="宋体"/>
          <w:color w:val="auto"/>
          <w:szCs w:val="21"/>
          <w:highlight w:val="none"/>
        </w:rPr>
        <w:t>。</w:t>
      </w:r>
    </w:p>
    <w:p w14:paraId="1D19C42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7.9 提前竣工的奖励</w:t>
      </w:r>
    </w:p>
    <w:p w14:paraId="0087A45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EB7E3E8">
      <w:pPr>
        <w:tabs>
          <w:tab w:val="left" w:pos="864"/>
        </w:tabs>
        <w:snapToGrid w:val="0"/>
        <w:spacing w:line="360" w:lineRule="auto"/>
        <w:rPr>
          <w:rFonts w:hint="eastAsia" w:ascii="宋体" w:hAnsi="宋体" w:cs="宋体"/>
          <w:color w:val="auto"/>
          <w:szCs w:val="21"/>
          <w:highlight w:val="none"/>
        </w:rPr>
      </w:pPr>
      <w:bookmarkStart w:id="633" w:name="_Toc351203640"/>
      <w:r>
        <w:rPr>
          <w:rFonts w:hint="eastAsia" w:ascii="宋体" w:hAnsi="宋体" w:cs="宋体"/>
          <w:color w:val="auto"/>
          <w:szCs w:val="21"/>
          <w:highlight w:val="none"/>
        </w:rPr>
        <w:t>8. 材料与设备</w:t>
      </w:r>
      <w:bookmarkEnd w:id="633"/>
    </w:p>
    <w:bookmarkEnd w:id="568"/>
    <w:bookmarkEnd w:id="569"/>
    <w:bookmarkEnd w:id="570"/>
    <w:bookmarkEnd w:id="571"/>
    <w:bookmarkEnd w:id="572"/>
    <w:bookmarkEnd w:id="573"/>
    <w:bookmarkEnd w:id="574"/>
    <w:bookmarkEnd w:id="575"/>
    <w:bookmarkEnd w:id="576"/>
    <w:bookmarkEnd w:id="577"/>
    <w:p w14:paraId="1FAF40B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bookmarkStart w:id="634" w:name="_Toc297123527"/>
      <w:bookmarkStart w:id="635" w:name="_Toc312678019"/>
      <w:bookmarkStart w:id="636" w:name="_Toc297048353"/>
      <w:bookmarkStart w:id="637" w:name="_Toc296346668"/>
      <w:bookmarkStart w:id="638" w:name="_Toc312677493"/>
      <w:bookmarkStart w:id="639" w:name="_Toc296890995"/>
      <w:bookmarkStart w:id="640" w:name="_Toc296503167"/>
      <w:bookmarkStart w:id="641" w:name="_Toc296944506"/>
      <w:bookmarkStart w:id="642" w:name="_Toc292559372"/>
      <w:bookmarkStart w:id="643" w:name="_Toc303539136"/>
      <w:bookmarkStart w:id="644" w:name="_Toc297120467"/>
      <w:bookmarkStart w:id="645" w:name="_Toc292559877"/>
      <w:bookmarkStart w:id="646" w:name="_Toc296891207"/>
      <w:bookmarkStart w:id="647" w:name="_Toc297216186"/>
      <w:bookmarkStart w:id="648" w:name="_Toc280868654"/>
      <w:bookmarkStart w:id="649" w:name="_Toc296347166"/>
      <w:bookmarkStart w:id="650" w:name="_Toc300934979"/>
      <w:bookmarkStart w:id="651" w:name="_Toc304295556"/>
      <w:bookmarkStart w:id="652" w:name="_Toc280868656"/>
      <w:bookmarkStart w:id="653" w:name="_Toc280868655"/>
      <w:bookmarkStart w:id="654" w:name="_Toc267251424"/>
      <w:r>
        <w:rPr>
          <w:rFonts w:hint="eastAsia" w:ascii="宋体" w:hAnsi="宋体" w:cs="宋体"/>
          <w:color w:val="auto"/>
          <w:szCs w:val="21"/>
          <w:highlight w:val="none"/>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215318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bookmarkStart w:id="655" w:name="_Toc292559373"/>
      <w:bookmarkStart w:id="656" w:name="_Toc292559878"/>
      <w:bookmarkStart w:id="657" w:name="_Toc304295557"/>
      <w:bookmarkStart w:id="658" w:name="_Toc318581173"/>
      <w:bookmarkStart w:id="659" w:name="_Toc297123528"/>
      <w:bookmarkStart w:id="660" w:name="_Toc296347167"/>
      <w:bookmarkStart w:id="661" w:name="_Toc296891208"/>
      <w:bookmarkStart w:id="662" w:name="_Toc296890996"/>
      <w:bookmarkStart w:id="663" w:name="_Toc303539137"/>
      <w:bookmarkStart w:id="664" w:name="_Toc312677494"/>
      <w:bookmarkStart w:id="665" w:name="_Toc297048354"/>
      <w:bookmarkStart w:id="666" w:name="_Toc296944507"/>
      <w:bookmarkStart w:id="667" w:name="_Toc296503168"/>
      <w:bookmarkStart w:id="668" w:name="_Toc297216187"/>
      <w:bookmarkStart w:id="669" w:name="_Toc296346669"/>
      <w:bookmarkStart w:id="670" w:name="_Toc300934980"/>
      <w:bookmarkStart w:id="671" w:name="_Toc297120468"/>
      <w:bookmarkStart w:id="672" w:name="_Toc312678020"/>
      <w:r>
        <w:rPr>
          <w:rFonts w:hint="eastAsia" w:ascii="宋体" w:hAnsi="宋体" w:cs="宋体"/>
          <w:color w:val="auto"/>
          <w:szCs w:val="21"/>
          <w:highlight w:val="none"/>
        </w:rPr>
        <w:t>.4.1发包人供应的材料设备的保管费用的承担：</w:t>
      </w:r>
      <w:r>
        <w:rPr>
          <w:rFonts w:hint="eastAsia" w:ascii="宋体" w:hAnsi="宋体" w:cs="宋体"/>
          <w:b/>
          <w:color w:val="auto"/>
          <w:szCs w:val="21"/>
          <w:highlight w:val="none"/>
          <w:u w:val="single"/>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hint="eastAsia" w:ascii="宋体" w:hAnsi="宋体" w:cs="宋体"/>
          <w:color w:val="auto"/>
          <w:szCs w:val="21"/>
          <w:highlight w:val="none"/>
        </w:rPr>
        <w:t>。</w:t>
      </w:r>
      <w:bookmarkEnd w:id="655"/>
      <w:bookmarkEnd w:id="656"/>
    </w:p>
    <w:p w14:paraId="0BD74D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8.6 样品</w:t>
      </w:r>
    </w:p>
    <w:p w14:paraId="5DC65044">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1C023631">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b/>
          <w:color w:val="auto"/>
          <w:szCs w:val="21"/>
          <w:highlight w:val="none"/>
          <w:u w:val="single"/>
        </w:rPr>
        <w:t>按发包人或监理人的书面要求提供</w:t>
      </w:r>
      <w:r>
        <w:rPr>
          <w:rFonts w:hint="eastAsia" w:ascii="宋体" w:hAnsi="宋体" w:cs="宋体"/>
          <w:color w:val="auto"/>
          <w:szCs w:val="21"/>
          <w:highlight w:val="none"/>
        </w:rPr>
        <w:t>。</w:t>
      </w:r>
    </w:p>
    <w:p w14:paraId="1BE5C8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8.8 施工设备和临时设施</w:t>
      </w:r>
    </w:p>
    <w:p w14:paraId="5947A4AA">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2C84F323">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b/>
          <w:color w:val="auto"/>
          <w:szCs w:val="21"/>
          <w:highlight w:val="none"/>
          <w:u w:val="single"/>
        </w:rPr>
        <w:t>由承包人承担。 如在施工范围外，需外借场地，由承包人自行借地，费用由承包人支付，发包人配合</w:t>
      </w:r>
      <w:r>
        <w:rPr>
          <w:rFonts w:hint="eastAsia" w:ascii="宋体" w:hAnsi="宋体" w:cs="宋体"/>
          <w:color w:val="auto"/>
          <w:szCs w:val="21"/>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03705657">
      <w:pPr>
        <w:tabs>
          <w:tab w:val="left" w:pos="864"/>
        </w:tabs>
        <w:snapToGrid w:val="0"/>
        <w:spacing w:line="360" w:lineRule="auto"/>
        <w:rPr>
          <w:rFonts w:hint="eastAsia" w:ascii="宋体" w:hAnsi="宋体" w:cs="宋体"/>
          <w:color w:val="auto"/>
          <w:szCs w:val="21"/>
          <w:highlight w:val="none"/>
        </w:rPr>
      </w:pPr>
      <w:bookmarkStart w:id="673" w:name="_Toc351203641"/>
      <w:r>
        <w:rPr>
          <w:rFonts w:hint="eastAsia" w:ascii="宋体" w:hAnsi="宋体" w:cs="宋体"/>
          <w:color w:val="auto"/>
          <w:szCs w:val="21"/>
          <w:highlight w:val="none"/>
        </w:rPr>
        <w:t>9</w:t>
      </w:r>
      <w:bookmarkEnd w:id="652"/>
      <w:bookmarkEnd w:id="653"/>
      <w:bookmarkEnd w:id="654"/>
      <w:bookmarkStart w:id="674" w:name="_Toc312678021"/>
      <w:bookmarkStart w:id="675" w:name="_Toc300934982"/>
      <w:bookmarkStart w:id="676" w:name="_Toc297123533"/>
      <w:bookmarkStart w:id="677" w:name="_Toc304295559"/>
      <w:bookmarkStart w:id="678" w:name="_Toc297216192"/>
      <w:bookmarkStart w:id="679" w:name="_Toc303539139"/>
      <w:bookmarkStart w:id="680" w:name="_Toc312677495"/>
      <w:bookmarkStart w:id="681" w:name="_Toc297048359"/>
      <w:bookmarkStart w:id="682" w:name="_Toc292559378"/>
      <w:bookmarkStart w:id="683" w:name="_Toc297120473"/>
      <w:bookmarkStart w:id="684" w:name="_Toc296891213"/>
      <w:bookmarkStart w:id="685" w:name="_Toc296944512"/>
      <w:bookmarkStart w:id="686" w:name="_Toc267251427"/>
      <w:bookmarkStart w:id="687" w:name="_Toc267251428"/>
      <w:bookmarkStart w:id="688" w:name="_Toc296891001"/>
      <w:bookmarkStart w:id="689" w:name="_Toc296346674"/>
      <w:bookmarkStart w:id="690" w:name="_Toc296503173"/>
      <w:bookmarkStart w:id="691" w:name="_Toc292559883"/>
      <w:bookmarkStart w:id="692" w:name="_Toc296347172"/>
      <w:r>
        <w:rPr>
          <w:rFonts w:hint="eastAsia" w:ascii="宋体" w:hAnsi="宋体" w:cs="宋体"/>
          <w:color w:val="auto"/>
          <w:szCs w:val="21"/>
          <w:highlight w:val="none"/>
        </w:rPr>
        <w:t>. 试验与检验</w:t>
      </w:r>
      <w:bookmarkEnd w:id="673"/>
    </w:p>
    <w:bookmarkEnd w:id="674"/>
    <w:bookmarkEnd w:id="675"/>
    <w:bookmarkEnd w:id="676"/>
    <w:bookmarkEnd w:id="677"/>
    <w:bookmarkEnd w:id="678"/>
    <w:bookmarkEnd w:id="679"/>
    <w:bookmarkEnd w:id="680"/>
    <w:p w14:paraId="07AD0C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bookmarkStart w:id="693" w:name="_Toc304295560"/>
      <w:bookmarkStart w:id="694" w:name="_Toc303539140"/>
      <w:bookmarkStart w:id="695" w:name="_Toc300934983"/>
      <w:bookmarkStart w:id="696" w:name="_Toc312678022"/>
      <w:bookmarkStart w:id="697" w:name="_Toc312677496"/>
      <w:bookmarkStart w:id="698" w:name="_Toc297216193"/>
      <w:bookmarkStart w:id="699" w:name="_Toc297123534"/>
      <w:r>
        <w:rPr>
          <w:rFonts w:hint="eastAsia" w:ascii="宋体" w:hAnsi="宋体" w:cs="宋体"/>
          <w:color w:val="auto"/>
          <w:szCs w:val="21"/>
          <w:highlight w:val="none"/>
        </w:rPr>
        <w:t>.1试验设备与试验人员</w:t>
      </w:r>
    </w:p>
    <w:bookmarkEnd w:id="693"/>
    <w:bookmarkEnd w:id="694"/>
    <w:bookmarkEnd w:id="695"/>
    <w:bookmarkEnd w:id="696"/>
    <w:bookmarkEnd w:id="697"/>
    <w:bookmarkEnd w:id="698"/>
    <w:bookmarkEnd w:id="699"/>
    <w:p w14:paraId="14B888D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bookmarkStart w:id="700" w:name="_Toc300934984"/>
      <w:bookmarkStart w:id="701" w:name="_Toc303539141"/>
      <w:bookmarkStart w:id="702" w:name="_Toc304295561"/>
      <w:bookmarkStart w:id="703" w:name="_Toc312678023"/>
      <w:bookmarkStart w:id="704" w:name="_Toc297123535"/>
      <w:bookmarkStart w:id="705" w:name="_Toc312677497"/>
      <w:bookmarkStart w:id="706" w:name="_Toc297216194"/>
      <w:bookmarkStart w:id="707" w:name="_Toc318581174"/>
      <w:r>
        <w:rPr>
          <w:rFonts w:hint="eastAsia" w:ascii="宋体" w:hAnsi="宋体" w:cs="宋体"/>
          <w:color w:val="auto"/>
          <w:szCs w:val="21"/>
          <w:highlight w:val="none"/>
        </w:rPr>
        <w:t>.1.2 试验设备</w:t>
      </w:r>
    </w:p>
    <w:p w14:paraId="0665807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00"/>
      <w:bookmarkEnd w:id="701"/>
      <w:bookmarkEnd w:id="702"/>
      <w:bookmarkEnd w:id="703"/>
      <w:bookmarkEnd w:id="704"/>
      <w:bookmarkEnd w:id="705"/>
      <w:bookmarkEnd w:id="706"/>
      <w:bookmarkStart w:id="708" w:name="_Toc297123536"/>
      <w:bookmarkStart w:id="709" w:name="_Toc297216195"/>
      <w:bookmarkStart w:id="710" w:name="_Toc312678024"/>
      <w:bookmarkStart w:id="711" w:name="_Toc300934985"/>
      <w:bookmarkStart w:id="712" w:name="_Toc304295562"/>
      <w:bookmarkStart w:id="713" w:name="_Toc303539142"/>
      <w:bookmarkStart w:id="714" w:name="_Toc312677498"/>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 xml:space="preserve">。 </w:t>
      </w:r>
    </w:p>
    <w:p w14:paraId="7EFCF93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p w14:paraId="49F28DF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p w14:paraId="793D6A3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9.4 现场工艺试验 </w:t>
      </w:r>
    </w:p>
    <w:p w14:paraId="441FA06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bookmarkEnd w:id="707"/>
    <w:bookmarkEnd w:id="708"/>
    <w:bookmarkEnd w:id="709"/>
    <w:bookmarkEnd w:id="710"/>
    <w:bookmarkEnd w:id="711"/>
    <w:bookmarkEnd w:id="712"/>
    <w:bookmarkEnd w:id="713"/>
    <w:bookmarkEnd w:id="714"/>
    <w:p w14:paraId="0C58ADA4">
      <w:pPr>
        <w:tabs>
          <w:tab w:val="left" w:pos="864"/>
        </w:tabs>
        <w:snapToGrid w:val="0"/>
        <w:spacing w:line="360" w:lineRule="auto"/>
        <w:rPr>
          <w:rFonts w:hint="eastAsia" w:ascii="宋体" w:hAnsi="宋体" w:cs="宋体"/>
          <w:color w:val="auto"/>
          <w:szCs w:val="21"/>
          <w:highlight w:val="none"/>
        </w:rPr>
      </w:pPr>
      <w:bookmarkStart w:id="715" w:name="_Toc351203642"/>
      <w:r>
        <w:rPr>
          <w:rFonts w:hint="eastAsia" w:ascii="宋体" w:hAnsi="宋体" w:cs="宋体"/>
          <w:color w:val="auto"/>
          <w:szCs w:val="21"/>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303539146"/>
      <w:bookmarkStart w:id="717" w:name="_Toc296891021"/>
      <w:bookmarkStart w:id="718" w:name="_Toc292559398"/>
      <w:bookmarkStart w:id="719" w:name="_Toc296503193"/>
      <w:bookmarkStart w:id="720" w:name="_Toc297216199"/>
      <w:bookmarkStart w:id="721" w:name="_Toc304295566"/>
      <w:bookmarkStart w:id="722" w:name="_Toc292559903"/>
      <w:bookmarkStart w:id="723" w:name="_Toc296346694"/>
      <w:bookmarkStart w:id="724" w:name="_Toc297123540"/>
      <w:bookmarkStart w:id="725" w:name="_Toc296891233"/>
      <w:bookmarkStart w:id="726" w:name="_Toc296347192"/>
      <w:bookmarkStart w:id="727" w:name="_Toc296944532"/>
      <w:bookmarkStart w:id="728" w:name="_Toc297120493"/>
      <w:bookmarkStart w:id="729" w:name="_Toc300934989"/>
      <w:bookmarkStart w:id="730" w:name="_Toc297048379"/>
      <w:bookmarkStart w:id="731" w:name="_Toc312677499"/>
      <w:bookmarkStart w:id="732" w:name="_Toc312678025"/>
      <w:bookmarkStart w:id="733" w:name="_Toc267251439"/>
      <w:bookmarkStart w:id="734" w:name="_Toc267251435"/>
      <w:bookmarkStart w:id="735" w:name="_Toc267251433"/>
      <w:bookmarkStart w:id="736" w:name="_Toc267251437"/>
      <w:bookmarkStart w:id="737" w:name="_Toc267251441"/>
      <w:bookmarkStart w:id="738" w:name="_Toc267251440"/>
      <w:bookmarkStart w:id="739" w:name="_Toc267251442"/>
      <w:r>
        <w:rPr>
          <w:rFonts w:hint="eastAsia" w:ascii="宋体" w:hAnsi="宋体" w:cs="宋体"/>
          <w:color w:val="auto"/>
          <w:szCs w:val="21"/>
          <w:highlight w:val="none"/>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410A1E7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740" w:name="_Toc296503194"/>
      <w:bookmarkStart w:id="741" w:name="_Toc296891022"/>
      <w:bookmarkStart w:id="742" w:name="_Toc296944533"/>
      <w:bookmarkStart w:id="743" w:name="_Toc312678026"/>
      <w:bookmarkStart w:id="744" w:name="_Toc297120494"/>
      <w:bookmarkStart w:id="745" w:name="_Toc297048380"/>
      <w:bookmarkStart w:id="746" w:name="_Toc300934990"/>
      <w:bookmarkStart w:id="747" w:name="_Toc296346695"/>
      <w:bookmarkStart w:id="748" w:name="_Toc297123541"/>
      <w:bookmarkStart w:id="749" w:name="_Toc296891234"/>
      <w:bookmarkStart w:id="750" w:name="_Toc312677500"/>
      <w:bookmarkStart w:id="751" w:name="_Toc297216200"/>
      <w:bookmarkStart w:id="752" w:name="_Toc292559399"/>
      <w:bookmarkStart w:id="753" w:name="_Toc303539147"/>
      <w:bookmarkStart w:id="754" w:name="_Toc292559904"/>
      <w:bookmarkStart w:id="755" w:name="_Toc304295567"/>
      <w:bookmarkStart w:id="756" w:name="_Toc296347193"/>
      <w:r>
        <w:rPr>
          <w:rFonts w:hint="eastAsia" w:ascii="宋体" w:hAnsi="宋体" w:cs="宋体"/>
          <w:color w:val="auto"/>
          <w:szCs w:val="21"/>
          <w:highlight w:val="none"/>
        </w:rPr>
        <w:t>0.1变更的范围</w:t>
      </w:r>
    </w:p>
    <w:p w14:paraId="3C402D7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51D5E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 变更估价</w:t>
      </w:r>
    </w:p>
    <w:p w14:paraId="52B2379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14:paraId="1A0C71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p>
    <w:p w14:paraId="6A666CE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（1）已标价工程量清单或预算书有相同项目的，按照相同项目单价确定。 </w:t>
      </w:r>
    </w:p>
    <w:p w14:paraId="766DC65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（2）已标价工程量清单或预算书中无相同项目，但有类似项目的，参照类似项目的单价确定。 </w:t>
      </w:r>
    </w:p>
    <w:p w14:paraId="6C5FF12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（3）已标价工程量清单或预算书中无相同项目及类似项目单价的，其单价的确定，按以下约定：套用浙江省2018版预算定额</w:t>
      </w:r>
      <w:bookmarkStart w:id="757" w:name="ed_2022Y1M25D9H51M25"/>
      <w:r>
        <w:rPr>
          <w:rFonts w:hint="eastAsia" w:ascii="宋体" w:hAnsi="宋体" w:cs="宋体"/>
          <w:b/>
          <w:color w:val="auto"/>
          <w:szCs w:val="21"/>
          <w:highlight w:val="none"/>
          <w:u w:val="single"/>
        </w:rPr>
        <w:t>和《浙江省建设工程计价规则》（2018版）或</w:t>
      </w:r>
      <w:bookmarkEnd w:id="757"/>
      <w:r>
        <w:rPr>
          <w:rFonts w:hint="eastAsia" w:ascii="宋体" w:hAnsi="宋体" w:cs="宋体"/>
          <w:b/>
          <w:color w:val="auto"/>
          <w:szCs w:val="21"/>
          <w:highlight w:val="none"/>
          <w:u w:val="single"/>
        </w:rPr>
        <w:t>现行相应专业定额，安全文明施工费、企业管理费、利润按相应类别工程费率的中限计取，规费、税金按《浙江省建设工程计价规则》（2018版）规定计取；材料价格有投标价的执行投标价，无投标价的执行合同工期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乘以（1-承包人报价浮动率L）得出结算单价，承包人报价浮动率 L=（1-中标价÷招标控制价）×100%</w:t>
      </w:r>
      <w:bookmarkStart w:id="758" w:name="ed_2022Y1M25D9H51M53"/>
      <w:r>
        <w:rPr>
          <w:rFonts w:hint="eastAsia" w:ascii="宋体" w:hAnsi="宋体" w:cs="宋体"/>
          <w:b/>
          <w:color w:val="auto"/>
          <w:szCs w:val="21"/>
          <w:highlight w:val="none"/>
          <w:u w:val="single"/>
        </w:rPr>
        <w:t>（若项目含暂列金额，中标价及招标控制价均扣除暂列金额）</w:t>
      </w:r>
      <w:bookmarkEnd w:id="758"/>
      <w:r>
        <w:rPr>
          <w:rFonts w:hint="eastAsia" w:ascii="宋体" w:hAnsi="宋体" w:cs="宋体"/>
          <w:b/>
          <w:color w:val="auto"/>
          <w:szCs w:val="21"/>
          <w:highlight w:val="none"/>
          <w:u w:val="single"/>
        </w:rPr>
        <w:t xml:space="preserve">。 </w:t>
      </w:r>
    </w:p>
    <w:p w14:paraId="37B3E38D">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按照《建设工程工程量清单计价规范》（GB50500-2013）9.6.2 条规定，增加部分的工程量的综合单价应予调低，减少后剩余部分的工程量的综合单价应予调高，可按下列公式调整: </w:t>
      </w:r>
    </w:p>
    <w:p w14:paraId="0B2D657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凡合价金额占合同总价 2%及以上的分部分项清单项目， </w:t>
      </w:r>
    </w:p>
    <w:p w14:paraId="679AB73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①当 Q1&gt;1.15Q0 时: S=1.15Q0×P0+（Q1-1.15 Q0）×P1 </w:t>
      </w:r>
    </w:p>
    <w:p w14:paraId="35736DC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②当 Q1&lt;0.85Q0 时: S=Q1×P1 </w:t>
      </w:r>
    </w:p>
    <w:p w14:paraId="284853D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凡合价金额占合同总价不到 2%的分部分项清单项目， </w:t>
      </w:r>
    </w:p>
    <w:p w14:paraId="79C587C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③当 Q1&gt;1.25Q0 时: S=1.25Q0×P0+（Q1-1.25 Q0）×P1 </w:t>
      </w:r>
    </w:p>
    <w:p w14:paraId="29F6658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④当 Q1&lt;0.75Q0 时: S=Q1×P1 </w:t>
      </w:r>
    </w:p>
    <w:p w14:paraId="6CA2120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式中 S——调整后某一分部分项工程费结算价； </w:t>
      </w:r>
    </w:p>
    <w:p w14:paraId="2099BD6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Q1——最终完成的工程量； </w:t>
      </w:r>
    </w:p>
    <w:p w14:paraId="4503066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Q0——招标工程量清单中列出的工程量； </w:t>
      </w:r>
    </w:p>
    <w:p w14:paraId="2018B6C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P0——承包人在已标价工程量清单中填报的综合单价 </w:t>
      </w:r>
    </w:p>
    <w:p w14:paraId="6F285CE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P1——按照最终完成工程量重新调整后的综合单价，按本合同第 10.4.1条（3）款 </w:t>
      </w:r>
    </w:p>
    <w:p w14:paraId="7A80489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计算结果和 P0 比较，在工程量增加时，若计算结果大于 P0 的,取 P1=P0，在工程量减少时，若计算结果小于 P0 的, 取 P1= P0。 </w:t>
      </w:r>
    </w:p>
    <w:p w14:paraId="266D46FC">
      <w:pPr>
        <w:numPr>
          <w:ilvl w:val="0"/>
          <w:numId w:val="2"/>
        </w:num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其他：</w:t>
      </w:r>
    </w:p>
    <w:p w14:paraId="4948F6B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①工程量必须按照《建设工程工程量清单计价规范》（GB50500-2013）规定的工程量计算规则计算。工程量必须以承包人完成合同工程应予计量的工程量确定。最终结算工程量应首先报监理及发包人初审。 </w:t>
      </w:r>
    </w:p>
    <w:p w14:paraId="0F2D4A5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②工程变更管理按《杭州市政府投资项目工程变更管理暂行办法》（杭财建[2013]1246 号）执行，未履行规定程序的联系单，不得纳入工程结算。 </w:t>
      </w:r>
    </w:p>
    <w:p w14:paraId="57896AC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③本合同专用条款1.1.1.10中的“施工组织设计”是指承包人在投标书中制定的相关技术、经济和施工组织的综合性文件。施工组织措施费按投标报价包干。施工技术措施费，根据实际施工发生的按实结算，原技术措施费项目清单中已有的技术措施项目，按原有技术措施费的组价方法或单价调整，按项计的技术措施费不做调整；原技术措施费项目清单中没有的项目，组价方法按照“10.4.1变更估价原则第（3）条执行。如有甩项工程，发包人将对承包人未实际投入的施工组织措施费和技术措施费按上述方法予以扣除。 </w:t>
      </w:r>
    </w:p>
    <w:p w14:paraId="4DD2549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按照“10.4.1变更估价原则第（3）条执行。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照“10.4.1变更估价原则第（3）条执行。</w:t>
      </w:r>
    </w:p>
    <w:p w14:paraId="19033DA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u w:val="single"/>
        </w:rPr>
        <w:fldChar w:fldCharType="begin"/>
      </w:r>
      <w:r>
        <w:rPr>
          <w:rFonts w:hint="eastAsia" w:ascii="宋体" w:hAnsi="宋体" w:cs="宋体"/>
          <w:b/>
          <w:bCs/>
          <w:color w:val="auto"/>
          <w:szCs w:val="21"/>
          <w:highlight w:val="none"/>
          <w:u w:val="single"/>
        </w:rPr>
        <w:instrText xml:space="preserve"> = 5 \* GB3 </w:instrText>
      </w:r>
      <w:r>
        <w:rPr>
          <w:rFonts w:hint="eastAsia" w:ascii="宋体" w:hAnsi="宋体" w:cs="宋体"/>
          <w:b/>
          <w:bCs/>
          <w:color w:val="auto"/>
          <w:szCs w:val="21"/>
          <w:highlight w:val="none"/>
          <w:u w:val="single"/>
        </w:rPr>
        <w:fldChar w:fldCharType="separate"/>
      </w:r>
      <w:r>
        <w:rPr>
          <w:rFonts w:hint="eastAsia" w:ascii="宋体" w:hAnsi="宋体" w:cs="宋体"/>
          <w:b/>
          <w:bCs/>
          <w:color w:val="auto"/>
          <w:szCs w:val="21"/>
          <w:highlight w:val="none"/>
          <w:u w:val="single"/>
        </w:rPr>
        <w:t>⑤</w:t>
      </w:r>
      <w:r>
        <w:rPr>
          <w:rFonts w:hint="eastAsia" w:ascii="宋体" w:hAnsi="宋体" w:cs="宋体"/>
          <w:b/>
          <w:bCs/>
          <w:color w:val="auto"/>
          <w:szCs w:val="21"/>
          <w:highlight w:val="none"/>
          <w:u w:val="single"/>
        </w:rPr>
        <w:fldChar w:fldCharType="end"/>
      </w:r>
      <w:r>
        <w:rPr>
          <w:rFonts w:hint="eastAsia" w:ascii="宋体" w:hAnsi="宋体" w:cs="宋体"/>
          <w:b/>
          <w:color w:val="auto"/>
          <w:szCs w:val="21"/>
          <w:highlight w:val="none"/>
          <w:u w:val="single"/>
        </w:rPr>
        <w:t xml:space="preserve">发包人与承包人在询标过程中，涉及到合同价款结算有须明确或澄清的事项包括： </w:t>
      </w:r>
    </w:p>
    <w:p w14:paraId="2C62117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待询标明确 </w:t>
      </w:r>
    </w:p>
    <w:p w14:paraId="49456A4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⑥因受疫情影响造成的损失和费用增加，按照《关于新型冠状病毒肺炎疫情后我市建</w:t>
      </w:r>
    </w:p>
    <w:p w14:paraId="070B3AC1">
      <w:pPr>
        <w:snapToGrid w:val="0"/>
        <w:spacing w:line="360" w:lineRule="auto"/>
        <w:jc w:val="left"/>
        <w:rPr>
          <w:rFonts w:hint="eastAsia" w:ascii="宋体" w:hAnsi="宋体" w:cs="宋体"/>
          <w:color w:val="auto"/>
          <w:szCs w:val="21"/>
          <w:highlight w:val="none"/>
          <w:u w:val="single"/>
        </w:rPr>
      </w:pPr>
      <w:r>
        <w:rPr>
          <w:rFonts w:hint="eastAsia" w:ascii="宋体" w:hAnsi="宋体" w:cs="宋体"/>
          <w:b/>
          <w:color w:val="auto"/>
          <w:szCs w:val="21"/>
          <w:highlight w:val="none"/>
          <w:u w:val="single"/>
        </w:rPr>
        <w:t>设工程施工合同履约及工程价款调整的指导意见》执行</w:t>
      </w:r>
      <w:r>
        <w:rPr>
          <w:rFonts w:hint="eastAsia" w:ascii="宋体" w:hAnsi="宋体" w:cs="宋体"/>
          <w:color w:val="auto"/>
          <w:szCs w:val="21"/>
          <w:highlight w:val="none"/>
        </w:rPr>
        <w:t>。</w:t>
      </w:r>
    </w:p>
    <w:p w14:paraId="54D9B57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9" w:name="_Toc300934993"/>
      <w:bookmarkStart w:id="760" w:name="_Toc296347196"/>
      <w:bookmarkStart w:id="761" w:name="_Toc292559402"/>
      <w:bookmarkStart w:id="762" w:name="_Toc296891025"/>
      <w:bookmarkStart w:id="763" w:name="_Toc297120497"/>
      <w:bookmarkStart w:id="764" w:name="_Toc297123544"/>
      <w:bookmarkStart w:id="765" w:name="_Toc296346698"/>
      <w:bookmarkStart w:id="766" w:name="_Toc296944536"/>
      <w:bookmarkStart w:id="767" w:name="_Toc303539150"/>
      <w:bookmarkStart w:id="768" w:name="_Toc292559907"/>
      <w:bookmarkStart w:id="769" w:name="_Toc297048383"/>
      <w:bookmarkStart w:id="770" w:name="_Toc297216203"/>
      <w:bookmarkStart w:id="771" w:name="_Toc296503197"/>
      <w:bookmarkStart w:id="772" w:name="_Toc296891237"/>
      <w:bookmarkStart w:id="773" w:name="_Toc312678029"/>
      <w:bookmarkStart w:id="774" w:name="_Toc304295570"/>
      <w:bookmarkStart w:id="775" w:name="_Toc312677503"/>
      <w:r>
        <w:rPr>
          <w:rFonts w:hint="eastAsia" w:ascii="宋体" w:hAnsi="宋体" w:cs="宋体"/>
          <w:color w:val="auto"/>
          <w:szCs w:val="21"/>
          <w:highlight w:val="none"/>
        </w:rPr>
        <w:t>0.5承</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Start w:id="776" w:name="_Toc296891031"/>
      <w:bookmarkStart w:id="777" w:name="_Toc296891243"/>
      <w:bookmarkStart w:id="778" w:name="_Toc296944542"/>
      <w:bookmarkStart w:id="779" w:name="_Toc297123545"/>
      <w:bookmarkStart w:id="780" w:name="_Toc297048389"/>
      <w:bookmarkStart w:id="781" w:name="_Toc297216204"/>
      <w:bookmarkStart w:id="782" w:name="_Toc292559913"/>
      <w:bookmarkStart w:id="783" w:name="_Toc300934994"/>
      <w:bookmarkStart w:id="784" w:name="_Toc296503203"/>
      <w:bookmarkStart w:id="785" w:name="_Toc303539151"/>
      <w:bookmarkStart w:id="786" w:name="_Toc296347202"/>
      <w:bookmarkStart w:id="787" w:name="_Toc297120503"/>
      <w:bookmarkStart w:id="788" w:name="_Toc296346704"/>
      <w:bookmarkStart w:id="789" w:name="_Toc292559408"/>
      <w:r>
        <w:rPr>
          <w:rFonts w:hint="eastAsia" w:ascii="宋体" w:hAnsi="宋体" w:cs="宋体"/>
          <w:color w:val="auto"/>
          <w:szCs w:val="21"/>
          <w:highlight w:val="none"/>
        </w:rPr>
        <w:t>包人的合理化建议</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3F1438C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5D3F9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020F618">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790" w:name="_Toc296346705"/>
      <w:bookmarkStart w:id="791" w:name="_Toc297123546"/>
      <w:bookmarkStart w:id="792" w:name="_Toc296891244"/>
      <w:bookmarkStart w:id="793" w:name="_Toc296944543"/>
      <w:bookmarkStart w:id="794" w:name="_Toc312678030"/>
      <w:bookmarkStart w:id="795" w:name="_Toc297048390"/>
      <w:bookmarkStart w:id="796" w:name="_Toc318581175"/>
      <w:bookmarkStart w:id="797" w:name="_Toc300934995"/>
      <w:bookmarkStart w:id="798" w:name="_Toc303539152"/>
      <w:bookmarkStart w:id="799" w:name="_Toc296347203"/>
      <w:bookmarkStart w:id="800" w:name="_Toc292559914"/>
      <w:bookmarkStart w:id="801" w:name="_Toc292559409"/>
      <w:bookmarkStart w:id="802" w:name="_Toc297120504"/>
      <w:bookmarkStart w:id="803" w:name="_Toc296891032"/>
      <w:bookmarkStart w:id="804" w:name="_Toc304295571"/>
      <w:bookmarkStart w:id="805" w:name="_Toc296503204"/>
      <w:bookmarkStart w:id="806" w:name="_Toc297216205"/>
      <w:bookmarkStart w:id="807" w:name="_Toc312677504"/>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7B8DCB2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808" w:name="_Toc296503199"/>
      <w:bookmarkStart w:id="809" w:name="_Toc296346700"/>
      <w:bookmarkStart w:id="810" w:name="_Toc312678033"/>
      <w:bookmarkStart w:id="811" w:name="_Toc297048385"/>
      <w:bookmarkStart w:id="812" w:name="_Toc312677507"/>
      <w:bookmarkStart w:id="813" w:name="_Toc303539154"/>
      <w:bookmarkStart w:id="814" w:name="_Toc292559404"/>
      <w:bookmarkStart w:id="815" w:name="_Toc304295574"/>
      <w:bookmarkStart w:id="816" w:name="_Toc296347198"/>
      <w:bookmarkStart w:id="817" w:name="_Toc296891027"/>
      <w:bookmarkStart w:id="818" w:name="_Toc296944538"/>
      <w:bookmarkStart w:id="819" w:name="_Toc300934997"/>
      <w:bookmarkStart w:id="820" w:name="_Toc297120499"/>
      <w:bookmarkStart w:id="821" w:name="_Toc297216207"/>
      <w:bookmarkStart w:id="822" w:name="_Toc296891239"/>
      <w:bookmarkStart w:id="823" w:name="_Toc292559909"/>
      <w:bookmarkStart w:id="824" w:name="_Toc297123548"/>
      <w:r>
        <w:rPr>
          <w:rFonts w:hint="eastAsia" w:ascii="宋体" w:hAnsi="宋体" w:cs="宋体"/>
          <w:color w:val="auto"/>
          <w:szCs w:val="21"/>
          <w:highlight w:val="none"/>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09B7D8F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暂</w:t>
      </w:r>
      <w:bookmarkStart w:id="825" w:name="_Toc312678034"/>
      <w:bookmarkStart w:id="826" w:name="_Toc318581176"/>
      <w:bookmarkStart w:id="827" w:name="_Toc312677508"/>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5"/>
    <w:bookmarkEnd w:id="826"/>
    <w:bookmarkEnd w:id="827"/>
    <w:p w14:paraId="6D0A18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828" w:name="_Toc318581177"/>
      <w:bookmarkStart w:id="829" w:name="_Toc312677509"/>
      <w:bookmarkStart w:id="830" w:name="_Toc312678035"/>
      <w:r>
        <w:rPr>
          <w:rFonts w:hint="eastAsia" w:ascii="宋体" w:hAnsi="宋体" w:cs="宋体"/>
          <w:color w:val="auto"/>
          <w:szCs w:val="21"/>
          <w:highlight w:val="none"/>
        </w:rPr>
        <w:t>0.7.1 依法必须招标的暂估价项目</w:t>
      </w:r>
    </w:p>
    <w:bookmarkEnd w:id="828"/>
    <w:bookmarkEnd w:id="829"/>
    <w:bookmarkEnd w:id="830"/>
    <w:p w14:paraId="374E378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14:paraId="4EB55DC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1EDC9C4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14:paraId="10640D9D">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696AED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63523F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10.8 暂列金额</w:t>
      </w:r>
    </w:p>
    <w:p w14:paraId="7FB16FED">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551FD5F3">
      <w:pPr>
        <w:tabs>
          <w:tab w:val="left" w:pos="864"/>
        </w:tabs>
        <w:snapToGrid w:val="0"/>
        <w:spacing w:line="360" w:lineRule="auto"/>
        <w:rPr>
          <w:rFonts w:hint="eastAsia" w:ascii="宋体" w:hAnsi="宋体" w:cs="宋体"/>
          <w:color w:val="auto"/>
          <w:szCs w:val="21"/>
          <w:highlight w:val="none"/>
        </w:rPr>
      </w:pPr>
      <w:bookmarkStart w:id="831" w:name="_Toc351203643"/>
      <w:r>
        <w:rPr>
          <w:rFonts w:hint="eastAsia" w:ascii="宋体" w:hAnsi="宋体" w:cs="宋体"/>
          <w:color w:val="auto"/>
          <w:szCs w:val="21"/>
          <w:highlight w:val="none"/>
        </w:rPr>
        <w:t>11. 价格调整</w:t>
      </w:r>
      <w:bookmarkEnd w:id="831"/>
    </w:p>
    <w:p w14:paraId="415FB90C">
      <w:pPr>
        <w:snapToGrid w:val="0"/>
        <w:spacing w:line="360" w:lineRule="auto"/>
        <w:ind w:firstLine="420" w:firstLineChars="200"/>
        <w:rPr>
          <w:rFonts w:hint="eastAsia" w:ascii="宋体" w:hAnsi="宋体" w:cs="宋体"/>
          <w:color w:val="auto"/>
          <w:szCs w:val="21"/>
          <w:highlight w:val="none"/>
        </w:rPr>
      </w:pPr>
      <w:bookmarkStart w:id="832" w:name="_Toc300935000"/>
      <w:bookmarkStart w:id="833" w:name="_Toc297048387"/>
      <w:bookmarkStart w:id="834" w:name="_Toc297216209"/>
      <w:bookmarkStart w:id="835" w:name="_Toc304295577"/>
      <w:bookmarkStart w:id="836" w:name="_Toc303539157"/>
      <w:bookmarkStart w:id="837" w:name="_Toc296891029"/>
      <w:bookmarkStart w:id="838" w:name="_Toc292559406"/>
      <w:bookmarkStart w:id="839" w:name="_Toc296503201"/>
      <w:bookmarkStart w:id="840" w:name="_Toc292559911"/>
      <w:bookmarkStart w:id="841" w:name="_Toc297120501"/>
      <w:bookmarkStart w:id="842" w:name="_Toc296347200"/>
      <w:bookmarkStart w:id="843" w:name="_Toc296891241"/>
      <w:bookmarkStart w:id="844" w:name="_Toc296346702"/>
      <w:bookmarkStart w:id="845" w:name="_Toc296944540"/>
      <w:bookmarkStart w:id="846" w:name="_Toc297123550"/>
      <w:bookmarkStart w:id="847" w:name="_Toc312678039"/>
      <w:r>
        <w:rPr>
          <w:rFonts w:hint="eastAsia" w:ascii="宋体" w:hAnsi="宋体" w:cs="宋体"/>
          <w:color w:val="auto"/>
          <w:szCs w:val="21"/>
          <w:highlight w:val="none"/>
        </w:rPr>
        <w:t>11.1 市场价格波动引起的调整</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14:paraId="104ADF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b/>
          <w:color w:val="auto"/>
          <w:szCs w:val="21"/>
          <w:highlight w:val="none"/>
          <w:u w:val="single"/>
        </w:rPr>
        <w:t>否</w:t>
      </w:r>
      <w:r>
        <w:rPr>
          <w:rFonts w:hint="eastAsia" w:ascii="宋体" w:hAnsi="宋体" w:cs="宋体"/>
          <w:color w:val="auto"/>
          <w:szCs w:val="21"/>
          <w:highlight w:val="none"/>
        </w:rPr>
        <w:t>。</w:t>
      </w:r>
    </w:p>
    <w:p w14:paraId="23605E5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43103B1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60B8F657">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32CF5E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5878314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606A8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1877B28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43083A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2DC3F9C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第3种方式：其他价格调整方式：</w:t>
      </w:r>
      <w:r>
        <w:rPr>
          <w:rFonts w:hint="eastAsia" w:ascii="宋体" w:hAnsi="宋体" w:cs="宋体"/>
          <w:b/>
          <w:color w:val="auto"/>
          <w:szCs w:val="21"/>
          <w:highlight w:val="none"/>
          <w:u w:val="single"/>
        </w:rPr>
        <w:t>采用政策性文件进行价格调整</w:t>
      </w:r>
      <w:r>
        <w:rPr>
          <w:rFonts w:hint="eastAsia" w:ascii="宋体" w:hAnsi="宋体" w:cs="宋体"/>
          <w:color w:val="auto"/>
          <w:szCs w:val="21"/>
          <w:highlight w:val="none"/>
        </w:rPr>
        <w:t>。</w:t>
      </w:r>
    </w:p>
    <w:bookmarkEnd w:id="733"/>
    <w:bookmarkEnd w:id="734"/>
    <w:bookmarkEnd w:id="735"/>
    <w:bookmarkEnd w:id="736"/>
    <w:bookmarkEnd w:id="737"/>
    <w:bookmarkEnd w:id="738"/>
    <w:p w14:paraId="52520914">
      <w:pPr>
        <w:spacing w:line="360" w:lineRule="auto"/>
        <w:ind w:firstLine="422" w:firstLineChars="200"/>
        <w:rPr>
          <w:rFonts w:hint="eastAsia" w:ascii="宋体" w:hAnsi="宋体" w:cs="宋体"/>
          <w:b/>
          <w:color w:val="auto"/>
          <w:szCs w:val="21"/>
          <w:highlight w:val="none"/>
        </w:rPr>
      </w:pPr>
      <w:bookmarkStart w:id="848" w:name="_Toc296891033"/>
      <w:bookmarkStart w:id="849" w:name="_Toc296346706"/>
      <w:bookmarkStart w:id="850" w:name="_Toc296347204"/>
      <w:bookmarkStart w:id="851" w:name="_Toc296891245"/>
      <w:bookmarkStart w:id="852" w:name="_Toc297048391"/>
      <w:bookmarkStart w:id="853" w:name="_Toc296503205"/>
      <w:bookmarkStart w:id="854" w:name="_Toc297120505"/>
      <w:bookmarkStart w:id="855" w:name="_Toc292559915"/>
      <w:bookmarkStart w:id="856" w:name="_Toc292559410"/>
      <w:bookmarkStart w:id="857" w:name="_Toc296944544"/>
      <w:bookmarkStart w:id="858" w:name="_Toc351203644"/>
      <w:bookmarkStart w:id="859" w:name="_Toc312678040"/>
      <w:bookmarkStart w:id="860" w:name="_Toc297123552"/>
      <w:bookmarkStart w:id="861" w:name="_Toc304295579"/>
      <w:bookmarkStart w:id="862" w:name="_Toc303539159"/>
      <w:bookmarkStart w:id="863" w:name="_Toc297216211"/>
      <w:bookmarkStart w:id="864" w:name="_Toc300935002"/>
      <w:r>
        <w:rPr>
          <w:rFonts w:hint="eastAsia" w:ascii="宋体" w:hAnsi="宋体" w:cs="宋体"/>
          <w:b/>
          <w:color w:val="auto"/>
          <w:szCs w:val="21"/>
          <w:highlight w:val="none"/>
        </w:rPr>
        <w:t>政府投资工程因市场价格波动引起的调整按</w:t>
      </w:r>
      <w:r>
        <w:rPr>
          <w:rFonts w:hint="eastAsia" w:ascii="宋体" w:hAnsi="宋体" w:cs="宋体"/>
          <w:b/>
          <w:color w:val="auto"/>
          <w:szCs w:val="21"/>
          <w:highlight w:val="none"/>
          <w:u w:val="single"/>
        </w:rPr>
        <w:t>《关于进一步加强杭州市建设工程市场要素价格动态管理的指导意见》（杭建市发〔2018〕579号）执行</w:t>
      </w:r>
      <w:r>
        <w:rPr>
          <w:rFonts w:hint="eastAsia" w:ascii="宋体" w:hAnsi="宋体" w:cs="宋体"/>
          <w:b/>
          <w:color w:val="auto"/>
          <w:szCs w:val="21"/>
          <w:highlight w:val="none"/>
        </w:rPr>
        <w:t>执行：</w:t>
      </w:r>
    </w:p>
    <w:p w14:paraId="3033308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其中：</w:t>
      </w:r>
    </w:p>
    <w:p w14:paraId="36D9E3AB">
      <w:pPr>
        <w:spacing w:line="360" w:lineRule="auto"/>
        <w:ind w:firstLine="645"/>
        <w:rPr>
          <w:rFonts w:hint="eastAsia" w:ascii="宋体" w:hAnsi="宋体" w:cs="宋体"/>
          <w:b/>
          <w:color w:val="auto"/>
          <w:szCs w:val="21"/>
          <w:highlight w:val="none"/>
        </w:rPr>
      </w:pPr>
      <w:r>
        <w:rPr>
          <w:rFonts w:hint="eastAsia" w:ascii="宋体" w:hAnsi="宋体" w:cs="宋体"/>
          <w:b/>
          <w:color w:val="auto"/>
          <w:szCs w:val="21"/>
          <w:highlight w:val="none"/>
        </w:rPr>
        <w:t>1、风险范围及幅度的约定：</w:t>
      </w:r>
    </w:p>
    <w:p w14:paraId="5FFFE02D">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（1）人工费的风险幅度（ 5 %）</w:t>
      </w:r>
    </w:p>
    <w:p w14:paraId="7647FC01">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（2）材料价格的风险幅度（ 5 %）</w:t>
      </w:r>
    </w:p>
    <w:p w14:paraId="429BB484">
      <w:pPr>
        <w:spacing w:line="360" w:lineRule="auto"/>
        <w:ind w:firstLine="645"/>
        <w:rPr>
          <w:rFonts w:hint="eastAsia" w:ascii="宋体" w:hAnsi="宋体" w:cs="宋体"/>
          <w:b/>
          <w:color w:val="auto"/>
          <w:szCs w:val="21"/>
          <w:highlight w:val="none"/>
        </w:rPr>
      </w:pPr>
      <w:r>
        <w:rPr>
          <w:rFonts w:hint="eastAsia" w:ascii="宋体" w:hAnsi="宋体" w:cs="宋体"/>
          <w:b/>
          <w:color w:val="auto"/>
          <w:szCs w:val="21"/>
          <w:highlight w:val="none"/>
        </w:rPr>
        <w:t>2、材料价款动态调整结算方式采用以下</w:t>
      </w:r>
      <w:r>
        <w:rPr>
          <w:rFonts w:hint="eastAsia" w:ascii="宋体" w:hAnsi="宋体" w:cs="宋体"/>
          <w:b/>
          <w:color w:val="auto"/>
          <w:szCs w:val="21"/>
          <w:highlight w:val="none"/>
          <w:u w:val="single"/>
        </w:rPr>
        <w:t>第（ 3 ）种方式</w:t>
      </w:r>
      <w:r>
        <w:rPr>
          <w:rFonts w:hint="eastAsia" w:ascii="宋体" w:hAnsi="宋体" w:cs="宋体"/>
          <w:b/>
          <w:color w:val="auto"/>
          <w:szCs w:val="21"/>
          <w:highlight w:val="none"/>
        </w:rPr>
        <w:t>约定：</w:t>
      </w:r>
    </w:p>
    <w:p w14:paraId="6A68F30F">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（1）按时间进度分段结算。</w:t>
      </w:r>
    </w:p>
    <w:p w14:paraId="57416EC0">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（2）按工程形象部位(目标)分段结算。</w:t>
      </w:r>
    </w:p>
    <w:p w14:paraId="04428F99">
      <w:pPr>
        <w:spacing w:line="360" w:lineRule="auto"/>
        <w:ind w:firstLine="645"/>
        <w:rPr>
          <w:rFonts w:hint="eastAsia" w:ascii="宋体" w:hAnsi="宋体" w:cs="宋体"/>
          <w:color w:val="auto"/>
          <w:szCs w:val="21"/>
          <w:highlight w:val="none"/>
        </w:rPr>
      </w:pPr>
      <w:r>
        <w:rPr>
          <w:rFonts w:hint="eastAsia" w:ascii="宋体" w:hAnsi="宋体" w:cs="宋体"/>
          <w:b/>
          <w:color w:val="auto"/>
          <w:szCs w:val="21"/>
          <w:highlight w:val="none"/>
          <w:u w:val="single"/>
        </w:rPr>
        <w:t>（3）竣工后一次性结算</w:t>
      </w:r>
      <w:r>
        <w:rPr>
          <w:rFonts w:hint="eastAsia" w:ascii="宋体" w:hAnsi="宋体" w:cs="宋体"/>
          <w:b/>
          <w:color w:val="auto"/>
          <w:szCs w:val="21"/>
          <w:highlight w:val="none"/>
        </w:rPr>
        <w:t>。</w:t>
      </w:r>
    </w:p>
    <w:p w14:paraId="088B9DE1">
      <w:pPr>
        <w:tabs>
          <w:tab w:val="left" w:pos="864"/>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12. </w:t>
      </w:r>
      <w:bookmarkEnd w:id="848"/>
      <w:bookmarkEnd w:id="849"/>
      <w:bookmarkEnd w:id="850"/>
      <w:bookmarkEnd w:id="851"/>
      <w:bookmarkEnd w:id="852"/>
      <w:bookmarkEnd w:id="853"/>
      <w:bookmarkEnd w:id="854"/>
      <w:bookmarkEnd w:id="855"/>
      <w:bookmarkEnd w:id="856"/>
      <w:bookmarkEnd w:id="857"/>
      <w:r>
        <w:rPr>
          <w:rFonts w:hint="eastAsia" w:ascii="宋体" w:hAnsi="宋体" w:cs="宋体"/>
          <w:color w:val="auto"/>
          <w:szCs w:val="21"/>
          <w:highlight w:val="none"/>
        </w:rPr>
        <w:t>合同价格、计量与支付</w:t>
      </w:r>
      <w:bookmarkEnd w:id="858"/>
    </w:p>
    <w:bookmarkEnd w:id="859"/>
    <w:bookmarkEnd w:id="860"/>
    <w:bookmarkEnd w:id="861"/>
    <w:bookmarkEnd w:id="862"/>
    <w:bookmarkEnd w:id="863"/>
    <w:bookmarkEnd w:id="864"/>
    <w:p w14:paraId="6F34642D">
      <w:pPr>
        <w:snapToGrid w:val="0"/>
        <w:spacing w:line="360" w:lineRule="auto"/>
        <w:ind w:firstLine="420" w:firstLineChars="200"/>
        <w:rPr>
          <w:rFonts w:hint="eastAsia" w:ascii="宋体" w:hAnsi="宋体" w:cs="宋体"/>
          <w:color w:val="auto"/>
          <w:szCs w:val="21"/>
          <w:highlight w:val="none"/>
        </w:rPr>
      </w:pPr>
      <w:bookmarkStart w:id="865" w:name="_Toc292559411"/>
      <w:bookmarkStart w:id="866" w:name="_Toc292559916"/>
      <w:bookmarkStart w:id="867" w:name="_Toc267251461"/>
      <w:bookmarkStart w:id="868" w:name="_Toc297120506"/>
      <w:bookmarkStart w:id="869" w:name="_Toc296503206"/>
      <w:bookmarkStart w:id="870" w:name="_Toc296891246"/>
      <w:bookmarkStart w:id="871" w:name="_Toc296346707"/>
      <w:bookmarkStart w:id="872" w:name="_Toc296944545"/>
      <w:bookmarkStart w:id="873" w:name="_Toc296891034"/>
      <w:bookmarkStart w:id="874" w:name="_Toc297048392"/>
      <w:bookmarkStart w:id="875" w:name="_Toc296347205"/>
      <w:bookmarkStart w:id="876" w:name="_Toc304295580"/>
      <w:bookmarkStart w:id="877" w:name="_Toc300935003"/>
      <w:bookmarkStart w:id="878" w:name="_Toc297216212"/>
      <w:bookmarkStart w:id="879" w:name="_Toc297123553"/>
      <w:bookmarkStart w:id="880" w:name="_Toc312678041"/>
      <w:bookmarkStart w:id="881" w:name="_Toc303539160"/>
      <w:r>
        <w:rPr>
          <w:rFonts w:hint="eastAsia" w:ascii="宋体" w:hAnsi="宋体" w:cs="宋体"/>
          <w:color w:val="auto"/>
          <w:szCs w:val="21"/>
          <w:highlight w:val="none"/>
        </w:rPr>
        <w:t>12.1 合</w:t>
      </w:r>
      <w:bookmarkEnd w:id="865"/>
      <w:bookmarkEnd w:id="866"/>
      <w:bookmarkEnd w:id="867"/>
      <w:r>
        <w:rPr>
          <w:rFonts w:hint="eastAsia" w:ascii="宋体" w:hAnsi="宋体" w:cs="宋体"/>
          <w:color w:val="auto"/>
          <w:szCs w:val="21"/>
          <w:highlight w:val="none"/>
        </w:rPr>
        <w:t>同价</w:t>
      </w:r>
      <w:bookmarkEnd w:id="868"/>
      <w:bookmarkEnd w:id="869"/>
      <w:bookmarkEnd w:id="870"/>
      <w:bookmarkEnd w:id="871"/>
      <w:bookmarkEnd w:id="872"/>
      <w:bookmarkEnd w:id="873"/>
      <w:bookmarkEnd w:id="874"/>
      <w:bookmarkEnd w:id="875"/>
      <w:r>
        <w:rPr>
          <w:rFonts w:hint="eastAsia" w:ascii="宋体" w:hAnsi="宋体" w:cs="宋体"/>
          <w:color w:val="auto"/>
          <w:szCs w:val="21"/>
          <w:highlight w:val="none"/>
        </w:rPr>
        <w:t>格形式</w:t>
      </w:r>
    </w:p>
    <w:bookmarkEnd w:id="876"/>
    <w:bookmarkEnd w:id="877"/>
    <w:bookmarkEnd w:id="878"/>
    <w:bookmarkEnd w:id="879"/>
    <w:bookmarkEnd w:id="880"/>
    <w:bookmarkEnd w:id="881"/>
    <w:p w14:paraId="47F40F5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8FCE2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p>
    <w:p w14:paraId="18886D4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 xml:space="preserve">应由承包人承担的工、料、机在投标编制期或预算书编制期与合同实施期间所发生的市场价格波动。 </w:t>
      </w:r>
    </w:p>
    <w:p w14:paraId="44D547C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其他：</w:t>
      </w:r>
    </w:p>
    <w:p w14:paraId="452FC1B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①技术规范要求的费用；</w:t>
      </w:r>
    </w:p>
    <w:p w14:paraId="5426445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②由于承包人原因造成的施工方案更改或单方更改施工方案；</w:t>
      </w:r>
    </w:p>
    <w:p w14:paraId="5B18C1C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③承包人对工程现场环境以及招标人提供的招标文件、图纸等资料做出错误的推论、理解而导致报价失误；</w:t>
      </w:r>
    </w:p>
    <w:p w14:paraId="5FCED90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④工程量清单描述不全或现行预算定额未包括或计价规范未描述到，但又是完成分项工程必须的工作内容；</w:t>
      </w:r>
    </w:p>
    <w:p w14:paraId="1D68539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⑤工程量清单数量误差引起的综合单价成本差异；</w:t>
      </w:r>
    </w:p>
    <w:p w14:paraId="465C436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⑥合同及各合同附件约定的，要求包干的项目；</w:t>
      </w:r>
    </w:p>
    <w:p w14:paraId="5C922440">
      <w:pPr>
        <w:snapToGrid w:val="0"/>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u w:val="single"/>
        </w:rPr>
        <w:t>⑦作为一个有经验的承包人应能预计的可能发生的其他费用</w:t>
      </w:r>
      <w:r>
        <w:rPr>
          <w:rFonts w:hint="eastAsia" w:ascii="宋体" w:hAnsi="宋体" w:cs="宋体"/>
          <w:color w:val="auto"/>
          <w:szCs w:val="21"/>
          <w:highlight w:val="none"/>
        </w:rPr>
        <w:t>。</w:t>
      </w:r>
    </w:p>
    <w:p w14:paraId="6D858BA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b/>
          <w:color w:val="auto"/>
          <w:szCs w:val="21"/>
          <w:highlight w:val="none"/>
          <w:u w:val="single"/>
        </w:rPr>
        <w:t>以上风险范围之内的费用投标人在投标报价时自行考虑，工程结算时均不作调整</w:t>
      </w:r>
      <w:r>
        <w:rPr>
          <w:rFonts w:hint="eastAsia" w:ascii="宋体" w:hAnsi="宋体" w:cs="宋体"/>
          <w:color w:val="auto"/>
          <w:szCs w:val="21"/>
          <w:highlight w:val="none"/>
        </w:rPr>
        <w:t>。</w:t>
      </w:r>
    </w:p>
    <w:p w14:paraId="374C89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0E496D7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市场价格波动引起的调整按本合同11.1第3种方式的约定计算</w:t>
      </w:r>
      <w:r>
        <w:rPr>
          <w:rFonts w:hint="eastAsia" w:ascii="宋体" w:hAnsi="宋体" w:cs="宋体"/>
          <w:b/>
          <w:color w:val="auto"/>
          <w:szCs w:val="21"/>
          <w:highlight w:val="none"/>
        </w:rPr>
        <w:t>。</w:t>
      </w:r>
    </w:p>
    <w:p w14:paraId="31F91EA3">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其他：①实物工程量数量按实调整；②变更估价按本合同10.4.1 的约定计算</w:t>
      </w:r>
      <w:r>
        <w:rPr>
          <w:rFonts w:hint="eastAsia" w:ascii="宋体" w:hAnsi="宋体" w:cs="宋体"/>
          <w:color w:val="auto"/>
          <w:szCs w:val="21"/>
          <w:highlight w:val="none"/>
        </w:rPr>
        <w:t>。</w:t>
      </w:r>
    </w:p>
    <w:p w14:paraId="3D1913B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0616AF7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F5673D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2A6285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B665E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1409C98">
      <w:pPr>
        <w:snapToGrid w:val="0"/>
        <w:spacing w:line="360" w:lineRule="auto"/>
        <w:ind w:firstLine="420" w:firstLineChars="200"/>
        <w:rPr>
          <w:rFonts w:hint="eastAsia" w:ascii="宋体" w:hAnsi="宋体" w:cs="宋体"/>
          <w:color w:val="auto"/>
          <w:szCs w:val="21"/>
          <w:highlight w:val="none"/>
        </w:rPr>
      </w:pPr>
      <w:bookmarkStart w:id="882" w:name="_Toc304295581"/>
      <w:bookmarkStart w:id="883" w:name="_Toc312678042"/>
      <w:bookmarkStart w:id="884" w:name="_Toc297216213"/>
      <w:bookmarkStart w:id="885" w:name="_Toc303539161"/>
      <w:bookmarkStart w:id="886" w:name="_Toc297123554"/>
      <w:bookmarkStart w:id="887" w:name="_Toc300935004"/>
      <w:bookmarkStart w:id="888" w:name="_Toc296347206"/>
      <w:bookmarkStart w:id="889" w:name="_Toc297048393"/>
      <w:bookmarkStart w:id="890" w:name="_Toc292559412"/>
      <w:bookmarkStart w:id="891" w:name="_Toc296891247"/>
      <w:bookmarkStart w:id="892" w:name="_Toc296503207"/>
      <w:bookmarkStart w:id="893" w:name="_Toc296891035"/>
      <w:bookmarkStart w:id="894" w:name="_Toc296346708"/>
      <w:bookmarkStart w:id="895" w:name="_Toc297120507"/>
      <w:bookmarkStart w:id="896" w:name="_Toc292559917"/>
      <w:bookmarkStart w:id="897" w:name="_Toc296944546"/>
      <w:r>
        <w:rPr>
          <w:rFonts w:hint="eastAsia" w:ascii="宋体" w:hAnsi="宋体" w:cs="宋体"/>
          <w:color w:val="auto"/>
          <w:szCs w:val="21"/>
          <w:highlight w:val="none"/>
        </w:rPr>
        <w:t>12.2 预付款</w:t>
      </w:r>
    </w:p>
    <w:bookmarkEnd w:id="882"/>
    <w:bookmarkEnd w:id="883"/>
    <w:bookmarkEnd w:id="884"/>
    <w:bookmarkEnd w:id="885"/>
    <w:bookmarkEnd w:id="886"/>
    <w:bookmarkEnd w:id="887"/>
    <w:p w14:paraId="26C41A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14:paraId="4C35E1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b/>
          <w:bCs/>
          <w:color w:val="auto"/>
          <w:szCs w:val="21"/>
          <w:highlight w:val="none"/>
          <w:u w:val="single"/>
        </w:rPr>
        <w:t>合同金额的50%</w:t>
      </w:r>
      <w:r>
        <w:rPr>
          <w:rFonts w:hint="eastAsia" w:ascii="宋体" w:hAnsi="宋体" w:cs="宋体"/>
          <w:color w:val="auto"/>
          <w:szCs w:val="21"/>
          <w:highlight w:val="none"/>
        </w:rPr>
        <w:t>。</w:t>
      </w:r>
    </w:p>
    <w:p w14:paraId="4A1A8E1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合同生效、具备实施条件后，承包人在5个工作日内提交银行或者保险公司出具的预付款保函，</w:t>
      </w:r>
      <w:r>
        <w:rPr>
          <w:rFonts w:hint="eastAsia" w:ascii="宋体" w:hAnsi="宋体" w:cs="宋体"/>
          <w:color w:val="auto"/>
          <w:szCs w:val="21"/>
          <w:highlight w:val="none"/>
          <w:u w:val="single"/>
          <w:lang w:val="en-US" w:eastAsia="zh-CN"/>
        </w:rPr>
        <w:t>发包人</w:t>
      </w:r>
      <w:r>
        <w:rPr>
          <w:rFonts w:hint="eastAsia" w:ascii="宋体" w:hAnsi="宋体" w:cs="宋体"/>
          <w:color w:val="auto"/>
          <w:szCs w:val="21"/>
          <w:highlight w:val="none"/>
          <w:u w:val="single"/>
        </w:rPr>
        <w:t>在5个工作日内支付合同总价的50%作为预付款(因客观原因造成</w:t>
      </w:r>
      <w:r>
        <w:rPr>
          <w:rFonts w:hint="eastAsia" w:ascii="宋体" w:hAnsi="宋体" w:cs="宋体"/>
          <w:color w:val="auto"/>
          <w:szCs w:val="21"/>
          <w:highlight w:val="none"/>
          <w:u w:val="single"/>
          <w:lang w:val="en-US" w:eastAsia="zh-CN"/>
        </w:rPr>
        <w:t>发包人</w:t>
      </w:r>
      <w:r>
        <w:rPr>
          <w:rFonts w:hint="eastAsia" w:ascii="宋体" w:hAnsi="宋体" w:cs="宋体"/>
          <w:color w:val="auto"/>
          <w:szCs w:val="21"/>
          <w:highlight w:val="none"/>
          <w:u w:val="single"/>
        </w:rPr>
        <w:t>预付款逾期支付的，不追究逾期支付违约责任，具体付款日期按实际支付时间执行)</w:t>
      </w:r>
      <w:r>
        <w:rPr>
          <w:rFonts w:hint="eastAsia" w:ascii="宋体" w:hAnsi="宋体" w:cs="宋体"/>
          <w:color w:val="auto"/>
          <w:szCs w:val="21"/>
          <w:highlight w:val="none"/>
        </w:rPr>
        <w:t>。</w:t>
      </w:r>
    </w:p>
    <w:p w14:paraId="77C8E80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b/>
          <w:bCs/>
          <w:color w:val="auto"/>
          <w:szCs w:val="21"/>
          <w:highlight w:val="none"/>
          <w:u w:val="single"/>
        </w:rPr>
        <w:t>在竣工时一并结算</w:t>
      </w:r>
      <w:r>
        <w:rPr>
          <w:rFonts w:hint="eastAsia" w:ascii="宋体" w:hAnsi="宋体" w:cs="宋体"/>
          <w:color w:val="auto"/>
          <w:szCs w:val="21"/>
          <w:highlight w:val="none"/>
        </w:rPr>
        <w:t>。</w:t>
      </w:r>
    </w:p>
    <w:p w14:paraId="717979A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12.2.2 预付款担保</w:t>
      </w:r>
    </w:p>
    <w:p w14:paraId="5C3CEF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承包人递交预付款担保的期限：</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合同生效、具备实施条件后，承包人在5个工作日内提交银行或者保险公司出具的预付款保函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28B4817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银行或者保险公司出具的预付款保函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888"/>
    <w:bookmarkEnd w:id="889"/>
    <w:bookmarkEnd w:id="890"/>
    <w:bookmarkEnd w:id="891"/>
    <w:bookmarkEnd w:id="892"/>
    <w:bookmarkEnd w:id="893"/>
    <w:bookmarkEnd w:id="894"/>
    <w:bookmarkEnd w:id="895"/>
    <w:bookmarkEnd w:id="896"/>
    <w:bookmarkEnd w:id="897"/>
    <w:p w14:paraId="2FD8543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计量</w:t>
      </w:r>
    </w:p>
    <w:p w14:paraId="192326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7493A2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工程量计算规则：</w:t>
      </w:r>
    </w:p>
    <w:p w14:paraId="5EDFD58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 xml:space="preserve"> 实行工程量清单计价的工程项目，其工程量的计算规则应按国家标准工程量计算规范及省级行业主管部门颁布的补充规定执行。</w:t>
      </w:r>
    </w:p>
    <w:p w14:paraId="4C0FFA0E">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不实行工程量清单计价的工程项目，工程量的计算规则应按省、市行业主管部门颁布的各专业工程定额的工程量计算规则执行</w:t>
      </w:r>
      <w:r>
        <w:rPr>
          <w:rFonts w:hint="eastAsia" w:ascii="宋体" w:hAnsi="宋体" w:cs="宋体"/>
          <w:color w:val="auto"/>
          <w:szCs w:val="21"/>
          <w:highlight w:val="none"/>
        </w:rPr>
        <w:t>。</w:t>
      </w:r>
    </w:p>
    <w:p w14:paraId="1BF8CCA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12.3.2 计量周期</w:t>
      </w:r>
    </w:p>
    <w:p w14:paraId="32CF9C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61B1BE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12.3.3 单价合同的计量</w:t>
      </w:r>
    </w:p>
    <w:p w14:paraId="7AED811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047F163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14:paraId="1A833BE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79EE30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578DEB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14:paraId="6904AB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323281A">
      <w:pPr>
        <w:snapToGrid w:val="0"/>
        <w:spacing w:line="360" w:lineRule="auto"/>
        <w:rPr>
          <w:rFonts w:hint="eastAsia" w:ascii="宋体" w:hAnsi="宋体" w:cs="宋体"/>
          <w:color w:val="auto"/>
          <w:szCs w:val="21"/>
          <w:highlight w:val="none"/>
        </w:rPr>
      </w:pPr>
      <w:bookmarkStart w:id="898" w:name="_Toc296346712"/>
      <w:bookmarkStart w:id="899" w:name="_Toc296347210"/>
      <w:bookmarkStart w:id="900" w:name="_Toc297123556"/>
      <w:bookmarkStart w:id="901" w:name="_Toc296891039"/>
      <w:bookmarkStart w:id="902" w:name="_Toc292559921"/>
      <w:bookmarkStart w:id="903" w:name="_Toc292559416"/>
      <w:bookmarkStart w:id="904" w:name="_Toc296944550"/>
      <w:bookmarkStart w:id="905" w:name="_Toc300935006"/>
      <w:bookmarkStart w:id="906" w:name="_Toc297048397"/>
      <w:bookmarkStart w:id="907" w:name="_Toc296503211"/>
      <w:bookmarkStart w:id="908" w:name="_Toc297120511"/>
      <w:bookmarkStart w:id="909" w:name="_Toc296891251"/>
      <w:bookmarkStart w:id="910" w:name="_Toc303539163"/>
      <w:bookmarkStart w:id="911" w:name="_Toc297216215"/>
      <w:r>
        <w:rPr>
          <w:rFonts w:hint="eastAsia" w:ascii="宋体" w:hAnsi="宋体" w:cs="宋体"/>
          <w:color w:val="auto"/>
          <w:szCs w:val="21"/>
          <w:highlight w:val="none"/>
        </w:rPr>
        <w:t>12.4 工程进度款支付</w:t>
      </w:r>
    </w:p>
    <w:p w14:paraId="26C65C7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 付款周期</w:t>
      </w:r>
    </w:p>
    <w:p w14:paraId="22D708B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12.4.1.1合同生效、具备实施条件后，成交供应商在5个工作日内提交银行或者保险公司出具的预付款保函，采购人在5个工作日内支付合同总价的50%作为预付款(因客观原因造成采购人预付款逾期支付的，不追究逾期支付违约责任，具体付款日期按实际支付时间执行)；</w:t>
      </w:r>
    </w:p>
    <w:p w14:paraId="2E7738F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12.4.1.2工程竣工验收合格、提交所有竣工资料（包括但不限于监理工程师签署的全部工程验收合格的资料、缺陷修补完成的证明材料等）、并移交接收管理部门后，支付合同金额的35%；</w:t>
      </w:r>
    </w:p>
    <w:p w14:paraId="2ED22531">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12.4.1.3待工程决算审价结束且资料归档后，发包人收到承包人质量保证金保函（质量保证金金额为审定的工程结算总价的1%）后付至经审定的工程结算总价（本工程结算造价以第三方审计单位审核为准）的100％。</w:t>
      </w:r>
    </w:p>
    <w:p w14:paraId="4EE9962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723134D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color w:val="auto"/>
          <w:szCs w:val="21"/>
          <w:highlight w:val="none"/>
          <w:u w:val="single"/>
        </w:rPr>
        <w:t>按通用合同条款约定，一式伍份</w:t>
      </w:r>
      <w:r>
        <w:rPr>
          <w:rFonts w:hint="eastAsia" w:ascii="宋体" w:hAnsi="宋体" w:cs="宋体"/>
          <w:color w:val="auto"/>
          <w:szCs w:val="21"/>
          <w:highlight w:val="none"/>
        </w:rPr>
        <w:t>。</w:t>
      </w:r>
    </w:p>
    <w:p w14:paraId="64C53FE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Fonts w:hint="eastAsia" w:ascii="宋体" w:hAnsi="宋体" w:cs="宋体"/>
          <w:color w:val="auto"/>
          <w:szCs w:val="21"/>
          <w:highlight w:val="none"/>
        </w:rPr>
        <w:t>2.4.3 进度付款申请单的递交</w:t>
      </w:r>
    </w:p>
    <w:p w14:paraId="7E31371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（1）单价合同进度付款申请单递交的约定：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411B53B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（2）总价合同进度付款申请单递交的约定：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067256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（3）其他价格形式合同进度付款申请单递交的约定：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012309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14:paraId="74DFD538">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color w:val="auto"/>
          <w:szCs w:val="21"/>
          <w:highlight w:val="none"/>
          <w:u w:val="single"/>
        </w:rPr>
        <w:t>监理人应在收到承包人进度付款申请单以及相关资料后7天内完成审查并报送发包人</w:t>
      </w:r>
      <w:r>
        <w:rPr>
          <w:rFonts w:hint="eastAsia" w:ascii="宋体" w:hAnsi="宋体" w:cs="宋体"/>
          <w:color w:val="auto"/>
          <w:szCs w:val="21"/>
          <w:highlight w:val="none"/>
        </w:rPr>
        <w:t>。</w:t>
      </w:r>
    </w:p>
    <w:p w14:paraId="4A03AB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color w:val="auto"/>
          <w:szCs w:val="21"/>
          <w:highlight w:val="none"/>
          <w:u w:val="single"/>
        </w:rPr>
        <w:t>发包人应在收到后20天内完成审批并签发进度款支付证书</w:t>
      </w:r>
      <w:r>
        <w:rPr>
          <w:rFonts w:hint="eastAsia" w:ascii="宋体" w:hAnsi="宋体" w:cs="宋体"/>
          <w:color w:val="auto"/>
          <w:szCs w:val="21"/>
          <w:highlight w:val="none"/>
        </w:rPr>
        <w:t>。</w:t>
      </w:r>
    </w:p>
    <w:p w14:paraId="09D8EA6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1A57BB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2488C0FA">
      <w:pPr>
        <w:snapToGrid w:val="0"/>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14:paraId="2D5FFCF4">
      <w:pPr>
        <w:snapToGrid w:val="0"/>
        <w:spacing w:line="360" w:lineRule="auto"/>
        <w:ind w:left="4259" w:leftChars="228" w:hanging="3780" w:hangingChars="1800"/>
        <w:jc w:val="left"/>
        <w:rPr>
          <w:rFonts w:hint="eastAsia"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677F71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739"/>
    <w:p w14:paraId="534E9D52">
      <w:pPr>
        <w:tabs>
          <w:tab w:val="left" w:pos="864"/>
        </w:tabs>
        <w:snapToGrid w:val="0"/>
        <w:spacing w:line="360" w:lineRule="auto"/>
        <w:rPr>
          <w:rFonts w:hint="eastAsia" w:ascii="宋体" w:hAnsi="宋体" w:cs="宋体"/>
          <w:color w:val="auto"/>
          <w:szCs w:val="21"/>
          <w:highlight w:val="none"/>
        </w:rPr>
      </w:pPr>
      <w:bookmarkStart w:id="912" w:name="_Toc351203645"/>
      <w:bookmarkStart w:id="913" w:name="_Toc297123564"/>
      <w:bookmarkStart w:id="914" w:name="_Toc296347218"/>
      <w:bookmarkStart w:id="915" w:name="_Toc296891047"/>
      <w:bookmarkStart w:id="916" w:name="_Toc292559929"/>
      <w:bookmarkStart w:id="917" w:name="_Toc300935015"/>
      <w:bookmarkStart w:id="918" w:name="_Toc312678053"/>
      <w:bookmarkStart w:id="919" w:name="_Toc297120519"/>
      <w:bookmarkStart w:id="920" w:name="_Toc297216223"/>
      <w:bookmarkStart w:id="921" w:name="_Toc304295593"/>
      <w:bookmarkStart w:id="922" w:name="_Toc297048405"/>
      <w:bookmarkStart w:id="923" w:name="_Toc303539172"/>
      <w:bookmarkStart w:id="924" w:name="_Toc296891259"/>
      <w:bookmarkStart w:id="925" w:name="_Toc296346720"/>
      <w:bookmarkStart w:id="926" w:name="_Toc292559424"/>
      <w:bookmarkStart w:id="927" w:name="_Toc296503219"/>
      <w:bookmarkStart w:id="928" w:name="_Toc296944558"/>
      <w:r>
        <w:rPr>
          <w:rFonts w:hint="eastAsia" w:ascii="宋体" w:hAnsi="宋体" w:cs="宋体"/>
          <w:color w:val="auto"/>
          <w:szCs w:val="21"/>
          <w:highlight w:val="none"/>
        </w:rPr>
        <w:t>13. 验收和工程试车</w:t>
      </w:r>
      <w:bookmarkEnd w:id="912"/>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14:paraId="09F631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分部分项工程验收</w:t>
      </w:r>
    </w:p>
    <w:p w14:paraId="44D8A5A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小时递交书面延期要求。</w:t>
      </w:r>
    </w:p>
    <w:p w14:paraId="4656C111">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09399022">
      <w:pPr>
        <w:snapToGrid w:val="0"/>
        <w:spacing w:line="360" w:lineRule="auto"/>
        <w:ind w:firstLine="420" w:firstLineChars="200"/>
        <w:rPr>
          <w:rFonts w:hint="eastAsia" w:ascii="宋体" w:hAnsi="宋体" w:cs="宋体"/>
          <w:color w:val="auto"/>
          <w:szCs w:val="21"/>
          <w:highlight w:val="none"/>
        </w:rPr>
      </w:pPr>
      <w:bookmarkStart w:id="929" w:name="_Toc297120523"/>
      <w:bookmarkStart w:id="930" w:name="_Toc300935016"/>
      <w:bookmarkStart w:id="931" w:name="_Toc297048409"/>
      <w:bookmarkStart w:id="932" w:name="_Toc296347222"/>
      <w:bookmarkStart w:id="933" w:name="_Toc296503223"/>
      <w:bookmarkStart w:id="934" w:name="_Toc297123565"/>
      <w:bookmarkStart w:id="935" w:name="_Toc296891051"/>
      <w:bookmarkStart w:id="936" w:name="_Toc296346724"/>
      <w:bookmarkStart w:id="937" w:name="_Toc297216224"/>
      <w:bookmarkStart w:id="938" w:name="_Toc292559933"/>
      <w:bookmarkStart w:id="939" w:name="_Toc312678056"/>
      <w:bookmarkStart w:id="940" w:name="_Toc303539173"/>
      <w:bookmarkStart w:id="941" w:name="_Toc304295596"/>
      <w:bookmarkStart w:id="942" w:name="_Toc292559428"/>
      <w:bookmarkStart w:id="943" w:name="_Toc296891263"/>
      <w:bookmarkStart w:id="944" w:name="_Toc296944562"/>
      <w:bookmarkStart w:id="945" w:name="_Toc267251471"/>
      <w:bookmarkStart w:id="946" w:name="_Toc267251474"/>
      <w:bookmarkStart w:id="947" w:name="_Toc267251476"/>
      <w:bookmarkStart w:id="948" w:name="_Toc267251470"/>
      <w:bookmarkStart w:id="949" w:name="_Toc267251475"/>
      <w:bookmarkStart w:id="950" w:name="_Toc267251473"/>
      <w:bookmarkStart w:id="951" w:name="_Toc267251472"/>
      <w:r>
        <w:rPr>
          <w:rFonts w:hint="eastAsia" w:ascii="宋体" w:hAnsi="宋体" w:cs="宋体"/>
          <w:color w:val="auto"/>
          <w:szCs w:val="21"/>
          <w:highlight w:val="none"/>
        </w:rPr>
        <w:t>13.2 竣工验收</w:t>
      </w:r>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005B0B7F">
      <w:pPr>
        <w:snapToGrid w:val="0"/>
        <w:spacing w:line="360" w:lineRule="auto"/>
        <w:ind w:firstLine="420" w:firstLineChars="200"/>
        <w:jc w:val="left"/>
        <w:rPr>
          <w:rFonts w:hint="eastAsia" w:ascii="宋体" w:hAnsi="宋体" w:cs="宋体"/>
          <w:color w:val="auto"/>
          <w:szCs w:val="21"/>
          <w:highlight w:val="none"/>
        </w:rPr>
      </w:pPr>
      <w:bookmarkStart w:id="952" w:name="_Toc280868704"/>
      <w:bookmarkStart w:id="953" w:name="_Toc280868705"/>
      <w:bookmarkStart w:id="954" w:name="_Toc280868706"/>
      <w:bookmarkStart w:id="955" w:name="_Toc280868707"/>
      <w:bookmarkStart w:id="956" w:name="_Toc280868708"/>
      <w:bookmarkStart w:id="957" w:name="_Toc280868709"/>
      <w:r>
        <w:rPr>
          <w:rFonts w:hint="eastAsia" w:ascii="宋体" w:hAnsi="宋体" w:cs="宋体"/>
          <w:color w:val="auto"/>
          <w:szCs w:val="21"/>
          <w:highlight w:val="none"/>
        </w:rPr>
        <w:t>13.2.2竣工验收程序</w:t>
      </w:r>
    </w:p>
    <w:bookmarkEnd w:id="952"/>
    <w:p w14:paraId="3FD4C1E1">
      <w:pPr>
        <w:snapToGrid w:val="0"/>
        <w:spacing w:line="360" w:lineRule="auto"/>
        <w:ind w:left="4259" w:leftChars="228" w:hanging="3780" w:hangingChars="1800"/>
        <w:jc w:val="left"/>
        <w:rPr>
          <w:rFonts w:hint="eastAsia"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01EBE2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953"/>
    <w:p w14:paraId="167228E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4"/>
    <w:p w14:paraId="3498D381">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5F6D9AC">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955"/>
    <w:p w14:paraId="4A09853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b/>
          <w:color w:val="auto"/>
          <w:szCs w:val="21"/>
          <w:highlight w:val="none"/>
          <w:u w:val="single"/>
        </w:rPr>
        <w:t>按工期延误承担违约责任</w:t>
      </w:r>
      <w:r>
        <w:rPr>
          <w:rFonts w:hint="eastAsia" w:ascii="宋体" w:hAnsi="宋体" w:cs="宋体"/>
          <w:color w:val="auto"/>
          <w:szCs w:val="21"/>
          <w:highlight w:val="none"/>
        </w:rPr>
        <w:t>。</w:t>
      </w:r>
    </w:p>
    <w:p w14:paraId="6A48276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工程试车</w:t>
      </w:r>
    </w:p>
    <w:bookmarkEnd w:id="956"/>
    <w:p w14:paraId="6D1CA2D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7EA0C934">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953D6AF">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205FEF1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1B63EE0B">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63AFE7A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E579CD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 竣工退场</w:t>
      </w:r>
    </w:p>
    <w:p w14:paraId="3229629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78B70274">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b/>
          <w:bCs/>
          <w:color w:val="auto"/>
          <w:szCs w:val="21"/>
          <w:highlight w:val="none"/>
          <w:u w:val="single"/>
        </w:rPr>
        <w:t>工程移交完成后14天内</w:t>
      </w:r>
      <w:r>
        <w:rPr>
          <w:rFonts w:hint="eastAsia" w:ascii="宋体" w:hAnsi="宋体" w:cs="宋体"/>
          <w:color w:val="auto"/>
          <w:kern w:val="0"/>
          <w:szCs w:val="21"/>
          <w:highlight w:val="none"/>
        </w:rPr>
        <w:t>。</w:t>
      </w:r>
    </w:p>
    <w:p w14:paraId="1FE61BAC">
      <w:pPr>
        <w:tabs>
          <w:tab w:val="left" w:pos="864"/>
        </w:tabs>
        <w:snapToGrid w:val="0"/>
        <w:spacing w:line="360" w:lineRule="auto"/>
        <w:rPr>
          <w:rFonts w:hint="eastAsia" w:ascii="宋体" w:hAnsi="宋体" w:cs="宋体"/>
          <w:color w:val="auto"/>
          <w:szCs w:val="21"/>
          <w:highlight w:val="none"/>
        </w:rPr>
      </w:pPr>
      <w:bookmarkStart w:id="958" w:name="_Toc351203646"/>
      <w:r>
        <w:rPr>
          <w:rFonts w:hint="eastAsia" w:ascii="宋体" w:hAnsi="宋体" w:cs="宋体"/>
          <w:color w:val="auto"/>
          <w:szCs w:val="21"/>
          <w:highlight w:val="none"/>
        </w:rPr>
        <w:t>14. 竣工结算</w:t>
      </w:r>
      <w:bookmarkEnd w:id="958"/>
    </w:p>
    <w:p w14:paraId="59C04EF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竣工结算申请</w:t>
      </w:r>
    </w:p>
    <w:p w14:paraId="41A1CC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承包人递交竣工结算申请单的期限：</w:t>
      </w:r>
      <w:r>
        <w:rPr>
          <w:rFonts w:hint="eastAsia" w:ascii="宋体" w:hAnsi="宋体" w:cs="宋体"/>
          <w:b/>
          <w:color w:val="auto"/>
          <w:szCs w:val="21"/>
          <w:highlight w:val="none"/>
          <w:u w:val="single"/>
        </w:rPr>
        <w:t>工程竣工验收报告经发包人认可后的28日内</w:t>
      </w:r>
      <w:r>
        <w:rPr>
          <w:rFonts w:hint="eastAsia" w:ascii="宋体" w:hAnsi="宋体" w:cs="宋体"/>
          <w:color w:val="auto"/>
          <w:szCs w:val="21"/>
          <w:highlight w:val="none"/>
        </w:rPr>
        <w:t>。</w:t>
      </w:r>
    </w:p>
    <w:p w14:paraId="77368B4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b/>
          <w:color w:val="auto"/>
          <w:szCs w:val="21"/>
          <w:highlight w:val="none"/>
          <w:u w:val="single"/>
        </w:rPr>
        <w:t>完整的竣工结算书文件及相关资料</w:t>
      </w:r>
      <w:r>
        <w:rPr>
          <w:rFonts w:hint="eastAsia" w:ascii="宋体" w:hAnsi="宋体" w:cs="宋体"/>
          <w:color w:val="auto"/>
          <w:szCs w:val="21"/>
          <w:highlight w:val="none"/>
        </w:rPr>
        <w:t>。</w:t>
      </w:r>
    </w:p>
    <w:p w14:paraId="0289E8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竣工结算审核</w:t>
      </w:r>
    </w:p>
    <w:p w14:paraId="7FAE270D">
      <w:pPr>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发包人审批竣工付款申请单的期限：</w:t>
      </w:r>
      <w:r>
        <w:rPr>
          <w:rFonts w:hint="eastAsia" w:ascii="宋体" w:hAnsi="宋体" w:cs="宋体"/>
          <w:b/>
          <w:color w:val="auto"/>
          <w:szCs w:val="21"/>
          <w:highlight w:val="none"/>
          <w:u w:val="single"/>
        </w:rPr>
        <w:t xml:space="preserve">竣工结算书文件核对期限是（承包人未按照前述14.1 中约定的时限内递交完整的竣工结算书文件及相关资料的，以下关于核对期限的约定将不对 发包人产生效力）： </w:t>
      </w:r>
    </w:p>
    <w:p w14:paraId="571D114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将初审过的工程结算资料7天内递交审计，审计自接到经完整、有效的竣工结算资料之日起，2个月内出具竣工结算审计报告。</w:t>
      </w:r>
    </w:p>
    <w:p w14:paraId="112C2BB5">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承包人同意发包人指定的具有合格资质的造价咨询单位或跟踪审计单位进行审计并认可其审计结论，并根据《浙江省建设工程造价咨询服务项目及收费指引》 (浙建价协[2021]13号)有关规定，追加审核费用由承包人承担，具体为：核减追加审核费=（核减额-送审造价*5%）*5% ，核增追加审核费=核增额*5%。承包人需在盖审定表或咨询单位出具审计报告的同时向咨询单位付清审计费用，否则发包人有权从承包人工程进度款中代扣支付预算、结算审计费用。</w:t>
      </w:r>
    </w:p>
    <w:p w14:paraId="6695759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b/>
          <w:color w:val="auto"/>
          <w:szCs w:val="21"/>
          <w:highlight w:val="none"/>
          <w:u w:val="single"/>
        </w:rPr>
        <w:t>签发竣工付款证书后的14天内</w:t>
      </w:r>
      <w:r>
        <w:rPr>
          <w:rFonts w:hint="eastAsia" w:ascii="宋体" w:hAnsi="宋体" w:cs="宋体"/>
          <w:color w:val="auto"/>
          <w:szCs w:val="21"/>
          <w:highlight w:val="none"/>
        </w:rPr>
        <w:t>。</w:t>
      </w:r>
    </w:p>
    <w:p w14:paraId="0ECD6D4A">
      <w:pPr>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b/>
          <w:color w:val="auto"/>
          <w:szCs w:val="21"/>
          <w:highlight w:val="none"/>
          <w:u w:val="single"/>
        </w:rPr>
        <w:t>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w:t>
      </w:r>
    </w:p>
    <w:p w14:paraId="79E6694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2、承包人在接到发包人提出的核对意见后，在 28 日内按发包人提出的合理要求补充资料、修改竣工结算文件，并再次递交发包人复核后批准。承包人在 28 日内不确认也未提出异议的，视为发包人提出的核对意见已经认可。 </w:t>
      </w:r>
    </w:p>
    <w:p w14:paraId="1761A7E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3、发包人收到承包人再次递交的补充资料和修改的竣工结算文件后，在 14 日内予以复核，修正核对意见，并通知承包人。 </w:t>
      </w:r>
    </w:p>
    <w:p w14:paraId="1872298C">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4、发、承包人均对修正核对意见无异议的，应于 7 日内在竣工结算核对意见上签字确认</w:t>
      </w:r>
      <w:r>
        <w:rPr>
          <w:rFonts w:hint="eastAsia" w:ascii="宋体" w:hAnsi="宋体" w:cs="宋体"/>
          <w:color w:val="auto"/>
          <w:szCs w:val="21"/>
          <w:highlight w:val="none"/>
        </w:rPr>
        <w:t>。</w:t>
      </w:r>
    </w:p>
    <w:p w14:paraId="6EB0AC4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 最终结清</w:t>
      </w:r>
    </w:p>
    <w:p w14:paraId="0ACE50DA">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28007711">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承包人递交最终结清申请单的份数：</w:t>
      </w:r>
      <w:r>
        <w:rPr>
          <w:rFonts w:hint="eastAsia" w:ascii="宋体" w:hAnsi="宋体" w:cs="宋体"/>
          <w:b/>
          <w:color w:val="auto"/>
          <w:szCs w:val="21"/>
          <w:highlight w:val="none"/>
          <w:u w:val="single"/>
        </w:rPr>
        <w:t>承包人应在质量保修期终止证书颁发后7天内，向发包人递交一式伍份的最终结清申请单，并提供相关证明材料。最终结清申请单应列明质量保证金、应扣除的质量保证金、质量保修期内发生的增减费用</w:t>
      </w:r>
      <w:r>
        <w:rPr>
          <w:rFonts w:hint="eastAsia" w:ascii="宋体" w:hAnsi="宋体" w:cs="宋体"/>
          <w:color w:val="auto"/>
          <w:szCs w:val="21"/>
          <w:highlight w:val="none"/>
        </w:rPr>
        <w:t>。</w:t>
      </w:r>
    </w:p>
    <w:p w14:paraId="34E47FA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承包人递交最终结算申请单的期限：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 xml:space="preserve">。 </w:t>
      </w:r>
    </w:p>
    <w:p w14:paraId="3D02C1A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14:paraId="2DCCDBA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b/>
          <w:color w:val="auto"/>
          <w:szCs w:val="21"/>
          <w:highlight w:val="none"/>
          <w:u w:val="single"/>
        </w:rPr>
        <w:t>发包人应在收到承包人递交的最终结清申请单后30天内完成审批并向承包人颁发最终结清证书。发包人逾期未完成审批，又未提出修改意见的，承包人应向发包人发出书面催告，在收到承包人书面催告后7天内发包人仍未回复的，视为发包人同意承包人递交的最终结清申请单</w:t>
      </w:r>
      <w:r>
        <w:rPr>
          <w:rFonts w:hint="eastAsia" w:ascii="宋体" w:hAnsi="宋体" w:cs="宋体"/>
          <w:color w:val="auto"/>
          <w:szCs w:val="21"/>
          <w:highlight w:val="none"/>
        </w:rPr>
        <w:t>。</w:t>
      </w:r>
    </w:p>
    <w:p w14:paraId="271416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b/>
          <w:color w:val="auto"/>
          <w:szCs w:val="21"/>
          <w:highlight w:val="none"/>
          <w:u w:val="single"/>
        </w:rPr>
        <w:t>发包人应在颁发最终结清证书后30天内完成支付</w:t>
      </w:r>
      <w:r>
        <w:rPr>
          <w:rFonts w:hint="eastAsia" w:ascii="宋体" w:hAnsi="宋体" w:cs="宋体"/>
          <w:color w:val="auto"/>
          <w:szCs w:val="21"/>
          <w:highlight w:val="none"/>
        </w:rPr>
        <w:t>。</w:t>
      </w:r>
    </w:p>
    <w:bookmarkEnd w:id="945"/>
    <w:bookmarkEnd w:id="946"/>
    <w:bookmarkEnd w:id="947"/>
    <w:bookmarkEnd w:id="948"/>
    <w:bookmarkEnd w:id="949"/>
    <w:bookmarkEnd w:id="950"/>
    <w:bookmarkEnd w:id="951"/>
    <w:bookmarkEnd w:id="957"/>
    <w:p w14:paraId="48ADFFC3">
      <w:pPr>
        <w:tabs>
          <w:tab w:val="left" w:pos="864"/>
        </w:tabs>
        <w:snapToGrid w:val="0"/>
        <w:spacing w:line="360" w:lineRule="auto"/>
        <w:rPr>
          <w:rFonts w:hint="eastAsia" w:ascii="宋体" w:hAnsi="宋体" w:cs="宋体"/>
          <w:color w:val="auto"/>
          <w:szCs w:val="21"/>
          <w:highlight w:val="none"/>
        </w:rPr>
      </w:pPr>
      <w:bookmarkStart w:id="959" w:name="_Toc351203647"/>
      <w:bookmarkStart w:id="960" w:name="_Toc267251483"/>
      <w:bookmarkStart w:id="961" w:name="_Toc267251484"/>
      <w:bookmarkStart w:id="962" w:name="_Toc267251482"/>
      <w:bookmarkStart w:id="963" w:name="_Toc267251485"/>
      <w:bookmarkStart w:id="964" w:name="_Toc267251489"/>
      <w:bookmarkStart w:id="965" w:name="_Toc267251488"/>
      <w:bookmarkStart w:id="966" w:name="_Toc267251490"/>
      <w:bookmarkStart w:id="967" w:name="_Toc267251486"/>
      <w:bookmarkStart w:id="968" w:name="_Toc267251495"/>
      <w:bookmarkStart w:id="969" w:name="_Toc267251492"/>
      <w:bookmarkStart w:id="970" w:name="_Toc267251503"/>
      <w:bookmarkStart w:id="971" w:name="_Toc267251502"/>
      <w:bookmarkStart w:id="972" w:name="_Toc267251498"/>
      <w:bookmarkStart w:id="973" w:name="_Toc267251493"/>
      <w:bookmarkStart w:id="974" w:name="_Toc267251501"/>
      <w:bookmarkStart w:id="975" w:name="_Toc267251499"/>
      <w:bookmarkStart w:id="976" w:name="_Toc267251496"/>
      <w:bookmarkStart w:id="977" w:name="_Toc267251491"/>
      <w:bookmarkStart w:id="978" w:name="_Toc267251497"/>
      <w:bookmarkStart w:id="979" w:name="_Toc267251494"/>
      <w:bookmarkStart w:id="980" w:name="_Toc267251504"/>
      <w:bookmarkStart w:id="981" w:name="_Toc267251506"/>
      <w:bookmarkStart w:id="982" w:name="_Toc267251507"/>
      <w:bookmarkStart w:id="983" w:name="_Toc267251508"/>
      <w:bookmarkStart w:id="984" w:name="_Toc267251510"/>
      <w:bookmarkStart w:id="985" w:name="_Toc267251511"/>
      <w:bookmarkStart w:id="986" w:name="_Toc267251515"/>
      <w:bookmarkStart w:id="987" w:name="_Toc267251513"/>
      <w:bookmarkStart w:id="988" w:name="_Toc267251509"/>
      <w:bookmarkStart w:id="989" w:name="_Toc267251514"/>
      <w:r>
        <w:rPr>
          <w:rFonts w:hint="eastAsia" w:ascii="宋体" w:hAnsi="宋体" w:cs="宋体"/>
          <w:color w:val="auto"/>
          <w:szCs w:val="21"/>
          <w:highlight w:val="none"/>
        </w:rPr>
        <w:t>15. 缺陷责任期与保修</w:t>
      </w:r>
      <w:bookmarkEnd w:id="959"/>
    </w:p>
    <w:p w14:paraId="5639A85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15.2缺陷责任期</w:t>
      </w:r>
      <w:bookmarkEnd w:id="960"/>
    </w:p>
    <w:p w14:paraId="7CFBFCE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b/>
          <w:color w:val="auto"/>
          <w:szCs w:val="21"/>
          <w:highlight w:val="none"/>
          <w:u w:val="single"/>
        </w:rPr>
        <w:t>24个月</w:t>
      </w:r>
      <w:r>
        <w:rPr>
          <w:rFonts w:hint="eastAsia" w:ascii="宋体" w:hAnsi="宋体" w:cs="宋体"/>
          <w:color w:val="auto"/>
          <w:szCs w:val="21"/>
          <w:highlight w:val="none"/>
        </w:rPr>
        <w:t>。</w:t>
      </w:r>
    </w:p>
    <w:p w14:paraId="6A2207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质量保证金</w:t>
      </w:r>
    </w:p>
    <w:p w14:paraId="3697F3F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b/>
          <w:bCs/>
          <w:color w:val="auto"/>
          <w:szCs w:val="21"/>
          <w:highlight w:val="none"/>
          <w:u w:val="single"/>
        </w:rPr>
        <w:t>扣留</w:t>
      </w:r>
      <w:r>
        <w:rPr>
          <w:rFonts w:hint="eastAsia" w:ascii="宋体" w:hAnsi="宋体" w:cs="宋体"/>
          <w:color w:val="auto"/>
          <w:szCs w:val="21"/>
          <w:highlight w:val="none"/>
        </w:rPr>
        <w:t>。工程结算审计完成后扣留。</w:t>
      </w:r>
    </w:p>
    <w:p w14:paraId="7E77C3F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53A4D3A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7557DB05">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b/>
          <w:bCs/>
          <w:color w:val="auto"/>
          <w:szCs w:val="21"/>
          <w:highlight w:val="none"/>
          <w:u w:val="single"/>
        </w:rPr>
        <w:t>工程竣工结算审定价</w:t>
      </w:r>
      <w:r>
        <w:rPr>
          <w:rFonts w:hint="eastAsia" w:ascii="宋体" w:hAnsi="宋体" w:cs="宋体"/>
          <w:color w:val="auto"/>
          <w:kern w:val="0"/>
          <w:szCs w:val="21"/>
          <w:highlight w:val="none"/>
          <w:u w:val="single"/>
        </w:rPr>
        <w:t>的1%</w:t>
      </w:r>
      <w:r>
        <w:rPr>
          <w:rFonts w:hint="eastAsia" w:ascii="宋体" w:hAnsi="宋体" w:cs="宋体"/>
          <w:color w:val="auto"/>
          <w:kern w:val="0"/>
          <w:szCs w:val="21"/>
          <w:highlight w:val="none"/>
        </w:rPr>
        <w:t>；</w:t>
      </w:r>
    </w:p>
    <w:p w14:paraId="467A419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
          <w:bCs/>
          <w:color w:val="auto"/>
          <w:kern w:val="0"/>
          <w:szCs w:val="21"/>
          <w:highlight w:val="none"/>
          <w:u w:val="single"/>
        </w:rPr>
        <w:t>1</w:t>
      </w:r>
      <w:r>
        <w:rPr>
          <w:rFonts w:hint="eastAsia" w:ascii="宋体" w:hAnsi="宋体" w:cs="宋体"/>
          <w:color w:val="auto"/>
          <w:kern w:val="0"/>
          <w:szCs w:val="21"/>
          <w:highlight w:val="none"/>
        </w:rPr>
        <w:t>%的工程款；</w:t>
      </w:r>
    </w:p>
    <w:p w14:paraId="5B33BBA3">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6AB23E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530F9A6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2 </w:t>
      </w:r>
      <w:r>
        <w:rPr>
          <w:rFonts w:hint="eastAsia" w:ascii="宋体" w:hAnsi="宋体" w:cs="宋体"/>
          <w:color w:val="auto"/>
          <w:szCs w:val="21"/>
          <w:highlight w:val="none"/>
        </w:rPr>
        <w:t>种方式：</w:t>
      </w:r>
    </w:p>
    <w:p w14:paraId="18A33DB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4984006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（2）工程竣工结算时，承包人一次性缴纳质量保证金；</w:t>
      </w:r>
    </w:p>
    <w:p w14:paraId="680F7415">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履约保证金转为质量保证金</w:t>
      </w:r>
      <w:r>
        <w:rPr>
          <w:rFonts w:hint="eastAsia" w:ascii="宋体" w:hAnsi="宋体" w:cs="宋体"/>
          <w:color w:val="auto"/>
          <w:kern w:val="0"/>
          <w:szCs w:val="21"/>
          <w:highlight w:val="none"/>
        </w:rPr>
        <w:t>。</w:t>
      </w:r>
    </w:p>
    <w:p w14:paraId="33E54A9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b/>
          <w:color w:val="auto"/>
          <w:szCs w:val="21"/>
          <w:highlight w:val="none"/>
          <w:u w:val="single"/>
        </w:rPr>
        <w:t>质量保证金不计利息</w:t>
      </w:r>
      <w:r>
        <w:rPr>
          <w:rFonts w:hint="eastAsia" w:ascii="宋体" w:hAnsi="宋体" w:cs="宋体"/>
          <w:color w:val="auto"/>
          <w:kern w:val="0"/>
          <w:szCs w:val="21"/>
          <w:highlight w:val="none"/>
        </w:rPr>
        <w:t>。</w:t>
      </w:r>
    </w:p>
    <w:bookmarkEnd w:id="961"/>
    <w:bookmarkEnd w:id="962"/>
    <w:p w14:paraId="7E6B00C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15.4保修</w:t>
      </w:r>
    </w:p>
    <w:bookmarkEnd w:id="963"/>
    <w:p w14:paraId="6A08E904">
      <w:pPr>
        <w:snapToGrid w:val="0"/>
        <w:spacing w:line="360" w:lineRule="auto"/>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15.4.1 保修责任</w:t>
      </w:r>
    </w:p>
    <w:p w14:paraId="72E036D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b/>
          <w:color w:val="auto"/>
          <w:szCs w:val="21"/>
          <w:highlight w:val="none"/>
          <w:u w:val="single"/>
        </w:rPr>
        <w:t>详见工程质量保修书</w:t>
      </w:r>
      <w:r>
        <w:rPr>
          <w:rFonts w:hint="eastAsia" w:ascii="宋体" w:hAnsi="宋体" w:cs="宋体"/>
          <w:color w:val="auto"/>
          <w:kern w:val="0"/>
          <w:szCs w:val="21"/>
          <w:highlight w:val="none"/>
        </w:rPr>
        <w:t>。</w:t>
      </w:r>
    </w:p>
    <w:p w14:paraId="1EA59228">
      <w:pPr>
        <w:snapToGrid w:val="0"/>
        <w:spacing w:line="360" w:lineRule="auto"/>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15.4.3 修复通知</w:t>
      </w:r>
    </w:p>
    <w:p w14:paraId="50E4C24D">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bookmarkEnd w:id="964"/>
    <w:bookmarkEnd w:id="965"/>
    <w:bookmarkEnd w:id="966"/>
    <w:bookmarkEnd w:id="967"/>
    <w:p w14:paraId="72FEDF88">
      <w:pPr>
        <w:tabs>
          <w:tab w:val="left" w:pos="864"/>
        </w:tabs>
        <w:snapToGrid w:val="0"/>
        <w:spacing w:line="360" w:lineRule="auto"/>
        <w:rPr>
          <w:rFonts w:hint="eastAsia" w:ascii="宋体" w:hAnsi="宋体" w:cs="宋体"/>
          <w:color w:val="auto"/>
          <w:szCs w:val="21"/>
          <w:highlight w:val="none"/>
        </w:rPr>
      </w:pPr>
      <w:bookmarkStart w:id="990" w:name="_Toc351203648"/>
      <w:bookmarkStart w:id="991" w:name="_Toc280868717"/>
      <w:bookmarkStart w:id="992" w:name="_Toc280868718"/>
      <w:r>
        <w:rPr>
          <w:rFonts w:hint="eastAsia" w:ascii="宋体" w:hAnsi="宋体" w:cs="宋体"/>
          <w:color w:val="auto"/>
          <w:szCs w:val="21"/>
          <w:highlight w:val="none"/>
        </w:rPr>
        <w:t>16. 违约</w:t>
      </w:r>
      <w:bookmarkEnd w:id="990"/>
    </w:p>
    <w:p w14:paraId="36D263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发包人违约</w:t>
      </w:r>
    </w:p>
    <w:p w14:paraId="4036C8B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14:paraId="10C02533">
      <w:pPr>
        <w:snapToGrid w:val="0"/>
        <w:spacing w:line="360" w:lineRule="auto"/>
        <w:ind w:left="1109" w:leftChars="228" w:hanging="630" w:hanging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365FD8E4">
      <w:pPr>
        <w:snapToGrid w:val="0"/>
        <w:spacing w:line="360" w:lineRule="auto"/>
        <w:ind w:left="1050" w:hanging="1050" w:hangingChars="5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1610619F">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0D7DCC7C">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b/>
          <w:color w:val="auto"/>
          <w:szCs w:val="21"/>
          <w:highlight w:val="none"/>
          <w:u w:val="single"/>
        </w:rPr>
        <w:t>由发包人承担因其违约给承包人延误的工期，但承包人不得向发包人提出除工期顺延外的任何索赔要求</w:t>
      </w:r>
      <w:r>
        <w:rPr>
          <w:rFonts w:hint="eastAsia" w:ascii="宋体" w:hAnsi="宋体" w:cs="宋体"/>
          <w:color w:val="auto"/>
          <w:kern w:val="0"/>
          <w:szCs w:val="21"/>
          <w:highlight w:val="none"/>
        </w:rPr>
        <w:t>。</w:t>
      </w:r>
    </w:p>
    <w:p w14:paraId="2E1A5B9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b/>
          <w:color w:val="auto"/>
          <w:szCs w:val="21"/>
          <w:highlight w:val="none"/>
          <w:u w:val="single"/>
        </w:rPr>
        <w:t>发包人超过约定的支付时间不支付合同价款的，承包人可向发包人发出要求付款的书面通知，发包人收到承包人书面通知后30天内仍不能按要求付款，可与承包人协商签订延期付款协议，经承包人同意后可延期支付，除此之外不承担其他任何责任</w:t>
      </w:r>
      <w:r>
        <w:rPr>
          <w:rFonts w:hint="eastAsia" w:ascii="宋体" w:hAnsi="宋体" w:cs="宋体"/>
          <w:color w:val="auto"/>
          <w:kern w:val="0"/>
          <w:szCs w:val="21"/>
          <w:highlight w:val="none"/>
        </w:rPr>
        <w:t>。</w:t>
      </w:r>
    </w:p>
    <w:p w14:paraId="443929BE">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b/>
          <w:color w:val="auto"/>
          <w:szCs w:val="21"/>
          <w:highlight w:val="none"/>
          <w:u w:val="single"/>
        </w:rPr>
        <w:t>由发包人承担由此给承包人造成的直接损失，不另计违约金及承包人利润</w:t>
      </w:r>
      <w:r>
        <w:rPr>
          <w:rFonts w:hint="eastAsia" w:ascii="宋体" w:hAnsi="宋体" w:cs="宋体"/>
          <w:color w:val="auto"/>
          <w:kern w:val="0"/>
          <w:szCs w:val="21"/>
          <w:highlight w:val="none"/>
        </w:rPr>
        <w:t>。</w:t>
      </w:r>
    </w:p>
    <w:p w14:paraId="60032F1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b/>
          <w:color w:val="auto"/>
          <w:szCs w:val="21"/>
          <w:highlight w:val="none"/>
          <w:u w:val="single"/>
        </w:rPr>
        <w:t>由发包人承担因其违约给承包人延误的工期；若给承包人造成损失的，由发包人承担由此给承包人造成的直接损失</w:t>
      </w:r>
      <w:r>
        <w:rPr>
          <w:rFonts w:hint="eastAsia" w:ascii="宋体" w:hAnsi="宋体" w:cs="宋体"/>
          <w:color w:val="auto"/>
          <w:kern w:val="0"/>
          <w:szCs w:val="21"/>
          <w:highlight w:val="none"/>
        </w:rPr>
        <w:t>。</w:t>
      </w:r>
    </w:p>
    <w:p w14:paraId="75329A1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b/>
          <w:color w:val="auto"/>
          <w:szCs w:val="21"/>
          <w:highlight w:val="none"/>
          <w:u w:val="single"/>
        </w:rPr>
        <w:t>由发包人承担因其违约给承包人延误的工期，不另计违约金及承包人利润</w:t>
      </w:r>
      <w:r>
        <w:rPr>
          <w:rFonts w:hint="eastAsia" w:ascii="宋体" w:hAnsi="宋体" w:cs="宋体"/>
          <w:color w:val="auto"/>
          <w:kern w:val="0"/>
          <w:szCs w:val="21"/>
          <w:highlight w:val="none"/>
        </w:rPr>
        <w:t>。</w:t>
      </w:r>
    </w:p>
    <w:p w14:paraId="314E2D3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b/>
          <w:color w:val="auto"/>
          <w:szCs w:val="21"/>
          <w:highlight w:val="none"/>
          <w:u w:val="single"/>
        </w:rPr>
        <w:t>由发包人承担因其违约给承包人延误的工期，不另计违约金及承包人利润</w:t>
      </w:r>
      <w:r>
        <w:rPr>
          <w:rFonts w:hint="eastAsia" w:ascii="宋体" w:hAnsi="宋体" w:cs="宋体"/>
          <w:color w:val="auto"/>
          <w:kern w:val="0"/>
          <w:szCs w:val="21"/>
          <w:highlight w:val="none"/>
        </w:rPr>
        <w:t>。</w:t>
      </w:r>
    </w:p>
    <w:p w14:paraId="1F285332">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rPr>
        <w:t>。</w:t>
      </w:r>
    </w:p>
    <w:p w14:paraId="690C66F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14:paraId="1BD6648D">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0ADC3A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承包人违约</w:t>
      </w:r>
    </w:p>
    <w:p w14:paraId="3DC6ED8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393581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承包人违约的其他情形：</w:t>
      </w:r>
    </w:p>
    <w:p w14:paraId="16A65FF7">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kern w:val="0"/>
          <w:szCs w:val="21"/>
          <w:highlight w:val="none"/>
        </w:rPr>
        <w:t>（1）</w:t>
      </w:r>
      <w:r>
        <w:rPr>
          <w:rFonts w:hint="eastAsia" w:ascii="宋体" w:hAnsi="宋体" w:cs="宋体"/>
          <w:b/>
          <w:bCs/>
          <w:color w:val="auto"/>
          <w:szCs w:val="21"/>
          <w:highlight w:val="none"/>
          <w:u w:val="single"/>
        </w:rPr>
        <w:t>承包人未按3.1（10）条规定分包渣土运输业务的，承包人应支付 合同价的千分之一的 违约金</w:t>
      </w:r>
      <w:r>
        <w:rPr>
          <w:rFonts w:hint="eastAsia" w:ascii="宋体" w:hAnsi="宋体" w:cs="宋体"/>
          <w:b/>
          <w:bCs/>
          <w:color w:val="auto"/>
          <w:szCs w:val="21"/>
          <w:highlight w:val="none"/>
        </w:rPr>
        <w:t>；</w:t>
      </w:r>
    </w:p>
    <w:p w14:paraId="07BC4DC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u w:val="single"/>
        </w:rPr>
        <w:t>（2）承包人未按照3.1（10）条规定加强建筑垃圾处置分包合同履约监管，出现分包单位使用不符合规定的车辆进出施工现场运输建筑垃圾或将建筑垃圾运输至非指定消纳场所等现象的，承包人应支付 5000元/次违约金</w:t>
      </w:r>
      <w:r>
        <w:rPr>
          <w:rFonts w:hint="eastAsia" w:ascii="宋体" w:hAnsi="宋体" w:cs="宋体"/>
          <w:b/>
          <w:bCs/>
          <w:color w:val="auto"/>
          <w:szCs w:val="21"/>
          <w:highlight w:val="none"/>
        </w:rPr>
        <w:t>；</w:t>
      </w:r>
    </w:p>
    <w:p w14:paraId="5E00132C">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（3）承包人未做好工程垃圾处理出土处置台账的，承包人应支付 5000元/次 违约金；</w:t>
      </w:r>
    </w:p>
    <w:p w14:paraId="43EC56F3">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（4）承包人在结算前未查验接纳回执，与运输、处置单位结算相关费用的，承包人应支付 5000元/次 违约金</w:t>
      </w:r>
      <w:r>
        <w:rPr>
          <w:rFonts w:hint="eastAsia" w:ascii="宋体" w:hAnsi="宋体" w:cs="宋体"/>
          <w:b/>
          <w:bCs/>
          <w:color w:val="auto"/>
          <w:szCs w:val="21"/>
          <w:highlight w:val="none"/>
        </w:rPr>
        <w:t>；</w:t>
      </w:r>
    </w:p>
    <w:p w14:paraId="5CD08B8E">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bCs/>
          <w:color w:val="auto"/>
          <w:szCs w:val="21"/>
          <w:highlight w:val="none"/>
          <w:u w:val="single"/>
        </w:rPr>
        <w:t>（5）承包人未按照已备案的渣土处置方案落实渣土处置措施的，承包人应支付 5000元/次 违约金</w:t>
      </w:r>
      <w:r>
        <w:rPr>
          <w:rFonts w:hint="eastAsia" w:ascii="宋体" w:hAnsi="宋体" w:cs="宋体"/>
          <w:color w:val="auto"/>
          <w:kern w:val="0"/>
          <w:szCs w:val="21"/>
          <w:highlight w:val="none"/>
        </w:rPr>
        <w:t>。</w:t>
      </w:r>
    </w:p>
    <w:p w14:paraId="4786BA4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16A4FAA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5230AFB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（1）承包人违反合同约定进行转包或违法分包的违约责任：发包人有权解除合同，没收全部履约保证金外，赔偿由此给发包人造成的一切损失。</w:t>
      </w:r>
    </w:p>
    <w:p w14:paraId="30D29BA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承包人违反合同约定采购和使用不合格的材料和工程设备的违约责任：除重新采购合格的材料和工程设备，如已施工的无条件返工，并自行承担相关费用和造成的损失且工期不得顺延外；每发生一次应承担人民币5000元的违约金；若由此还给发包人造成损失的，由承包人负责赔偿。</w:t>
      </w:r>
    </w:p>
    <w:p w14:paraId="1AAB60FE">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3BB4B0A3">
      <w:pPr>
        <w:pStyle w:val="35"/>
        <w:spacing w:line="360" w:lineRule="auto"/>
        <w:ind w:firstLine="474" w:firstLineChars="225"/>
        <w:rPr>
          <w:rFonts w:hint="eastAsia" w:hAnsi="宋体" w:cs="宋体"/>
          <w:b/>
          <w:color w:val="auto"/>
          <w:highlight w:val="none"/>
          <w:u w:val="single"/>
        </w:rPr>
      </w:pPr>
      <w:r>
        <w:rPr>
          <w:rFonts w:hint="eastAsia" w:hAnsi="宋体" w:cs="宋体"/>
          <w:b/>
          <w:color w:val="auto"/>
          <w:highlight w:val="none"/>
          <w:u w:val="single"/>
        </w:rPr>
        <w:t>承包人必须严格按合同条款、施工图纸及设计说明文件、施工验收规范、国家和省市的有关质量验收标准，精心组织施工，确保工程质量达到国家合格验收标准。</w:t>
      </w:r>
    </w:p>
    <w:p w14:paraId="1DE9382E">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（4）承包人违反材料与设备专用要求的约定，未经批准，私自将已按照合同约定进入施工现场的材料或设备撤离施工现场的违约责任：承包人应及时停止撤离，并承担相应损失。</w:t>
      </w:r>
    </w:p>
    <w:p w14:paraId="171D03D2">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（5）承包人未能按施工进度计划及时完成合同约定的工作，造成工期延误的违约责任：同专用条款7.5.2款约定。 </w:t>
      </w:r>
    </w:p>
    <w:p w14:paraId="4F28513A">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上述违约金额在质量保证金中直接扣除，且承包人应在收到发包人扣罚通知后7天内补足质量保证金，若承包人未按要求补足质量保证金的，发包人有权在退还质量保证金时双倍扣减上述修复费用。</w:t>
      </w:r>
    </w:p>
    <w:p w14:paraId="58C0F1EA">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（7）承包人由于违反安全操作规范，被政府有关部门处罚，如通报批评、警告和罚款等，承包人承担一切责任，并每被查处一次，发包人每次扣罚违约金5000元，上述扣款在工程进度款中逐期扣除。</w:t>
      </w:r>
    </w:p>
    <w:p w14:paraId="7D0D81A9">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8）承包人应强化安全意识，抓好安全生产，杜绝事故发生，施工中若发生安全及人身事故均由承包人自行负责处理，承担一切责任包括全部费用。安全事故每发生一次，承包人向发包人支付1万元的违约金，上述扣款在工程进度款中逐期扣除。</w:t>
      </w:r>
    </w:p>
    <w:p w14:paraId="0A342091">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（9）双方约定的承包人其他违约责任: </w:t>
      </w:r>
    </w:p>
    <w:p w14:paraId="0CD20B0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本工程的所有隐蔽工程必须经监理验收合格签字确认后方可隐蔽，如隐蔽工程未经监理工程师验收合格签字认可，而承包人擅自隐蔽进入下道工序的，每发生一次除全部返工并承担返工费用外，发包人有权要求承包方承担2万元的违约金。 </w:t>
      </w:r>
    </w:p>
    <w:p w14:paraId="70FD0545">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2）施工中不能达到安全文明施工的相关要求，经监理人确认后发包人有权停止支付剩余安全文明施工费用，待安全文明施工工作符合合同约定和相关要求后发包人恢复支付；情节严重时，发包人有权视情节要求承包人承担相应的违约责任。 </w:t>
      </w:r>
    </w:p>
    <w:p w14:paraId="35C0151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要求承包人承担相应的违约责任，情节恶劣时发包人有权单方面终止本承包合同，并由承包人承担由此造成的一切损失。</w:t>
      </w:r>
    </w:p>
    <w:p w14:paraId="24F5D1E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4）由于管理混乱，造成的罚款与损失均由乙方自行承担外，甲方将提出警告并有权要求乙方承担每次二万元的违约金，并扣除该项措施费用及履约担保金中的相关费用，以确保本工程文明管理得到贯彻执行。</w:t>
      </w:r>
    </w:p>
    <w:p w14:paraId="058317EA">
      <w:pPr>
        <w:spacing w:line="360" w:lineRule="auto"/>
        <w:ind w:firstLine="422" w:firstLineChars="200"/>
        <w:rPr>
          <w:rFonts w:hint="eastAsia" w:ascii="宋体" w:hAnsi="宋体" w:cs="宋体"/>
          <w:color w:val="auto"/>
          <w:kern w:val="0"/>
          <w:szCs w:val="21"/>
          <w:highlight w:val="none"/>
          <w:u w:val="single"/>
        </w:rPr>
      </w:pPr>
      <w:r>
        <w:rPr>
          <w:rFonts w:hint="eastAsia" w:ascii="宋体" w:hAnsi="宋体" w:cs="宋体"/>
          <w:b/>
          <w:color w:val="auto"/>
          <w:szCs w:val="21"/>
          <w:highlight w:val="none"/>
          <w:u w:val="single"/>
        </w:rPr>
        <w:t>5）承包人不履行合同义务，或不按合同约定履行合同义务的其他情况，承包人承担违约责任，发包人保留索赔其他损失的权利</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14:paraId="113922E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14:paraId="57FDE3C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p>
    <w:p w14:paraId="4217D83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（1）合同解除后发包人将本工程另行发包，承包人应负责保管施工场地直至与新的施工单位办理移交。新的施工单位签约价与本合同签约价之间的差额作为发包人损失全部由承包人承担。</w:t>
      </w:r>
    </w:p>
    <w:p w14:paraId="27CE225A">
      <w:pPr>
        <w:snapToGrid w:val="0"/>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szCs w:val="21"/>
          <w:highlight w:val="none"/>
          <w:u w:val="single"/>
        </w:rPr>
        <w:t>（2）合同解除后，承包人对由其完成的工程，仍应按《工程质量保修书》约定履行质量保修义务</w:t>
      </w:r>
      <w:r>
        <w:rPr>
          <w:rFonts w:hint="eastAsia" w:ascii="宋体" w:hAnsi="宋体" w:cs="宋体"/>
          <w:color w:val="auto"/>
          <w:kern w:val="0"/>
          <w:szCs w:val="21"/>
          <w:highlight w:val="none"/>
        </w:rPr>
        <w:t>。</w:t>
      </w:r>
    </w:p>
    <w:p w14:paraId="2A0899E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b/>
          <w:color w:val="auto"/>
          <w:szCs w:val="21"/>
          <w:highlight w:val="none"/>
          <w:u w:val="single"/>
        </w:rPr>
        <w:t>由发包人支付承包人相应费用（成本费用，不计利润）</w:t>
      </w:r>
      <w:r>
        <w:rPr>
          <w:rFonts w:hint="eastAsia" w:ascii="宋体" w:hAnsi="宋体" w:cs="宋体"/>
          <w:color w:val="auto"/>
          <w:kern w:val="0"/>
          <w:szCs w:val="21"/>
          <w:highlight w:val="none"/>
        </w:rPr>
        <w:t>。</w:t>
      </w:r>
    </w:p>
    <w:p w14:paraId="27053080">
      <w:pPr>
        <w:tabs>
          <w:tab w:val="left" w:pos="864"/>
        </w:tabs>
        <w:snapToGrid w:val="0"/>
        <w:spacing w:line="360" w:lineRule="auto"/>
        <w:rPr>
          <w:rFonts w:hint="eastAsia" w:ascii="宋体" w:hAnsi="宋体" w:cs="宋体"/>
          <w:color w:val="auto"/>
          <w:szCs w:val="21"/>
          <w:highlight w:val="none"/>
        </w:rPr>
      </w:pPr>
      <w:bookmarkStart w:id="993" w:name="_Toc351203649"/>
      <w:r>
        <w:rPr>
          <w:rFonts w:hint="eastAsia" w:ascii="宋体" w:hAnsi="宋体" w:cs="宋体"/>
          <w:color w:val="auto"/>
          <w:szCs w:val="21"/>
          <w:highlight w:val="none"/>
        </w:rPr>
        <w:t>17. 不可抗力</w:t>
      </w:r>
      <w:bookmarkEnd w:id="993"/>
      <w:r>
        <w:rPr>
          <w:rFonts w:hint="eastAsia" w:ascii="宋体" w:hAnsi="宋体" w:cs="宋体"/>
          <w:color w:val="auto"/>
          <w:szCs w:val="21"/>
          <w:highlight w:val="none"/>
        </w:rPr>
        <w:t xml:space="preserve"> </w:t>
      </w:r>
      <w:bookmarkEnd w:id="991"/>
    </w:p>
    <w:p w14:paraId="0D22627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不可抗力的确认</w:t>
      </w:r>
    </w:p>
    <w:p w14:paraId="7B28190A">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b/>
          <w:color w:val="auto"/>
          <w:szCs w:val="21"/>
          <w:highlight w:val="none"/>
          <w:u w:val="single"/>
        </w:rPr>
        <w:t>按通用合同条款约定</w:t>
      </w:r>
      <w:r>
        <w:rPr>
          <w:rFonts w:hint="eastAsia" w:ascii="宋体" w:hAnsi="宋体" w:cs="宋体"/>
          <w:color w:val="auto"/>
          <w:kern w:val="0"/>
          <w:szCs w:val="21"/>
          <w:highlight w:val="none"/>
        </w:rPr>
        <w:t>。</w:t>
      </w:r>
    </w:p>
    <w:p w14:paraId="4C557C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 因不可抗力解除合同</w:t>
      </w:r>
    </w:p>
    <w:p w14:paraId="068712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06D0C6DA">
      <w:pPr>
        <w:tabs>
          <w:tab w:val="left" w:pos="864"/>
        </w:tabs>
        <w:snapToGrid w:val="0"/>
        <w:spacing w:line="360" w:lineRule="auto"/>
        <w:rPr>
          <w:rFonts w:hint="eastAsia" w:ascii="宋体" w:hAnsi="宋体" w:cs="宋体"/>
          <w:color w:val="auto"/>
          <w:szCs w:val="21"/>
          <w:highlight w:val="none"/>
        </w:rPr>
      </w:pPr>
      <w:bookmarkStart w:id="994" w:name="_Toc351203650"/>
      <w:r>
        <w:rPr>
          <w:rFonts w:hint="eastAsia" w:ascii="宋体" w:hAnsi="宋体" w:cs="宋体"/>
          <w:color w:val="auto"/>
          <w:szCs w:val="21"/>
          <w:highlight w:val="none"/>
        </w:rPr>
        <w:t>18. 保险</w:t>
      </w:r>
      <w:bookmarkEnd w:id="994"/>
    </w:p>
    <w:bookmarkEnd w:id="992"/>
    <w:p w14:paraId="12695A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工程保险</w:t>
      </w:r>
    </w:p>
    <w:p w14:paraId="6ECB9BD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b/>
          <w:color w:val="auto"/>
          <w:szCs w:val="21"/>
          <w:highlight w:val="none"/>
          <w:u w:val="single"/>
        </w:rPr>
        <w:t>承包人应投保工程一切险，并承担相应费用</w:t>
      </w:r>
      <w:r>
        <w:rPr>
          <w:rFonts w:hint="eastAsia" w:ascii="宋体" w:hAnsi="宋体" w:cs="宋体"/>
          <w:color w:val="auto"/>
          <w:kern w:val="0"/>
          <w:szCs w:val="21"/>
          <w:highlight w:val="none"/>
        </w:rPr>
        <w:t>。</w:t>
      </w:r>
    </w:p>
    <w:p w14:paraId="14267F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 其他保险</w:t>
      </w:r>
    </w:p>
    <w:p w14:paraId="23F1012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b/>
          <w:color w:val="auto"/>
          <w:szCs w:val="21"/>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宋体"/>
          <w:color w:val="auto"/>
          <w:kern w:val="0"/>
          <w:szCs w:val="21"/>
          <w:highlight w:val="none"/>
        </w:rPr>
        <w:t>。</w:t>
      </w:r>
    </w:p>
    <w:p w14:paraId="6FC6245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b/>
          <w:color w:val="auto"/>
          <w:szCs w:val="21"/>
          <w:highlight w:val="none"/>
          <w:u w:val="single"/>
        </w:rPr>
        <w:t>是，并承担相应费用</w:t>
      </w:r>
      <w:r>
        <w:rPr>
          <w:rFonts w:hint="eastAsia" w:ascii="宋体" w:hAnsi="宋体" w:cs="宋体"/>
          <w:color w:val="auto"/>
          <w:szCs w:val="21"/>
          <w:highlight w:val="none"/>
        </w:rPr>
        <w:t>。</w:t>
      </w:r>
    </w:p>
    <w:p w14:paraId="1F6DCC8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 通知义务</w:t>
      </w:r>
    </w:p>
    <w:p w14:paraId="524CB25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968"/>
    <w:bookmarkEnd w:id="969"/>
    <w:bookmarkEnd w:id="970"/>
    <w:bookmarkEnd w:id="971"/>
    <w:bookmarkEnd w:id="972"/>
    <w:bookmarkEnd w:id="973"/>
    <w:bookmarkEnd w:id="974"/>
    <w:bookmarkEnd w:id="975"/>
    <w:bookmarkEnd w:id="976"/>
    <w:bookmarkEnd w:id="977"/>
    <w:bookmarkEnd w:id="978"/>
    <w:bookmarkEnd w:id="979"/>
    <w:p w14:paraId="6363404C">
      <w:pPr>
        <w:tabs>
          <w:tab w:val="left" w:pos="864"/>
        </w:tabs>
        <w:snapToGrid w:val="0"/>
        <w:spacing w:line="360" w:lineRule="auto"/>
        <w:rPr>
          <w:rFonts w:hint="eastAsia" w:ascii="宋体" w:hAnsi="宋体" w:cs="宋体"/>
          <w:color w:val="auto"/>
          <w:szCs w:val="21"/>
          <w:highlight w:val="none"/>
        </w:rPr>
      </w:pPr>
      <w:bookmarkStart w:id="995" w:name="_Toc351203651"/>
      <w:r>
        <w:rPr>
          <w:rFonts w:hint="eastAsia" w:ascii="宋体" w:hAnsi="宋体" w:cs="宋体"/>
          <w:color w:val="auto"/>
          <w:szCs w:val="21"/>
          <w:highlight w:val="none"/>
        </w:rPr>
        <w:t>20. 争议解决</w:t>
      </w:r>
      <w:bookmarkEnd w:id="995"/>
    </w:p>
    <w:bookmarkEnd w:id="980"/>
    <w:bookmarkEnd w:id="981"/>
    <w:p w14:paraId="71A68B6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争</w:t>
      </w:r>
      <w:bookmarkEnd w:id="982"/>
      <w:r>
        <w:rPr>
          <w:rFonts w:hint="eastAsia" w:ascii="宋体" w:hAnsi="宋体" w:cs="宋体"/>
          <w:color w:val="auto"/>
          <w:szCs w:val="21"/>
          <w:highlight w:val="none"/>
        </w:rPr>
        <w:t>议评审</w:t>
      </w:r>
    </w:p>
    <w:p w14:paraId="1D3E1E6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合同当事人是否同意将工程争议递交争议评审小组决定：</w:t>
      </w:r>
      <w:r>
        <w:rPr>
          <w:rFonts w:hint="eastAsia" w:ascii="宋体" w:hAnsi="宋体" w:cs="宋体"/>
          <w:b/>
          <w:color w:val="auto"/>
          <w:szCs w:val="21"/>
          <w:highlight w:val="none"/>
          <w:u w:val="single"/>
        </w:rPr>
        <w:t>否</w:t>
      </w:r>
      <w:r>
        <w:rPr>
          <w:rFonts w:hint="eastAsia" w:ascii="宋体" w:hAnsi="宋体" w:cs="宋体"/>
          <w:color w:val="auto"/>
          <w:szCs w:val="21"/>
          <w:highlight w:val="none"/>
        </w:rPr>
        <w:t xml:space="preserve">。  </w:t>
      </w:r>
    </w:p>
    <w:p w14:paraId="7320E2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20.3.1 争议评审小组的确定</w:t>
      </w:r>
    </w:p>
    <w:p w14:paraId="4FAACC8F">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67679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A1AE8C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56228F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1CB38F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2C5456E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A95F4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20.4仲裁或诉讼</w:t>
      </w:r>
      <w:bookmarkEnd w:id="983"/>
    </w:p>
    <w:p w14:paraId="25C1137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因合同及合同有关事项发生的争议双方及时协商解决，如协商不成的按下列方式解决：</w:t>
      </w:r>
    </w:p>
    <w:p w14:paraId="7B143C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向</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发包人所在地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4"/>
      <w:bookmarkEnd w:id="985"/>
      <w:bookmarkEnd w:id="986"/>
      <w:bookmarkEnd w:id="987"/>
      <w:bookmarkEnd w:id="988"/>
      <w:bookmarkEnd w:id="989"/>
      <w:r>
        <w:rPr>
          <w:rFonts w:hint="eastAsia" w:ascii="宋体" w:hAnsi="宋体" w:cs="宋体"/>
          <w:color w:val="auto"/>
          <w:szCs w:val="21"/>
          <w:highlight w:val="none"/>
        </w:rPr>
        <w:t>，本合同的内容，如与中华人民共和国相关法律、法规相抵触，以相关法律、法规为准；双方对违约责任的处理不能达成一致意见时按《中华人民共和国民法典》规定处理。</w:t>
      </w:r>
    </w:p>
    <w:p w14:paraId="526E7C3D">
      <w:pPr>
        <w:rPr>
          <w:rFonts w:hint="eastAsia" w:ascii="宋体" w:hAnsi="宋体"/>
          <w:b/>
          <w:color w:val="auto"/>
          <w:sz w:val="24"/>
          <w:highlight w:val="none"/>
        </w:rPr>
      </w:pPr>
    </w:p>
    <w:p w14:paraId="73A1074D">
      <w:pPr>
        <w:snapToGrid w:val="0"/>
        <w:spacing w:line="360" w:lineRule="auto"/>
        <w:rPr>
          <w:rFonts w:hint="eastAsia" w:ascii="宋体" w:hAnsi="宋体"/>
          <w:color w:val="auto"/>
          <w:sz w:val="24"/>
          <w:highlight w:val="none"/>
        </w:rPr>
      </w:pPr>
      <w:r>
        <w:rPr>
          <w:rFonts w:hint="eastAsia" w:ascii="宋体" w:hAnsi="宋体"/>
          <w:b/>
          <w:color w:val="auto"/>
          <w:sz w:val="24"/>
          <w:highlight w:val="none"/>
        </w:rPr>
        <w:t>附件：</w:t>
      </w:r>
    </w:p>
    <w:p w14:paraId="03A1F855">
      <w:pPr>
        <w:adjustRightInd/>
        <w:snapToGrid w:val="0"/>
        <w:spacing w:line="360" w:lineRule="auto"/>
        <w:ind w:firstLine="371" w:firstLineChars="177"/>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14:paraId="77C082F5">
      <w:pPr>
        <w:adjustRightInd/>
        <w:ind w:firstLine="371" w:firstLineChars="177"/>
        <w:jc w:val="left"/>
        <w:rPr>
          <w:rFonts w:hint="eastAsia" w:ascii="宋体" w:hAnsi="宋体"/>
          <w:snapToGrid w:val="0"/>
          <w:color w:val="auto"/>
          <w:kern w:val="0"/>
          <w:szCs w:val="21"/>
          <w:highlight w:val="none"/>
        </w:rPr>
      </w:pPr>
    </w:p>
    <w:p w14:paraId="2F6CE60B">
      <w:pPr>
        <w:spacing w:before="162" w:line="440" w:lineRule="exact"/>
        <w:ind w:firstLine="480"/>
        <w:rPr>
          <w:rFonts w:hint="eastAsia" w:ascii="宋体" w:hAnsi="宋体"/>
          <w:b/>
          <w:bCs/>
          <w:color w:val="auto"/>
          <w:sz w:val="24"/>
          <w:highlight w:val="none"/>
        </w:rPr>
      </w:pPr>
      <w:r>
        <w:rPr>
          <w:rFonts w:ascii="宋体" w:hAnsi="宋体"/>
          <w:color w:val="auto"/>
          <w:sz w:val="24"/>
          <w:highlight w:val="none"/>
          <w:u w:val="single"/>
        </w:rPr>
        <w:br w:type="page"/>
      </w:r>
      <w:bookmarkStart w:id="996" w:name="_Toc249091536"/>
      <w:bookmarkStart w:id="997" w:name="_Toc534620509"/>
      <w:r>
        <w:rPr>
          <w:rFonts w:hint="eastAsia" w:ascii="宋体" w:hAnsi="宋体"/>
          <w:b/>
          <w:bCs/>
          <w:color w:val="auto"/>
          <w:sz w:val="24"/>
          <w:highlight w:val="none"/>
        </w:rPr>
        <w:t>附件1:</w:t>
      </w:r>
    </w:p>
    <w:bookmarkEnd w:id="996"/>
    <w:bookmarkEnd w:id="997"/>
    <w:p w14:paraId="7FC20357">
      <w:pPr>
        <w:adjustRightInd/>
        <w:spacing w:before="120" w:beforeLines="50" w:after="120" w:afterLines="50" w:line="288" w:lineRule="auto"/>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51072E85">
      <w:pPr>
        <w:adjustRightInd/>
        <w:spacing w:line="288"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998" w:name="SOA_zyht_zlbxfbr"/>
      <w:r>
        <w:rPr>
          <w:rFonts w:hint="eastAsia" w:ascii="宋体" w:hAnsi="宋体"/>
          <w:snapToGrid w:val="0"/>
          <w:color w:val="auto"/>
          <w:kern w:val="0"/>
          <w:szCs w:val="21"/>
          <w:highlight w:val="none"/>
          <w:u w:val="single"/>
          <w:lang w:eastAsia="zh-CN"/>
        </w:rPr>
        <w:t>浙江省杭州第十一中学</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B907F5B">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9" w:name="SOA_zyht_zlbxcbr"/>
      <w:r>
        <w:rPr>
          <w:rFonts w:ascii="宋体" w:hAnsi="宋体"/>
          <w:snapToGrid w:val="0"/>
          <w:color w:val="auto"/>
          <w:kern w:val="0"/>
          <w:szCs w:val="21"/>
          <w:highlight w:val="none"/>
          <w:u w:val="single"/>
        </w:rPr>
        <w:t xml:space="preserve"> </w:t>
      </w:r>
      <w:bookmarkEnd w:id="999"/>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1729423">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00"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73A9C087">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524BF5A0">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471ADB42">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C5A4E89">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01"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0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5F83DC9F">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60B3AD88">
      <w:pPr>
        <w:adjustRightInd/>
        <w:spacing w:line="288"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68151837">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0C4EDFB5">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48E8E18B">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29217394">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02" w:name="SOA_zyht_azbxnx"/>
      <w:r>
        <w:rPr>
          <w:rFonts w:ascii="宋体" w:hAnsi="宋体"/>
          <w:snapToGrid w:val="0"/>
          <w:color w:val="auto"/>
          <w:kern w:val="0"/>
          <w:szCs w:val="21"/>
          <w:highlight w:val="none"/>
          <w:u w:val="single"/>
        </w:rPr>
        <w:t xml:space="preserve"> </w:t>
      </w:r>
      <w:bookmarkEnd w:id="1002"/>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35BC5B1">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03"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rPr>
        <w:t>个采暖期、供冷期；</w:t>
      </w:r>
    </w:p>
    <w:p w14:paraId="72BBD15E">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2A5BFA96">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5A914A6">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6289FB12">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6271C86A">
      <w:pPr>
        <w:adjustRightInd/>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4"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42227368">
      <w:pPr>
        <w:adjustRightInd/>
        <w:spacing w:line="288"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3EB24203">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579B2FC6">
      <w:pPr>
        <w:adjustRightInd/>
        <w:spacing w:line="288"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7784B217">
      <w:pPr>
        <w:adjustRightInd/>
        <w:spacing w:line="300"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8B12387">
      <w:pPr>
        <w:adjustRightInd/>
        <w:spacing w:line="300"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ACBF97">
      <w:pPr>
        <w:adjustRightInd/>
        <w:spacing w:line="300" w:lineRule="auto"/>
        <w:ind w:left="420" w:leftChars="200" w:firstLine="105" w:firstLineChars="5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443F03FC">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4088A567">
      <w:pPr>
        <w:adjustRightInd/>
        <w:spacing w:line="300" w:lineRule="auto"/>
        <w:ind w:firstLine="480"/>
        <w:rPr>
          <w:rFonts w:hint="eastAsia"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553E2580">
      <w:pPr>
        <w:adjustRightInd/>
        <w:spacing w:line="360" w:lineRule="auto"/>
        <w:ind w:firstLine="600"/>
        <w:jc w:val="left"/>
        <w:rPr>
          <w:rFonts w:hint="eastAsia"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p w14:paraId="4C318B79">
      <w:pPr>
        <w:adjustRightInd/>
        <w:spacing w:line="360" w:lineRule="auto"/>
        <w:ind w:firstLine="6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23C070FC">
      <w:pPr>
        <w:adjustRightInd/>
        <w:spacing w:line="300" w:lineRule="auto"/>
        <w:ind w:firstLine="399" w:firstLineChars="190"/>
        <w:rPr>
          <w:rFonts w:hint="eastAsia"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28BB26BA">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5"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6"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p>
    <w:p w14:paraId="2EC9635F">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7"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7"/>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8" w:name="SOA_zyht_cbrdz"/>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w:t>
      </w:r>
    </w:p>
    <w:p w14:paraId="7EF5F705">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9" w:name="SOA_zyht_fddbr1"/>
      <w:r>
        <w:rPr>
          <w:rFonts w:ascii="宋体" w:hAnsi="宋体"/>
          <w:snapToGrid w:val="0"/>
          <w:color w:val="auto"/>
          <w:kern w:val="0"/>
          <w:szCs w:val="21"/>
          <w:highlight w:val="none"/>
          <w:u w:val="single"/>
        </w:rPr>
        <w:t xml:space="preserve">      </w:t>
      </w:r>
      <w:bookmarkEnd w:id="100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10" w:name="SOA_zyht_fddbr2"/>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p>
    <w:p w14:paraId="3D126DE8">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11" w:name="SOA_zyht_wtdlr1"/>
      <w:r>
        <w:rPr>
          <w:rFonts w:ascii="宋体" w:hAnsi="宋体"/>
          <w:snapToGrid w:val="0"/>
          <w:color w:val="auto"/>
          <w:kern w:val="0"/>
          <w:szCs w:val="21"/>
          <w:highlight w:val="none"/>
          <w:u w:val="single"/>
        </w:rPr>
        <w:t xml:space="preserve">      </w:t>
      </w:r>
      <w:bookmarkEnd w:id="101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12" w:name="SOA_zyht_wtdlr2"/>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p>
    <w:p w14:paraId="070F3720">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3" w:name="SOA_zyht_fbrdh1"/>
      <w:r>
        <w:rPr>
          <w:rFonts w:ascii="宋体" w:hAnsi="宋体"/>
          <w:snapToGrid w:val="0"/>
          <w:color w:val="auto"/>
          <w:kern w:val="0"/>
          <w:szCs w:val="21"/>
          <w:highlight w:val="none"/>
          <w:u w:val="single"/>
        </w:rPr>
        <w:t xml:space="preserve">      </w:t>
      </w:r>
      <w:bookmarkEnd w:id="1013"/>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4" w:name="SOA_zyht_cbrd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 xml:space="preserve"> </w:t>
      </w:r>
    </w:p>
    <w:p w14:paraId="6DC271EE">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5" w:name="SOA_zyht_fbrcz"/>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6" w:name="SOA_zyht_cbrcz"/>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5799B736">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7" w:name="SOA_zyht_fbrkhyh"/>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18" w:name="SOA_zyht_cbrkhyh"/>
      <w:r>
        <w:rPr>
          <w:rFonts w:ascii="宋体" w:hAnsi="宋体"/>
          <w:snapToGrid w:val="0"/>
          <w:color w:val="auto"/>
          <w:kern w:val="0"/>
          <w:szCs w:val="21"/>
          <w:highlight w:val="none"/>
          <w:u w:val="single"/>
        </w:rPr>
        <w:t xml:space="preserve">      </w:t>
      </w:r>
      <w:bookmarkEnd w:id="1018"/>
      <w:r>
        <w:rPr>
          <w:rFonts w:hint="eastAsia" w:ascii="宋体" w:hAnsi="宋体"/>
          <w:snapToGrid w:val="0"/>
          <w:color w:val="auto"/>
          <w:kern w:val="0"/>
          <w:szCs w:val="21"/>
          <w:highlight w:val="none"/>
          <w:u w:val="single"/>
        </w:rPr>
        <w:t xml:space="preserve">  </w:t>
      </w:r>
    </w:p>
    <w:p w14:paraId="3F168748">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9" w:name="SOA_zyht_fbrzh"/>
      <w:r>
        <w:rPr>
          <w:rFonts w:ascii="宋体" w:hAnsi="宋体"/>
          <w:snapToGrid w:val="0"/>
          <w:color w:val="auto"/>
          <w:kern w:val="0"/>
          <w:szCs w:val="21"/>
          <w:highlight w:val="none"/>
          <w:u w:val="single"/>
        </w:rPr>
        <w:t xml:space="preserve">      </w:t>
      </w:r>
      <w:bookmarkEnd w:id="101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20" w:name="SOA_zyht_cbrzh"/>
      <w:r>
        <w:rPr>
          <w:rFonts w:ascii="宋体" w:hAnsi="宋体"/>
          <w:snapToGrid w:val="0"/>
          <w:color w:val="auto"/>
          <w:kern w:val="0"/>
          <w:szCs w:val="21"/>
          <w:highlight w:val="none"/>
          <w:u w:val="single"/>
        </w:rPr>
        <w:t xml:space="preserve">      </w:t>
      </w:r>
      <w:bookmarkEnd w:id="1020"/>
      <w:r>
        <w:rPr>
          <w:rFonts w:hint="eastAsia" w:ascii="宋体" w:hAnsi="宋体"/>
          <w:snapToGrid w:val="0"/>
          <w:color w:val="auto"/>
          <w:kern w:val="0"/>
          <w:szCs w:val="21"/>
          <w:highlight w:val="none"/>
          <w:u w:val="single"/>
        </w:rPr>
        <w:t xml:space="preserve">  </w:t>
      </w:r>
    </w:p>
    <w:p w14:paraId="5E50A7E0">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21" w:name="SOA_zyht_fbryb"/>
      <w:r>
        <w:rPr>
          <w:rFonts w:ascii="宋体" w:hAnsi="宋体"/>
          <w:snapToGrid w:val="0"/>
          <w:color w:val="auto"/>
          <w:kern w:val="0"/>
          <w:szCs w:val="21"/>
          <w:highlight w:val="none"/>
          <w:u w:val="single"/>
        </w:rPr>
        <w:t xml:space="preserve">      </w:t>
      </w:r>
      <w:bookmarkEnd w:id="102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22" w:name="SOA_zyht_cbryb"/>
      <w:r>
        <w:rPr>
          <w:rFonts w:ascii="宋体" w:hAnsi="宋体"/>
          <w:snapToGrid w:val="0"/>
          <w:color w:val="auto"/>
          <w:kern w:val="0"/>
          <w:szCs w:val="21"/>
          <w:highlight w:val="none"/>
          <w:u w:val="single"/>
        </w:rPr>
        <w:t xml:space="preserve">     </w:t>
      </w:r>
      <w:bookmarkEnd w:id="102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57452A98">
      <w:pPr>
        <w:spacing w:line="480" w:lineRule="auto"/>
        <w:jc w:val="center"/>
        <w:rPr>
          <w:rFonts w:hint="eastAsia" w:ascii="宋体" w:hAnsi="宋体" w:cs="宋体"/>
          <w:b/>
          <w:color w:val="auto"/>
          <w:sz w:val="28"/>
          <w:szCs w:val="28"/>
          <w:highlight w:val="none"/>
        </w:rPr>
      </w:pPr>
    </w:p>
    <w:p w14:paraId="137FEA7B">
      <w:pPr>
        <w:spacing w:line="360" w:lineRule="auto"/>
        <w:ind w:left="-420" w:leftChars="-200" w:right="-420" w:rightChars="-200" w:firstLine="480" w:firstLineChars="200"/>
        <w:jc w:val="center"/>
        <w:outlineLvl w:val="0"/>
        <w:rPr>
          <w:rFonts w:hint="eastAsia"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D531B52">
      <w:pPr>
        <w:snapToGrid w:val="0"/>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684BD9D3">
      <w:pPr>
        <w:spacing w:line="360" w:lineRule="auto"/>
        <w:jc w:val="center"/>
        <w:rPr>
          <w:rFonts w:hint="eastAsia" w:ascii="宋体" w:hAnsi="宋体" w:cs="宋体"/>
          <w:b/>
          <w:color w:val="auto"/>
          <w:kern w:val="0"/>
          <w:sz w:val="36"/>
          <w:szCs w:val="36"/>
          <w:highlight w:val="none"/>
        </w:rPr>
      </w:pPr>
    </w:p>
    <w:p w14:paraId="40F066F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1AB0079">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3E0DA0">
      <w:pPr>
        <w:spacing w:line="360" w:lineRule="auto"/>
        <w:jc w:val="center"/>
        <w:rPr>
          <w:rFonts w:hint="eastAsia" w:ascii="宋体" w:hAnsi="宋体" w:cs="宋体"/>
          <w:b/>
          <w:color w:val="auto"/>
          <w:kern w:val="0"/>
          <w:sz w:val="36"/>
          <w:szCs w:val="36"/>
          <w:highlight w:val="none"/>
        </w:rPr>
      </w:pPr>
    </w:p>
    <w:p w14:paraId="7F9DB40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0F4E0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63116E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4490DE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1A87E7C">
      <w:pPr>
        <w:snapToGrid w:val="0"/>
        <w:spacing w:line="360" w:lineRule="auto"/>
        <w:ind w:firstLine="480" w:firstLineChars="200"/>
        <w:rPr>
          <w:rFonts w:hint="eastAsia" w:ascii="宋体" w:hAnsi="宋体" w:cs="宋体"/>
          <w:color w:val="auto"/>
          <w:sz w:val="24"/>
          <w:highlight w:val="none"/>
        </w:rPr>
      </w:pPr>
    </w:p>
    <w:p w14:paraId="18095422">
      <w:pPr>
        <w:spacing w:line="360" w:lineRule="auto"/>
        <w:ind w:firstLine="480" w:firstLineChars="200"/>
        <w:rPr>
          <w:rFonts w:hint="eastAsia" w:ascii="宋体" w:hAnsi="宋体" w:cs="宋体"/>
          <w:color w:val="auto"/>
          <w:sz w:val="24"/>
          <w:highlight w:val="none"/>
        </w:rPr>
      </w:pPr>
    </w:p>
    <w:p w14:paraId="38ED643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62A26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p>
    <w:p w14:paraId="1A1440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ZJZT-2025-13461</w:t>
      </w:r>
      <w:r>
        <w:rPr>
          <w:rFonts w:hint="eastAsia" w:ascii="宋体" w:hAnsi="宋体" w:cs="宋体"/>
          <w:color w:val="auto"/>
          <w:sz w:val="24"/>
          <w:highlight w:val="none"/>
        </w:rPr>
        <w:t>】政府采购活动，郑重承诺：</w:t>
      </w:r>
    </w:p>
    <w:p w14:paraId="15FEA1E5">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959B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A6DA2D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B0C3D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FB1E0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0D0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C0970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12DD6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6893F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A50AC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3E728B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115157">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16A492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8623A2">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611C11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285A0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6112A8DD">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3E51CD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78FA2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4C642A6B">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9BC3652">
      <w:pPr>
        <w:widowControl/>
        <w:spacing w:line="360" w:lineRule="auto"/>
        <w:ind w:firstLine="480"/>
        <w:jc w:val="left"/>
        <w:rPr>
          <w:rFonts w:hint="eastAsia" w:ascii="宋体" w:hAnsi="宋体" w:cs="宋体"/>
          <w:color w:val="auto"/>
          <w:sz w:val="24"/>
          <w:highlight w:val="none"/>
        </w:rPr>
      </w:pPr>
    </w:p>
    <w:p w14:paraId="047CAD67">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14F21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4497C2C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D193500">
      <w:pPr>
        <w:widowControl/>
        <w:spacing w:line="360" w:lineRule="auto"/>
        <w:ind w:left="150"/>
        <w:jc w:val="center"/>
        <w:rPr>
          <w:rFonts w:hint="eastAsia" w:ascii="宋体" w:hAnsi="宋体" w:cs="宋体"/>
          <w:b/>
          <w:color w:val="auto"/>
          <w:kern w:val="0"/>
          <w:sz w:val="32"/>
          <w:szCs w:val="32"/>
          <w:highlight w:val="none"/>
        </w:rPr>
      </w:pPr>
    </w:p>
    <w:p w14:paraId="1B13048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3A0E25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0E171745">
      <w:pPr>
        <w:rPr>
          <w:rFonts w:hint="eastAsia" w:ascii="宋体" w:hAnsi="宋体" w:cs="宋体"/>
          <w:color w:val="auto"/>
          <w:highlight w:val="none"/>
        </w:rPr>
      </w:pPr>
    </w:p>
    <w:p w14:paraId="26E45D60">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1DF0544">
      <w:pPr>
        <w:tabs>
          <w:tab w:val="left" w:pos="432"/>
        </w:tabs>
        <w:rPr>
          <w:rFonts w:hint="eastAsia" w:ascii="宋体" w:hAnsi="宋体" w:cs="宋体"/>
          <w:color w:val="auto"/>
          <w:kern w:val="0"/>
          <w:sz w:val="36"/>
          <w:szCs w:val="36"/>
          <w:highlight w:val="none"/>
        </w:rPr>
      </w:pPr>
    </w:p>
    <w:p w14:paraId="03D9CFEF">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0AA936">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0A6EF4">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154F8DE4">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8031210">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8D8A61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4A677AC5">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7EDDB1ED">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9FFD38D">
      <w:pPr>
        <w:snapToGrid w:val="0"/>
        <w:spacing w:line="360" w:lineRule="auto"/>
        <w:jc w:val="center"/>
        <w:rPr>
          <w:rFonts w:hint="eastAsia"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066384D8">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32EC03E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p>
    <w:p w14:paraId="235F4A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ZJZT-2025-13461</w:t>
      </w:r>
      <w:r>
        <w:rPr>
          <w:rFonts w:hint="eastAsia" w:ascii="宋体" w:hAnsi="宋体" w:cs="宋体"/>
          <w:color w:val="auto"/>
          <w:sz w:val="24"/>
          <w:highlight w:val="none"/>
        </w:rPr>
        <w:t>】采购的有关活动，并对此项目提交响应文件及报价。为此：</w:t>
      </w:r>
    </w:p>
    <w:p w14:paraId="19A9B6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1ED7F3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14:paraId="5DB2D04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2FEE1F9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D3DF8B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D7B1B5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6D4751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9C5B00">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5C0DE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28F31E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A7A984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C31A7F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04F74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18F757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079A878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E4D7D4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CC4B6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2.3.1报价单；</w:t>
      </w:r>
    </w:p>
    <w:p w14:paraId="7175D8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2.3.2已标价工程量清单；</w:t>
      </w:r>
    </w:p>
    <w:p w14:paraId="5102930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6ACEADA2">
      <w:pPr>
        <w:pStyle w:val="80"/>
        <w:ind w:firstLine="48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rPr>
        <w:t>响应</w:t>
      </w:r>
      <w:r>
        <w:rPr>
          <w:rFonts w:hint="eastAsia" w:ascii="宋体" w:hAnsi="宋体" w:cs="宋体"/>
          <w:color w:val="auto"/>
          <w:sz w:val="24"/>
          <w:highlight w:val="none"/>
        </w:rPr>
        <w:t>文件中材料的真实性、合法性负责，积极配合采购人、采购代理机构复核响应文件中的资料。</w:t>
      </w:r>
    </w:p>
    <w:p w14:paraId="15E80E00">
      <w:pPr>
        <w:snapToGrid w:val="0"/>
        <w:spacing w:line="360" w:lineRule="auto"/>
        <w:ind w:firstLine="480" w:firstLineChars="200"/>
        <w:rPr>
          <w:rFonts w:hint="eastAsia" w:ascii="宋体" w:hAnsi="宋体" w:cs="宋体"/>
          <w:color w:val="auto"/>
          <w:sz w:val="24"/>
          <w:highlight w:val="none"/>
        </w:rPr>
      </w:pPr>
    </w:p>
    <w:p w14:paraId="026DCA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14:paraId="48EE1DF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72001EC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9AA1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CBF149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987068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C116E8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6、其他补充说明: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CA5849">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4A9AC2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C3F3B5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0D5A37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EED2B74">
      <w:pPr>
        <w:snapToGrid w:val="0"/>
        <w:spacing w:line="360" w:lineRule="auto"/>
        <w:jc w:val="center"/>
        <w:rPr>
          <w:rFonts w:hint="eastAsia" w:ascii="宋体" w:hAnsi="宋体" w:cs="宋体"/>
          <w:b/>
          <w:color w:val="auto"/>
          <w:kern w:val="0"/>
          <w:sz w:val="32"/>
          <w:szCs w:val="32"/>
          <w:highlight w:val="none"/>
        </w:rPr>
      </w:pPr>
    </w:p>
    <w:p w14:paraId="2BA8DA75">
      <w:pPr>
        <w:snapToGrid w:val="0"/>
        <w:spacing w:line="360" w:lineRule="auto"/>
        <w:rPr>
          <w:rFonts w:hint="eastAsia" w:ascii="宋体" w:hAnsi="宋体" w:cs="宋体"/>
          <w:color w:val="auto"/>
          <w:sz w:val="24"/>
          <w:highlight w:val="none"/>
        </w:rPr>
      </w:pPr>
    </w:p>
    <w:p w14:paraId="07D181C4">
      <w:pPr>
        <w:jc w:val="center"/>
        <w:rPr>
          <w:rFonts w:hint="eastAsia" w:ascii="宋体" w:hAnsi="宋体" w:cs="宋体"/>
          <w:b/>
          <w:color w:val="auto"/>
          <w:kern w:val="0"/>
          <w:sz w:val="32"/>
          <w:szCs w:val="32"/>
          <w:highlight w:val="none"/>
        </w:rPr>
      </w:pPr>
    </w:p>
    <w:p w14:paraId="0B6BE5B8">
      <w:pPr>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5586915">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BC42F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04D2F07">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C1219C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2D72BE6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ZJZT-2025-13461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5FF659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E902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02C5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C50B45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F2245B1">
      <w:pPr>
        <w:snapToGrid w:val="0"/>
        <w:spacing w:line="360" w:lineRule="auto"/>
        <w:rPr>
          <w:rFonts w:hint="eastAsia" w:ascii="宋体" w:hAnsi="宋体" w:cs="宋体"/>
          <w:color w:val="auto"/>
          <w:sz w:val="24"/>
          <w:highlight w:val="none"/>
        </w:rPr>
      </w:pPr>
    </w:p>
    <w:p w14:paraId="70D86EF7">
      <w:pPr>
        <w:snapToGrid w:val="0"/>
        <w:spacing w:line="360" w:lineRule="auto"/>
        <w:rPr>
          <w:rFonts w:hint="eastAsia" w:ascii="宋体" w:hAnsi="宋体" w:cs="宋体"/>
          <w:color w:val="auto"/>
          <w:sz w:val="24"/>
          <w:highlight w:val="none"/>
        </w:rPr>
      </w:pPr>
    </w:p>
    <w:p w14:paraId="3A25E780">
      <w:pPr>
        <w:snapToGrid w:val="0"/>
        <w:spacing w:line="360" w:lineRule="auto"/>
        <w:rPr>
          <w:rFonts w:hint="eastAsia" w:ascii="宋体" w:hAnsi="宋体" w:cs="宋体"/>
          <w:color w:val="auto"/>
          <w:sz w:val="24"/>
          <w:highlight w:val="none"/>
        </w:rPr>
      </w:pPr>
    </w:p>
    <w:p w14:paraId="5B2EF762">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3D55B4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1B1C2D4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ZJZT-2025-13461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301DF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9DE67A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43B3D80">
      <w:pPr>
        <w:jc w:val="center"/>
        <w:rPr>
          <w:rFonts w:hint="eastAsia" w:ascii="宋体" w:hAnsi="宋体" w:cs="宋体"/>
          <w:b/>
          <w:color w:val="auto"/>
          <w:kern w:val="0"/>
          <w:sz w:val="32"/>
          <w:szCs w:val="32"/>
          <w:highlight w:val="none"/>
        </w:rPr>
      </w:pPr>
    </w:p>
    <w:p w14:paraId="6FB30414">
      <w:pPr>
        <w:jc w:val="center"/>
        <w:rPr>
          <w:rFonts w:hint="eastAsia" w:ascii="宋体" w:hAnsi="宋体" w:cs="宋体"/>
          <w:b/>
          <w:color w:val="auto"/>
          <w:kern w:val="0"/>
          <w:sz w:val="32"/>
          <w:szCs w:val="32"/>
          <w:highlight w:val="none"/>
        </w:rPr>
      </w:pPr>
    </w:p>
    <w:p w14:paraId="41B07664">
      <w:pPr>
        <w:jc w:val="center"/>
        <w:rPr>
          <w:rFonts w:hint="eastAsia" w:ascii="宋体" w:hAnsi="宋体" w:cs="宋体"/>
          <w:b/>
          <w:color w:val="auto"/>
          <w:kern w:val="0"/>
          <w:sz w:val="32"/>
          <w:szCs w:val="32"/>
          <w:highlight w:val="none"/>
        </w:rPr>
      </w:pPr>
    </w:p>
    <w:p w14:paraId="29BAAF60">
      <w:pPr>
        <w:rPr>
          <w:rFonts w:hint="eastAsia" w:ascii="宋体" w:hAnsi="宋体" w:cs="宋体"/>
          <w:color w:val="auto"/>
          <w:highlight w:val="none"/>
        </w:rPr>
      </w:pPr>
    </w:p>
    <w:p w14:paraId="79E6AF9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EA48A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F14B8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AEBBB0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7404B1">
      <w:pPr>
        <w:snapToGrid w:val="0"/>
        <w:jc w:val="center"/>
        <w:rPr>
          <w:rFonts w:hint="eastAsia" w:ascii="宋体" w:hAnsi="宋体" w:cs="宋体"/>
          <w:b/>
          <w:bCs/>
          <w:color w:val="auto"/>
          <w:sz w:val="32"/>
          <w:szCs w:val="32"/>
          <w:highlight w:val="none"/>
          <w:lang w:val="zh-CN"/>
        </w:rPr>
      </w:pPr>
    </w:p>
    <w:p w14:paraId="0DE4D6C4">
      <w:pPr>
        <w:snapToGrid w:val="0"/>
        <w:jc w:val="center"/>
        <w:rPr>
          <w:rFonts w:hint="eastAsia" w:ascii="宋体" w:hAnsi="宋体" w:cs="宋体"/>
          <w:b/>
          <w:bCs/>
          <w:color w:val="auto"/>
          <w:sz w:val="32"/>
          <w:szCs w:val="32"/>
          <w:highlight w:val="none"/>
          <w:lang w:val="zh-CN"/>
        </w:rPr>
      </w:pPr>
    </w:p>
    <w:p w14:paraId="1F0FD63A">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3D9A2B50">
      <w:pPr>
        <w:pStyle w:val="15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71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7C7766">
            <w:pPr>
              <w:pStyle w:val="15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7FD6E00">
            <w:pPr>
              <w:pStyle w:val="150"/>
              <w:adjustRightInd w:val="0"/>
              <w:spacing w:line="360" w:lineRule="auto"/>
              <w:rPr>
                <w:rFonts w:hint="eastAsia" w:hAnsi="宋体" w:cs="宋体"/>
                <w:bCs/>
                <w:color w:val="auto"/>
                <w:sz w:val="24"/>
                <w:highlight w:val="none"/>
              </w:rPr>
            </w:pPr>
          </w:p>
        </w:tc>
      </w:tr>
    </w:tbl>
    <w:p w14:paraId="2E13452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45154A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F2A057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217B0A">
      <w:pPr>
        <w:jc w:val="center"/>
        <w:rPr>
          <w:rFonts w:hint="eastAsia" w:ascii="宋体" w:hAnsi="宋体" w:cs="宋体"/>
          <w:b/>
          <w:color w:val="auto"/>
          <w:kern w:val="0"/>
          <w:sz w:val="32"/>
          <w:szCs w:val="32"/>
          <w:highlight w:val="none"/>
        </w:rPr>
      </w:pPr>
    </w:p>
    <w:p w14:paraId="717A2308">
      <w:pPr>
        <w:jc w:val="center"/>
        <w:rPr>
          <w:rFonts w:hint="eastAsia" w:ascii="宋体" w:hAnsi="宋体" w:cs="宋体"/>
          <w:b/>
          <w:color w:val="auto"/>
          <w:kern w:val="0"/>
          <w:sz w:val="32"/>
          <w:szCs w:val="32"/>
          <w:highlight w:val="none"/>
        </w:rPr>
      </w:pPr>
    </w:p>
    <w:p w14:paraId="759EDDD1">
      <w:pPr>
        <w:jc w:val="center"/>
        <w:rPr>
          <w:rFonts w:hint="eastAsia" w:ascii="宋体" w:hAnsi="宋体" w:cs="宋体"/>
          <w:b/>
          <w:color w:val="auto"/>
          <w:kern w:val="0"/>
          <w:sz w:val="32"/>
          <w:szCs w:val="32"/>
          <w:highlight w:val="none"/>
        </w:rPr>
      </w:pPr>
    </w:p>
    <w:p w14:paraId="6AB09B20">
      <w:pPr>
        <w:jc w:val="center"/>
        <w:rPr>
          <w:rFonts w:hint="eastAsia" w:ascii="宋体" w:hAnsi="宋体" w:cs="宋体"/>
          <w:b/>
          <w:color w:val="auto"/>
          <w:kern w:val="0"/>
          <w:sz w:val="32"/>
          <w:szCs w:val="32"/>
          <w:highlight w:val="none"/>
        </w:rPr>
      </w:pPr>
    </w:p>
    <w:p w14:paraId="143C12BD">
      <w:pPr>
        <w:jc w:val="center"/>
        <w:rPr>
          <w:rFonts w:hint="eastAsia" w:ascii="宋体" w:hAnsi="宋体" w:cs="宋体"/>
          <w:b/>
          <w:color w:val="auto"/>
          <w:kern w:val="0"/>
          <w:sz w:val="32"/>
          <w:szCs w:val="32"/>
          <w:highlight w:val="none"/>
        </w:rPr>
      </w:pPr>
    </w:p>
    <w:p w14:paraId="5FA796A7">
      <w:pPr>
        <w:jc w:val="center"/>
        <w:rPr>
          <w:rFonts w:hint="eastAsia" w:ascii="宋体" w:hAnsi="宋体" w:cs="宋体"/>
          <w:b/>
          <w:color w:val="auto"/>
          <w:kern w:val="0"/>
          <w:sz w:val="32"/>
          <w:szCs w:val="32"/>
          <w:highlight w:val="none"/>
        </w:rPr>
      </w:pPr>
    </w:p>
    <w:p w14:paraId="3B4B7523">
      <w:pPr>
        <w:jc w:val="center"/>
        <w:rPr>
          <w:rFonts w:hint="eastAsia" w:ascii="宋体" w:hAnsi="宋体" w:cs="宋体"/>
          <w:b/>
          <w:color w:val="auto"/>
          <w:kern w:val="0"/>
          <w:sz w:val="32"/>
          <w:szCs w:val="32"/>
          <w:highlight w:val="none"/>
        </w:rPr>
      </w:pPr>
    </w:p>
    <w:p w14:paraId="58D98BD7">
      <w:pPr>
        <w:jc w:val="center"/>
        <w:rPr>
          <w:rFonts w:hint="eastAsia" w:ascii="宋体" w:hAnsi="宋体" w:cs="宋体"/>
          <w:b/>
          <w:color w:val="auto"/>
          <w:kern w:val="0"/>
          <w:sz w:val="32"/>
          <w:szCs w:val="32"/>
          <w:highlight w:val="none"/>
        </w:rPr>
      </w:pPr>
    </w:p>
    <w:p w14:paraId="2CD6A5ED">
      <w:pPr>
        <w:jc w:val="center"/>
        <w:rPr>
          <w:rFonts w:hint="eastAsia" w:ascii="宋体" w:hAnsi="宋体" w:cs="宋体"/>
          <w:b/>
          <w:color w:val="auto"/>
          <w:kern w:val="0"/>
          <w:sz w:val="32"/>
          <w:szCs w:val="32"/>
          <w:highlight w:val="none"/>
        </w:rPr>
      </w:pPr>
    </w:p>
    <w:p w14:paraId="41A84160">
      <w:pPr>
        <w:jc w:val="center"/>
        <w:rPr>
          <w:rFonts w:hint="eastAsia" w:ascii="宋体" w:hAnsi="宋体" w:cs="宋体"/>
          <w:b/>
          <w:color w:val="auto"/>
          <w:kern w:val="0"/>
          <w:sz w:val="32"/>
          <w:szCs w:val="32"/>
          <w:highlight w:val="none"/>
        </w:rPr>
      </w:pPr>
    </w:p>
    <w:p w14:paraId="6EE0D644">
      <w:pPr>
        <w:snapToGrid w:val="0"/>
        <w:spacing w:line="360" w:lineRule="auto"/>
        <w:ind w:right="480"/>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288D91A">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6FD9197">
      <w:pPr>
        <w:widowControl/>
        <w:spacing w:line="360" w:lineRule="auto"/>
        <w:ind w:firstLine="120" w:firstLineChars="50"/>
        <w:jc w:val="left"/>
        <w:rPr>
          <w:rFonts w:hint="eastAsia" w:ascii="宋体" w:hAnsi="宋体" w:cs="宋体"/>
          <w:color w:val="auto"/>
          <w:sz w:val="24"/>
          <w:highlight w:val="none"/>
        </w:rPr>
      </w:pPr>
      <w:bookmarkStart w:id="1023"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23"/>
    <w:p w14:paraId="18C70ADA">
      <w:pPr>
        <w:snapToGrid w:val="0"/>
        <w:spacing w:line="360" w:lineRule="auto"/>
        <w:rPr>
          <w:rFonts w:hint="eastAsia" w:ascii="宋体" w:hAnsi="宋体" w:cs="宋体"/>
          <w:color w:val="auto"/>
          <w:kern w:val="0"/>
          <w:sz w:val="24"/>
          <w:highlight w:val="none"/>
        </w:rPr>
      </w:pPr>
    </w:p>
    <w:p w14:paraId="26F7FB21">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269E1BB">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81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05740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3406FF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A13CDD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4CBA42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响应文件中的</w:t>
            </w:r>
          </w:p>
          <w:p w14:paraId="536597E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895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818F1">
            <w:pP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65197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332A8A63">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20BB988">
            <w:pPr>
              <w:rPr>
                <w:rFonts w:hint="eastAsia" w:ascii="宋体" w:hAnsi="宋体" w:cs="宋体"/>
                <w:color w:val="auto"/>
                <w:sz w:val="24"/>
                <w:highlight w:val="none"/>
              </w:rPr>
            </w:pPr>
            <w:r>
              <w:rPr>
                <w:rFonts w:hint="eastAsia" w:ascii="宋体" w:hAnsi="宋体" w:cs="宋体"/>
                <w:color w:val="auto"/>
                <w:sz w:val="24"/>
                <w:highlight w:val="none"/>
              </w:rPr>
              <w:t>见响应文件</w:t>
            </w:r>
          </w:p>
          <w:p w14:paraId="16D9476A">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02C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85D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E065E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568C776">
            <w:pPr>
              <w:rPr>
                <w:rFonts w:hint="eastAsia"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4FB8E191">
            <w:pPr>
              <w:rPr>
                <w:rFonts w:hint="eastAsia" w:ascii="宋体" w:hAnsi="宋体" w:cs="宋体"/>
                <w:color w:val="auto"/>
                <w:sz w:val="24"/>
                <w:highlight w:val="none"/>
              </w:rPr>
            </w:pPr>
            <w:r>
              <w:rPr>
                <w:rFonts w:hint="eastAsia" w:ascii="宋体" w:hAnsi="宋体" w:cs="宋体"/>
                <w:color w:val="auto"/>
                <w:sz w:val="24"/>
                <w:highlight w:val="none"/>
              </w:rPr>
              <w:t>见响应文件</w:t>
            </w:r>
          </w:p>
          <w:p w14:paraId="02B26081">
            <w:pPr>
              <w:pStyle w:val="3"/>
              <w:jc w:val="both"/>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7C6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83BBA7">
            <w:pP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6C2B2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164FB190">
            <w:pPr>
              <w:rPr>
                <w:rFonts w:hint="eastAsia"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A5B9DEF">
            <w:pP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CA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D9F824">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43112C5C">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04DF9081">
            <w:pPr>
              <w:rPr>
                <w:rFonts w:hint="eastAsia"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FB7587E">
            <w:pP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D95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76F7F8">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C138DB4">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5301D77">
            <w:pPr>
              <w:rPr>
                <w:rFonts w:hint="eastAsia" w:ascii="宋体" w:hAnsi="宋体" w:cs="宋体"/>
                <w:color w:val="auto"/>
                <w:kern w:val="0"/>
                <w:sz w:val="24"/>
                <w:highlight w:val="none"/>
              </w:rPr>
            </w:pPr>
          </w:p>
        </w:tc>
        <w:tc>
          <w:tcPr>
            <w:tcW w:w="1418" w:type="dxa"/>
            <w:vAlign w:val="center"/>
          </w:tcPr>
          <w:p w14:paraId="41E732D3">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A6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F1E8A9">
            <w:pPr>
              <w:jc w:val="center"/>
              <w:rPr>
                <w:color w:val="auto"/>
                <w:highlight w:val="none"/>
              </w:rPr>
            </w:pPr>
            <w:r>
              <w:rPr>
                <w:rFonts w:hint="eastAsia" w:ascii="宋体" w:hAnsi="宋体" w:cs="宋体"/>
                <w:color w:val="auto"/>
                <w:kern w:val="0"/>
                <w:sz w:val="24"/>
                <w:highlight w:val="none"/>
              </w:rPr>
              <w:t>……</w:t>
            </w:r>
          </w:p>
        </w:tc>
        <w:tc>
          <w:tcPr>
            <w:tcW w:w="4991" w:type="dxa"/>
          </w:tcPr>
          <w:p w14:paraId="6B7775C1">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60ED6F90">
            <w:pPr>
              <w:rPr>
                <w:rFonts w:hint="eastAsia" w:ascii="宋体" w:hAnsi="宋体" w:cs="宋体"/>
                <w:color w:val="auto"/>
                <w:kern w:val="0"/>
                <w:sz w:val="24"/>
                <w:highlight w:val="none"/>
              </w:rPr>
            </w:pPr>
          </w:p>
        </w:tc>
        <w:tc>
          <w:tcPr>
            <w:tcW w:w="1418" w:type="dxa"/>
            <w:vAlign w:val="center"/>
          </w:tcPr>
          <w:p w14:paraId="0FDDCA4C">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F32762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DEBB21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2、采购文件中实质性要求必须明确响应。</w:t>
      </w:r>
    </w:p>
    <w:p w14:paraId="561C53B4">
      <w:pPr>
        <w:pStyle w:val="82"/>
        <w:rPr>
          <w:rFonts w:hint="eastAsia"/>
          <w:color w:val="auto"/>
          <w:highlight w:val="none"/>
        </w:rPr>
      </w:pPr>
    </w:p>
    <w:p w14:paraId="17C40C84">
      <w:pPr>
        <w:jc w:val="center"/>
        <w:rPr>
          <w:rFonts w:hint="eastAsia" w:ascii="宋体" w:hAnsi="宋体" w:cs="宋体"/>
          <w:b/>
          <w:color w:val="auto"/>
          <w:kern w:val="0"/>
          <w:sz w:val="32"/>
          <w:szCs w:val="32"/>
          <w:highlight w:val="none"/>
        </w:rPr>
      </w:pPr>
    </w:p>
    <w:p w14:paraId="5720DB8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2938186">
      <w:pPr>
        <w:jc w:val="center"/>
        <w:rPr>
          <w:rFonts w:hint="eastAsia" w:ascii="宋体" w:hAnsi="宋体" w:cs="宋体"/>
          <w:b/>
          <w:color w:val="auto"/>
          <w:kern w:val="0"/>
          <w:sz w:val="32"/>
          <w:szCs w:val="32"/>
          <w:highlight w:val="none"/>
        </w:rPr>
      </w:pPr>
    </w:p>
    <w:p w14:paraId="0FDCA83B">
      <w:pPr>
        <w:jc w:val="center"/>
        <w:rPr>
          <w:rFonts w:hint="eastAsia" w:ascii="宋体" w:hAnsi="宋体" w:cs="宋体"/>
          <w:b/>
          <w:color w:val="auto"/>
          <w:kern w:val="0"/>
          <w:sz w:val="32"/>
          <w:szCs w:val="32"/>
          <w:highlight w:val="none"/>
        </w:rPr>
      </w:pPr>
    </w:p>
    <w:p w14:paraId="1F2E9BE7">
      <w:pPr>
        <w:jc w:val="center"/>
        <w:rPr>
          <w:rFonts w:hint="eastAsia" w:ascii="宋体" w:hAnsi="宋体" w:cs="宋体"/>
          <w:b/>
          <w:color w:val="auto"/>
          <w:kern w:val="0"/>
          <w:sz w:val="32"/>
          <w:szCs w:val="32"/>
          <w:highlight w:val="none"/>
        </w:rPr>
      </w:pPr>
    </w:p>
    <w:p w14:paraId="5A1FB6CC">
      <w:pPr>
        <w:jc w:val="center"/>
        <w:rPr>
          <w:rFonts w:hint="eastAsia" w:ascii="宋体" w:hAnsi="宋体" w:cs="宋体"/>
          <w:b/>
          <w:color w:val="auto"/>
          <w:kern w:val="0"/>
          <w:sz w:val="32"/>
          <w:szCs w:val="32"/>
          <w:highlight w:val="none"/>
        </w:rPr>
      </w:pPr>
    </w:p>
    <w:p w14:paraId="0DB48DB3">
      <w:pPr>
        <w:jc w:val="center"/>
        <w:rPr>
          <w:rFonts w:hint="eastAsia" w:ascii="宋体" w:hAnsi="宋体" w:cs="宋体"/>
          <w:b/>
          <w:color w:val="auto"/>
          <w:kern w:val="0"/>
          <w:sz w:val="32"/>
          <w:szCs w:val="32"/>
          <w:highlight w:val="none"/>
        </w:rPr>
      </w:pPr>
    </w:p>
    <w:p w14:paraId="62ACBA7B">
      <w:pPr>
        <w:jc w:val="center"/>
        <w:rPr>
          <w:rFonts w:hint="eastAsia" w:ascii="宋体" w:hAnsi="宋体" w:cs="宋体"/>
          <w:b/>
          <w:color w:val="auto"/>
          <w:kern w:val="0"/>
          <w:sz w:val="32"/>
          <w:szCs w:val="32"/>
          <w:highlight w:val="none"/>
        </w:rPr>
      </w:pPr>
    </w:p>
    <w:p w14:paraId="177AF234">
      <w:pPr>
        <w:jc w:val="center"/>
        <w:rPr>
          <w:rFonts w:hint="eastAsia" w:ascii="宋体" w:hAnsi="宋体" w:cs="宋体"/>
          <w:b/>
          <w:color w:val="auto"/>
          <w:kern w:val="0"/>
          <w:sz w:val="32"/>
          <w:szCs w:val="32"/>
          <w:highlight w:val="none"/>
        </w:rPr>
      </w:pPr>
    </w:p>
    <w:p w14:paraId="62AA6F7C">
      <w:pPr>
        <w:jc w:val="center"/>
        <w:rPr>
          <w:rFonts w:hint="eastAsia" w:ascii="宋体" w:hAnsi="宋体" w:cs="宋体"/>
          <w:b/>
          <w:color w:val="auto"/>
          <w:kern w:val="0"/>
          <w:sz w:val="32"/>
          <w:szCs w:val="32"/>
          <w:highlight w:val="none"/>
        </w:rPr>
      </w:pPr>
    </w:p>
    <w:p w14:paraId="3F83C389">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CF1304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0CC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D678B4">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3DE1417F">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响应文件中评标标准相应的商务技术资料目录*</w:t>
            </w:r>
          </w:p>
        </w:tc>
        <w:tc>
          <w:tcPr>
            <w:tcW w:w="3046" w:type="dxa"/>
          </w:tcPr>
          <w:p w14:paraId="059A7025">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响应文件中的页码位置</w:t>
            </w:r>
          </w:p>
        </w:tc>
      </w:tr>
      <w:tr w14:paraId="4B77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F0EAD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786CFE5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0865FBBE">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AD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ECCFF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63F2690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5B423E2">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6A1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A81910">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BD676D2">
            <w:pPr>
              <w:snapToGrid w:val="0"/>
              <w:spacing w:line="360" w:lineRule="auto"/>
              <w:jc w:val="center"/>
              <w:rPr>
                <w:rFonts w:hint="eastAsia" w:ascii="宋体" w:hAnsi="宋体" w:cs="宋体"/>
                <w:bCs/>
                <w:color w:val="auto"/>
                <w:sz w:val="24"/>
                <w:highlight w:val="none"/>
              </w:rPr>
            </w:pPr>
          </w:p>
        </w:tc>
        <w:tc>
          <w:tcPr>
            <w:tcW w:w="3046" w:type="dxa"/>
          </w:tcPr>
          <w:p w14:paraId="5D99215E">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D133753">
      <w:pPr>
        <w:jc w:val="center"/>
        <w:rPr>
          <w:rFonts w:hint="eastAsia" w:ascii="宋体" w:hAnsi="宋体" w:cs="宋体"/>
          <w:b/>
          <w:color w:val="auto"/>
          <w:kern w:val="0"/>
          <w:sz w:val="32"/>
          <w:szCs w:val="32"/>
          <w:highlight w:val="none"/>
        </w:rPr>
      </w:pPr>
    </w:p>
    <w:p w14:paraId="053E3C4E">
      <w:pPr>
        <w:jc w:val="center"/>
        <w:rPr>
          <w:rFonts w:hint="eastAsia" w:ascii="宋体" w:hAnsi="宋体" w:cs="宋体"/>
          <w:b/>
          <w:color w:val="auto"/>
          <w:kern w:val="0"/>
          <w:sz w:val="32"/>
          <w:szCs w:val="32"/>
          <w:highlight w:val="none"/>
        </w:rPr>
      </w:pPr>
    </w:p>
    <w:p w14:paraId="3F9C24F3">
      <w:pPr>
        <w:jc w:val="center"/>
        <w:rPr>
          <w:rFonts w:hint="eastAsia" w:ascii="宋体" w:hAnsi="宋体" w:cs="宋体"/>
          <w:b/>
          <w:color w:val="auto"/>
          <w:kern w:val="0"/>
          <w:sz w:val="32"/>
          <w:szCs w:val="32"/>
          <w:highlight w:val="none"/>
        </w:rPr>
      </w:pPr>
    </w:p>
    <w:p w14:paraId="644242FC">
      <w:pPr>
        <w:jc w:val="center"/>
        <w:rPr>
          <w:rFonts w:hint="eastAsia" w:ascii="宋体" w:hAnsi="宋体" w:cs="宋体"/>
          <w:b/>
          <w:color w:val="auto"/>
          <w:kern w:val="0"/>
          <w:sz w:val="32"/>
          <w:szCs w:val="32"/>
          <w:highlight w:val="none"/>
        </w:rPr>
      </w:pPr>
    </w:p>
    <w:p w14:paraId="5D10AD0A">
      <w:pPr>
        <w:jc w:val="center"/>
        <w:rPr>
          <w:rFonts w:hint="eastAsia" w:ascii="宋体" w:hAnsi="宋体" w:cs="宋体"/>
          <w:b/>
          <w:color w:val="auto"/>
          <w:kern w:val="0"/>
          <w:sz w:val="32"/>
          <w:szCs w:val="32"/>
          <w:highlight w:val="none"/>
        </w:rPr>
      </w:pPr>
    </w:p>
    <w:p w14:paraId="63CB3D42">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4E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A0B02">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1851322">
            <w:pPr>
              <w:jc w:val="center"/>
              <w:rPr>
                <w:rFonts w:hint="eastAsia"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93BDD2A">
            <w:pPr>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8A0579D">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CDF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365C7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485AD01">
            <w:pPr>
              <w:jc w:val="center"/>
              <w:rPr>
                <w:rFonts w:hint="eastAsia" w:ascii="宋体" w:hAnsi="宋体" w:cs="宋体"/>
                <w:b/>
                <w:color w:val="auto"/>
                <w:kern w:val="0"/>
                <w:sz w:val="32"/>
                <w:szCs w:val="32"/>
                <w:highlight w:val="none"/>
              </w:rPr>
            </w:pPr>
          </w:p>
        </w:tc>
        <w:tc>
          <w:tcPr>
            <w:tcW w:w="3546" w:type="dxa"/>
          </w:tcPr>
          <w:p w14:paraId="674AB130">
            <w:pPr>
              <w:jc w:val="center"/>
              <w:rPr>
                <w:rFonts w:hint="eastAsia" w:ascii="宋体" w:hAnsi="宋体" w:cs="宋体"/>
                <w:b/>
                <w:color w:val="auto"/>
                <w:kern w:val="0"/>
                <w:sz w:val="32"/>
                <w:szCs w:val="32"/>
                <w:highlight w:val="none"/>
              </w:rPr>
            </w:pPr>
          </w:p>
        </w:tc>
        <w:tc>
          <w:tcPr>
            <w:tcW w:w="1276" w:type="dxa"/>
          </w:tcPr>
          <w:p w14:paraId="377C76A0">
            <w:pPr>
              <w:jc w:val="center"/>
              <w:rPr>
                <w:rFonts w:hint="eastAsia" w:ascii="宋体" w:hAnsi="宋体" w:cs="宋体"/>
                <w:b/>
                <w:color w:val="auto"/>
                <w:kern w:val="0"/>
                <w:sz w:val="32"/>
                <w:szCs w:val="32"/>
                <w:highlight w:val="none"/>
              </w:rPr>
            </w:pPr>
          </w:p>
        </w:tc>
      </w:tr>
      <w:tr w14:paraId="4768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00CD5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ED24F1B">
            <w:pPr>
              <w:jc w:val="center"/>
              <w:rPr>
                <w:rFonts w:hint="eastAsia" w:ascii="宋体" w:hAnsi="宋体" w:cs="宋体"/>
                <w:b/>
                <w:color w:val="auto"/>
                <w:kern w:val="0"/>
                <w:sz w:val="32"/>
                <w:szCs w:val="32"/>
                <w:highlight w:val="none"/>
              </w:rPr>
            </w:pPr>
          </w:p>
        </w:tc>
        <w:tc>
          <w:tcPr>
            <w:tcW w:w="3546" w:type="dxa"/>
          </w:tcPr>
          <w:p w14:paraId="4531AA1B">
            <w:pPr>
              <w:jc w:val="center"/>
              <w:rPr>
                <w:rFonts w:hint="eastAsia" w:ascii="宋体" w:hAnsi="宋体" w:cs="宋体"/>
                <w:b/>
                <w:color w:val="auto"/>
                <w:kern w:val="0"/>
                <w:sz w:val="32"/>
                <w:szCs w:val="32"/>
                <w:highlight w:val="none"/>
              </w:rPr>
            </w:pPr>
          </w:p>
        </w:tc>
        <w:tc>
          <w:tcPr>
            <w:tcW w:w="1276" w:type="dxa"/>
          </w:tcPr>
          <w:p w14:paraId="1D57ABD9">
            <w:pPr>
              <w:jc w:val="center"/>
              <w:rPr>
                <w:rFonts w:hint="eastAsia" w:ascii="宋体" w:hAnsi="宋体" w:cs="宋体"/>
                <w:b/>
                <w:color w:val="auto"/>
                <w:kern w:val="0"/>
                <w:sz w:val="32"/>
                <w:szCs w:val="32"/>
                <w:highlight w:val="none"/>
              </w:rPr>
            </w:pPr>
          </w:p>
        </w:tc>
      </w:tr>
      <w:tr w14:paraId="0F61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ADE61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260BD33">
            <w:pPr>
              <w:jc w:val="center"/>
              <w:rPr>
                <w:rFonts w:hint="eastAsia" w:ascii="宋体" w:hAnsi="宋体" w:cs="宋体"/>
                <w:b/>
                <w:color w:val="auto"/>
                <w:kern w:val="0"/>
                <w:sz w:val="32"/>
                <w:szCs w:val="32"/>
                <w:highlight w:val="none"/>
              </w:rPr>
            </w:pPr>
          </w:p>
        </w:tc>
        <w:tc>
          <w:tcPr>
            <w:tcW w:w="3546" w:type="dxa"/>
          </w:tcPr>
          <w:p w14:paraId="244713E3">
            <w:pPr>
              <w:jc w:val="center"/>
              <w:rPr>
                <w:rFonts w:hint="eastAsia" w:ascii="宋体" w:hAnsi="宋体" w:cs="宋体"/>
                <w:b/>
                <w:color w:val="auto"/>
                <w:kern w:val="0"/>
                <w:sz w:val="32"/>
                <w:szCs w:val="32"/>
                <w:highlight w:val="none"/>
              </w:rPr>
            </w:pPr>
          </w:p>
        </w:tc>
        <w:tc>
          <w:tcPr>
            <w:tcW w:w="1276" w:type="dxa"/>
          </w:tcPr>
          <w:p w14:paraId="55D2B472">
            <w:pPr>
              <w:jc w:val="center"/>
              <w:rPr>
                <w:rFonts w:hint="eastAsia" w:ascii="宋体" w:hAnsi="宋体" w:cs="宋体"/>
                <w:b/>
                <w:color w:val="auto"/>
                <w:kern w:val="0"/>
                <w:sz w:val="32"/>
                <w:szCs w:val="32"/>
                <w:highlight w:val="none"/>
              </w:rPr>
            </w:pPr>
          </w:p>
        </w:tc>
      </w:tr>
    </w:tbl>
    <w:p w14:paraId="234AFBB8">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EA78881">
      <w:pPr>
        <w:jc w:val="center"/>
        <w:rPr>
          <w:rFonts w:hint="eastAsia" w:ascii="宋体" w:hAnsi="宋体" w:cs="宋体"/>
          <w:b/>
          <w:color w:val="auto"/>
          <w:kern w:val="0"/>
          <w:sz w:val="32"/>
          <w:szCs w:val="32"/>
          <w:highlight w:val="none"/>
        </w:rPr>
      </w:pPr>
    </w:p>
    <w:p w14:paraId="4C2C7B5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1851844">
      <w:pPr>
        <w:pStyle w:val="82"/>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2.本表格所反映的偏离情况与“符合性审查资料”、“评标标准相应的商务技术资料”不一致的，以“符合性审查资料”、“评标标准相应的商务技术资料”为准。</w:t>
      </w:r>
    </w:p>
    <w:p w14:paraId="4A00CA1C">
      <w:pPr>
        <w:pStyle w:val="82"/>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3.供应商须保证：除商务技术偏离表列出的偏离外，供应商响应招标文件的全部非实质性要求。</w:t>
      </w:r>
    </w:p>
    <w:p w14:paraId="1B56731C">
      <w:pPr>
        <w:spacing w:line="360" w:lineRule="auto"/>
        <w:ind w:right="420"/>
        <w:rPr>
          <w:rFonts w:hint="eastAsia" w:ascii="宋体" w:hAnsi="宋体" w:cs="宋体"/>
          <w:color w:val="auto"/>
          <w:sz w:val="24"/>
          <w:highlight w:val="none"/>
        </w:rPr>
      </w:pPr>
    </w:p>
    <w:p w14:paraId="5E8AB1F7">
      <w:pPr>
        <w:ind w:firstLine="1911" w:firstLineChars="595"/>
        <w:rPr>
          <w:rFonts w:hint="eastAsia"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09DA44CC">
      <w:pPr>
        <w:snapToGrid w:val="0"/>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58E0773">
      <w:pPr>
        <w:snapToGrid w:val="0"/>
        <w:spacing w:line="360" w:lineRule="auto"/>
        <w:rPr>
          <w:rFonts w:hint="eastAsia" w:ascii="宋体" w:hAnsi="宋体" w:cs="宋体"/>
          <w:color w:val="auto"/>
          <w:sz w:val="24"/>
          <w:highlight w:val="none"/>
        </w:rPr>
      </w:pPr>
    </w:p>
    <w:p w14:paraId="04C0893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 xml:space="preserve">    、浙江中通通信有限公司</w:t>
      </w:r>
      <w:r>
        <w:rPr>
          <w:rFonts w:hint="eastAsia" w:ascii="宋体" w:hAnsi="宋体" w:cs="宋体"/>
          <w:color w:val="auto"/>
          <w:kern w:val="0"/>
          <w:sz w:val="24"/>
          <w:highlight w:val="none"/>
          <w:lang w:val="zh-CN"/>
        </w:rPr>
        <w:t>：</w:t>
      </w:r>
    </w:p>
    <w:p w14:paraId="695DC76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DB8410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A40F6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0F0869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67247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DEEE77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1335C5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A6B06D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6F35D7F">
      <w:pPr>
        <w:autoSpaceDE w:val="0"/>
        <w:autoSpaceDN w:val="0"/>
        <w:spacing w:line="360" w:lineRule="auto"/>
        <w:ind w:left="2"/>
        <w:jc w:val="left"/>
        <w:rPr>
          <w:rFonts w:hint="eastAsia" w:ascii="宋体" w:hAnsi="宋体" w:cs="宋体"/>
          <w:color w:val="auto"/>
          <w:kern w:val="0"/>
          <w:sz w:val="24"/>
          <w:highlight w:val="none"/>
          <w:lang w:val="zh-CN"/>
        </w:rPr>
      </w:pPr>
    </w:p>
    <w:p w14:paraId="3156ABBA">
      <w:pPr>
        <w:autoSpaceDE w:val="0"/>
        <w:autoSpaceDN w:val="0"/>
        <w:spacing w:line="360" w:lineRule="auto"/>
        <w:ind w:left="2"/>
        <w:jc w:val="left"/>
        <w:rPr>
          <w:rFonts w:hint="eastAsia" w:ascii="宋体" w:hAnsi="宋体" w:cs="宋体"/>
          <w:color w:val="auto"/>
          <w:kern w:val="0"/>
          <w:sz w:val="24"/>
          <w:highlight w:val="none"/>
          <w:lang w:val="zh-CN"/>
        </w:rPr>
      </w:pPr>
    </w:p>
    <w:p w14:paraId="6506C932">
      <w:pPr>
        <w:autoSpaceDE w:val="0"/>
        <w:autoSpaceDN w:val="0"/>
        <w:spacing w:line="360" w:lineRule="auto"/>
        <w:ind w:left="2"/>
        <w:jc w:val="left"/>
        <w:rPr>
          <w:rFonts w:hint="eastAsia" w:ascii="宋体" w:hAnsi="宋体" w:cs="宋体"/>
          <w:color w:val="auto"/>
          <w:kern w:val="0"/>
          <w:sz w:val="24"/>
          <w:highlight w:val="none"/>
          <w:lang w:val="zh-CN"/>
        </w:rPr>
      </w:pPr>
    </w:p>
    <w:p w14:paraId="50618012">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7B048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68E47D">
      <w:pPr>
        <w:spacing w:line="360" w:lineRule="auto"/>
        <w:jc w:val="center"/>
        <w:rPr>
          <w:rFonts w:hint="eastAsia" w:ascii="宋体" w:hAnsi="宋体" w:cs="宋体"/>
          <w:b/>
          <w:bCs/>
          <w:color w:val="auto"/>
          <w:sz w:val="24"/>
          <w:highlight w:val="none"/>
        </w:rPr>
      </w:pPr>
    </w:p>
    <w:p w14:paraId="3412738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2E65C34">
      <w:pPr>
        <w:spacing w:line="360" w:lineRule="auto"/>
        <w:jc w:val="center"/>
        <w:rPr>
          <w:rFonts w:hint="eastAsia"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1A6C1B26">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05A35A1">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C83D80">
      <w:pPr>
        <w:spacing w:line="360" w:lineRule="auto"/>
        <w:jc w:val="center"/>
        <w:rPr>
          <w:rFonts w:hint="eastAsia" w:ascii="宋体" w:hAnsi="宋体" w:cs="宋体"/>
          <w:b/>
          <w:color w:val="auto"/>
          <w:kern w:val="0"/>
          <w:sz w:val="36"/>
          <w:szCs w:val="36"/>
          <w:highlight w:val="none"/>
        </w:rPr>
      </w:pPr>
    </w:p>
    <w:p w14:paraId="1FEC337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437E24A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（2）已标价工程量清单……………………………………………………………（页码）</w:t>
      </w:r>
    </w:p>
    <w:p w14:paraId="59511A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1763EFFB">
      <w:pPr>
        <w:pStyle w:val="80"/>
        <w:rPr>
          <w:rFonts w:hint="eastAsia"/>
          <w:color w:val="auto"/>
          <w:highlight w:val="none"/>
        </w:rPr>
      </w:pPr>
    </w:p>
    <w:p w14:paraId="6FFA260E">
      <w:pPr>
        <w:snapToGrid w:val="0"/>
        <w:spacing w:line="360" w:lineRule="auto"/>
        <w:ind w:right="480"/>
        <w:jc w:val="center"/>
        <w:rPr>
          <w:rFonts w:hint="eastAsia" w:ascii="宋体" w:hAnsi="宋体" w:cs="宋体"/>
          <w:b/>
          <w:color w:val="auto"/>
          <w:kern w:val="0"/>
          <w:sz w:val="32"/>
          <w:szCs w:val="32"/>
          <w:highlight w:val="none"/>
        </w:rPr>
      </w:pPr>
    </w:p>
    <w:p w14:paraId="6A92D7ED">
      <w:pPr>
        <w:snapToGrid w:val="0"/>
        <w:spacing w:line="360" w:lineRule="auto"/>
        <w:ind w:right="480"/>
        <w:jc w:val="center"/>
        <w:rPr>
          <w:rFonts w:hint="eastAsia" w:ascii="宋体" w:hAnsi="宋体" w:cs="宋体"/>
          <w:b/>
          <w:color w:val="auto"/>
          <w:kern w:val="0"/>
          <w:sz w:val="32"/>
          <w:szCs w:val="32"/>
          <w:highlight w:val="none"/>
        </w:rPr>
      </w:pPr>
    </w:p>
    <w:p w14:paraId="1E728E38">
      <w:pPr>
        <w:snapToGrid w:val="0"/>
        <w:spacing w:line="360" w:lineRule="auto"/>
        <w:ind w:right="480"/>
        <w:jc w:val="center"/>
        <w:rPr>
          <w:rFonts w:hint="eastAsia" w:ascii="宋体" w:hAnsi="宋体" w:cs="宋体"/>
          <w:b/>
          <w:color w:val="auto"/>
          <w:kern w:val="0"/>
          <w:sz w:val="32"/>
          <w:szCs w:val="32"/>
          <w:highlight w:val="none"/>
        </w:rPr>
      </w:pPr>
    </w:p>
    <w:p w14:paraId="2BC6BC22">
      <w:pPr>
        <w:snapToGrid w:val="0"/>
        <w:spacing w:line="360" w:lineRule="auto"/>
        <w:ind w:right="480"/>
        <w:jc w:val="center"/>
        <w:rPr>
          <w:rFonts w:hint="eastAsia" w:ascii="宋体" w:hAnsi="宋体" w:cs="宋体"/>
          <w:b/>
          <w:color w:val="auto"/>
          <w:kern w:val="0"/>
          <w:sz w:val="32"/>
          <w:szCs w:val="32"/>
          <w:highlight w:val="none"/>
        </w:rPr>
      </w:pPr>
    </w:p>
    <w:p w14:paraId="022C2A44">
      <w:pPr>
        <w:snapToGrid w:val="0"/>
        <w:spacing w:line="360" w:lineRule="auto"/>
        <w:ind w:right="480"/>
        <w:jc w:val="center"/>
        <w:rPr>
          <w:rFonts w:hint="eastAsia" w:ascii="宋体" w:hAnsi="宋体" w:cs="宋体"/>
          <w:b/>
          <w:color w:val="auto"/>
          <w:kern w:val="0"/>
          <w:sz w:val="32"/>
          <w:szCs w:val="32"/>
          <w:highlight w:val="none"/>
        </w:rPr>
      </w:pPr>
    </w:p>
    <w:p w14:paraId="735E11DF">
      <w:pPr>
        <w:snapToGrid w:val="0"/>
        <w:spacing w:line="360" w:lineRule="auto"/>
        <w:ind w:right="480"/>
        <w:jc w:val="center"/>
        <w:rPr>
          <w:rFonts w:hint="eastAsia" w:ascii="宋体" w:hAnsi="宋体" w:cs="宋体"/>
          <w:b/>
          <w:color w:val="auto"/>
          <w:kern w:val="0"/>
          <w:sz w:val="32"/>
          <w:szCs w:val="32"/>
          <w:highlight w:val="none"/>
        </w:rPr>
      </w:pPr>
    </w:p>
    <w:p w14:paraId="7AE0876E">
      <w:pPr>
        <w:snapToGrid w:val="0"/>
        <w:spacing w:line="360" w:lineRule="auto"/>
        <w:ind w:right="480"/>
        <w:jc w:val="center"/>
        <w:rPr>
          <w:rFonts w:hint="eastAsia" w:ascii="宋体" w:hAnsi="宋体" w:cs="宋体"/>
          <w:b/>
          <w:color w:val="auto"/>
          <w:kern w:val="0"/>
          <w:sz w:val="32"/>
          <w:szCs w:val="32"/>
          <w:highlight w:val="none"/>
        </w:rPr>
      </w:pPr>
    </w:p>
    <w:p w14:paraId="12B87BA1">
      <w:pPr>
        <w:snapToGrid w:val="0"/>
        <w:spacing w:line="360" w:lineRule="auto"/>
        <w:ind w:right="480"/>
        <w:jc w:val="center"/>
        <w:rPr>
          <w:rFonts w:hint="eastAsia" w:ascii="宋体" w:hAnsi="宋体" w:cs="宋体"/>
          <w:b/>
          <w:color w:val="auto"/>
          <w:kern w:val="0"/>
          <w:sz w:val="32"/>
          <w:szCs w:val="32"/>
          <w:highlight w:val="none"/>
        </w:rPr>
      </w:pPr>
    </w:p>
    <w:p w14:paraId="4A6B7BEC">
      <w:pPr>
        <w:snapToGrid w:val="0"/>
        <w:spacing w:line="360" w:lineRule="auto"/>
        <w:ind w:right="480"/>
        <w:jc w:val="center"/>
        <w:rPr>
          <w:rFonts w:hint="eastAsia" w:ascii="宋体" w:hAnsi="宋体" w:cs="宋体"/>
          <w:b/>
          <w:color w:val="auto"/>
          <w:kern w:val="0"/>
          <w:sz w:val="32"/>
          <w:szCs w:val="32"/>
          <w:highlight w:val="none"/>
        </w:rPr>
      </w:pPr>
    </w:p>
    <w:p w14:paraId="187DDB90">
      <w:pPr>
        <w:snapToGrid w:val="0"/>
        <w:spacing w:line="360" w:lineRule="auto"/>
        <w:ind w:right="480"/>
        <w:jc w:val="center"/>
        <w:rPr>
          <w:rFonts w:hint="eastAsia" w:ascii="宋体" w:hAnsi="宋体" w:cs="宋体"/>
          <w:b/>
          <w:color w:val="auto"/>
          <w:kern w:val="0"/>
          <w:sz w:val="32"/>
          <w:szCs w:val="32"/>
          <w:highlight w:val="none"/>
        </w:rPr>
      </w:pPr>
    </w:p>
    <w:p w14:paraId="2F5CDA16">
      <w:pPr>
        <w:snapToGrid w:val="0"/>
        <w:spacing w:line="360" w:lineRule="auto"/>
        <w:ind w:right="480"/>
        <w:jc w:val="center"/>
        <w:rPr>
          <w:rFonts w:hint="eastAsia" w:ascii="宋体" w:hAnsi="宋体" w:cs="宋体"/>
          <w:b/>
          <w:color w:val="auto"/>
          <w:kern w:val="0"/>
          <w:sz w:val="32"/>
          <w:szCs w:val="32"/>
          <w:highlight w:val="none"/>
        </w:rPr>
      </w:pPr>
    </w:p>
    <w:p w14:paraId="18274F5E">
      <w:pPr>
        <w:snapToGrid w:val="0"/>
        <w:spacing w:line="360" w:lineRule="auto"/>
        <w:ind w:right="480"/>
        <w:jc w:val="center"/>
        <w:rPr>
          <w:rFonts w:hint="eastAsia" w:ascii="宋体" w:hAnsi="宋体" w:cs="宋体"/>
          <w:b/>
          <w:color w:val="auto"/>
          <w:kern w:val="0"/>
          <w:sz w:val="32"/>
          <w:szCs w:val="32"/>
          <w:highlight w:val="none"/>
        </w:rPr>
      </w:pPr>
    </w:p>
    <w:p w14:paraId="371C86AA">
      <w:pPr>
        <w:snapToGrid w:val="0"/>
        <w:spacing w:line="360" w:lineRule="auto"/>
        <w:ind w:right="480"/>
        <w:jc w:val="center"/>
        <w:rPr>
          <w:rFonts w:hint="eastAsia" w:ascii="宋体" w:hAnsi="宋体" w:cs="宋体"/>
          <w:b/>
          <w:color w:val="auto"/>
          <w:kern w:val="0"/>
          <w:sz w:val="32"/>
          <w:szCs w:val="32"/>
          <w:highlight w:val="none"/>
        </w:rPr>
      </w:pPr>
    </w:p>
    <w:p w14:paraId="5C670677">
      <w:pPr>
        <w:snapToGrid w:val="0"/>
        <w:spacing w:line="360" w:lineRule="auto"/>
        <w:ind w:right="480"/>
        <w:jc w:val="center"/>
        <w:rPr>
          <w:rFonts w:hint="eastAsia" w:ascii="宋体" w:hAnsi="宋体" w:cs="宋体"/>
          <w:b/>
          <w:color w:val="auto"/>
          <w:kern w:val="0"/>
          <w:sz w:val="32"/>
          <w:szCs w:val="32"/>
          <w:highlight w:val="none"/>
        </w:rPr>
      </w:pPr>
    </w:p>
    <w:p w14:paraId="776FF3D8">
      <w:pPr>
        <w:snapToGrid w:val="0"/>
        <w:spacing w:line="360" w:lineRule="auto"/>
        <w:ind w:right="480"/>
        <w:jc w:val="center"/>
        <w:rPr>
          <w:rFonts w:hint="eastAsia" w:ascii="宋体" w:hAnsi="宋体" w:cs="宋体"/>
          <w:b/>
          <w:color w:val="auto"/>
          <w:kern w:val="0"/>
          <w:sz w:val="32"/>
          <w:szCs w:val="32"/>
          <w:highlight w:val="none"/>
        </w:rPr>
      </w:pPr>
    </w:p>
    <w:p w14:paraId="1CEAA5E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0EB28EA">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88D9A5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3B669C80">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ZJZT-2025-13461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A8EAA5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73F5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2AF0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50585CB9">
            <w:pPr>
              <w:spacing w:line="360" w:lineRule="auto"/>
              <w:jc w:val="center"/>
              <w:rPr>
                <w:rFonts w:hint="eastAsia" w:ascii="宋体" w:hAnsi="宋体" w:cs="宋体"/>
                <w:b/>
                <w:color w:val="auto"/>
                <w:sz w:val="24"/>
                <w:highlight w:val="none"/>
              </w:rPr>
            </w:pPr>
          </w:p>
          <w:p w14:paraId="68EA0E5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7634A6A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5CEA0AF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19B480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3CA9DAA4">
            <w:pPr>
              <w:spacing w:line="360" w:lineRule="auto"/>
              <w:jc w:val="center"/>
              <w:rPr>
                <w:rFonts w:hint="eastAsia" w:ascii="宋体" w:hAnsi="宋体" w:cs="宋体"/>
                <w:b/>
                <w:color w:val="auto"/>
                <w:sz w:val="24"/>
                <w:highlight w:val="none"/>
              </w:rPr>
            </w:pPr>
          </w:p>
          <w:p w14:paraId="5B359DE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2F82021">
            <w:pPr>
              <w:spacing w:line="360" w:lineRule="auto"/>
              <w:jc w:val="center"/>
              <w:rPr>
                <w:rFonts w:hint="eastAsia" w:ascii="宋体" w:hAnsi="宋体" w:cs="宋体"/>
                <w:b/>
                <w:color w:val="auto"/>
                <w:sz w:val="24"/>
                <w:highlight w:val="none"/>
              </w:rPr>
            </w:pPr>
          </w:p>
        </w:tc>
      </w:tr>
      <w:tr w14:paraId="7DA1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9FFACA3">
            <w:pPr>
              <w:snapToGrid w:val="0"/>
              <w:spacing w:line="360" w:lineRule="auto"/>
              <w:jc w:val="center"/>
              <w:rPr>
                <w:rFonts w:hint="eastAsia" w:ascii="宋体" w:hAnsi="宋体" w:cs="宋体"/>
                <w:color w:val="auto"/>
                <w:sz w:val="24"/>
                <w:highlight w:val="none"/>
              </w:rPr>
            </w:pPr>
          </w:p>
        </w:tc>
        <w:tc>
          <w:tcPr>
            <w:tcW w:w="1843" w:type="dxa"/>
            <w:vAlign w:val="center"/>
          </w:tcPr>
          <w:p w14:paraId="508EAEAC">
            <w:pPr>
              <w:snapToGrid w:val="0"/>
              <w:spacing w:line="360" w:lineRule="auto"/>
              <w:jc w:val="center"/>
              <w:rPr>
                <w:rFonts w:hint="eastAsia" w:ascii="宋体" w:hAnsi="宋体" w:cs="宋体"/>
                <w:color w:val="auto"/>
                <w:sz w:val="24"/>
                <w:highlight w:val="none"/>
              </w:rPr>
            </w:pPr>
          </w:p>
        </w:tc>
        <w:tc>
          <w:tcPr>
            <w:tcW w:w="3118" w:type="dxa"/>
            <w:vAlign w:val="center"/>
          </w:tcPr>
          <w:p w14:paraId="0CCFE4F0">
            <w:pPr>
              <w:snapToGrid w:val="0"/>
              <w:spacing w:line="360" w:lineRule="auto"/>
              <w:jc w:val="center"/>
              <w:rPr>
                <w:rFonts w:hint="eastAsia" w:ascii="宋体" w:hAnsi="宋体" w:cs="宋体"/>
                <w:color w:val="auto"/>
                <w:sz w:val="24"/>
                <w:highlight w:val="none"/>
              </w:rPr>
            </w:pPr>
          </w:p>
        </w:tc>
        <w:tc>
          <w:tcPr>
            <w:tcW w:w="2552" w:type="dxa"/>
            <w:vAlign w:val="center"/>
          </w:tcPr>
          <w:p w14:paraId="1E8E869C">
            <w:pPr>
              <w:spacing w:line="360" w:lineRule="auto"/>
              <w:jc w:val="center"/>
              <w:rPr>
                <w:rFonts w:hint="eastAsia" w:ascii="宋体" w:hAnsi="宋体" w:cs="宋体"/>
                <w:color w:val="auto"/>
                <w:sz w:val="24"/>
                <w:highlight w:val="none"/>
              </w:rPr>
            </w:pPr>
          </w:p>
        </w:tc>
        <w:tc>
          <w:tcPr>
            <w:tcW w:w="1984" w:type="dxa"/>
            <w:vAlign w:val="center"/>
          </w:tcPr>
          <w:p w14:paraId="5CCEC3B8">
            <w:pPr>
              <w:spacing w:line="360" w:lineRule="auto"/>
              <w:jc w:val="center"/>
              <w:rPr>
                <w:rFonts w:hint="eastAsia" w:ascii="宋体" w:hAnsi="宋体" w:cs="宋体"/>
                <w:color w:val="auto"/>
                <w:sz w:val="24"/>
                <w:highlight w:val="none"/>
              </w:rPr>
            </w:pPr>
          </w:p>
        </w:tc>
        <w:tc>
          <w:tcPr>
            <w:tcW w:w="3119" w:type="dxa"/>
            <w:vAlign w:val="center"/>
          </w:tcPr>
          <w:p w14:paraId="03375AC4">
            <w:pPr>
              <w:spacing w:line="360" w:lineRule="auto"/>
              <w:jc w:val="center"/>
              <w:rPr>
                <w:rFonts w:hint="eastAsia" w:ascii="宋体" w:hAnsi="宋体" w:cs="宋体"/>
                <w:color w:val="auto"/>
                <w:sz w:val="24"/>
                <w:highlight w:val="none"/>
              </w:rPr>
            </w:pPr>
          </w:p>
        </w:tc>
      </w:tr>
      <w:tr w14:paraId="2F03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40794A9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82FDB7A">
            <w:pPr>
              <w:spacing w:line="360" w:lineRule="auto"/>
              <w:jc w:val="center"/>
              <w:rPr>
                <w:rFonts w:hint="eastAsia" w:ascii="宋体" w:hAnsi="宋体" w:cs="宋体"/>
                <w:color w:val="auto"/>
                <w:sz w:val="24"/>
                <w:highlight w:val="none"/>
              </w:rPr>
            </w:pPr>
          </w:p>
        </w:tc>
      </w:tr>
      <w:tr w14:paraId="4B9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6A59D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0A9D3229">
            <w:pPr>
              <w:spacing w:line="360" w:lineRule="auto"/>
              <w:jc w:val="center"/>
              <w:rPr>
                <w:rFonts w:hint="eastAsia" w:ascii="宋体" w:hAnsi="宋体" w:cs="宋体"/>
                <w:color w:val="auto"/>
                <w:sz w:val="24"/>
                <w:highlight w:val="none"/>
              </w:rPr>
            </w:pPr>
          </w:p>
        </w:tc>
      </w:tr>
    </w:tbl>
    <w:p w14:paraId="7025B37D">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63BAF8">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A089F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57EDF23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E7305BF">
      <w:pPr>
        <w:spacing w:line="360" w:lineRule="auto"/>
        <w:ind w:firstLine="482" w:firstLineChars="200"/>
        <w:rPr>
          <w:rFonts w:hint="eastAsia" w:ascii="宋体" w:hAnsi="宋体" w:cs="宋体"/>
          <w:b/>
          <w:color w:val="auto"/>
          <w:kern w:val="0"/>
          <w:sz w:val="24"/>
          <w:highlight w:val="none"/>
        </w:rPr>
      </w:pPr>
    </w:p>
    <w:p w14:paraId="7DB0465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E86EB77">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904243F">
      <w:pPr>
        <w:pStyle w:val="694"/>
        <w:keepNext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EEF7401">
      <w:pPr>
        <w:ind w:right="420"/>
        <w:rPr>
          <w:rFonts w:hint="eastAsia"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03423285">
      <w:pPr>
        <w:pStyle w:val="62"/>
        <w:ind w:firstLine="480"/>
        <w:rPr>
          <w:rFonts w:hint="eastAsia" w:cs="宋体"/>
          <w:color w:val="auto"/>
          <w:sz w:val="24"/>
          <w:highlight w:val="none"/>
        </w:rPr>
      </w:pPr>
    </w:p>
    <w:p w14:paraId="1D98B7DD">
      <w:pPr>
        <w:pStyle w:val="62"/>
        <w:ind w:firstLine="480"/>
        <w:rPr>
          <w:rFonts w:hint="eastAsia"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06D25ED3">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24" w:name="_Hlk101259491"/>
      <w:r>
        <w:rPr>
          <w:rFonts w:hint="eastAsia" w:ascii="宋体" w:hAnsi="宋体" w:eastAsia="宋体" w:cs="宋体"/>
          <w:color w:val="auto"/>
          <w:sz w:val="32"/>
          <w:szCs w:val="32"/>
          <w:highlight w:val="none"/>
        </w:rPr>
        <w:t>（如果有）</w:t>
      </w:r>
      <w:bookmarkEnd w:id="1024"/>
    </w:p>
    <w:p w14:paraId="4F8C7E5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BD7F0E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1025" w:name="_Toc465665161"/>
      <w:r>
        <w:rPr>
          <w:rFonts w:hint="eastAsia" w:ascii="宋体" w:hAnsi="宋体" w:cs="宋体"/>
          <w:color w:val="auto"/>
          <w:highlight w:val="none"/>
        </w:rPr>
        <w:t>附件</w:t>
      </w:r>
      <w:bookmarkEnd w:id="1025"/>
    </w:p>
    <w:p w14:paraId="064290B6">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B65D13">
      <w:pPr>
        <w:spacing w:line="360" w:lineRule="auto"/>
        <w:jc w:val="center"/>
        <w:rPr>
          <w:rFonts w:hint="eastAsia" w:ascii="宋体" w:hAnsi="宋体" w:cs="宋体"/>
          <w:b/>
          <w:color w:val="auto"/>
          <w:spacing w:val="6"/>
          <w:sz w:val="32"/>
          <w:szCs w:val="32"/>
          <w:highlight w:val="none"/>
        </w:rPr>
      </w:pPr>
      <w:bookmarkStart w:id="1026" w:name="OLE_LINK14"/>
      <w:bookmarkStart w:id="1027" w:name="OLE_LINK13"/>
      <w:r>
        <w:rPr>
          <w:rFonts w:hint="eastAsia" w:ascii="宋体" w:hAnsi="宋体" w:cs="宋体"/>
          <w:b/>
          <w:color w:val="auto"/>
          <w:spacing w:val="6"/>
          <w:sz w:val="32"/>
          <w:szCs w:val="32"/>
          <w:highlight w:val="none"/>
        </w:rPr>
        <w:t>残疾人福利性单位声明函</w:t>
      </w:r>
    </w:p>
    <w:bookmarkEnd w:id="1026"/>
    <w:bookmarkEnd w:id="1027"/>
    <w:p w14:paraId="691D7C44">
      <w:pPr>
        <w:spacing w:line="360" w:lineRule="auto"/>
        <w:rPr>
          <w:rFonts w:hint="eastAsia" w:ascii="宋体" w:hAnsi="宋体" w:cs="宋体"/>
          <w:b/>
          <w:color w:val="auto"/>
          <w:spacing w:val="6"/>
          <w:sz w:val="30"/>
          <w:szCs w:val="30"/>
          <w:highlight w:val="none"/>
        </w:rPr>
      </w:pPr>
    </w:p>
    <w:p w14:paraId="2B3518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04E0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91D47BA">
      <w:pPr>
        <w:spacing w:line="360" w:lineRule="auto"/>
        <w:ind w:firstLine="480" w:firstLineChars="200"/>
        <w:rPr>
          <w:rFonts w:hint="eastAsia" w:ascii="宋体" w:hAnsi="宋体" w:cs="宋体"/>
          <w:color w:val="auto"/>
          <w:sz w:val="24"/>
          <w:highlight w:val="none"/>
        </w:rPr>
      </w:pPr>
    </w:p>
    <w:p w14:paraId="2355AA66">
      <w:pPr>
        <w:spacing w:line="360" w:lineRule="auto"/>
        <w:ind w:firstLine="480" w:firstLineChars="200"/>
        <w:rPr>
          <w:rFonts w:hint="eastAsia" w:ascii="宋体" w:hAnsi="宋体" w:cs="宋体"/>
          <w:color w:val="auto"/>
          <w:sz w:val="24"/>
          <w:highlight w:val="none"/>
        </w:rPr>
      </w:pPr>
    </w:p>
    <w:p w14:paraId="2876E04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385BEE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6CF8B073">
      <w:pPr>
        <w:spacing w:line="360" w:lineRule="auto"/>
        <w:ind w:firstLine="480" w:firstLineChars="200"/>
        <w:rPr>
          <w:rFonts w:hint="eastAsia" w:ascii="宋体" w:hAnsi="宋体" w:cs="宋体"/>
          <w:color w:val="auto"/>
          <w:sz w:val="24"/>
          <w:highlight w:val="none"/>
        </w:rPr>
      </w:pPr>
    </w:p>
    <w:p w14:paraId="1B962F94">
      <w:pPr>
        <w:spacing w:line="360" w:lineRule="auto"/>
        <w:ind w:firstLine="420" w:firstLineChars="200"/>
        <w:rPr>
          <w:rFonts w:hint="eastAsia" w:ascii="宋体" w:hAnsi="宋体" w:cs="宋体"/>
          <w:color w:val="auto"/>
          <w:highlight w:val="none"/>
        </w:rPr>
      </w:pPr>
    </w:p>
    <w:p w14:paraId="6BAC07B8">
      <w:pPr>
        <w:spacing w:line="360" w:lineRule="auto"/>
        <w:ind w:firstLine="420" w:firstLineChars="200"/>
        <w:rPr>
          <w:rFonts w:hint="eastAsia" w:ascii="宋体" w:hAnsi="宋体" w:cs="宋体"/>
          <w:color w:val="auto"/>
          <w:highlight w:val="none"/>
        </w:rPr>
      </w:pPr>
    </w:p>
    <w:p w14:paraId="41B11E92">
      <w:pPr>
        <w:spacing w:line="360" w:lineRule="auto"/>
        <w:ind w:firstLine="420" w:firstLineChars="200"/>
        <w:rPr>
          <w:rFonts w:hint="eastAsia" w:ascii="宋体" w:hAnsi="宋体" w:cs="宋体"/>
          <w:color w:val="auto"/>
          <w:highlight w:val="none"/>
        </w:rPr>
      </w:pPr>
    </w:p>
    <w:p w14:paraId="42EEA347">
      <w:pPr>
        <w:spacing w:line="360" w:lineRule="auto"/>
        <w:ind w:firstLine="420" w:firstLineChars="200"/>
        <w:rPr>
          <w:rFonts w:hint="eastAsia" w:ascii="宋体" w:hAnsi="宋体" w:cs="宋体"/>
          <w:color w:val="auto"/>
          <w:highlight w:val="none"/>
        </w:rPr>
      </w:pPr>
    </w:p>
    <w:p w14:paraId="57FAA545">
      <w:pPr>
        <w:spacing w:line="360" w:lineRule="auto"/>
        <w:rPr>
          <w:rFonts w:hint="eastAsia" w:ascii="宋体" w:hAnsi="宋体" w:cs="宋体"/>
          <w:b/>
          <w:color w:val="auto"/>
          <w:sz w:val="24"/>
          <w:highlight w:val="none"/>
        </w:rPr>
      </w:pPr>
    </w:p>
    <w:p w14:paraId="45A33709">
      <w:pPr>
        <w:spacing w:line="360" w:lineRule="auto"/>
        <w:rPr>
          <w:rFonts w:hint="eastAsia" w:ascii="宋体" w:hAnsi="宋体" w:cs="宋体"/>
          <w:b/>
          <w:color w:val="auto"/>
          <w:sz w:val="24"/>
          <w:highlight w:val="none"/>
        </w:rPr>
      </w:pPr>
    </w:p>
    <w:p w14:paraId="21832E7C">
      <w:pPr>
        <w:spacing w:line="360" w:lineRule="auto"/>
        <w:rPr>
          <w:rFonts w:hint="eastAsia" w:ascii="宋体" w:hAnsi="宋体" w:cs="宋体"/>
          <w:b/>
          <w:color w:val="auto"/>
          <w:sz w:val="24"/>
          <w:highlight w:val="none"/>
        </w:rPr>
      </w:pPr>
    </w:p>
    <w:p w14:paraId="409B1933">
      <w:pPr>
        <w:spacing w:line="360" w:lineRule="auto"/>
        <w:rPr>
          <w:rFonts w:hint="eastAsia" w:ascii="宋体" w:hAnsi="宋体" w:cs="宋体"/>
          <w:b/>
          <w:color w:val="auto"/>
          <w:sz w:val="24"/>
          <w:highlight w:val="none"/>
        </w:rPr>
      </w:pPr>
    </w:p>
    <w:p w14:paraId="19227E50">
      <w:pPr>
        <w:spacing w:line="360" w:lineRule="auto"/>
        <w:rPr>
          <w:rFonts w:hint="eastAsia" w:ascii="宋体" w:hAnsi="宋体" w:cs="宋体"/>
          <w:b/>
          <w:color w:val="auto"/>
          <w:sz w:val="24"/>
          <w:highlight w:val="none"/>
        </w:rPr>
      </w:pPr>
    </w:p>
    <w:p w14:paraId="5B549329">
      <w:pPr>
        <w:spacing w:line="360" w:lineRule="auto"/>
        <w:rPr>
          <w:rFonts w:hint="eastAsia" w:ascii="宋体" w:hAnsi="宋体" w:cs="宋体"/>
          <w:b/>
          <w:color w:val="auto"/>
          <w:sz w:val="24"/>
          <w:highlight w:val="none"/>
        </w:rPr>
      </w:pPr>
    </w:p>
    <w:p w14:paraId="569E6C67">
      <w:pPr>
        <w:spacing w:line="360" w:lineRule="auto"/>
        <w:rPr>
          <w:rFonts w:hint="eastAsia" w:ascii="宋体" w:hAnsi="宋体" w:cs="宋体"/>
          <w:b/>
          <w:color w:val="auto"/>
          <w:sz w:val="24"/>
          <w:highlight w:val="none"/>
        </w:rPr>
      </w:pPr>
    </w:p>
    <w:p w14:paraId="16B18376">
      <w:pPr>
        <w:spacing w:line="360" w:lineRule="auto"/>
        <w:rPr>
          <w:rFonts w:hint="eastAsia" w:ascii="宋体" w:hAnsi="宋体" w:cs="宋体"/>
          <w:b/>
          <w:color w:val="auto"/>
          <w:sz w:val="24"/>
          <w:highlight w:val="none"/>
        </w:rPr>
      </w:pPr>
    </w:p>
    <w:p w14:paraId="330D09C1">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63BFA5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FEE107">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E0B76B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D685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C6A8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2D036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1E88B9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3F0AE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91EF7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B9DC21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E2BB5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EC9A0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8DDE7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418DE6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917D51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2562FB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F70617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5579C5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15C9E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EEF53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541FA1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F2476F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4F57C9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8B954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8EE22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2BBFFC8">
      <w:pPr>
        <w:spacing w:line="360" w:lineRule="auto"/>
        <w:jc w:val="center"/>
        <w:rPr>
          <w:rFonts w:hint="eastAsia" w:ascii="宋体" w:hAnsi="宋体" w:cs="宋体"/>
          <w:b/>
          <w:bCs/>
          <w:color w:val="auto"/>
          <w:sz w:val="24"/>
          <w:highlight w:val="none"/>
        </w:rPr>
      </w:pPr>
    </w:p>
    <w:p w14:paraId="0150556E">
      <w:pPr>
        <w:spacing w:line="360" w:lineRule="auto"/>
        <w:rPr>
          <w:rFonts w:hint="eastAsia" w:ascii="宋体" w:hAnsi="宋体" w:cs="宋体"/>
          <w:b/>
          <w:color w:val="auto"/>
          <w:sz w:val="24"/>
          <w:highlight w:val="none"/>
        </w:rPr>
      </w:pPr>
    </w:p>
    <w:p w14:paraId="01EA122B">
      <w:pPr>
        <w:spacing w:line="360" w:lineRule="auto"/>
        <w:rPr>
          <w:rFonts w:hint="eastAsia" w:ascii="宋体" w:hAnsi="宋体" w:cs="宋体"/>
          <w:b/>
          <w:color w:val="auto"/>
          <w:sz w:val="24"/>
          <w:highlight w:val="none"/>
        </w:rPr>
      </w:pPr>
    </w:p>
    <w:p w14:paraId="0BC79E6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413E71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A95E11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2E9919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58285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B464D5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312D8A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0E5FC6">
      <w:pPr>
        <w:widowControl/>
        <w:spacing w:line="360" w:lineRule="auto"/>
        <w:ind w:firstLine="600" w:firstLineChars="200"/>
        <w:jc w:val="left"/>
        <w:rPr>
          <w:rFonts w:hint="eastAsia" w:ascii="宋体" w:hAnsi="宋体" w:cs="宋体"/>
          <w:color w:val="auto"/>
          <w:sz w:val="30"/>
          <w:szCs w:val="30"/>
          <w:highlight w:val="none"/>
        </w:rPr>
      </w:pPr>
    </w:p>
    <w:p w14:paraId="237D185B">
      <w:pPr>
        <w:spacing w:line="360" w:lineRule="auto"/>
        <w:jc w:val="center"/>
        <w:rPr>
          <w:rFonts w:hint="eastAsia" w:ascii="宋体" w:hAnsi="宋体" w:cs="宋体"/>
          <w:b/>
          <w:color w:val="auto"/>
          <w:spacing w:val="6"/>
          <w:sz w:val="32"/>
          <w:szCs w:val="32"/>
          <w:highlight w:val="none"/>
        </w:rPr>
      </w:pPr>
    </w:p>
    <w:p w14:paraId="111C2457">
      <w:pPr>
        <w:spacing w:line="360" w:lineRule="auto"/>
        <w:jc w:val="center"/>
        <w:rPr>
          <w:rFonts w:hint="eastAsia" w:ascii="宋体" w:hAnsi="宋体" w:cs="宋体"/>
          <w:b/>
          <w:color w:val="auto"/>
          <w:spacing w:val="6"/>
          <w:sz w:val="32"/>
          <w:szCs w:val="32"/>
          <w:highlight w:val="none"/>
        </w:rPr>
      </w:pPr>
    </w:p>
    <w:p w14:paraId="7FAAE9CE">
      <w:pPr>
        <w:spacing w:line="360" w:lineRule="auto"/>
        <w:jc w:val="center"/>
        <w:rPr>
          <w:rFonts w:hint="eastAsia" w:ascii="宋体" w:hAnsi="宋体" w:cs="宋体"/>
          <w:b/>
          <w:color w:val="auto"/>
          <w:spacing w:val="6"/>
          <w:sz w:val="32"/>
          <w:szCs w:val="32"/>
          <w:highlight w:val="none"/>
        </w:rPr>
      </w:pPr>
    </w:p>
    <w:p w14:paraId="5AD8799F">
      <w:pPr>
        <w:spacing w:line="360" w:lineRule="auto"/>
        <w:jc w:val="center"/>
        <w:rPr>
          <w:rFonts w:hint="eastAsia" w:ascii="宋体" w:hAnsi="宋体" w:cs="宋体"/>
          <w:b/>
          <w:color w:val="auto"/>
          <w:spacing w:val="6"/>
          <w:sz w:val="32"/>
          <w:szCs w:val="32"/>
          <w:highlight w:val="none"/>
        </w:rPr>
      </w:pPr>
    </w:p>
    <w:p w14:paraId="3DBEB748">
      <w:pPr>
        <w:spacing w:line="360" w:lineRule="auto"/>
        <w:jc w:val="center"/>
        <w:rPr>
          <w:rFonts w:hint="eastAsia" w:ascii="宋体" w:hAnsi="宋体" w:cs="宋体"/>
          <w:b/>
          <w:color w:val="auto"/>
          <w:spacing w:val="6"/>
          <w:sz w:val="32"/>
          <w:szCs w:val="32"/>
          <w:highlight w:val="none"/>
        </w:rPr>
      </w:pPr>
    </w:p>
    <w:p w14:paraId="588A1BEC">
      <w:pPr>
        <w:spacing w:line="360" w:lineRule="auto"/>
        <w:jc w:val="center"/>
        <w:rPr>
          <w:rFonts w:hint="eastAsia" w:ascii="宋体" w:hAnsi="宋体" w:cs="宋体"/>
          <w:b/>
          <w:color w:val="auto"/>
          <w:spacing w:val="6"/>
          <w:sz w:val="32"/>
          <w:szCs w:val="32"/>
          <w:highlight w:val="none"/>
        </w:rPr>
      </w:pPr>
    </w:p>
    <w:p w14:paraId="455E139C">
      <w:pPr>
        <w:spacing w:line="360" w:lineRule="auto"/>
        <w:jc w:val="center"/>
        <w:rPr>
          <w:rFonts w:hint="eastAsia" w:ascii="宋体" w:hAnsi="宋体" w:cs="宋体"/>
          <w:b/>
          <w:color w:val="auto"/>
          <w:spacing w:val="6"/>
          <w:sz w:val="32"/>
          <w:szCs w:val="32"/>
          <w:highlight w:val="none"/>
        </w:rPr>
      </w:pPr>
    </w:p>
    <w:p w14:paraId="45233092">
      <w:pPr>
        <w:spacing w:line="360" w:lineRule="auto"/>
        <w:jc w:val="center"/>
        <w:rPr>
          <w:rFonts w:hint="eastAsia" w:ascii="宋体" w:hAnsi="宋体" w:cs="宋体"/>
          <w:b/>
          <w:color w:val="auto"/>
          <w:spacing w:val="6"/>
          <w:sz w:val="32"/>
          <w:szCs w:val="32"/>
          <w:highlight w:val="none"/>
        </w:rPr>
      </w:pPr>
    </w:p>
    <w:p w14:paraId="720B3644">
      <w:pPr>
        <w:spacing w:line="360" w:lineRule="auto"/>
        <w:jc w:val="center"/>
        <w:rPr>
          <w:rFonts w:hint="eastAsia" w:ascii="宋体" w:hAnsi="宋体" w:cs="宋体"/>
          <w:b/>
          <w:color w:val="auto"/>
          <w:spacing w:val="6"/>
          <w:sz w:val="32"/>
          <w:szCs w:val="32"/>
          <w:highlight w:val="none"/>
        </w:rPr>
      </w:pPr>
    </w:p>
    <w:p w14:paraId="332DB7C1">
      <w:pPr>
        <w:spacing w:line="360" w:lineRule="auto"/>
        <w:jc w:val="center"/>
        <w:rPr>
          <w:rFonts w:hint="eastAsia" w:ascii="宋体" w:hAnsi="宋体" w:cs="宋体"/>
          <w:b/>
          <w:color w:val="auto"/>
          <w:spacing w:val="6"/>
          <w:sz w:val="32"/>
          <w:szCs w:val="32"/>
          <w:highlight w:val="none"/>
        </w:rPr>
      </w:pPr>
    </w:p>
    <w:p w14:paraId="7BEF3410">
      <w:pPr>
        <w:spacing w:line="360" w:lineRule="auto"/>
        <w:jc w:val="center"/>
        <w:rPr>
          <w:rFonts w:hint="eastAsia" w:ascii="宋体" w:hAnsi="宋体" w:cs="宋体"/>
          <w:b/>
          <w:color w:val="auto"/>
          <w:spacing w:val="6"/>
          <w:sz w:val="32"/>
          <w:szCs w:val="32"/>
          <w:highlight w:val="none"/>
        </w:rPr>
      </w:pPr>
    </w:p>
    <w:p w14:paraId="22AD388F">
      <w:pPr>
        <w:spacing w:line="360" w:lineRule="auto"/>
        <w:jc w:val="center"/>
        <w:rPr>
          <w:rFonts w:hint="eastAsia" w:ascii="宋体" w:hAnsi="宋体" w:cs="宋体"/>
          <w:b/>
          <w:color w:val="auto"/>
          <w:spacing w:val="6"/>
          <w:sz w:val="32"/>
          <w:szCs w:val="32"/>
          <w:highlight w:val="none"/>
        </w:rPr>
      </w:pPr>
    </w:p>
    <w:p w14:paraId="6A5F8B68">
      <w:pPr>
        <w:spacing w:line="360" w:lineRule="auto"/>
        <w:jc w:val="left"/>
        <w:rPr>
          <w:rFonts w:hint="eastAsia" w:ascii="宋体" w:hAnsi="宋体" w:cs="宋体"/>
          <w:b/>
          <w:color w:val="auto"/>
          <w:spacing w:val="6"/>
          <w:sz w:val="32"/>
          <w:szCs w:val="32"/>
          <w:highlight w:val="none"/>
        </w:rPr>
      </w:pPr>
    </w:p>
    <w:p w14:paraId="6E73FD3B">
      <w:pPr>
        <w:spacing w:line="360" w:lineRule="auto"/>
        <w:jc w:val="left"/>
        <w:rPr>
          <w:rFonts w:hint="eastAsia" w:ascii="宋体" w:hAnsi="宋体" w:cs="宋体"/>
          <w:b/>
          <w:color w:val="auto"/>
          <w:spacing w:val="6"/>
          <w:sz w:val="32"/>
          <w:szCs w:val="32"/>
          <w:highlight w:val="none"/>
        </w:rPr>
      </w:pPr>
    </w:p>
    <w:p w14:paraId="72C6A236">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949F378">
      <w:pPr>
        <w:spacing w:line="360" w:lineRule="auto"/>
        <w:jc w:val="center"/>
        <w:rPr>
          <w:rFonts w:hint="eastAsia" w:ascii="宋体" w:hAnsi="宋体" w:cs="宋体"/>
          <w:b/>
          <w:color w:val="auto"/>
          <w:sz w:val="24"/>
          <w:highlight w:val="none"/>
        </w:rPr>
      </w:pPr>
    </w:p>
    <w:p w14:paraId="350E143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8296E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876530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E5D0B8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908399">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1575F3">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5ABE6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462D3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413D4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D852F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F296F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96F4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3231A4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4B3CFC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37427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FE818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BC53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0DF942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C42B2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5D024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1237A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EEEA5D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5BFEB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47B0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0153F89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D754A1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A94BB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4CBC4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783D55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0B15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84392E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67A0D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92AB7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C950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5831386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34DD8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C6853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6AABD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C4E06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84B29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682A708">
      <w:pPr>
        <w:spacing w:line="360" w:lineRule="auto"/>
        <w:rPr>
          <w:rFonts w:hint="eastAsia" w:ascii="宋体" w:hAnsi="宋体" w:cs="宋体"/>
          <w:b/>
          <w:color w:val="auto"/>
          <w:sz w:val="24"/>
          <w:highlight w:val="none"/>
        </w:rPr>
      </w:pPr>
    </w:p>
    <w:p w14:paraId="5D4E877D">
      <w:pPr>
        <w:spacing w:line="360" w:lineRule="auto"/>
        <w:rPr>
          <w:rFonts w:hint="eastAsia" w:ascii="宋体" w:hAnsi="宋体" w:cs="宋体"/>
          <w:b/>
          <w:color w:val="auto"/>
          <w:sz w:val="24"/>
          <w:highlight w:val="none"/>
        </w:rPr>
      </w:pPr>
    </w:p>
    <w:p w14:paraId="28B0BF5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FA9734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B747C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C48610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E051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7D5C66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F2A2E9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04A65B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2E12DA">
      <w:pPr>
        <w:spacing w:line="360" w:lineRule="auto"/>
        <w:rPr>
          <w:rFonts w:hint="eastAsia" w:ascii="宋体" w:hAnsi="宋体" w:cs="宋体"/>
          <w:b/>
          <w:color w:val="auto"/>
          <w:sz w:val="24"/>
          <w:highlight w:val="none"/>
        </w:rPr>
      </w:pPr>
    </w:p>
    <w:p w14:paraId="5F95ED17">
      <w:pPr>
        <w:autoSpaceDE w:val="0"/>
        <w:autoSpaceDN w:val="0"/>
        <w:jc w:val="center"/>
        <w:rPr>
          <w:rFonts w:hint="eastAsia" w:ascii="宋体" w:hAnsi="宋体" w:cs="宋体"/>
          <w:b/>
          <w:color w:val="auto"/>
          <w:spacing w:val="6"/>
          <w:sz w:val="32"/>
          <w:szCs w:val="32"/>
          <w:highlight w:val="none"/>
        </w:rPr>
      </w:pPr>
    </w:p>
    <w:p w14:paraId="15B57888">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DDDAAEE">
      <w:pPr>
        <w:spacing w:line="360" w:lineRule="auto"/>
        <w:rPr>
          <w:rFonts w:hint="eastAsia" w:ascii="宋体" w:hAnsi="宋体" w:cs="宋体"/>
          <w:color w:val="auto"/>
          <w:sz w:val="24"/>
          <w:highlight w:val="none"/>
          <w:u w:val="single"/>
        </w:rPr>
      </w:pPr>
    </w:p>
    <w:p w14:paraId="6BF36F22">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浙江省杭州第十一中学</w:t>
      </w:r>
      <w:r>
        <w:rPr>
          <w:rFonts w:hint="eastAsia" w:ascii="宋体" w:hAnsi="宋体" w:cs="宋体"/>
          <w:color w:val="auto"/>
          <w:sz w:val="24"/>
          <w:highlight w:val="none"/>
          <w:u w:val="single"/>
        </w:rPr>
        <w:t>、浙江中通通信有限公司</w:t>
      </w:r>
    </w:p>
    <w:p w14:paraId="74FB63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项目【项目编号：</w:t>
      </w:r>
      <w:r>
        <w:rPr>
          <w:rFonts w:hint="eastAsia" w:ascii="宋体" w:hAnsi="宋体" w:cs="宋体"/>
          <w:color w:val="auto"/>
          <w:sz w:val="24"/>
          <w:highlight w:val="none"/>
          <w:lang w:eastAsia="zh-CN"/>
        </w:rPr>
        <w:t>ZJZT-2025-13461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1806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13CA618F">
      <w:pPr>
        <w:spacing w:line="360" w:lineRule="auto"/>
        <w:ind w:firstLine="494"/>
        <w:rPr>
          <w:rFonts w:hint="eastAsia" w:ascii="宋体" w:hAnsi="宋体" w:cs="宋体"/>
          <w:color w:val="auto"/>
          <w:sz w:val="24"/>
          <w:highlight w:val="none"/>
        </w:rPr>
      </w:pPr>
    </w:p>
    <w:p w14:paraId="560D7880">
      <w:pPr>
        <w:spacing w:line="360" w:lineRule="auto"/>
        <w:ind w:firstLine="494"/>
        <w:rPr>
          <w:rFonts w:hint="eastAsia" w:ascii="宋体" w:hAnsi="宋体" w:cs="宋体"/>
          <w:color w:val="auto"/>
          <w:sz w:val="24"/>
          <w:highlight w:val="none"/>
        </w:rPr>
      </w:pPr>
    </w:p>
    <w:p w14:paraId="5DD4A043">
      <w:pPr>
        <w:spacing w:line="360" w:lineRule="auto"/>
        <w:ind w:firstLine="494"/>
        <w:rPr>
          <w:rFonts w:hint="eastAsia" w:ascii="宋体" w:hAnsi="宋体" w:cs="宋体"/>
          <w:color w:val="auto"/>
          <w:sz w:val="24"/>
          <w:highlight w:val="none"/>
        </w:rPr>
      </w:pPr>
    </w:p>
    <w:p w14:paraId="41151B68">
      <w:pPr>
        <w:spacing w:line="360" w:lineRule="auto"/>
        <w:ind w:firstLine="494"/>
        <w:rPr>
          <w:rFonts w:hint="eastAsia" w:ascii="宋体" w:hAnsi="宋体" w:cs="宋体"/>
          <w:color w:val="auto"/>
          <w:sz w:val="24"/>
          <w:highlight w:val="none"/>
        </w:rPr>
      </w:pPr>
    </w:p>
    <w:p w14:paraId="61C9424A">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供应商（法定名称章）：</w:t>
      </w:r>
    </w:p>
    <w:p w14:paraId="0101051A">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F2D5F5C">
      <w:pPr>
        <w:rPr>
          <w:rFonts w:hint="eastAsia" w:ascii="宋体" w:hAnsi="宋体" w:cs="宋体"/>
          <w:color w:val="auto"/>
          <w:sz w:val="24"/>
          <w:highlight w:val="none"/>
        </w:rPr>
      </w:pPr>
      <w:r>
        <w:rPr>
          <w:rFonts w:hint="eastAsia" w:ascii="宋体" w:hAnsi="宋体" w:cs="宋体"/>
          <w:b/>
          <w:bCs/>
          <w:color w:val="auto"/>
          <w:sz w:val="24"/>
          <w:highlight w:val="none"/>
        </w:rPr>
        <w:t>附：</w:t>
      </w:r>
    </w:p>
    <w:p w14:paraId="2AB006A5">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DFBAC17">
      <w:pPr>
        <w:autoSpaceDE w:val="0"/>
        <w:autoSpaceDN w:val="0"/>
        <w:jc w:val="center"/>
        <w:rPr>
          <w:rFonts w:hint="eastAsia" w:ascii="宋体" w:hAnsi="宋体" w:cs="宋体"/>
          <w:b/>
          <w:color w:val="auto"/>
          <w:spacing w:val="6"/>
          <w:sz w:val="32"/>
          <w:szCs w:val="32"/>
          <w:highlight w:val="none"/>
        </w:rPr>
      </w:pPr>
    </w:p>
    <w:p w14:paraId="7B05BCC4">
      <w:pPr>
        <w:autoSpaceDE w:val="0"/>
        <w:autoSpaceDN w:val="0"/>
        <w:jc w:val="center"/>
        <w:rPr>
          <w:rFonts w:hint="eastAsia" w:ascii="宋体" w:hAnsi="宋体" w:cs="宋体"/>
          <w:b/>
          <w:color w:val="auto"/>
          <w:spacing w:val="6"/>
          <w:sz w:val="32"/>
          <w:szCs w:val="32"/>
          <w:highlight w:val="none"/>
        </w:rPr>
      </w:pPr>
    </w:p>
    <w:p w14:paraId="26279B99">
      <w:pPr>
        <w:autoSpaceDE w:val="0"/>
        <w:autoSpaceDN w:val="0"/>
        <w:jc w:val="center"/>
        <w:rPr>
          <w:rFonts w:hint="eastAsia" w:ascii="宋体" w:hAnsi="宋体" w:cs="宋体"/>
          <w:b/>
          <w:color w:val="auto"/>
          <w:spacing w:val="6"/>
          <w:sz w:val="32"/>
          <w:szCs w:val="32"/>
          <w:highlight w:val="none"/>
        </w:rPr>
      </w:pPr>
    </w:p>
    <w:p w14:paraId="588901BD">
      <w:pPr>
        <w:autoSpaceDE w:val="0"/>
        <w:autoSpaceDN w:val="0"/>
        <w:jc w:val="center"/>
        <w:rPr>
          <w:rFonts w:hint="eastAsia" w:ascii="宋体" w:hAnsi="宋体" w:cs="宋体"/>
          <w:b/>
          <w:color w:val="auto"/>
          <w:spacing w:val="6"/>
          <w:sz w:val="32"/>
          <w:szCs w:val="32"/>
          <w:highlight w:val="none"/>
        </w:rPr>
      </w:pPr>
    </w:p>
    <w:p w14:paraId="1B14A29A">
      <w:pPr>
        <w:autoSpaceDE w:val="0"/>
        <w:autoSpaceDN w:val="0"/>
        <w:jc w:val="center"/>
        <w:rPr>
          <w:rFonts w:hint="eastAsia" w:ascii="宋体" w:hAnsi="宋体" w:cs="宋体"/>
          <w:b/>
          <w:color w:val="auto"/>
          <w:spacing w:val="6"/>
          <w:sz w:val="32"/>
          <w:szCs w:val="32"/>
          <w:highlight w:val="none"/>
        </w:rPr>
      </w:pPr>
    </w:p>
    <w:p w14:paraId="01AEB9DA">
      <w:pPr>
        <w:autoSpaceDE w:val="0"/>
        <w:autoSpaceDN w:val="0"/>
        <w:jc w:val="center"/>
        <w:rPr>
          <w:rFonts w:hint="eastAsia" w:ascii="宋体" w:hAnsi="宋体" w:cs="宋体"/>
          <w:b/>
          <w:color w:val="auto"/>
          <w:spacing w:val="6"/>
          <w:sz w:val="32"/>
          <w:szCs w:val="32"/>
          <w:highlight w:val="none"/>
        </w:rPr>
      </w:pPr>
    </w:p>
    <w:p w14:paraId="271C93BF">
      <w:pPr>
        <w:autoSpaceDE w:val="0"/>
        <w:autoSpaceDN w:val="0"/>
        <w:jc w:val="center"/>
        <w:rPr>
          <w:rFonts w:hint="eastAsia" w:ascii="宋体" w:hAnsi="宋体" w:cs="宋体"/>
          <w:b/>
          <w:color w:val="auto"/>
          <w:spacing w:val="6"/>
          <w:sz w:val="32"/>
          <w:szCs w:val="32"/>
          <w:highlight w:val="none"/>
        </w:rPr>
      </w:pPr>
    </w:p>
    <w:p w14:paraId="0E5CDF08">
      <w:pPr>
        <w:autoSpaceDE w:val="0"/>
        <w:autoSpaceDN w:val="0"/>
        <w:jc w:val="center"/>
        <w:rPr>
          <w:rFonts w:hint="eastAsia" w:ascii="宋体" w:hAnsi="宋体" w:cs="宋体"/>
          <w:b/>
          <w:color w:val="auto"/>
          <w:spacing w:val="6"/>
          <w:sz w:val="32"/>
          <w:szCs w:val="32"/>
          <w:highlight w:val="none"/>
        </w:rPr>
      </w:pPr>
    </w:p>
    <w:p w14:paraId="1BE4FBD1">
      <w:pPr>
        <w:autoSpaceDE w:val="0"/>
        <w:autoSpaceDN w:val="0"/>
        <w:jc w:val="center"/>
        <w:rPr>
          <w:rFonts w:hint="eastAsia" w:ascii="宋体" w:hAnsi="宋体" w:cs="宋体"/>
          <w:b/>
          <w:color w:val="auto"/>
          <w:spacing w:val="6"/>
          <w:sz w:val="32"/>
          <w:szCs w:val="32"/>
          <w:highlight w:val="none"/>
        </w:rPr>
      </w:pPr>
    </w:p>
    <w:p w14:paraId="3A9D4676">
      <w:pPr>
        <w:autoSpaceDE w:val="0"/>
        <w:autoSpaceDN w:val="0"/>
        <w:jc w:val="center"/>
        <w:rPr>
          <w:rFonts w:hint="eastAsia" w:ascii="宋体" w:hAnsi="宋体" w:cs="宋体"/>
          <w:b/>
          <w:color w:val="auto"/>
          <w:spacing w:val="6"/>
          <w:sz w:val="32"/>
          <w:szCs w:val="32"/>
          <w:highlight w:val="none"/>
        </w:rPr>
      </w:pPr>
    </w:p>
    <w:p w14:paraId="3EA4E5EC">
      <w:pPr>
        <w:autoSpaceDE w:val="0"/>
        <w:autoSpaceDN w:val="0"/>
        <w:jc w:val="center"/>
        <w:rPr>
          <w:rFonts w:hint="eastAsia" w:ascii="宋体" w:hAnsi="宋体" w:cs="宋体"/>
          <w:b/>
          <w:color w:val="auto"/>
          <w:spacing w:val="6"/>
          <w:sz w:val="32"/>
          <w:szCs w:val="32"/>
          <w:highlight w:val="none"/>
        </w:rPr>
      </w:pPr>
    </w:p>
    <w:p w14:paraId="57156C65">
      <w:pPr>
        <w:autoSpaceDE w:val="0"/>
        <w:autoSpaceDN w:val="0"/>
        <w:jc w:val="center"/>
        <w:rPr>
          <w:rFonts w:hint="eastAsia" w:ascii="宋体" w:hAnsi="宋体" w:cs="宋体"/>
          <w:b/>
          <w:color w:val="auto"/>
          <w:spacing w:val="6"/>
          <w:sz w:val="32"/>
          <w:szCs w:val="32"/>
          <w:highlight w:val="none"/>
        </w:rPr>
      </w:pPr>
    </w:p>
    <w:p w14:paraId="6BEC3A7A">
      <w:pPr>
        <w:autoSpaceDE w:val="0"/>
        <w:autoSpaceDN w:val="0"/>
        <w:jc w:val="center"/>
        <w:rPr>
          <w:rFonts w:hint="eastAsia" w:ascii="宋体" w:hAnsi="宋体" w:cs="宋体"/>
          <w:b/>
          <w:color w:val="auto"/>
          <w:spacing w:val="6"/>
          <w:sz w:val="32"/>
          <w:szCs w:val="32"/>
          <w:highlight w:val="none"/>
        </w:rPr>
      </w:pPr>
    </w:p>
    <w:p w14:paraId="608C47B7">
      <w:pPr>
        <w:autoSpaceDE w:val="0"/>
        <w:autoSpaceDN w:val="0"/>
        <w:jc w:val="center"/>
        <w:rPr>
          <w:rFonts w:hint="eastAsia" w:ascii="宋体" w:hAnsi="宋体" w:cs="宋体"/>
          <w:b/>
          <w:color w:val="auto"/>
          <w:spacing w:val="6"/>
          <w:sz w:val="32"/>
          <w:szCs w:val="32"/>
          <w:highlight w:val="none"/>
        </w:rPr>
      </w:pPr>
    </w:p>
    <w:p w14:paraId="00A818D1">
      <w:pPr>
        <w:autoSpaceDE w:val="0"/>
        <w:autoSpaceDN w:val="0"/>
        <w:jc w:val="center"/>
        <w:rPr>
          <w:rFonts w:hint="eastAsia" w:ascii="宋体" w:hAnsi="宋体" w:cs="宋体"/>
          <w:b/>
          <w:color w:val="auto"/>
          <w:spacing w:val="6"/>
          <w:sz w:val="32"/>
          <w:szCs w:val="32"/>
          <w:highlight w:val="none"/>
        </w:rPr>
      </w:pPr>
    </w:p>
    <w:p w14:paraId="4BCCBB87">
      <w:pPr>
        <w:autoSpaceDE w:val="0"/>
        <w:autoSpaceDN w:val="0"/>
        <w:jc w:val="center"/>
        <w:rPr>
          <w:rFonts w:hint="eastAsia" w:ascii="宋体" w:hAnsi="宋体" w:cs="宋体"/>
          <w:b/>
          <w:color w:val="auto"/>
          <w:spacing w:val="6"/>
          <w:sz w:val="32"/>
          <w:szCs w:val="32"/>
          <w:highlight w:val="none"/>
        </w:rPr>
      </w:pPr>
    </w:p>
    <w:p w14:paraId="08430D54">
      <w:pPr>
        <w:autoSpaceDE w:val="0"/>
        <w:autoSpaceDN w:val="0"/>
        <w:jc w:val="center"/>
        <w:rPr>
          <w:rFonts w:hint="eastAsia" w:ascii="宋体" w:hAnsi="宋体" w:cs="宋体"/>
          <w:b/>
          <w:color w:val="auto"/>
          <w:spacing w:val="6"/>
          <w:sz w:val="32"/>
          <w:szCs w:val="32"/>
          <w:highlight w:val="none"/>
        </w:rPr>
      </w:pPr>
    </w:p>
    <w:p w14:paraId="0F6301F2">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44E5DC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2D6FA1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ZJZT-2025-13461</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2EA057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8522A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344997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9C030E3">
      <w:pPr>
        <w:snapToGrid w:val="0"/>
        <w:spacing w:line="360" w:lineRule="auto"/>
        <w:ind w:firstLine="576"/>
        <w:rPr>
          <w:rFonts w:hint="eastAsia" w:ascii="宋体" w:hAnsi="宋体" w:cs="宋体"/>
          <w:color w:val="auto"/>
          <w:kern w:val="0"/>
          <w:sz w:val="24"/>
          <w:highlight w:val="none"/>
          <w:lang w:val="zh-CN"/>
        </w:rPr>
      </w:pPr>
      <w:bookmarkStart w:id="102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2059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D0F650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8"/>
    <w:p w14:paraId="72A26C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17C0EE">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65149B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78506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5550CE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180D47B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0849F2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D98D8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7184EE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972D2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AD524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83AE881">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6F66E0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6E73810">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1F5EA8E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大关校区学生宿舍改造</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ZJZT-2025-13461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D81D5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8EEEC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0FC2264">
      <w:pPr>
        <w:tabs>
          <w:tab w:val="left" w:pos="432"/>
        </w:tabs>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33C01E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C4FF275">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156DFC">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10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9"/>
    </w:p>
    <w:p w14:paraId="1B29439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9122EE1">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99D245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C88C73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4F9B7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70C023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BCE31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6112F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227D1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C263EC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42A37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1860A42">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E4473BF">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3194445">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5CFBC2">
      <w:pPr>
        <w:autoSpaceDE w:val="0"/>
        <w:autoSpaceDN w:val="0"/>
        <w:jc w:val="center"/>
        <w:rPr>
          <w:rFonts w:hint="eastAsia" w:ascii="宋体" w:hAnsi="宋体" w:cs="宋体"/>
          <w:b/>
          <w:color w:val="auto"/>
          <w:spacing w:val="6"/>
          <w:sz w:val="32"/>
          <w:szCs w:val="32"/>
          <w:highlight w:val="none"/>
        </w:rPr>
      </w:pPr>
    </w:p>
    <w:p w14:paraId="19332283">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BFB7AE">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AF681FA">
      <w:pPr>
        <w:spacing w:line="360" w:lineRule="auto"/>
        <w:jc w:val="center"/>
        <w:rPr>
          <w:rFonts w:hint="eastAsia" w:ascii="宋体" w:hAnsi="宋体" w:cs="宋体"/>
          <w:color w:val="auto"/>
          <w:sz w:val="24"/>
          <w:highlight w:val="none"/>
          <w:u w:val="single"/>
        </w:rPr>
      </w:pPr>
    </w:p>
    <w:p w14:paraId="4DE51FA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9FBF640">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浙江省杭州第十一中学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大关校区学生宿舍改造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22D20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DF91F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7F042A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573A8DF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C648D4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88D9DA3">
      <w:pPr>
        <w:spacing w:line="360" w:lineRule="auto"/>
        <w:ind w:firstLine="480" w:firstLineChars="200"/>
        <w:rPr>
          <w:rFonts w:hint="eastAsia" w:ascii="宋体" w:hAnsi="宋体" w:cs="宋体"/>
          <w:color w:val="auto"/>
          <w:sz w:val="24"/>
          <w:highlight w:val="none"/>
        </w:rPr>
      </w:pPr>
    </w:p>
    <w:p w14:paraId="2BE547F7">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60688B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B811AD">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178AE5FA">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46A5704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3D1201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C828EF">
      <w:pPr>
        <w:spacing w:line="360" w:lineRule="auto"/>
        <w:jc w:val="center"/>
        <w:rPr>
          <w:rFonts w:hint="eastAsia" w:ascii="宋体" w:hAnsi="宋体" w:cs="宋体"/>
          <w:b/>
          <w:color w:val="auto"/>
          <w:sz w:val="32"/>
          <w:szCs w:val="32"/>
          <w:highlight w:val="none"/>
        </w:rPr>
      </w:pPr>
    </w:p>
    <w:p w14:paraId="51D71CDC">
      <w:pPr>
        <w:spacing w:line="360" w:lineRule="auto"/>
        <w:rPr>
          <w:rFonts w:hint="eastAsia"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447AFB10">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3CFE782B">
      <w:pPr>
        <w:spacing w:line="360" w:lineRule="auto"/>
        <w:rPr>
          <w:rFonts w:hint="eastAsia" w:ascii="宋体" w:hAnsi="宋体" w:cs="宋体"/>
          <w:b/>
          <w:color w:val="auto"/>
          <w:spacing w:val="6"/>
          <w:sz w:val="32"/>
          <w:szCs w:val="32"/>
          <w:highlight w:val="none"/>
        </w:rPr>
      </w:pPr>
    </w:p>
    <w:p w14:paraId="0954DDEB">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7D2411D">
      <w:pPr>
        <w:pStyle w:val="5"/>
        <w:rPr>
          <w:rFonts w:hint="eastAsia"/>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B"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A4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AFF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A244">
    <w:pPr>
      <w:pStyle w:val="42"/>
      <w:framePr w:wrap="around" w:vAnchor="text" w:hAnchor="margin" w:xAlign="right" w:y="1"/>
      <w:rPr>
        <w:rStyle w:val="73"/>
      </w:rPr>
    </w:pPr>
    <w:r>
      <w:fldChar w:fldCharType="begin"/>
    </w:r>
    <w:r>
      <w:rPr>
        <w:rStyle w:val="73"/>
      </w:rPr>
      <w:instrText xml:space="preserve">PAGE  </w:instrText>
    </w:r>
    <w:r>
      <w:fldChar w:fldCharType="end"/>
    </w:r>
  </w:p>
  <w:p w14:paraId="44C608CF">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0FB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0" w:name="_Toc36110187"/>
    <w:bookmarkStart w:id="1031" w:name="_Toc164085800"/>
    <w:bookmarkStart w:id="1032" w:name="_Toc91899912"/>
    <w:bookmarkStart w:id="1033" w:name="_Toc131845147"/>
    <w:r>
      <w:rPr>
        <w:rFonts w:hint="eastAsia" w:ascii="仿宋_GB2312" w:eastAsia="仿宋_GB2312"/>
        <w:kern w:val="0"/>
        <w:szCs w:val="21"/>
      </w:rPr>
      <w:t xml:space="preserve"> 页</w:t>
    </w:r>
    <w:bookmarkEnd w:id="1030"/>
    <w:bookmarkEnd w:id="1031"/>
    <w:bookmarkEnd w:id="1032"/>
    <w:bookmarkEnd w:id="10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5752">
    <w:pPr>
      <w:pStyle w:val="42"/>
      <w:framePr w:wrap="around" w:vAnchor="text" w:hAnchor="margin" w:xAlign="right" w:y="1"/>
      <w:rPr>
        <w:rStyle w:val="73"/>
      </w:rPr>
    </w:pPr>
    <w:r>
      <w:fldChar w:fldCharType="begin"/>
    </w:r>
    <w:r>
      <w:rPr>
        <w:rStyle w:val="73"/>
      </w:rPr>
      <w:instrText xml:space="preserve">PAGE  </w:instrText>
    </w:r>
    <w:r>
      <w:fldChar w:fldCharType="end"/>
    </w:r>
  </w:p>
  <w:p w14:paraId="0E25ACC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D13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DBC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C0EE83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4A1D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7D1655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E1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7F635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C9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C4A8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058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1512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13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05042B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EA8D">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7D5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9400">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2EA4">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D8EE">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30BAFDEF"/>
    <w:multiLevelType w:val="singleLevel"/>
    <w:tmpl w:val="30BAFDEF"/>
    <w:lvl w:ilvl="0" w:tentative="0">
      <w:start w:val="5"/>
      <w:numFmt w:val="decimal"/>
      <w:suff w:val="nothing"/>
      <w:lvlText w:val="（%1）"/>
      <w:lvlJc w:val="left"/>
    </w:lvl>
  </w:abstractNum>
  <w:abstractNum w:abstractNumId="2">
    <w:nsid w:val="7D437654"/>
    <w:multiLevelType w:val="singleLevel"/>
    <w:tmpl w:val="7D437654"/>
    <w:lvl w:ilvl="0" w:tentative="0">
      <w:start w:val="10"/>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7D6"/>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4AF"/>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4E9"/>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58C"/>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3E6"/>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916"/>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6D0"/>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0FC"/>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83505"/>
    <w:rsid w:val="01675739"/>
    <w:rsid w:val="016A4929"/>
    <w:rsid w:val="01761E20"/>
    <w:rsid w:val="019F7441"/>
    <w:rsid w:val="01B37585"/>
    <w:rsid w:val="01B645B5"/>
    <w:rsid w:val="01BD35AB"/>
    <w:rsid w:val="01C65DA5"/>
    <w:rsid w:val="01D55165"/>
    <w:rsid w:val="01DF6BF8"/>
    <w:rsid w:val="01E32035"/>
    <w:rsid w:val="01E70DB5"/>
    <w:rsid w:val="01EC2C57"/>
    <w:rsid w:val="0213289B"/>
    <w:rsid w:val="024366BA"/>
    <w:rsid w:val="024B6E08"/>
    <w:rsid w:val="025F0711"/>
    <w:rsid w:val="026B2E25"/>
    <w:rsid w:val="02755FB4"/>
    <w:rsid w:val="02824D4D"/>
    <w:rsid w:val="02DC4B10"/>
    <w:rsid w:val="02DD76CE"/>
    <w:rsid w:val="02E5725D"/>
    <w:rsid w:val="02F36323"/>
    <w:rsid w:val="02F5619C"/>
    <w:rsid w:val="02FA0F90"/>
    <w:rsid w:val="0326446A"/>
    <w:rsid w:val="032B09E8"/>
    <w:rsid w:val="032D5555"/>
    <w:rsid w:val="036634D2"/>
    <w:rsid w:val="03774EE7"/>
    <w:rsid w:val="03824AAC"/>
    <w:rsid w:val="03B66504"/>
    <w:rsid w:val="03DD35E4"/>
    <w:rsid w:val="03F040A4"/>
    <w:rsid w:val="04076900"/>
    <w:rsid w:val="041A5A3B"/>
    <w:rsid w:val="042311BA"/>
    <w:rsid w:val="042B157A"/>
    <w:rsid w:val="043B4C5B"/>
    <w:rsid w:val="048F763B"/>
    <w:rsid w:val="04910D1F"/>
    <w:rsid w:val="049F330E"/>
    <w:rsid w:val="04AA775C"/>
    <w:rsid w:val="04AF1889"/>
    <w:rsid w:val="04C64E6C"/>
    <w:rsid w:val="04F574FF"/>
    <w:rsid w:val="04F66F48"/>
    <w:rsid w:val="04F75026"/>
    <w:rsid w:val="05251E14"/>
    <w:rsid w:val="05A16594"/>
    <w:rsid w:val="05A7762D"/>
    <w:rsid w:val="05AB7FC5"/>
    <w:rsid w:val="05E25CD6"/>
    <w:rsid w:val="05FB0AA5"/>
    <w:rsid w:val="060E5941"/>
    <w:rsid w:val="06110FAF"/>
    <w:rsid w:val="061E21DC"/>
    <w:rsid w:val="06493CA7"/>
    <w:rsid w:val="0653265B"/>
    <w:rsid w:val="065A6178"/>
    <w:rsid w:val="066F1CF3"/>
    <w:rsid w:val="06930BB8"/>
    <w:rsid w:val="06D62901"/>
    <w:rsid w:val="07245D42"/>
    <w:rsid w:val="07245E7A"/>
    <w:rsid w:val="07264C62"/>
    <w:rsid w:val="0779354C"/>
    <w:rsid w:val="077A3CEC"/>
    <w:rsid w:val="07852DBD"/>
    <w:rsid w:val="07A46B95"/>
    <w:rsid w:val="07F7358F"/>
    <w:rsid w:val="08061376"/>
    <w:rsid w:val="08452D77"/>
    <w:rsid w:val="086401F8"/>
    <w:rsid w:val="08661343"/>
    <w:rsid w:val="08751CAA"/>
    <w:rsid w:val="087E4C40"/>
    <w:rsid w:val="08923AEE"/>
    <w:rsid w:val="089A4FBE"/>
    <w:rsid w:val="08A871D0"/>
    <w:rsid w:val="08D66AD6"/>
    <w:rsid w:val="08DA33A3"/>
    <w:rsid w:val="08E80F13"/>
    <w:rsid w:val="092108C3"/>
    <w:rsid w:val="09335624"/>
    <w:rsid w:val="093E76C7"/>
    <w:rsid w:val="093F2701"/>
    <w:rsid w:val="0944690F"/>
    <w:rsid w:val="09535675"/>
    <w:rsid w:val="095F057D"/>
    <w:rsid w:val="09606B8F"/>
    <w:rsid w:val="09642282"/>
    <w:rsid w:val="09733572"/>
    <w:rsid w:val="09772C16"/>
    <w:rsid w:val="098353B5"/>
    <w:rsid w:val="09A92330"/>
    <w:rsid w:val="09B06B87"/>
    <w:rsid w:val="09C13146"/>
    <w:rsid w:val="09E04166"/>
    <w:rsid w:val="0A1C0718"/>
    <w:rsid w:val="0A3E7710"/>
    <w:rsid w:val="0A5B7E63"/>
    <w:rsid w:val="0A703465"/>
    <w:rsid w:val="0A8A06EA"/>
    <w:rsid w:val="0AA374A5"/>
    <w:rsid w:val="0AAB7649"/>
    <w:rsid w:val="0AB37C41"/>
    <w:rsid w:val="0ABC5606"/>
    <w:rsid w:val="0ACA0AE6"/>
    <w:rsid w:val="0B045A39"/>
    <w:rsid w:val="0B30404E"/>
    <w:rsid w:val="0B32455D"/>
    <w:rsid w:val="0B473F7A"/>
    <w:rsid w:val="0B4C6C14"/>
    <w:rsid w:val="0B547599"/>
    <w:rsid w:val="0B631A88"/>
    <w:rsid w:val="0B683D45"/>
    <w:rsid w:val="0B7F3F11"/>
    <w:rsid w:val="0B884417"/>
    <w:rsid w:val="0BF6188C"/>
    <w:rsid w:val="0BF73C91"/>
    <w:rsid w:val="0C170175"/>
    <w:rsid w:val="0C2C4EA9"/>
    <w:rsid w:val="0C571A41"/>
    <w:rsid w:val="0C594818"/>
    <w:rsid w:val="0C5C1171"/>
    <w:rsid w:val="0C5E1CBC"/>
    <w:rsid w:val="0C615B50"/>
    <w:rsid w:val="0C8445DA"/>
    <w:rsid w:val="0C87121B"/>
    <w:rsid w:val="0CC007F7"/>
    <w:rsid w:val="0CC617AC"/>
    <w:rsid w:val="0CE618DF"/>
    <w:rsid w:val="0CFE707A"/>
    <w:rsid w:val="0D063BDA"/>
    <w:rsid w:val="0D08375F"/>
    <w:rsid w:val="0D184CFB"/>
    <w:rsid w:val="0D4A7419"/>
    <w:rsid w:val="0D6671EC"/>
    <w:rsid w:val="0D827401"/>
    <w:rsid w:val="0D84094E"/>
    <w:rsid w:val="0D8713A0"/>
    <w:rsid w:val="0D8A00E9"/>
    <w:rsid w:val="0D8D589E"/>
    <w:rsid w:val="0D954E07"/>
    <w:rsid w:val="0DA01C73"/>
    <w:rsid w:val="0DB066B9"/>
    <w:rsid w:val="0DD63300"/>
    <w:rsid w:val="0DF50604"/>
    <w:rsid w:val="0DF702FE"/>
    <w:rsid w:val="0DFC36AD"/>
    <w:rsid w:val="0E060E51"/>
    <w:rsid w:val="0E192E1B"/>
    <w:rsid w:val="0E2008DB"/>
    <w:rsid w:val="0E5604B2"/>
    <w:rsid w:val="0E644A75"/>
    <w:rsid w:val="0E6D5D79"/>
    <w:rsid w:val="0E9D0089"/>
    <w:rsid w:val="0EA10D2A"/>
    <w:rsid w:val="0EB803EE"/>
    <w:rsid w:val="0ED307D9"/>
    <w:rsid w:val="0EF32D02"/>
    <w:rsid w:val="0EF425D6"/>
    <w:rsid w:val="0EF94D4B"/>
    <w:rsid w:val="0F386966"/>
    <w:rsid w:val="0F4958DC"/>
    <w:rsid w:val="0F515DF7"/>
    <w:rsid w:val="0F596BA8"/>
    <w:rsid w:val="0F6248D2"/>
    <w:rsid w:val="0F693536"/>
    <w:rsid w:val="0F7B0511"/>
    <w:rsid w:val="0F7B76D9"/>
    <w:rsid w:val="0F816ACD"/>
    <w:rsid w:val="0F9832DB"/>
    <w:rsid w:val="0FA43FFC"/>
    <w:rsid w:val="0FBD3E53"/>
    <w:rsid w:val="0FBF3FD2"/>
    <w:rsid w:val="0FBF7FF3"/>
    <w:rsid w:val="0FC10F8D"/>
    <w:rsid w:val="100B5E29"/>
    <w:rsid w:val="1021389E"/>
    <w:rsid w:val="10480E2B"/>
    <w:rsid w:val="105060D5"/>
    <w:rsid w:val="10646583"/>
    <w:rsid w:val="107D4B15"/>
    <w:rsid w:val="108A3C80"/>
    <w:rsid w:val="10C26171"/>
    <w:rsid w:val="10F33360"/>
    <w:rsid w:val="10FC16EA"/>
    <w:rsid w:val="110F1949"/>
    <w:rsid w:val="110F1D40"/>
    <w:rsid w:val="111331E7"/>
    <w:rsid w:val="11266F33"/>
    <w:rsid w:val="118963A1"/>
    <w:rsid w:val="118B7221"/>
    <w:rsid w:val="11C6522A"/>
    <w:rsid w:val="11E104CC"/>
    <w:rsid w:val="11E20309"/>
    <w:rsid w:val="12255233"/>
    <w:rsid w:val="12437C74"/>
    <w:rsid w:val="12530213"/>
    <w:rsid w:val="127723A9"/>
    <w:rsid w:val="12862074"/>
    <w:rsid w:val="12883966"/>
    <w:rsid w:val="129E45B4"/>
    <w:rsid w:val="12D81596"/>
    <w:rsid w:val="12E56E05"/>
    <w:rsid w:val="13051255"/>
    <w:rsid w:val="13072A44"/>
    <w:rsid w:val="133B07D3"/>
    <w:rsid w:val="135F4BE2"/>
    <w:rsid w:val="139B1A0A"/>
    <w:rsid w:val="139D25C7"/>
    <w:rsid w:val="13BF3CE4"/>
    <w:rsid w:val="13EE5846"/>
    <w:rsid w:val="141008D8"/>
    <w:rsid w:val="14125FE6"/>
    <w:rsid w:val="145025E8"/>
    <w:rsid w:val="146B16A8"/>
    <w:rsid w:val="146D271E"/>
    <w:rsid w:val="14982588"/>
    <w:rsid w:val="149A5AD9"/>
    <w:rsid w:val="14A7619D"/>
    <w:rsid w:val="14EB3E95"/>
    <w:rsid w:val="150536C3"/>
    <w:rsid w:val="150C1963"/>
    <w:rsid w:val="151447A0"/>
    <w:rsid w:val="152B4878"/>
    <w:rsid w:val="153951E6"/>
    <w:rsid w:val="15455939"/>
    <w:rsid w:val="154A6454"/>
    <w:rsid w:val="155838BF"/>
    <w:rsid w:val="15762120"/>
    <w:rsid w:val="15D77F1B"/>
    <w:rsid w:val="15F014F9"/>
    <w:rsid w:val="16227A86"/>
    <w:rsid w:val="16590D93"/>
    <w:rsid w:val="16A8729C"/>
    <w:rsid w:val="16B33777"/>
    <w:rsid w:val="16BC70A7"/>
    <w:rsid w:val="16C6339E"/>
    <w:rsid w:val="16DA00DD"/>
    <w:rsid w:val="16FB6BF7"/>
    <w:rsid w:val="172F215D"/>
    <w:rsid w:val="172F2D79"/>
    <w:rsid w:val="17557BEF"/>
    <w:rsid w:val="176C53FF"/>
    <w:rsid w:val="177F1207"/>
    <w:rsid w:val="17D349C1"/>
    <w:rsid w:val="17E01949"/>
    <w:rsid w:val="182B350C"/>
    <w:rsid w:val="1830729E"/>
    <w:rsid w:val="18616F2E"/>
    <w:rsid w:val="1870062C"/>
    <w:rsid w:val="18722EE9"/>
    <w:rsid w:val="187C3D68"/>
    <w:rsid w:val="18817102"/>
    <w:rsid w:val="18830A15"/>
    <w:rsid w:val="18852B28"/>
    <w:rsid w:val="188B5321"/>
    <w:rsid w:val="191F46F3"/>
    <w:rsid w:val="19487729"/>
    <w:rsid w:val="196C4CD9"/>
    <w:rsid w:val="19932372"/>
    <w:rsid w:val="19A20DD5"/>
    <w:rsid w:val="19AE03F1"/>
    <w:rsid w:val="19B7492C"/>
    <w:rsid w:val="19B94B48"/>
    <w:rsid w:val="19EF51BA"/>
    <w:rsid w:val="1A071A03"/>
    <w:rsid w:val="1A1324AA"/>
    <w:rsid w:val="1A1F16AE"/>
    <w:rsid w:val="1A380C99"/>
    <w:rsid w:val="1A3B5C77"/>
    <w:rsid w:val="1A7B3BAB"/>
    <w:rsid w:val="1A895DB9"/>
    <w:rsid w:val="1A984BAD"/>
    <w:rsid w:val="1AB8220E"/>
    <w:rsid w:val="1AE4166C"/>
    <w:rsid w:val="1AF06CFB"/>
    <w:rsid w:val="1AF11B8D"/>
    <w:rsid w:val="1B11359C"/>
    <w:rsid w:val="1B2A271F"/>
    <w:rsid w:val="1B4072CF"/>
    <w:rsid w:val="1B530544"/>
    <w:rsid w:val="1B650AE3"/>
    <w:rsid w:val="1B713184"/>
    <w:rsid w:val="1B803B6F"/>
    <w:rsid w:val="1BA209CF"/>
    <w:rsid w:val="1BB13D28"/>
    <w:rsid w:val="1BB4777D"/>
    <w:rsid w:val="1BD75AB8"/>
    <w:rsid w:val="1BEC2FB3"/>
    <w:rsid w:val="1C0459C2"/>
    <w:rsid w:val="1C0A168B"/>
    <w:rsid w:val="1C1B3B4A"/>
    <w:rsid w:val="1C3F453D"/>
    <w:rsid w:val="1C525A3A"/>
    <w:rsid w:val="1C556DAA"/>
    <w:rsid w:val="1C746B04"/>
    <w:rsid w:val="1C7725CD"/>
    <w:rsid w:val="1C88086E"/>
    <w:rsid w:val="1CC23D13"/>
    <w:rsid w:val="1CEE6F01"/>
    <w:rsid w:val="1D1C1676"/>
    <w:rsid w:val="1D266CE1"/>
    <w:rsid w:val="1D3963AF"/>
    <w:rsid w:val="1D3D0FE5"/>
    <w:rsid w:val="1D5F77B4"/>
    <w:rsid w:val="1D6A673C"/>
    <w:rsid w:val="1D87616A"/>
    <w:rsid w:val="1D9247AE"/>
    <w:rsid w:val="1DB567EC"/>
    <w:rsid w:val="1DF51A98"/>
    <w:rsid w:val="1E122A78"/>
    <w:rsid w:val="1E256365"/>
    <w:rsid w:val="1E3D060F"/>
    <w:rsid w:val="1E3F7D2E"/>
    <w:rsid w:val="1E4134E4"/>
    <w:rsid w:val="1E5062B3"/>
    <w:rsid w:val="1E523514"/>
    <w:rsid w:val="1E714A66"/>
    <w:rsid w:val="1E802593"/>
    <w:rsid w:val="1E8B6156"/>
    <w:rsid w:val="1EA703CC"/>
    <w:rsid w:val="1EB7330C"/>
    <w:rsid w:val="1F0A0FF3"/>
    <w:rsid w:val="1F1A7E37"/>
    <w:rsid w:val="1F5771FF"/>
    <w:rsid w:val="1F5F3A9B"/>
    <w:rsid w:val="1F646BF6"/>
    <w:rsid w:val="1F705CA9"/>
    <w:rsid w:val="1F904124"/>
    <w:rsid w:val="1FA53BA4"/>
    <w:rsid w:val="1FB72576"/>
    <w:rsid w:val="1FE868A9"/>
    <w:rsid w:val="20034907"/>
    <w:rsid w:val="20173E4B"/>
    <w:rsid w:val="20256A93"/>
    <w:rsid w:val="202645B9"/>
    <w:rsid w:val="204E48BC"/>
    <w:rsid w:val="208921B3"/>
    <w:rsid w:val="20973DEB"/>
    <w:rsid w:val="20AB30E2"/>
    <w:rsid w:val="20B26522"/>
    <w:rsid w:val="20B44310"/>
    <w:rsid w:val="210E7527"/>
    <w:rsid w:val="211116EB"/>
    <w:rsid w:val="216133FC"/>
    <w:rsid w:val="21C67E02"/>
    <w:rsid w:val="21D27E01"/>
    <w:rsid w:val="21D56769"/>
    <w:rsid w:val="21E06B66"/>
    <w:rsid w:val="21E52EF3"/>
    <w:rsid w:val="21FB5D7B"/>
    <w:rsid w:val="22015E94"/>
    <w:rsid w:val="2208041A"/>
    <w:rsid w:val="220B1C3D"/>
    <w:rsid w:val="221026C4"/>
    <w:rsid w:val="221C2118"/>
    <w:rsid w:val="221D1D20"/>
    <w:rsid w:val="22334A87"/>
    <w:rsid w:val="226C7774"/>
    <w:rsid w:val="22BE6801"/>
    <w:rsid w:val="233500BF"/>
    <w:rsid w:val="23377FF7"/>
    <w:rsid w:val="233B65CE"/>
    <w:rsid w:val="234F5BD5"/>
    <w:rsid w:val="236B425F"/>
    <w:rsid w:val="23836192"/>
    <w:rsid w:val="23901F29"/>
    <w:rsid w:val="239C0061"/>
    <w:rsid w:val="23B908A4"/>
    <w:rsid w:val="23E159F4"/>
    <w:rsid w:val="23E95BEF"/>
    <w:rsid w:val="23FD0064"/>
    <w:rsid w:val="23FE282D"/>
    <w:rsid w:val="242E4F59"/>
    <w:rsid w:val="245375B0"/>
    <w:rsid w:val="24642C0A"/>
    <w:rsid w:val="24833D88"/>
    <w:rsid w:val="24B22173"/>
    <w:rsid w:val="24B95AD9"/>
    <w:rsid w:val="24BE24DA"/>
    <w:rsid w:val="24C34ACD"/>
    <w:rsid w:val="24CF5825"/>
    <w:rsid w:val="24D663E6"/>
    <w:rsid w:val="24D77F2B"/>
    <w:rsid w:val="258B00E2"/>
    <w:rsid w:val="25A917A6"/>
    <w:rsid w:val="25B82157"/>
    <w:rsid w:val="25BE27CC"/>
    <w:rsid w:val="25DF5936"/>
    <w:rsid w:val="25F74A5C"/>
    <w:rsid w:val="26081B3A"/>
    <w:rsid w:val="2628662C"/>
    <w:rsid w:val="262D45DE"/>
    <w:rsid w:val="262F57E2"/>
    <w:rsid w:val="266320C3"/>
    <w:rsid w:val="26871DC8"/>
    <w:rsid w:val="269F0C21"/>
    <w:rsid w:val="26A53EF9"/>
    <w:rsid w:val="26A94201"/>
    <w:rsid w:val="26AC274F"/>
    <w:rsid w:val="26F251F5"/>
    <w:rsid w:val="27044A29"/>
    <w:rsid w:val="270A69E3"/>
    <w:rsid w:val="271D34C8"/>
    <w:rsid w:val="273601D5"/>
    <w:rsid w:val="276142BF"/>
    <w:rsid w:val="27783712"/>
    <w:rsid w:val="27907362"/>
    <w:rsid w:val="27912C60"/>
    <w:rsid w:val="27A504B9"/>
    <w:rsid w:val="28333E1D"/>
    <w:rsid w:val="283B1F3C"/>
    <w:rsid w:val="28454BD6"/>
    <w:rsid w:val="28455253"/>
    <w:rsid w:val="284E28FF"/>
    <w:rsid w:val="28551971"/>
    <w:rsid w:val="285B1C53"/>
    <w:rsid w:val="289F7086"/>
    <w:rsid w:val="28C32028"/>
    <w:rsid w:val="28CC490F"/>
    <w:rsid w:val="28DE40AA"/>
    <w:rsid w:val="292A511A"/>
    <w:rsid w:val="29345E77"/>
    <w:rsid w:val="294C65AD"/>
    <w:rsid w:val="2951272C"/>
    <w:rsid w:val="29806583"/>
    <w:rsid w:val="298B3C4C"/>
    <w:rsid w:val="29B844D4"/>
    <w:rsid w:val="29F26D24"/>
    <w:rsid w:val="2A117E8B"/>
    <w:rsid w:val="2A15033F"/>
    <w:rsid w:val="2A1662C1"/>
    <w:rsid w:val="2A1C7367"/>
    <w:rsid w:val="2A2815FA"/>
    <w:rsid w:val="2A5E4860"/>
    <w:rsid w:val="2A5E7E2D"/>
    <w:rsid w:val="2A663566"/>
    <w:rsid w:val="2A6D6092"/>
    <w:rsid w:val="2A7D76B4"/>
    <w:rsid w:val="2A9036A3"/>
    <w:rsid w:val="2B1B2F6C"/>
    <w:rsid w:val="2B20576A"/>
    <w:rsid w:val="2B437463"/>
    <w:rsid w:val="2B7807EE"/>
    <w:rsid w:val="2BA50BF7"/>
    <w:rsid w:val="2BBF00EC"/>
    <w:rsid w:val="2BC37CFD"/>
    <w:rsid w:val="2BD5237F"/>
    <w:rsid w:val="2BE536CE"/>
    <w:rsid w:val="2BE758D9"/>
    <w:rsid w:val="2C09049E"/>
    <w:rsid w:val="2C0A653C"/>
    <w:rsid w:val="2C1520B2"/>
    <w:rsid w:val="2C1874AC"/>
    <w:rsid w:val="2C191F85"/>
    <w:rsid w:val="2C1A3224"/>
    <w:rsid w:val="2C3342E6"/>
    <w:rsid w:val="2C3806EC"/>
    <w:rsid w:val="2C622CBA"/>
    <w:rsid w:val="2C721EB8"/>
    <w:rsid w:val="2CAD2187"/>
    <w:rsid w:val="2CE82D6F"/>
    <w:rsid w:val="2D343236"/>
    <w:rsid w:val="2D39592C"/>
    <w:rsid w:val="2D7C1CBC"/>
    <w:rsid w:val="2DD15014"/>
    <w:rsid w:val="2DF72DE4"/>
    <w:rsid w:val="2E0220AF"/>
    <w:rsid w:val="2E4B082A"/>
    <w:rsid w:val="2E4D0C9D"/>
    <w:rsid w:val="2E5D4E86"/>
    <w:rsid w:val="2E5D790B"/>
    <w:rsid w:val="2E9A3C18"/>
    <w:rsid w:val="2EB3155B"/>
    <w:rsid w:val="2EBB0FEE"/>
    <w:rsid w:val="2EC63002"/>
    <w:rsid w:val="2F0A6B38"/>
    <w:rsid w:val="2F5563C2"/>
    <w:rsid w:val="2F697F3B"/>
    <w:rsid w:val="2F7964B4"/>
    <w:rsid w:val="2F7E7F6E"/>
    <w:rsid w:val="2F8119E7"/>
    <w:rsid w:val="2F8F18E7"/>
    <w:rsid w:val="2F946CCB"/>
    <w:rsid w:val="2FD25781"/>
    <w:rsid w:val="2FDC745C"/>
    <w:rsid w:val="2FFB2B49"/>
    <w:rsid w:val="2FFD7934"/>
    <w:rsid w:val="30071D11"/>
    <w:rsid w:val="30234671"/>
    <w:rsid w:val="30733ACD"/>
    <w:rsid w:val="308C3862"/>
    <w:rsid w:val="309379D8"/>
    <w:rsid w:val="309C7EC7"/>
    <w:rsid w:val="30A270F7"/>
    <w:rsid w:val="30AA14F8"/>
    <w:rsid w:val="30B362CA"/>
    <w:rsid w:val="30DF1478"/>
    <w:rsid w:val="30E91417"/>
    <w:rsid w:val="30EC586F"/>
    <w:rsid w:val="311D6E24"/>
    <w:rsid w:val="316842DD"/>
    <w:rsid w:val="319C6071"/>
    <w:rsid w:val="31A11ECE"/>
    <w:rsid w:val="31AC537E"/>
    <w:rsid w:val="31E3679B"/>
    <w:rsid w:val="31E732FD"/>
    <w:rsid w:val="31EB11BF"/>
    <w:rsid w:val="324B37A0"/>
    <w:rsid w:val="325154C6"/>
    <w:rsid w:val="32517576"/>
    <w:rsid w:val="329326DF"/>
    <w:rsid w:val="32943604"/>
    <w:rsid w:val="3296737C"/>
    <w:rsid w:val="32A24AAE"/>
    <w:rsid w:val="32BE5C2C"/>
    <w:rsid w:val="32D63C1D"/>
    <w:rsid w:val="32DA2A0D"/>
    <w:rsid w:val="32FB6478"/>
    <w:rsid w:val="330F5320"/>
    <w:rsid w:val="332410BB"/>
    <w:rsid w:val="33263B3F"/>
    <w:rsid w:val="335A1F1F"/>
    <w:rsid w:val="336963EB"/>
    <w:rsid w:val="337D6B81"/>
    <w:rsid w:val="33816EEB"/>
    <w:rsid w:val="339733AC"/>
    <w:rsid w:val="33EB55CD"/>
    <w:rsid w:val="33EC4C02"/>
    <w:rsid w:val="340D2360"/>
    <w:rsid w:val="3410665D"/>
    <w:rsid w:val="34211214"/>
    <w:rsid w:val="342E63AB"/>
    <w:rsid w:val="343E7CCC"/>
    <w:rsid w:val="348558FB"/>
    <w:rsid w:val="348C0A37"/>
    <w:rsid w:val="34950E68"/>
    <w:rsid w:val="34986E94"/>
    <w:rsid w:val="34AF62C9"/>
    <w:rsid w:val="34BB756E"/>
    <w:rsid w:val="34C54D6F"/>
    <w:rsid w:val="34CB4388"/>
    <w:rsid w:val="34D0301A"/>
    <w:rsid w:val="34E76663"/>
    <w:rsid w:val="34FA6E12"/>
    <w:rsid w:val="351849C1"/>
    <w:rsid w:val="354D7158"/>
    <w:rsid w:val="354F2247"/>
    <w:rsid w:val="358D5588"/>
    <w:rsid w:val="35CF58BD"/>
    <w:rsid w:val="35E85C5E"/>
    <w:rsid w:val="36015455"/>
    <w:rsid w:val="363A3B40"/>
    <w:rsid w:val="365302AE"/>
    <w:rsid w:val="365F7944"/>
    <w:rsid w:val="36607A0A"/>
    <w:rsid w:val="366E227C"/>
    <w:rsid w:val="366F2E0D"/>
    <w:rsid w:val="366F50DC"/>
    <w:rsid w:val="367B6A5C"/>
    <w:rsid w:val="36A74ADA"/>
    <w:rsid w:val="36AB4220"/>
    <w:rsid w:val="36AD60D5"/>
    <w:rsid w:val="36B224F9"/>
    <w:rsid w:val="36B23ECE"/>
    <w:rsid w:val="36E3469B"/>
    <w:rsid w:val="36EC0CC9"/>
    <w:rsid w:val="371D1E1A"/>
    <w:rsid w:val="373F410B"/>
    <w:rsid w:val="374A4272"/>
    <w:rsid w:val="37EE7094"/>
    <w:rsid w:val="38033706"/>
    <w:rsid w:val="38237904"/>
    <w:rsid w:val="38296C89"/>
    <w:rsid w:val="383002EB"/>
    <w:rsid w:val="38586797"/>
    <w:rsid w:val="38741F0E"/>
    <w:rsid w:val="387F42EB"/>
    <w:rsid w:val="38975BFC"/>
    <w:rsid w:val="38BC0149"/>
    <w:rsid w:val="38C00A02"/>
    <w:rsid w:val="38D87D1C"/>
    <w:rsid w:val="395C1CA2"/>
    <w:rsid w:val="39636459"/>
    <w:rsid w:val="396B7F6C"/>
    <w:rsid w:val="39745A19"/>
    <w:rsid w:val="39A9086A"/>
    <w:rsid w:val="39AA35E8"/>
    <w:rsid w:val="39B417A9"/>
    <w:rsid w:val="39CF66AA"/>
    <w:rsid w:val="39FC5695"/>
    <w:rsid w:val="3A006D8E"/>
    <w:rsid w:val="3A204F94"/>
    <w:rsid w:val="3A3651E5"/>
    <w:rsid w:val="3A744481"/>
    <w:rsid w:val="3A8C7BEF"/>
    <w:rsid w:val="3A906246"/>
    <w:rsid w:val="3A916DA7"/>
    <w:rsid w:val="3A9E536B"/>
    <w:rsid w:val="3AA36ADA"/>
    <w:rsid w:val="3AE96BE3"/>
    <w:rsid w:val="3B2349B7"/>
    <w:rsid w:val="3B616CFF"/>
    <w:rsid w:val="3B6259F6"/>
    <w:rsid w:val="3B976654"/>
    <w:rsid w:val="3BC01EFC"/>
    <w:rsid w:val="3BCA786A"/>
    <w:rsid w:val="3BD31E2F"/>
    <w:rsid w:val="3BF15831"/>
    <w:rsid w:val="3C105946"/>
    <w:rsid w:val="3C471448"/>
    <w:rsid w:val="3C5F759A"/>
    <w:rsid w:val="3C6B7ACC"/>
    <w:rsid w:val="3C6C525A"/>
    <w:rsid w:val="3C91052B"/>
    <w:rsid w:val="3C940DD1"/>
    <w:rsid w:val="3CCE23CB"/>
    <w:rsid w:val="3CD17D17"/>
    <w:rsid w:val="3CD967E3"/>
    <w:rsid w:val="3CF74540"/>
    <w:rsid w:val="3D346110"/>
    <w:rsid w:val="3D3C7F39"/>
    <w:rsid w:val="3D440F09"/>
    <w:rsid w:val="3D4504A0"/>
    <w:rsid w:val="3D673163"/>
    <w:rsid w:val="3D8734BB"/>
    <w:rsid w:val="3D8F3346"/>
    <w:rsid w:val="3D9A11D4"/>
    <w:rsid w:val="3DA16D89"/>
    <w:rsid w:val="3DA364BE"/>
    <w:rsid w:val="3DE041CB"/>
    <w:rsid w:val="3E0D48F6"/>
    <w:rsid w:val="3E1868B4"/>
    <w:rsid w:val="3E377251"/>
    <w:rsid w:val="3E42664B"/>
    <w:rsid w:val="3E522CF1"/>
    <w:rsid w:val="3E5A7334"/>
    <w:rsid w:val="3E7B5D6B"/>
    <w:rsid w:val="3E843E66"/>
    <w:rsid w:val="3E8F51FE"/>
    <w:rsid w:val="3E926F87"/>
    <w:rsid w:val="3E9A59DE"/>
    <w:rsid w:val="3E9C622E"/>
    <w:rsid w:val="3EAF4836"/>
    <w:rsid w:val="3EBC63BD"/>
    <w:rsid w:val="3EC33DFA"/>
    <w:rsid w:val="3EF9316D"/>
    <w:rsid w:val="3F060E16"/>
    <w:rsid w:val="3F1D1096"/>
    <w:rsid w:val="3F23643C"/>
    <w:rsid w:val="3F2F0234"/>
    <w:rsid w:val="3F6363FE"/>
    <w:rsid w:val="3F756B8F"/>
    <w:rsid w:val="3F81285C"/>
    <w:rsid w:val="3F95482B"/>
    <w:rsid w:val="3FAC6431"/>
    <w:rsid w:val="4019356B"/>
    <w:rsid w:val="40592157"/>
    <w:rsid w:val="406E1CAE"/>
    <w:rsid w:val="409D105B"/>
    <w:rsid w:val="40A0133A"/>
    <w:rsid w:val="40C31A53"/>
    <w:rsid w:val="40E83499"/>
    <w:rsid w:val="40FF545D"/>
    <w:rsid w:val="410067C8"/>
    <w:rsid w:val="414D59F2"/>
    <w:rsid w:val="415935B0"/>
    <w:rsid w:val="416176D3"/>
    <w:rsid w:val="417E7959"/>
    <w:rsid w:val="418F0D2A"/>
    <w:rsid w:val="41A970CC"/>
    <w:rsid w:val="41D01505"/>
    <w:rsid w:val="41DB1DE2"/>
    <w:rsid w:val="42474939"/>
    <w:rsid w:val="424C3C57"/>
    <w:rsid w:val="42613FF3"/>
    <w:rsid w:val="42655F99"/>
    <w:rsid w:val="42660D96"/>
    <w:rsid w:val="428667D2"/>
    <w:rsid w:val="42CD1CE0"/>
    <w:rsid w:val="42E1381E"/>
    <w:rsid w:val="42ED6459"/>
    <w:rsid w:val="42F5544C"/>
    <w:rsid w:val="42FE58DD"/>
    <w:rsid w:val="43174B3D"/>
    <w:rsid w:val="43244531"/>
    <w:rsid w:val="434B790E"/>
    <w:rsid w:val="4360274F"/>
    <w:rsid w:val="437B23A2"/>
    <w:rsid w:val="43977AB6"/>
    <w:rsid w:val="43A26FE5"/>
    <w:rsid w:val="43A3342B"/>
    <w:rsid w:val="43C77C27"/>
    <w:rsid w:val="43CC2BFE"/>
    <w:rsid w:val="43DE09EE"/>
    <w:rsid w:val="44002FAD"/>
    <w:rsid w:val="441C37AA"/>
    <w:rsid w:val="444E3F5B"/>
    <w:rsid w:val="449101DD"/>
    <w:rsid w:val="4496320C"/>
    <w:rsid w:val="44A91191"/>
    <w:rsid w:val="44AB0037"/>
    <w:rsid w:val="44DE1391"/>
    <w:rsid w:val="450217D3"/>
    <w:rsid w:val="451B225C"/>
    <w:rsid w:val="451D6913"/>
    <w:rsid w:val="452410C9"/>
    <w:rsid w:val="45317DFB"/>
    <w:rsid w:val="45544B15"/>
    <w:rsid w:val="456D3CE4"/>
    <w:rsid w:val="4579042C"/>
    <w:rsid w:val="457F0571"/>
    <w:rsid w:val="45851176"/>
    <w:rsid w:val="45AC718B"/>
    <w:rsid w:val="45BF1803"/>
    <w:rsid w:val="45C55BC2"/>
    <w:rsid w:val="45C63B94"/>
    <w:rsid w:val="45EE1561"/>
    <w:rsid w:val="460129E9"/>
    <w:rsid w:val="460E7DA5"/>
    <w:rsid w:val="46422483"/>
    <w:rsid w:val="4659254A"/>
    <w:rsid w:val="465B0637"/>
    <w:rsid w:val="465E3F0D"/>
    <w:rsid w:val="46671304"/>
    <w:rsid w:val="466A16E6"/>
    <w:rsid w:val="466C691A"/>
    <w:rsid w:val="46893F2B"/>
    <w:rsid w:val="469043B7"/>
    <w:rsid w:val="4698326B"/>
    <w:rsid w:val="46B7509B"/>
    <w:rsid w:val="46C444E6"/>
    <w:rsid w:val="46C4686E"/>
    <w:rsid w:val="46FA3F26"/>
    <w:rsid w:val="46FF778E"/>
    <w:rsid w:val="470E6E59"/>
    <w:rsid w:val="47332F94"/>
    <w:rsid w:val="476A10AC"/>
    <w:rsid w:val="477B778F"/>
    <w:rsid w:val="478203EC"/>
    <w:rsid w:val="479A532E"/>
    <w:rsid w:val="47B025FA"/>
    <w:rsid w:val="4809698F"/>
    <w:rsid w:val="4811697D"/>
    <w:rsid w:val="4839282C"/>
    <w:rsid w:val="48757D08"/>
    <w:rsid w:val="487A3E25"/>
    <w:rsid w:val="488B5503"/>
    <w:rsid w:val="48937E21"/>
    <w:rsid w:val="489A0361"/>
    <w:rsid w:val="48A8102D"/>
    <w:rsid w:val="48B94FF3"/>
    <w:rsid w:val="48DF5182"/>
    <w:rsid w:val="48E37AAB"/>
    <w:rsid w:val="48FD4B4C"/>
    <w:rsid w:val="490A68E0"/>
    <w:rsid w:val="491055FE"/>
    <w:rsid w:val="49267254"/>
    <w:rsid w:val="495F5B3E"/>
    <w:rsid w:val="496F77D7"/>
    <w:rsid w:val="497654FD"/>
    <w:rsid w:val="49B04D70"/>
    <w:rsid w:val="49B64211"/>
    <w:rsid w:val="49D00F6E"/>
    <w:rsid w:val="49D41AAC"/>
    <w:rsid w:val="49F6167F"/>
    <w:rsid w:val="4A064FA0"/>
    <w:rsid w:val="4A16615C"/>
    <w:rsid w:val="4A4424D7"/>
    <w:rsid w:val="4A541B9F"/>
    <w:rsid w:val="4A8C507B"/>
    <w:rsid w:val="4A8F7F71"/>
    <w:rsid w:val="4AB82D0F"/>
    <w:rsid w:val="4AC565F9"/>
    <w:rsid w:val="4AEB7664"/>
    <w:rsid w:val="4AFD7C19"/>
    <w:rsid w:val="4B0567D1"/>
    <w:rsid w:val="4B236AAE"/>
    <w:rsid w:val="4B2477C4"/>
    <w:rsid w:val="4B2F799D"/>
    <w:rsid w:val="4B3113E2"/>
    <w:rsid w:val="4B402530"/>
    <w:rsid w:val="4B4E2A92"/>
    <w:rsid w:val="4B577B99"/>
    <w:rsid w:val="4B707271"/>
    <w:rsid w:val="4B9739F7"/>
    <w:rsid w:val="4BEE2503"/>
    <w:rsid w:val="4BF727EA"/>
    <w:rsid w:val="4C043151"/>
    <w:rsid w:val="4C245A30"/>
    <w:rsid w:val="4C4C6346"/>
    <w:rsid w:val="4C4F68B8"/>
    <w:rsid w:val="4C5506BA"/>
    <w:rsid w:val="4C632109"/>
    <w:rsid w:val="4C8C1137"/>
    <w:rsid w:val="4C9D306C"/>
    <w:rsid w:val="4CA0550F"/>
    <w:rsid w:val="4CB6685F"/>
    <w:rsid w:val="4CC367FE"/>
    <w:rsid w:val="4CD55219"/>
    <w:rsid w:val="4CE30FB8"/>
    <w:rsid w:val="4D077F3C"/>
    <w:rsid w:val="4D123355"/>
    <w:rsid w:val="4D2A3B31"/>
    <w:rsid w:val="4D312C52"/>
    <w:rsid w:val="4D905305"/>
    <w:rsid w:val="4D964A72"/>
    <w:rsid w:val="4D9C1254"/>
    <w:rsid w:val="4D9E5B15"/>
    <w:rsid w:val="4DA16EA9"/>
    <w:rsid w:val="4DBA61BD"/>
    <w:rsid w:val="4E0D453F"/>
    <w:rsid w:val="4E4B32B9"/>
    <w:rsid w:val="4E557EA6"/>
    <w:rsid w:val="4E793892"/>
    <w:rsid w:val="4E800872"/>
    <w:rsid w:val="4EA56E6D"/>
    <w:rsid w:val="4EC569ED"/>
    <w:rsid w:val="4ED50EA1"/>
    <w:rsid w:val="4EEC050C"/>
    <w:rsid w:val="4F104EC3"/>
    <w:rsid w:val="4F3E697A"/>
    <w:rsid w:val="4F47354A"/>
    <w:rsid w:val="4F911C54"/>
    <w:rsid w:val="4FB12B89"/>
    <w:rsid w:val="4FC43323"/>
    <w:rsid w:val="4FC96B8B"/>
    <w:rsid w:val="4FD572DE"/>
    <w:rsid w:val="4FE625E0"/>
    <w:rsid w:val="5021480F"/>
    <w:rsid w:val="504C0DC2"/>
    <w:rsid w:val="505A77E4"/>
    <w:rsid w:val="505C301C"/>
    <w:rsid w:val="505E72D4"/>
    <w:rsid w:val="50792360"/>
    <w:rsid w:val="50962ECB"/>
    <w:rsid w:val="50A42E38"/>
    <w:rsid w:val="50A4577F"/>
    <w:rsid w:val="50B73D1F"/>
    <w:rsid w:val="50BD5BC9"/>
    <w:rsid w:val="50C11EEE"/>
    <w:rsid w:val="50E61077"/>
    <w:rsid w:val="50E97CFC"/>
    <w:rsid w:val="50F244D3"/>
    <w:rsid w:val="50FA4028"/>
    <w:rsid w:val="50FC674E"/>
    <w:rsid w:val="510D65B7"/>
    <w:rsid w:val="511157AB"/>
    <w:rsid w:val="5138719B"/>
    <w:rsid w:val="5142540C"/>
    <w:rsid w:val="515D57DD"/>
    <w:rsid w:val="517448D5"/>
    <w:rsid w:val="518832C8"/>
    <w:rsid w:val="519D3C50"/>
    <w:rsid w:val="51A0432A"/>
    <w:rsid w:val="51A86090"/>
    <w:rsid w:val="51B7396D"/>
    <w:rsid w:val="51EE6435"/>
    <w:rsid w:val="52062098"/>
    <w:rsid w:val="522E4CC3"/>
    <w:rsid w:val="5244374D"/>
    <w:rsid w:val="5244713B"/>
    <w:rsid w:val="524644C3"/>
    <w:rsid w:val="52546BE0"/>
    <w:rsid w:val="52615633"/>
    <w:rsid w:val="526F4DE4"/>
    <w:rsid w:val="52977FD4"/>
    <w:rsid w:val="52A25790"/>
    <w:rsid w:val="52A62351"/>
    <w:rsid w:val="52A96B6F"/>
    <w:rsid w:val="52B45975"/>
    <w:rsid w:val="52D10231"/>
    <w:rsid w:val="52D94AA4"/>
    <w:rsid w:val="52EA3A62"/>
    <w:rsid w:val="52EB0BC7"/>
    <w:rsid w:val="52F50BB8"/>
    <w:rsid w:val="53097272"/>
    <w:rsid w:val="534C1537"/>
    <w:rsid w:val="53544462"/>
    <w:rsid w:val="536C7F5A"/>
    <w:rsid w:val="5391176E"/>
    <w:rsid w:val="5397158E"/>
    <w:rsid w:val="53D63625"/>
    <w:rsid w:val="53E325D5"/>
    <w:rsid w:val="54013861"/>
    <w:rsid w:val="541A1764"/>
    <w:rsid w:val="54276FD5"/>
    <w:rsid w:val="54487265"/>
    <w:rsid w:val="544D6070"/>
    <w:rsid w:val="54605E1E"/>
    <w:rsid w:val="54882B71"/>
    <w:rsid w:val="54B3506A"/>
    <w:rsid w:val="54B90F7D"/>
    <w:rsid w:val="54C811C0"/>
    <w:rsid w:val="54CA0D16"/>
    <w:rsid w:val="54DD4057"/>
    <w:rsid w:val="54E7490F"/>
    <w:rsid w:val="550764A4"/>
    <w:rsid w:val="550B2BF6"/>
    <w:rsid w:val="55214EB5"/>
    <w:rsid w:val="552526A7"/>
    <w:rsid w:val="55296A33"/>
    <w:rsid w:val="55364EFD"/>
    <w:rsid w:val="554615BE"/>
    <w:rsid w:val="555D4828"/>
    <w:rsid w:val="557A4C8B"/>
    <w:rsid w:val="557E3F74"/>
    <w:rsid w:val="558931E1"/>
    <w:rsid w:val="559002B6"/>
    <w:rsid w:val="55923347"/>
    <w:rsid w:val="55925180"/>
    <w:rsid w:val="55983B1B"/>
    <w:rsid w:val="55A408D2"/>
    <w:rsid w:val="55A8376B"/>
    <w:rsid w:val="55DC29B6"/>
    <w:rsid w:val="55DD4241"/>
    <w:rsid w:val="55E738C7"/>
    <w:rsid w:val="566B6D1E"/>
    <w:rsid w:val="56811F6E"/>
    <w:rsid w:val="56971BEE"/>
    <w:rsid w:val="56A03F78"/>
    <w:rsid w:val="56A30136"/>
    <w:rsid w:val="56BC0420"/>
    <w:rsid w:val="57032A2C"/>
    <w:rsid w:val="570F5219"/>
    <w:rsid w:val="572E78E5"/>
    <w:rsid w:val="575D12B5"/>
    <w:rsid w:val="57610A87"/>
    <w:rsid w:val="577B1140"/>
    <w:rsid w:val="577B7F21"/>
    <w:rsid w:val="577F181B"/>
    <w:rsid w:val="578372D9"/>
    <w:rsid w:val="57921984"/>
    <w:rsid w:val="579737F0"/>
    <w:rsid w:val="57AB7B30"/>
    <w:rsid w:val="57AF5251"/>
    <w:rsid w:val="57B26373"/>
    <w:rsid w:val="57B63F04"/>
    <w:rsid w:val="57CD20C2"/>
    <w:rsid w:val="57D675AB"/>
    <w:rsid w:val="57D95FDD"/>
    <w:rsid w:val="58096564"/>
    <w:rsid w:val="58917D2F"/>
    <w:rsid w:val="5894085C"/>
    <w:rsid w:val="58A601B5"/>
    <w:rsid w:val="58AE4F0C"/>
    <w:rsid w:val="58B85899"/>
    <w:rsid w:val="58C44394"/>
    <w:rsid w:val="58E363A9"/>
    <w:rsid w:val="591E264C"/>
    <w:rsid w:val="595E1678"/>
    <w:rsid w:val="596D5BD4"/>
    <w:rsid w:val="597E3DD8"/>
    <w:rsid w:val="598853C1"/>
    <w:rsid w:val="59C7413C"/>
    <w:rsid w:val="59F80043"/>
    <w:rsid w:val="5A09252F"/>
    <w:rsid w:val="5A0B2778"/>
    <w:rsid w:val="5A2055FA"/>
    <w:rsid w:val="5A2A7C7B"/>
    <w:rsid w:val="5A3E2560"/>
    <w:rsid w:val="5A5654C0"/>
    <w:rsid w:val="5A5D3B6E"/>
    <w:rsid w:val="5A637A76"/>
    <w:rsid w:val="5A6D33BA"/>
    <w:rsid w:val="5A792B1F"/>
    <w:rsid w:val="5A7E2423"/>
    <w:rsid w:val="5A874767"/>
    <w:rsid w:val="5AA85BE2"/>
    <w:rsid w:val="5AAD6F28"/>
    <w:rsid w:val="5ABE2749"/>
    <w:rsid w:val="5AD63A24"/>
    <w:rsid w:val="5AE51A4D"/>
    <w:rsid w:val="5B2E1A1D"/>
    <w:rsid w:val="5B843A1C"/>
    <w:rsid w:val="5B873E3F"/>
    <w:rsid w:val="5C02690E"/>
    <w:rsid w:val="5C0F3B78"/>
    <w:rsid w:val="5C196DA7"/>
    <w:rsid w:val="5C2A048C"/>
    <w:rsid w:val="5C4760EB"/>
    <w:rsid w:val="5C4D2220"/>
    <w:rsid w:val="5C7D0C3D"/>
    <w:rsid w:val="5C80234E"/>
    <w:rsid w:val="5C8A680C"/>
    <w:rsid w:val="5CB85FBE"/>
    <w:rsid w:val="5D0525FA"/>
    <w:rsid w:val="5D0C4701"/>
    <w:rsid w:val="5D0F0395"/>
    <w:rsid w:val="5D221076"/>
    <w:rsid w:val="5D397964"/>
    <w:rsid w:val="5D5977A1"/>
    <w:rsid w:val="5D5A391C"/>
    <w:rsid w:val="5D5F10C0"/>
    <w:rsid w:val="5D790E2F"/>
    <w:rsid w:val="5D891B7B"/>
    <w:rsid w:val="5DAB143A"/>
    <w:rsid w:val="5DAD38EE"/>
    <w:rsid w:val="5DBA088F"/>
    <w:rsid w:val="5E003A5E"/>
    <w:rsid w:val="5E006862"/>
    <w:rsid w:val="5E0207B9"/>
    <w:rsid w:val="5E1834A1"/>
    <w:rsid w:val="5E261785"/>
    <w:rsid w:val="5E4A7017"/>
    <w:rsid w:val="5E552BBA"/>
    <w:rsid w:val="5E611C10"/>
    <w:rsid w:val="5E7A0F3F"/>
    <w:rsid w:val="5E872DB7"/>
    <w:rsid w:val="5E9B0A71"/>
    <w:rsid w:val="5EF326B9"/>
    <w:rsid w:val="5EFC7377"/>
    <w:rsid w:val="5F06174D"/>
    <w:rsid w:val="5F3A3602"/>
    <w:rsid w:val="5F45733B"/>
    <w:rsid w:val="5F6277C6"/>
    <w:rsid w:val="5F6D0B1D"/>
    <w:rsid w:val="5F8D0B82"/>
    <w:rsid w:val="5F942D12"/>
    <w:rsid w:val="5F944E8A"/>
    <w:rsid w:val="5FC44C79"/>
    <w:rsid w:val="5FCC5339"/>
    <w:rsid w:val="5FE34A5B"/>
    <w:rsid w:val="5FEF1CF6"/>
    <w:rsid w:val="5FF2728A"/>
    <w:rsid w:val="5FF94923"/>
    <w:rsid w:val="5FFC6A35"/>
    <w:rsid w:val="5FFE1E36"/>
    <w:rsid w:val="601410A2"/>
    <w:rsid w:val="60232584"/>
    <w:rsid w:val="60275934"/>
    <w:rsid w:val="603D64BE"/>
    <w:rsid w:val="607330CE"/>
    <w:rsid w:val="60825176"/>
    <w:rsid w:val="60901D96"/>
    <w:rsid w:val="609F2AC4"/>
    <w:rsid w:val="60AF76D8"/>
    <w:rsid w:val="60F32409"/>
    <w:rsid w:val="60FA2EE8"/>
    <w:rsid w:val="61054A27"/>
    <w:rsid w:val="610A52BC"/>
    <w:rsid w:val="610D059B"/>
    <w:rsid w:val="611D2366"/>
    <w:rsid w:val="61293E55"/>
    <w:rsid w:val="61421856"/>
    <w:rsid w:val="615227C4"/>
    <w:rsid w:val="61592C7A"/>
    <w:rsid w:val="61654E3F"/>
    <w:rsid w:val="6182292A"/>
    <w:rsid w:val="6186668A"/>
    <w:rsid w:val="619F7F92"/>
    <w:rsid w:val="61B01959"/>
    <w:rsid w:val="61B75247"/>
    <w:rsid w:val="61C07A1F"/>
    <w:rsid w:val="61F94C26"/>
    <w:rsid w:val="62000E56"/>
    <w:rsid w:val="621041A6"/>
    <w:rsid w:val="623970D7"/>
    <w:rsid w:val="624F3E49"/>
    <w:rsid w:val="62632286"/>
    <w:rsid w:val="62885958"/>
    <w:rsid w:val="62A504E9"/>
    <w:rsid w:val="62D11B87"/>
    <w:rsid w:val="62F40B65"/>
    <w:rsid w:val="62FC2CFE"/>
    <w:rsid w:val="63024505"/>
    <w:rsid w:val="63027F93"/>
    <w:rsid w:val="635600A5"/>
    <w:rsid w:val="635B1DB5"/>
    <w:rsid w:val="63711FED"/>
    <w:rsid w:val="63844E4C"/>
    <w:rsid w:val="63880DDC"/>
    <w:rsid w:val="638D750D"/>
    <w:rsid w:val="639F3A33"/>
    <w:rsid w:val="63AC6CC0"/>
    <w:rsid w:val="63BF5E84"/>
    <w:rsid w:val="63F23480"/>
    <w:rsid w:val="6401140E"/>
    <w:rsid w:val="64055776"/>
    <w:rsid w:val="640F6F57"/>
    <w:rsid w:val="641F5B67"/>
    <w:rsid w:val="64200620"/>
    <w:rsid w:val="64240056"/>
    <w:rsid w:val="642F4DB7"/>
    <w:rsid w:val="643E143A"/>
    <w:rsid w:val="64491666"/>
    <w:rsid w:val="646F7295"/>
    <w:rsid w:val="648B6EEF"/>
    <w:rsid w:val="64B12D3D"/>
    <w:rsid w:val="64C158BF"/>
    <w:rsid w:val="64CE2EAA"/>
    <w:rsid w:val="653C3090"/>
    <w:rsid w:val="657D677E"/>
    <w:rsid w:val="65854376"/>
    <w:rsid w:val="658767BE"/>
    <w:rsid w:val="65892531"/>
    <w:rsid w:val="661277F3"/>
    <w:rsid w:val="66195831"/>
    <w:rsid w:val="662E75B1"/>
    <w:rsid w:val="66342C2E"/>
    <w:rsid w:val="663E784C"/>
    <w:rsid w:val="668B6A45"/>
    <w:rsid w:val="66A23AB0"/>
    <w:rsid w:val="66C57C55"/>
    <w:rsid w:val="67112C4A"/>
    <w:rsid w:val="672F3F24"/>
    <w:rsid w:val="673E055F"/>
    <w:rsid w:val="674943E2"/>
    <w:rsid w:val="67551CE3"/>
    <w:rsid w:val="6760797E"/>
    <w:rsid w:val="676236F6"/>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1689C"/>
    <w:rsid w:val="68E937A3"/>
    <w:rsid w:val="68FB149A"/>
    <w:rsid w:val="693E15D3"/>
    <w:rsid w:val="695D23C7"/>
    <w:rsid w:val="69627681"/>
    <w:rsid w:val="6977531D"/>
    <w:rsid w:val="69794D27"/>
    <w:rsid w:val="69996F17"/>
    <w:rsid w:val="69CC2BFF"/>
    <w:rsid w:val="69FD55B8"/>
    <w:rsid w:val="6A0B1C62"/>
    <w:rsid w:val="6A2406C8"/>
    <w:rsid w:val="6A372FC7"/>
    <w:rsid w:val="6A3B7666"/>
    <w:rsid w:val="6A9A1ADF"/>
    <w:rsid w:val="6ADE0BD1"/>
    <w:rsid w:val="6AE81378"/>
    <w:rsid w:val="6AE96859"/>
    <w:rsid w:val="6B147746"/>
    <w:rsid w:val="6B24787C"/>
    <w:rsid w:val="6B340F05"/>
    <w:rsid w:val="6B573233"/>
    <w:rsid w:val="6B5B6274"/>
    <w:rsid w:val="6B8D42AC"/>
    <w:rsid w:val="6B935D53"/>
    <w:rsid w:val="6BF54B38"/>
    <w:rsid w:val="6C1316F7"/>
    <w:rsid w:val="6C196F71"/>
    <w:rsid w:val="6C1D7BEB"/>
    <w:rsid w:val="6C226FCB"/>
    <w:rsid w:val="6C256AA0"/>
    <w:rsid w:val="6C29113A"/>
    <w:rsid w:val="6C31226F"/>
    <w:rsid w:val="6C517EC7"/>
    <w:rsid w:val="6C552F0B"/>
    <w:rsid w:val="6C5D1DE1"/>
    <w:rsid w:val="6C6D2921"/>
    <w:rsid w:val="6C7D7890"/>
    <w:rsid w:val="6C8C67B7"/>
    <w:rsid w:val="6C9D744C"/>
    <w:rsid w:val="6CAF1BF9"/>
    <w:rsid w:val="6CB56076"/>
    <w:rsid w:val="6CC10EBE"/>
    <w:rsid w:val="6D01750D"/>
    <w:rsid w:val="6D0D4043"/>
    <w:rsid w:val="6D167928"/>
    <w:rsid w:val="6D26299B"/>
    <w:rsid w:val="6D284A9A"/>
    <w:rsid w:val="6D3A7601"/>
    <w:rsid w:val="6D4772EC"/>
    <w:rsid w:val="6D716441"/>
    <w:rsid w:val="6D9078AF"/>
    <w:rsid w:val="6DAA3FEF"/>
    <w:rsid w:val="6DB37F40"/>
    <w:rsid w:val="6DC0172B"/>
    <w:rsid w:val="6DCB690C"/>
    <w:rsid w:val="6DD41A5B"/>
    <w:rsid w:val="6DE44E65"/>
    <w:rsid w:val="6DF43C2E"/>
    <w:rsid w:val="6DF51CA3"/>
    <w:rsid w:val="6E8335BD"/>
    <w:rsid w:val="6E8E12EF"/>
    <w:rsid w:val="6E972936"/>
    <w:rsid w:val="6ED446C5"/>
    <w:rsid w:val="6EED7D49"/>
    <w:rsid w:val="6EEE586F"/>
    <w:rsid w:val="6F2A7D94"/>
    <w:rsid w:val="6F7915DC"/>
    <w:rsid w:val="6F8331F1"/>
    <w:rsid w:val="6FAE1A09"/>
    <w:rsid w:val="6FD75BF8"/>
    <w:rsid w:val="70147FC1"/>
    <w:rsid w:val="70223A22"/>
    <w:rsid w:val="705300B8"/>
    <w:rsid w:val="70751679"/>
    <w:rsid w:val="707723D0"/>
    <w:rsid w:val="70C17291"/>
    <w:rsid w:val="70C60851"/>
    <w:rsid w:val="70F5661B"/>
    <w:rsid w:val="71285068"/>
    <w:rsid w:val="71360107"/>
    <w:rsid w:val="713B688E"/>
    <w:rsid w:val="714464DD"/>
    <w:rsid w:val="7148279F"/>
    <w:rsid w:val="717A163C"/>
    <w:rsid w:val="71D43752"/>
    <w:rsid w:val="71D7083C"/>
    <w:rsid w:val="71F1796A"/>
    <w:rsid w:val="71FB63D5"/>
    <w:rsid w:val="72154626"/>
    <w:rsid w:val="72262B5D"/>
    <w:rsid w:val="72283FF7"/>
    <w:rsid w:val="722E7212"/>
    <w:rsid w:val="723A0474"/>
    <w:rsid w:val="724E2402"/>
    <w:rsid w:val="725923E4"/>
    <w:rsid w:val="72864BF7"/>
    <w:rsid w:val="729023FC"/>
    <w:rsid w:val="729B4DB3"/>
    <w:rsid w:val="730E028E"/>
    <w:rsid w:val="73736CD4"/>
    <w:rsid w:val="73890C87"/>
    <w:rsid w:val="738B5D82"/>
    <w:rsid w:val="73C0646E"/>
    <w:rsid w:val="740B4C99"/>
    <w:rsid w:val="740C091F"/>
    <w:rsid w:val="742222F5"/>
    <w:rsid w:val="74476126"/>
    <w:rsid w:val="746A3BEA"/>
    <w:rsid w:val="74706664"/>
    <w:rsid w:val="747F3682"/>
    <w:rsid w:val="74835B1D"/>
    <w:rsid w:val="749C4185"/>
    <w:rsid w:val="74AD630E"/>
    <w:rsid w:val="74C95F08"/>
    <w:rsid w:val="75067759"/>
    <w:rsid w:val="752E6DCD"/>
    <w:rsid w:val="7551380D"/>
    <w:rsid w:val="755C158A"/>
    <w:rsid w:val="755D394A"/>
    <w:rsid w:val="75600BE5"/>
    <w:rsid w:val="7564475C"/>
    <w:rsid w:val="7583797F"/>
    <w:rsid w:val="75C33A20"/>
    <w:rsid w:val="75D20F1D"/>
    <w:rsid w:val="75DA2C18"/>
    <w:rsid w:val="75F54412"/>
    <w:rsid w:val="761D08E0"/>
    <w:rsid w:val="765D347C"/>
    <w:rsid w:val="76655649"/>
    <w:rsid w:val="76826699"/>
    <w:rsid w:val="76C87133"/>
    <w:rsid w:val="76CD08D5"/>
    <w:rsid w:val="76DB4B92"/>
    <w:rsid w:val="77052AA4"/>
    <w:rsid w:val="77136511"/>
    <w:rsid w:val="77256FC2"/>
    <w:rsid w:val="77340A39"/>
    <w:rsid w:val="77351FD0"/>
    <w:rsid w:val="77472422"/>
    <w:rsid w:val="774C5829"/>
    <w:rsid w:val="777F31F2"/>
    <w:rsid w:val="77A04307"/>
    <w:rsid w:val="77D1700D"/>
    <w:rsid w:val="77EC04CC"/>
    <w:rsid w:val="781C32C2"/>
    <w:rsid w:val="78393FFF"/>
    <w:rsid w:val="783A0506"/>
    <w:rsid w:val="785B79E4"/>
    <w:rsid w:val="78775729"/>
    <w:rsid w:val="78A42DB0"/>
    <w:rsid w:val="78A656AB"/>
    <w:rsid w:val="78AA049C"/>
    <w:rsid w:val="78B2245C"/>
    <w:rsid w:val="78E172CC"/>
    <w:rsid w:val="78EA1D1F"/>
    <w:rsid w:val="79036DC3"/>
    <w:rsid w:val="7904172F"/>
    <w:rsid w:val="790F7E27"/>
    <w:rsid w:val="792A231A"/>
    <w:rsid w:val="79316829"/>
    <w:rsid w:val="79370055"/>
    <w:rsid w:val="793A4371"/>
    <w:rsid w:val="793D48A8"/>
    <w:rsid w:val="79780B57"/>
    <w:rsid w:val="797E66A9"/>
    <w:rsid w:val="798518A4"/>
    <w:rsid w:val="799D05BD"/>
    <w:rsid w:val="79A97383"/>
    <w:rsid w:val="79B7342D"/>
    <w:rsid w:val="79E27E8B"/>
    <w:rsid w:val="79F850CE"/>
    <w:rsid w:val="79FD443C"/>
    <w:rsid w:val="79FEE5E2"/>
    <w:rsid w:val="7A02561C"/>
    <w:rsid w:val="7A1D1975"/>
    <w:rsid w:val="7A394DCB"/>
    <w:rsid w:val="7A3E5150"/>
    <w:rsid w:val="7A4670D6"/>
    <w:rsid w:val="7A4A38F6"/>
    <w:rsid w:val="7A534B63"/>
    <w:rsid w:val="7A615382"/>
    <w:rsid w:val="7A67303B"/>
    <w:rsid w:val="7A747570"/>
    <w:rsid w:val="7AAB1D04"/>
    <w:rsid w:val="7ABA4368"/>
    <w:rsid w:val="7AC322A6"/>
    <w:rsid w:val="7AD05746"/>
    <w:rsid w:val="7AD206B8"/>
    <w:rsid w:val="7B257FFD"/>
    <w:rsid w:val="7B343476"/>
    <w:rsid w:val="7B5A2978"/>
    <w:rsid w:val="7B5A7E4C"/>
    <w:rsid w:val="7B667AF9"/>
    <w:rsid w:val="7B7468F8"/>
    <w:rsid w:val="7BEE0103"/>
    <w:rsid w:val="7C0A0FE4"/>
    <w:rsid w:val="7C15268D"/>
    <w:rsid w:val="7C254906"/>
    <w:rsid w:val="7C590818"/>
    <w:rsid w:val="7C7C10F6"/>
    <w:rsid w:val="7C853BEA"/>
    <w:rsid w:val="7C881368"/>
    <w:rsid w:val="7CD564F7"/>
    <w:rsid w:val="7CE00EED"/>
    <w:rsid w:val="7CE27788"/>
    <w:rsid w:val="7CE958B4"/>
    <w:rsid w:val="7D0C32F1"/>
    <w:rsid w:val="7D0F408D"/>
    <w:rsid w:val="7D31799A"/>
    <w:rsid w:val="7D491C6C"/>
    <w:rsid w:val="7D5429C0"/>
    <w:rsid w:val="7D562F5D"/>
    <w:rsid w:val="7D6751FE"/>
    <w:rsid w:val="7D6E6D43"/>
    <w:rsid w:val="7D8555F0"/>
    <w:rsid w:val="7DB57A34"/>
    <w:rsid w:val="7DE60973"/>
    <w:rsid w:val="7DEF0916"/>
    <w:rsid w:val="7E1E5218"/>
    <w:rsid w:val="7E2B43EA"/>
    <w:rsid w:val="7E3340F9"/>
    <w:rsid w:val="7E424E13"/>
    <w:rsid w:val="7E551467"/>
    <w:rsid w:val="7E6C679B"/>
    <w:rsid w:val="7E9A4E1F"/>
    <w:rsid w:val="7EA0521F"/>
    <w:rsid w:val="7EA7723A"/>
    <w:rsid w:val="7EF56FBB"/>
    <w:rsid w:val="7F0768EB"/>
    <w:rsid w:val="7F143BEC"/>
    <w:rsid w:val="7F2D4191"/>
    <w:rsid w:val="7F362021"/>
    <w:rsid w:val="7F477001"/>
    <w:rsid w:val="7F715AF2"/>
    <w:rsid w:val="7F7B47F9"/>
    <w:rsid w:val="7F886E69"/>
    <w:rsid w:val="7F98785D"/>
    <w:rsid w:val="7FBF3552"/>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94"/>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1"/>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toa heading"/>
    <w:basedOn w:val="1"/>
    <w:next w:val="1"/>
    <w:semiHidden/>
    <w:qFormat/>
    <w:uiPriority w:val="0"/>
    <w:pPr>
      <w:spacing w:before="120"/>
    </w:pPr>
    <w:rPr>
      <w:rFonts w:ascii="Arial" w:hAnsi="Arial" w:cs="Arial"/>
      <w:sz w:val="24"/>
    </w:r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2"/>
    <w:basedOn w:val="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4"/>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V0-表左缩进"/>
    <w:basedOn w:val="969"/>
    <w:qFormat/>
    <w:uiPriority w:val="0"/>
    <w:pPr>
      <w:ind w:firstLine="422" w:firstLineChars="200"/>
      <w:jc w:val="left"/>
    </w:pPr>
    <w:rPr>
      <w:bCs/>
    </w:rPr>
  </w:style>
  <w:style w:type="paragraph" w:customStyle="1" w:styleId="969">
    <w:name w:val="V0-表"/>
    <w:basedOn w:val="1"/>
    <w:autoRedefine/>
    <w:qFormat/>
    <w:uiPriority w:val="0"/>
    <w:pPr>
      <w:jc w:val="center"/>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9196</Words>
  <Characters>9921</Characters>
  <Lines>493</Lines>
  <Paragraphs>138</Paragraphs>
  <TotalTime>3</TotalTime>
  <ScaleCrop>false</ScaleCrop>
  <LinksUpToDate>false</LinksUpToDate>
  <CharactersWithSpaces>10329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zj</cp:lastModifiedBy>
  <cp:lastPrinted>2021-12-28T03:06:00Z</cp:lastPrinted>
  <dcterms:modified xsi:type="dcterms:W3CDTF">2025-07-07T10:14:25Z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eyJoZGlkIjoiODVlMmEwNzY2NWQ4OTViYjNiMDU0OGE4OTEwNzA5MzMiLCJ1c2VySWQiOiIzNTcyMzkxNDQifQ==</vt:lpwstr>
  </property>
</Properties>
</file>