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
          <w:b/>
          <w:sz w:val="48"/>
          <w:szCs w:val="48"/>
          <w:highlight w:val="none"/>
        </w:rPr>
      </w:pPr>
    </w:p>
    <w:p>
      <w:pPr>
        <w:adjustRightInd/>
        <w:spacing w:line="360" w:lineRule="auto"/>
        <w:jc w:val="center"/>
        <w:rPr>
          <w:rFonts w:hint="eastAsia" w:ascii="仿宋" w:hAnsi="仿宋" w:eastAsia="仿宋" w:cs="仿宋"/>
          <w:b/>
          <w:bCs/>
          <w:sz w:val="44"/>
          <w:szCs w:val="44"/>
          <w:highlight w:val="none"/>
          <w:lang w:eastAsia="zh-CN"/>
        </w:rPr>
      </w:pPr>
      <w:r>
        <w:rPr>
          <w:rFonts w:hint="eastAsia" w:ascii="仿宋" w:hAnsi="仿宋" w:eastAsia="仿宋" w:cs="仿宋"/>
          <w:b/>
          <w:bCs/>
          <w:sz w:val="44"/>
          <w:szCs w:val="44"/>
          <w:highlight w:val="none"/>
          <w:lang w:eastAsia="zh-CN"/>
        </w:rPr>
        <w:t>浙江省嘉善县第一人民医院复合手术室设备</w:t>
      </w:r>
    </w:p>
    <w:p>
      <w:pPr>
        <w:adjustRightInd/>
        <w:spacing w:line="360" w:lineRule="auto"/>
        <w:jc w:val="center"/>
        <w:rPr>
          <w:rFonts w:ascii="仿宋" w:hAnsi="仿宋" w:eastAsia="仿宋" w:cs="仿宋"/>
          <w:b/>
          <w:bCs/>
          <w:sz w:val="48"/>
          <w:szCs w:val="48"/>
          <w:highlight w:val="none"/>
        </w:rPr>
      </w:pPr>
      <w:r>
        <w:rPr>
          <w:rFonts w:hint="eastAsia" w:ascii="仿宋" w:hAnsi="仿宋" w:eastAsia="仿宋" w:cs="仿宋"/>
          <w:b/>
          <w:bCs/>
          <w:sz w:val="44"/>
          <w:szCs w:val="44"/>
          <w:highlight w:val="none"/>
        </w:rPr>
        <w:t>采购项目招标文件</w:t>
      </w:r>
    </w:p>
    <w:p>
      <w:pPr>
        <w:adjustRightInd/>
        <w:spacing w:line="360" w:lineRule="auto"/>
        <w:jc w:val="center"/>
        <w:rPr>
          <w:rFonts w:hint="eastAsia" w:ascii="仿宋" w:hAnsi="仿宋" w:eastAsia="仿宋" w:cs="仿宋"/>
          <w:b/>
          <w:sz w:val="44"/>
          <w:szCs w:val="44"/>
          <w:highlight w:val="none"/>
        </w:rPr>
      </w:pPr>
    </w:p>
    <w:p>
      <w:pPr>
        <w:adjustRightInd/>
        <w:spacing w:line="360" w:lineRule="auto"/>
        <w:jc w:val="center"/>
        <w:rPr>
          <w:rFonts w:hint="eastAsia" w:ascii="仿宋" w:hAnsi="仿宋" w:eastAsia="仿宋" w:cs="仿宋"/>
          <w:b/>
          <w:sz w:val="44"/>
          <w:szCs w:val="44"/>
          <w:highlight w:val="none"/>
        </w:rPr>
      </w:pPr>
    </w:p>
    <w:p>
      <w:pPr>
        <w:adjustRightInd/>
        <w:spacing w:line="360" w:lineRule="auto"/>
        <w:jc w:val="center"/>
        <w:rPr>
          <w:rFonts w:ascii="仿宋" w:hAnsi="仿宋" w:eastAsia="仿宋" w:cs="仿宋"/>
          <w:b/>
          <w:sz w:val="44"/>
          <w:szCs w:val="44"/>
          <w:highlight w:val="none"/>
        </w:rPr>
      </w:pPr>
      <w:r>
        <w:rPr>
          <w:rFonts w:hint="eastAsia" w:ascii="仿宋" w:hAnsi="仿宋" w:eastAsia="仿宋" w:cs="仿宋"/>
          <w:b/>
          <w:sz w:val="44"/>
          <w:szCs w:val="44"/>
          <w:highlight w:val="none"/>
        </w:rPr>
        <w:t xml:space="preserve"> </w:t>
      </w:r>
    </w:p>
    <w:p>
      <w:pPr>
        <w:adjustRightInd/>
        <w:spacing w:line="360" w:lineRule="auto"/>
        <w:jc w:val="center"/>
        <w:rPr>
          <w:rFonts w:ascii="仿宋" w:hAnsi="仿宋" w:eastAsia="仿宋" w:cs="仿宋"/>
          <w:b/>
          <w:sz w:val="44"/>
          <w:szCs w:val="44"/>
          <w:highlight w:val="none"/>
        </w:rPr>
      </w:pPr>
      <w:r>
        <w:rPr>
          <w:rFonts w:hint="eastAsia" w:ascii="仿宋" w:hAnsi="仿宋" w:eastAsia="仿宋" w:cs="仿宋"/>
          <w:b/>
          <w:sz w:val="44"/>
          <w:szCs w:val="44"/>
          <w:highlight w:val="none"/>
        </w:rPr>
        <w:t>电子</w:t>
      </w:r>
      <w:r>
        <w:rPr>
          <w:rFonts w:hint="eastAsia" w:ascii="仿宋" w:hAnsi="仿宋" w:eastAsia="仿宋" w:cs="仿宋"/>
          <w:b/>
          <w:sz w:val="44"/>
          <w:szCs w:val="44"/>
          <w:highlight w:val="none"/>
          <w:lang w:val="en-US" w:eastAsia="zh-CN"/>
        </w:rPr>
        <w:t>公开招</w:t>
      </w:r>
      <w:r>
        <w:rPr>
          <w:rFonts w:hint="eastAsia" w:ascii="仿宋" w:hAnsi="仿宋" w:eastAsia="仿宋" w:cs="仿宋"/>
          <w:b/>
          <w:sz w:val="44"/>
          <w:szCs w:val="44"/>
          <w:highlight w:val="none"/>
        </w:rPr>
        <w:t>标</w:t>
      </w:r>
    </w:p>
    <w:p>
      <w:pPr>
        <w:snapToGrid w:val="0"/>
        <w:spacing w:line="360" w:lineRule="auto"/>
        <w:jc w:val="center"/>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编号:</w:t>
      </w:r>
      <w:r>
        <w:rPr>
          <w:rFonts w:hint="eastAsia" w:ascii="仿宋" w:hAnsi="仿宋" w:eastAsia="仿宋" w:cs="仿宋"/>
          <w:sz w:val="30"/>
          <w:szCs w:val="30"/>
          <w:highlight w:val="none"/>
          <w:lang w:eastAsia="zh-CN"/>
        </w:rPr>
        <w:t>ZJWS2023-JSRMYY04</w:t>
      </w:r>
    </w:p>
    <w:p>
      <w:pPr>
        <w:adjustRightInd/>
        <w:spacing w:line="360" w:lineRule="auto"/>
        <w:rPr>
          <w:rFonts w:ascii="仿宋" w:hAnsi="仿宋" w:eastAsia="仿宋" w:cs="仿宋"/>
          <w:sz w:val="28"/>
          <w:szCs w:val="20"/>
          <w:highlight w:val="none"/>
        </w:rPr>
      </w:pPr>
    </w:p>
    <w:p>
      <w:pPr>
        <w:spacing w:line="360" w:lineRule="auto"/>
        <w:jc w:val="center"/>
        <w:rPr>
          <w:rFonts w:ascii="仿宋" w:hAnsi="仿宋" w:eastAsia="仿宋" w:cs="仿宋"/>
          <w:b/>
          <w:sz w:val="44"/>
          <w:szCs w:val="44"/>
          <w:highlight w:val="none"/>
        </w:rPr>
      </w:pPr>
      <w:r>
        <w:rPr>
          <w:rFonts w:hint="eastAsia" w:ascii="仿宋" w:hAnsi="仿宋" w:eastAsia="仿宋" w:cs="仿宋"/>
          <w:b/>
          <w:sz w:val="44"/>
          <w:szCs w:val="44"/>
          <w:highlight w:val="none"/>
        </w:rPr>
        <w:t xml:space="preserve"> </w:t>
      </w:r>
    </w:p>
    <w:p>
      <w:pPr>
        <w:spacing w:line="360" w:lineRule="auto"/>
        <w:jc w:val="center"/>
        <w:rPr>
          <w:rFonts w:ascii="仿宋" w:hAnsi="仿宋" w:eastAsia="仿宋" w:cs="仿宋"/>
          <w:b/>
          <w:sz w:val="44"/>
          <w:szCs w:val="44"/>
          <w:highlight w:val="none"/>
        </w:rPr>
      </w:pPr>
    </w:p>
    <w:p>
      <w:pPr>
        <w:spacing w:line="360" w:lineRule="auto"/>
        <w:jc w:val="center"/>
        <w:rPr>
          <w:rFonts w:ascii="仿宋" w:hAnsi="仿宋" w:eastAsia="仿宋" w:cs="仿宋"/>
          <w:b/>
          <w:sz w:val="44"/>
          <w:szCs w:val="4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32"/>
          <w:szCs w:val="32"/>
          <w:highlight w:val="none"/>
        </w:rPr>
      </w:pPr>
    </w:p>
    <w:p>
      <w:pPr>
        <w:snapToGrid w:val="0"/>
        <w:spacing w:line="360" w:lineRule="auto"/>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采购人：</w:t>
      </w:r>
      <w:r>
        <w:rPr>
          <w:rFonts w:hint="eastAsia" w:ascii="仿宋" w:hAnsi="仿宋" w:eastAsia="仿宋" w:cs="仿宋"/>
          <w:sz w:val="32"/>
          <w:szCs w:val="32"/>
          <w:highlight w:val="none"/>
          <w:lang w:eastAsia="zh-CN"/>
        </w:rPr>
        <w:t>浙江省嘉善县第一人民医院</w:t>
      </w:r>
    </w:p>
    <w:p>
      <w:pPr>
        <w:snapToGrid w:val="0"/>
        <w:spacing w:line="36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采购代理机构：浙江五石中正工程咨询有限公司</w:t>
      </w:r>
    </w:p>
    <w:p>
      <w:pPr>
        <w:snapToGrid w:val="0"/>
        <w:spacing w:line="360" w:lineRule="auto"/>
        <w:jc w:val="center"/>
        <w:rPr>
          <w:rFonts w:ascii="仿宋" w:hAnsi="仿宋" w:eastAsia="仿宋" w:cs="仿宋"/>
          <w:bCs/>
          <w:sz w:val="32"/>
          <w:szCs w:val="32"/>
          <w:highlight w:val="none"/>
        </w:rPr>
      </w:pPr>
      <w:r>
        <w:rPr>
          <w:rFonts w:hint="eastAsia" w:ascii="仿宋" w:hAnsi="仿宋" w:eastAsia="仿宋" w:cs="仿宋"/>
          <w:bCs/>
          <w:sz w:val="32"/>
          <w:szCs w:val="32"/>
          <w:highlight w:val="none"/>
        </w:rPr>
        <w:t>二〇二</w:t>
      </w:r>
      <w:r>
        <w:rPr>
          <w:rFonts w:hint="eastAsia" w:ascii="仿宋" w:hAnsi="仿宋" w:eastAsia="仿宋" w:cs="仿宋"/>
          <w:bCs/>
          <w:sz w:val="32"/>
          <w:szCs w:val="32"/>
          <w:highlight w:val="none"/>
          <w:lang w:val="en-US" w:eastAsia="zh-CN"/>
        </w:rPr>
        <w:t>三</w:t>
      </w:r>
      <w:r>
        <w:rPr>
          <w:rFonts w:hint="eastAsia" w:ascii="仿宋" w:hAnsi="仿宋" w:eastAsia="仿宋" w:cs="仿宋"/>
          <w:bCs/>
          <w:sz w:val="32"/>
          <w:szCs w:val="32"/>
          <w:highlight w:val="none"/>
        </w:rPr>
        <w:t>年</w:t>
      </w:r>
      <w:r>
        <w:rPr>
          <w:rFonts w:hint="eastAsia" w:ascii="仿宋" w:hAnsi="仿宋" w:eastAsia="仿宋" w:cs="仿宋"/>
          <w:bCs/>
          <w:sz w:val="32"/>
          <w:szCs w:val="32"/>
          <w:highlight w:val="none"/>
          <w:lang w:val="en-US" w:eastAsia="zh-CN"/>
        </w:rPr>
        <w:t>十二月</w:t>
      </w:r>
    </w:p>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br w:type="page"/>
      </w:r>
      <w:bookmarkStart w:id="0" w:name="_Hlt67893495"/>
      <w:bookmarkEnd w:id="0"/>
    </w:p>
    <w:p>
      <w:pPr>
        <w:spacing w:line="360" w:lineRule="auto"/>
        <w:jc w:val="center"/>
        <w:rPr>
          <w:rFonts w:ascii="仿宋" w:hAnsi="仿宋" w:eastAsia="仿宋" w:cs="仿宋"/>
          <w:sz w:val="24"/>
          <w:highlight w:val="none"/>
        </w:rPr>
      </w:pPr>
    </w:p>
    <w:p>
      <w:pPr>
        <w:spacing w:line="360" w:lineRule="auto"/>
        <w:jc w:val="center"/>
        <w:rPr>
          <w:rFonts w:ascii="仿宋" w:hAnsi="仿宋" w:eastAsia="仿宋" w:cs="仿宋"/>
          <w:b/>
          <w:sz w:val="48"/>
          <w:szCs w:val="48"/>
          <w:highlight w:val="none"/>
        </w:rPr>
      </w:pPr>
    </w:p>
    <w:p>
      <w:pPr>
        <w:spacing w:line="360"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目  录</w:t>
      </w:r>
    </w:p>
    <w:p>
      <w:pPr>
        <w:spacing w:line="360" w:lineRule="auto"/>
        <w:rPr>
          <w:rFonts w:ascii="仿宋" w:hAnsi="仿宋" w:eastAsia="仿宋" w:cs="仿宋"/>
          <w:sz w:val="32"/>
          <w:szCs w:val="32"/>
          <w:highlight w:val="none"/>
        </w:rPr>
      </w:pPr>
    </w:p>
    <w:p>
      <w:pPr>
        <w:spacing w:line="360" w:lineRule="auto"/>
        <w:rPr>
          <w:rFonts w:ascii="仿宋" w:hAnsi="仿宋" w:eastAsia="仿宋" w:cs="仿宋"/>
          <w:sz w:val="32"/>
          <w:szCs w:val="32"/>
          <w:highlight w:val="none"/>
        </w:rPr>
      </w:pPr>
    </w:p>
    <w:sdt>
      <w:sdtPr>
        <w:rPr>
          <w:rFonts w:hint="eastAsia" w:ascii="仿宋" w:hAnsi="仿宋" w:eastAsia="仿宋" w:cs="仿宋"/>
          <w:sz w:val="32"/>
          <w:szCs w:val="32"/>
          <w:highlight w:val="none"/>
        </w:rPr>
        <w:id w:val="147479995"/>
        <w15:color w:val="DBDBDB"/>
        <w:docPartObj>
          <w:docPartGallery w:val="Table of Contents"/>
          <w:docPartUnique/>
        </w:docPartObj>
      </w:sdtPr>
      <w:sdtEndPr>
        <w:rPr>
          <w:rFonts w:hint="eastAsia" w:ascii="仿宋" w:hAnsi="仿宋" w:eastAsia="仿宋" w:cs="仿宋"/>
          <w:sz w:val="32"/>
          <w:szCs w:val="32"/>
          <w:highlight w:val="none"/>
        </w:rPr>
      </w:sdtEndPr>
      <w:sdtContent>
        <w:p>
          <w:pPr>
            <w:jc w:val="center"/>
            <w:rPr>
              <w:rFonts w:ascii="仿宋" w:hAnsi="仿宋" w:eastAsia="仿宋" w:cs="仿宋"/>
              <w:sz w:val="32"/>
              <w:szCs w:val="32"/>
              <w:highlight w:val="none"/>
            </w:rPr>
          </w:pPr>
          <w:bookmarkStart w:id="1" w:name="_Hlt91233176"/>
          <w:bookmarkEnd w:id="1"/>
          <w:bookmarkStart w:id="2" w:name="_Toc91899869"/>
        </w:p>
        <w:p>
          <w:pPr>
            <w:pStyle w:val="962"/>
            <w:tabs>
              <w:tab w:val="right" w:leader="dot" w:pos="9070"/>
            </w:tabs>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TOC \o "1-1" \h \u </w:instrText>
          </w:r>
          <w:r>
            <w:rPr>
              <w:rFonts w:hint="eastAsia" w:ascii="仿宋" w:hAnsi="仿宋" w:eastAsia="仿宋" w:cs="仿宋"/>
              <w:sz w:val="32"/>
              <w:szCs w:val="32"/>
              <w:highlight w:val="none"/>
            </w:rPr>
            <w:fldChar w:fldCharType="separate"/>
          </w:r>
          <w:r>
            <w:rPr>
              <w:highlight w:val="none"/>
            </w:rPr>
            <w:fldChar w:fldCharType="begin"/>
          </w:r>
          <w:r>
            <w:rPr>
              <w:highlight w:val="none"/>
            </w:rPr>
            <w:instrText xml:space="preserve"> HYPERLINK \l "_Toc1753" </w:instrText>
          </w:r>
          <w:r>
            <w:rPr>
              <w:highlight w:val="none"/>
            </w:rPr>
            <w:fldChar w:fldCharType="separate"/>
          </w:r>
          <w:r>
            <w:rPr>
              <w:rFonts w:hint="eastAsia" w:ascii="仿宋" w:hAnsi="仿宋" w:eastAsia="仿宋" w:cs="仿宋"/>
              <w:sz w:val="32"/>
              <w:szCs w:val="32"/>
              <w:highlight w:val="none"/>
            </w:rPr>
            <w:t>第一部分 招标公告</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PAGEREF _Toc1753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3</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fldChar w:fldCharType="end"/>
          </w:r>
        </w:p>
        <w:p>
          <w:pPr>
            <w:pStyle w:val="962"/>
            <w:tabs>
              <w:tab w:val="right" w:leader="dot" w:pos="9070"/>
            </w:tabs>
            <w:spacing w:line="360" w:lineRule="auto"/>
            <w:rPr>
              <w:rFonts w:ascii="仿宋" w:hAnsi="仿宋" w:eastAsia="仿宋" w:cs="仿宋"/>
              <w:sz w:val="32"/>
              <w:szCs w:val="32"/>
              <w:highlight w:val="none"/>
            </w:rPr>
          </w:pPr>
          <w:r>
            <w:rPr>
              <w:highlight w:val="none"/>
            </w:rPr>
            <w:fldChar w:fldCharType="begin"/>
          </w:r>
          <w:r>
            <w:rPr>
              <w:highlight w:val="none"/>
            </w:rPr>
            <w:instrText xml:space="preserve"> HYPERLINK \l "_Toc11466" </w:instrText>
          </w:r>
          <w:r>
            <w:rPr>
              <w:highlight w:val="none"/>
            </w:rPr>
            <w:fldChar w:fldCharType="separate"/>
          </w:r>
          <w:r>
            <w:rPr>
              <w:rFonts w:hint="eastAsia" w:ascii="仿宋" w:hAnsi="仿宋" w:eastAsia="仿宋" w:cs="仿宋"/>
              <w:sz w:val="32"/>
              <w:szCs w:val="32"/>
              <w:highlight w:val="none"/>
            </w:rPr>
            <w:t>第二部分 投标人须知</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PAGEREF _Toc11466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7</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fldChar w:fldCharType="end"/>
          </w:r>
        </w:p>
        <w:p>
          <w:pPr>
            <w:pStyle w:val="962"/>
            <w:tabs>
              <w:tab w:val="right" w:leader="dot" w:pos="9070"/>
            </w:tabs>
            <w:spacing w:line="360" w:lineRule="auto"/>
            <w:rPr>
              <w:rFonts w:ascii="仿宋" w:hAnsi="仿宋" w:eastAsia="仿宋" w:cs="仿宋"/>
              <w:sz w:val="32"/>
              <w:szCs w:val="32"/>
              <w:highlight w:val="none"/>
            </w:rPr>
          </w:pPr>
          <w:r>
            <w:rPr>
              <w:highlight w:val="none"/>
            </w:rPr>
            <w:fldChar w:fldCharType="begin"/>
          </w:r>
          <w:r>
            <w:rPr>
              <w:highlight w:val="none"/>
            </w:rPr>
            <w:instrText xml:space="preserve"> HYPERLINK \l "_Toc27567" </w:instrText>
          </w:r>
          <w:r>
            <w:rPr>
              <w:highlight w:val="none"/>
            </w:rPr>
            <w:fldChar w:fldCharType="separate"/>
          </w:r>
          <w:r>
            <w:rPr>
              <w:rFonts w:hint="eastAsia" w:ascii="仿宋" w:hAnsi="仿宋" w:eastAsia="仿宋" w:cs="仿宋"/>
              <w:sz w:val="32"/>
              <w:szCs w:val="32"/>
              <w:highlight w:val="none"/>
            </w:rPr>
            <w:t>第三部分 采购需求</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PAGEREF _Toc27567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23</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fldChar w:fldCharType="end"/>
          </w:r>
        </w:p>
        <w:p>
          <w:pPr>
            <w:pStyle w:val="962"/>
            <w:tabs>
              <w:tab w:val="right" w:leader="dot" w:pos="9070"/>
            </w:tabs>
            <w:spacing w:line="360" w:lineRule="auto"/>
            <w:rPr>
              <w:rFonts w:ascii="仿宋" w:hAnsi="仿宋" w:eastAsia="仿宋" w:cs="仿宋"/>
              <w:sz w:val="32"/>
              <w:szCs w:val="32"/>
              <w:highlight w:val="none"/>
            </w:rPr>
          </w:pPr>
          <w:r>
            <w:rPr>
              <w:highlight w:val="none"/>
            </w:rPr>
            <w:fldChar w:fldCharType="begin"/>
          </w:r>
          <w:r>
            <w:rPr>
              <w:highlight w:val="none"/>
            </w:rPr>
            <w:instrText xml:space="preserve"> HYPERLINK \l "_Toc18186" </w:instrText>
          </w:r>
          <w:r>
            <w:rPr>
              <w:highlight w:val="none"/>
            </w:rPr>
            <w:fldChar w:fldCharType="separate"/>
          </w:r>
          <w:r>
            <w:rPr>
              <w:rFonts w:hint="eastAsia" w:ascii="仿宋" w:hAnsi="仿宋" w:eastAsia="仿宋" w:cs="仿宋"/>
              <w:sz w:val="32"/>
              <w:szCs w:val="32"/>
              <w:highlight w:val="none"/>
            </w:rPr>
            <w:t>第四部分 评标办法</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PAGEREF _Toc18186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25</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fldChar w:fldCharType="end"/>
          </w:r>
        </w:p>
        <w:p>
          <w:pPr>
            <w:pStyle w:val="962"/>
            <w:tabs>
              <w:tab w:val="right" w:leader="dot" w:pos="9070"/>
            </w:tabs>
            <w:spacing w:line="360" w:lineRule="auto"/>
            <w:rPr>
              <w:rFonts w:ascii="仿宋" w:hAnsi="仿宋" w:eastAsia="仿宋" w:cs="仿宋"/>
              <w:sz w:val="32"/>
              <w:szCs w:val="32"/>
              <w:highlight w:val="none"/>
            </w:rPr>
          </w:pPr>
          <w:r>
            <w:rPr>
              <w:highlight w:val="none"/>
            </w:rPr>
            <w:fldChar w:fldCharType="begin"/>
          </w:r>
          <w:r>
            <w:rPr>
              <w:highlight w:val="none"/>
            </w:rPr>
            <w:instrText xml:space="preserve"> HYPERLINK \l "_Toc19672" </w:instrText>
          </w:r>
          <w:r>
            <w:rPr>
              <w:highlight w:val="none"/>
            </w:rPr>
            <w:fldChar w:fldCharType="separate"/>
          </w:r>
          <w:r>
            <w:rPr>
              <w:rFonts w:hint="eastAsia" w:ascii="仿宋" w:hAnsi="仿宋" w:eastAsia="仿宋" w:cs="仿宋"/>
              <w:sz w:val="32"/>
              <w:szCs w:val="32"/>
              <w:highlight w:val="none"/>
            </w:rPr>
            <w:t>第五部分 拟签订的合同文本</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PAGEREF _Toc19672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31</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fldChar w:fldCharType="end"/>
          </w:r>
        </w:p>
        <w:p>
          <w:pPr>
            <w:pStyle w:val="962"/>
            <w:tabs>
              <w:tab w:val="right" w:leader="dot" w:pos="9070"/>
            </w:tabs>
            <w:spacing w:line="360" w:lineRule="auto"/>
            <w:rPr>
              <w:rFonts w:ascii="仿宋" w:hAnsi="仿宋" w:eastAsia="仿宋" w:cs="仿宋"/>
              <w:sz w:val="32"/>
              <w:szCs w:val="32"/>
              <w:highlight w:val="none"/>
            </w:rPr>
          </w:pPr>
          <w:r>
            <w:rPr>
              <w:highlight w:val="none"/>
            </w:rPr>
            <w:fldChar w:fldCharType="begin"/>
          </w:r>
          <w:r>
            <w:rPr>
              <w:highlight w:val="none"/>
            </w:rPr>
            <w:instrText xml:space="preserve"> HYPERLINK \l "_Toc7454" </w:instrText>
          </w:r>
          <w:r>
            <w:rPr>
              <w:highlight w:val="none"/>
            </w:rPr>
            <w:fldChar w:fldCharType="separate"/>
          </w:r>
          <w:r>
            <w:rPr>
              <w:rFonts w:hint="eastAsia" w:ascii="仿宋" w:hAnsi="仿宋" w:eastAsia="仿宋" w:cs="仿宋"/>
              <w:sz w:val="32"/>
              <w:szCs w:val="32"/>
              <w:highlight w:val="none"/>
            </w:rPr>
            <w:t>第六部分 应提交的有关格式范例</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PAGEREF _Toc7454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44</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fldChar w:fldCharType="end"/>
          </w:r>
        </w:p>
        <w:p>
          <w:pPr>
            <w:spacing w:line="360" w:lineRule="auto"/>
            <w:ind w:firstLine="732" w:firstLineChars="229"/>
            <w:rPr>
              <w:rFonts w:ascii="仿宋" w:hAnsi="仿宋" w:eastAsia="仿宋" w:cs="仿宋"/>
              <w:sz w:val="32"/>
              <w:szCs w:val="32"/>
              <w:highlight w:val="none"/>
            </w:rPr>
          </w:pPr>
          <w:r>
            <w:rPr>
              <w:rFonts w:hint="eastAsia" w:ascii="仿宋" w:hAnsi="仿宋" w:eastAsia="仿宋" w:cs="仿宋"/>
              <w:sz w:val="32"/>
              <w:szCs w:val="32"/>
              <w:highlight w:val="none"/>
            </w:rPr>
            <w:fldChar w:fldCharType="end"/>
          </w:r>
        </w:p>
      </w:sdtContent>
    </w:sdt>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rPr>
          <w:rFonts w:ascii="仿宋" w:hAnsi="仿宋" w:eastAsia="仿宋" w:cs="仿宋"/>
          <w:sz w:val="24"/>
          <w:highlight w:val="none"/>
        </w:rPr>
      </w:pPr>
    </w:p>
    <w:p>
      <w:pPr>
        <w:adjustRightInd/>
        <w:spacing w:line="360" w:lineRule="auto"/>
        <w:jc w:val="center"/>
        <w:outlineLvl w:val="0"/>
        <w:rPr>
          <w:rFonts w:ascii="仿宋" w:hAnsi="仿宋" w:eastAsia="仿宋" w:cs="仿宋"/>
          <w:b/>
          <w:sz w:val="36"/>
          <w:szCs w:val="20"/>
          <w:highlight w:val="none"/>
        </w:rPr>
      </w:pPr>
      <w:bookmarkStart w:id="3" w:name="第一部分"/>
      <w:r>
        <w:rPr>
          <w:rFonts w:hint="eastAsia" w:ascii="仿宋" w:hAnsi="仿宋" w:eastAsia="仿宋" w:cs="仿宋"/>
          <w:b/>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_Toc1753"/>
      <w:bookmarkStart w:id="9" w:name="第二部分"/>
      <w:bookmarkStart w:id="10" w:name="_Toc91899870"/>
      <w:bookmarkStart w:id="11" w:name="_Toc91899871"/>
      <w:r>
        <w:rPr>
          <w:rFonts w:hint="eastAsia" w:ascii="仿宋" w:hAnsi="仿宋" w:eastAsia="仿宋" w:cs="仿宋"/>
          <w:b/>
          <w:sz w:val="36"/>
          <w:szCs w:val="20"/>
          <w:highlight w:val="none"/>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rPr>
        <w:t>（</w:t>
      </w:r>
      <w:r>
        <w:rPr>
          <w:rFonts w:hint="eastAsia" w:ascii="仿宋" w:hAnsi="仿宋" w:eastAsia="仿宋" w:cs="仿宋"/>
          <w:sz w:val="24"/>
          <w:highlight w:val="none"/>
          <w:u w:val="single"/>
          <w:lang w:eastAsia="zh-CN"/>
        </w:rPr>
        <w:t>浙江省嘉善县第一人民医院复合手术室设备</w:t>
      </w:r>
      <w:r>
        <w:rPr>
          <w:rFonts w:hint="eastAsia" w:ascii="仿宋" w:hAnsi="仿宋" w:eastAsia="仿宋" w:cs="仿宋"/>
          <w:sz w:val="24"/>
          <w:highlight w:val="none"/>
          <w:u w:val="single"/>
        </w:rPr>
        <w:t>采购项目）</w:t>
      </w:r>
      <w:r>
        <w:rPr>
          <w:rFonts w:hint="eastAsia" w:ascii="仿宋" w:hAnsi="仿宋" w:eastAsia="仿宋" w:cs="仿宋"/>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highlight w:val="none"/>
          <w:u w:val="single"/>
          <w:lang w:eastAsia="zh-CN"/>
        </w:rPr>
        <w:t>2023年</w:t>
      </w:r>
      <w:bookmarkStart w:id="617" w:name="_GoBack"/>
      <w:bookmarkEnd w:id="617"/>
      <w:r>
        <w:rPr>
          <w:rFonts w:hint="eastAsia" w:ascii="仿宋" w:hAnsi="仿宋" w:eastAsia="仿宋" w:cs="仿宋"/>
          <w:sz w:val="24"/>
          <w:highlight w:val="none"/>
          <w:u w:val="single"/>
          <w:lang w:val="en-US" w:eastAsia="zh-CN"/>
        </w:rPr>
        <w:t>12月22日</w:t>
      </w:r>
      <w:r>
        <w:rPr>
          <w:rFonts w:hint="eastAsia" w:ascii="仿宋" w:hAnsi="仿宋" w:eastAsia="仿宋" w:cs="仿宋"/>
          <w:sz w:val="24"/>
          <w:highlight w:val="none"/>
          <w:u w:val="single"/>
          <w:lang w:eastAsia="zh-CN"/>
        </w:rPr>
        <w:t>14点00分</w:t>
      </w:r>
      <w:r>
        <w:rPr>
          <w:rFonts w:hint="eastAsia" w:ascii="仿宋" w:hAnsi="仿宋" w:eastAsia="仿宋" w:cs="仿宋"/>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 xml:space="preserve">一、项目基本情况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项目编号：</w:t>
      </w:r>
      <w:r>
        <w:rPr>
          <w:rFonts w:hint="eastAsia" w:ascii="仿宋" w:hAnsi="仿宋" w:eastAsia="仿宋" w:cs="仿宋"/>
          <w:sz w:val="24"/>
          <w:highlight w:val="none"/>
        </w:rPr>
        <w:t>（</w:t>
      </w:r>
      <w:r>
        <w:rPr>
          <w:rFonts w:hint="eastAsia" w:ascii="仿宋" w:hAnsi="仿宋" w:eastAsia="仿宋" w:cs="仿宋"/>
          <w:sz w:val="24"/>
          <w:highlight w:val="none"/>
          <w:lang w:eastAsia="zh-CN"/>
        </w:rPr>
        <w:t>ZJWS2023-JSRMYY04</w:t>
      </w:r>
      <w:r>
        <w:rPr>
          <w:rFonts w:hint="eastAsia" w:ascii="仿宋" w:hAnsi="仿宋" w:eastAsia="仿宋" w:cs="仿宋"/>
          <w:sz w:val="24"/>
          <w:highlight w:val="none"/>
        </w:rPr>
        <w:t>）</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项目名称：</w:t>
      </w:r>
      <w:r>
        <w:rPr>
          <w:rFonts w:hint="eastAsia" w:ascii="仿宋" w:hAnsi="仿宋" w:eastAsia="仿宋" w:cs="仿宋"/>
          <w:sz w:val="24"/>
          <w:highlight w:val="none"/>
        </w:rPr>
        <w:t>（</w:t>
      </w:r>
      <w:r>
        <w:rPr>
          <w:rFonts w:hint="eastAsia" w:ascii="仿宋" w:hAnsi="仿宋" w:eastAsia="仿宋" w:cs="仿宋"/>
          <w:sz w:val="24"/>
          <w:highlight w:val="none"/>
          <w:lang w:eastAsia="zh-CN"/>
        </w:rPr>
        <w:t>复合手术室设备</w:t>
      </w:r>
      <w:r>
        <w:rPr>
          <w:rFonts w:hint="eastAsia" w:ascii="仿宋" w:hAnsi="仿宋" w:eastAsia="仿宋" w:cs="仿宋"/>
          <w:sz w:val="24"/>
          <w:highlight w:val="none"/>
        </w:rPr>
        <w:t>采购项目）</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w:t>
      </w:r>
      <w:r>
        <w:rPr>
          <w:rFonts w:hint="eastAsia" w:ascii="仿宋" w:hAnsi="仿宋" w:eastAsia="仿宋" w:cs="仿宋"/>
          <w:b/>
          <w:color w:val="auto"/>
          <w:sz w:val="24"/>
          <w:highlight w:val="none"/>
        </w:rPr>
        <w:t>预算金额（元）：</w:t>
      </w:r>
      <w:r>
        <w:rPr>
          <w:rFonts w:hint="eastAsia" w:ascii="仿宋" w:hAnsi="仿宋" w:eastAsia="仿宋" w:cs="仿宋"/>
          <w:b w:val="0"/>
          <w:bCs/>
          <w:color w:val="auto"/>
          <w:sz w:val="24"/>
          <w:highlight w:val="none"/>
          <w:lang w:val="en-US" w:eastAsia="zh-CN"/>
        </w:rPr>
        <w:t>19400000.00</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lang w:val="en-US" w:eastAsia="zh-CN"/>
        </w:rPr>
        <w:t>19400000.00</w:t>
      </w:r>
    </w:p>
    <w:p>
      <w:pPr>
        <w:pStyle w:val="5"/>
        <w:spacing w:line="360" w:lineRule="auto"/>
        <w:ind w:firstLine="480"/>
        <w:rPr>
          <w:rFonts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color w:val="auto"/>
          <w:sz w:val="24"/>
          <w:highlight w:val="none"/>
          <w:lang w:eastAsia="zh-CN"/>
        </w:rPr>
        <w:t>复合手术室设备</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套</w:t>
      </w:r>
      <w:r>
        <w:rPr>
          <w:rFonts w:hint="eastAsia" w:ascii="仿宋" w:hAnsi="仿宋" w:eastAsia="仿宋" w:cs="仿宋"/>
          <w:bCs/>
          <w:snapToGrid/>
          <w:color w:val="auto"/>
          <w:kern w:val="2"/>
          <w:sz w:val="24"/>
          <w:szCs w:val="24"/>
          <w:highlight w:val="none"/>
        </w:rPr>
        <w:t>。</w:t>
      </w:r>
    </w:p>
    <w:p>
      <w:pPr>
        <w:pStyle w:val="5"/>
        <w:spacing w:line="360" w:lineRule="auto"/>
        <w:ind w:firstLine="480"/>
        <w:rPr>
          <w:rFonts w:ascii="仿宋" w:hAnsi="仿宋" w:eastAsia="仿宋" w:cs="仿宋"/>
          <w:b/>
          <w:snapToGrid/>
          <w:color w:val="auto"/>
          <w:kern w:val="2"/>
          <w:sz w:val="24"/>
          <w:szCs w:val="24"/>
          <w:highlight w:val="none"/>
        </w:rPr>
      </w:pPr>
      <w:r>
        <w:rPr>
          <w:rFonts w:hint="eastAsia" w:ascii="仿宋" w:hAnsi="仿宋" w:eastAsia="仿宋" w:cs="仿宋"/>
          <w:b/>
          <w:snapToGrid/>
          <w:color w:val="auto"/>
          <w:kern w:val="2"/>
          <w:sz w:val="24"/>
          <w:szCs w:val="24"/>
          <w:highlight w:val="none"/>
        </w:rPr>
        <w:t>交货期：</w:t>
      </w:r>
      <w:r>
        <w:rPr>
          <w:rFonts w:hint="eastAsia" w:ascii="仿宋" w:hAnsi="仿宋" w:eastAsia="仿宋" w:cs="仿宋"/>
          <w:bCs/>
          <w:snapToGrid/>
          <w:color w:val="auto"/>
          <w:kern w:val="2"/>
          <w:sz w:val="24"/>
          <w:szCs w:val="24"/>
          <w:highlight w:val="none"/>
        </w:rPr>
        <w:t>签订合同后</w:t>
      </w:r>
      <w:r>
        <w:rPr>
          <w:rFonts w:hint="eastAsia" w:ascii="仿宋" w:hAnsi="仿宋" w:eastAsia="仿宋" w:cs="仿宋"/>
          <w:bCs/>
          <w:snapToGrid/>
          <w:color w:val="auto"/>
          <w:kern w:val="2"/>
          <w:sz w:val="24"/>
          <w:szCs w:val="24"/>
          <w:highlight w:val="none"/>
          <w:lang w:val="en-US" w:eastAsia="zh-CN"/>
        </w:rPr>
        <w:t>3</w:t>
      </w:r>
      <w:r>
        <w:rPr>
          <w:rFonts w:hint="eastAsia" w:ascii="仿宋" w:hAnsi="仿宋" w:eastAsia="仿宋" w:cs="仿宋"/>
          <w:bCs/>
          <w:snapToGrid/>
          <w:color w:val="auto"/>
          <w:kern w:val="2"/>
          <w:sz w:val="24"/>
          <w:szCs w:val="24"/>
          <w:highlight w:val="none"/>
        </w:rPr>
        <w:t>个月内</w:t>
      </w:r>
    </w:p>
    <w:p>
      <w:pPr>
        <w:pStyle w:val="5"/>
        <w:spacing w:line="360" w:lineRule="auto"/>
        <w:ind w:firstLine="480"/>
        <w:rPr>
          <w:rFonts w:ascii="仿宋" w:hAnsi="仿宋" w:eastAsia="仿宋" w:cs="仿宋"/>
          <w:b/>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203545383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MS Gothic" w:hAnsi="MS Gothic" w:eastAsia="仿宋" w:cs="仿宋"/>
              <w:snapToGrid w:val="0"/>
              <w:color w:val="auto"/>
              <w:kern w:val="0"/>
              <w:sz w:val="24"/>
              <w:szCs w:val="20"/>
              <w:highlight w:val="none"/>
              <w:lang w:val="en-US" w:eastAsia="zh-CN" w:bidi="ar-SA"/>
            </w:rPr>
            <w:t>☐</w:t>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76552672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snapToGrid w:val="0"/>
              <w:color w:val="auto"/>
              <w:kern w:val="0"/>
              <w:sz w:val="24"/>
              <w:szCs w:val="20"/>
              <w:highlight w:val="none"/>
              <w:lang w:val="en-US" w:eastAsia="zh-CN" w:bidi="ar-SA"/>
            </w:rPr>
            <w:t>þ</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二、申请人的资格要求：</w:t>
      </w:r>
    </w:p>
    <w:p>
      <w:pPr>
        <w:spacing w:line="360" w:lineRule="auto"/>
        <w:ind w:firstLine="48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w:t>
      </w:r>
      <w:r>
        <w:rPr>
          <w:rFonts w:hint="eastAsia" w:ascii="仿宋" w:hAnsi="仿宋" w:eastAsia="仿宋" w:cs="仿宋"/>
          <w:snapToGrid w:val="0"/>
          <w:kern w:val="28"/>
          <w:sz w:val="24"/>
          <w:szCs w:val="20"/>
          <w:highlight w:val="none"/>
          <w:lang w:val="en-US" w:eastAsia="zh-CN"/>
        </w:rPr>
        <w:t>二条</w:t>
      </w:r>
      <w:r>
        <w:rPr>
          <w:rFonts w:hint="eastAsia" w:ascii="仿宋" w:hAnsi="仿宋" w:eastAsia="仿宋" w:cs="仿宋"/>
          <w:snapToGrid w:val="0"/>
          <w:kern w:val="28"/>
          <w:sz w:val="24"/>
          <w:szCs w:val="20"/>
          <w:highlight w:val="none"/>
        </w:rPr>
        <w:t>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none"/>
          </w:rPr>
          <w:id w:val="1928616923"/>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sz w:val="24"/>
          <w:highlight w:val="none"/>
        </w:rPr>
        <w:t>无；</w:t>
      </w:r>
    </w:p>
    <w:p>
      <w:pPr>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none"/>
          </w:rPr>
          <w:id w:val="-102470430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spacing w:line="360" w:lineRule="auto"/>
        <w:ind w:firstLine="897" w:firstLineChars="374"/>
        <w:rPr>
          <w:rFonts w:ascii="仿宋" w:hAnsi="仿宋" w:eastAsia="仿宋" w:cs="仿宋"/>
          <w:sz w:val="24"/>
          <w:highlight w:val="none"/>
          <w:u w:val="single"/>
        </w:rPr>
      </w:pPr>
      <w:sdt>
        <w:sdtPr>
          <w:rPr>
            <w:rFonts w:hint="eastAsia" w:ascii="仿宋" w:hAnsi="仿宋" w:eastAsia="仿宋" w:cs="仿宋"/>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sz w:val="24"/>
          <w:highlight w:val="none"/>
        </w:rPr>
        <w:t>货物全部由符合政策要求的中小企业制造，提供中小企业声明函；</w:t>
      </w:r>
    </w:p>
    <w:p>
      <w:pPr>
        <w:spacing w:line="360" w:lineRule="auto"/>
        <w:ind w:firstLine="897" w:firstLineChars="374"/>
        <w:rPr>
          <w:rFonts w:ascii="仿宋" w:hAnsi="仿宋" w:eastAsia="仿宋" w:cs="仿宋"/>
          <w:sz w:val="24"/>
          <w:highlight w:val="none"/>
        </w:rPr>
      </w:pPr>
      <w:sdt>
        <w:sdtPr>
          <w:rPr>
            <w:rFonts w:hint="eastAsia" w:ascii="仿宋" w:hAnsi="仿宋" w:eastAsia="仿宋" w:cs="仿宋"/>
            <w:kern w:val="0"/>
            <w:sz w:val="24"/>
            <w:highlight w:val="none"/>
          </w:rPr>
          <w:id w:val="-115260493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货物全部由符合政策要求的小微企业制造，提供中小企业声明函；</w:t>
      </w:r>
    </w:p>
    <w:p>
      <w:pPr>
        <w:spacing w:line="360" w:lineRule="auto"/>
        <w:ind w:firstLine="897" w:firstLineChars="374"/>
        <w:rPr>
          <w:rFonts w:ascii="仿宋" w:hAnsi="仿宋" w:eastAsia="仿宋" w:cs="仿宋"/>
          <w:sz w:val="24"/>
          <w:highlight w:val="none"/>
        </w:rPr>
      </w:pPr>
      <w:sdt>
        <w:sdtPr>
          <w:rPr>
            <w:rFonts w:hint="eastAsia" w:ascii="仿宋" w:hAnsi="仿宋" w:eastAsia="仿宋" w:cs="仿宋"/>
            <w:kern w:val="0"/>
            <w:sz w:val="24"/>
            <w:highlight w:val="none"/>
          </w:rPr>
          <w:id w:val="-333685401"/>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ascii="仿宋" w:hAnsi="仿宋" w:eastAsia="仿宋" w:cs="仿宋"/>
          <w:highlight w:val="none"/>
        </w:rPr>
      </w:pPr>
      <w:sdt>
        <w:sdtPr>
          <w:rPr>
            <w:rFonts w:hint="eastAsia" w:ascii="仿宋" w:hAnsi="仿宋" w:eastAsia="仿宋" w:cs="仿宋"/>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服务全部由符合政策要求的小微企业承接，提供中小企业声明函；</w:t>
      </w:r>
    </w:p>
    <w:p>
      <w:pPr>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3.本项目的特定资格要求：无；</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 xml:space="preserve">三、获取招标文件 </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lang w:eastAsia="zh-CN"/>
        </w:rPr>
        <w:t>2023年</w:t>
      </w:r>
      <w:r>
        <w:rPr>
          <w:rFonts w:hint="eastAsia" w:ascii="仿宋" w:hAnsi="仿宋" w:eastAsia="仿宋" w:cs="仿宋"/>
          <w:sz w:val="24"/>
          <w:highlight w:val="none"/>
          <w:u w:val="single"/>
          <w:lang w:val="en-US" w:eastAsia="zh-CN"/>
        </w:rPr>
        <w:t>12月22日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lang w:eastAsia="zh-CN"/>
        </w:rPr>
        <w:t>2023年12月22日14点00分</w:t>
      </w:r>
      <w:r>
        <w:rPr>
          <w:rFonts w:hint="eastAsia" w:ascii="仿宋" w:hAnsi="仿宋" w:eastAsia="仿宋" w:cs="仿宋"/>
          <w:sz w:val="24"/>
          <w:highlight w:val="none"/>
        </w:rPr>
        <w:t>（北京时间）</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lang w:eastAsia="zh-CN"/>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lang w:eastAsia="zh-CN"/>
        </w:rPr>
        <w:t>2023年12月22日14点00分</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开标地点（网址）：</w:t>
      </w:r>
      <w:r>
        <w:rPr>
          <w:rFonts w:hint="eastAsia" w:ascii="仿宋" w:hAnsi="仿宋" w:eastAsia="仿宋" w:cs="仿宋"/>
          <w:sz w:val="24"/>
          <w:highlight w:val="none"/>
        </w:rPr>
        <w:t>政采云平台（https://www.zcygov.cn/）</w:t>
      </w:r>
    </w:p>
    <w:p>
      <w:pPr>
        <w:spacing w:line="360" w:lineRule="auto"/>
        <w:rPr>
          <w:rFonts w:ascii="仿宋" w:hAnsi="仿宋" w:eastAsia="仿宋" w:cs="仿宋"/>
          <w:sz w:val="24"/>
          <w:highlight w:val="none"/>
        </w:rPr>
      </w:pPr>
      <w:r>
        <w:rPr>
          <w:rFonts w:hint="eastAsia" w:ascii="仿宋" w:hAnsi="仿宋" w:eastAsia="仿宋" w:cs="仿宋"/>
          <w:b/>
          <w:sz w:val="24"/>
          <w:highlight w:val="none"/>
        </w:rPr>
        <w:t xml:space="preserve">五、公告期限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自本公告发布之日起5个工作日。</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六、其他补充事宜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1.采购人信息</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名    称：</w:t>
      </w:r>
      <w:r>
        <w:rPr>
          <w:rFonts w:hint="eastAsia" w:ascii="仿宋" w:hAnsi="仿宋" w:eastAsia="仿宋" w:cs="仿宋"/>
          <w:bCs/>
          <w:sz w:val="24"/>
          <w:highlight w:val="none"/>
          <w:lang w:eastAsia="zh-CN"/>
        </w:rPr>
        <w:t>浙江省嘉善县第一人民医院</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地    址：</w:t>
      </w:r>
      <w:r>
        <w:rPr>
          <w:rFonts w:hint="eastAsia" w:ascii="仿宋" w:hAnsi="仿宋" w:eastAsia="仿宋" w:cs="仿宋"/>
          <w:sz w:val="24"/>
          <w:highlight w:val="none"/>
          <w:lang w:eastAsia="zh-CN"/>
        </w:rPr>
        <w:t>浙江省嘉善县罗星街道体育南路1218号</w:t>
      </w:r>
      <w:r>
        <w:rPr>
          <w:rFonts w:hint="eastAsia" w:ascii="仿宋" w:hAnsi="仿宋" w:eastAsia="仿宋" w:cs="仿宋"/>
          <w:sz w:val="24"/>
          <w:highlight w:val="none"/>
        </w:rPr>
        <w:t xml:space="preserve">       </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传    真： /</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 xml:space="preserve">项目联系人（询问）：郁佳顺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项目联系方式（询问）：0573-84039637</w:t>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质疑联系人：严宗来</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质疑联系方式：0573-84039637</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2.采购代理机构信息            </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名    称：浙江五石中正工程咨询有限公司</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 xml:space="preserve">地    址：杭州市拱墅区白石路318号中国人力资源产业园北楼512室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传    真：/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项目联系人（询问）：</w:t>
      </w:r>
      <w:r>
        <w:rPr>
          <w:rFonts w:hint="eastAsia" w:ascii="仿宋" w:hAnsi="仿宋" w:eastAsia="仿宋" w:cs="仿宋"/>
          <w:bCs/>
          <w:kern w:val="0"/>
          <w:sz w:val="24"/>
          <w:highlight w:val="none"/>
          <w:lang w:val="en-US" w:eastAsia="zh-CN"/>
        </w:rPr>
        <w:t>陈贇 周景霞 吴云飞 邹正英 石晓林</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项目联系方式（询问）：</w:t>
      </w:r>
      <w:r>
        <w:rPr>
          <w:rFonts w:hint="eastAsia" w:ascii="仿宋" w:hAnsi="仿宋" w:eastAsia="仿宋" w:cs="仿宋"/>
          <w:sz w:val="24"/>
          <w:highlight w:val="none"/>
          <w:lang w:val="en-US" w:eastAsia="zh-CN"/>
        </w:rPr>
        <w:t>13588738290</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质疑联系人：</w:t>
      </w:r>
      <w:r>
        <w:rPr>
          <w:rFonts w:hint="eastAsia" w:ascii="仿宋" w:hAnsi="仿宋" w:eastAsia="仿宋" w:cs="仿宋"/>
          <w:sz w:val="24"/>
          <w:highlight w:val="none"/>
          <w:lang w:val="en-US" w:eastAsia="zh-CN"/>
        </w:rPr>
        <w:t>陈梦莹</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质疑联系方式：0571-85340710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3.同级政府采购监督管理部门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名    称：嘉善县财政局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地    址：嘉兴市嘉善县解放东路318号</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 xml:space="preserve">  传    真：/</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联</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系</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人：刘科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监督投诉电话：0573-84122310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CA问题联系电话（人工）：汇信CA 400-888-4636；天谷CA 400-087-8198。                   </w:t>
      </w:r>
    </w:p>
    <w:p>
      <w:pPr>
        <w:adjustRightInd/>
        <w:spacing w:line="360" w:lineRule="auto"/>
        <w:jc w:val="center"/>
        <w:outlineLvl w:val="0"/>
        <w:rPr>
          <w:rFonts w:ascii="仿宋" w:hAnsi="仿宋" w:eastAsia="仿宋" w:cs="仿宋"/>
          <w:b/>
          <w:sz w:val="36"/>
          <w:szCs w:val="20"/>
          <w:highlight w:val="none"/>
        </w:rPr>
      </w:pPr>
      <w:r>
        <w:rPr>
          <w:rFonts w:hint="eastAsia" w:ascii="仿宋" w:hAnsi="仿宋" w:eastAsia="仿宋" w:cs="仿宋"/>
          <w:b/>
          <w:sz w:val="36"/>
          <w:szCs w:val="20"/>
          <w:highlight w:val="none"/>
        </w:rPr>
        <w:br w:type="page"/>
      </w:r>
      <w:bookmarkStart w:id="12" w:name="_Toc11466"/>
      <w:r>
        <w:rPr>
          <w:rFonts w:hint="eastAsia" w:ascii="仿宋" w:hAnsi="仿宋" w:eastAsia="仿宋" w:cs="仿宋"/>
          <w:b/>
          <w:sz w:val="36"/>
          <w:szCs w:val="20"/>
          <w:highlight w:val="none"/>
        </w:rPr>
        <w:t>第二部分</w:t>
      </w:r>
      <w:bookmarkEnd w:id="9"/>
      <w:r>
        <w:rPr>
          <w:rFonts w:hint="eastAsia" w:ascii="仿宋" w:hAnsi="仿宋" w:eastAsia="仿宋" w:cs="仿宋"/>
          <w:b/>
          <w:sz w:val="36"/>
          <w:szCs w:val="20"/>
          <w:highlight w:val="none"/>
        </w:rPr>
        <w:t xml:space="preserve"> 投标人须知</w:t>
      </w:r>
      <w:bookmarkEnd w:id="10"/>
      <w:bookmarkEnd w:id="12"/>
    </w:p>
    <w:p>
      <w:pPr>
        <w:snapToGrid w:val="0"/>
        <w:spacing w:line="360" w:lineRule="auto"/>
        <w:jc w:val="center"/>
        <w:rPr>
          <w:rFonts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9"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snapToGrid w:val="0"/>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highlight w:val="none"/>
                <w:lang w:val="zh-CN"/>
              </w:rPr>
            </w:pPr>
            <w:r>
              <w:rPr>
                <w:rFonts w:hint="eastAsia" w:ascii="仿宋" w:hAnsi="仿宋" w:eastAsia="仿宋" w:cs="仿宋"/>
                <w:kern w:val="0"/>
                <w:sz w:val="24"/>
                <w:highlight w:val="none"/>
                <w:lang w:val="zh-CN"/>
              </w:rPr>
              <w:t>有关本项目实施所需的所有费用（含税费）均计入报价。</w:t>
            </w:r>
            <w:r>
              <w:rPr>
                <w:rFonts w:hint="eastAsia" w:ascii="仿宋" w:hAnsi="仿宋" w:eastAsia="仿宋" w:cs="仿宋"/>
                <w:sz w:val="24"/>
                <w:highlight w:val="none"/>
              </w:rPr>
              <w:t>开标一览表（报价表）是报价的唯一载体</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r>
              <w:rPr>
                <w:rFonts w:hint="eastAsia" w:ascii="仿宋" w:hAnsi="仿宋" w:eastAsia="仿宋" w:cs="仿宋"/>
                <w:b/>
                <w:kern w:val="0"/>
                <w:sz w:val="24"/>
                <w:highlight w:val="none"/>
                <w:lang w:val="zh-CN"/>
              </w:rPr>
              <w:t>提醒：验收时检测费用由采购人承担，不包含在投标总价中。</w:t>
            </w:r>
          </w:p>
          <w:p>
            <w:pPr>
              <w:snapToGrid w:val="0"/>
              <w:spacing w:line="360" w:lineRule="auto"/>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投标报价出现下列情形的，投标无效：</w:t>
            </w:r>
          </w:p>
          <w:p>
            <w:pPr>
              <w:snapToGrid w:val="0"/>
              <w:spacing w:line="360" w:lineRule="auto"/>
              <w:ind w:firstLine="241" w:firstLineChars="100"/>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highlight w:val="none"/>
                <w:lang w:val="zh-CN"/>
              </w:rPr>
            </w:pPr>
            <w:r>
              <w:rPr>
                <w:rFonts w:hint="eastAsia" w:ascii="仿宋" w:hAnsi="仿宋" w:eastAsia="仿宋" w:cs="仿宋"/>
                <w:b/>
                <w:kern w:val="0"/>
                <w:sz w:val="24"/>
                <w:highlight w:val="none"/>
                <w:lang w:val="zh-CN"/>
              </w:rPr>
              <w:t>投标报价超过招标文件中规定的预算金额或者最高限价的;</w:t>
            </w:r>
          </w:p>
          <w:p>
            <w:pPr>
              <w:spacing w:line="360" w:lineRule="auto"/>
              <w:ind w:firstLine="241" w:firstLineChars="100"/>
              <w:rPr>
                <w:rFonts w:ascii="仿宋" w:hAnsi="仿宋" w:eastAsia="仿宋" w:cs="仿宋"/>
                <w:b/>
                <w:sz w:val="24"/>
                <w:highlight w:val="none"/>
              </w:rPr>
            </w:pPr>
            <w:r>
              <w:rPr>
                <w:rFonts w:hint="eastAsia" w:ascii="仿宋" w:hAnsi="仿宋" w:eastAsia="仿宋" w:cs="仿宋"/>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spacing w:line="360" w:lineRule="auto"/>
              <w:ind w:firstLine="241" w:firstLineChars="100"/>
              <w:rPr>
                <w:rFonts w:ascii="仿宋" w:hAnsi="仿宋" w:eastAsia="仿宋" w:cs="仿宋"/>
                <w:sz w:val="24"/>
                <w:highlight w:val="none"/>
              </w:rPr>
            </w:pPr>
            <w:r>
              <w:rPr>
                <w:rFonts w:hint="eastAsia" w:ascii="仿宋" w:hAnsi="仿宋" w:eastAsia="仿宋" w:cs="仿宋"/>
                <w:b/>
                <w:kern w:val="0"/>
                <w:sz w:val="24"/>
                <w:highlight w:val="none"/>
              </w:rPr>
              <w:t>投标人对根据修正原则修正后的报价不确认的</w:t>
            </w:r>
            <w:r>
              <w:rPr>
                <w:rFonts w:hint="eastAsia" w:ascii="仿宋" w:hAnsi="仿宋" w:eastAsia="仿宋" w:cs="仿宋"/>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kern w:val="0"/>
                <w:sz w:val="24"/>
                <w:highlight w:val="none"/>
              </w:rPr>
              <w:t xml:space="preserve"> A</w:t>
            </w:r>
            <w:r>
              <w:rPr>
                <w:rFonts w:hint="eastAsia" w:ascii="仿宋" w:hAnsi="仿宋" w:eastAsia="仿宋" w:cs="仿宋"/>
                <w:sz w:val="24"/>
                <w:highlight w:val="none"/>
              </w:rPr>
              <w:t>同意将非主体、非关键性的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机房装修</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w:t>
            </w:r>
            <w:sdt>
              <w:sdtPr>
                <w:rPr>
                  <w:rFonts w:hint="eastAsia" w:ascii="仿宋" w:hAnsi="仿宋" w:eastAsia="仿宋" w:cs="仿宋"/>
                  <w:kern w:val="0"/>
                  <w:sz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 xml:space="preserve"> B</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（1）资格证明文件：见招标文件第二部分11.1。</w:t>
            </w:r>
          </w:p>
          <w:p>
            <w:pPr>
              <w:spacing w:line="360" w:lineRule="auto"/>
              <w:rPr>
                <w:rFonts w:ascii="仿宋" w:hAnsi="仿宋" w:eastAsia="仿宋" w:cs="仿宋"/>
                <w:snapToGrid w:val="0"/>
                <w:kern w:val="0"/>
                <w:szCs w:val="21"/>
                <w:highlight w:val="none"/>
              </w:rPr>
            </w:pP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spacing w:line="360" w:lineRule="auto"/>
              <w:rPr>
                <w:rFonts w:ascii="仿宋" w:hAnsi="仿宋" w:eastAsia="仿宋" w:cs="仿宋"/>
                <w:sz w:val="24"/>
                <w:szCs w:val="20"/>
                <w:highlight w:val="none"/>
              </w:rPr>
            </w:pPr>
            <w:sdt>
              <w:sdtPr>
                <w:rPr>
                  <w:rFonts w:hint="eastAsia" w:ascii="仿宋" w:hAnsi="仿宋" w:eastAsia="仿宋" w:cs="仿宋"/>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ind w:firstLine="240" w:firstLineChars="100"/>
              <w:rPr>
                <w:rFonts w:ascii="仿宋" w:hAnsi="仿宋" w:eastAsia="仿宋" w:cs="仿宋"/>
                <w:sz w:val="24"/>
                <w:highlight w:val="none"/>
              </w:rPr>
            </w:pPr>
          </w:p>
          <w:p>
            <w:pPr>
              <w:snapToGrid w:val="0"/>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ascii="Wingdings" w:hAnsi="Wingdings" w:eastAsia="仿宋" w:cs="仿宋"/>
                    <w:kern w:val="0"/>
                    <w:sz w:val="24"/>
                    <w:highlight w:val="none"/>
                  </w:rPr>
                  <w:t></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不要求提供。</w:t>
            </w:r>
          </w:p>
          <w:p>
            <w:pPr>
              <w:spacing w:line="360"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B要求提供，</w:t>
            </w:r>
          </w:p>
          <w:p>
            <w:pPr>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snapToGrid w:val="0"/>
                <w:kern w:val="28"/>
                <w:sz w:val="24"/>
                <w:highlight w:val="none"/>
              </w:rPr>
              <w:t>样品：</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w:t>
            </w:r>
            <w:r>
              <w:rPr>
                <w:rFonts w:hint="eastAsia" w:ascii="仿宋" w:hAnsi="仿宋" w:eastAsia="仿宋" w:cs="仿宋"/>
                <w:snapToGrid w:val="0"/>
                <w:kern w:val="28"/>
                <w:sz w:val="24"/>
                <w:highlight w:val="none"/>
              </w:rPr>
              <w:t>样品制作的标准和要求：</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（3）样品的评审方法以及评审标准</w:t>
            </w:r>
            <w:r>
              <w:rPr>
                <w:rFonts w:hint="eastAsia" w:ascii="仿宋" w:hAnsi="仿宋" w:eastAsia="仿宋" w:cs="仿宋"/>
                <w:snapToGrid w:val="0"/>
                <w:kern w:val="28"/>
                <w:sz w:val="24"/>
                <w:highlight w:val="none"/>
              </w:rPr>
              <w:t>：详见</w:t>
            </w:r>
            <w:r>
              <w:rPr>
                <w:rFonts w:hint="eastAsia" w:ascii="仿宋" w:hAnsi="仿宋" w:eastAsia="仿宋" w:cs="仿宋"/>
                <w:sz w:val="24"/>
                <w:highlight w:val="none"/>
                <w:u w:val="single"/>
              </w:rPr>
              <w:t>评标办法</w:t>
            </w:r>
            <w:r>
              <w:rPr>
                <w:rFonts w:hint="eastAsia" w:ascii="仿宋" w:hAnsi="仿宋" w:eastAsia="仿宋" w:cs="仿宋"/>
                <w:kern w:val="0"/>
                <w:sz w:val="24"/>
                <w:highlight w:val="none"/>
              </w:rPr>
              <w:t>；</w:t>
            </w:r>
          </w:p>
          <w:p>
            <w:pPr>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（4）是否需要随样品提交检测报告：</w:t>
            </w:r>
            <w:sdt>
              <w:sdtPr>
                <w:rPr>
                  <w:rFonts w:hint="eastAsia" w:ascii="仿宋" w:hAnsi="仿宋" w:eastAsia="仿宋" w:cs="仿宋"/>
                  <w:kern w:val="0"/>
                  <w:sz w:val="24"/>
                  <w:highlight w:val="none"/>
                </w:rPr>
                <w:id w:val="1303421454"/>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否；</w:t>
            </w:r>
            <w:sdt>
              <w:sdtPr>
                <w:rPr>
                  <w:rFonts w:hint="eastAsia" w:ascii="仿宋" w:hAnsi="仿宋" w:eastAsia="仿宋" w:cs="仿宋"/>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是，检测机构的要求</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；检测内容</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spacing w:line="360" w:lineRule="auto"/>
              <w:rPr>
                <w:rFonts w:ascii="仿宋" w:hAnsi="仿宋" w:eastAsia="仿宋" w:cs="仿宋"/>
                <w:sz w:val="24"/>
                <w:highlight w:val="none"/>
              </w:rPr>
            </w:pPr>
            <w:r>
              <w:rPr>
                <w:rFonts w:hint="eastAsia" w:ascii="仿宋" w:hAnsi="仿宋" w:eastAsia="仿宋" w:cs="仿宋"/>
                <w:sz w:val="24"/>
                <w:highlight w:val="none"/>
              </w:rPr>
              <w:t>（5）提供样品的时间：</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；联系人</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28"/>
                <w:sz w:val="24"/>
                <w:highlight w:val="none"/>
              </w:rPr>
              <w:t>联系电话：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sz w:val="24"/>
                <w:highlight w:val="none"/>
              </w:rPr>
            </w:pPr>
            <w:r>
              <w:rPr>
                <w:rFonts w:hint="eastAsia" w:ascii="仿宋" w:hAnsi="仿宋" w:eastAsia="仿宋" w:cs="仿宋"/>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ascii="Wingdings" w:hAnsi="Wingdings" w:eastAsia="仿宋" w:cs="仿宋"/>
                    <w:kern w:val="0"/>
                    <w:sz w:val="24"/>
                    <w:highlight w:val="none"/>
                  </w:rPr>
                  <w:t></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spacing w:line="360"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B组织。</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（2）方案讲解演示可选择以下其中一种方式：</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方式二：现场讲解演示。现场讲解地点为</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kern w:val="0"/>
                <w:sz w:val="24"/>
                <w:highlight w:val="none"/>
                <w:lang w:val="zh-CN"/>
              </w:rPr>
            </w:pPr>
            <w:r>
              <w:rPr>
                <w:rFonts w:hint="eastAsia" w:ascii="仿宋" w:hAnsi="仿宋" w:eastAsia="仿宋" w:cs="仿宋"/>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182842570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本项目不允许采购进口产品。</w:t>
            </w:r>
          </w:p>
          <w:p>
            <w:pPr>
              <w:spacing w:line="360" w:lineRule="auto"/>
              <w:rPr>
                <w:rFonts w:ascii="仿宋" w:hAnsi="仿宋" w:eastAsia="仿宋" w:cs="仿宋"/>
                <w:highlight w:val="none"/>
              </w:rPr>
            </w:pPr>
            <w:sdt>
              <w:sdtPr>
                <w:rPr>
                  <w:rFonts w:hint="eastAsia" w:ascii="仿宋" w:hAnsi="仿宋" w:eastAsia="仿宋" w:cs="仿宋"/>
                  <w:kern w:val="0"/>
                  <w:sz w:val="24"/>
                  <w:highlight w:val="none"/>
                </w:rPr>
                <w:id w:val="-52852824"/>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ascii="Wingdings" w:hAnsi="Wingdings" w:eastAsia="仿宋" w:cs="仿宋"/>
                    <w:kern w:val="0"/>
                    <w:sz w:val="24"/>
                    <w:szCs w:val="24"/>
                    <w:highlight w:val="none"/>
                    <w:lang w:val="en-US" w:eastAsia="zh-CN" w:bidi="ar-SA"/>
                  </w:rPr>
                  <w:t>þ</w:t>
                </w:r>
              </w:sdtContent>
            </w:sdt>
            <w:r>
              <w:rPr>
                <w:rFonts w:hint="eastAsia" w:ascii="仿宋" w:hAnsi="仿宋" w:eastAsia="仿宋" w:cs="仿宋"/>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118727868"/>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r>
              <w:rPr>
                <w:rFonts w:hint="eastAsia" w:ascii="仿宋" w:hAnsi="仿宋" w:eastAsia="仿宋" w:cs="仿宋"/>
                <w:sz w:val="24"/>
                <w:highlight w:val="none"/>
                <w:u w:val="single"/>
                <w:lang w:eastAsia="zh-CN"/>
              </w:rPr>
              <w:t>复合手术室设备</w:t>
            </w:r>
            <w:r>
              <w:rPr>
                <w:rFonts w:hint="eastAsia" w:ascii="仿宋" w:hAnsi="仿宋" w:eastAsia="仿宋" w:cs="仿宋"/>
                <w:sz w:val="24"/>
                <w:highlight w:val="none"/>
              </w:rPr>
              <w:t>。</w:t>
            </w:r>
          </w:p>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47488555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MS Gothic" w:cs="仿宋"/>
                    <w:kern w:val="0"/>
                    <w:sz w:val="24"/>
                    <w:highlight w:val="none"/>
                  </w:rPr>
                  <w:t>☐</w:t>
                </w:r>
              </w:sdtContent>
            </w:sdt>
            <w:r>
              <w:rPr>
                <w:rFonts w:hint="eastAsia" w:ascii="仿宋" w:hAnsi="仿宋" w:eastAsia="仿宋" w:cs="仿宋"/>
                <w:kern w:val="0"/>
                <w:sz w:val="24"/>
                <w:highlight w:val="none"/>
              </w:rPr>
              <w:t>B</w:t>
            </w: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highlight w:val="none"/>
              </w:rPr>
            </w:pPr>
            <w:r>
              <w:rPr>
                <w:rFonts w:hint="eastAsia" w:ascii="仿宋" w:hAnsi="仿宋" w:eastAsia="仿宋" w:cs="仿宋"/>
                <w:kern w:val="0"/>
                <w:sz w:val="24"/>
                <w:highlight w:val="none"/>
              </w:rPr>
              <w:t>标的：</w:t>
            </w:r>
            <w:r>
              <w:rPr>
                <w:rFonts w:hint="eastAsia" w:ascii="仿宋" w:hAnsi="仿宋" w:eastAsia="仿宋" w:cs="仿宋"/>
                <w:kern w:val="0"/>
                <w:sz w:val="24"/>
                <w:highlight w:val="none"/>
                <w:u w:val="single"/>
                <w:lang w:eastAsia="zh-CN"/>
              </w:rPr>
              <w:t>复合手术室设备</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 xml:space="preserve"> 工业 </w:t>
            </w:r>
            <w:r>
              <w:rPr>
                <w:rFonts w:hint="eastAsia" w:ascii="仿宋" w:hAnsi="仿宋" w:eastAsia="仿宋" w:cs="仿宋"/>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highlight w:val="none"/>
              </w:rPr>
            </w:pPr>
            <w:r>
              <w:rPr>
                <w:rFonts w:hint="eastAsia" w:ascii="仿宋" w:hAnsi="仿宋" w:eastAsia="仿宋" w:cs="仿宋"/>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为支持和促进中小企业发展，进一步发挥政府采购政策功能，凡已在浙江政府采购网网上注册入库，并取得政府采购合同的中小企业供应商，均可申请政府采购信用融资。供应商若有融资意向，详见《政府采购支持中小企业信用融资相关事项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
                <w:kern w:val="28"/>
                <w:sz w:val="24"/>
                <w:highlight w:val="none"/>
              </w:rPr>
            </w:pPr>
            <w:r>
              <w:rPr>
                <w:rFonts w:hint="eastAsia" w:ascii="仿宋" w:hAnsi="仿宋" w:eastAsia="仿宋" w:cs="仿宋"/>
                <w:kern w:val="28"/>
                <w:sz w:val="24"/>
                <w:szCs w:val="24"/>
                <w:highlight w:val="none"/>
              </w:rPr>
              <w:t>备份投标文件送达地点：</w:t>
            </w:r>
            <w:r>
              <w:rPr>
                <w:rFonts w:hint="eastAsia" w:ascii="仿宋" w:hAnsi="仿宋" w:eastAsia="仿宋" w:cs="仿宋"/>
                <w:sz w:val="24"/>
                <w:highlight w:val="none"/>
                <w:u w:val="single"/>
              </w:rPr>
              <w:t xml:space="preserve">杭州市拱墅区白石路318号中国人力资源产业园北楼512室 </w:t>
            </w:r>
            <w:r>
              <w:rPr>
                <w:rFonts w:hint="eastAsia" w:ascii="仿宋" w:hAnsi="仿宋" w:eastAsia="仿宋" w:cs="仿宋"/>
                <w:kern w:val="28"/>
                <w:sz w:val="24"/>
                <w:szCs w:val="24"/>
                <w:highlight w:val="none"/>
              </w:rPr>
              <w:t>；备份投标文件签收人员联系电话：</w:t>
            </w:r>
            <w:r>
              <w:rPr>
                <w:rFonts w:hint="eastAsia" w:ascii="仿宋" w:hAnsi="仿宋" w:eastAsia="仿宋" w:cs="仿宋"/>
                <w:kern w:val="28"/>
                <w:sz w:val="24"/>
                <w:szCs w:val="24"/>
                <w:highlight w:val="none"/>
                <w:lang w:val="en-US" w:eastAsia="zh-CN"/>
              </w:rPr>
              <w:t>陈贇</w:t>
            </w:r>
            <w:r>
              <w:rPr>
                <w:rFonts w:hint="eastAsia" w:ascii="仿宋" w:hAnsi="仿宋" w:eastAsia="仿宋" w:cs="仿宋"/>
                <w:sz w:val="24"/>
                <w:highlight w:val="none"/>
                <w:u w:val="single"/>
              </w:rPr>
              <w:t>1</w:t>
            </w:r>
            <w:r>
              <w:rPr>
                <w:rFonts w:hint="eastAsia" w:ascii="仿宋" w:hAnsi="仿宋" w:eastAsia="仿宋" w:cs="仿宋"/>
                <w:sz w:val="24"/>
                <w:highlight w:val="none"/>
                <w:u w:val="single"/>
                <w:lang w:val="en-US" w:eastAsia="zh-CN"/>
              </w:rPr>
              <w:t>3588738290</w:t>
            </w:r>
            <w:r>
              <w:rPr>
                <w:rFonts w:hint="eastAsia" w:ascii="仿宋" w:hAnsi="仿宋" w:eastAsia="仿宋" w:cs="仿宋"/>
                <w:sz w:val="24"/>
                <w:szCs w:val="24"/>
                <w:highlight w:val="none"/>
              </w:rPr>
              <w:t>。</w:t>
            </w:r>
            <w:r>
              <w:rPr>
                <w:rFonts w:hint="eastAsia" w:ascii="仿宋" w:hAnsi="仿宋" w:eastAsia="仿宋" w:cs="仿宋"/>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01" w:hRule="atLeast"/>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keepNext w:val="0"/>
              <w:keepLines w:val="0"/>
              <w:widowControl/>
              <w:shd w:val="clear" w:color="auto" w:fill="FFFFFF"/>
              <w:spacing w:before="0" w:after="0" w:line="495" w:lineRule="atLeast"/>
              <w:ind w:left="0" w:firstLine="0"/>
              <w:rPr>
                <w:rFonts w:ascii="仿宋" w:hAnsi="仿宋" w:eastAsia="仿宋" w:cs="仿宋"/>
                <w:b w:val="0"/>
                <w:bCs w:val="0"/>
                <w:snapToGrid w:val="0"/>
                <w:kern w:val="28"/>
                <w:sz w:val="24"/>
                <w:szCs w:val="24"/>
                <w:highlight w:val="none"/>
                <w:lang w:val="zh-TW" w:eastAsia="zh-TW"/>
              </w:rPr>
            </w:pPr>
            <w:r>
              <w:rPr>
                <w:rFonts w:hint="eastAsia" w:ascii="仿宋" w:hAnsi="仿宋" w:eastAsia="仿宋" w:cs="仿宋"/>
                <w:snapToGrid w:val="0"/>
                <w:kern w:val="28"/>
                <w:sz w:val="24"/>
                <w:szCs w:val="24"/>
                <w:highlight w:val="none"/>
              </w:rPr>
              <w:t>收取标准：</w:t>
            </w:r>
            <w:r>
              <w:rPr>
                <w:rFonts w:hint="eastAsia" w:ascii="仿宋" w:hAnsi="仿宋" w:eastAsia="仿宋" w:cs="仿宋"/>
                <w:b w:val="0"/>
                <w:bCs w:val="0"/>
                <w:snapToGrid w:val="0"/>
                <w:kern w:val="28"/>
                <w:sz w:val="24"/>
                <w:szCs w:val="24"/>
                <w:highlight w:val="none"/>
              </w:rPr>
              <w:t>按计价格[2002]1980号文件规定</w:t>
            </w:r>
            <w:r>
              <w:rPr>
                <w:rFonts w:hint="eastAsia" w:ascii="仿宋" w:hAnsi="仿宋" w:eastAsia="仿宋" w:cs="仿宋"/>
                <w:b w:val="0"/>
                <w:bCs w:val="0"/>
                <w:snapToGrid w:val="0"/>
                <w:kern w:val="28"/>
                <w:sz w:val="24"/>
                <w:szCs w:val="24"/>
                <w:highlight w:val="none"/>
                <w:lang w:val="en-US" w:eastAsia="zh-CN"/>
              </w:rPr>
              <w:t>60%</w:t>
            </w:r>
            <w:r>
              <w:rPr>
                <w:rFonts w:hint="eastAsia" w:ascii="仿宋" w:hAnsi="仿宋" w:eastAsia="仿宋" w:cs="仿宋"/>
                <w:b w:val="0"/>
                <w:bCs w:val="0"/>
                <w:snapToGrid w:val="0"/>
                <w:kern w:val="28"/>
                <w:sz w:val="24"/>
                <w:szCs w:val="24"/>
                <w:highlight w:val="none"/>
                <w:lang w:val="zh-TW" w:eastAsia="zh-TW"/>
              </w:rPr>
              <w:t>计取。</w:t>
            </w:r>
          </w:p>
          <w:p>
            <w:pPr>
              <w:pStyle w:val="783"/>
              <w:widowControl w:val="0"/>
              <w:spacing w:line="460" w:lineRule="exact"/>
              <w:rPr>
                <w:rFonts w:ascii="仿宋" w:hAnsi="仿宋" w:eastAsia="仿宋" w:cs="仿宋"/>
                <w:snapToGrid w:val="0"/>
                <w:kern w:val="28"/>
                <w:sz w:val="24"/>
                <w:szCs w:val="24"/>
                <w:highlight w:val="none"/>
              </w:rPr>
            </w:pPr>
            <w:r>
              <w:rPr>
                <w:rFonts w:hint="eastAsia" w:ascii="仿宋" w:hAnsi="仿宋" w:eastAsia="仿宋" w:cs="仿宋"/>
                <w:b/>
                <w:bCs/>
                <w:snapToGrid w:val="0"/>
                <w:kern w:val="28"/>
                <w:sz w:val="24"/>
                <w:szCs w:val="24"/>
                <w:highlight w:val="none"/>
              </w:rPr>
              <w:t>收取方式：</w:t>
            </w:r>
            <w:r>
              <w:rPr>
                <w:rFonts w:hint="eastAsia" w:ascii="仿宋" w:hAnsi="仿宋" w:eastAsia="仿宋" w:cs="仿宋"/>
                <w:snapToGrid w:val="0"/>
                <w:kern w:val="28"/>
                <w:sz w:val="24"/>
                <w:szCs w:val="24"/>
                <w:highlight w:val="none"/>
              </w:rPr>
              <w:t>本项目的代理费由中标人支付。在中标结果公告发出后15个工作日内由中标人一次性向采购代理机构付清。账户信息如下：</w:t>
            </w:r>
          </w:p>
          <w:p>
            <w:pPr>
              <w:pStyle w:val="6"/>
              <w:ind w:firstLine="0" w:firstLineChars="0"/>
              <w:rPr>
                <w:rFonts w:ascii="仿宋" w:hAnsi="仿宋" w:eastAsia="仿宋" w:cs="仿宋"/>
                <w:snapToGrid w:val="0"/>
                <w:kern w:val="28"/>
                <w:highlight w:val="none"/>
              </w:rPr>
            </w:pPr>
            <w:r>
              <w:rPr>
                <w:rFonts w:hint="eastAsia" w:ascii="仿宋" w:hAnsi="仿宋" w:eastAsia="仿宋" w:cs="仿宋"/>
                <w:snapToGrid w:val="0"/>
                <w:kern w:val="28"/>
                <w:highlight w:val="none"/>
              </w:rPr>
              <w:t>公司名称：浙江五石中正工程咨询有限公司</w:t>
            </w:r>
          </w:p>
          <w:p>
            <w:pPr>
              <w:pStyle w:val="6"/>
              <w:ind w:firstLine="0" w:firstLineChars="0"/>
              <w:rPr>
                <w:rFonts w:ascii="仿宋" w:hAnsi="仿宋" w:eastAsia="仿宋" w:cs="仿宋"/>
                <w:snapToGrid w:val="0"/>
                <w:kern w:val="28"/>
                <w:highlight w:val="none"/>
              </w:rPr>
            </w:pPr>
            <w:r>
              <w:rPr>
                <w:rFonts w:hint="eastAsia" w:ascii="仿宋" w:hAnsi="仿宋" w:eastAsia="仿宋" w:cs="仿宋"/>
                <w:snapToGrid w:val="0"/>
                <w:kern w:val="28"/>
                <w:highlight w:val="none"/>
              </w:rPr>
              <w:t>开户行：中国工商银行杭州潮王路支行</w:t>
            </w:r>
          </w:p>
          <w:p>
            <w:pPr>
              <w:pStyle w:val="6"/>
              <w:ind w:firstLine="0" w:firstLineChars="0"/>
              <w:rPr>
                <w:rFonts w:ascii="仿宋" w:hAnsi="仿宋" w:eastAsia="仿宋" w:cs="仿宋"/>
                <w:snapToGrid w:val="0"/>
                <w:kern w:val="28"/>
                <w:highlight w:val="none"/>
              </w:rPr>
            </w:pPr>
            <w:r>
              <w:rPr>
                <w:rFonts w:hint="eastAsia" w:ascii="仿宋" w:hAnsi="仿宋" w:eastAsia="仿宋" w:cs="仿宋"/>
                <w:snapToGrid w:val="0"/>
                <w:kern w:val="28"/>
                <w:highlight w:val="none"/>
              </w:rPr>
              <w:t>银行账号： 1202003209900014176</w:t>
            </w:r>
          </w:p>
          <w:p>
            <w:pPr>
              <w:pStyle w:val="6"/>
              <w:ind w:firstLine="0" w:firstLineChars="0"/>
              <w:rPr>
                <w:rFonts w:ascii="仿宋" w:hAnsi="仿宋" w:eastAsia="仿宋" w:cs="仿宋"/>
                <w:highlight w:val="none"/>
              </w:rPr>
            </w:pPr>
            <w:r>
              <w:rPr>
                <w:rFonts w:hint="eastAsia" w:ascii="仿宋" w:hAnsi="仿宋" w:eastAsia="仿宋" w:cs="仿宋"/>
                <w:snapToGrid w:val="0"/>
                <w:kern w:val="28"/>
                <w:highlight w:val="none"/>
              </w:rPr>
              <w:t>行号：10233100032</w:t>
            </w:r>
          </w:p>
        </w:tc>
      </w:tr>
    </w:tbl>
    <w:p>
      <w:pPr>
        <w:snapToGrid w:val="0"/>
        <w:spacing w:line="360" w:lineRule="auto"/>
        <w:jc w:val="center"/>
        <w:rPr>
          <w:rFonts w:ascii="仿宋" w:hAnsi="仿宋" w:eastAsia="仿宋" w:cs="仿宋"/>
          <w:b/>
          <w:sz w:val="32"/>
          <w:szCs w:val="20"/>
          <w:highlight w:val="none"/>
        </w:rPr>
      </w:pPr>
    </w:p>
    <w:bookmarkEnd w:id="11"/>
    <w:p>
      <w:pPr>
        <w:adjustRightInd/>
        <w:spacing w:line="360" w:lineRule="auto"/>
        <w:ind w:firstLine="3845" w:firstLineChars="1197"/>
        <w:outlineLvl w:val="0"/>
        <w:rPr>
          <w:rFonts w:ascii="仿宋" w:hAnsi="仿宋" w:eastAsia="仿宋" w:cs="仿宋"/>
          <w:b/>
          <w:sz w:val="32"/>
          <w:szCs w:val="20"/>
          <w:highlight w:val="none"/>
        </w:rPr>
      </w:pPr>
      <w:bookmarkStart w:id="13" w:name="_Toc27344"/>
      <w:bookmarkStart w:id="14" w:name="_Toc164416483"/>
      <w:bookmarkStart w:id="15" w:name="第三部分"/>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pStyle w:val="6"/>
        <w:ind w:firstLine="643"/>
        <w:rPr>
          <w:rFonts w:ascii="仿宋" w:hAnsi="仿宋" w:eastAsia="仿宋" w:cs="仿宋"/>
          <w:b/>
          <w:sz w:val="32"/>
          <w:szCs w:val="20"/>
          <w:highlight w:val="none"/>
        </w:rPr>
      </w:pPr>
    </w:p>
    <w:p>
      <w:pPr>
        <w:rPr>
          <w:rFonts w:ascii="仿宋" w:hAnsi="仿宋" w:eastAsia="仿宋" w:cs="仿宋"/>
          <w:b/>
          <w:sz w:val="32"/>
          <w:szCs w:val="20"/>
          <w:highlight w:val="none"/>
        </w:rPr>
      </w:pPr>
    </w:p>
    <w:p>
      <w:pPr>
        <w:pStyle w:val="6"/>
        <w:ind w:firstLine="0" w:firstLineChars="0"/>
        <w:rPr>
          <w:rFonts w:ascii="仿宋" w:hAnsi="仿宋" w:eastAsia="仿宋" w:cs="仿宋"/>
          <w:b/>
          <w:sz w:val="32"/>
          <w:szCs w:val="20"/>
          <w:highlight w:val="none"/>
        </w:rPr>
      </w:pPr>
    </w:p>
    <w:p>
      <w:pPr>
        <w:rPr>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p>
    <w:p>
      <w:pPr>
        <w:adjustRightInd/>
        <w:spacing w:line="360" w:lineRule="auto"/>
        <w:ind w:firstLine="3845" w:firstLineChars="1197"/>
        <w:outlineLvl w:val="0"/>
        <w:rPr>
          <w:rFonts w:ascii="仿宋" w:hAnsi="仿宋" w:eastAsia="仿宋" w:cs="仿宋"/>
          <w:b/>
          <w:sz w:val="32"/>
          <w:szCs w:val="20"/>
          <w:highlight w:val="none"/>
        </w:rPr>
      </w:pPr>
      <w:r>
        <w:rPr>
          <w:rFonts w:hint="eastAsia" w:ascii="仿宋" w:hAnsi="仿宋" w:eastAsia="仿宋" w:cs="仿宋"/>
          <w:b/>
          <w:sz w:val="32"/>
          <w:szCs w:val="20"/>
          <w:highlight w:val="none"/>
        </w:rPr>
        <w:t>一、总则</w:t>
      </w:r>
      <w:bookmarkEnd w:id="13"/>
    </w:p>
    <w:p>
      <w:pPr>
        <w:snapToGrid w:val="0"/>
        <w:spacing w:line="360" w:lineRule="auto"/>
        <w:ind w:firstLine="361" w:firstLineChars="150"/>
        <w:jc w:val="left"/>
        <w:outlineLvl w:val="1"/>
        <w:rPr>
          <w:rFonts w:ascii="仿宋" w:hAnsi="仿宋" w:eastAsia="仿宋" w:cs="仿宋"/>
          <w:b/>
          <w:sz w:val="24"/>
          <w:highlight w:val="none"/>
        </w:rPr>
      </w:pPr>
      <w:r>
        <w:rPr>
          <w:rFonts w:hint="eastAsia" w:ascii="仿宋" w:hAnsi="仿宋" w:eastAsia="仿宋" w:cs="仿宋"/>
          <w:b/>
          <w:sz w:val="24"/>
          <w:highlight w:val="none"/>
        </w:rPr>
        <w:t>1. 适用范围</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highlight w:val="none"/>
        </w:rPr>
      </w:pPr>
      <w:r>
        <w:rPr>
          <w:rFonts w:hint="eastAsia" w:ascii="仿宋" w:hAnsi="仿宋" w:eastAsia="仿宋" w:cs="仿宋"/>
          <w:b/>
          <w:sz w:val="24"/>
          <w:highlight w:val="none"/>
        </w:rPr>
        <w:t xml:space="preserve">   </w:t>
      </w:r>
      <w:bookmarkStart w:id="16" w:name="_Toc13028"/>
      <w:r>
        <w:rPr>
          <w:rFonts w:hint="eastAsia" w:ascii="仿宋" w:hAnsi="仿宋" w:eastAsia="仿宋" w:cs="仿宋"/>
          <w:b/>
          <w:sz w:val="24"/>
          <w:highlight w:val="none"/>
        </w:rPr>
        <w:t>2.定义</w:t>
      </w:r>
      <w:bookmarkEnd w:id="16"/>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 “采购人”系指招标公告中载明的本项目的采购人。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 “采购机构”系指招标公告中载明的本项目的采购机构。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 “▲” 系指实质性要求条款，“★”系</w:t>
      </w:r>
      <w:r>
        <w:rPr>
          <w:rFonts w:hint="eastAsia" w:ascii="仿宋" w:hAnsi="仿宋" w:eastAsia="仿宋" w:cs="仿宋"/>
          <w:sz w:val="24"/>
          <w:highlight w:val="none"/>
          <w:lang w:val="en-US" w:eastAsia="zh-CN"/>
        </w:rPr>
        <w:t>重要参数，扣分分值高</w:t>
      </w:r>
      <w:r>
        <w:rPr>
          <w:rFonts w:hint="eastAsia" w:ascii="仿宋" w:hAnsi="仿宋" w:eastAsia="仿宋" w:cs="仿宋"/>
          <w:sz w:val="24"/>
          <w:highlight w:val="none"/>
        </w:rPr>
        <w:t>。</w:t>
      </w:r>
    </w:p>
    <w:p>
      <w:pPr>
        <w:spacing w:line="360" w:lineRule="auto"/>
        <w:ind w:firstLine="241" w:firstLineChars="100"/>
        <w:rPr>
          <w:rFonts w:ascii="仿宋" w:hAnsi="仿宋" w:eastAsia="仿宋" w:cs="仿宋"/>
          <w:b/>
          <w:sz w:val="24"/>
          <w:highlight w:val="none"/>
        </w:rPr>
      </w:pPr>
      <w:r>
        <w:rPr>
          <w:rFonts w:hint="eastAsia" w:ascii="仿宋" w:hAnsi="仿宋" w:eastAsia="仿宋" w:cs="仿宋"/>
          <w:b/>
          <w:sz w:val="24"/>
          <w:highlight w:val="none"/>
        </w:rPr>
        <w:t>3.</w:t>
      </w:r>
      <w:r>
        <w:rPr>
          <w:rFonts w:hint="eastAsia" w:ascii="仿宋" w:hAnsi="仿宋" w:eastAsia="仿宋" w:cs="仿宋"/>
          <w:highlight w:val="none"/>
        </w:rPr>
        <w:t xml:space="preserve"> </w:t>
      </w:r>
      <w:r>
        <w:rPr>
          <w:rFonts w:hint="eastAsia" w:ascii="仿宋" w:hAnsi="仿宋" w:eastAsia="仿宋" w:cs="仿宋"/>
          <w:b/>
          <w:sz w:val="24"/>
          <w:highlight w:val="none"/>
        </w:rPr>
        <w:t>采购项目需要落实的政府采购政策</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3.2 支持绿色发展</w:t>
      </w:r>
    </w:p>
    <w:p>
      <w:pPr>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3.3支持中小企业发展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bCs/>
          <w:sz w:val="24"/>
          <w:highlight w:val="none"/>
        </w:rPr>
        <w:t>3.3.2</w:t>
      </w:r>
      <w:r>
        <w:rPr>
          <w:rFonts w:hint="eastAsia" w:ascii="仿宋" w:hAnsi="仿宋" w:eastAsia="仿宋" w:cs="仿宋"/>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sz w:val="24"/>
          <w:highlight w:val="none"/>
          <w:lang w:eastAsia="zh-CN"/>
        </w:rPr>
        <w:t>10%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sz w:val="24"/>
          <w:highlight w:val="none"/>
          <w:lang w:val="en-US" w:eastAsia="zh-CN"/>
        </w:rPr>
        <w:t>4%的扣除</w:t>
      </w:r>
      <w:r>
        <w:rPr>
          <w:rFonts w:hint="eastAsia" w:ascii="仿宋" w:hAnsi="仿宋" w:eastAsia="仿宋" w:cs="仿宋"/>
          <w:sz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3.4</w:t>
      </w:r>
      <w:r>
        <w:rPr>
          <w:rFonts w:hint="eastAsia" w:ascii="仿宋" w:hAnsi="仿宋" w:eastAsia="仿宋" w:cs="仿宋"/>
          <w:bCs/>
          <w:sz w:val="24"/>
          <w:highlight w:val="none"/>
        </w:rPr>
        <w:t>支持创新发展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hint="eastAsia" w:ascii="仿宋" w:hAnsi="仿宋" w:eastAsia="仿宋" w:cs="仿宋"/>
          <w:sz w:val="24"/>
          <w:highlight w:val="none"/>
        </w:rPr>
        <w:cr/>
      </w:r>
      <w:r>
        <w:rPr>
          <w:rFonts w:hint="eastAsia" w:ascii="仿宋" w:hAnsi="仿宋" w:eastAsia="仿宋" w:cs="仿宋"/>
          <w:b/>
          <w:sz w:val="24"/>
          <w:highlight w:val="none"/>
        </w:rPr>
        <w:t>4. 询问、质疑、投诉</w:t>
      </w:r>
    </w:p>
    <w:p>
      <w:pPr>
        <w:autoSpaceDE w:val="0"/>
        <w:autoSpaceDN w:val="0"/>
        <w:spacing w:line="360" w:lineRule="auto"/>
        <w:ind w:firstLine="240" w:firstLineChars="1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4.1供应商询问</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4.2供应商质疑</w:t>
      </w:r>
    </w:p>
    <w:p>
      <w:pPr>
        <w:pStyle w:val="34"/>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4.2.2.3对采购结果提出质疑的，质疑期限自采购结果公告期限届满之日起计算。</w:t>
      </w:r>
    </w:p>
    <w:p>
      <w:pPr>
        <w:pStyle w:val="34"/>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4.2.3</w:t>
      </w:r>
      <w:r>
        <w:rPr>
          <w:rFonts w:hint="eastAsia" w:ascii="仿宋" w:hAnsi="仿宋" w:eastAsia="仿宋" w:cs="仿宋"/>
          <w:sz w:val="24"/>
          <w:highlight w:val="none"/>
        </w:rPr>
        <w:t>供应商提出质疑应当提交质疑函和必要的证明材料。质疑函应当包括下列内容：</w:t>
      </w:r>
    </w:p>
    <w:p>
      <w:pPr>
        <w:pStyle w:val="34"/>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4.2.3.1供应商的姓名或者名称、地址、邮编、联系人及联系电话；</w:t>
      </w:r>
    </w:p>
    <w:p>
      <w:pPr>
        <w:pStyle w:val="34"/>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4.2.3.2质疑项目的名称、编号；</w:t>
      </w:r>
    </w:p>
    <w:p>
      <w:pPr>
        <w:pStyle w:val="34"/>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4.2.3.3具体、明确的质疑事项和与质疑事项相关的请求；</w:t>
      </w:r>
    </w:p>
    <w:p>
      <w:pPr>
        <w:pStyle w:val="34"/>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4.2.3.4事实依据；</w:t>
      </w:r>
    </w:p>
    <w:p>
      <w:pPr>
        <w:pStyle w:val="34"/>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4.2.3.5必要的法律依据；</w:t>
      </w:r>
    </w:p>
    <w:p>
      <w:pPr>
        <w:pStyle w:val="34"/>
        <w:spacing w:line="360" w:lineRule="auto"/>
        <w:ind w:firstLine="960" w:firstLineChars="4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4.2.3.6提出质疑的日期。</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质疑函范本及制作说明详见附件2。</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lang w:val="zh-CN"/>
        </w:rPr>
        <w:t>4.2</w:t>
      </w:r>
      <w:r>
        <w:rPr>
          <w:rFonts w:hint="eastAsia" w:ascii="仿宋" w:hAnsi="仿宋" w:eastAsia="仿宋" w:cs="仿宋"/>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lang w:val="zh-CN"/>
        </w:rPr>
        <w:t>4.2</w:t>
      </w:r>
      <w:r>
        <w:rPr>
          <w:rFonts w:hint="eastAsia" w:ascii="仿宋" w:hAnsi="仿宋" w:eastAsia="仿宋" w:cs="仿宋"/>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 w:hAnsi="仿宋" w:eastAsia="仿宋" w:cs="仿宋"/>
          <w:highlight w:val="none"/>
          <w:lang w:val="zh-CN"/>
        </w:rPr>
      </w:pPr>
      <w:r>
        <w:rPr>
          <w:rFonts w:hint="eastAsia" w:ascii="仿宋" w:hAnsi="仿宋" w:eastAsia="仿宋" w:cs="仿宋"/>
          <w:highlight w:val="none"/>
          <w:lang w:val="zh-CN"/>
        </w:rPr>
        <w:t>4.3供应商投诉</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4.3.</w:t>
      </w:r>
      <w:r>
        <w:rPr>
          <w:rFonts w:hint="eastAsia" w:ascii="仿宋" w:hAnsi="仿宋" w:eastAsia="仿宋" w:cs="仿宋"/>
          <w:highlight w:val="none"/>
          <w:lang w:val="zh-CN"/>
        </w:rPr>
        <w:t>2</w:t>
      </w:r>
      <w:r>
        <w:rPr>
          <w:rFonts w:hint="eastAsia" w:ascii="仿宋" w:hAnsi="仿宋" w:eastAsia="仿宋" w:cs="仿宋"/>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4.3.3供应商投诉应当有明确的请求和必要的证明材料。</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投诉书范本及制作说明详见附件3。</w:t>
      </w:r>
    </w:p>
    <w:p>
      <w:pPr>
        <w:pStyle w:val="131"/>
        <w:snapToGrid w:val="0"/>
        <w:spacing w:before="0"/>
        <w:ind w:firstLine="360"/>
        <w:rPr>
          <w:rFonts w:ascii="仿宋" w:hAnsi="仿宋" w:eastAsia="仿宋" w:cs="仿宋"/>
          <w:sz w:val="18"/>
          <w:szCs w:val="18"/>
          <w:highlight w:val="none"/>
        </w:rPr>
      </w:pPr>
    </w:p>
    <w:p>
      <w:pPr>
        <w:adjustRightInd/>
        <w:spacing w:line="360" w:lineRule="auto"/>
        <w:jc w:val="center"/>
        <w:outlineLvl w:val="0"/>
        <w:rPr>
          <w:rFonts w:ascii="仿宋" w:hAnsi="仿宋" w:eastAsia="仿宋" w:cs="仿宋"/>
          <w:b/>
          <w:sz w:val="32"/>
          <w:szCs w:val="20"/>
          <w:highlight w:val="none"/>
        </w:rPr>
      </w:pPr>
      <w:r>
        <w:rPr>
          <w:rFonts w:hint="eastAsia" w:ascii="仿宋" w:hAnsi="仿宋" w:eastAsia="仿宋" w:cs="仿宋"/>
          <w:b/>
          <w:sz w:val="32"/>
          <w:szCs w:val="20"/>
          <w:highlight w:val="none"/>
        </w:rPr>
        <w:t xml:space="preserve">      </w:t>
      </w:r>
      <w:bookmarkStart w:id="17" w:name="_Toc24357"/>
      <w:r>
        <w:rPr>
          <w:rFonts w:hint="eastAsia" w:ascii="仿宋" w:hAnsi="仿宋" w:eastAsia="仿宋" w:cs="仿宋"/>
          <w:b/>
          <w:sz w:val="32"/>
          <w:szCs w:val="20"/>
          <w:highlight w:val="none"/>
        </w:rPr>
        <w:t>二、招标文件的构成、澄清、修改</w:t>
      </w:r>
      <w:bookmarkEnd w:id="17"/>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5．招标文件的构成</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5.1 招标文件包括下列文件及附件：</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5.1.1招标公告；</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5.1.2投标人须知；</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5.1.3采购需求；</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5.1.4评标办法；</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5.1.5拟签订的合同文本；</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highlight w:val="none"/>
        </w:rPr>
        <w:t>5.1.6</w:t>
      </w:r>
      <w:r>
        <w:rPr>
          <w:rFonts w:hint="eastAsia" w:ascii="仿宋" w:hAnsi="仿宋" w:eastAsia="仿宋" w:cs="仿宋"/>
          <w:sz w:val="24"/>
          <w:szCs w:val="24"/>
          <w:highlight w:val="none"/>
        </w:rPr>
        <w:t>应提交的有关格式范例。</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5.2与本项目有关的</w:t>
      </w:r>
      <w:r>
        <w:rPr>
          <w:rFonts w:hint="eastAsia" w:ascii="仿宋" w:hAnsi="仿宋" w:eastAsia="仿宋" w:cs="仿宋"/>
          <w:bCs/>
          <w:sz w:val="24"/>
          <w:highlight w:val="none"/>
        </w:rPr>
        <w:t>澄清或者修改的内容为招标文件的组成部分</w:t>
      </w:r>
      <w:r>
        <w:rPr>
          <w:rFonts w:hint="eastAsia" w:ascii="仿宋" w:hAnsi="仿宋" w:eastAsia="仿宋" w:cs="仿宋"/>
          <w:sz w:val="24"/>
          <w:highlight w:val="none"/>
        </w:rPr>
        <w:t>。</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6. 招标文件的澄清、修改</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sz w:val="18"/>
          <w:szCs w:val="18"/>
          <w:highlight w:val="none"/>
          <w:lang w:val="en-US"/>
        </w:rPr>
      </w:pPr>
      <w:r>
        <w:rPr>
          <w:rFonts w:hint="eastAsia" w:ascii="仿宋" w:hAnsi="仿宋" w:eastAsia="仿宋" w:cs="仿宋"/>
          <w:szCs w:val="24"/>
          <w:highlight w:val="none"/>
          <w:lang w:val="en-US"/>
        </w:rPr>
        <w:t xml:space="preserve">    </w:t>
      </w:r>
    </w:p>
    <w:p>
      <w:pPr>
        <w:adjustRightInd/>
        <w:spacing w:line="360" w:lineRule="auto"/>
        <w:jc w:val="center"/>
        <w:outlineLvl w:val="0"/>
        <w:rPr>
          <w:rFonts w:ascii="仿宋" w:hAnsi="仿宋" w:eastAsia="仿宋" w:cs="仿宋"/>
          <w:b/>
          <w:sz w:val="30"/>
          <w:szCs w:val="20"/>
          <w:highlight w:val="none"/>
        </w:rPr>
      </w:pPr>
      <w:bookmarkStart w:id="18" w:name="_Toc27670"/>
      <w:r>
        <w:rPr>
          <w:rFonts w:hint="eastAsia" w:ascii="仿宋" w:hAnsi="仿宋" w:eastAsia="仿宋" w:cs="仿宋"/>
          <w:b/>
          <w:sz w:val="30"/>
          <w:szCs w:val="20"/>
          <w:highlight w:val="none"/>
        </w:rPr>
        <w:t>三、投标</w:t>
      </w:r>
      <w:bookmarkEnd w:id="18"/>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7. 招标文件的获取</w:t>
      </w:r>
    </w:p>
    <w:p>
      <w:pPr>
        <w:spacing w:line="360" w:lineRule="auto"/>
        <w:ind w:firstLine="480" w:firstLineChars="200"/>
        <w:rPr>
          <w:rFonts w:ascii="仿宋" w:hAnsi="仿宋" w:eastAsia="仿宋" w:cs="仿宋"/>
          <w:snapToGrid w:val="0"/>
          <w:kern w:val="28"/>
          <w:sz w:val="24"/>
          <w:highlight w:val="none"/>
        </w:rPr>
      </w:pPr>
      <w:r>
        <w:rPr>
          <w:rFonts w:hint="eastAsia" w:ascii="仿宋" w:hAnsi="仿宋" w:eastAsia="仿宋" w:cs="仿宋"/>
          <w:snapToGrid w:val="0"/>
          <w:kern w:val="28"/>
          <w:sz w:val="24"/>
          <w:highlight w:val="none"/>
        </w:rPr>
        <w:t>详见招标公告中获取招标文件的时间期限、地点、方式及招标文件售价。</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8.开标前答疑会或现场考察</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szCs w:val="24"/>
          <w:highlight w:val="none"/>
        </w:rPr>
      </w:pPr>
      <w:r>
        <w:rPr>
          <w:rFonts w:hint="eastAsia" w:ascii="仿宋" w:hAnsi="仿宋" w:eastAsia="仿宋" w:cs="仿宋"/>
          <w:b/>
          <w:kern w:val="28"/>
          <w:sz w:val="24"/>
          <w:szCs w:val="24"/>
          <w:highlight w:val="none"/>
        </w:rPr>
        <w:t>9.投标保证金</w:t>
      </w:r>
    </w:p>
    <w:p>
      <w:pPr>
        <w:pStyle w:val="5"/>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10. 投标文件的语言</w:t>
      </w:r>
    </w:p>
    <w:p>
      <w:pPr>
        <w:autoSpaceDE w:val="0"/>
        <w:autoSpaceDN w:val="0"/>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rPr>
        <w:t>投标文件及投标人与采购有关的来往通知、函件和文件均应使用中文。</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11. 投标文件的组成</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11.1</w:t>
      </w:r>
      <w:r>
        <w:rPr>
          <w:rFonts w:hint="eastAsia" w:ascii="仿宋" w:hAnsi="仿宋" w:eastAsia="仿宋" w:cs="仿宋"/>
          <w:b/>
          <w:sz w:val="24"/>
          <w:highlight w:val="none"/>
        </w:rPr>
        <w:t>资格文件</w:t>
      </w:r>
      <w:r>
        <w:rPr>
          <w:rFonts w:hint="eastAsia" w:ascii="仿宋" w:hAnsi="仿宋" w:eastAsia="仿宋" w:cs="仿宋"/>
          <w:sz w:val="24"/>
          <w:highlight w:val="none"/>
        </w:rPr>
        <w:t>：</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11.1.2落实政府采购政策需满足的资格要求；</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11.1.3本项目的特定资格要求；</w:t>
      </w:r>
    </w:p>
    <w:p>
      <w:pPr>
        <w:snapToGrid w:val="0"/>
        <w:spacing w:line="360" w:lineRule="auto"/>
        <w:ind w:firstLine="960" w:firstLineChars="4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11.1.4法人或者其他组织的营业执照等证明文件，自然人的身份证明</w:t>
      </w:r>
      <w:r>
        <w:rPr>
          <w:rFonts w:hint="eastAsia" w:ascii="仿宋" w:hAnsi="仿宋" w:eastAsia="仿宋" w:cs="仿宋"/>
          <w:sz w:val="24"/>
          <w:highlight w:val="none"/>
        </w:rPr>
        <w:t>。</w:t>
      </w:r>
    </w:p>
    <w:p>
      <w:pPr>
        <w:snapToGrid w:val="0"/>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11.2.3联合协议；</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11.2.4分包意向协议；</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11.2.6评标标准相应的商务技术资料；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11.2.7商务技术偏离表；</w:t>
      </w:r>
    </w:p>
    <w:p>
      <w:pPr>
        <w:snapToGrid w:val="0"/>
        <w:spacing w:line="360" w:lineRule="auto"/>
        <w:ind w:left="958" w:leftChars="456" w:firstLine="0" w:firstLineChars="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11.2.8</w:t>
      </w:r>
      <w:r>
        <w:rPr>
          <w:rFonts w:hint="eastAsia" w:ascii="仿宋" w:hAnsi="仿宋" w:eastAsia="仿宋" w:cs="仿宋"/>
          <w:sz w:val="24"/>
          <w:highlight w:val="none"/>
        </w:rPr>
        <w:t>医疗器械经营许可证（和/或二类医疗器械经营备案证）（如适用）、完整的投标产品医疗器械注册证（如适用）、投标设备的制造商授权函（适用于进口设备）等销售许可文件；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lang w:val="en-US" w:eastAsia="zh-CN"/>
        </w:rPr>
        <w:t>11.2.9</w:t>
      </w:r>
      <w:r>
        <w:rPr>
          <w:rFonts w:hint="eastAsia" w:ascii="仿宋" w:hAnsi="仿宋" w:eastAsia="仿宋" w:cs="仿宋"/>
          <w:sz w:val="24"/>
          <w:highlight w:val="none"/>
        </w:rPr>
        <w:t>设备配置清单（均不含报价）；</w:t>
      </w:r>
    </w:p>
    <w:p>
      <w:pPr>
        <w:pStyle w:val="81"/>
        <w:ind w:firstLine="960" w:firstLineChars="400"/>
        <w:rPr>
          <w:rFonts w:hint="eastAsia" w:ascii="仿宋" w:hAnsi="仿宋" w:eastAsia="仿宋" w:cs="仿宋"/>
          <w:sz w:val="24"/>
          <w:highlight w:val="none"/>
          <w:lang w:val="en-US" w:eastAsia="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10项目实施人员一览表；</w:t>
      </w:r>
    </w:p>
    <w:p>
      <w:pPr>
        <w:pStyle w:val="81"/>
        <w:ind w:firstLine="960" w:firstLineChars="400"/>
        <w:rPr>
          <w:rFonts w:hint="default" w:ascii="仿宋" w:hAnsi="仿宋" w:eastAsia="仿宋" w:cs="仿宋"/>
          <w:sz w:val="24"/>
          <w:highlight w:val="none"/>
          <w:lang w:val="en-US" w:eastAsia="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11</w:t>
      </w:r>
      <w:r>
        <w:rPr>
          <w:rFonts w:hint="default" w:ascii="仿宋" w:hAnsi="仿宋" w:eastAsia="仿宋" w:cs="仿宋"/>
          <w:sz w:val="24"/>
          <w:highlight w:val="none"/>
          <w:lang w:val="en-US" w:eastAsia="zh-CN"/>
        </w:rPr>
        <w:t>选配件、专用耗材、售后服务优惠表</w:t>
      </w:r>
      <w:r>
        <w:rPr>
          <w:rFonts w:hint="eastAsia" w:ascii="仿宋" w:hAnsi="仿宋" w:eastAsia="仿宋" w:cs="仿宋"/>
          <w:sz w:val="24"/>
          <w:highlight w:val="none"/>
          <w:lang w:val="en-US" w:eastAsia="zh-CN"/>
        </w:rPr>
        <w:t>；</w:t>
      </w:r>
    </w:p>
    <w:p>
      <w:pPr>
        <w:snapToGrid w:val="0"/>
        <w:spacing w:line="360" w:lineRule="auto"/>
        <w:ind w:left="958" w:leftChars="456" w:firstLine="0" w:firstLineChars="0"/>
        <w:rPr>
          <w:rFonts w:hint="eastAsia" w:ascii="仿宋" w:hAnsi="仿宋" w:eastAsia="仿宋" w:cs="仿宋"/>
          <w:sz w:val="24"/>
          <w:highlight w:val="none"/>
          <w:lang w:val="en-US" w:eastAsia="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12投标人需要说明的其他文件和说明（投标产品的彩页、原厂datasheet、检测报告等）；</w:t>
      </w:r>
    </w:p>
    <w:p>
      <w:pPr>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13</w:t>
      </w:r>
      <w:r>
        <w:rPr>
          <w:rFonts w:hint="eastAsia" w:ascii="仿宋" w:hAnsi="仿宋" w:eastAsia="仿宋" w:cs="仿宋"/>
          <w:sz w:val="24"/>
          <w:highlight w:val="none"/>
          <w:lang w:val="zh-CN"/>
        </w:rPr>
        <w:t>政府采购供应商廉洁自律承诺书；</w:t>
      </w:r>
    </w:p>
    <w:p>
      <w:pPr>
        <w:snapToGrid w:val="0"/>
        <w:spacing w:line="360" w:lineRule="auto"/>
        <w:ind w:firstLine="480" w:firstLineChars="200"/>
        <w:rPr>
          <w:rFonts w:ascii="仿宋" w:hAnsi="仿宋" w:eastAsia="仿宋" w:cs="仿宋"/>
          <w:sz w:val="24"/>
          <w:highlight w:val="none"/>
          <w:u w:val="single"/>
          <w:lang w:val="zh-CN"/>
        </w:rPr>
      </w:pPr>
      <w:r>
        <w:rPr>
          <w:rFonts w:hint="eastAsia" w:ascii="仿宋" w:hAnsi="仿宋" w:eastAsia="仿宋" w:cs="仿宋"/>
          <w:kern w:val="0"/>
          <w:sz w:val="24"/>
          <w:highlight w:val="none"/>
          <w:lang w:val="zh-CN"/>
        </w:rPr>
        <w:t>11.</w:t>
      </w:r>
      <w:r>
        <w:rPr>
          <w:rFonts w:hint="eastAsia" w:ascii="仿宋" w:hAnsi="仿宋" w:eastAsia="仿宋" w:cs="仿宋"/>
          <w:kern w:val="0"/>
          <w:sz w:val="24"/>
          <w:highlight w:val="none"/>
        </w:rPr>
        <w:t>3</w:t>
      </w:r>
      <w:r>
        <w:rPr>
          <w:rFonts w:hint="eastAsia" w:ascii="仿宋" w:hAnsi="仿宋" w:eastAsia="仿宋" w:cs="仿宋"/>
          <w:b/>
          <w:sz w:val="24"/>
          <w:highlight w:val="none"/>
        </w:rPr>
        <w:t>报价文件：</w:t>
      </w:r>
      <w:r>
        <w:rPr>
          <w:rFonts w:hint="eastAsia" w:ascii="仿宋" w:hAnsi="仿宋" w:eastAsia="仿宋" w:cs="仿宋"/>
          <w:sz w:val="24"/>
          <w:highlight w:val="none"/>
        </w:rPr>
        <w:t xml:space="preserve"> </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11.3.1开标一览表（报价表）；</w:t>
      </w:r>
    </w:p>
    <w:p>
      <w:pPr>
        <w:snapToGrid w:val="0"/>
        <w:spacing w:line="360" w:lineRule="auto"/>
        <w:ind w:firstLine="960" w:firstLineChars="4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11.3.2投标报价明细表；</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11.3.2中小企业声明函。</w:t>
      </w:r>
    </w:p>
    <w:p>
      <w:pPr>
        <w:spacing w:line="360" w:lineRule="auto"/>
        <w:ind w:firstLine="723" w:firstLineChars="300"/>
        <w:rPr>
          <w:rFonts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spacing w:line="360" w:lineRule="auto"/>
        <w:ind w:firstLine="723" w:firstLineChars="300"/>
        <w:rPr>
          <w:rFonts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131"/>
        <w:snapToGrid w:val="0"/>
        <w:spacing w:before="0"/>
        <w:ind w:firstLine="0" w:firstLineChars="0"/>
        <w:outlineLvl w:val="0"/>
        <w:rPr>
          <w:rFonts w:ascii="仿宋" w:hAnsi="仿宋" w:eastAsia="仿宋" w:cs="仿宋"/>
          <w:b/>
          <w:szCs w:val="24"/>
          <w:highlight w:val="none"/>
        </w:rPr>
      </w:pPr>
      <w:bookmarkStart w:id="19" w:name="_Toc29331"/>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bookmarkEnd w:id="19"/>
    </w:p>
    <w:p>
      <w:pPr>
        <w:spacing w:line="360" w:lineRule="auto"/>
        <w:ind w:firstLine="480" w:firstLineChars="200"/>
        <w:rPr>
          <w:rFonts w:ascii="仿宋" w:hAnsi="仿宋" w:eastAsia="仿宋" w:cs="仿宋"/>
          <w:b/>
          <w:sz w:val="24"/>
          <w:highlight w:val="none"/>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13.投标文件的签署、盖章</w:t>
      </w:r>
    </w:p>
    <w:p>
      <w:pPr>
        <w:pStyle w:val="131"/>
        <w:snapToGrid w:val="0"/>
        <w:spacing w:before="0"/>
        <w:ind w:firstLine="480"/>
        <w:rPr>
          <w:rFonts w:ascii="仿宋" w:hAnsi="仿宋" w:eastAsia="仿宋" w:cs="仿宋"/>
          <w:b/>
          <w:highlight w:val="none"/>
        </w:rPr>
      </w:pPr>
      <w:r>
        <w:rPr>
          <w:rFonts w:hint="eastAsia" w:ascii="仿宋" w:hAnsi="仿宋" w:eastAsia="仿宋" w:cs="仿宋"/>
          <w:szCs w:val="24"/>
          <w:highlight w:val="none"/>
        </w:rPr>
        <w:t>13.1投标文件按照招标文件第六部分格式要</w:t>
      </w:r>
      <w:r>
        <w:rPr>
          <w:rFonts w:hint="eastAsia" w:ascii="仿宋" w:hAnsi="仿宋" w:eastAsia="仿宋" w:cs="仿宋"/>
          <w:highlight w:val="none"/>
        </w:rPr>
        <w:t>求进行签署、盖章。</w:t>
      </w:r>
      <w:r>
        <w:rPr>
          <w:rFonts w:hint="eastAsia" w:ascii="仿宋" w:hAnsi="仿宋" w:eastAsia="仿宋" w:cs="仿宋"/>
          <w:b/>
          <w:highlight w:val="none"/>
        </w:rPr>
        <w:t>▲投标人的投标文件未按照招标文件要求签署、盖章的，其投标无效</w:t>
      </w:r>
      <w:r>
        <w:rPr>
          <w:rFonts w:hint="eastAsia" w:ascii="仿宋" w:hAnsi="仿宋" w:eastAsia="仿宋" w:cs="仿宋"/>
          <w:szCs w:val="24"/>
          <w:highlight w:val="none"/>
        </w:rPr>
        <w:t>。</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szCs w:val="24"/>
          <w:highlight w:val="none"/>
        </w:rPr>
      </w:pPr>
      <w:r>
        <w:rPr>
          <w:rFonts w:hint="eastAsia" w:ascii="仿宋" w:hAnsi="仿宋" w:eastAsia="仿宋" w:cs="仿宋"/>
          <w:highlight w:val="none"/>
        </w:rPr>
        <w:t>13.3招标文件对投标文件签署、盖章的要求适用于电子签名。</w:t>
      </w:r>
    </w:p>
    <w:p>
      <w:pPr>
        <w:pStyle w:val="131"/>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14. 投标文件的提交、补充、修改、撤回</w:t>
      </w:r>
    </w:p>
    <w:p>
      <w:pPr>
        <w:pStyle w:val="131"/>
        <w:ind w:firstLine="480"/>
        <w:rPr>
          <w:rFonts w:ascii="仿宋" w:hAnsi="仿宋" w:eastAsia="仿宋" w:cs="仿宋"/>
          <w:szCs w:val="24"/>
          <w:highlight w:val="none"/>
        </w:rPr>
      </w:pPr>
      <w:r>
        <w:rPr>
          <w:rFonts w:hint="eastAsia" w:ascii="仿宋" w:hAnsi="仿宋" w:eastAsia="仿宋" w:cs="仿宋"/>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szCs w:val="24"/>
          <w:highlight w:val="none"/>
        </w:rPr>
      </w:pPr>
      <w:r>
        <w:rPr>
          <w:rFonts w:hint="eastAsia" w:ascii="仿宋" w:hAnsi="仿宋" w:eastAsia="仿宋" w:cs="仿宋"/>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szCs w:val="24"/>
          <w:highlight w:val="none"/>
        </w:rPr>
      </w:pPr>
      <w:r>
        <w:rPr>
          <w:rFonts w:hint="eastAsia" w:ascii="仿宋" w:hAnsi="仿宋" w:eastAsia="仿宋" w:cs="仿宋"/>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15.备份投标文件</w:t>
      </w:r>
    </w:p>
    <w:p>
      <w:pPr>
        <w:pStyle w:val="34"/>
        <w:spacing w:line="360" w:lineRule="auto"/>
        <w:ind w:firstLine="360" w:firstLineChars="150"/>
        <w:rPr>
          <w:rFonts w:ascii="仿宋" w:hAnsi="仿宋" w:eastAsia="仿宋" w:cs="仿宋"/>
          <w:b/>
          <w:sz w:val="24"/>
          <w:szCs w:val="24"/>
          <w:highlight w:val="none"/>
        </w:rPr>
      </w:pPr>
      <w:r>
        <w:rPr>
          <w:rFonts w:hint="eastAsia" w:ascii="仿宋" w:hAnsi="仿宋" w:eastAsia="仿宋" w:cs="仿宋"/>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highlight w:val="none"/>
        </w:rPr>
        <w:t>但采购人、采购机构不强制或变相强制投标人提交备份投标文件。</w:t>
      </w:r>
    </w:p>
    <w:p>
      <w:pPr>
        <w:pStyle w:val="34"/>
        <w:spacing w:line="360" w:lineRule="auto"/>
        <w:ind w:firstLine="480" w:firstLineChars="200"/>
        <w:rPr>
          <w:rFonts w:ascii="仿宋" w:hAnsi="仿宋" w:eastAsia="仿宋" w:cs="仿宋"/>
          <w:b/>
          <w:sz w:val="24"/>
          <w:szCs w:val="24"/>
          <w:highlight w:val="none"/>
        </w:rPr>
      </w:pPr>
      <w:r>
        <w:rPr>
          <w:rFonts w:hint="eastAsia" w:ascii="仿宋" w:hAnsi="仿宋" w:eastAsia="仿宋" w:cs="仿宋"/>
          <w:sz w:val="24"/>
          <w:szCs w:val="24"/>
          <w:highlight w:val="none"/>
        </w:rPr>
        <w:t>15.2备份投标文件须在“政采云投标客户端”制作生成，并储存在</w:t>
      </w:r>
      <w:r>
        <w:rPr>
          <w:rFonts w:hint="eastAsia" w:ascii="仿宋" w:hAnsi="仿宋" w:eastAsia="仿宋" w:cs="仿宋"/>
          <w:sz w:val="24"/>
          <w:highlight w:val="none"/>
        </w:rPr>
        <w:t>U盘</w:t>
      </w:r>
      <w:r>
        <w:rPr>
          <w:rFonts w:hint="eastAsia" w:ascii="仿宋" w:hAnsi="仿宋" w:eastAsia="仿宋" w:cs="仿宋"/>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highlight w:val="none"/>
        </w:rPr>
        <w:t>不符合上述制作、</w:t>
      </w:r>
      <w:r>
        <w:rPr>
          <w:rFonts w:hint="eastAsia" w:ascii="仿宋" w:hAnsi="仿宋" w:eastAsia="仿宋" w:cs="仿宋"/>
          <w:b/>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highlight w:val="none"/>
        </w:rPr>
        <w:t>招标文件第二部分投标人须知前附表规定的备份投标文件送达地点；</w:t>
      </w:r>
      <w:r>
        <w:rPr>
          <w:rFonts w:hint="eastAsia" w:ascii="仿宋" w:hAnsi="仿宋" w:eastAsia="仿宋" w:cs="仿宋"/>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sz w:val="24"/>
          <w:szCs w:val="24"/>
          <w:highlight w:val="none"/>
        </w:rPr>
      </w:pPr>
      <w:r>
        <w:rPr>
          <w:rFonts w:hint="eastAsia" w:ascii="仿宋" w:hAnsi="仿宋" w:eastAsia="仿宋" w:cs="仿宋"/>
          <w:b/>
          <w:sz w:val="24"/>
          <w:szCs w:val="24"/>
          <w:highlight w:val="none"/>
        </w:rPr>
        <w:t>15.5投标人仅提交备份投标文件，没有在电子交易平台传输递交投标文件的，投标无效。</w:t>
      </w:r>
    </w:p>
    <w:p>
      <w:pPr>
        <w:pStyle w:val="131"/>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16.投标文件的无效处理</w:t>
      </w:r>
    </w:p>
    <w:p>
      <w:pPr>
        <w:pStyle w:val="6"/>
        <w:spacing w:line="360" w:lineRule="auto"/>
        <w:ind w:firstLine="360" w:firstLineChars="150"/>
        <w:rPr>
          <w:rFonts w:ascii="仿宋" w:hAnsi="仿宋" w:eastAsia="仿宋" w:cs="仿宋"/>
          <w:szCs w:val="21"/>
          <w:highlight w:val="none"/>
        </w:rPr>
      </w:pPr>
      <w:r>
        <w:rPr>
          <w:rFonts w:hint="eastAsia" w:ascii="仿宋" w:hAnsi="仿宋" w:eastAsia="仿宋" w:cs="仿宋"/>
          <w:szCs w:val="21"/>
          <w:highlight w:val="none"/>
        </w:rPr>
        <w:t>有招标文件第四部分</w:t>
      </w:r>
      <w:r>
        <w:rPr>
          <w:rFonts w:hint="eastAsia" w:ascii="仿宋" w:hAnsi="仿宋" w:eastAsia="仿宋" w:cs="仿宋"/>
          <w:highlight w:val="none"/>
        </w:rPr>
        <w:t>第13项规定</w:t>
      </w:r>
      <w:r>
        <w:rPr>
          <w:rFonts w:hint="eastAsia" w:ascii="仿宋" w:hAnsi="仿宋" w:eastAsia="仿宋" w:cs="仿宋"/>
          <w:szCs w:val="21"/>
          <w:highlight w:val="none"/>
        </w:rPr>
        <w:t>的情形之一的，投标无效：</w:t>
      </w:r>
    </w:p>
    <w:p>
      <w:pPr>
        <w:pStyle w:val="131"/>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17.投标有效期</w:t>
      </w:r>
    </w:p>
    <w:p>
      <w:pPr>
        <w:spacing w:line="360" w:lineRule="auto"/>
        <w:ind w:firstLine="480" w:firstLineChars="200"/>
        <w:rPr>
          <w:rFonts w:ascii="仿宋" w:hAnsi="仿宋" w:eastAsia="仿宋" w:cs="仿宋"/>
          <w:b/>
          <w:sz w:val="24"/>
          <w:szCs w:val="21"/>
          <w:highlight w:val="none"/>
        </w:rPr>
      </w:pPr>
      <w:r>
        <w:rPr>
          <w:rFonts w:hint="eastAsia" w:ascii="仿宋" w:hAnsi="仿宋" w:eastAsia="仿宋" w:cs="仿宋"/>
          <w:sz w:val="24"/>
          <w:szCs w:val="20"/>
          <w:highlight w:val="none"/>
        </w:rPr>
        <w:t>17.1投标有效期为从提交投标文件的截止之日起90天。▲</w:t>
      </w:r>
      <w:r>
        <w:rPr>
          <w:rFonts w:hint="eastAsia" w:ascii="仿宋" w:hAnsi="仿宋" w:eastAsia="仿宋" w:cs="仿宋"/>
          <w:b/>
          <w:sz w:val="24"/>
          <w:szCs w:val="20"/>
          <w:highlight w:val="none"/>
        </w:rPr>
        <w:t>投标人的投标文件中承</w:t>
      </w:r>
      <w:r>
        <w:rPr>
          <w:rFonts w:hint="eastAsia" w:ascii="仿宋" w:hAnsi="仿宋" w:eastAsia="仿宋" w:cs="仿宋"/>
          <w:b/>
          <w:sz w:val="24"/>
          <w:szCs w:val="21"/>
          <w:highlight w:val="none"/>
        </w:rPr>
        <w:t>诺的投标有效期少于招标文件中载明的投标有效期的，投标无效。</w:t>
      </w:r>
    </w:p>
    <w:p>
      <w:pPr>
        <w:pStyle w:val="131"/>
        <w:spacing w:before="0"/>
        <w:ind w:firstLine="480"/>
        <w:rPr>
          <w:rFonts w:ascii="仿宋" w:hAnsi="仿宋" w:eastAsia="仿宋" w:cs="仿宋"/>
          <w:highlight w:val="none"/>
        </w:rPr>
      </w:pPr>
      <w:r>
        <w:rPr>
          <w:rFonts w:hint="eastAsia" w:ascii="仿宋" w:hAnsi="仿宋" w:eastAsia="仿宋" w:cs="仿宋"/>
          <w:highlight w:val="none"/>
        </w:rPr>
        <w:t>17.2投标文件合格投递后，自投标截止日期起，在投标有效期内有效。</w:t>
      </w:r>
    </w:p>
    <w:p>
      <w:pPr>
        <w:pStyle w:val="131"/>
        <w:spacing w:before="0"/>
        <w:ind w:firstLine="480"/>
        <w:rPr>
          <w:rFonts w:ascii="仿宋" w:hAnsi="仿宋" w:eastAsia="仿宋" w:cs="仿宋"/>
          <w:highlight w:val="none"/>
        </w:rPr>
      </w:pPr>
      <w:r>
        <w:rPr>
          <w:rFonts w:hint="eastAsia" w:ascii="仿宋" w:hAnsi="仿宋" w:eastAsia="仿宋" w:cs="仿宋"/>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sz w:val="32"/>
          <w:highlight w:val="none"/>
        </w:rPr>
      </w:pPr>
    </w:p>
    <w:p>
      <w:pPr>
        <w:pStyle w:val="131"/>
        <w:spacing w:before="0"/>
        <w:ind w:firstLine="1928" w:firstLineChars="600"/>
        <w:rPr>
          <w:rFonts w:ascii="仿宋" w:hAnsi="仿宋" w:eastAsia="仿宋" w:cs="仿宋"/>
          <w:b/>
          <w:sz w:val="32"/>
          <w:highlight w:val="none"/>
        </w:rPr>
      </w:pPr>
      <w:r>
        <w:rPr>
          <w:rFonts w:hint="eastAsia" w:ascii="仿宋" w:hAnsi="仿宋" w:eastAsia="仿宋" w:cs="仿宋"/>
          <w:b/>
          <w:sz w:val="32"/>
          <w:highlight w:val="none"/>
        </w:rPr>
        <w:t>四、开标、资格审查与信用信息查询</w:t>
      </w:r>
    </w:p>
    <w:p>
      <w:pPr>
        <w:pStyle w:val="556"/>
        <w:spacing w:before="0" w:line="360" w:lineRule="auto"/>
        <w:ind w:left="0" w:firstLine="241" w:firstLineChars="100"/>
        <w:contextualSpacing/>
        <w:rPr>
          <w:rFonts w:ascii="仿宋" w:hAnsi="仿宋" w:eastAsia="仿宋" w:cs="仿宋"/>
          <w:sz w:val="24"/>
          <w:highlight w:val="none"/>
        </w:rPr>
      </w:pPr>
      <w:r>
        <w:rPr>
          <w:rFonts w:hint="eastAsia" w:ascii="仿宋" w:hAnsi="仿宋" w:eastAsia="仿宋" w:cs="仿宋"/>
          <w:b/>
          <w:sz w:val="24"/>
          <w:szCs w:val="24"/>
          <w:highlight w:val="none"/>
        </w:rPr>
        <w:t>18.开标</w:t>
      </w:r>
      <w:r>
        <w:rPr>
          <w:rFonts w:hint="eastAsia" w:ascii="仿宋" w:hAnsi="仿宋" w:eastAsia="仿宋" w:cs="仿宋"/>
          <w:sz w:val="24"/>
          <w:highlight w:val="none"/>
        </w:rPr>
        <w:t xml:space="preserve"> </w:t>
      </w:r>
    </w:p>
    <w:p>
      <w:pPr>
        <w:pStyle w:val="556"/>
        <w:spacing w:before="0" w:line="360" w:lineRule="auto"/>
        <w:ind w:left="0" w:firstLine="480" w:firstLineChars="200"/>
        <w:contextualSpacing/>
        <w:rPr>
          <w:rFonts w:ascii="仿宋" w:hAnsi="仿宋" w:eastAsia="仿宋" w:cs="仿宋"/>
          <w:sz w:val="24"/>
          <w:highlight w:val="none"/>
        </w:rPr>
      </w:pPr>
      <w:r>
        <w:rPr>
          <w:rFonts w:hint="eastAsia" w:ascii="仿宋" w:hAnsi="仿宋" w:eastAsia="仿宋" w:cs="仿宋"/>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 w:hAnsi="仿宋" w:eastAsia="仿宋" w:cs="仿宋"/>
          <w:sz w:val="24"/>
          <w:highlight w:val="none"/>
        </w:rPr>
      </w:pPr>
      <w:r>
        <w:rPr>
          <w:rFonts w:hint="eastAsia" w:ascii="仿宋" w:hAnsi="仿宋" w:eastAsia="仿宋" w:cs="仿宋"/>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 w:hAnsi="仿宋" w:eastAsia="仿宋" w:cs="仿宋"/>
          <w:b/>
          <w:sz w:val="24"/>
          <w:highlight w:val="none"/>
        </w:rPr>
      </w:pPr>
      <w:r>
        <w:rPr>
          <w:rFonts w:hint="eastAsia" w:ascii="仿宋" w:hAnsi="仿宋" w:eastAsia="仿宋" w:cs="仿宋"/>
          <w:sz w:val="24"/>
          <w:highlight w:val="none"/>
        </w:rPr>
        <w:t>　18.3</w:t>
      </w:r>
      <w:r>
        <w:rPr>
          <w:rFonts w:hint="eastAsia" w:ascii="仿宋" w:hAnsi="仿宋" w:eastAsia="仿宋" w:cs="仿宋"/>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highlight w:val="none"/>
        </w:rPr>
      </w:pPr>
      <w:r>
        <w:rPr>
          <w:rFonts w:hint="eastAsia" w:ascii="仿宋" w:hAnsi="仿宋" w:eastAsia="仿宋" w:cs="仿宋"/>
          <w:b/>
          <w:sz w:val="24"/>
          <w:szCs w:val="20"/>
          <w:highlight w:val="none"/>
        </w:rPr>
        <w:t>　19、资格审查</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t>19.2</w:t>
      </w:r>
      <w:r>
        <w:rPr>
          <w:rFonts w:hint="eastAsia" w:ascii="仿宋" w:hAnsi="仿宋" w:eastAsia="仿宋" w:cs="仿宋"/>
          <w:sz w:val="24"/>
          <w:highlight w:val="none"/>
        </w:rPr>
        <w:t>采购人或采购机构依据法律法规和招标文件的规定，对投标人的基本资格条件、特定资格条件进行审查。</w:t>
      </w:r>
    </w:p>
    <w:p>
      <w:pPr>
        <w:pStyle w:val="131"/>
        <w:spacing w:before="0"/>
        <w:ind w:firstLine="480"/>
        <w:rPr>
          <w:rFonts w:ascii="仿宋" w:hAnsi="仿宋" w:eastAsia="仿宋" w:cs="仿宋"/>
          <w:highlight w:val="none"/>
        </w:rPr>
      </w:pPr>
      <w:r>
        <w:rPr>
          <w:rFonts w:hint="eastAsia" w:ascii="仿宋" w:hAnsi="仿宋" w:eastAsia="仿宋" w:cs="仿宋"/>
          <w:kern w:val="0"/>
          <w:szCs w:val="24"/>
          <w:highlight w:val="none"/>
        </w:rPr>
        <w:t>19.3投标人未按照招标文件要求提供与</w:t>
      </w:r>
      <w:r>
        <w:rPr>
          <w:rFonts w:hint="eastAsia" w:ascii="仿宋" w:hAnsi="仿宋" w:eastAsia="仿宋" w:cs="仿宋"/>
          <w:highlight w:val="none"/>
        </w:rPr>
        <w:t>基本资格条件、特定资格条件相应的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131"/>
        <w:spacing w:before="0"/>
        <w:ind w:firstLine="480"/>
        <w:rPr>
          <w:rFonts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4对未通过资格审查的投标人，采购人或采购机构告知其未通过的原因。</w:t>
      </w:r>
    </w:p>
    <w:p>
      <w:pPr>
        <w:pStyle w:val="131"/>
        <w:spacing w:before="0"/>
        <w:ind w:firstLine="480"/>
        <w:rPr>
          <w:rFonts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5合格投标人不足3家的，不再评标。</w:t>
      </w:r>
    </w:p>
    <w:p>
      <w:pPr>
        <w:pStyle w:val="131"/>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20、信用信息查询</w:t>
      </w:r>
    </w:p>
    <w:p>
      <w:pPr>
        <w:pStyle w:val="131"/>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highlight w:val="none"/>
        </w:rPr>
      </w:pPr>
      <w:r>
        <w:rPr>
          <w:rFonts w:hint="eastAsia" w:ascii="仿宋" w:hAnsi="仿宋" w:eastAsia="仿宋" w:cs="仿宋"/>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highlight w:val="none"/>
        </w:rPr>
        <w:t>。</w:t>
      </w:r>
    </w:p>
    <w:p>
      <w:pPr>
        <w:pStyle w:val="131"/>
        <w:spacing w:before="0"/>
        <w:ind w:firstLine="0" w:firstLineChars="0"/>
        <w:rPr>
          <w:rFonts w:ascii="仿宋" w:hAnsi="仿宋" w:eastAsia="仿宋" w:cs="仿宋"/>
          <w:kern w:val="0"/>
          <w:szCs w:val="24"/>
          <w:highlight w:val="none"/>
        </w:rPr>
      </w:pPr>
    </w:p>
    <w:p>
      <w:pPr>
        <w:snapToGrid w:val="0"/>
        <w:spacing w:line="360" w:lineRule="auto"/>
        <w:jc w:val="center"/>
        <w:outlineLvl w:val="0"/>
        <w:rPr>
          <w:rFonts w:ascii="仿宋" w:hAnsi="仿宋" w:eastAsia="仿宋" w:cs="仿宋"/>
          <w:b/>
          <w:sz w:val="36"/>
          <w:szCs w:val="36"/>
          <w:highlight w:val="none"/>
        </w:rPr>
      </w:pPr>
      <w:bookmarkStart w:id="20" w:name="_Toc28639"/>
      <w:r>
        <w:rPr>
          <w:rFonts w:hint="eastAsia" w:ascii="仿宋" w:hAnsi="仿宋" w:eastAsia="仿宋" w:cs="仿宋"/>
          <w:b/>
          <w:sz w:val="36"/>
          <w:szCs w:val="36"/>
          <w:highlight w:val="none"/>
        </w:rPr>
        <w:t>五、评标</w:t>
      </w:r>
      <w:bookmarkEnd w:id="20"/>
    </w:p>
    <w:p>
      <w:pPr>
        <w:spacing w:line="360" w:lineRule="auto"/>
        <w:rPr>
          <w:rFonts w:ascii="仿宋" w:hAnsi="仿宋" w:eastAsia="仿宋" w:cs="仿宋"/>
          <w:b/>
          <w:sz w:val="24"/>
          <w:highlight w:val="none"/>
        </w:rPr>
      </w:pPr>
      <w:bookmarkStart w:id="21" w:name="_Toc91899903"/>
      <w:r>
        <w:rPr>
          <w:rFonts w:hint="eastAsia" w:ascii="仿宋" w:hAnsi="仿宋" w:eastAsia="仿宋" w:cs="仿宋"/>
          <w:b/>
          <w:sz w:val="24"/>
          <w:highlight w:val="none"/>
        </w:rPr>
        <w:t>21.</w:t>
      </w:r>
      <w:r>
        <w:rPr>
          <w:rFonts w:hint="eastAsia" w:ascii="仿宋" w:hAnsi="仿宋" w:eastAsia="仿宋" w:cs="仿宋"/>
          <w:highlight w:val="none"/>
        </w:rPr>
        <w:t xml:space="preserve"> </w:t>
      </w:r>
      <w:r>
        <w:rPr>
          <w:rFonts w:hint="eastAsia" w:ascii="仿宋" w:hAnsi="仿宋" w:eastAsia="仿宋" w:cs="仿宋"/>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rPr>
        <w:t>详见招标文件第四部分评标办法。</w:t>
      </w:r>
    </w:p>
    <w:p>
      <w:pPr>
        <w:spacing w:line="360" w:lineRule="auto"/>
        <w:rPr>
          <w:rFonts w:ascii="仿宋" w:hAnsi="仿宋" w:eastAsia="仿宋" w:cs="仿宋"/>
          <w:b/>
          <w:sz w:val="24"/>
          <w:highlight w:val="none"/>
        </w:rPr>
      </w:pPr>
    </w:p>
    <w:p>
      <w:pPr>
        <w:snapToGrid w:val="0"/>
        <w:spacing w:line="360" w:lineRule="auto"/>
        <w:jc w:val="center"/>
        <w:outlineLvl w:val="0"/>
        <w:rPr>
          <w:rFonts w:ascii="仿宋" w:hAnsi="仿宋" w:eastAsia="仿宋" w:cs="仿宋"/>
          <w:b/>
          <w:sz w:val="36"/>
          <w:szCs w:val="36"/>
          <w:highlight w:val="none"/>
        </w:rPr>
      </w:pPr>
      <w:bookmarkStart w:id="22" w:name="_Toc15261"/>
      <w:r>
        <w:rPr>
          <w:rFonts w:hint="eastAsia" w:ascii="仿宋" w:hAnsi="仿宋" w:eastAsia="仿宋" w:cs="仿宋"/>
          <w:b/>
          <w:sz w:val="36"/>
          <w:szCs w:val="36"/>
          <w:highlight w:val="none"/>
        </w:rPr>
        <w:t>六、定 标</w:t>
      </w:r>
      <w:bookmarkEnd w:id="22"/>
    </w:p>
    <w:p>
      <w:pPr>
        <w:pStyle w:val="6"/>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22. 确定中标供应商</w:t>
      </w:r>
    </w:p>
    <w:p>
      <w:pPr>
        <w:pStyle w:val="131"/>
        <w:snapToGrid w:val="0"/>
        <w:spacing w:before="0"/>
        <w:ind w:firstLine="480"/>
        <w:rPr>
          <w:rFonts w:ascii="仿宋" w:hAnsi="仿宋" w:eastAsia="仿宋" w:cs="仿宋"/>
          <w:b/>
          <w:szCs w:val="24"/>
          <w:highlight w:val="none"/>
        </w:rPr>
      </w:pPr>
      <w:r>
        <w:rPr>
          <w:rFonts w:hint="eastAsia" w:ascii="仿宋" w:hAnsi="仿宋" w:eastAsia="仿宋" w:cs="仿宋"/>
          <w:szCs w:val="24"/>
          <w:highlight w:val="none"/>
        </w:rPr>
        <w:t>采购人将自收到评审报告之日起5个工作日内通过电子交易平台在评审报告推荐的中标候选人中按顺序确定中标供应商。</w:t>
      </w:r>
    </w:p>
    <w:p>
      <w:pPr>
        <w:pStyle w:val="131"/>
        <w:snapToGrid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sz w:val="32"/>
          <w:highlight w:val="none"/>
        </w:rPr>
      </w:pPr>
    </w:p>
    <w:p>
      <w:pPr>
        <w:snapToGrid w:val="0"/>
        <w:spacing w:line="360" w:lineRule="auto"/>
        <w:ind w:left="120" w:leftChars="57" w:firstLine="482" w:firstLineChars="150"/>
        <w:jc w:val="center"/>
        <w:rPr>
          <w:rFonts w:ascii="仿宋" w:hAnsi="仿宋" w:eastAsia="仿宋" w:cs="仿宋"/>
          <w:b/>
          <w:sz w:val="32"/>
          <w:highlight w:val="none"/>
        </w:rPr>
      </w:pPr>
      <w:r>
        <w:rPr>
          <w:rFonts w:hint="eastAsia" w:ascii="仿宋" w:hAnsi="仿宋" w:eastAsia="仿宋" w:cs="仿宋"/>
          <w:b/>
          <w:sz w:val="32"/>
          <w:highlight w:val="none"/>
        </w:rPr>
        <w:t>七、合同授予</w:t>
      </w:r>
    </w:p>
    <w:p>
      <w:pPr>
        <w:pStyle w:val="6"/>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 xml:space="preserve">24. </w:t>
      </w:r>
      <w:r>
        <w:rPr>
          <w:rFonts w:hint="eastAsia" w:ascii="仿宋" w:hAnsi="仿宋" w:eastAsia="仿宋" w:cs="仿宋"/>
          <w:highlight w:val="none"/>
        </w:rPr>
        <w:t>合同主要条款详见第五部分拟签订的合同文本。</w:t>
      </w:r>
    </w:p>
    <w:p>
      <w:pPr>
        <w:pStyle w:val="6"/>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25. 合同的签订</w:t>
      </w:r>
    </w:p>
    <w:p>
      <w:pPr>
        <w:widowControl/>
        <w:shd w:val="clear" w:color="auto" w:fill="FFFFFF"/>
        <w:spacing w:line="360" w:lineRule="auto"/>
        <w:ind w:firstLine="480"/>
        <w:jc w:val="left"/>
        <w:rPr>
          <w:rFonts w:ascii="仿宋" w:hAnsi="仿宋" w:eastAsia="仿宋" w:cs="仿宋"/>
          <w:kern w:val="0"/>
          <w:sz w:val="24"/>
          <w:highlight w:val="none"/>
        </w:rPr>
      </w:pPr>
      <w:r>
        <w:rPr>
          <w:rFonts w:hint="eastAsia" w:ascii="仿宋" w:hAnsi="仿宋" w:eastAsia="仿宋" w:cs="仿宋"/>
          <w:sz w:val="24"/>
          <w:highlight w:val="none"/>
        </w:rPr>
        <w:t>25.1</w:t>
      </w:r>
      <w:r>
        <w:rPr>
          <w:rFonts w:hint="eastAsia" w:ascii="仿宋" w:hAnsi="仿宋" w:eastAsia="仿宋" w:cs="仿宋"/>
          <w:kern w:val="0"/>
          <w:sz w:val="24"/>
          <w:highlight w:val="none"/>
        </w:rPr>
        <w:t xml:space="preserve"> 采购人与中标人应当通过电子交易平台在中标通知书发出之日起</w:t>
      </w:r>
      <w:r>
        <w:rPr>
          <w:rFonts w:hint="eastAsia" w:ascii="仿宋" w:hAnsi="仿宋" w:eastAsia="仿宋" w:cs="仿宋"/>
          <w:kern w:val="0"/>
          <w:sz w:val="24"/>
          <w:highlight w:val="none"/>
          <w:lang w:val="en-US" w:eastAsia="zh-CN"/>
        </w:rPr>
        <w:t>二</w:t>
      </w:r>
      <w:r>
        <w:rPr>
          <w:rFonts w:hint="eastAsia" w:ascii="仿宋" w:hAnsi="仿宋" w:eastAsia="仿宋" w:cs="仿宋"/>
          <w:kern w:val="0"/>
          <w:sz w:val="24"/>
          <w:highlight w:val="none"/>
        </w:rPr>
        <w:t>十日内，按照招标文件确定的事项签订政府采购合同，并在合同签订之日起2个工作日内依法发布合同公告。</w:t>
      </w:r>
    </w:p>
    <w:p>
      <w:pPr>
        <w:pStyle w:val="131"/>
        <w:snapToGrid w:val="0"/>
        <w:spacing w:before="0"/>
        <w:ind w:firstLine="480"/>
        <w:rPr>
          <w:rFonts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6"/>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ascii="仿宋" w:hAnsi="仿宋" w:eastAsia="仿宋" w:cs="仿宋"/>
          <w:b/>
          <w:sz w:val="24"/>
          <w:highlight w:val="none"/>
        </w:rPr>
      </w:pPr>
      <w:r>
        <w:rPr>
          <w:rFonts w:hint="eastAsia" w:ascii="仿宋" w:hAnsi="仿宋" w:eastAsia="仿宋" w:cs="仿宋"/>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highlight w:val="none"/>
        </w:rPr>
        <w:t>。履约保证金的数额不得超过政府采购合同金额的1%。鼓励和支持供应商以银行、保险公司出具的保函形式提供履约保证金。</w:t>
      </w:r>
      <w:r>
        <w:rPr>
          <w:rFonts w:hint="eastAsia" w:ascii="仿宋" w:hAnsi="仿宋" w:eastAsia="仿宋" w:cs="仿宋"/>
          <w:b/>
          <w:sz w:val="24"/>
          <w:highlight w:val="none"/>
        </w:rPr>
        <w:t>采购人不得拒收履约保函。</w:t>
      </w:r>
    </w:p>
    <w:p>
      <w:pPr>
        <w:snapToGrid w:val="0"/>
        <w:spacing w:line="360" w:lineRule="auto"/>
        <w:ind w:firstLine="3357" w:firstLineChars="1045"/>
        <w:rPr>
          <w:rFonts w:ascii="仿宋" w:hAnsi="仿宋" w:eastAsia="仿宋" w:cs="仿宋"/>
          <w:b/>
          <w:sz w:val="32"/>
          <w:highlight w:val="none"/>
        </w:rPr>
      </w:pPr>
    </w:p>
    <w:p>
      <w:pPr>
        <w:snapToGrid w:val="0"/>
        <w:spacing w:line="360" w:lineRule="auto"/>
        <w:ind w:firstLine="3357" w:firstLineChars="1045"/>
        <w:rPr>
          <w:rFonts w:ascii="仿宋" w:hAnsi="仿宋" w:eastAsia="仿宋" w:cs="仿宋"/>
          <w:b/>
          <w:sz w:val="24"/>
          <w:highlight w:val="none"/>
        </w:rPr>
      </w:pPr>
      <w:r>
        <w:rPr>
          <w:rFonts w:hint="eastAsia" w:ascii="仿宋" w:hAnsi="仿宋" w:eastAsia="仿宋" w:cs="仿宋"/>
          <w:b/>
          <w:sz w:val="32"/>
          <w:highlight w:val="none"/>
        </w:rPr>
        <w:t>八、电子交易活动的中止</w:t>
      </w:r>
    </w:p>
    <w:p>
      <w:pPr>
        <w:pStyle w:val="131"/>
        <w:snapToGrid w:val="0"/>
        <w:spacing w:before="0"/>
        <w:ind w:firstLine="0" w:firstLineChars="0"/>
        <w:rPr>
          <w:rFonts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7.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 xml:space="preserve">27.1电子交易平台发生故障而无法登录访问的； </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27.2电子交易平台应用或数据库出现错误，不能进行正常操作的；</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27.3电子交易平台发现严重安全漏洞，有潜在泄密危险的；</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 xml:space="preserve">27.4病毒发作导致不能进行正常操作的； </w:t>
      </w:r>
    </w:p>
    <w:p>
      <w:pPr>
        <w:pStyle w:val="131"/>
        <w:snapToGrid w:val="0"/>
        <w:spacing w:before="0"/>
        <w:ind w:firstLine="480"/>
        <w:rPr>
          <w:rFonts w:ascii="仿宋" w:hAnsi="仿宋" w:eastAsia="仿宋" w:cs="仿宋"/>
          <w:highlight w:val="none"/>
        </w:rPr>
      </w:pPr>
      <w:r>
        <w:rPr>
          <w:rFonts w:hint="eastAsia" w:ascii="仿宋" w:hAnsi="仿宋" w:eastAsia="仿宋" w:cs="仿宋"/>
          <w:highlight w:val="none"/>
        </w:rPr>
        <w:t>27.5其他无法保证电子交易的公平、公正和安全的情况。</w:t>
      </w:r>
    </w:p>
    <w:p>
      <w:pPr>
        <w:pStyle w:val="131"/>
        <w:snapToGrid w:val="0"/>
        <w:spacing w:before="0"/>
        <w:ind w:firstLine="0" w:firstLineChars="0"/>
        <w:rPr>
          <w:rFonts w:ascii="仿宋" w:hAnsi="仿宋" w:eastAsia="仿宋" w:cs="仿宋"/>
          <w:highlight w:val="none"/>
        </w:rPr>
      </w:pPr>
      <w:r>
        <w:rPr>
          <w:rFonts w:hint="eastAsia" w:ascii="仿宋" w:hAnsi="仿宋" w:eastAsia="仿宋" w:cs="仿宋"/>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highlight w:val="none"/>
        </w:rPr>
      </w:pPr>
    </w:p>
    <w:p>
      <w:pPr>
        <w:snapToGrid w:val="0"/>
        <w:spacing w:line="360" w:lineRule="auto"/>
        <w:ind w:left="120" w:leftChars="57" w:firstLine="482" w:firstLineChars="150"/>
        <w:jc w:val="center"/>
        <w:rPr>
          <w:rFonts w:ascii="仿宋" w:hAnsi="仿宋" w:eastAsia="仿宋" w:cs="仿宋"/>
          <w:b/>
          <w:sz w:val="32"/>
          <w:highlight w:val="none"/>
        </w:rPr>
      </w:pPr>
      <w:r>
        <w:rPr>
          <w:rFonts w:hint="eastAsia" w:ascii="仿宋" w:hAnsi="仿宋" w:eastAsia="仿宋" w:cs="仿宋"/>
          <w:b/>
          <w:sz w:val="32"/>
          <w:highlight w:val="none"/>
        </w:rPr>
        <w:t>九、验收</w:t>
      </w:r>
    </w:p>
    <w:p>
      <w:pPr>
        <w:pStyle w:val="6"/>
        <w:spacing w:line="360" w:lineRule="auto"/>
        <w:ind w:firstLine="0" w:firstLineChars="0"/>
        <w:rPr>
          <w:rFonts w:ascii="仿宋" w:hAnsi="仿宋" w:eastAsia="仿宋" w:cs="仿宋"/>
          <w:b/>
          <w:highlight w:val="none"/>
        </w:rPr>
      </w:pPr>
      <w:r>
        <w:rPr>
          <w:rFonts w:hint="eastAsia" w:ascii="仿宋" w:hAnsi="仿宋" w:eastAsia="仿宋" w:cs="仿宋"/>
          <w:b/>
          <w:highlight w:val="none"/>
        </w:rPr>
        <w:t>29.验收</w:t>
      </w:r>
    </w:p>
    <w:p>
      <w:pPr>
        <w:tabs>
          <w:tab w:val="left" w:pos="0"/>
        </w:tabs>
        <w:spacing w:line="360" w:lineRule="auto"/>
        <w:ind w:firstLine="480"/>
        <w:rPr>
          <w:rFonts w:ascii="仿宋" w:hAnsi="仿宋" w:eastAsia="仿宋" w:cs="仿宋"/>
          <w:kern w:val="0"/>
          <w:sz w:val="24"/>
          <w:highlight w:val="none"/>
        </w:rPr>
      </w:pPr>
      <w:r>
        <w:rPr>
          <w:rFonts w:hint="eastAsia" w:ascii="仿宋" w:hAnsi="仿宋" w:eastAsia="仿宋" w:cs="仿宋"/>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highlight w:val="none"/>
        </w:rPr>
      </w:pPr>
      <w:r>
        <w:rPr>
          <w:rFonts w:hint="eastAsia" w:ascii="仿宋" w:hAnsi="仿宋" w:eastAsia="仿宋" w:cs="仿宋"/>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highlight w:val="none"/>
        </w:rPr>
      </w:pPr>
      <w:r>
        <w:rPr>
          <w:rFonts w:hint="eastAsia" w:ascii="仿宋" w:hAnsi="仿宋" w:eastAsia="仿宋" w:cs="仿宋"/>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highlight w:val="none"/>
        </w:rPr>
      </w:pPr>
      <w:r>
        <w:rPr>
          <w:rFonts w:hint="eastAsia" w:ascii="仿宋" w:hAnsi="仿宋" w:eastAsia="仿宋" w:cs="仿宋"/>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仿宋" w:hAnsi="仿宋" w:eastAsia="仿宋" w:cs="仿宋"/>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3" w:name="_Hlt68073093"/>
      <w:bookmarkEnd w:id="23"/>
      <w:bookmarkStart w:id="24" w:name="_Hlt75236290"/>
      <w:bookmarkEnd w:id="24"/>
      <w:bookmarkStart w:id="25" w:name="_Hlt68072998"/>
      <w:bookmarkEnd w:id="25"/>
      <w:bookmarkStart w:id="26" w:name="_Hlt68057669"/>
      <w:bookmarkEnd w:id="26"/>
      <w:bookmarkStart w:id="27" w:name="_Hlt74729768"/>
      <w:bookmarkEnd w:id="27"/>
      <w:bookmarkStart w:id="28" w:name="_Hlt74707468"/>
      <w:bookmarkEnd w:id="28"/>
      <w:bookmarkStart w:id="29" w:name="_Hlt75236101"/>
      <w:bookmarkEnd w:id="29"/>
      <w:bookmarkStart w:id="30" w:name="_Hlt75236011"/>
      <w:bookmarkEnd w:id="30"/>
      <w:bookmarkStart w:id="31" w:name="_Hlt74714665"/>
      <w:bookmarkEnd w:id="31"/>
      <w:bookmarkStart w:id="32" w:name="_Hlt74730295"/>
      <w:bookmarkEnd w:id="32"/>
      <w:bookmarkStart w:id="33" w:name="_Hlt68403820"/>
      <w:bookmarkEnd w:id="33"/>
      <w:bookmarkStart w:id="34" w:name="_Hlt68072990"/>
      <w:bookmarkEnd w:id="34"/>
    </w:p>
    <w:bookmarkEnd w:id="14"/>
    <w:bookmarkEnd w:id="15"/>
    <w:p>
      <w:pPr>
        <w:numPr>
          <w:ilvl w:val="0"/>
          <w:numId w:val="1"/>
        </w:numPr>
        <w:spacing w:line="360" w:lineRule="auto"/>
        <w:jc w:val="center"/>
        <w:outlineLvl w:val="0"/>
        <w:rPr>
          <w:rFonts w:ascii="仿宋" w:hAnsi="仿宋" w:eastAsia="仿宋" w:cs="仿宋"/>
          <w:b/>
          <w:sz w:val="36"/>
          <w:szCs w:val="36"/>
          <w:highlight w:val="none"/>
        </w:rPr>
      </w:pPr>
      <w:bookmarkStart w:id="35" w:name="_Toc27567"/>
      <w:bookmarkStart w:id="36" w:name="第四部分"/>
      <w:r>
        <w:rPr>
          <w:rFonts w:hint="eastAsia" w:ascii="仿宋" w:hAnsi="仿宋" w:eastAsia="仿宋" w:cs="仿宋"/>
          <w:b/>
          <w:sz w:val="36"/>
          <w:szCs w:val="36"/>
          <w:highlight w:val="none"/>
        </w:rPr>
        <w:t xml:space="preserve">  采购需求</w:t>
      </w:r>
      <w:bookmarkEnd w:id="35"/>
    </w:p>
    <w:p>
      <w:pPr>
        <w:snapToGrid w:val="0"/>
        <w:spacing w:line="360" w:lineRule="auto"/>
        <w:ind w:firstLine="480" w:firstLineChars="200"/>
        <w:jc w:val="left"/>
        <w:rPr>
          <w:rFonts w:ascii="仿宋" w:hAnsi="仿宋" w:eastAsia="仿宋"/>
          <w:color w:val="000000"/>
          <w:sz w:val="24"/>
          <w:highlight w:val="none"/>
        </w:rPr>
      </w:pPr>
      <w:r>
        <w:rPr>
          <w:rFonts w:hint="eastAsia" w:ascii="仿宋" w:hAnsi="仿宋" w:eastAsia="仿宋"/>
          <w:color w:val="000000"/>
          <w:sz w:val="24"/>
          <w:highlight w:val="none"/>
        </w:rPr>
        <w:t>属于实质性要求条款的，请用符号“▲”标明，否则属于非实质性要求。</w:t>
      </w:r>
    </w:p>
    <w:p>
      <w:pPr>
        <w:numPr>
          <w:ilvl w:val="0"/>
          <w:numId w:val="2"/>
        </w:numPr>
        <w:adjustRightInd/>
        <w:spacing w:line="360" w:lineRule="auto"/>
        <w:jc w:val="center"/>
        <w:rPr>
          <w:rFonts w:ascii="仿宋" w:hAnsi="仿宋" w:eastAsia="仿宋" w:cs="宋体"/>
          <w:b/>
          <w:color w:val="000000"/>
          <w:sz w:val="24"/>
          <w:highlight w:val="none"/>
        </w:rPr>
      </w:pPr>
      <w:r>
        <w:rPr>
          <w:rFonts w:hint="eastAsia" w:ascii="仿宋" w:hAnsi="仿宋" w:eastAsia="仿宋" w:cs="宋体"/>
          <w:b/>
          <w:color w:val="000000"/>
          <w:sz w:val="24"/>
          <w:highlight w:val="none"/>
        </w:rPr>
        <w:t>招标一览表</w:t>
      </w:r>
    </w:p>
    <w:tbl>
      <w:tblPr>
        <w:tblStyle w:val="62"/>
        <w:tblW w:w="4995" w:type="pct"/>
        <w:jc w:val="center"/>
        <w:tblLayout w:type="autofit"/>
        <w:tblCellMar>
          <w:top w:w="0" w:type="dxa"/>
          <w:left w:w="0" w:type="dxa"/>
          <w:bottom w:w="0" w:type="dxa"/>
          <w:right w:w="0" w:type="dxa"/>
        </w:tblCellMar>
      </w:tblPr>
      <w:tblGrid>
        <w:gridCol w:w="694"/>
        <w:gridCol w:w="2699"/>
        <w:gridCol w:w="1919"/>
        <w:gridCol w:w="794"/>
        <w:gridCol w:w="975"/>
        <w:gridCol w:w="1220"/>
      </w:tblGrid>
      <w:tr>
        <w:tblPrEx>
          <w:tblCellMar>
            <w:top w:w="0" w:type="dxa"/>
            <w:left w:w="0" w:type="dxa"/>
            <w:bottom w:w="0" w:type="dxa"/>
            <w:right w:w="0" w:type="dxa"/>
          </w:tblCellMar>
        </w:tblPrEx>
        <w:trPr>
          <w:cantSplit/>
          <w:trHeight w:val="459" w:hRule="atLeast"/>
          <w:jc w:val="center"/>
        </w:trPr>
        <w:tc>
          <w:tcPr>
            <w:tcW w:w="4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宋体"/>
                <w:bCs/>
                <w:color w:val="000000"/>
                <w:sz w:val="24"/>
                <w:highlight w:val="none"/>
              </w:rPr>
            </w:pPr>
            <w:r>
              <w:rPr>
                <w:rFonts w:hint="eastAsia" w:ascii="仿宋" w:hAnsi="仿宋" w:eastAsia="仿宋" w:cs="宋体"/>
                <w:bCs/>
                <w:color w:val="000000"/>
                <w:sz w:val="24"/>
                <w:highlight w:val="none"/>
              </w:rPr>
              <w:t>序号</w:t>
            </w:r>
          </w:p>
        </w:tc>
        <w:tc>
          <w:tcPr>
            <w:tcW w:w="162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宋体"/>
                <w:bCs/>
                <w:color w:val="000000"/>
                <w:sz w:val="24"/>
                <w:highlight w:val="none"/>
              </w:rPr>
            </w:pPr>
            <w:r>
              <w:rPr>
                <w:rFonts w:hint="eastAsia" w:ascii="仿宋" w:hAnsi="仿宋" w:eastAsia="仿宋" w:cs="宋体"/>
                <w:bCs/>
                <w:color w:val="000000"/>
                <w:sz w:val="24"/>
                <w:highlight w:val="none"/>
              </w:rPr>
              <w:t>名称</w:t>
            </w:r>
          </w:p>
        </w:tc>
        <w:tc>
          <w:tcPr>
            <w:tcW w:w="115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宋体"/>
                <w:bCs/>
                <w:color w:val="000000"/>
                <w:sz w:val="24"/>
                <w:highlight w:val="none"/>
              </w:rPr>
            </w:pPr>
            <w:r>
              <w:rPr>
                <w:rFonts w:hint="eastAsia" w:ascii="仿宋" w:hAnsi="仿宋" w:eastAsia="仿宋" w:cs="宋体"/>
                <w:bCs/>
                <w:color w:val="000000"/>
                <w:sz w:val="24"/>
                <w:highlight w:val="none"/>
              </w:rPr>
              <w:t>预算金额（万元）</w:t>
            </w:r>
          </w:p>
        </w:tc>
        <w:tc>
          <w:tcPr>
            <w:tcW w:w="47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bCs/>
                <w:sz w:val="24"/>
                <w:highlight w:val="none"/>
              </w:rPr>
            </w:pPr>
            <w:r>
              <w:rPr>
                <w:rFonts w:hint="eastAsia" w:ascii="仿宋" w:hAnsi="仿宋" w:eastAsia="仿宋" w:cs="仿宋"/>
                <w:bCs/>
                <w:sz w:val="24"/>
                <w:highlight w:val="none"/>
              </w:rPr>
              <w:t>单位</w:t>
            </w:r>
          </w:p>
        </w:tc>
        <w:tc>
          <w:tcPr>
            <w:tcW w:w="58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bCs/>
                <w:sz w:val="24"/>
                <w:highlight w:val="none"/>
              </w:rPr>
            </w:pPr>
            <w:r>
              <w:rPr>
                <w:rFonts w:hint="eastAsia" w:ascii="仿宋" w:hAnsi="仿宋" w:eastAsia="仿宋" w:cs="仿宋"/>
                <w:bCs/>
                <w:sz w:val="24"/>
                <w:highlight w:val="none"/>
              </w:rPr>
              <w:t>数量</w:t>
            </w:r>
          </w:p>
        </w:tc>
        <w:tc>
          <w:tcPr>
            <w:tcW w:w="73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bCs/>
                <w:sz w:val="24"/>
                <w:highlight w:val="none"/>
              </w:rPr>
            </w:pPr>
            <w:r>
              <w:rPr>
                <w:rFonts w:hint="eastAsia" w:ascii="仿宋" w:hAnsi="仿宋" w:eastAsia="仿宋" w:cs="仿宋"/>
                <w:bCs/>
                <w:sz w:val="24"/>
                <w:highlight w:val="none"/>
              </w:rPr>
              <w:t>备注</w:t>
            </w:r>
          </w:p>
        </w:tc>
      </w:tr>
      <w:tr>
        <w:tblPrEx>
          <w:tblCellMar>
            <w:top w:w="0" w:type="dxa"/>
            <w:left w:w="0" w:type="dxa"/>
            <w:bottom w:w="0" w:type="dxa"/>
            <w:right w:w="0" w:type="dxa"/>
          </w:tblCellMar>
        </w:tblPrEx>
        <w:trPr>
          <w:cantSplit/>
          <w:trHeight w:val="561" w:hRule="atLeast"/>
          <w:jc w:val="center"/>
        </w:trPr>
        <w:tc>
          <w:tcPr>
            <w:tcW w:w="4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宋体"/>
                <w:bCs/>
                <w:sz w:val="24"/>
                <w:highlight w:val="none"/>
              </w:rPr>
            </w:pPr>
            <w:r>
              <w:rPr>
                <w:rFonts w:hint="eastAsia" w:ascii="仿宋" w:hAnsi="仿宋" w:eastAsia="仿宋" w:cs="宋体"/>
                <w:bCs/>
                <w:sz w:val="24"/>
                <w:highlight w:val="none"/>
              </w:rPr>
              <w:t>1</w:t>
            </w:r>
          </w:p>
        </w:tc>
        <w:tc>
          <w:tcPr>
            <w:tcW w:w="162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宋体"/>
                <w:bCs/>
                <w:sz w:val="24"/>
                <w:highlight w:val="none"/>
              </w:rPr>
            </w:pPr>
            <w:r>
              <w:rPr>
                <w:rFonts w:hint="eastAsia" w:ascii="仿宋" w:hAnsi="仿宋" w:eastAsia="仿宋" w:cs="宋体"/>
                <w:bCs/>
                <w:sz w:val="24"/>
                <w:highlight w:val="none"/>
                <w:lang w:eastAsia="zh-CN"/>
              </w:rPr>
              <w:t>复合手术室设备</w:t>
            </w:r>
            <w:r>
              <w:rPr>
                <w:rFonts w:hint="eastAsia" w:ascii="仿宋" w:hAnsi="仿宋" w:eastAsia="仿宋" w:cs="宋体"/>
                <w:bCs/>
                <w:sz w:val="24"/>
                <w:highlight w:val="none"/>
              </w:rPr>
              <w:tab/>
            </w:r>
          </w:p>
        </w:tc>
        <w:tc>
          <w:tcPr>
            <w:tcW w:w="115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sz w:val="24"/>
                <w:highlight w:val="none"/>
                <w:lang w:val="en-US" w:eastAsia="zh-CN"/>
              </w:rPr>
            </w:pPr>
            <w:r>
              <w:rPr>
                <w:rFonts w:hint="eastAsia" w:ascii="仿宋" w:hAnsi="仿宋" w:eastAsia="仿宋" w:cs="宋体"/>
                <w:sz w:val="24"/>
                <w:highlight w:val="none"/>
                <w:lang w:val="en-US" w:eastAsia="zh-CN"/>
              </w:rPr>
              <w:t>1940</w:t>
            </w:r>
          </w:p>
        </w:tc>
        <w:tc>
          <w:tcPr>
            <w:tcW w:w="47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sz w:val="24"/>
                <w:highlight w:val="none"/>
                <w:lang w:val="en-US" w:eastAsia="zh-CN"/>
              </w:rPr>
            </w:pPr>
            <w:r>
              <w:rPr>
                <w:rFonts w:hint="eastAsia" w:ascii="仿宋" w:hAnsi="仿宋" w:eastAsia="仿宋" w:cs="宋体"/>
                <w:sz w:val="24"/>
                <w:highlight w:val="none"/>
                <w:lang w:val="en-US" w:eastAsia="zh-CN"/>
              </w:rPr>
              <w:t>1</w:t>
            </w:r>
          </w:p>
        </w:tc>
        <w:tc>
          <w:tcPr>
            <w:tcW w:w="58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批</w:t>
            </w:r>
          </w:p>
        </w:tc>
        <w:tc>
          <w:tcPr>
            <w:tcW w:w="73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sz w:val="24"/>
                <w:highlight w:val="none"/>
              </w:rPr>
            </w:pPr>
          </w:p>
        </w:tc>
      </w:tr>
    </w:tbl>
    <w:p>
      <w:pPr>
        <w:snapToGrid w:val="0"/>
        <w:spacing w:before="120" w:beforeLines="50" w:after="120" w:afterLines="50"/>
        <w:jc w:val="left"/>
        <w:outlineLvl w:val="1"/>
        <w:rPr>
          <w:highlight w:val="none"/>
        </w:rPr>
      </w:pPr>
      <w:r>
        <w:rPr>
          <w:rFonts w:hint="eastAsia" w:ascii="仿宋" w:hAnsi="仿宋" w:eastAsia="仿宋"/>
          <w:b/>
          <w:sz w:val="24"/>
          <w:highlight w:val="none"/>
        </w:rPr>
        <w:t>二、商务要求</w:t>
      </w:r>
    </w:p>
    <w:tbl>
      <w:tblPr>
        <w:tblStyle w:val="62"/>
        <w:tblW w:w="846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75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highlight w:val="none"/>
              </w:rPr>
            </w:pPr>
            <w:r>
              <w:rPr>
                <w:rFonts w:hint="eastAsia" w:ascii="仿宋" w:hAnsi="仿宋" w:eastAsia="仿宋" w:cs="宋体"/>
                <w:bCs/>
                <w:color w:val="auto"/>
                <w:kern w:val="0"/>
                <w:sz w:val="24"/>
                <w:highlight w:val="none"/>
              </w:rPr>
              <w:t>1</w:t>
            </w:r>
          </w:p>
        </w:tc>
        <w:tc>
          <w:tcPr>
            <w:tcW w:w="7531" w:type="dxa"/>
            <w:vAlign w:val="center"/>
          </w:tcPr>
          <w:p>
            <w:pPr>
              <w:widowControl/>
              <w:rPr>
                <w:rFonts w:ascii="仿宋" w:hAnsi="仿宋" w:eastAsia="仿宋" w:cs="宋体"/>
                <w:color w:val="auto"/>
                <w:sz w:val="24"/>
                <w:highlight w:val="none"/>
              </w:rPr>
            </w:pPr>
            <w:r>
              <w:rPr>
                <w:rFonts w:hint="eastAsia" w:ascii="仿宋" w:hAnsi="仿宋" w:eastAsia="仿宋" w:cs="宋体"/>
                <w:bCs/>
                <w:color w:val="auto"/>
                <w:kern w:val="0"/>
                <w:sz w:val="24"/>
                <w:highlight w:val="none"/>
                <w:lang w:val="en-US" w:eastAsia="zh-CN"/>
              </w:rPr>
              <w:t>整机</w:t>
            </w:r>
            <w:r>
              <w:rPr>
                <w:rFonts w:hint="eastAsia" w:ascii="仿宋" w:hAnsi="仿宋" w:eastAsia="仿宋" w:cs="宋体"/>
                <w:bCs/>
                <w:color w:val="auto"/>
                <w:kern w:val="0"/>
                <w:sz w:val="24"/>
                <w:highlight w:val="none"/>
              </w:rPr>
              <w:t>保修≥</w:t>
            </w:r>
            <w:r>
              <w:rPr>
                <w:rFonts w:hint="eastAsia" w:ascii="仿宋" w:hAnsi="仿宋" w:eastAsia="仿宋" w:cs="宋体"/>
                <w:bCs/>
                <w:color w:val="auto"/>
                <w:kern w:val="0"/>
                <w:sz w:val="24"/>
                <w:highlight w:val="none"/>
                <w:lang w:val="en-US" w:eastAsia="zh-CN"/>
              </w:rPr>
              <w:t>1</w:t>
            </w:r>
            <w:r>
              <w:rPr>
                <w:rFonts w:hint="eastAsia" w:ascii="仿宋" w:hAnsi="仿宋" w:eastAsia="仿宋" w:cs="宋体"/>
                <w:bCs/>
                <w:color w:val="auto"/>
                <w:kern w:val="0"/>
                <w:sz w:val="24"/>
                <w:highlight w:val="none"/>
              </w:rPr>
              <w:t>年，供方需提供保修期后每年整机保修费用，单独报价，由生产商提供承诺，并且保证价格为真实、有效，并作为售后服务的评标依据，保修期后需要保修的，不高于此价格（如技术需求中有相关要求，以技术需求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highlight w:val="none"/>
              </w:rPr>
            </w:pPr>
            <w:r>
              <w:rPr>
                <w:rFonts w:hint="eastAsia" w:ascii="仿宋" w:hAnsi="仿宋" w:eastAsia="仿宋" w:cs="宋体"/>
                <w:bCs/>
                <w:color w:val="auto"/>
                <w:kern w:val="0"/>
                <w:sz w:val="24"/>
                <w:highlight w:val="none"/>
              </w:rPr>
              <w:t>2</w:t>
            </w:r>
          </w:p>
        </w:tc>
        <w:tc>
          <w:tcPr>
            <w:tcW w:w="7531" w:type="dxa"/>
            <w:vAlign w:val="center"/>
          </w:tcPr>
          <w:p>
            <w:pPr>
              <w:widowControl/>
              <w:rPr>
                <w:rFonts w:ascii="仿宋" w:hAnsi="仿宋" w:eastAsia="仿宋" w:cs="宋体"/>
                <w:color w:val="auto"/>
                <w:sz w:val="24"/>
                <w:highlight w:val="none"/>
              </w:rPr>
            </w:pPr>
            <w:r>
              <w:rPr>
                <w:rFonts w:hint="eastAsia" w:ascii="仿宋" w:hAnsi="仿宋" w:eastAsia="仿宋" w:cs="宋体"/>
                <w:bCs/>
                <w:color w:val="auto"/>
                <w:kern w:val="0"/>
                <w:sz w:val="24"/>
                <w:highlight w:val="none"/>
              </w:rPr>
              <w:t>投标时提供耗材和易损件的最优惠单独报价清单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7531" w:type="dxa"/>
          </w:tcPr>
          <w:p>
            <w:pPr>
              <w:widowControl/>
              <w:rPr>
                <w:rFonts w:hint="default" w:ascii="仿宋" w:hAnsi="仿宋" w:eastAsia="仿宋" w:cs="宋体"/>
                <w:color w:val="auto"/>
                <w:sz w:val="24"/>
                <w:highlight w:val="none"/>
                <w:lang w:val="en-US" w:eastAsia="zh-CN"/>
              </w:rPr>
            </w:pPr>
            <w:r>
              <w:rPr>
                <w:rFonts w:hint="eastAsia" w:ascii="仿宋" w:hAnsi="仿宋" w:eastAsia="仿宋" w:cs="宋体"/>
                <w:bCs/>
                <w:color w:val="auto"/>
                <w:kern w:val="0"/>
                <w:sz w:val="24"/>
                <w:highlight w:val="none"/>
              </w:rPr>
              <w:t>付款条件：</w:t>
            </w:r>
            <w:r>
              <w:rPr>
                <w:rFonts w:hint="eastAsia" w:ascii="仿宋" w:hAnsi="仿宋" w:eastAsia="仿宋" w:cs="宋体"/>
                <w:bCs/>
                <w:color w:val="auto"/>
                <w:kern w:val="0"/>
                <w:sz w:val="24"/>
                <w:highlight w:val="none"/>
                <w:lang w:val="en-US" w:eastAsia="zh-CN"/>
              </w:rPr>
              <w:t>合同生效以及具备实施条件后七个工作日内支付合同预付款40%，余款在设备验收合格一周内付清。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7531" w:type="dxa"/>
          </w:tcPr>
          <w:p>
            <w:pPr>
              <w:widowControl/>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交货期：签订合同后</w:t>
            </w:r>
            <w:r>
              <w:rPr>
                <w:rFonts w:hint="eastAsia" w:ascii="仿宋" w:hAnsi="仿宋" w:eastAsia="仿宋" w:cs="宋体"/>
                <w:bCs/>
                <w:color w:val="auto"/>
                <w:kern w:val="0"/>
                <w:sz w:val="24"/>
                <w:highlight w:val="none"/>
                <w:lang w:val="en-US" w:eastAsia="zh-CN"/>
              </w:rPr>
              <w:t>3</w:t>
            </w:r>
            <w:r>
              <w:rPr>
                <w:rFonts w:hint="eastAsia" w:ascii="仿宋" w:hAnsi="仿宋" w:eastAsia="仿宋" w:cs="宋体"/>
                <w:bCs/>
                <w:color w:val="auto"/>
                <w:kern w:val="0"/>
                <w:sz w:val="24"/>
                <w:highlight w:val="none"/>
              </w:rPr>
              <w:t>个月内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33" w:type="dxa"/>
            <w:vAlign w:val="center"/>
          </w:tcPr>
          <w:p>
            <w:pPr>
              <w:widowControl/>
              <w:jc w:val="center"/>
              <w:rPr>
                <w:rFonts w:ascii="仿宋" w:hAnsi="仿宋" w:eastAsia="仿宋"/>
                <w:sz w:val="24"/>
                <w:highlight w:val="none"/>
              </w:rPr>
            </w:pPr>
            <w:r>
              <w:rPr>
                <w:rFonts w:hint="eastAsia" w:ascii="仿宋" w:hAnsi="仿宋" w:eastAsia="仿宋"/>
                <w:sz w:val="24"/>
                <w:highlight w:val="none"/>
              </w:rPr>
              <w:t>5</w:t>
            </w:r>
          </w:p>
        </w:tc>
        <w:tc>
          <w:tcPr>
            <w:tcW w:w="7531" w:type="dxa"/>
            <w:vAlign w:val="center"/>
          </w:tcPr>
          <w:p>
            <w:pPr>
              <w:widowControl/>
              <w:rPr>
                <w:rFonts w:ascii="仿宋" w:hAnsi="仿宋" w:eastAsia="仿宋" w:cs="宋体"/>
                <w:bCs/>
                <w:kern w:val="0"/>
                <w:sz w:val="24"/>
                <w:highlight w:val="none"/>
              </w:rPr>
            </w:pPr>
            <w:r>
              <w:rPr>
                <w:rFonts w:hint="eastAsia" w:ascii="仿宋" w:hAnsi="仿宋" w:eastAsia="仿宋" w:cs="宋体"/>
                <w:bCs/>
                <w:kern w:val="0"/>
                <w:sz w:val="24"/>
                <w:highlight w:val="none"/>
              </w:rPr>
              <w:t>技术支持：中标商应提供免费软件升级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933" w:type="dxa"/>
            <w:vAlign w:val="center"/>
          </w:tcPr>
          <w:p>
            <w:pPr>
              <w:widowControl/>
              <w:jc w:val="center"/>
              <w:rPr>
                <w:rFonts w:ascii="仿宋" w:hAnsi="仿宋" w:eastAsia="仿宋"/>
                <w:sz w:val="24"/>
                <w:highlight w:val="none"/>
              </w:rPr>
            </w:pPr>
            <w:r>
              <w:rPr>
                <w:rFonts w:hint="eastAsia" w:ascii="仿宋" w:hAnsi="仿宋" w:eastAsia="仿宋"/>
                <w:sz w:val="24"/>
                <w:highlight w:val="none"/>
              </w:rPr>
              <w:t>6</w:t>
            </w:r>
          </w:p>
        </w:tc>
        <w:tc>
          <w:tcPr>
            <w:tcW w:w="7531" w:type="dxa"/>
            <w:vAlign w:val="center"/>
          </w:tcPr>
          <w:p>
            <w:pPr>
              <w:widowControl/>
              <w:rPr>
                <w:rFonts w:ascii="仿宋" w:hAnsi="仿宋" w:eastAsia="仿宋" w:cs="宋体"/>
                <w:bCs/>
                <w:kern w:val="0"/>
                <w:sz w:val="24"/>
                <w:highlight w:val="none"/>
              </w:rPr>
            </w:pPr>
            <w:r>
              <w:rPr>
                <w:rFonts w:hint="eastAsia" w:ascii="仿宋" w:hAnsi="仿宋" w:eastAsia="仿宋" w:cs="宋体"/>
                <w:bCs/>
                <w:kern w:val="0"/>
                <w:sz w:val="24"/>
                <w:highlight w:val="none"/>
              </w:rPr>
              <w:t>随机资料：提供全套用于安装、操作、维护技术文件，提供使用说明书，维修保养说明书，提供软件操作手册，提供电子版说明书。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sz w:val="24"/>
                <w:highlight w:val="none"/>
              </w:rPr>
            </w:pPr>
            <w:r>
              <w:rPr>
                <w:rFonts w:hint="eastAsia" w:ascii="仿宋" w:hAnsi="仿宋" w:eastAsia="仿宋"/>
                <w:sz w:val="24"/>
                <w:highlight w:val="none"/>
              </w:rPr>
              <w:t>7</w:t>
            </w:r>
          </w:p>
        </w:tc>
        <w:tc>
          <w:tcPr>
            <w:tcW w:w="7531" w:type="dxa"/>
            <w:vAlign w:val="center"/>
          </w:tcPr>
          <w:p>
            <w:pPr>
              <w:widowControl/>
              <w:rPr>
                <w:rFonts w:ascii="仿宋" w:hAnsi="仿宋" w:eastAsia="仿宋" w:cs="宋体"/>
                <w:bCs/>
                <w:kern w:val="0"/>
                <w:sz w:val="24"/>
                <w:highlight w:val="none"/>
              </w:rPr>
            </w:pPr>
            <w:r>
              <w:rPr>
                <w:rFonts w:hint="eastAsia" w:ascii="仿宋" w:hAnsi="仿宋" w:eastAsia="仿宋" w:cs="宋体"/>
                <w:bCs/>
                <w:kern w:val="0"/>
                <w:sz w:val="24"/>
                <w:highlight w:val="none"/>
              </w:rPr>
              <w:t>售后服务：1、保修期内的维护保养次数：每年不少于2次；2、零配件供应≥</w:t>
            </w:r>
            <w:r>
              <w:rPr>
                <w:rFonts w:hint="eastAsia" w:ascii="仿宋" w:hAnsi="仿宋" w:eastAsia="仿宋" w:cs="宋体"/>
                <w:bCs/>
                <w:kern w:val="0"/>
                <w:sz w:val="24"/>
                <w:highlight w:val="none"/>
                <w:lang w:val="en-US" w:eastAsia="zh-CN"/>
              </w:rPr>
              <w:t>8</w:t>
            </w:r>
            <w:r>
              <w:rPr>
                <w:rFonts w:hint="eastAsia" w:ascii="仿宋" w:hAnsi="仿宋" w:eastAsia="仿宋" w:cs="宋体"/>
                <w:bCs/>
                <w:kern w:val="0"/>
                <w:sz w:val="24"/>
                <w:highlight w:val="none"/>
              </w:rPr>
              <w:t>年；3、在设备整个使用期内，卖方应确保设备的正常使用。4、投标人应在投标文件中应详细说明其服务计划及收费标准，提供维修点的分布情况，及配件供应情况。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sz w:val="24"/>
                <w:highlight w:val="none"/>
              </w:rPr>
            </w:pPr>
            <w:r>
              <w:rPr>
                <w:rFonts w:hint="eastAsia" w:ascii="仿宋" w:hAnsi="仿宋" w:eastAsia="仿宋"/>
                <w:sz w:val="24"/>
                <w:highlight w:val="none"/>
              </w:rPr>
              <w:t>8</w:t>
            </w:r>
          </w:p>
        </w:tc>
        <w:tc>
          <w:tcPr>
            <w:tcW w:w="7531" w:type="dxa"/>
            <w:vAlign w:val="center"/>
          </w:tcPr>
          <w:p>
            <w:pPr>
              <w:widowControl/>
              <w:rPr>
                <w:rFonts w:ascii="仿宋" w:hAnsi="仿宋" w:eastAsia="仿宋" w:cs="宋体"/>
                <w:sz w:val="24"/>
                <w:highlight w:val="none"/>
              </w:rPr>
            </w:pPr>
            <w:r>
              <w:rPr>
                <w:rFonts w:hint="eastAsia" w:ascii="仿宋" w:hAnsi="仿宋" w:eastAsia="仿宋" w:cs="宋体"/>
                <w:bCs/>
                <w:kern w:val="0"/>
                <w:sz w:val="24"/>
                <w:highlight w:val="none"/>
              </w:rPr>
              <w:t>中标方提供符合临床需求的操作使用培训和维修维护培训，费用含在投标价格内。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sz w:val="24"/>
                <w:highlight w:val="none"/>
              </w:rPr>
            </w:pPr>
            <w:r>
              <w:rPr>
                <w:rFonts w:hint="eastAsia" w:ascii="仿宋" w:hAnsi="仿宋" w:eastAsia="仿宋"/>
                <w:sz w:val="24"/>
                <w:highlight w:val="none"/>
              </w:rPr>
              <w:t>9</w:t>
            </w:r>
          </w:p>
        </w:tc>
        <w:tc>
          <w:tcPr>
            <w:tcW w:w="7531" w:type="dxa"/>
            <w:vAlign w:val="center"/>
          </w:tcPr>
          <w:p>
            <w:pPr>
              <w:widowControl/>
              <w:rPr>
                <w:rFonts w:ascii="仿宋" w:hAnsi="仿宋" w:eastAsia="仿宋" w:cs="宋体"/>
                <w:bCs/>
                <w:kern w:val="0"/>
                <w:sz w:val="24"/>
                <w:highlight w:val="none"/>
              </w:rPr>
            </w:pPr>
            <w:r>
              <w:rPr>
                <w:rFonts w:hint="eastAsia" w:ascii="仿宋" w:hAnsi="仿宋" w:eastAsia="仿宋"/>
                <w:sz w:val="24"/>
                <w:highlight w:val="none"/>
              </w:rPr>
              <w:t>验收：1、</w:t>
            </w:r>
            <w:r>
              <w:rPr>
                <w:rFonts w:ascii="仿宋" w:hAnsi="仿宋" w:eastAsia="仿宋"/>
                <w:sz w:val="24"/>
                <w:highlight w:val="none"/>
              </w:rPr>
              <w:t>供货方应提供设备的有效检验文件，经买方认可后，与设备性能指标、合同内容一起作为设备验收标准。买方对设备验收合格后，双方共同签署验收</w:t>
            </w:r>
            <w:r>
              <w:rPr>
                <w:rFonts w:hint="eastAsia" w:ascii="仿宋" w:hAnsi="仿宋" w:eastAsia="仿宋"/>
                <w:sz w:val="24"/>
                <w:highlight w:val="none"/>
              </w:rPr>
              <w:t>单</w:t>
            </w:r>
            <w:r>
              <w:rPr>
                <w:rFonts w:ascii="仿宋" w:hAnsi="仿宋" w:eastAsia="仿宋"/>
                <w:sz w:val="24"/>
                <w:highlight w:val="none"/>
              </w:rPr>
              <w:t>。验收中发现设备达不到验收标准或合同规定的性能指标，卖方必须更换设备。并且赔偿由此给用户造成的损失</w:t>
            </w:r>
            <w:r>
              <w:rPr>
                <w:rFonts w:hint="eastAsia" w:ascii="仿宋" w:hAnsi="仿宋" w:eastAsia="仿宋"/>
                <w:sz w:val="24"/>
                <w:highlight w:val="none"/>
              </w:rPr>
              <w:t>。2、</w:t>
            </w:r>
            <w:r>
              <w:rPr>
                <w:rFonts w:ascii="仿宋" w:hAnsi="仿宋" w:eastAsia="仿宋"/>
                <w:sz w:val="24"/>
                <w:highlight w:val="none"/>
              </w:rPr>
              <w:t>验收费用由产品投标人负担。</w:t>
            </w:r>
          </w:p>
        </w:tc>
      </w:tr>
    </w:tbl>
    <w:p>
      <w:pPr>
        <w:rPr>
          <w:highlight w:val="none"/>
        </w:rPr>
      </w:pPr>
    </w:p>
    <w:p>
      <w:pPr>
        <w:snapToGrid w:val="0"/>
        <w:spacing w:before="120" w:beforeLines="50" w:after="120" w:afterLines="50"/>
        <w:jc w:val="left"/>
        <w:outlineLvl w:val="1"/>
        <w:rPr>
          <w:rFonts w:ascii="仿宋" w:hAnsi="仿宋" w:eastAsia="仿宋"/>
          <w:b/>
          <w:sz w:val="24"/>
          <w:highlight w:val="none"/>
        </w:rPr>
      </w:pPr>
      <w:r>
        <w:rPr>
          <w:rFonts w:hint="eastAsia" w:ascii="仿宋" w:hAnsi="仿宋" w:eastAsia="仿宋"/>
          <w:b/>
          <w:sz w:val="24"/>
          <w:highlight w:val="none"/>
        </w:rPr>
        <w:t>三：技术要求</w:t>
      </w:r>
    </w:p>
    <w:p>
      <w:pPr>
        <w:adjustRightInd/>
        <w:spacing w:line="360" w:lineRule="auto"/>
        <w:rPr>
          <w:rFonts w:hint="default"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eastAsia="zh-CN"/>
        </w:rPr>
        <w:t>复合手术室设备</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1批</w:t>
      </w:r>
    </w:p>
    <w:tbl>
      <w:tblPr>
        <w:tblStyle w:val="62"/>
        <w:tblW w:w="884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2"/>
        <w:gridCol w:w="7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1002" w:type="dxa"/>
            <w:vAlign w:val="center"/>
          </w:tcPr>
          <w:p>
            <w:pPr>
              <w:widowControl/>
              <w:jc w:val="center"/>
              <w:rPr>
                <w:rFonts w:hint="eastAsia"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序号</w:t>
            </w:r>
          </w:p>
        </w:tc>
        <w:tc>
          <w:tcPr>
            <w:tcW w:w="7847" w:type="dxa"/>
            <w:vAlign w:val="center"/>
          </w:tcPr>
          <w:p>
            <w:pPr>
              <w:widowControl/>
              <w:jc w:val="left"/>
              <w:rPr>
                <w:rFonts w:hint="default"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849" w:type="dxa"/>
            <w:gridSpan w:val="2"/>
            <w:vAlign w:val="center"/>
          </w:tcPr>
          <w:p>
            <w:pPr>
              <w:widowControl/>
              <w:jc w:val="both"/>
              <w:rPr>
                <w:rFonts w:hint="default"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品目1：医用血管造影X线机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一</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设备名称：全数字化通用型平板血管造影系统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二</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数量</w:t>
            </w:r>
            <w:r>
              <w:rPr>
                <w:rFonts w:hint="eastAsia" w:ascii="仿宋" w:hAnsi="仿宋" w:eastAsia="仿宋"/>
                <w:sz w:val="24"/>
                <w:highlight w:val="none"/>
                <w:lang w:eastAsia="zh-CN"/>
              </w:rPr>
              <w:t>：</w:t>
            </w:r>
            <w:r>
              <w:rPr>
                <w:rFonts w:ascii="仿宋" w:hAnsi="仿宋" w:eastAsia="仿宋"/>
                <w:sz w:val="24"/>
                <w:highlight w:val="none"/>
              </w:rPr>
              <w:t>壹套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三</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设备用途：主要用于心，脑和外周血管疾病的诊断和治疗。可满足临床对血管造影和介入治疗的各种要求。能进行胸部，四肢，神经血管造影，具有血管的实时减影。要求图像质量好，存储容量大，射线剂量低，操作灵活方便，技术含量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ascii="仿宋" w:hAnsi="仿宋" w:eastAsia="仿宋"/>
                <w:sz w:val="24"/>
                <w:highlight w:val="none"/>
              </w:rPr>
            </w:pPr>
          </w:p>
          <w:p>
            <w:pPr>
              <w:widowControl/>
              <w:jc w:val="center"/>
              <w:rPr>
                <w:rFonts w:hint="default" w:ascii="仿宋" w:hAnsi="仿宋" w:eastAsia="仿宋"/>
                <w:sz w:val="24"/>
                <w:highlight w:val="none"/>
                <w:lang w:val="en-US" w:eastAsia="zh-CN"/>
              </w:rPr>
            </w:pPr>
            <w:r>
              <w:rPr>
                <w:rFonts w:ascii="仿宋" w:hAnsi="仿宋" w:eastAsia="仿宋"/>
                <w:sz w:val="24"/>
                <w:highlight w:val="none"/>
              </w:rPr>
              <w:t>四</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主要组成</w:t>
            </w:r>
            <w:r>
              <w:rPr>
                <w:rFonts w:hint="eastAsia" w:ascii="仿宋" w:hAnsi="仿宋" w:eastAsia="仿宋"/>
                <w:sz w:val="24"/>
                <w:highlight w:val="none"/>
                <w:lang w:eastAsia="zh-CN"/>
              </w:rPr>
              <w:t>：</w:t>
            </w:r>
            <w:r>
              <w:rPr>
                <w:rFonts w:ascii="仿宋" w:hAnsi="仿宋" w:eastAsia="仿宋"/>
                <w:sz w:val="24"/>
                <w:highlight w:val="none"/>
              </w:rPr>
              <w:t>多轴落地式C臂机架，高压发生器，球管，数字化探测器，能够完全满足数字化平板采集特点的数字图像处理系统，存储系统，控制操作系统，防护设备，连接电缆以及附属设备。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五</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投标厂商需提供投标机型的“国内认证”即 NMPA认证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六</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技术规格</w:t>
            </w:r>
            <w:r>
              <w:rPr>
                <w:rFonts w:hint="eastAsia" w:ascii="仿宋" w:hAnsi="仿宋" w:eastAsia="仿宋"/>
                <w:sz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机架系统: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智能机器人C臂多轴落地机架系统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机架多位置预设,存储位置不少于≥80 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最大患者覆盖范围≥200cm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非旋转状态下C臂转速（RAO/LAO）≥25°/s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C臂头位旋转采集速度≥60°/秒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C臂侧位旋转采集速度≥60°/秒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1.7</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高速三维采集模式下，机架最快旋转速度≥90°/秒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1.8</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机架可以进行360度旋转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1.9</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机架纵向移动速度≥24cm/s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1.10</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具有智能控制系统可以控制机架和导管床的运动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CRA≥ 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CAU≥ 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RAO≥ 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LAO≥ 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SID可变，最大SID≥130cm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drawing>
                <wp:anchor distT="0" distB="0" distL="0" distR="0" simplePos="0" relativeHeight="251661312"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2" name="IM 4"/>
                  <wp:cNvGraphicFramePr/>
                  <a:graphic xmlns:a="http://schemas.openxmlformats.org/drawingml/2006/main">
                    <a:graphicData uri="http://schemas.openxmlformats.org/drawingml/2006/picture">
                      <pic:pic xmlns:pic="http://schemas.openxmlformats.org/drawingml/2006/picture">
                        <pic:nvPicPr>
                          <pic:cNvPr id="2" name="IM 4"/>
                          <pic:cNvPicPr/>
                        </pic:nvPicPr>
                        <pic:blipFill>
                          <a:blip r:embed="rId26"/>
                          <a:stretch>
                            <a:fillRect/>
                          </a:stretch>
                        </pic:blipFill>
                        <pic:spPr>
                          <a:xfrm>
                            <a:off x="0" y="0"/>
                            <a:ext cx="5274564" cy="9143"/>
                          </a:xfrm>
                          <a:prstGeom prst="rect">
                            <a:avLst/>
                          </a:prstGeom>
                        </pic:spPr>
                      </pic:pic>
                    </a:graphicData>
                  </a:graphic>
                </wp:anchor>
              </w:drawing>
            </w:r>
            <w:r>
              <w:rPr>
                <w:rFonts w:hint="eastAsia" w:ascii="仿宋" w:hAnsi="仿宋" w:eastAsia="仿宋"/>
                <w:sz w:val="24"/>
                <w:highlight w:val="none"/>
                <w:lang w:val="en-US" w:eastAsia="zh-CN"/>
              </w:rPr>
              <w:t>1</w:t>
            </w:r>
            <w:r>
              <w:rPr>
                <w:rFonts w:ascii="仿宋" w:hAnsi="仿宋" w:eastAsia="仿宋"/>
                <w:sz w:val="24"/>
                <w:highlight w:val="none"/>
              </w:rPr>
              <w:t>.16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C臂最大开口距离（平板探测器距离准直器的距离）≥ 95.5cm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1.17</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C臂等中心点高度可变，C臂等中心点到地面最小距离≤104cm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1.18</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C臂等中心点高度可变，C臂等中心点到地面最大距离≥150cm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1.19</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机架可移至多种停泊位,机架可与检查床完全分离，便于开展外科手术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1.20</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为最大程度降低手术室感染风险，机架机身需具备专门的纳米抗感染涂层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1.21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准直器和平板探测器具备跟踪旋转技术，当机架和手术床位置发生变化时准直器和平板探测器可跟踪旋转，保证无论投照角度如何，图像始终保持正直无偏转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2</w:t>
            </w:r>
          </w:p>
        </w:tc>
        <w:tc>
          <w:tcPr>
            <w:tcW w:w="7847" w:type="dxa"/>
            <w:vAlign w:val="top"/>
          </w:tcPr>
          <w:p>
            <w:pPr>
              <w:widowControl/>
              <w:rPr>
                <w:rFonts w:hint="default" w:ascii="仿宋" w:hAnsi="仿宋" w:eastAsia="仿宋"/>
                <w:sz w:val="24"/>
                <w:highlight w:val="none"/>
                <w:lang w:val="en-US" w:eastAsia="zh-CN"/>
              </w:rPr>
            </w:pPr>
            <w:r>
              <w:rPr>
                <w:rFonts w:hint="eastAsia" w:ascii="仿宋" w:hAnsi="仿宋" w:eastAsia="仿宋"/>
                <w:sz w:val="24"/>
                <w:highlight w:val="none"/>
                <w:lang w:val="en-US" w:eastAsia="zh-CN"/>
              </w:rPr>
              <w:t>具备</w:t>
            </w:r>
            <w:r>
              <w:rPr>
                <w:rFonts w:ascii="仿宋" w:hAnsi="仿宋" w:eastAsia="仿宋"/>
                <w:sz w:val="24"/>
                <w:highlight w:val="none"/>
              </w:rPr>
              <w:t>外科手术床接口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控制系统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3.1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检查室具备控制系统及电子显示屏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3.2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检查室控制系统可进行采集条件，对比度，亮度，边缘增强、电子遮光器等参数设置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3.3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配备手柄，便于医生操作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X 线高压发生器装置：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发生器功率≥100KW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最大管电流支持≥1000mA （100KV/100KW）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高频逆变频率≥100KHz</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最大管电压≥125KV</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最小管电压≤40KV</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最短脉冲时间≤</w:t>
            </w:r>
            <w:r>
              <w:rPr>
                <w:rFonts w:hint="eastAsia" w:ascii="仿宋" w:hAnsi="仿宋" w:eastAsia="仿宋"/>
                <w:sz w:val="24"/>
                <w:highlight w:val="none"/>
                <w:lang w:val="en-US" w:eastAsia="zh-CN"/>
              </w:rPr>
              <w:t>0</w:t>
            </w:r>
            <w:r>
              <w:rPr>
                <w:rFonts w:ascii="仿宋" w:hAnsi="仿宋" w:eastAsia="仿宋"/>
                <w:sz w:val="24"/>
                <w:highlight w:val="none"/>
              </w:rPr>
              <w:t>.5ms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4.7</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无需测试曝光进行自动曝光控制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X 线球管：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5.1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 xml:space="preserve">提供液态金属轴承球管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5.2</w:t>
            </w:r>
          </w:p>
        </w:tc>
        <w:tc>
          <w:tcPr>
            <w:tcW w:w="7847" w:type="dxa"/>
            <w:vAlign w:val="top"/>
          </w:tcPr>
          <w:p>
            <w:pPr>
              <w:widowControl/>
              <w:tabs>
                <w:tab w:val="center" w:pos="3815"/>
              </w:tabs>
              <w:rPr>
                <w:rFonts w:hint="default" w:ascii="仿宋" w:hAnsi="仿宋" w:eastAsia="仿宋"/>
                <w:sz w:val="24"/>
                <w:highlight w:val="none"/>
                <w:lang w:val="en-US" w:eastAsia="zh-CN"/>
              </w:rPr>
            </w:pPr>
            <w:r>
              <w:rPr>
                <w:rFonts w:ascii="仿宋" w:hAnsi="仿宋" w:eastAsia="仿宋"/>
                <w:sz w:val="24"/>
                <w:highlight w:val="none"/>
              </w:rPr>
              <w:t>最大连续透视功率≥3500W</w:t>
            </w:r>
            <w:r>
              <w:rPr>
                <w:rFonts w:hint="eastAsia" w:ascii="仿宋" w:hAnsi="仿宋" w:eastAsia="仿宋"/>
                <w:sz w:val="24"/>
                <w:highlight w:val="none"/>
                <w:lang w:eastAsia="zh-CN"/>
              </w:rPr>
              <w:tab/>
            </w:r>
            <w:r>
              <w:rPr>
                <w:rFonts w:hint="eastAsia" w:ascii="仿宋" w:hAnsi="仿宋" w:eastAsia="仿宋"/>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5.3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最大透视管电流≥250mA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5.4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最大连续输入功率≥5000W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ascii="仿宋" w:hAnsi="仿宋" w:eastAsia="仿宋"/>
                <w:sz w:val="24"/>
                <w:highlight w:val="none"/>
              </w:rPr>
              <w:t>5.5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球管阳极连续高速旋转，转速≥12000转/分，包括透视及采集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w:t>
            </w:r>
            <w:r>
              <w:rPr>
                <w:rFonts w:ascii="仿宋" w:hAnsi="仿宋" w:eastAsia="仿宋"/>
                <w:sz w:val="24"/>
                <w:highlight w:val="none"/>
              </w:rPr>
              <w:t>5.6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阳极热容量≥5.2MHU</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5.7</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管套热容量≥7.3MHU</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▲5.8</w:t>
            </w:r>
          </w:p>
        </w:tc>
        <w:tc>
          <w:tcPr>
            <w:tcW w:w="7847" w:type="dxa"/>
            <w:vAlign w:val="top"/>
          </w:tcPr>
          <w:p>
            <w:pPr>
              <w:widowControl/>
              <w:rPr>
                <w:rFonts w:hint="default" w:ascii="仿宋" w:hAnsi="仿宋" w:eastAsia="仿宋"/>
                <w:color w:val="000000" w:themeColor="text1"/>
                <w:sz w:val="24"/>
                <w:highlight w:val="none"/>
                <w:lang w:val="en-US" w:eastAsia="zh-CN"/>
                <w14:textFill>
                  <w14:solidFill>
                    <w14:schemeClr w14:val="tx1"/>
                  </w14:solidFill>
                </w14:textFill>
              </w:rPr>
            </w:pPr>
            <w:r>
              <w:rPr>
                <w:rFonts w:ascii="仿宋" w:hAnsi="仿宋" w:eastAsia="仿宋"/>
                <w:sz w:val="24"/>
                <w:highlight w:val="none"/>
              </w:rPr>
              <w:t>阳极最大散热功率≥</w:t>
            </w:r>
            <w:r>
              <w:rPr>
                <w:rFonts w:hint="eastAsia" w:ascii="仿宋" w:hAnsi="仿宋" w:eastAsia="仿宋"/>
                <w:sz w:val="24"/>
                <w:highlight w:val="none"/>
                <w:lang w:val="en-US" w:eastAsia="zh-CN"/>
              </w:rPr>
              <w:t>6720W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hint="eastAsia" w:ascii="仿宋" w:hAnsi="仿宋" w:eastAsia="仿宋"/>
                <w:sz w:val="24"/>
                <w:highlight w:val="none"/>
                <w:lang w:val="en-US" w:eastAsia="zh-CN"/>
              </w:rPr>
              <w:t>★</w:t>
            </w:r>
            <w:r>
              <w:rPr>
                <w:rFonts w:ascii="仿宋" w:hAnsi="仿宋" w:eastAsia="仿宋"/>
                <w:sz w:val="24"/>
                <w:highlight w:val="none"/>
              </w:rPr>
              <w:t>5.9</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球管焦点≥3个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5.10</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小焦点≤0.3mm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中焦点≤0.4mm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大焦点≤0.9mm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最小焦点功率≥20KW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中焦点功率≥40KW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大焦点功率≥90KW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为提升为提升连续透视功率，及灯丝稳定性，要求所有焦点都采用平板灯丝技术，非传统钨丝技术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5.17</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球管阳极靶边直径≤140mm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5.18</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球管具备冷却装置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5.19</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球管内置多档金属铜滤片≥5片；且可以自动进行切换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5.20</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球管内金属铜滤片最小厚度≤0.1mm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5.21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通用型、虹膜型等多种遮光器 提供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5.22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透视末帧图像上可实现无射线调节遮光板、滤线器位置具备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平板探测器：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采用数字化平板探测器技术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hint="eastAsia" w:ascii="仿宋" w:hAnsi="仿宋" w:eastAsia="仿宋"/>
                <w:sz w:val="24"/>
                <w:highlight w:val="none"/>
                <w:lang w:val="en-US" w:eastAsia="zh-CN"/>
              </w:rPr>
              <w:t>★</w:t>
            </w:r>
            <w:r>
              <w:rPr>
                <w:rFonts w:ascii="仿宋" w:hAnsi="仿宋" w:eastAsia="仿宋"/>
                <w:sz w:val="24"/>
                <w:highlight w:val="none"/>
              </w:rPr>
              <w:t>6.2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平板探测器有效探测面积≥29cm x 38cm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平板探测器外壳尺寸大小≤51.2cm x 40.5cm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平板分辨率≥3.25LP/mm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drawing>
                <wp:anchor distT="0" distB="0" distL="0" distR="0" simplePos="0" relativeHeight="251662336"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5" name="IM 8"/>
                  <wp:cNvGraphicFramePr/>
                  <a:graphic xmlns:a="http://schemas.openxmlformats.org/drawingml/2006/main">
                    <a:graphicData uri="http://schemas.openxmlformats.org/drawingml/2006/picture">
                      <pic:pic xmlns:pic="http://schemas.openxmlformats.org/drawingml/2006/picture">
                        <pic:nvPicPr>
                          <pic:cNvPr id="5" name="IM 8"/>
                          <pic:cNvPicPr/>
                        </pic:nvPicPr>
                        <pic:blipFill>
                          <a:blip r:embed="rId26"/>
                          <a:stretch>
                            <a:fillRect/>
                          </a:stretch>
                        </pic:blipFill>
                        <pic:spPr>
                          <a:xfrm>
                            <a:off x="0" y="0"/>
                            <a:ext cx="5274564" cy="9143"/>
                          </a:xfrm>
                          <a:prstGeom prst="rect">
                            <a:avLst/>
                          </a:prstGeom>
                        </pic:spPr>
                      </pic:pic>
                    </a:graphicData>
                  </a:graphic>
                </wp:anchor>
              </w:drawing>
            </w:r>
            <w:r>
              <w:rPr>
                <w:rFonts w:hint="eastAsia" w:ascii="仿宋" w:hAnsi="仿宋" w:eastAsia="仿宋"/>
                <w:sz w:val="24"/>
                <w:highlight w:val="none"/>
                <w:lang w:val="en-US" w:eastAsia="zh-CN"/>
              </w:rPr>
              <w:t>★</w:t>
            </w:r>
            <w:r>
              <w:rPr>
                <w:rFonts w:ascii="仿宋" w:hAnsi="仿宋" w:eastAsia="仿宋"/>
                <w:sz w:val="24"/>
                <w:highlight w:val="none"/>
              </w:rPr>
              <w:t>6.5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平板像素尺寸≤154μm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平板探测器采集矩阵≥ 2480x1900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6.7</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动态范围≥16bit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hint="eastAsia" w:ascii="仿宋" w:hAnsi="仿宋" w:eastAsia="仿宋"/>
                <w:sz w:val="24"/>
                <w:highlight w:val="none"/>
                <w:lang w:val="en-US" w:eastAsia="zh-CN"/>
              </w:rPr>
              <w:t>★</w:t>
            </w:r>
            <w:r>
              <w:rPr>
                <w:rFonts w:ascii="仿宋" w:hAnsi="仿宋" w:eastAsia="仿宋"/>
                <w:sz w:val="24"/>
                <w:highlight w:val="none"/>
              </w:rPr>
              <w:t>6.8</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视野≥8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6.9</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平板探测器最小视野面积≤ 8cm x 8cm，最小视野对角线≤11cm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6.10</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为满足便捷操作的需要，平板探测器上具备控制平板升降，C 臂旋转和机架运动的按键，按键≥3组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6.11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平板带有防碰撞自动控制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6.12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平板检测器光子转换效率≥77%DQE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6.13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平板探测器具备一键式自动可抽取滤线栅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6.14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为满足临床不同部位的手术需求，平板探测器可旋转，角度≥180°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图像采集及处理系统：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主机配备处理系统，完成图象采集和后处理操作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7.2</w:t>
            </w:r>
          </w:p>
        </w:tc>
        <w:tc>
          <w:tcPr>
            <w:tcW w:w="7847" w:type="dxa"/>
            <w:vAlign w:val="top"/>
          </w:tcPr>
          <w:p>
            <w:pPr>
              <w:widowControl/>
              <w:rPr>
                <w:rFonts w:ascii="仿宋" w:hAnsi="仿宋" w:eastAsia="仿宋"/>
                <w:sz w:val="24"/>
                <w:highlight w:val="none"/>
              </w:rPr>
            </w:pPr>
            <w:r>
              <w:rPr>
                <w:rFonts w:ascii="仿宋" w:hAnsi="仿宋" w:eastAsia="仿宋"/>
                <w:sz w:val="24"/>
                <w:highlight w:val="none"/>
              </w:rPr>
              <w:t>标准 DR 模式，速率：≥0.5-7.5 帧/秒；采集、显示及存储均为</w:t>
            </w:r>
          </w:p>
          <w:p>
            <w:pPr>
              <w:widowControl/>
              <w:rPr>
                <w:rFonts w:hint="default" w:ascii="仿宋" w:hAnsi="仿宋" w:eastAsia="仿宋"/>
                <w:sz w:val="24"/>
                <w:highlight w:val="none"/>
                <w:lang w:val="en-US" w:eastAsia="zh-CN"/>
              </w:rPr>
            </w:pPr>
            <w:r>
              <w:rPr>
                <w:rFonts w:ascii="仿宋" w:hAnsi="仿宋" w:eastAsia="仿宋"/>
                <w:sz w:val="24"/>
                <w:highlight w:val="none"/>
              </w:rPr>
              <w:t>1K 矩阵， 12bit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7.3</w:t>
            </w:r>
          </w:p>
        </w:tc>
        <w:tc>
          <w:tcPr>
            <w:tcW w:w="7847" w:type="dxa"/>
            <w:vAlign w:val="top"/>
          </w:tcPr>
          <w:p>
            <w:pPr>
              <w:widowControl/>
              <w:rPr>
                <w:rFonts w:ascii="仿宋" w:hAnsi="仿宋" w:eastAsia="仿宋"/>
                <w:sz w:val="24"/>
                <w:highlight w:val="none"/>
              </w:rPr>
            </w:pPr>
            <w:r>
              <w:rPr>
                <w:rFonts w:ascii="仿宋" w:hAnsi="仿宋" w:eastAsia="仿宋"/>
                <w:sz w:val="24"/>
                <w:highlight w:val="none"/>
              </w:rPr>
              <w:t>标准 DSA 模式，速率：≥0.5-7.5 帧/秒；采集、显示及存储均</w:t>
            </w:r>
          </w:p>
          <w:p>
            <w:pPr>
              <w:widowControl/>
              <w:rPr>
                <w:rFonts w:hint="default" w:ascii="仿宋" w:hAnsi="仿宋" w:eastAsia="仿宋"/>
                <w:sz w:val="24"/>
                <w:highlight w:val="none"/>
                <w:lang w:val="en-US" w:eastAsia="zh-CN"/>
              </w:rPr>
            </w:pPr>
            <w:r>
              <w:rPr>
                <w:rFonts w:ascii="仿宋" w:hAnsi="仿宋" w:eastAsia="仿宋"/>
                <w:sz w:val="24"/>
                <w:highlight w:val="none"/>
              </w:rPr>
              <w:t>为 1K 矩阵，12bit，并具有实时 DSA 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动态心脏模式，速率：≥30 幅/秒, 采集、显示及存储均为 1k矩阵，12bit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高速 DSA 模式，速率：≥30 帧/秒， 采集、显示及存储均为 1K矩阵，12bit，并具有实时 DSA 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可直接选择数字脉冲透视≥9档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7.7</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最大脉冲透视速度≥30 幅/秒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7.8</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最小脉冲透视速度≤0.5 幅/秒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7.9</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2k透视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7.10</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2k采集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7.11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外周采集模式有高压注射器的联动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drawing>
                <wp:anchor distT="0" distB="0" distL="0" distR="0" simplePos="0" relativeHeight="251663360"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6" name="IM 10"/>
                  <wp:cNvGraphicFramePr/>
                  <a:graphic xmlns:a="http://schemas.openxmlformats.org/drawingml/2006/main">
                    <a:graphicData uri="http://schemas.openxmlformats.org/drawingml/2006/picture">
                      <pic:pic xmlns:pic="http://schemas.openxmlformats.org/drawingml/2006/picture">
                        <pic:nvPicPr>
                          <pic:cNvPr id="6" name="IM 10"/>
                          <pic:cNvPicPr/>
                        </pic:nvPicPr>
                        <pic:blipFill>
                          <a:blip r:embed="rId26"/>
                          <a:stretch>
                            <a:fillRect/>
                          </a:stretch>
                        </pic:blipFill>
                        <pic:spPr>
                          <a:xfrm>
                            <a:off x="0" y="0"/>
                            <a:ext cx="5274564" cy="9143"/>
                          </a:xfrm>
                          <a:prstGeom prst="rect">
                            <a:avLst/>
                          </a:prstGeom>
                        </pic:spPr>
                      </pic:pic>
                    </a:graphicData>
                  </a:graphic>
                </wp:anchor>
              </w:drawing>
            </w:r>
            <w:r>
              <w:rPr>
                <w:rFonts w:ascii="仿宋" w:hAnsi="仿宋" w:eastAsia="仿宋"/>
                <w:sz w:val="24"/>
                <w:highlight w:val="none"/>
              </w:rPr>
              <w:t>7.12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图像处理包括窗宽/窗位可调节，噪声滤过及图像边缘增强的功能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图像显示系统：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采用医用高分辨率 TFT 显视器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检查室一台 55 英寸医用大屏显示系统，分辨率≥3840x2160；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可视角度（水平及垂直可视角度）≥170°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控制室一台 24 英寸医用显示器，分辨率≥1920x1200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配有监视器悬吊架，监视器吊架可置于床左右二侧及床尾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8.6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监视器悬吊架可纵向及旋转运动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9</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图像存储及图像分析系统：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9.1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主机硬盘图像存储： 1024x1024 矩阵，12bit,容量≥100,000 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9.</w:t>
            </w:r>
            <w:r>
              <w:rPr>
                <w:rFonts w:hint="eastAsia" w:ascii="仿宋" w:hAnsi="仿宋" w:eastAsia="仿宋"/>
                <w:sz w:val="24"/>
                <w:highlight w:val="none"/>
                <w:lang w:val="en-US" w:eastAsia="zh-CN"/>
              </w:rPr>
              <w:t>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自动回放采集序列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9.3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回放序列的速度及方向可调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9.4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可进行减影及非减影切换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9.5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后处理功能包括：选择路标图像、电子遮光器、边缘增强、图像反转、附加注解、选择图像、移动放大、造影图像自动窗宽、窗位调节、重定蒙片、像素移位等。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10</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二维路径图功能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10.1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通过手推对比剂与实时透视影像相叠加，并且自动减影来制作路图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10.2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可选择之前采集的 DSA 序列或 DR 序列中任意一帧图像，将其与实时透视影像叠加，并且自动减影来制作路图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高级二维路径图功能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11.1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可通过触摸屏和操纵杆直接调节路图窗宽、窗位与导管/导丝显示百分比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drawing>
                <wp:anchor distT="0" distB="0" distL="0" distR="0" simplePos="0" relativeHeight="251664384"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7" name="IM 12"/>
                  <wp:cNvGraphicFramePr/>
                  <a:graphic xmlns:a="http://schemas.openxmlformats.org/drawingml/2006/main">
                    <a:graphicData uri="http://schemas.openxmlformats.org/drawingml/2006/picture">
                      <pic:pic xmlns:pic="http://schemas.openxmlformats.org/drawingml/2006/picture">
                        <pic:nvPicPr>
                          <pic:cNvPr id="7" name="IM 12"/>
                          <pic:cNvPicPr/>
                        </pic:nvPicPr>
                        <pic:blipFill>
                          <a:blip r:embed="rId26"/>
                          <a:stretch>
                            <a:fillRect/>
                          </a:stretch>
                        </pic:blipFill>
                        <pic:spPr>
                          <a:xfrm>
                            <a:off x="0" y="0"/>
                            <a:ext cx="5274564" cy="9143"/>
                          </a:xfrm>
                          <a:prstGeom prst="rect">
                            <a:avLst/>
                          </a:prstGeom>
                        </pic:spPr>
                      </pic:pic>
                    </a:graphicData>
                  </a:graphic>
                </wp:anchor>
              </w:drawing>
            </w:r>
            <w:r>
              <w:rPr>
                <w:rFonts w:ascii="仿宋" w:hAnsi="仿宋" w:eastAsia="仿宋"/>
                <w:sz w:val="24"/>
                <w:highlight w:val="none"/>
              </w:rPr>
              <w:t>11.2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可通过触摸屏对插管路径一键隐藏，提升耗材形态和方向的可视性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11.3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可通过触摸屏或曝光脚闸一键清空路图背景中的置入物，实现多次置入物操作过程中单独显示每一次置入情况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11.4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支持从二维造影中选取特定的静态参考图像，通过触摸屏一键将该参考图像内的靶血管以翻白的形式与实时透视重叠显示于实时屏幕上</w:t>
            </w:r>
            <w:r>
              <w:rPr>
                <w:rFonts w:hint="eastAsia" w:ascii="仿宋" w:hAnsi="仿宋" w:eastAsia="仿宋"/>
                <w:sz w:val="24"/>
                <w:highlight w:val="none"/>
                <w:lang w:eastAsia="zh-CN"/>
              </w:rPr>
              <w:t>，</w:t>
            </w:r>
            <w:r>
              <w:rPr>
                <w:rFonts w:ascii="仿宋" w:hAnsi="仿宋" w:eastAsia="仿宋"/>
                <w:sz w:val="24"/>
                <w:highlight w:val="none"/>
              </w:rPr>
              <w:t>提供直观的路径图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11.5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二维路图功能被执行时，用户可通过触摸屏一键将当前参考屏幕上的图像切换为实时非减影图像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二维图像实时像素位移修正技术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12.1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当患者在二维造影或者二维路径图的进程中发生轻微移动，主机可对造影图像中所有像素点进行≥5个方位的实时重新匹配修正运动伪影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12.2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此技术由主机自动检测运行，无需人为操作即可实现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智能角度回传自动定位技术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13.1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可一键恢复上一次执行路图时自动记忆的机架、导管床的位置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13.2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可一键恢复机架、导管床至参考图上的位置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全自动介入流程管理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14.1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提供了一系列与诊断步骤和治疗路径匹配的系统设置，通过三次触摸屏页面交互，即可完成≥7 种与手术相关系统参数设置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14.2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用户可对个人账户下的系统参数按不同手术类别进行标准化、流程化分类管理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14.3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不同用户根据需求和偏好的不同，可在触摸屏定制个人账户文件夹</w:t>
            </w:r>
            <w:r>
              <w:rPr>
                <w:rFonts w:hint="eastAsia" w:ascii="仿宋" w:hAnsi="仿宋" w:eastAsia="仿宋"/>
                <w:sz w:val="24"/>
                <w:highlight w:val="none"/>
                <w:lang w:eastAsia="zh-CN"/>
              </w:rPr>
              <w:t>，</w:t>
            </w:r>
            <w:r>
              <w:rPr>
                <w:rFonts w:ascii="仿宋" w:hAnsi="仿宋" w:eastAsia="仿宋"/>
                <w:sz w:val="24"/>
                <w:highlight w:val="none"/>
              </w:rPr>
              <w:t>预先编辑并保存相关参数设置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14.4</w:t>
            </w:r>
            <w:r>
              <w:rPr>
                <w:rFonts w:ascii="仿宋" w:hAnsi="仿宋" w:eastAsia="仿宋"/>
                <w:sz w:val="24"/>
                <w:highlight w:val="none"/>
              </w:rPr>
              <w:drawing>
                <wp:anchor distT="0" distB="0" distL="0" distR="0" simplePos="0" relativeHeight="251665408"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9" name="IM 14"/>
                  <wp:cNvGraphicFramePr/>
                  <a:graphic xmlns:a="http://schemas.openxmlformats.org/drawingml/2006/main">
                    <a:graphicData uri="http://schemas.openxmlformats.org/drawingml/2006/picture">
                      <pic:pic xmlns:pic="http://schemas.openxmlformats.org/drawingml/2006/picture">
                        <pic:nvPicPr>
                          <pic:cNvPr id="9" name="IM 14"/>
                          <pic:cNvPicPr/>
                        </pic:nvPicPr>
                        <pic:blipFill>
                          <a:blip r:embed="rId26"/>
                          <a:stretch>
                            <a:fillRect/>
                          </a:stretch>
                        </pic:blipFill>
                        <pic:spPr>
                          <a:xfrm>
                            <a:off x="0" y="0"/>
                            <a:ext cx="5274564" cy="9143"/>
                          </a:xfrm>
                          <a:prstGeom prst="rect">
                            <a:avLst/>
                          </a:prstGeom>
                        </pic:spPr>
                      </pic:pic>
                    </a:graphicData>
                  </a:graphic>
                </wp:anchor>
              </w:drawing>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用户可以针对不同手术进程，创建子文件夹进行参数编辑并分类管理，当手术进行到对应的进程时，在触摸屏可一键实现参数调整和机架、导管床到位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低剂量及恒定影像链平台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低剂量技术提供 IGS Dosesense 平台，或 Clarity 平台，或 CARE平台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采用铜滤片自动插入技术消除球管软射线，无需人工干预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15.3</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自动插入铜滤片数≥5片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15.4</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最小铜滤片厚度≤0.1mm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最大铜滤片厚度≥0.9mm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透视图像存储功能：最大透视图像连续存储≥1000幅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15.7</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透视速率为 15f/s 时，最大透视图像连续存储时间≥68s透视序列可以同屏多幅图像形式显示于参考屏上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15.8</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具有射线剂量监测功能，透视时，表面剂量率显示；透视间期，显示积累剂量，区域剂量和剂量限值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15.9</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透视末帧图像上可实现无射线调节遮光板、滤线器位置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15.10</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透视末帧图像上可显示无射线病人投照视野的改变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可以提供低剂量的采集协议， 并有专门低剂量曝光脚闸开关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可以提供 DICOM 格式的剂量报告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由图像质量驱动的曝光控制，根据患者投照部位厚度、机架角度、SID 的变化，对≥5项曝光参数进行实时自动调整从而维持最优的图像质量和在该图像质量标准下最低的辐射剂量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对于特定的手术或患者，术者可根据自己偏好的预设不同清晰度和对比度的图像，系统会在自适应调节算法的支持下，维持整个手术过程中的图像质量恒定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15.15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实时分析每个像素点，并以高对比度显示血管边缘和耗材，提升小血管和导丝等精细结构的可视性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智能能谱识别成像技术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16.1</w:t>
            </w:r>
            <w:r>
              <w:rPr>
                <w:rFonts w:ascii="仿宋" w:hAnsi="仿宋" w:eastAsia="仿宋"/>
                <w:sz w:val="24"/>
                <w:highlight w:val="none"/>
              </w:rPr>
              <w:drawing>
                <wp:anchor distT="0" distB="0" distL="0" distR="0" simplePos="0" relativeHeight="251666432"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11" name="IM 16"/>
                  <wp:cNvGraphicFramePr/>
                  <a:graphic xmlns:a="http://schemas.openxmlformats.org/drawingml/2006/main">
                    <a:graphicData uri="http://schemas.openxmlformats.org/drawingml/2006/picture">
                      <pic:pic xmlns:pic="http://schemas.openxmlformats.org/drawingml/2006/picture">
                        <pic:nvPicPr>
                          <pic:cNvPr id="11" name="IM 16"/>
                          <pic:cNvPicPr/>
                        </pic:nvPicPr>
                        <pic:blipFill>
                          <a:blip r:embed="rId26"/>
                          <a:stretch>
                            <a:fillRect/>
                          </a:stretch>
                        </pic:blipFill>
                        <pic:spPr>
                          <a:xfrm>
                            <a:off x="0" y="0"/>
                            <a:ext cx="5274564" cy="9143"/>
                          </a:xfrm>
                          <a:prstGeom prst="rect">
                            <a:avLst/>
                          </a:prstGeom>
                        </pic:spPr>
                      </pic:pic>
                    </a:graphicData>
                  </a:graphic>
                </wp:anchor>
              </w:drawing>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可对≥3种不同的对比剂或者耗材的 X 线吸收特性不同，自动调整球管发射的X线光谱，满足对不同对比剂或者耗材的差异化增强显示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16.2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在获得相同组织细节和耗材器械可视性的同时，显著降低辐射剂量，最多可节省70％的辐射剂量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17</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实时旋转DSA：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17.1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机架可在任意位置进行旋转采集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17.2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旋转采集最快速度≥90度/秒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17.3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最快采集速率≥85帧/秒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17.4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真正意义的实时旋转 DSA，包括蒙片及充盈片两次采集过程，实时显示， 无需后台减影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18</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原厂高级三维图像后处理功能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18.1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为减少数据传输时间，高级三维后处理可在主机完成，无需额外的工作站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ascii="仿宋" w:hAnsi="仿宋" w:eastAsia="仿宋"/>
                <w:sz w:val="24"/>
                <w:highlight w:val="none"/>
              </w:rPr>
            </w:pPr>
          </w:p>
          <w:p>
            <w:pPr>
              <w:widowControl/>
              <w:jc w:val="center"/>
              <w:rPr>
                <w:rFonts w:hint="eastAsia" w:ascii="仿宋" w:hAnsi="仿宋" w:eastAsia="仿宋"/>
                <w:sz w:val="24"/>
                <w:highlight w:val="none"/>
                <w:lang w:val="en-US" w:eastAsia="zh-CN"/>
              </w:rPr>
            </w:pPr>
            <w:r>
              <w:rPr>
                <w:rFonts w:ascii="仿宋" w:hAnsi="仿宋" w:eastAsia="仿宋"/>
                <w:sz w:val="24"/>
                <w:highlight w:val="none"/>
              </w:rPr>
              <w:t>18.2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可完成全身各部位（包括神经，胸腹， 四肢）三维图像的重建、后处理、显示和归档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18.3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最短重建时间：≤ 30 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18.4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具有快速二维和多平面显示、回放， 三维处理： 3D 血管表面重建（MPR）、最大密度投影重建（MIP）、3D 容积重建（VRT）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19</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双容积重建技术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19.1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能够区分两种具有事实上一样对比度的高密度 3D 结构，并且能够将一个低密度结构和高密度三维结构同时显示在一幅图像里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19.2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能够清楚地将对比剂充盈的血管、骨骼、支架和弹簧圈区分开来，还能将肿瘤的解剖结构和滋养血管结合起来深入观察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19.3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重建模式可用于血管、骨骼、金属夹和弹簧圈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19.4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重建结果可以为减影或非减影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19.5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可以用增加阴影或亮光以增强3D显示效果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drawing>
                <wp:anchor distT="0" distB="0" distL="0" distR="0" simplePos="0" relativeHeight="251667456" behindDoc="0" locked="0" layoutInCell="0" allowOverlap="1">
                  <wp:simplePos x="0" y="0"/>
                  <wp:positionH relativeFrom="page">
                    <wp:posOffset>1143000</wp:posOffset>
                  </wp:positionH>
                  <wp:positionV relativeFrom="page">
                    <wp:posOffset>683895</wp:posOffset>
                  </wp:positionV>
                  <wp:extent cx="5274310" cy="8890"/>
                  <wp:effectExtent l="0" t="0" r="0" b="0"/>
                  <wp:wrapNone/>
                  <wp:docPr id="13" name="IM 18"/>
                  <wp:cNvGraphicFramePr/>
                  <a:graphic xmlns:a="http://schemas.openxmlformats.org/drawingml/2006/main">
                    <a:graphicData uri="http://schemas.openxmlformats.org/drawingml/2006/picture">
                      <pic:pic xmlns:pic="http://schemas.openxmlformats.org/drawingml/2006/picture">
                        <pic:nvPicPr>
                          <pic:cNvPr id="13" name="IM 18"/>
                          <pic:cNvPicPr/>
                        </pic:nvPicPr>
                        <pic:blipFill>
                          <a:blip r:embed="rId26"/>
                          <a:stretch>
                            <a:fillRect/>
                          </a:stretch>
                        </pic:blipFill>
                        <pic:spPr>
                          <a:xfrm>
                            <a:off x="0" y="0"/>
                            <a:ext cx="5274564" cy="9143"/>
                          </a:xfrm>
                          <a:prstGeom prst="rect">
                            <a:avLst/>
                          </a:prstGeom>
                        </pic:spPr>
                      </pic:pic>
                    </a:graphicData>
                  </a:graphic>
                </wp:anchor>
              </w:drawing>
            </w:r>
            <w:r>
              <w:rPr>
                <w:rFonts w:ascii="仿宋" w:hAnsi="仿宋" w:eastAsia="仿宋"/>
                <w:sz w:val="24"/>
                <w:highlight w:val="none"/>
              </w:rPr>
              <w:t>20</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高速三维采集及重建技术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20.1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具备高速三维采集技术，可快速采集并重建三维图像，来获得最佳的三维图像质量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20.2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高速三维采集下机架最快旋转速度≥90度/秒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20.3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高速三维采集最快采集速率：≥85帧/秒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三维血管路图导航功能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21.1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三维血管路图导航功能，可将三维血管路图与实时的二维透视图 像叠加，在检查室实时显示导管、导丝、弹簧圈在三维图像中的走行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ascii="仿宋" w:hAnsi="仿宋" w:eastAsia="仿宋"/>
                <w:sz w:val="24"/>
                <w:highlight w:val="none"/>
              </w:rPr>
            </w:pPr>
          </w:p>
          <w:p>
            <w:pPr>
              <w:widowControl/>
              <w:jc w:val="center"/>
              <w:rPr>
                <w:rFonts w:hint="eastAsia" w:ascii="仿宋" w:hAnsi="仿宋" w:eastAsia="仿宋"/>
                <w:sz w:val="24"/>
                <w:highlight w:val="none"/>
                <w:lang w:val="en-US" w:eastAsia="zh-CN"/>
              </w:rPr>
            </w:pPr>
            <w:r>
              <w:rPr>
                <w:rFonts w:ascii="仿宋" w:hAnsi="仿宋" w:eastAsia="仿宋"/>
                <w:sz w:val="24"/>
                <w:highlight w:val="none"/>
              </w:rPr>
              <w:t>21.2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三维路图能够自动追踪C臂角度、检查床面即解剖投照位置、投照野大小、SID 位置变化</w:t>
            </w:r>
            <w:r>
              <w:rPr>
                <w:rFonts w:hint="eastAsia" w:ascii="仿宋" w:hAnsi="仿宋" w:eastAsia="仿宋"/>
                <w:sz w:val="24"/>
                <w:highlight w:val="none"/>
                <w:lang w:eastAsia="zh-CN"/>
              </w:rPr>
              <w:t>，</w:t>
            </w:r>
            <w:r>
              <w:rPr>
                <w:rFonts w:ascii="仿宋" w:hAnsi="仿宋" w:eastAsia="仿宋"/>
                <w:sz w:val="24"/>
                <w:highlight w:val="none"/>
              </w:rPr>
              <w:t>提高治疗准确性，安全性及工作流程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血管机类 CT 成像功能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能完成 CT 断层图像重建和显示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断层扫描机架头位最快旋转速度≥60 度/秒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断层扫描机架侧位最快旋转速度≥60 度/秒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旋转角度≥200度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最快采集速率：≥85帧/秒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重建矩阵≥512X512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22.7</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最短传输及重建时间：≤60 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22.8</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密度分辨率：≤5Hu</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22.9</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可实现 CT 图像与三维血管的双容积显示，便于观察血管与软组织关系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22.10</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具备 CT/核磁图像融合功能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高压注射器接口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激光相机接口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DICOM Send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DICOM Print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DICOM Query</w:t>
            </w:r>
            <w:r>
              <w:rPr>
                <w:rFonts w:hint="eastAsia" w:ascii="仿宋" w:hAnsi="仿宋" w:eastAsia="仿宋"/>
                <w:sz w:val="24"/>
                <w:highlight w:val="none"/>
                <w:lang w:val="en-US" w:eastAsia="zh-CN"/>
              </w:rPr>
              <w:t>/</w:t>
            </w:r>
            <w:r>
              <w:rPr>
                <w:rFonts w:ascii="仿宋" w:hAnsi="仿宋" w:eastAsia="仿宋"/>
                <w:sz w:val="24"/>
                <w:highlight w:val="none"/>
              </w:rPr>
              <w:t>Retrieve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原装双向对讲通话系统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23.7</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具有悬吊式防护铅屏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技术服务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24.1</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提供对机房及电源的要求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24.2</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开机率≥95%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24.3</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现场免费培训操作人员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24.4</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免费负责设备的安装调试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如设备出现故障, 接到通知后 48 小时内工程人员应到达现场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24.6</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国内具有大规模零配件库存，以保证及时的零配件供应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849" w:type="dxa"/>
            <w:gridSpan w:val="2"/>
            <w:vAlign w:val="center"/>
          </w:tcPr>
          <w:p>
            <w:pPr>
              <w:spacing w:line="360" w:lineRule="auto"/>
              <w:jc w:val="both"/>
              <w:rPr>
                <w:rFonts w:hint="default" w:ascii="宋体" w:hAnsi="宋体" w:eastAsia="宋体"/>
                <w:color w:val="000000"/>
                <w:sz w:val="24"/>
                <w:highlight w:val="none"/>
                <w:lang w:val="en-US" w:eastAsia="zh-CN"/>
              </w:rPr>
            </w:pPr>
            <w:r>
              <w:rPr>
                <w:rFonts w:hint="eastAsia" w:ascii="仿宋" w:hAnsi="仿宋" w:eastAsia="仿宋" w:cs="Times New Roman"/>
                <w:b/>
                <w:bCs/>
                <w:sz w:val="24"/>
                <w:highlight w:val="none"/>
                <w:lang w:val="en-US" w:eastAsia="zh-CN"/>
              </w:rPr>
              <w:t>品目2：X线计算机体层摄影设备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 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设备</w:t>
            </w:r>
            <w:r>
              <w:rPr>
                <w:rFonts w:hint="eastAsia" w:ascii="仿宋" w:hAnsi="仿宋" w:eastAsia="仿宋"/>
                <w:sz w:val="24"/>
                <w:highlight w:val="none"/>
                <w:lang w:val="en-US" w:eastAsia="zh-CN"/>
              </w:rPr>
              <w:t>要求</w:t>
            </w:r>
            <w:r>
              <w:rPr>
                <w:rFonts w:ascii="仿宋" w:hAnsi="仿宋" w:eastAsia="仿宋"/>
                <w:sz w:val="24"/>
                <w:highlight w:val="none"/>
              </w:rPr>
              <w:t>：置于手术室内 CT，适用于全身扫描临床应用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资格标准：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2.1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提供CFDA 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设备技术要求及主要规格参数：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机架系统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机架孔径：≥78cm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驱动方式：线性马达或气垫轴承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数据传输方式：射频信号传递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滑轨方案：单室或双室可选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3.1.5</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机架内冷却方式：</w:t>
            </w:r>
            <w:r>
              <w:rPr>
                <w:rFonts w:hint="eastAsia" w:ascii="仿宋" w:hAnsi="仿宋" w:eastAsia="仿宋"/>
                <w:sz w:val="24"/>
                <w:highlight w:val="none"/>
                <w:lang w:val="en-US" w:eastAsia="zh-CN"/>
              </w:rPr>
              <w:t>水冷或风冷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机架旋转时间≤0.5秒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机身配备平板操作系统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3.1.8</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平板内显示病人相关信息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X 线系统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高压发生率功率：≥80KW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球管阳极热容量：≥7.</w:t>
            </w:r>
            <w:r>
              <w:rPr>
                <w:rFonts w:hint="eastAsia" w:ascii="仿宋" w:hAnsi="仿宋" w:eastAsia="仿宋"/>
                <w:sz w:val="24"/>
                <w:highlight w:val="none"/>
                <w:lang w:val="en-US" w:eastAsia="zh-CN"/>
              </w:rPr>
              <w:t>5</w:t>
            </w:r>
            <w:r>
              <w:rPr>
                <w:rFonts w:ascii="仿宋" w:hAnsi="仿宋" w:eastAsia="仿宋"/>
                <w:sz w:val="24"/>
                <w:highlight w:val="none"/>
              </w:rPr>
              <w:t>MHU，或者新型低热容量高散热率球管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球管阳极最大散热率：≥ 1360KHU/min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3.2.4</w:t>
            </w:r>
          </w:p>
        </w:tc>
        <w:tc>
          <w:tcPr>
            <w:tcW w:w="7847" w:type="dxa"/>
            <w:vAlign w:val="top"/>
          </w:tcPr>
          <w:p>
            <w:pPr>
              <w:widowControl/>
              <w:rPr>
                <w:rFonts w:ascii="仿宋" w:hAnsi="仿宋" w:eastAsia="仿宋"/>
                <w:sz w:val="24"/>
                <w:highlight w:val="none"/>
              </w:rPr>
            </w:pPr>
            <w:r>
              <w:rPr>
                <w:rFonts w:ascii="仿宋" w:hAnsi="仿宋" w:eastAsia="仿宋"/>
                <w:sz w:val="24"/>
                <w:highlight w:val="none"/>
              </w:rPr>
              <w:t>球管小焦点（IEC 标准 60336）：≤</w:t>
            </w:r>
            <w:r>
              <w:rPr>
                <w:rFonts w:hint="eastAsia" w:ascii="仿宋" w:hAnsi="仿宋" w:eastAsia="仿宋"/>
                <w:sz w:val="24"/>
                <w:highlight w:val="none"/>
                <w:lang w:val="en-US" w:eastAsia="zh-CN"/>
              </w:rPr>
              <w:t>0.5</w:t>
            </w:r>
            <w:r>
              <w:rPr>
                <w:rFonts w:ascii="仿宋" w:hAnsi="仿宋" w:eastAsia="仿宋"/>
                <w:sz w:val="24"/>
                <w:highlight w:val="none"/>
              </w:rPr>
              <w:t>mm</w:t>
            </w:r>
            <w:r>
              <w:rPr>
                <w:rFonts w:hint="eastAsia" w:ascii="仿宋" w:hAnsi="仿宋" w:eastAsia="仿宋"/>
                <w:sz w:val="24"/>
                <w:highlight w:val="none"/>
                <w:lang w:val="en-US" w:eastAsia="zh-CN"/>
              </w:rPr>
              <w:t>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3.2.5</w:t>
            </w:r>
          </w:p>
        </w:tc>
        <w:tc>
          <w:tcPr>
            <w:tcW w:w="7847" w:type="dxa"/>
            <w:vAlign w:val="top"/>
          </w:tcPr>
          <w:p>
            <w:pPr>
              <w:widowControl/>
              <w:rPr>
                <w:rFonts w:hint="eastAsia" w:ascii="仿宋" w:hAnsi="仿宋" w:eastAsia="仿宋"/>
                <w:sz w:val="24"/>
                <w:highlight w:val="none"/>
                <w:lang w:val="en-US" w:eastAsia="zh-CN"/>
              </w:rPr>
            </w:pPr>
            <w:r>
              <w:rPr>
                <w:rFonts w:ascii="仿宋" w:hAnsi="仿宋" w:eastAsia="仿宋"/>
                <w:sz w:val="24"/>
                <w:highlight w:val="none"/>
              </w:rPr>
              <w:t>球管大焦点（IEC 标准 60336）：≤</w:t>
            </w:r>
            <w:r>
              <w:rPr>
                <w:rFonts w:hint="eastAsia" w:ascii="仿宋" w:hAnsi="仿宋" w:eastAsia="仿宋"/>
                <w:sz w:val="24"/>
                <w:highlight w:val="none"/>
                <w:lang w:val="en-US" w:eastAsia="zh-CN"/>
              </w:rPr>
              <w:t>1</w:t>
            </w:r>
            <w:r>
              <w:rPr>
                <w:rFonts w:ascii="仿宋" w:hAnsi="仿宋" w:eastAsia="仿宋"/>
                <w:sz w:val="24"/>
                <w:highlight w:val="none"/>
              </w:rPr>
              <w:t>mm</w:t>
            </w:r>
            <w:r>
              <w:rPr>
                <w:rFonts w:hint="eastAsia" w:ascii="仿宋" w:hAnsi="仿宋" w:eastAsia="仿宋"/>
                <w:sz w:val="24"/>
                <w:highlight w:val="none"/>
                <w:lang w:val="en-US" w:eastAsia="zh-CN"/>
              </w:rPr>
              <w:t>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3.2.6</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最小球管电流：≤</w:t>
            </w:r>
            <w:r>
              <w:rPr>
                <w:rFonts w:hint="eastAsia" w:ascii="仿宋" w:hAnsi="仿宋" w:eastAsia="仿宋"/>
                <w:sz w:val="24"/>
                <w:highlight w:val="none"/>
                <w:lang w:val="en-US" w:eastAsia="zh-CN"/>
              </w:rPr>
              <w:t>10mA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最大球管电流： ≥600mA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3.2.8</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最大球管电压： ≥140KV</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3.2.9</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最小球管电压： ≤70KV</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3.2.10</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球管电压可调分级： ≥5 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探测器系统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3.3.1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探测器排数≥32 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3.3.2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探测器类型：各家提供探测器名称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3.3.3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数据最大采样率≥2300 次/360 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3.3.4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探测器最薄物理单元：≤0.625mm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3.3.5</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每排探测器物理个数≥700个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控制台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计算机内存：≥8GB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计算机主频：≥2GHz</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硬盘容量：≥250GB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图像存储量：（512×512 不压缩）≥500,000 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3.4.5</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一体化图像光盘存储系统 DVD 刻录（DICOM 兼容）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center"/>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医学专用液晶超薄平面19寸显示器，分辨率：≥1280×1024，数量≥1台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同步并行处理功能：扫描、重建、显示、存储、打印等操作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3.4.8</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自动病人呼吸屏气辅助控制系统，双向语音传输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3.4.9</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提供 DICOM3.0 发送/接收/打印/查询/网络功能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扫描参数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最快扫描速度：≤0.5</w:t>
            </w:r>
            <w:r>
              <w:rPr>
                <w:rFonts w:hint="eastAsia" w:ascii="仿宋" w:hAnsi="仿宋" w:eastAsia="仿宋"/>
                <w:sz w:val="24"/>
                <w:highlight w:val="none"/>
                <w:lang w:val="en-US" w:eastAsia="zh-CN"/>
              </w:rPr>
              <w:t>s</w:t>
            </w:r>
            <w:r>
              <w:rPr>
                <w:rFonts w:ascii="仿宋" w:hAnsi="仿宋" w:eastAsia="仿宋"/>
                <w:sz w:val="24"/>
                <w:highlight w:val="none"/>
              </w:rPr>
              <w:t>/360°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3.5.2</w:t>
            </w:r>
          </w:p>
        </w:tc>
        <w:tc>
          <w:tcPr>
            <w:tcW w:w="7847" w:type="dxa"/>
            <w:vAlign w:val="top"/>
          </w:tcPr>
          <w:p>
            <w:pPr>
              <w:widowControl/>
              <w:rPr>
                <w:rFonts w:hint="default" w:ascii="仿宋" w:hAnsi="仿宋" w:eastAsia="仿宋"/>
                <w:sz w:val="24"/>
                <w:highlight w:val="none"/>
                <w:lang w:val="en-US" w:eastAsia="zh-CN"/>
              </w:rPr>
            </w:pPr>
            <w:r>
              <w:rPr>
                <w:rFonts w:ascii="仿宋" w:hAnsi="仿宋" w:eastAsia="仿宋"/>
                <w:sz w:val="24"/>
                <w:highlight w:val="none"/>
              </w:rPr>
              <w:t>图像最薄层厚：≤</w:t>
            </w:r>
            <w:r>
              <w:rPr>
                <w:rFonts w:hint="eastAsia" w:ascii="仿宋" w:hAnsi="仿宋" w:eastAsia="仿宋"/>
                <w:sz w:val="24"/>
                <w:highlight w:val="none"/>
                <w:lang w:val="en-US" w:eastAsia="zh-CN"/>
              </w:rPr>
              <w:t>0.625mm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扫描图像层数≥20 层图像/360度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图像重建速度：≥20 幅/秒（512×512 矩阵）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单次螺旋连续扫描时间：≥ 120 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螺旋扫描螺距范围：≥0.35～1.5，任意可调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3.5.8</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显示视野范围≥5cm～0cm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图像质量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空间分辨率Z轴≥18LP/cm(0%MTF)</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空间分辨率(X,Y)轴≥15LP/cm(0%MTF)</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迭代技术，各家提供迭代技术名称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低密度分辨率 5mm@0.3%≤15mGy, 20cm 体模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3.6.5</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CT 值范围：≥-1000Hu 到＋3000Hu</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扩展 CT 值范围：≥-10000Hu 到＋30000Hu</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3.6.7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提供控制台及工作站所有 Dicom3.0 功能接口及控制台 Worklist 连接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临床应用软件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多平面重建 MPR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任意曲面重建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最大密度投影 MIP</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最小密度投影 MinP</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3.7.5</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表面三维重建 3D SSD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组织透明化显示技术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3.78.7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CT 血管成像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3.7.8</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高级容积处理软件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3.7.9</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具备器官融合、拆分技术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3.7.10</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一键式去骨功能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3.7.11</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模拟手术刀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3.7.12</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数字减影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3.7.13</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容积测量评估软件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3.7.14</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肺纹理增强软件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3.7.15</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低剂量扫描软件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3.7.16</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CT 电影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3.7.17</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容积伪影抑制软件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3.7.18</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实时一次注射造影剂自动跟踪扫描功能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3.7.19</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实时智能 X 线剂量调控软件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Align w:val="top"/>
          </w:tcPr>
          <w:p>
            <w:pPr>
              <w:widowControl/>
              <w:jc w:val="center"/>
              <w:rPr>
                <w:rFonts w:hint="eastAsia" w:ascii="仿宋" w:hAnsi="仿宋" w:eastAsia="仿宋"/>
                <w:sz w:val="24"/>
                <w:highlight w:val="none"/>
                <w:lang w:val="en-US" w:eastAsia="zh-CN"/>
              </w:rPr>
            </w:pPr>
            <w:r>
              <w:rPr>
                <w:rFonts w:ascii="仿宋" w:hAnsi="仿宋" w:eastAsia="仿宋"/>
                <w:sz w:val="24"/>
                <w:highlight w:val="none"/>
              </w:rPr>
              <w:t>3.7.20</w:t>
            </w:r>
          </w:p>
        </w:tc>
        <w:tc>
          <w:tcPr>
            <w:tcW w:w="7847" w:type="dxa"/>
            <w:vAlign w:val="top"/>
          </w:tcPr>
          <w:p>
            <w:pPr>
              <w:widowControl/>
              <w:rPr>
                <w:rFonts w:hint="eastAsia" w:ascii="仿宋" w:hAnsi="仿宋" w:eastAsia="仿宋"/>
                <w:sz w:val="24"/>
                <w:highlight w:val="none"/>
              </w:rPr>
            </w:pPr>
            <w:r>
              <w:rPr>
                <w:rFonts w:ascii="仿宋" w:hAnsi="仿宋" w:eastAsia="仿宋"/>
                <w:sz w:val="24"/>
                <w:highlight w:val="none"/>
              </w:rPr>
              <w:t>婴幼儿扫描专用软件包</w:t>
            </w:r>
          </w:p>
        </w:tc>
      </w:tr>
    </w:tbl>
    <w:p>
      <w:pPr>
        <w:snapToGrid w:val="0"/>
        <w:spacing w:line="360" w:lineRule="auto"/>
        <w:jc w:val="center"/>
        <w:outlineLvl w:val="0"/>
        <w:rPr>
          <w:rFonts w:ascii="仿宋" w:hAnsi="仿宋" w:eastAsia="仿宋" w:cs="仿宋"/>
          <w:b/>
          <w:sz w:val="36"/>
          <w:szCs w:val="36"/>
          <w:highlight w:val="none"/>
        </w:rPr>
      </w:pPr>
      <w:r>
        <w:rPr>
          <w:rFonts w:hint="eastAsia" w:ascii="仿宋" w:hAnsi="仿宋" w:eastAsia="仿宋" w:cs="仿宋"/>
          <w:b/>
          <w:sz w:val="24"/>
          <w:highlight w:val="none"/>
        </w:rPr>
        <w:br w:type="page"/>
      </w:r>
      <w:bookmarkStart w:id="37" w:name="_Toc18186"/>
      <w:r>
        <w:rPr>
          <w:rFonts w:hint="eastAsia" w:ascii="仿宋" w:hAnsi="仿宋" w:eastAsia="仿宋" w:cs="仿宋"/>
          <w:b/>
          <w:sz w:val="36"/>
          <w:szCs w:val="36"/>
          <w:highlight w:val="none"/>
        </w:rPr>
        <w:t xml:space="preserve">第四部分   </w:t>
      </w:r>
      <w:bookmarkStart w:id="38" w:name="_Toc184312138"/>
      <w:bookmarkEnd w:id="38"/>
      <w:bookmarkStart w:id="39" w:name="_Toc184312100"/>
      <w:bookmarkEnd w:id="39"/>
      <w:bookmarkStart w:id="40" w:name="_Toc184313266"/>
      <w:bookmarkEnd w:id="40"/>
      <w:bookmarkStart w:id="41" w:name="_Toc184313274"/>
      <w:bookmarkEnd w:id="41"/>
      <w:bookmarkStart w:id="42" w:name="_Toc184308048"/>
      <w:bookmarkEnd w:id="42"/>
      <w:bookmarkStart w:id="43" w:name="_Toc184314413"/>
      <w:bookmarkEnd w:id="43"/>
      <w:bookmarkStart w:id="44" w:name="_Toc184310292"/>
      <w:bookmarkEnd w:id="44"/>
      <w:bookmarkStart w:id="45" w:name="_Toc184313289"/>
      <w:bookmarkEnd w:id="45"/>
      <w:bookmarkStart w:id="46" w:name="_Toc184312121"/>
      <w:bookmarkEnd w:id="46"/>
      <w:bookmarkStart w:id="47" w:name="_Toc184312093"/>
      <w:bookmarkEnd w:id="47"/>
      <w:bookmarkStart w:id="48" w:name="_Toc184313238"/>
      <w:bookmarkEnd w:id="48"/>
      <w:bookmarkStart w:id="49" w:name="_Toc184314477"/>
      <w:bookmarkEnd w:id="49"/>
      <w:bookmarkStart w:id="50" w:name="_Toc184308095"/>
      <w:bookmarkEnd w:id="50"/>
      <w:bookmarkStart w:id="51" w:name="_Toc184310314"/>
      <w:bookmarkEnd w:id="51"/>
      <w:bookmarkStart w:id="52" w:name="_Toc184308091"/>
      <w:bookmarkEnd w:id="52"/>
      <w:bookmarkStart w:id="53" w:name="_Toc184312117"/>
      <w:bookmarkEnd w:id="53"/>
      <w:bookmarkStart w:id="54" w:name="_Toc184308107"/>
      <w:bookmarkEnd w:id="54"/>
      <w:bookmarkStart w:id="55" w:name="_Toc184313301"/>
      <w:bookmarkEnd w:id="55"/>
      <w:bookmarkStart w:id="56" w:name="_Toc184313308"/>
      <w:bookmarkEnd w:id="56"/>
      <w:bookmarkStart w:id="57" w:name="_Toc184310299"/>
      <w:bookmarkEnd w:id="57"/>
      <w:bookmarkStart w:id="58" w:name="_Toc184312084"/>
      <w:bookmarkEnd w:id="58"/>
      <w:bookmarkStart w:id="59" w:name="_Toc184312089"/>
      <w:bookmarkEnd w:id="59"/>
      <w:bookmarkStart w:id="60" w:name="_Toc184310329"/>
      <w:bookmarkEnd w:id="60"/>
      <w:bookmarkStart w:id="61" w:name="_Toc184313246"/>
      <w:bookmarkEnd w:id="61"/>
      <w:bookmarkStart w:id="62" w:name="_Toc184310284"/>
      <w:bookmarkEnd w:id="62"/>
      <w:bookmarkStart w:id="63" w:name="_Toc184313287"/>
      <w:bookmarkEnd w:id="63"/>
      <w:bookmarkStart w:id="64" w:name="_Toc184313245"/>
      <w:bookmarkEnd w:id="64"/>
      <w:bookmarkStart w:id="65" w:name="_Toc184314458"/>
      <w:bookmarkEnd w:id="65"/>
      <w:bookmarkStart w:id="66" w:name="_Toc184308092"/>
      <w:bookmarkEnd w:id="66"/>
      <w:bookmarkStart w:id="67" w:name="_Toc184310334"/>
      <w:bookmarkEnd w:id="67"/>
      <w:bookmarkStart w:id="68" w:name="_Toc184312081"/>
      <w:bookmarkEnd w:id="68"/>
      <w:bookmarkStart w:id="69" w:name="_Toc184308086"/>
      <w:bookmarkEnd w:id="69"/>
      <w:bookmarkStart w:id="70" w:name="_Toc184312116"/>
      <w:bookmarkEnd w:id="70"/>
      <w:bookmarkStart w:id="71" w:name="_Toc184310332"/>
      <w:bookmarkEnd w:id="71"/>
      <w:bookmarkStart w:id="72" w:name="_Toc184310320"/>
      <w:bookmarkEnd w:id="72"/>
      <w:bookmarkStart w:id="73" w:name="_Toc184313292"/>
      <w:bookmarkEnd w:id="73"/>
      <w:bookmarkStart w:id="74" w:name="_Toc184313285"/>
      <w:bookmarkEnd w:id="74"/>
      <w:bookmarkStart w:id="75" w:name="_Toc184310327"/>
      <w:bookmarkEnd w:id="75"/>
      <w:bookmarkStart w:id="76" w:name="_Toc184313280"/>
      <w:bookmarkEnd w:id="76"/>
      <w:bookmarkStart w:id="77" w:name="_Toc184313252"/>
      <w:bookmarkEnd w:id="77"/>
      <w:bookmarkStart w:id="78" w:name="_Toc184310277"/>
      <w:bookmarkEnd w:id="78"/>
      <w:bookmarkStart w:id="79" w:name="_Toc184313261"/>
      <w:bookmarkEnd w:id="79"/>
      <w:bookmarkStart w:id="80" w:name="_Toc184312139"/>
      <w:bookmarkEnd w:id="80"/>
      <w:bookmarkStart w:id="81" w:name="_Toc184313307"/>
      <w:bookmarkEnd w:id="81"/>
      <w:bookmarkStart w:id="82" w:name="_Toc184310283"/>
      <w:bookmarkEnd w:id="82"/>
      <w:bookmarkStart w:id="83" w:name="_Toc184313306"/>
      <w:bookmarkEnd w:id="83"/>
      <w:bookmarkStart w:id="84" w:name="_Toc184314440"/>
      <w:bookmarkEnd w:id="84"/>
      <w:bookmarkStart w:id="85" w:name="_Toc184310274"/>
      <w:bookmarkEnd w:id="85"/>
      <w:bookmarkStart w:id="86" w:name="_Toc184313299"/>
      <w:bookmarkEnd w:id="86"/>
      <w:bookmarkStart w:id="87" w:name="_Toc184314466"/>
      <w:bookmarkEnd w:id="87"/>
      <w:bookmarkStart w:id="88" w:name="_Toc184308058"/>
      <w:bookmarkEnd w:id="88"/>
      <w:bookmarkStart w:id="89" w:name="_Toc184313269"/>
      <w:bookmarkEnd w:id="89"/>
      <w:bookmarkStart w:id="90" w:name="_Toc184314453"/>
      <w:bookmarkEnd w:id="90"/>
      <w:bookmarkStart w:id="91" w:name="_Toc184313302"/>
      <w:bookmarkEnd w:id="91"/>
      <w:bookmarkStart w:id="92" w:name="_Toc184310308"/>
      <w:bookmarkEnd w:id="92"/>
      <w:bookmarkStart w:id="93" w:name="_Toc184312137"/>
      <w:bookmarkEnd w:id="93"/>
      <w:bookmarkStart w:id="94" w:name="_Toc184314449"/>
      <w:bookmarkEnd w:id="94"/>
      <w:bookmarkStart w:id="95" w:name="_Toc184314434"/>
      <w:bookmarkEnd w:id="95"/>
      <w:bookmarkStart w:id="96" w:name="_Toc184314415"/>
      <w:bookmarkEnd w:id="96"/>
      <w:bookmarkStart w:id="97" w:name="_Toc184310316"/>
      <w:bookmarkEnd w:id="97"/>
      <w:bookmarkStart w:id="98" w:name="_Toc184308082"/>
      <w:bookmarkEnd w:id="98"/>
      <w:bookmarkStart w:id="99" w:name="_Toc184312071"/>
      <w:bookmarkEnd w:id="99"/>
      <w:bookmarkStart w:id="100" w:name="_Toc184308088"/>
      <w:bookmarkEnd w:id="100"/>
      <w:bookmarkStart w:id="101" w:name="_Toc184314441"/>
      <w:bookmarkEnd w:id="101"/>
      <w:bookmarkStart w:id="102" w:name="_Toc184312069"/>
      <w:bookmarkEnd w:id="102"/>
      <w:bookmarkStart w:id="103" w:name="_Toc184310276"/>
      <w:bookmarkEnd w:id="103"/>
      <w:bookmarkStart w:id="104" w:name="_Toc184314419"/>
      <w:bookmarkEnd w:id="104"/>
      <w:bookmarkStart w:id="105" w:name="_Toc184313271"/>
      <w:bookmarkEnd w:id="105"/>
      <w:bookmarkStart w:id="106" w:name="_Toc184310335"/>
      <w:bookmarkEnd w:id="106"/>
      <w:bookmarkStart w:id="107" w:name="_Toc184310285"/>
      <w:bookmarkEnd w:id="107"/>
      <w:bookmarkStart w:id="108" w:name="_Toc184313259"/>
      <w:bookmarkEnd w:id="108"/>
      <w:bookmarkStart w:id="109" w:name="_Toc184312132"/>
      <w:bookmarkEnd w:id="109"/>
      <w:bookmarkStart w:id="110" w:name="_Toc184314429"/>
      <w:bookmarkEnd w:id="110"/>
      <w:bookmarkStart w:id="111" w:name="_Toc184308057"/>
      <w:bookmarkEnd w:id="111"/>
      <w:bookmarkStart w:id="112" w:name="_Toc184312130"/>
      <w:bookmarkEnd w:id="112"/>
      <w:bookmarkStart w:id="113" w:name="_Toc184313267"/>
      <w:bookmarkEnd w:id="113"/>
      <w:bookmarkStart w:id="114" w:name="_Toc184310272"/>
      <w:bookmarkEnd w:id="114"/>
      <w:bookmarkStart w:id="115" w:name="_Toc184313303"/>
      <w:bookmarkEnd w:id="115"/>
      <w:bookmarkStart w:id="116" w:name="_Toc184314455"/>
      <w:bookmarkEnd w:id="116"/>
      <w:bookmarkStart w:id="117" w:name="_Toc184312115"/>
      <w:bookmarkEnd w:id="117"/>
      <w:bookmarkStart w:id="118" w:name="_Toc184314432"/>
      <w:bookmarkEnd w:id="118"/>
      <w:bookmarkStart w:id="119" w:name="_Toc184308054"/>
      <w:bookmarkEnd w:id="119"/>
      <w:bookmarkStart w:id="120" w:name="_Toc184314469"/>
      <w:bookmarkEnd w:id="120"/>
      <w:bookmarkStart w:id="121" w:name="_Toc184314422"/>
      <w:bookmarkEnd w:id="121"/>
      <w:bookmarkStart w:id="122" w:name="_Toc184308059"/>
      <w:bookmarkEnd w:id="122"/>
      <w:bookmarkStart w:id="123" w:name="_Toc184308080"/>
      <w:bookmarkEnd w:id="123"/>
      <w:bookmarkStart w:id="124" w:name="_Toc184310300"/>
      <w:bookmarkEnd w:id="124"/>
      <w:bookmarkStart w:id="125" w:name="_Toc184314427"/>
      <w:bookmarkEnd w:id="125"/>
      <w:bookmarkStart w:id="126" w:name="_Toc184313243"/>
      <w:bookmarkEnd w:id="126"/>
      <w:bookmarkStart w:id="127" w:name="_Toc184308040"/>
      <w:bookmarkEnd w:id="127"/>
      <w:bookmarkStart w:id="128" w:name="_Toc184308089"/>
      <w:bookmarkEnd w:id="128"/>
      <w:bookmarkStart w:id="129" w:name="_Toc184312110"/>
      <w:bookmarkEnd w:id="129"/>
      <w:bookmarkStart w:id="130" w:name="_Toc184310306"/>
      <w:bookmarkEnd w:id="130"/>
      <w:bookmarkStart w:id="131" w:name="_Toc184314424"/>
      <w:bookmarkEnd w:id="131"/>
      <w:bookmarkStart w:id="132" w:name="_Toc184310342"/>
      <w:bookmarkEnd w:id="132"/>
      <w:bookmarkStart w:id="133" w:name="_Toc184313268"/>
      <w:bookmarkEnd w:id="133"/>
      <w:bookmarkStart w:id="134" w:name="_Toc184312097"/>
      <w:bookmarkEnd w:id="134"/>
      <w:bookmarkStart w:id="135" w:name="_Toc184314468"/>
      <w:bookmarkEnd w:id="135"/>
      <w:bookmarkStart w:id="136" w:name="_Toc184308108"/>
      <w:bookmarkEnd w:id="136"/>
      <w:bookmarkStart w:id="137" w:name="_Toc184312073"/>
      <w:bookmarkEnd w:id="137"/>
      <w:bookmarkStart w:id="138" w:name="_Toc184313263"/>
      <w:bookmarkEnd w:id="138"/>
      <w:bookmarkStart w:id="139" w:name="_Toc184310343"/>
      <w:bookmarkEnd w:id="139"/>
      <w:bookmarkStart w:id="140" w:name="_Toc184310301"/>
      <w:bookmarkEnd w:id="140"/>
      <w:bookmarkStart w:id="141" w:name="_Toc184312134"/>
      <w:bookmarkEnd w:id="141"/>
      <w:bookmarkStart w:id="142" w:name="_Toc184314442"/>
      <w:bookmarkEnd w:id="142"/>
      <w:bookmarkStart w:id="143" w:name="_Toc184308090"/>
      <w:bookmarkEnd w:id="143"/>
      <w:bookmarkStart w:id="144" w:name="_Toc184310315"/>
      <w:bookmarkEnd w:id="144"/>
      <w:bookmarkStart w:id="145" w:name="_Toc184313262"/>
      <w:bookmarkEnd w:id="145"/>
      <w:bookmarkStart w:id="146" w:name="_Toc184308079"/>
      <w:bookmarkEnd w:id="146"/>
      <w:bookmarkStart w:id="147" w:name="_Toc184313281"/>
      <w:bookmarkEnd w:id="147"/>
      <w:bookmarkStart w:id="148" w:name="_Toc184308068"/>
      <w:bookmarkEnd w:id="148"/>
      <w:bookmarkStart w:id="149" w:name="_Toc184313240"/>
      <w:bookmarkEnd w:id="149"/>
      <w:bookmarkStart w:id="150" w:name="_Toc184314467"/>
      <w:bookmarkEnd w:id="150"/>
      <w:bookmarkStart w:id="151" w:name="_Toc184314423"/>
      <w:bookmarkEnd w:id="151"/>
      <w:bookmarkStart w:id="152" w:name="_Toc184314476"/>
      <w:bookmarkEnd w:id="152"/>
      <w:bookmarkStart w:id="153" w:name="_Toc184310288"/>
      <w:bookmarkEnd w:id="153"/>
      <w:bookmarkStart w:id="154" w:name="_Toc184312103"/>
      <w:bookmarkEnd w:id="154"/>
      <w:bookmarkStart w:id="155" w:name="_Toc184314462"/>
      <w:bookmarkEnd w:id="155"/>
      <w:bookmarkStart w:id="156" w:name="_Toc184312136"/>
      <w:bookmarkEnd w:id="156"/>
      <w:bookmarkStart w:id="157" w:name="_Toc184308096"/>
      <w:bookmarkEnd w:id="157"/>
      <w:bookmarkStart w:id="158" w:name="_Toc184313250"/>
      <w:bookmarkEnd w:id="158"/>
      <w:bookmarkStart w:id="159" w:name="_Toc184314471"/>
      <w:bookmarkEnd w:id="159"/>
      <w:bookmarkStart w:id="160" w:name="_Toc184308066"/>
      <w:bookmarkEnd w:id="160"/>
      <w:bookmarkStart w:id="161" w:name="_Toc184310321"/>
      <w:bookmarkEnd w:id="161"/>
      <w:bookmarkStart w:id="162" w:name="_Toc184308076"/>
      <w:bookmarkEnd w:id="162"/>
      <w:bookmarkStart w:id="163" w:name="_Toc184312127"/>
      <w:bookmarkEnd w:id="163"/>
      <w:bookmarkStart w:id="164" w:name="_Toc184314414"/>
      <w:bookmarkEnd w:id="164"/>
      <w:bookmarkStart w:id="165" w:name="_Toc184310331"/>
      <w:bookmarkEnd w:id="165"/>
      <w:bookmarkStart w:id="166" w:name="_Toc184308106"/>
      <w:bookmarkEnd w:id="166"/>
      <w:bookmarkStart w:id="167" w:name="_Toc184308093"/>
      <w:bookmarkEnd w:id="167"/>
      <w:bookmarkStart w:id="168" w:name="_Toc184313282"/>
      <w:bookmarkEnd w:id="168"/>
      <w:bookmarkStart w:id="169" w:name="_Toc184310307"/>
      <w:bookmarkEnd w:id="169"/>
      <w:bookmarkStart w:id="170" w:name="_Toc184312083"/>
      <w:bookmarkEnd w:id="170"/>
      <w:bookmarkStart w:id="171" w:name="_Toc184314438"/>
      <w:bookmarkEnd w:id="171"/>
      <w:bookmarkStart w:id="172" w:name="_Toc184312108"/>
      <w:bookmarkEnd w:id="172"/>
      <w:bookmarkStart w:id="173" w:name="_Toc184310312"/>
      <w:bookmarkEnd w:id="173"/>
      <w:bookmarkStart w:id="174" w:name="_Toc184312076"/>
      <w:bookmarkEnd w:id="174"/>
      <w:bookmarkStart w:id="175" w:name="_Toc184308064"/>
      <w:bookmarkEnd w:id="175"/>
      <w:bookmarkStart w:id="176" w:name="_Toc184314457"/>
      <w:bookmarkEnd w:id="176"/>
      <w:bookmarkStart w:id="177" w:name="_Toc184314417"/>
      <w:bookmarkEnd w:id="177"/>
      <w:bookmarkStart w:id="178" w:name="_Toc184308069"/>
      <w:bookmarkEnd w:id="178"/>
      <w:bookmarkStart w:id="179" w:name="_Toc184308063"/>
      <w:bookmarkEnd w:id="179"/>
      <w:bookmarkStart w:id="180" w:name="_Toc184310317"/>
      <w:bookmarkEnd w:id="180"/>
      <w:bookmarkStart w:id="181" w:name="_Toc184308077"/>
      <w:bookmarkEnd w:id="181"/>
      <w:bookmarkStart w:id="182" w:name="_Toc184310304"/>
      <w:bookmarkEnd w:id="182"/>
      <w:bookmarkStart w:id="183" w:name="_Toc184313255"/>
      <w:bookmarkEnd w:id="183"/>
      <w:bookmarkStart w:id="184" w:name="_Toc184308072"/>
      <w:bookmarkEnd w:id="184"/>
      <w:bookmarkStart w:id="185" w:name="_Toc184313265"/>
      <w:bookmarkEnd w:id="185"/>
      <w:bookmarkStart w:id="186" w:name="_Toc184313275"/>
      <w:bookmarkEnd w:id="186"/>
      <w:bookmarkStart w:id="187" w:name="_Toc184310278"/>
      <w:bookmarkEnd w:id="187"/>
      <w:bookmarkStart w:id="188" w:name="_Toc184313257"/>
      <w:bookmarkEnd w:id="188"/>
      <w:bookmarkStart w:id="189" w:name="_Toc184314450"/>
      <w:bookmarkEnd w:id="189"/>
      <w:bookmarkStart w:id="190" w:name="_Toc184310296"/>
      <w:bookmarkEnd w:id="190"/>
      <w:bookmarkStart w:id="191" w:name="_Toc184314461"/>
      <w:bookmarkEnd w:id="191"/>
      <w:bookmarkStart w:id="192" w:name="_Toc184313241"/>
      <w:bookmarkEnd w:id="192"/>
      <w:bookmarkStart w:id="193" w:name="_Toc184312105"/>
      <w:bookmarkEnd w:id="193"/>
      <w:bookmarkStart w:id="194" w:name="_Toc184310339"/>
      <w:bookmarkEnd w:id="194"/>
      <w:bookmarkStart w:id="195" w:name="_Toc184310326"/>
      <w:bookmarkEnd w:id="195"/>
      <w:bookmarkStart w:id="196" w:name="_Toc184312111"/>
      <w:bookmarkEnd w:id="196"/>
      <w:bookmarkStart w:id="197" w:name="_Toc184310322"/>
      <w:bookmarkEnd w:id="197"/>
      <w:bookmarkStart w:id="198" w:name="_Toc184310340"/>
      <w:bookmarkEnd w:id="198"/>
      <w:bookmarkStart w:id="199" w:name="_Toc184310328"/>
      <w:bookmarkEnd w:id="199"/>
      <w:bookmarkStart w:id="200" w:name="_Toc184310337"/>
      <w:bookmarkEnd w:id="200"/>
      <w:bookmarkStart w:id="201" w:name="_Toc184312112"/>
      <w:bookmarkEnd w:id="201"/>
      <w:bookmarkStart w:id="202" w:name="_Toc184310293"/>
      <w:bookmarkEnd w:id="202"/>
      <w:bookmarkStart w:id="203" w:name="_Toc184313258"/>
      <w:bookmarkEnd w:id="203"/>
      <w:bookmarkStart w:id="204" w:name="_Toc184310290"/>
      <w:bookmarkEnd w:id="204"/>
      <w:bookmarkStart w:id="205" w:name="_Toc184308037"/>
      <w:bookmarkEnd w:id="205"/>
      <w:bookmarkStart w:id="206" w:name="_Toc184312126"/>
      <w:bookmarkEnd w:id="206"/>
      <w:bookmarkStart w:id="207" w:name="_Toc184312118"/>
      <w:bookmarkEnd w:id="207"/>
      <w:bookmarkStart w:id="208" w:name="_Toc184308045"/>
      <w:bookmarkEnd w:id="208"/>
      <w:bookmarkStart w:id="209" w:name="_Toc184314444"/>
      <w:bookmarkEnd w:id="209"/>
      <w:bookmarkStart w:id="210" w:name="_Toc184310318"/>
      <w:bookmarkEnd w:id="210"/>
      <w:bookmarkStart w:id="211" w:name="_Toc184314480"/>
      <w:bookmarkEnd w:id="211"/>
      <w:bookmarkStart w:id="212" w:name="_Toc184314465"/>
      <w:bookmarkEnd w:id="212"/>
      <w:bookmarkStart w:id="213" w:name="_Toc184314472"/>
      <w:bookmarkEnd w:id="213"/>
      <w:bookmarkStart w:id="214" w:name="_Toc184312106"/>
      <w:bookmarkEnd w:id="214"/>
      <w:bookmarkStart w:id="215" w:name="_Toc184308070"/>
      <w:bookmarkEnd w:id="215"/>
      <w:bookmarkStart w:id="216" w:name="_Toc184314482"/>
      <w:bookmarkEnd w:id="216"/>
      <w:bookmarkStart w:id="217" w:name="_Toc184314448"/>
      <w:bookmarkEnd w:id="217"/>
      <w:bookmarkStart w:id="218" w:name="_Toc184312090"/>
      <w:bookmarkEnd w:id="218"/>
      <w:bookmarkStart w:id="219" w:name="_Toc184308083"/>
      <w:bookmarkEnd w:id="219"/>
      <w:bookmarkStart w:id="220" w:name="_Toc184313297"/>
      <w:bookmarkEnd w:id="220"/>
      <w:bookmarkStart w:id="221" w:name="_Toc184308052"/>
      <w:bookmarkEnd w:id="221"/>
      <w:bookmarkStart w:id="222" w:name="_Toc184314473"/>
      <w:bookmarkEnd w:id="222"/>
      <w:bookmarkStart w:id="223" w:name="_Toc184310311"/>
      <w:bookmarkEnd w:id="223"/>
      <w:bookmarkStart w:id="224" w:name="_Toc184314478"/>
      <w:bookmarkEnd w:id="224"/>
      <w:bookmarkStart w:id="225" w:name="_Toc184308097"/>
      <w:bookmarkEnd w:id="225"/>
      <w:bookmarkStart w:id="226" w:name="_Toc184313291"/>
      <w:bookmarkEnd w:id="226"/>
      <w:bookmarkStart w:id="227" w:name="_Toc184310330"/>
      <w:bookmarkEnd w:id="227"/>
      <w:bookmarkStart w:id="228" w:name="_Toc184314425"/>
      <w:bookmarkEnd w:id="228"/>
      <w:bookmarkStart w:id="229" w:name="_Toc184308075"/>
      <w:bookmarkEnd w:id="229"/>
      <w:bookmarkStart w:id="230" w:name="_Toc184312128"/>
      <w:bookmarkEnd w:id="230"/>
      <w:bookmarkStart w:id="231" w:name="_Toc184308103"/>
      <w:bookmarkEnd w:id="231"/>
      <w:bookmarkStart w:id="232" w:name="_Toc184313270"/>
      <w:bookmarkEnd w:id="232"/>
      <w:bookmarkStart w:id="233" w:name="_Toc184312078"/>
      <w:bookmarkEnd w:id="233"/>
      <w:bookmarkStart w:id="234" w:name="_Toc184313298"/>
      <w:bookmarkEnd w:id="234"/>
      <w:bookmarkStart w:id="235" w:name="_Toc184312070"/>
      <w:bookmarkEnd w:id="235"/>
      <w:bookmarkStart w:id="236" w:name="_Toc184312075"/>
      <w:bookmarkEnd w:id="236"/>
      <w:bookmarkStart w:id="237" w:name="_Toc184312095"/>
      <w:bookmarkEnd w:id="237"/>
      <w:bookmarkStart w:id="238" w:name="_Toc184310286"/>
      <w:bookmarkEnd w:id="238"/>
      <w:bookmarkStart w:id="239" w:name="_Toc184308085"/>
      <w:bookmarkEnd w:id="239"/>
      <w:bookmarkStart w:id="240" w:name="_Toc184310298"/>
      <w:bookmarkEnd w:id="240"/>
      <w:bookmarkStart w:id="241" w:name="_Toc184312099"/>
      <w:bookmarkEnd w:id="241"/>
      <w:bookmarkStart w:id="242" w:name="_Toc184310323"/>
      <w:bookmarkEnd w:id="242"/>
      <w:bookmarkStart w:id="243" w:name="_Toc184312124"/>
      <w:bookmarkEnd w:id="243"/>
      <w:bookmarkStart w:id="244" w:name="_Toc184310273"/>
      <w:bookmarkEnd w:id="244"/>
      <w:bookmarkStart w:id="245" w:name="_Toc184308081"/>
      <w:bookmarkEnd w:id="245"/>
      <w:bookmarkStart w:id="246" w:name="_Toc184308065"/>
      <w:bookmarkEnd w:id="246"/>
      <w:bookmarkStart w:id="247" w:name="_Toc184313277"/>
      <w:bookmarkEnd w:id="247"/>
      <w:bookmarkStart w:id="248" w:name="_Toc184313251"/>
      <w:bookmarkEnd w:id="248"/>
      <w:bookmarkStart w:id="249" w:name="_Toc184312122"/>
      <w:bookmarkEnd w:id="249"/>
      <w:bookmarkStart w:id="250" w:name="_Toc184313279"/>
      <w:bookmarkEnd w:id="250"/>
      <w:bookmarkStart w:id="251" w:name="_Toc184308100"/>
      <w:bookmarkEnd w:id="251"/>
      <w:bookmarkStart w:id="252" w:name="_Toc184312072"/>
      <w:bookmarkEnd w:id="252"/>
      <w:bookmarkStart w:id="253" w:name="_Toc184310325"/>
      <w:bookmarkEnd w:id="253"/>
      <w:bookmarkStart w:id="254" w:name="_Toc184312088"/>
      <w:bookmarkEnd w:id="254"/>
      <w:bookmarkStart w:id="255" w:name="_Toc184314435"/>
      <w:bookmarkEnd w:id="255"/>
      <w:bookmarkStart w:id="256" w:name="_Toc184314411"/>
      <w:bookmarkEnd w:id="256"/>
      <w:bookmarkStart w:id="257" w:name="_Toc184308087"/>
      <w:bookmarkEnd w:id="257"/>
      <w:bookmarkStart w:id="258" w:name="_Toc184312092"/>
      <w:bookmarkEnd w:id="258"/>
      <w:bookmarkStart w:id="259" w:name="_Toc184313278"/>
      <w:bookmarkEnd w:id="259"/>
      <w:bookmarkStart w:id="260" w:name="_Toc184314431"/>
      <w:bookmarkEnd w:id="260"/>
      <w:bookmarkStart w:id="261" w:name="_Toc184314481"/>
      <w:bookmarkEnd w:id="261"/>
      <w:bookmarkStart w:id="262" w:name="_Toc184308104"/>
      <w:bookmarkEnd w:id="262"/>
      <w:bookmarkStart w:id="263" w:name="_Toc184310319"/>
      <w:bookmarkEnd w:id="263"/>
      <w:bookmarkStart w:id="264" w:name="_Toc184313300"/>
      <w:bookmarkEnd w:id="264"/>
      <w:bookmarkStart w:id="265" w:name="_Toc184312082"/>
      <w:bookmarkEnd w:id="265"/>
      <w:bookmarkStart w:id="266" w:name="_Toc184312109"/>
      <w:bookmarkEnd w:id="266"/>
      <w:bookmarkStart w:id="267" w:name="_Toc184313284"/>
      <w:bookmarkEnd w:id="267"/>
      <w:bookmarkStart w:id="268" w:name="_Toc184314447"/>
      <w:bookmarkEnd w:id="268"/>
      <w:bookmarkStart w:id="269" w:name="_Toc184314430"/>
      <w:bookmarkEnd w:id="269"/>
      <w:bookmarkStart w:id="270" w:name="_Toc184312119"/>
      <w:bookmarkEnd w:id="270"/>
      <w:bookmarkStart w:id="271" w:name="_Toc184310310"/>
      <w:bookmarkEnd w:id="271"/>
      <w:bookmarkStart w:id="272" w:name="_Toc184312094"/>
      <w:bookmarkEnd w:id="272"/>
      <w:bookmarkStart w:id="273" w:name="_Toc184308105"/>
      <w:bookmarkEnd w:id="273"/>
      <w:bookmarkStart w:id="274" w:name="_Toc184312074"/>
      <w:bookmarkEnd w:id="274"/>
      <w:bookmarkStart w:id="275" w:name="_Toc184313309"/>
      <w:bookmarkEnd w:id="275"/>
      <w:bookmarkStart w:id="276" w:name="_Toc184314460"/>
      <w:bookmarkEnd w:id="276"/>
      <w:bookmarkStart w:id="277" w:name="_Toc184312123"/>
      <w:bookmarkEnd w:id="277"/>
      <w:bookmarkStart w:id="278" w:name="_Toc184314443"/>
      <w:bookmarkEnd w:id="278"/>
      <w:bookmarkStart w:id="279" w:name="_Toc184312131"/>
      <w:bookmarkEnd w:id="279"/>
      <w:bookmarkStart w:id="280" w:name="_Toc184313290"/>
      <w:bookmarkEnd w:id="280"/>
      <w:bookmarkStart w:id="281" w:name="_Toc184313296"/>
      <w:bookmarkEnd w:id="281"/>
      <w:bookmarkStart w:id="282" w:name="_Toc184314428"/>
      <w:bookmarkEnd w:id="282"/>
      <w:bookmarkStart w:id="283" w:name="_Toc184308078"/>
      <w:bookmarkEnd w:id="283"/>
      <w:bookmarkStart w:id="284" w:name="_Toc184313256"/>
      <w:bookmarkEnd w:id="284"/>
      <w:bookmarkStart w:id="285" w:name="_Toc184312098"/>
      <w:bookmarkEnd w:id="285"/>
      <w:bookmarkStart w:id="286" w:name="_Toc184308073"/>
      <w:bookmarkEnd w:id="286"/>
      <w:bookmarkStart w:id="287" w:name="_Toc184313253"/>
      <w:bookmarkEnd w:id="287"/>
      <w:bookmarkStart w:id="288" w:name="_Toc184314418"/>
      <w:bookmarkEnd w:id="288"/>
      <w:bookmarkStart w:id="289" w:name="_Toc184312129"/>
      <w:bookmarkEnd w:id="289"/>
      <w:bookmarkStart w:id="290" w:name="_Toc184310305"/>
      <w:bookmarkEnd w:id="290"/>
      <w:bookmarkStart w:id="291" w:name="_Toc184310295"/>
      <w:bookmarkEnd w:id="291"/>
      <w:bookmarkStart w:id="292" w:name="_Toc184313310"/>
      <w:bookmarkEnd w:id="292"/>
      <w:bookmarkStart w:id="293" w:name="_Toc184310289"/>
      <w:bookmarkEnd w:id="293"/>
      <w:bookmarkStart w:id="294" w:name="_Toc184314446"/>
      <w:bookmarkEnd w:id="294"/>
      <w:bookmarkStart w:id="295" w:name="_Toc184312135"/>
      <w:bookmarkEnd w:id="295"/>
      <w:bookmarkStart w:id="296" w:name="_Toc184310282"/>
      <w:bookmarkEnd w:id="296"/>
      <w:bookmarkStart w:id="297" w:name="_Toc184314474"/>
      <w:bookmarkEnd w:id="297"/>
      <w:bookmarkStart w:id="298" w:name="_Toc184312133"/>
      <w:bookmarkEnd w:id="298"/>
      <w:bookmarkStart w:id="299" w:name="_Toc184312085"/>
      <w:bookmarkEnd w:id="299"/>
      <w:bookmarkStart w:id="300" w:name="_Toc184314470"/>
      <w:bookmarkEnd w:id="300"/>
      <w:bookmarkStart w:id="301" w:name="_Toc184308041"/>
      <w:bookmarkEnd w:id="301"/>
      <w:bookmarkStart w:id="302" w:name="_Toc184310324"/>
      <w:bookmarkEnd w:id="302"/>
      <w:bookmarkStart w:id="303" w:name="_Toc184314445"/>
      <w:bookmarkEnd w:id="303"/>
      <w:bookmarkStart w:id="304" w:name="_Toc184308060"/>
      <w:bookmarkEnd w:id="304"/>
      <w:bookmarkStart w:id="305" w:name="_Toc184312091"/>
      <w:bookmarkEnd w:id="305"/>
      <w:bookmarkStart w:id="306" w:name="_Toc184308036"/>
      <w:bookmarkEnd w:id="306"/>
      <w:bookmarkStart w:id="307" w:name="_Toc184314475"/>
      <w:bookmarkEnd w:id="307"/>
      <w:bookmarkStart w:id="308" w:name="_Toc184310280"/>
      <w:bookmarkEnd w:id="308"/>
      <w:bookmarkStart w:id="309" w:name="_Toc184310313"/>
      <w:bookmarkEnd w:id="309"/>
      <w:bookmarkStart w:id="310" w:name="_Toc184312087"/>
      <w:bookmarkEnd w:id="310"/>
      <w:bookmarkStart w:id="311" w:name="_Toc184313273"/>
      <w:bookmarkEnd w:id="311"/>
      <w:bookmarkStart w:id="312" w:name="_Toc184308055"/>
      <w:bookmarkEnd w:id="312"/>
      <w:bookmarkStart w:id="313" w:name="_Toc184310287"/>
      <w:bookmarkEnd w:id="313"/>
      <w:bookmarkStart w:id="314" w:name="_Toc184313288"/>
      <w:bookmarkEnd w:id="314"/>
      <w:bookmarkStart w:id="315" w:name="_Toc184308062"/>
      <w:bookmarkEnd w:id="315"/>
      <w:bookmarkStart w:id="316" w:name="_Toc184310281"/>
      <w:bookmarkEnd w:id="316"/>
      <w:bookmarkStart w:id="317" w:name="_Toc184314433"/>
      <w:bookmarkEnd w:id="317"/>
      <w:bookmarkStart w:id="318" w:name="_Toc184308053"/>
      <w:bookmarkEnd w:id="318"/>
      <w:bookmarkStart w:id="319" w:name="_Toc184313276"/>
      <w:bookmarkEnd w:id="319"/>
      <w:bookmarkStart w:id="320" w:name="_Toc184310297"/>
      <w:bookmarkEnd w:id="320"/>
      <w:bookmarkStart w:id="321" w:name="_Toc184308050"/>
      <w:bookmarkEnd w:id="321"/>
      <w:bookmarkStart w:id="322" w:name="_Toc184314456"/>
      <w:bookmarkEnd w:id="322"/>
      <w:bookmarkStart w:id="323" w:name="_Toc184313248"/>
      <w:bookmarkEnd w:id="323"/>
      <w:bookmarkStart w:id="324" w:name="_Toc184314451"/>
      <w:bookmarkEnd w:id="324"/>
      <w:bookmarkStart w:id="325" w:name="_Toc184312107"/>
      <w:bookmarkEnd w:id="325"/>
      <w:bookmarkStart w:id="326" w:name="_Toc184314436"/>
      <w:bookmarkEnd w:id="326"/>
      <w:bookmarkStart w:id="327" w:name="_Toc184310336"/>
      <w:bookmarkEnd w:id="327"/>
      <w:bookmarkStart w:id="328" w:name="_Toc184312104"/>
      <w:bookmarkEnd w:id="328"/>
      <w:bookmarkStart w:id="329" w:name="_Toc184313305"/>
      <w:bookmarkEnd w:id="329"/>
      <w:bookmarkStart w:id="330" w:name="_Toc184313260"/>
      <w:bookmarkEnd w:id="330"/>
      <w:bookmarkStart w:id="331" w:name="_Toc184310341"/>
      <w:bookmarkEnd w:id="331"/>
      <w:bookmarkStart w:id="332" w:name="_Toc184314416"/>
      <w:bookmarkEnd w:id="332"/>
      <w:bookmarkStart w:id="333" w:name="_Toc184313304"/>
      <w:bookmarkEnd w:id="333"/>
      <w:bookmarkStart w:id="334" w:name="_Toc184312102"/>
      <w:bookmarkEnd w:id="334"/>
      <w:bookmarkStart w:id="335" w:name="_Toc184308094"/>
      <w:bookmarkEnd w:id="335"/>
      <w:bookmarkStart w:id="336" w:name="_Toc184308101"/>
      <w:bookmarkEnd w:id="336"/>
      <w:bookmarkStart w:id="337" w:name="_Toc184314420"/>
      <w:bookmarkEnd w:id="337"/>
      <w:bookmarkStart w:id="338" w:name="_Toc184308099"/>
      <w:bookmarkEnd w:id="338"/>
      <w:bookmarkStart w:id="339" w:name="_Toc184314410"/>
      <w:bookmarkEnd w:id="339"/>
      <w:bookmarkStart w:id="340" w:name="_Toc184312067"/>
      <w:bookmarkEnd w:id="340"/>
      <w:bookmarkStart w:id="341" w:name="_Toc184308047"/>
      <w:bookmarkEnd w:id="341"/>
      <w:bookmarkStart w:id="342" w:name="_Toc184312086"/>
      <w:bookmarkEnd w:id="342"/>
      <w:bookmarkStart w:id="343" w:name="_Toc184314463"/>
      <w:bookmarkEnd w:id="343"/>
      <w:bookmarkStart w:id="344" w:name="_Toc184308098"/>
      <w:bookmarkEnd w:id="344"/>
      <w:bookmarkStart w:id="345" w:name="_Toc184313272"/>
      <w:bookmarkEnd w:id="345"/>
      <w:bookmarkStart w:id="346" w:name="_Toc184314439"/>
      <w:bookmarkEnd w:id="346"/>
      <w:bookmarkStart w:id="347" w:name="_Toc184308044"/>
      <w:bookmarkEnd w:id="347"/>
      <w:bookmarkStart w:id="348" w:name="_Toc184308049"/>
      <w:bookmarkEnd w:id="348"/>
      <w:bookmarkStart w:id="349" w:name="_Toc184310344"/>
      <w:bookmarkEnd w:id="349"/>
      <w:bookmarkStart w:id="350" w:name="_Toc184312068"/>
      <w:bookmarkEnd w:id="350"/>
      <w:bookmarkStart w:id="351" w:name="_Toc184313283"/>
      <w:bookmarkEnd w:id="351"/>
      <w:bookmarkStart w:id="352" w:name="_Toc184308061"/>
      <w:bookmarkEnd w:id="352"/>
      <w:bookmarkStart w:id="353" w:name="_Toc184314459"/>
      <w:bookmarkEnd w:id="353"/>
      <w:bookmarkStart w:id="354" w:name="_Toc184310294"/>
      <w:bookmarkEnd w:id="354"/>
      <w:bookmarkStart w:id="355" w:name="_Toc184313295"/>
      <w:bookmarkEnd w:id="355"/>
      <w:bookmarkStart w:id="356" w:name="_Toc184314464"/>
      <w:bookmarkEnd w:id="356"/>
      <w:bookmarkStart w:id="357" w:name="_Toc184313264"/>
      <w:bookmarkEnd w:id="357"/>
      <w:bookmarkStart w:id="358" w:name="_Toc184313294"/>
      <w:bookmarkEnd w:id="358"/>
      <w:bookmarkStart w:id="359" w:name="_Toc184313254"/>
      <w:bookmarkEnd w:id="359"/>
      <w:bookmarkStart w:id="360" w:name="_Toc184310275"/>
      <w:bookmarkEnd w:id="360"/>
      <w:bookmarkStart w:id="361" w:name="_Toc184308043"/>
      <w:bookmarkEnd w:id="361"/>
      <w:bookmarkStart w:id="362" w:name="_Toc184313249"/>
      <w:bookmarkEnd w:id="362"/>
      <w:bookmarkStart w:id="363" w:name="_Toc184308056"/>
      <w:bookmarkEnd w:id="363"/>
      <w:bookmarkStart w:id="364" w:name="_Toc184313242"/>
      <w:bookmarkEnd w:id="364"/>
      <w:bookmarkStart w:id="365" w:name="_Toc184308071"/>
      <w:bookmarkEnd w:id="365"/>
      <w:bookmarkStart w:id="366" w:name="_Toc184312101"/>
      <w:bookmarkEnd w:id="366"/>
      <w:bookmarkStart w:id="367" w:name="_Toc184308046"/>
      <w:bookmarkEnd w:id="367"/>
      <w:bookmarkStart w:id="368" w:name="_Toc184308042"/>
      <w:bookmarkEnd w:id="368"/>
      <w:bookmarkStart w:id="369" w:name="_Toc184310279"/>
      <w:bookmarkEnd w:id="369"/>
      <w:bookmarkStart w:id="370" w:name="_Toc184314452"/>
      <w:bookmarkEnd w:id="370"/>
      <w:bookmarkStart w:id="371" w:name="_Toc184308067"/>
      <w:bookmarkEnd w:id="371"/>
      <w:bookmarkStart w:id="372" w:name="_Toc184313247"/>
      <w:bookmarkEnd w:id="372"/>
      <w:bookmarkStart w:id="373" w:name="_Toc184314426"/>
      <w:bookmarkEnd w:id="373"/>
      <w:bookmarkStart w:id="374" w:name="_Toc184312113"/>
      <w:bookmarkEnd w:id="374"/>
      <w:bookmarkStart w:id="375" w:name="_Toc184312079"/>
      <w:bookmarkEnd w:id="375"/>
      <w:bookmarkStart w:id="376" w:name="_Toc184312125"/>
      <w:bookmarkEnd w:id="376"/>
      <w:bookmarkStart w:id="377" w:name="_Toc184310291"/>
      <w:bookmarkEnd w:id="377"/>
      <w:bookmarkStart w:id="378" w:name="_Toc184313239"/>
      <w:bookmarkEnd w:id="378"/>
      <w:bookmarkStart w:id="379" w:name="_Toc184310338"/>
      <w:bookmarkEnd w:id="379"/>
      <w:bookmarkStart w:id="380" w:name="_Toc184314437"/>
      <w:bookmarkEnd w:id="380"/>
      <w:bookmarkStart w:id="381" w:name="_Toc184314454"/>
      <w:bookmarkEnd w:id="381"/>
      <w:bookmarkStart w:id="382" w:name="_Toc184310302"/>
      <w:bookmarkEnd w:id="382"/>
      <w:bookmarkStart w:id="383" w:name="_Toc184314479"/>
      <w:bookmarkEnd w:id="383"/>
      <w:bookmarkStart w:id="384" w:name="_Toc184308039"/>
      <w:bookmarkEnd w:id="384"/>
      <w:bookmarkStart w:id="385" w:name="_Toc184308084"/>
      <w:bookmarkEnd w:id="385"/>
      <w:bookmarkStart w:id="386" w:name="_Toc184314421"/>
      <w:bookmarkEnd w:id="386"/>
      <w:bookmarkStart w:id="387" w:name="_Toc184310309"/>
      <w:bookmarkEnd w:id="387"/>
      <w:bookmarkStart w:id="388" w:name="_Toc184308051"/>
      <w:bookmarkEnd w:id="388"/>
      <w:bookmarkStart w:id="389" w:name="_Toc184310333"/>
      <w:bookmarkEnd w:id="389"/>
      <w:bookmarkStart w:id="390" w:name="_Toc184312080"/>
      <w:bookmarkEnd w:id="390"/>
      <w:bookmarkStart w:id="391" w:name="_Toc184313244"/>
      <w:bookmarkEnd w:id="391"/>
      <w:bookmarkStart w:id="392" w:name="_Toc184313293"/>
      <w:bookmarkEnd w:id="392"/>
      <w:bookmarkStart w:id="393" w:name="_Toc184308038"/>
      <w:bookmarkEnd w:id="393"/>
      <w:bookmarkStart w:id="394" w:name="_Toc184312096"/>
      <w:bookmarkEnd w:id="394"/>
      <w:bookmarkStart w:id="395" w:name="_Toc184310303"/>
      <w:bookmarkEnd w:id="395"/>
      <w:bookmarkStart w:id="396" w:name="_Toc184312114"/>
      <w:bookmarkEnd w:id="396"/>
      <w:bookmarkStart w:id="397" w:name="_Toc184308102"/>
      <w:bookmarkEnd w:id="397"/>
      <w:bookmarkStart w:id="398" w:name="_Toc184313286"/>
      <w:bookmarkEnd w:id="398"/>
      <w:bookmarkStart w:id="399" w:name="_Toc184314412"/>
      <w:bookmarkEnd w:id="399"/>
      <w:bookmarkStart w:id="400" w:name="_Toc184312077"/>
      <w:bookmarkEnd w:id="400"/>
      <w:bookmarkStart w:id="401" w:name="_Toc184312120"/>
      <w:bookmarkEnd w:id="401"/>
      <w:bookmarkStart w:id="402" w:name="_Toc184308074"/>
      <w:bookmarkEnd w:id="402"/>
      <w:r>
        <w:rPr>
          <w:rFonts w:hint="eastAsia" w:ascii="仿宋" w:hAnsi="仿宋" w:eastAsia="仿宋" w:cs="仿宋"/>
          <w:b/>
          <w:sz w:val="36"/>
          <w:szCs w:val="36"/>
          <w:highlight w:val="none"/>
        </w:rPr>
        <w:t>评标办法</w:t>
      </w:r>
      <w:bookmarkEnd w:id="37"/>
    </w:p>
    <w:p>
      <w:pPr>
        <w:snapToGrid w:val="0"/>
        <w:spacing w:line="360" w:lineRule="auto"/>
        <w:jc w:val="center"/>
        <w:rPr>
          <w:rFonts w:hint="eastAsia" w:ascii="仿宋" w:hAnsi="仿宋" w:eastAsia="仿宋" w:cs="仿宋"/>
          <w:b/>
          <w:sz w:val="32"/>
          <w:szCs w:val="20"/>
          <w:highlight w:val="none"/>
        </w:rPr>
      </w:pPr>
      <w:r>
        <w:rPr>
          <w:rFonts w:hint="eastAsia" w:ascii="仿宋" w:hAnsi="仿宋" w:eastAsia="仿宋" w:cs="仿宋"/>
          <w:b/>
          <w:sz w:val="32"/>
          <w:szCs w:val="20"/>
          <w:highlight w:val="none"/>
        </w:rPr>
        <w:t>评标办法前附表</w:t>
      </w:r>
    </w:p>
    <w:p>
      <w:pPr>
        <w:snapToGrid w:val="0"/>
        <w:spacing w:line="360" w:lineRule="auto"/>
        <w:jc w:val="both"/>
        <w:rPr>
          <w:color w:val="auto"/>
          <w:sz w:val="24"/>
          <w:szCs w:val="24"/>
          <w:highlight w:val="none"/>
        </w:rPr>
      </w:pPr>
      <w:r>
        <w:rPr>
          <w:rFonts w:hint="eastAsia"/>
          <w:b/>
          <w:bCs/>
          <w:color w:val="auto"/>
          <w:sz w:val="24"/>
          <w:szCs w:val="24"/>
          <w:highlight w:val="none"/>
          <w:lang w:val="en-US" w:eastAsia="zh-CN"/>
        </w:rPr>
        <w:t>商务</w:t>
      </w:r>
      <w:r>
        <w:rPr>
          <w:rFonts w:hint="eastAsia"/>
          <w:b/>
          <w:bCs/>
          <w:color w:val="auto"/>
          <w:sz w:val="24"/>
          <w:szCs w:val="24"/>
          <w:highlight w:val="none"/>
        </w:rPr>
        <w:t>技术分（</w:t>
      </w:r>
      <w:r>
        <w:rPr>
          <w:rFonts w:hint="eastAsia"/>
          <w:b/>
          <w:bCs/>
          <w:color w:val="auto"/>
          <w:sz w:val="24"/>
          <w:szCs w:val="24"/>
          <w:highlight w:val="none"/>
          <w:lang w:val="en-US" w:eastAsia="zh-CN"/>
        </w:rPr>
        <w:t>7</w:t>
      </w:r>
      <w:r>
        <w:rPr>
          <w:rFonts w:hint="eastAsia"/>
          <w:b/>
          <w:bCs/>
          <w:color w:val="auto"/>
          <w:sz w:val="24"/>
          <w:szCs w:val="24"/>
          <w:highlight w:val="none"/>
        </w:rPr>
        <w:t>0分）</w:t>
      </w:r>
    </w:p>
    <w:tbl>
      <w:tblPr>
        <w:tblStyle w:val="62"/>
        <w:tblW w:w="89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90"/>
        <w:gridCol w:w="16"/>
        <w:gridCol w:w="919"/>
        <w:gridCol w:w="59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0" w:type="dxa"/>
            <w:noWrap w:val="0"/>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306" w:type="dxa"/>
            <w:gridSpan w:val="2"/>
            <w:noWrap w:val="0"/>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评标项目</w:t>
            </w:r>
          </w:p>
        </w:tc>
        <w:tc>
          <w:tcPr>
            <w:tcW w:w="919" w:type="dxa"/>
            <w:noWrap w:val="0"/>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分值</w:t>
            </w:r>
          </w:p>
        </w:tc>
        <w:tc>
          <w:tcPr>
            <w:tcW w:w="5946" w:type="dxa"/>
            <w:noWrap w:val="0"/>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3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06" w:type="dxa"/>
            <w:gridSpan w:val="2"/>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对招标文件技术要求的响应程度</w:t>
            </w:r>
          </w:p>
        </w:tc>
        <w:tc>
          <w:tcPr>
            <w:tcW w:w="919"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分</w:t>
            </w:r>
          </w:p>
        </w:tc>
        <w:tc>
          <w:tcPr>
            <w:tcW w:w="5946" w:type="dxa"/>
            <w:noWrap w:val="0"/>
            <w:vAlign w:val="top"/>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1.设备技术参数完全满足招标文件技术要求得</w:t>
            </w:r>
            <w:r>
              <w:rPr>
                <w:rFonts w:hint="eastAsia" w:ascii="仿宋" w:hAnsi="仿宋" w:eastAsia="仿宋" w:cs="仿宋"/>
                <w:color w:val="auto"/>
                <w:sz w:val="24"/>
                <w:highlight w:val="none"/>
                <w:lang w:val="en-US" w:eastAsia="zh-CN"/>
              </w:rPr>
              <w:t>47</w:t>
            </w:r>
            <w:r>
              <w:rPr>
                <w:rFonts w:hint="eastAsia" w:ascii="仿宋" w:hAnsi="仿宋" w:eastAsia="仿宋" w:cs="仿宋"/>
                <w:color w:val="auto"/>
                <w:sz w:val="24"/>
                <w:highlight w:val="none"/>
              </w:rPr>
              <w:t>分。</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2.技术规格及要求中标注“▲”号的为关键参数，对这些技术参数的负偏离将导致废标</w:t>
            </w:r>
            <w:r>
              <w:rPr>
                <w:rFonts w:hint="eastAsia" w:ascii="仿宋" w:hAnsi="仿宋" w:eastAsia="仿宋" w:cs="仿宋"/>
                <w:color w:val="auto"/>
                <w:sz w:val="24"/>
                <w:highlight w:val="none"/>
                <w:lang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sz w:val="24"/>
                <w:szCs w:val="24"/>
                <w:highlight w:val="none"/>
              </w:rPr>
              <w:t>★</w:t>
            </w:r>
            <w:r>
              <w:rPr>
                <w:rFonts w:hint="eastAsia" w:ascii="仿宋" w:hAnsi="仿宋" w:eastAsia="仿宋" w:cs="仿宋"/>
                <w:color w:val="auto"/>
                <w:sz w:val="24"/>
                <w:highlight w:val="none"/>
              </w:rPr>
              <w:t>重要参数每一项不符合的则扣</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一般参数，每一项不符合的则扣</w:t>
            </w:r>
            <w:r>
              <w:rPr>
                <w:rFonts w:hint="eastAsia" w:ascii="仿宋" w:hAnsi="仿宋" w:eastAsia="仿宋" w:cs="仿宋"/>
                <w:color w:val="auto"/>
                <w:sz w:val="24"/>
                <w:highlight w:val="none"/>
                <w:lang w:val="en-US" w:eastAsia="zh-CN"/>
              </w:rPr>
              <w:t>0.16</w:t>
            </w:r>
            <w:r>
              <w:rPr>
                <w:rFonts w:hint="eastAsia" w:ascii="仿宋" w:hAnsi="仿宋" w:eastAsia="仿宋" w:cs="仿宋"/>
                <w:color w:val="auto"/>
                <w:sz w:val="24"/>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0" w:type="dxa"/>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306" w:type="dxa"/>
            <w:gridSpan w:val="2"/>
            <w:noWrap w:val="0"/>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安装调试方案</w:t>
            </w:r>
          </w:p>
        </w:tc>
        <w:tc>
          <w:tcPr>
            <w:tcW w:w="919" w:type="dxa"/>
            <w:noWrap w:val="0"/>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tc>
        <w:tc>
          <w:tcPr>
            <w:tcW w:w="5946" w:type="dxa"/>
            <w:noWrap w:val="0"/>
            <w:vAlign w:val="center"/>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根据投标人针对本项目的安装调试方案，包括但不限于①安装场地情况了解：</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有现场踏勘的可自行制作踏勘确认表去医院设备科盖章，做进标书，有的得1分，没有的不得分；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②安装人员配置安排：</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安排合理得2分，其他的0-1分；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③安装调试步骤、措施及问题的解决方案：</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安排合理得2分，其他的0-1分。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730" w:type="dxa"/>
            <w:noWrap w:val="0"/>
            <w:vAlign w:val="center"/>
          </w:tcPr>
          <w:p>
            <w:pPr>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290" w:type="dxa"/>
            <w:noWrap w:val="0"/>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政策条件</w:t>
            </w:r>
          </w:p>
        </w:tc>
        <w:tc>
          <w:tcPr>
            <w:tcW w:w="935" w:type="dxa"/>
            <w:gridSpan w:val="2"/>
            <w:noWrap w:val="0"/>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tc>
        <w:tc>
          <w:tcPr>
            <w:tcW w:w="5946" w:type="dxa"/>
            <w:noWrap w:val="0"/>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对所投产品是否取得有效的政府采购节能产品、环境标志产品认证证书的情况进行评价给分（已列入强制要求的除外）。所投产品取得节能产品认证证书的，得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分；所投产品取得环境标志产品的，得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分。证明材料：提供国家确定的认证机构出具的、处于有效期之内的节能产品、环境标志产品认证证书复印件。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30" w:type="dxa"/>
            <w:vMerge w:val="restart"/>
            <w:noWrap w:val="0"/>
            <w:vAlign w:val="center"/>
          </w:tcPr>
          <w:p>
            <w:pPr>
              <w:spacing w:line="360" w:lineRule="auto"/>
              <w:ind w:firstLine="240" w:firstLineChars="100"/>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290" w:type="dxa"/>
            <w:vMerge w:val="restart"/>
            <w:noWrap w:val="0"/>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售后服务方案</w:t>
            </w:r>
          </w:p>
        </w:tc>
        <w:tc>
          <w:tcPr>
            <w:tcW w:w="935" w:type="dxa"/>
            <w:gridSpan w:val="2"/>
            <w:vMerge w:val="restart"/>
            <w:noWrap w:val="0"/>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6分</w:t>
            </w:r>
          </w:p>
        </w:tc>
        <w:tc>
          <w:tcPr>
            <w:tcW w:w="5946" w:type="dxa"/>
            <w:noWrap w:val="0"/>
            <w:vAlign w:val="center"/>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售后服务方案，包括但不限于服务响应时间、故障解决方案。</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响应时间短，解决方案充分得</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响应时间一般，解决方案较合理得1分；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响应时间长，解决方案差0.5分；</w:t>
            </w:r>
          </w:p>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无解决方案得0分。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30" w:type="dxa"/>
            <w:vMerge w:val="continue"/>
            <w:noWrap w:val="0"/>
            <w:vAlign w:val="center"/>
          </w:tcPr>
          <w:p>
            <w:pPr>
              <w:spacing w:line="360" w:lineRule="auto"/>
              <w:jc w:val="center"/>
              <w:rPr>
                <w:rFonts w:ascii="仿宋" w:hAnsi="仿宋" w:eastAsia="仿宋" w:cs="仿宋"/>
                <w:color w:val="auto"/>
                <w:sz w:val="24"/>
                <w:highlight w:val="none"/>
              </w:rPr>
            </w:pPr>
          </w:p>
        </w:tc>
        <w:tc>
          <w:tcPr>
            <w:tcW w:w="1290" w:type="dxa"/>
            <w:vMerge w:val="continue"/>
            <w:noWrap w:val="0"/>
            <w:vAlign w:val="center"/>
          </w:tcPr>
          <w:p>
            <w:pPr>
              <w:spacing w:line="360" w:lineRule="auto"/>
              <w:jc w:val="center"/>
              <w:rPr>
                <w:rFonts w:ascii="仿宋" w:hAnsi="仿宋" w:eastAsia="仿宋" w:cs="仿宋"/>
                <w:color w:val="auto"/>
                <w:sz w:val="24"/>
                <w:highlight w:val="none"/>
              </w:rPr>
            </w:pPr>
          </w:p>
        </w:tc>
        <w:tc>
          <w:tcPr>
            <w:tcW w:w="935" w:type="dxa"/>
            <w:gridSpan w:val="2"/>
            <w:vMerge w:val="continue"/>
            <w:noWrap w:val="0"/>
            <w:vAlign w:val="center"/>
          </w:tcPr>
          <w:p>
            <w:pPr>
              <w:spacing w:line="360" w:lineRule="auto"/>
              <w:jc w:val="center"/>
              <w:rPr>
                <w:rFonts w:ascii="仿宋" w:hAnsi="仿宋" w:eastAsia="仿宋" w:cs="仿宋"/>
                <w:color w:val="auto"/>
                <w:sz w:val="24"/>
                <w:highlight w:val="none"/>
              </w:rPr>
            </w:pPr>
          </w:p>
        </w:tc>
        <w:tc>
          <w:tcPr>
            <w:tcW w:w="5946" w:type="dxa"/>
            <w:noWrap w:val="0"/>
            <w:vAlign w:val="center"/>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售后服务机构备品备件储备情况：</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储备充足能充分满足售后服务要求得</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储备一般基本能满足售后服务要求得1分；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储备情况差不能满足售后服务要求0.5分；</w:t>
            </w:r>
          </w:p>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无备品备件储备得0分。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30" w:type="dxa"/>
            <w:vMerge w:val="continue"/>
            <w:noWrap w:val="0"/>
            <w:vAlign w:val="center"/>
          </w:tcPr>
          <w:p>
            <w:pPr>
              <w:spacing w:line="360" w:lineRule="auto"/>
              <w:jc w:val="center"/>
              <w:rPr>
                <w:rFonts w:ascii="仿宋" w:hAnsi="仿宋" w:eastAsia="仿宋" w:cs="仿宋"/>
                <w:color w:val="auto"/>
                <w:sz w:val="24"/>
                <w:highlight w:val="none"/>
              </w:rPr>
            </w:pPr>
          </w:p>
        </w:tc>
        <w:tc>
          <w:tcPr>
            <w:tcW w:w="1290" w:type="dxa"/>
            <w:vMerge w:val="continue"/>
            <w:noWrap w:val="0"/>
            <w:vAlign w:val="center"/>
          </w:tcPr>
          <w:p>
            <w:pPr>
              <w:spacing w:line="360" w:lineRule="auto"/>
              <w:jc w:val="center"/>
              <w:rPr>
                <w:rFonts w:ascii="仿宋" w:hAnsi="仿宋" w:eastAsia="仿宋" w:cs="仿宋"/>
                <w:color w:val="auto"/>
                <w:sz w:val="24"/>
                <w:highlight w:val="none"/>
              </w:rPr>
            </w:pPr>
          </w:p>
        </w:tc>
        <w:tc>
          <w:tcPr>
            <w:tcW w:w="935" w:type="dxa"/>
            <w:gridSpan w:val="2"/>
            <w:vMerge w:val="continue"/>
            <w:noWrap w:val="0"/>
            <w:vAlign w:val="center"/>
          </w:tcPr>
          <w:p>
            <w:pPr>
              <w:spacing w:line="360" w:lineRule="auto"/>
              <w:jc w:val="center"/>
              <w:rPr>
                <w:rFonts w:ascii="仿宋" w:hAnsi="仿宋" w:eastAsia="仿宋" w:cs="仿宋"/>
                <w:color w:val="auto"/>
                <w:sz w:val="24"/>
                <w:highlight w:val="none"/>
              </w:rPr>
            </w:pPr>
          </w:p>
        </w:tc>
        <w:tc>
          <w:tcPr>
            <w:tcW w:w="5946" w:type="dxa"/>
            <w:noWrap w:val="0"/>
            <w:vAlign w:val="center"/>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售后服务机构技术服务人员情况，提供姓名、工作经验、资质证书情况。</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人员配备充足售后服务经验丰富得</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人员配备和售后服务一般得1分；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人员配备不足售后服务经验差0.5分；</w:t>
            </w:r>
          </w:p>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无人员配备得0分。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29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产品业绩</w:t>
            </w:r>
          </w:p>
        </w:tc>
        <w:tc>
          <w:tcPr>
            <w:tcW w:w="935" w:type="dxa"/>
            <w:gridSpan w:val="2"/>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3分</w:t>
            </w:r>
          </w:p>
        </w:tc>
        <w:tc>
          <w:tcPr>
            <w:tcW w:w="5946" w:type="dxa"/>
            <w:noWrap w:val="0"/>
            <w:vAlign w:val="center"/>
          </w:tcPr>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202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lang w:val="zh-CN"/>
              </w:rPr>
              <w:t>年1月1日起（以合同签定时间为准）</w:t>
            </w:r>
            <w:r>
              <w:rPr>
                <w:rFonts w:hint="eastAsia" w:ascii="仿宋" w:hAnsi="仿宋" w:eastAsia="仿宋" w:cs="仿宋"/>
                <w:color w:val="auto"/>
                <w:sz w:val="24"/>
                <w:highlight w:val="none"/>
              </w:rPr>
              <w:t>非同单位采购</w:t>
            </w:r>
            <w:r>
              <w:rPr>
                <w:rFonts w:hint="eastAsia" w:ascii="仿宋" w:hAnsi="仿宋" w:eastAsia="仿宋" w:cs="仿宋"/>
                <w:color w:val="auto"/>
                <w:sz w:val="24"/>
                <w:highlight w:val="none"/>
                <w:lang w:val="zh-CN"/>
              </w:rPr>
              <w:t>与本次投标相同型号</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val="en-US" w:eastAsia="zh-CN"/>
              </w:rPr>
              <w:t>两款</w:t>
            </w:r>
            <w:r>
              <w:rPr>
                <w:rFonts w:hint="eastAsia" w:ascii="仿宋" w:hAnsi="仿宋" w:eastAsia="仿宋" w:cs="仿宋"/>
                <w:color w:val="auto"/>
                <w:sz w:val="24"/>
                <w:highlight w:val="none"/>
              </w:rPr>
              <w:t>产品</w:t>
            </w:r>
            <w:r>
              <w:rPr>
                <w:rFonts w:hint="eastAsia" w:ascii="仿宋" w:hAnsi="仿宋" w:eastAsia="仿宋" w:cs="仿宋"/>
                <w:color w:val="auto"/>
                <w:sz w:val="24"/>
                <w:highlight w:val="none"/>
                <w:lang w:val="en-US" w:eastAsia="zh-CN"/>
              </w:rPr>
              <w:t>搭配销售的业绩</w:t>
            </w:r>
            <w:r>
              <w:rPr>
                <w:rFonts w:hint="eastAsia" w:ascii="仿宋" w:hAnsi="仿宋" w:eastAsia="仿宋" w:cs="仿宋"/>
                <w:color w:val="auto"/>
                <w:sz w:val="24"/>
                <w:highlight w:val="none"/>
                <w:lang w:val="zh-CN"/>
              </w:rPr>
              <w:t>，每个合同得</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zh-CN"/>
              </w:rPr>
              <w:t>分，最高得3分。（须提供合同复印件，能辨析型号，否则不</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zh-CN"/>
              </w:rPr>
              <w:t>分）</w:t>
            </w:r>
          </w:p>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投标产品为省级以上主管部门认定的首台套产品，自纳入《省推广应用指导目录》起三年内参加政府采购活动，视同已提供相应销售业绩，本项得满分。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3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29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质量保障措施</w:t>
            </w:r>
          </w:p>
        </w:tc>
        <w:tc>
          <w:tcPr>
            <w:tcW w:w="935" w:type="dxa"/>
            <w:gridSpan w:val="2"/>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w:t>
            </w:r>
          </w:p>
        </w:tc>
        <w:tc>
          <w:tcPr>
            <w:tcW w:w="5946" w:type="dxa"/>
            <w:noWrap w:val="0"/>
            <w:vAlign w:val="center"/>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根据投标人针对本项目的科学性、全面性，</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①确保供货、运输</w:t>
            </w:r>
            <w:r>
              <w:rPr>
                <w:rFonts w:hint="eastAsia" w:ascii="仿宋" w:hAnsi="仿宋" w:eastAsia="仿宋" w:cs="仿宋"/>
                <w:color w:val="auto"/>
                <w:sz w:val="24"/>
                <w:highlight w:val="none"/>
              </w:rPr>
              <w:t>的时效性</w:t>
            </w:r>
            <w:r>
              <w:rPr>
                <w:rFonts w:hint="eastAsia" w:ascii="仿宋" w:hAnsi="仿宋" w:eastAsia="仿宋" w:cs="仿宋"/>
                <w:color w:val="auto"/>
                <w:sz w:val="24"/>
                <w:highlight w:val="none"/>
                <w:lang w:val="zh-CN"/>
              </w:rPr>
              <w:t>；</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②验收进度等情况及项目实施人员配置情况；</w:t>
            </w:r>
          </w:p>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rPr>
              <w:t>两方面均有合理计划，相关保障措施的得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分，有一方面不完善的得</w:t>
            </w: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分，都不能充分保障的</w:t>
            </w:r>
            <w:r>
              <w:rPr>
                <w:rFonts w:hint="eastAsia" w:ascii="仿宋" w:hAnsi="仿宋" w:eastAsia="仿宋" w:cs="仿宋"/>
                <w:color w:val="auto"/>
                <w:sz w:val="24"/>
                <w:highlight w:val="none"/>
                <w:lang w:val="en-US" w:eastAsia="zh-CN"/>
              </w:rPr>
              <w:t>得0-1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29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培训方案</w:t>
            </w:r>
          </w:p>
        </w:tc>
        <w:tc>
          <w:tcPr>
            <w:tcW w:w="935" w:type="dxa"/>
            <w:gridSpan w:val="2"/>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tc>
        <w:tc>
          <w:tcPr>
            <w:tcW w:w="5946" w:type="dxa"/>
            <w:noWrap w:val="0"/>
            <w:vAlign w:val="center"/>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包括但不限于培训对象、课时安排、师资力量安排等。方案考虑充分安排有效得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方案合理安排一般得1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rPr>
              <w:t>分；</w:t>
            </w:r>
          </w:p>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方案合理安排差得0.5分；</w:t>
            </w:r>
          </w:p>
          <w:p>
            <w:pPr>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无方案得0分。</w:t>
            </w:r>
          </w:p>
        </w:tc>
      </w:tr>
    </w:tbl>
    <w:p>
      <w:pPr>
        <w:snapToGrid w:val="0"/>
        <w:spacing w:line="360" w:lineRule="auto"/>
        <w:rPr>
          <w:rFonts w:ascii="仿宋" w:hAnsi="仿宋" w:eastAsia="仿宋" w:cs="仿宋"/>
          <w:b/>
          <w:sz w:val="24"/>
          <w:highlight w:val="none"/>
        </w:rPr>
      </w:pPr>
      <w:r>
        <w:rPr>
          <w:rFonts w:hint="eastAsia" w:ascii="仿宋" w:hAnsi="仿宋" w:eastAsia="仿宋" w:cs="仿宋"/>
          <w:sz w:val="20"/>
          <w:szCs w:val="20"/>
          <w:highlight w:val="none"/>
          <w:shd w:val="clear" w:color="auto" w:fill="FFFFFF"/>
        </w:rPr>
        <w:t> *</w:t>
      </w:r>
      <w:r>
        <w:rPr>
          <w:rFonts w:hint="eastAsia" w:ascii="仿宋" w:hAnsi="仿宋" w:eastAsia="仿宋" w:cs="仿宋"/>
          <w:b/>
          <w:sz w:val="24"/>
          <w:highlight w:val="none"/>
        </w:rPr>
        <w:t>备注：</w:t>
      </w:r>
      <w:r>
        <w:rPr>
          <w:rFonts w:hint="eastAsia" w:ascii="仿宋" w:hAnsi="仿宋" w:eastAsia="仿宋" w:cs="仿宋"/>
          <w:sz w:val="24"/>
          <w:highlight w:val="none"/>
        </w:rPr>
        <w:t>投标人编制投标文件（商务技术文件部分）时，建议按此目录（序号和内容）提供评标标准相应的商务技术资料。 </w:t>
      </w:r>
    </w:p>
    <w:p>
      <w:pPr>
        <w:snapToGrid w:val="0"/>
        <w:spacing w:line="360" w:lineRule="auto"/>
        <w:rPr>
          <w:rFonts w:ascii="仿宋" w:hAnsi="仿宋" w:eastAsia="仿宋" w:cs="仿宋"/>
          <w:b/>
          <w:sz w:val="28"/>
          <w:szCs w:val="28"/>
          <w:highlight w:val="none"/>
        </w:rPr>
      </w:pPr>
      <w:r>
        <w:rPr>
          <w:rFonts w:hint="eastAsia" w:ascii="仿宋" w:hAnsi="仿宋" w:eastAsia="仿宋" w:cs="仿宋"/>
          <w:b/>
          <w:sz w:val="32"/>
          <w:highlight w:val="none"/>
        </w:rPr>
        <w:t>一、评标方法</w:t>
      </w:r>
    </w:p>
    <w:p>
      <w:pPr>
        <w:adjustRightInd/>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1.本项目采用综合评分法。</w:t>
      </w:r>
      <w:r>
        <w:rPr>
          <w:rFonts w:hint="eastAsia" w:ascii="仿宋" w:hAnsi="仿宋" w:eastAsia="仿宋" w:cs="仿宋"/>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470" w:firstLineChars="196"/>
        <w:rPr>
          <w:rFonts w:ascii="仿宋" w:hAnsi="仿宋" w:eastAsia="仿宋" w:cs="仿宋"/>
          <w:kern w:val="0"/>
          <w:sz w:val="24"/>
          <w:highlight w:val="none"/>
        </w:rPr>
      </w:pPr>
      <w:r>
        <w:rPr>
          <w:rFonts w:hint="eastAsia" w:ascii="仿宋" w:hAnsi="仿宋" w:eastAsia="仿宋" w:cs="仿宋"/>
          <w:kern w:val="0"/>
          <w:sz w:val="24"/>
          <w:highlight w:val="none"/>
        </w:rPr>
        <w:t>价格分（30分）</w:t>
      </w:r>
    </w:p>
    <w:p>
      <w:pPr>
        <w:adjustRightInd/>
        <w:spacing w:line="360" w:lineRule="auto"/>
        <w:ind w:firstLine="470" w:firstLineChars="196"/>
        <w:rPr>
          <w:rFonts w:ascii="仿宋" w:hAnsi="仿宋" w:eastAsia="仿宋" w:cs="仿宋"/>
          <w:kern w:val="0"/>
          <w:sz w:val="24"/>
          <w:highlight w:val="none"/>
        </w:rPr>
      </w:pPr>
      <w:r>
        <w:rPr>
          <w:rFonts w:hint="eastAsia" w:ascii="仿宋" w:hAnsi="仿宋" w:eastAsia="仿宋" w:cs="仿宋"/>
          <w:kern w:val="0"/>
          <w:sz w:val="24"/>
          <w:highlight w:val="none"/>
        </w:rPr>
        <w:t>1.价格分采用低价优先法计算，即满足招标文件要求且投标价格最低的投标报价为评标基准价，其他投标人的价格分按照下列公式计算：</w:t>
      </w:r>
    </w:p>
    <w:p>
      <w:pPr>
        <w:adjustRightInd/>
        <w:spacing w:line="360" w:lineRule="auto"/>
        <w:ind w:firstLine="470" w:firstLineChars="196"/>
        <w:rPr>
          <w:highlight w:val="none"/>
        </w:rPr>
      </w:pPr>
      <w:r>
        <w:rPr>
          <w:rFonts w:hint="eastAsia" w:ascii="仿宋" w:hAnsi="仿宋" w:eastAsia="仿宋" w:cs="仿宋"/>
          <w:kern w:val="0"/>
          <w:sz w:val="24"/>
          <w:highlight w:val="none"/>
        </w:rPr>
        <w:t>价格分=（评标基准价/投标报价）×30%×100</w:t>
      </w:r>
    </w:p>
    <w:p>
      <w:pPr>
        <w:adjustRightInd/>
        <w:spacing w:line="360" w:lineRule="auto"/>
        <w:rPr>
          <w:rFonts w:ascii="仿宋" w:hAnsi="仿宋" w:eastAsia="仿宋" w:cs="仿宋"/>
          <w:kern w:val="0"/>
          <w:sz w:val="24"/>
          <w:highlight w:val="none"/>
        </w:rPr>
      </w:pPr>
      <w:r>
        <w:rPr>
          <w:rFonts w:hint="eastAsia" w:ascii="仿宋" w:hAnsi="仿宋" w:eastAsia="仿宋" w:cs="仿宋"/>
          <w:b/>
          <w:sz w:val="32"/>
          <w:highlight w:val="none"/>
        </w:rPr>
        <w:t>二、评标标准</w:t>
      </w:r>
    </w:p>
    <w:p>
      <w:pPr>
        <w:spacing w:line="360" w:lineRule="auto"/>
        <w:ind w:firstLine="472" w:firstLineChars="196"/>
        <w:rPr>
          <w:rFonts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highlight w:val="none"/>
        </w:rPr>
        <w:t xml:space="preserve"> </w:t>
      </w:r>
      <w:r>
        <w:rPr>
          <w:rFonts w:hint="eastAsia" w:ascii="仿宋" w:hAnsi="仿宋" w:eastAsia="仿宋" w:cs="仿宋"/>
          <w:b/>
          <w:sz w:val="24"/>
          <w:highlight w:val="none"/>
        </w:rPr>
        <w:t>评标标准：</w:t>
      </w:r>
      <w:r>
        <w:rPr>
          <w:rFonts w:hint="eastAsia" w:ascii="仿宋" w:hAnsi="仿宋" w:eastAsia="仿宋" w:cs="仿宋"/>
          <w:kern w:val="0"/>
          <w:sz w:val="24"/>
          <w:highlight w:val="none"/>
        </w:rPr>
        <w:t>见评标办法前附表。</w:t>
      </w:r>
    </w:p>
    <w:p>
      <w:pPr>
        <w:spacing w:line="360" w:lineRule="auto"/>
        <w:outlineLvl w:val="0"/>
        <w:rPr>
          <w:rFonts w:ascii="仿宋" w:hAnsi="仿宋" w:eastAsia="仿宋" w:cs="仿宋"/>
          <w:b/>
          <w:sz w:val="36"/>
          <w:szCs w:val="36"/>
          <w:highlight w:val="none"/>
        </w:rPr>
      </w:pPr>
      <w:bookmarkStart w:id="403" w:name="_Toc3730"/>
      <w:r>
        <w:rPr>
          <w:rFonts w:hint="eastAsia" w:ascii="仿宋" w:hAnsi="仿宋" w:eastAsia="仿宋" w:cs="仿宋"/>
          <w:b/>
          <w:sz w:val="36"/>
          <w:szCs w:val="36"/>
          <w:highlight w:val="none"/>
        </w:rPr>
        <w:t>三、评标程序</w:t>
      </w:r>
      <w:bookmarkEnd w:id="403"/>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3.1符合性审查。</w:t>
      </w:r>
      <w:r>
        <w:rPr>
          <w:rFonts w:hint="eastAsia" w:ascii="仿宋" w:hAnsi="仿宋" w:eastAsia="仿宋" w:cs="仿宋"/>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3.2 比较与评价。</w:t>
      </w:r>
      <w:r>
        <w:rPr>
          <w:rFonts w:hint="eastAsia" w:ascii="仿宋" w:hAnsi="仿宋" w:eastAsia="仿宋" w:cs="仿宋"/>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3.3汇总商务技术得分。</w:t>
      </w:r>
      <w:r>
        <w:rPr>
          <w:rFonts w:hint="eastAsia" w:ascii="仿宋" w:hAnsi="仿宋" w:eastAsia="仿宋" w:cs="仿宋"/>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highlight w:val="none"/>
        </w:rPr>
      </w:pPr>
      <w:r>
        <w:rPr>
          <w:rFonts w:hint="eastAsia" w:ascii="仿宋" w:hAnsi="仿宋" w:eastAsia="仿宋" w:cs="仿宋"/>
          <w:b/>
          <w:kern w:val="0"/>
          <w:sz w:val="24"/>
          <w:highlight w:val="none"/>
        </w:rPr>
        <w:t>3.4报价评审。</w:t>
      </w:r>
    </w:p>
    <w:p>
      <w:pPr>
        <w:pStyle w:val="131"/>
        <w:spacing w:before="0"/>
        <w:ind w:firstLine="508" w:firstLineChars="212"/>
        <w:rPr>
          <w:rFonts w:ascii="仿宋" w:hAnsi="仿宋" w:eastAsia="仿宋" w:cs="仿宋"/>
          <w:kern w:val="0"/>
          <w:highlight w:val="none"/>
        </w:rPr>
      </w:pPr>
      <w:r>
        <w:rPr>
          <w:rFonts w:hint="eastAsia" w:ascii="仿宋" w:hAnsi="仿宋" w:eastAsia="仿宋" w:cs="仿宋"/>
          <w:kern w:val="0"/>
          <w:highlight w:val="none"/>
        </w:rPr>
        <w:t>3.4.1投标文件报价出现前后不一致的，按照下列规定修正：</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3.4.1.1投标文件中开标一览表(报价表)内容与投标文件中相应内容不一致的，以开标一览表(报价表)为准;</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3.4.1.2大写金额和小写金额不一致的，以大写金额为准;</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3.4.1.3单价金额小数点或者百分比有明显错位的，以开标一览表的总价为准，并修改单价;</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3.4.1.4总价金额与按单价汇总金额不一致的，以单价金额计算结果为准。</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3.4.3投标报价超过招标文件中规定的预算金额或者最高限价的，投标无效。</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highlight w:val="none"/>
          <w:lang w:eastAsia="zh-CN"/>
        </w:rPr>
        <w:t>10%</w:t>
      </w:r>
      <w:r>
        <w:rPr>
          <w:rFonts w:hint="eastAsia" w:ascii="仿宋" w:hAnsi="仿宋" w:eastAsia="仿宋" w:cs="仿宋"/>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highlight w:val="none"/>
          <w:lang w:val="en-US" w:eastAsia="zh-CN"/>
        </w:rPr>
        <w:t>4%的扣除</w:t>
      </w:r>
      <w:r>
        <w:rPr>
          <w:rFonts w:hint="eastAsia" w:ascii="仿宋" w:hAnsi="仿宋" w:eastAsia="仿宋" w:cs="仿宋"/>
          <w:kern w:val="0"/>
          <w:szCs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highlight w:val="none"/>
        </w:rPr>
      </w:pPr>
      <w:r>
        <w:rPr>
          <w:rFonts w:hint="eastAsia" w:ascii="仿宋" w:hAnsi="仿宋" w:eastAsia="仿宋" w:cs="仿宋"/>
          <w:b/>
          <w:kern w:val="0"/>
          <w:sz w:val="24"/>
          <w:highlight w:val="none"/>
        </w:rPr>
        <w:t>3.5排序与推荐。</w:t>
      </w:r>
      <w:r>
        <w:rPr>
          <w:rFonts w:hint="eastAsia" w:ascii="仿宋" w:hAnsi="仿宋" w:eastAsia="仿宋" w:cs="仿宋"/>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highlight w:val="none"/>
        </w:rPr>
      </w:pPr>
      <w:r>
        <w:rPr>
          <w:rFonts w:hint="eastAsia" w:ascii="仿宋" w:hAnsi="仿宋" w:eastAsia="仿宋" w:cs="仿宋"/>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3.6编写评标报告。</w:t>
      </w:r>
      <w:r>
        <w:rPr>
          <w:rFonts w:hint="eastAsia" w:ascii="仿宋" w:hAnsi="仿宋" w:eastAsia="仿宋" w:cs="仿宋"/>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highlight w:val="none"/>
        </w:rPr>
      </w:pPr>
      <w:r>
        <w:rPr>
          <w:rFonts w:hint="eastAsia" w:ascii="仿宋" w:hAnsi="仿宋" w:eastAsia="仿宋" w:cs="仿宋"/>
          <w:b/>
          <w:sz w:val="32"/>
          <w:highlight w:val="none"/>
        </w:rPr>
        <w:t>四、评标中的其他事项</w:t>
      </w:r>
    </w:p>
    <w:p>
      <w:pPr>
        <w:pStyle w:val="131"/>
        <w:spacing w:before="0"/>
        <w:ind w:firstLine="472" w:firstLineChars="196"/>
        <w:rPr>
          <w:rFonts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ascii="仿宋" w:hAnsi="仿宋" w:eastAsia="仿宋" w:cs="仿宋"/>
          <w:szCs w:val="21"/>
          <w:highlight w:val="none"/>
        </w:rPr>
      </w:pPr>
      <w:r>
        <w:rPr>
          <w:rFonts w:hint="eastAsia" w:ascii="仿宋" w:hAnsi="仿宋" w:eastAsia="仿宋" w:cs="仿宋"/>
          <w:b/>
          <w:kern w:val="0"/>
          <w:highlight w:val="none"/>
        </w:rPr>
        <w:t>4.2投标无效。</w:t>
      </w:r>
      <w:r>
        <w:rPr>
          <w:rFonts w:hint="eastAsia" w:ascii="仿宋" w:hAnsi="仿宋" w:eastAsia="仿宋" w:cs="仿宋"/>
          <w:szCs w:val="21"/>
          <w:highlight w:val="none"/>
        </w:rPr>
        <w:t>有下列情况之一的，投标无效：</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4.2.4投标文件含有采购人不能接受的附加条件的；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highlight w:val="none"/>
        </w:rPr>
      </w:pPr>
      <w:r>
        <w:rPr>
          <w:rFonts w:hint="eastAsia" w:ascii="仿宋" w:hAnsi="仿宋" w:eastAsia="仿宋" w:cs="仿宋"/>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4.2.9投标人对根据修正原则修正后的报价不确认的；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4.2.10投标人提供虚假材料投标的；</w:t>
      </w:r>
    </w:p>
    <w:p>
      <w:pPr>
        <w:spacing w:line="360" w:lineRule="auto"/>
        <w:ind w:firstLine="240" w:firstLineChars="100"/>
        <w:rPr>
          <w:rFonts w:ascii="仿宋" w:hAnsi="仿宋" w:eastAsia="仿宋" w:cs="仿宋"/>
          <w:kern w:val="0"/>
          <w:sz w:val="24"/>
          <w:highlight w:val="none"/>
        </w:rPr>
      </w:pPr>
      <w:r>
        <w:rPr>
          <w:rFonts w:hint="eastAsia" w:ascii="仿宋" w:hAnsi="仿宋" w:eastAsia="仿宋" w:cs="仿宋"/>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4.2.12投标人仅提交备份投标文件，没有在电子交易平台传输递交投标文件的，投标无效；</w:t>
      </w:r>
    </w:p>
    <w:p>
      <w:pPr>
        <w:pStyle w:val="3"/>
        <w:ind w:left="862" w:leftChars="205"/>
        <w:rPr>
          <w:rFonts w:ascii="仿宋" w:eastAsia="仿宋" w:cs="仿宋"/>
          <w:b w:val="0"/>
          <w:bCs w:val="0"/>
          <w:kern w:val="0"/>
          <w:sz w:val="24"/>
          <w:szCs w:val="24"/>
          <w:highlight w:val="none"/>
          <w:lang w:val="en-US"/>
        </w:rPr>
      </w:pPr>
      <w:r>
        <w:rPr>
          <w:rFonts w:hint="eastAsia" w:ascii="仿宋" w:eastAsia="仿宋" w:cs="仿宋"/>
          <w:b w:val="0"/>
          <w:bCs w:val="0"/>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4.2.14法律、法规、规章（适用本市的）及省级以上规范性文件（适用本市的）规定的其他无效情形。</w:t>
      </w:r>
    </w:p>
    <w:p>
      <w:pPr>
        <w:pStyle w:val="6"/>
        <w:snapToGrid w:val="0"/>
        <w:spacing w:line="360" w:lineRule="auto"/>
        <w:ind w:firstLine="472" w:firstLineChars="196"/>
        <w:rPr>
          <w:rFonts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6"/>
        <w:snapToGrid w:val="0"/>
        <w:spacing w:line="360" w:lineRule="auto"/>
        <w:rPr>
          <w:rFonts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6"/>
        <w:snapToGrid w:val="0"/>
        <w:spacing w:line="360" w:lineRule="auto"/>
        <w:rPr>
          <w:rFonts w:ascii="仿宋" w:hAnsi="仿宋" w:eastAsia="仿宋" w:cs="仿宋"/>
          <w:highlight w:val="none"/>
        </w:rPr>
      </w:pPr>
      <w:r>
        <w:rPr>
          <w:rFonts w:hint="eastAsia" w:ascii="仿宋" w:hAnsi="仿宋" w:eastAsia="仿宋" w:cs="仿宋"/>
          <w:highlight w:val="none"/>
        </w:rPr>
        <w:t>5.2出现影响采购公正的违法、违规行为的；</w:t>
      </w:r>
    </w:p>
    <w:p>
      <w:pPr>
        <w:pStyle w:val="6"/>
        <w:snapToGrid w:val="0"/>
        <w:spacing w:line="360" w:lineRule="auto"/>
        <w:rPr>
          <w:rFonts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6"/>
        <w:snapToGrid w:val="0"/>
        <w:spacing w:line="360" w:lineRule="auto"/>
        <w:rPr>
          <w:rFonts w:ascii="仿宋" w:hAnsi="仿宋" w:eastAsia="仿宋" w:cs="仿宋"/>
          <w:highlight w:val="none"/>
        </w:rPr>
      </w:pPr>
      <w:r>
        <w:rPr>
          <w:rFonts w:hint="eastAsia" w:ascii="仿宋" w:hAnsi="仿宋" w:eastAsia="仿宋" w:cs="仿宋"/>
          <w:highlight w:val="none"/>
        </w:rPr>
        <w:t>5.4因重大变故，采购任务取消的。</w:t>
      </w:r>
    </w:p>
    <w:p>
      <w:pPr>
        <w:pStyle w:val="6"/>
        <w:snapToGrid w:val="0"/>
        <w:spacing w:line="360" w:lineRule="auto"/>
        <w:rPr>
          <w:rFonts w:ascii="仿宋" w:hAnsi="仿宋" w:eastAsia="仿宋" w:cs="仿宋"/>
          <w:highlight w:val="none"/>
        </w:rPr>
      </w:pPr>
      <w:r>
        <w:rPr>
          <w:rFonts w:hint="eastAsia" w:ascii="仿宋" w:hAnsi="仿宋" w:eastAsia="仿宋" w:cs="仿宋"/>
          <w:highlight w:val="none"/>
        </w:rPr>
        <w:t>废标后，采购机构应当将废标理由通知所有投标人。</w:t>
      </w:r>
    </w:p>
    <w:p>
      <w:pPr>
        <w:pStyle w:val="6"/>
        <w:snapToGrid w:val="0"/>
        <w:spacing w:line="360" w:lineRule="auto"/>
        <w:ind w:firstLine="590" w:firstLineChars="245"/>
        <w:rPr>
          <w:rFonts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w:t>
      </w:r>
      <w:r>
        <w:rPr>
          <w:rFonts w:hint="eastAsia" w:ascii="仿宋" w:hAnsi="仿宋" w:eastAsia="仿宋" w:cs="仿宋"/>
          <w:highlight w:val="none"/>
          <w:lang w:val="en-US" w:eastAsia="zh-CN"/>
        </w:rPr>
        <w:t>二条</w:t>
      </w:r>
      <w:r>
        <w:rPr>
          <w:rFonts w:hint="eastAsia" w:ascii="仿宋" w:hAnsi="仿宋" w:eastAsia="仿宋" w:cs="仿宋"/>
          <w:highlight w:val="none"/>
        </w:rPr>
        <w:t>规定的违法行为之一，影响或者可能影响中标、成交结果的，依照下列规定处理：</w:t>
      </w:r>
    </w:p>
    <w:p>
      <w:pPr>
        <w:pStyle w:val="6"/>
        <w:snapToGrid w:val="0"/>
        <w:spacing w:line="360" w:lineRule="auto"/>
        <w:ind w:firstLine="600" w:firstLineChars="250"/>
        <w:rPr>
          <w:rFonts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6"/>
        <w:snapToGrid w:val="0"/>
        <w:spacing w:line="360" w:lineRule="auto"/>
        <w:ind w:firstLine="600" w:firstLineChars="250"/>
        <w:rPr>
          <w:rFonts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6"/>
        <w:snapToGrid w:val="0"/>
        <w:spacing w:line="360" w:lineRule="auto"/>
        <w:rPr>
          <w:rFonts w:ascii="仿宋" w:hAnsi="仿宋" w:eastAsia="仿宋" w:cs="仿宋"/>
          <w:b/>
          <w:sz w:val="36"/>
          <w:szCs w:val="36"/>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bookmarkEnd w:id="36"/>
      <w:bookmarkStart w:id="404" w:name="第五部分"/>
      <w:bookmarkStart w:id="405" w:name="_Toc86217003"/>
    </w:p>
    <w:p>
      <w:pPr>
        <w:pStyle w:val="80"/>
        <w:rPr>
          <w:highlight w:val="none"/>
        </w:rPr>
      </w:pPr>
    </w:p>
    <w:p>
      <w:pPr>
        <w:spacing w:line="360" w:lineRule="auto"/>
        <w:ind w:left="720" w:leftChars="343" w:firstLine="1084" w:firstLineChars="300"/>
        <w:outlineLvl w:val="0"/>
        <w:rPr>
          <w:rFonts w:ascii="仿宋" w:hAnsi="仿宋" w:eastAsia="仿宋" w:cs="仿宋"/>
          <w:b/>
          <w:sz w:val="36"/>
          <w:szCs w:val="36"/>
          <w:highlight w:val="none"/>
        </w:rPr>
      </w:pPr>
      <w:bookmarkStart w:id="406" w:name="_Toc19672"/>
      <w:r>
        <w:rPr>
          <w:rFonts w:hint="eastAsia" w:ascii="仿宋" w:hAnsi="仿宋" w:eastAsia="仿宋" w:cs="仿宋"/>
          <w:b/>
          <w:sz w:val="36"/>
          <w:szCs w:val="36"/>
          <w:highlight w:val="none"/>
        </w:rPr>
        <w:t>第五部分 拟签订的合同文本</w:t>
      </w:r>
      <w:bookmarkEnd w:id="406"/>
    </w:p>
    <w:p>
      <w:pPr>
        <w:rPr>
          <w:rFonts w:ascii="仿宋" w:hAnsi="仿宋" w:eastAsia="仿宋" w:cs="仿宋"/>
          <w:sz w:val="24"/>
          <w:highlight w:val="none"/>
          <w:u w:val="single"/>
        </w:rPr>
      </w:pPr>
      <w:r>
        <w:rPr>
          <w:rFonts w:hint="eastAsia" w:ascii="仿宋" w:hAnsi="仿宋" w:eastAsia="仿宋" w:cs="仿宋"/>
          <w:sz w:val="24"/>
          <w:highlight w:val="none"/>
        </w:rPr>
        <w:t>合同编号：</w:t>
      </w:r>
      <w:r>
        <w:rPr>
          <w:rFonts w:hint="eastAsia" w:ascii="仿宋" w:hAnsi="仿宋" w:eastAsia="仿宋" w:cs="仿宋"/>
          <w:sz w:val="24"/>
          <w:highlight w:val="none"/>
          <w:u w:val="single"/>
        </w:rPr>
        <w:t xml:space="preserve">           </w:t>
      </w:r>
    </w:p>
    <w:p>
      <w:pPr>
        <w:spacing w:line="480" w:lineRule="auto"/>
        <w:jc w:val="center"/>
        <w:rPr>
          <w:rFonts w:ascii="仿宋" w:hAnsi="仿宋" w:eastAsia="仿宋" w:cs="仿宋"/>
          <w:b/>
          <w:sz w:val="28"/>
          <w:szCs w:val="28"/>
          <w:highlight w:val="none"/>
        </w:rPr>
      </w:pPr>
    </w:p>
    <w:p>
      <w:pPr>
        <w:spacing w:line="480" w:lineRule="auto"/>
        <w:jc w:val="center"/>
        <w:rPr>
          <w:rFonts w:ascii="仿宋" w:hAnsi="仿宋" w:eastAsia="仿宋" w:cs="仿宋"/>
          <w:b/>
          <w:sz w:val="24"/>
          <w:highlight w:val="none"/>
        </w:rPr>
      </w:pPr>
    </w:p>
    <w:p>
      <w:pPr>
        <w:spacing w:line="480" w:lineRule="auto"/>
        <w:jc w:val="center"/>
        <w:rPr>
          <w:rFonts w:ascii="仿宋" w:hAnsi="仿宋" w:eastAsia="仿宋" w:cs="仿宋"/>
          <w:b/>
          <w:sz w:val="24"/>
          <w:highlight w:val="none"/>
        </w:rPr>
      </w:pPr>
    </w:p>
    <w:p>
      <w:pPr>
        <w:spacing w:line="480"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政府采购合同参考范本</w:t>
      </w:r>
    </w:p>
    <w:p>
      <w:pPr>
        <w:spacing w:line="480" w:lineRule="auto"/>
        <w:jc w:val="center"/>
        <w:rPr>
          <w:rFonts w:ascii="仿宋" w:hAnsi="仿宋" w:eastAsia="仿宋" w:cs="仿宋"/>
          <w:highlight w:val="none"/>
        </w:rPr>
      </w:pPr>
      <w:r>
        <w:rPr>
          <w:rFonts w:hint="eastAsia" w:ascii="仿宋" w:hAnsi="仿宋" w:eastAsia="仿宋" w:cs="仿宋"/>
          <w:b/>
          <w:sz w:val="36"/>
          <w:szCs w:val="36"/>
          <w:highlight w:val="none"/>
        </w:rPr>
        <w:t>（货物类）</w:t>
      </w:r>
    </w:p>
    <w:p>
      <w:pPr>
        <w:pStyle w:val="701"/>
        <w:rPr>
          <w:rFonts w:ascii="仿宋" w:hAnsi="仿宋" w:eastAsia="仿宋" w:cs="仿宋"/>
          <w:szCs w:val="24"/>
          <w:highlight w:val="none"/>
        </w:rPr>
      </w:pPr>
    </w:p>
    <w:p>
      <w:pPr>
        <w:pStyle w:val="701"/>
        <w:jc w:val="center"/>
        <w:rPr>
          <w:rFonts w:ascii="仿宋" w:hAnsi="仿宋" w:eastAsia="仿宋" w:cs="仿宋"/>
          <w:szCs w:val="24"/>
          <w:highlight w:val="none"/>
        </w:rPr>
      </w:pPr>
    </w:p>
    <w:p>
      <w:pPr>
        <w:pStyle w:val="701"/>
        <w:ind w:firstLine="2843" w:firstLineChars="1180"/>
        <w:rPr>
          <w:rFonts w:ascii="仿宋" w:hAnsi="仿宋" w:eastAsia="仿宋" w:cs="仿宋"/>
          <w:b/>
          <w:szCs w:val="24"/>
          <w:highlight w:val="none"/>
        </w:rPr>
      </w:pPr>
      <w:r>
        <w:rPr>
          <w:rFonts w:hint="eastAsia" w:ascii="仿宋" w:hAnsi="仿宋" w:eastAsia="仿宋" w:cs="仿宋"/>
          <w:b/>
          <w:szCs w:val="24"/>
          <w:highlight w:val="none"/>
        </w:rPr>
        <w:t>第一部分 合同书</w:t>
      </w:r>
    </w:p>
    <w:p>
      <w:pPr>
        <w:pStyle w:val="701"/>
        <w:rPr>
          <w:rFonts w:ascii="仿宋" w:hAnsi="仿宋" w:eastAsia="仿宋" w:cs="仿宋"/>
          <w:szCs w:val="24"/>
          <w:highlight w:val="none"/>
        </w:rPr>
      </w:pPr>
    </w:p>
    <w:p>
      <w:pPr>
        <w:pStyle w:val="701"/>
        <w:rPr>
          <w:rFonts w:ascii="仿宋" w:hAnsi="仿宋" w:eastAsia="仿宋" w:cs="仿宋"/>
          <w:szCs w:val="24"/>
          <w:highlight w:val="none"/>
        </w:rPr>
      </w:pPr>
    </w:p>
    <w:p>
      <w:pPr>
        <w:spacing w:before="120" w:line="22" w:lineRule="atLeast"/>
        <w:rPr>
          <w:rFonts w:ascii="仿宋" w:hAnsi="仿宋" w:eastAsia="仿宋" w:cs="仿宋"/>
          <w:sz w:val="24"/>
          <w:highlight w:val="none"/>
        </w:rPr>
      </w:pPr>
    </w:p>
    <w:p>
      <w:pPr>
        <w:spacing w:before="120" w:line="22" w:lineRule="atLeast"/>
        <w:ind w:left="960"/>
        <w:rPr>
          <w:rFonts w:ascii="仿宋" w:hAnsi="仿宋" w:eastAsia="仿宋" w:cs="仿宋"/>
          <w:sz w:val="24"/>
          <w:highlight w:val="none"/>
        </w:rPr>
      </w:pPr>
      <w:r>
        <w:rPr>
          <w:rFonts w:hint="eastAsia" w:ascii="仿宋" w:hAnsi="仿宋" w:eastAsia="仿宋" w:cs="仿宋"/>
          <w:sz w:val="24"/>
          <w:highlight w:val="none"/>
        </w:rPr>
        <w:t>项目名称：</w:t>
      </w:r>
      <w:r>
        <w:rPr>
          <w:rFonts w:hint="eastAsia" w:ascii="仿宋" w:hAnsi="仿宋" w:eastAsia="仿宋" w:cs="仿宋"/>
          <w:sz w:val="24"/>
          <w:highlight w:val="none"/>
          <w:u w:val="single"/>
        </w:rPr>
        <w:t xml:space="preserve">                                   </w:t>
      </w:r>
    </w:p>
    <w:p>
      <w:pPr>
        <w:pStyle w:val="598"/>
        <w:spacing w:before="120" w:line="22" w:lineRule="atLeast"/>
        <w:rPr>
          <w:rFonts w:ascii="仿宋" w:hAnsi="仿宋" w:eastAsia="仿宋" w:cs="仿宋"/>
          <w:szCs w:val="24"/>
          <w:highlight w:val="none"/>
        </w:rPr>
      </w:pPr>
    </w:p>
    <w:p>
      <w:pPr>
        <w:pStyle w:val="598"/>
        <w:spacing w:before="120" w:line="22" w:lineRule="atLeast"/>
        <w:rPr>
          <w:rFonts w:ascii="仿宋" w:hAnsi="仿宋" w:eastAsia="仿宋" w:cs="仿宋"/>
          <w:szCs w:val="24"/>
          <w:highlight w:val="none"/>
        </w:rPr>
      </w:pPr>
    </w:p>
    <w:p>
      <w:pPr>
        <w:rPr>
          <w:rFonts w:ascii="仿宋" w:hAnsi="仿宋" w:eastAsia="仿宋" w:cs="仿宋"/>
          <w:sz w:val="24"/>
          <w:highlight w:val="none"/>
        </w:rPr>
      </w:pPr>
    </w:p>
    <w:p>
      <w:pPr>
        <w:spacing w:before="120" w:line="22" w:lineRule="atLeast"/>
        <w:ind w:left="960"/>
        <w:rPr>
          <w:rFonts w:ascii="仿宋" w:hAnsi="仿宋" w:eastAsia="仿宋" w:cs="仿宋"/>
          <w:sz w:val="24"/>
          <w:highlight w:val="none"/>
          <w:u w:val="single"/>
        </w:rPr>
      </w:pPr>
      <w:r>
        <w:rPr>
          <w:rFonts w:hint="eastAsia" w:ascii="仿宋" w:hAnsi="仿宋" w:eastAsia="仿宋" w:cs="仿宋"/>
          <w:sz w:val="24"/>
          <w:highlight w:val="none"/>
        </w:rPr>
        <w:t>甲方：</w:t>
      </w:r>
      <w:r>
        <w:rPr>
          <w:rFonts w:hint="eastAsia" w:ascii="仿宋" w:hAnsi="仿宋" w:eastAsia="仿宋" w:cs="仿宋"/>
          <w:sz w:val="24"/>
          <w:highlight w:val="none"/>
          <w:u w:val="single"/>
        </w:rPr>
        <w:t xml:space="preserve">                                       </w:t>
      </w:r>
    </w:p>
    <w:p>
      <w:pPr>
        <w:spacing w:before="120" w:line="22" w:lineRule="atLeast"/>
        <w:rPr>
          <w:rFonts w:ascii="仿宋" w:hAnsi="仿宋" w:eastAsia="仿宋" w:cs="仿宋"/>
          <w:sz w:val="24"/>
          <w:highlight w:val="none"/>
        </w:rPr>
      </w:pPr>
    </w:p>
    <w:p>
      <w:pPr>
        <w:spacing w:before="120" w:line="22" w:lineRule="atLeast"/>
        <w:ind w:left="960"/>
        <w:rPr>
          <w:rFonts w:ascii="仿宋" w:hAnsi="仿宋" w:eastAsia="仿宋" w:cs="仿宋"/>
          <w:sz w:val="24"/>
          <w:highlight w:val="none"/>
          <w:u w:val="single"/>
        </w:rPr>
      </w:pPr>
      <w:r>
        <w:rPr>
          <w:rFonts w:hint="eastAsia" w:ascii="仿宋" w:hAnsi="仿宋" w:eastAsia="仿宋" w:cs="仿宋"/>
          <w:sz w:val="24"/>
          <w:highlight w:val="none"/>
        </w:rPr>
        <w:t>乙方：</w:t>
      </w:r>
      <w:r>
        <w:rPr>
          <w:rFonts w:hint="eastAsia" w:ascii="仿宋" w:hAnsi="仿宋" w:eastAsia="仿宋" w:cs="仿宋"/>
          <w:sz w:val="24"/>
          <w:highlight w:val="none"/>
          <w:u w:val="single"/>
        </w:rPr>
        <w:t xml:space="preserve">                                       </w:t>
      </w:r>
    </w:p>
    <w:p>
      <w:pPr>
        <w:spacing w:before="120" w:line="22" w:lineRule="atLeast"/>
        <w:rPr>
          <w:rFonts w:ascii="仿宋" w:hAnsi="仿宋" w:eastAsia="仿宋" w:cs="仿宋"/>
          <w:sz w:val="24"/>
          <w:highlight w:val="none"/>
        </w:rPr>
      </w:pPr>
    </w:p>
    <w:p>
      <w:pPr>
        <w:spacing w:before="120" w:line="22" w:lineRule="atLeast"/>
        <w:ind w:firstLine="960" w:firstLineChars="400"/>
        <w:rPr>
          <w:rFonts w:ascii="仿宋" w:hAnsi="仿宋" w:eastAsia="仿宋" w:cs="仿宋"/>
          <w:sz w:val="24"/>
          <w:highlight w:val="none"/>
          <w:u w:val="single"/>
        </w:rPr>
      </w:pPr>
      <w:r>
        <w:rPr>
          <w:rFonts w:hint="eastAsia" w:ascii="仿宋" w:hAnsi="仿宋" w:eastAsia="仿宋" w:cs="仿宋"/>
          <w:sz w:val="24"/>
          <w:highlight w:val="none"/>
        </w:rPr>
        <w:t>签订地：</w:t>
      </w:r>
      <w:r>
        <w:rPr>
          <w:rFonts w:hint="eastAsia" w:ascii="仿宋" w:hAnsi="仿宋" w:eastAsia="仿宋" w:cs="仿宋"/>
          <w:sz w:val="24"/>
          <w:highlight w:val="none"/>
          <w:u w:val="single"/>
        </w:rPr>
        <w:t xml:space="preserve">                                     </w:t>
      </w:r>
    </w:p>
    <w:p>
      <w:pPr>
        <w:spacing w:before="120" w:line="22" w:lineRule="atLeast"/>
        <w:rPr>
          <w:rFonts w:ascii="仿宋" w:hAnsi="仿宋" w:eastAsia="仿宋" w:cs="仿宋"/>
          <w:sz w:val="24"/>
          <w:highlight w:val="none"/>
        </w:rPr>
      </w:pPr>
    </w:p>
    <w:p>
      <w:pPr>
        <w:spacing w:before="120" w:line="22" w:lineRule="atLeast"/>
        <w:ind w:firstLine="960" w:firstLineChars="400"/>
        <w:rPr>
          <w:rFonts w:ascii="仿宋" w:hAnsi="仿宋" w:eastAsia="仿宋" w:cs="仿宋"/>
          <w:sz w:val="24"/>
          <w:highlight w:val="none"/>
          <w:u w:val="single"/>
        </w:rPr>
      </w:pPr>
      <w:r>
        <w:rPr>
          <w:rFonts w:hint="eastAsia" w:ascii="仿宋" w:hAnsi="仿宋" w:eastAsia="仿宋" w:cs="仿宋"/>
          <w:sz w:val="24"/>
          <w:highlight w:val="none"/>
        </w:rPr>
        <w:t>签订日期：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widowControl/>
        <w:jc w:val="left"/>
        <w:rPr>
          <w:rFonts w:ascii="仿宋" w:hAnsi="仿宋" w:eastAsia="仿宋" w:cs="仿宋"/>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年</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月</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日</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（采购人）   </w:t>
      </w:r>
      <w:r>
        <w:rPr>
          <w:rFonts w:hint="eastAsia" w:ascii="仿宋" w:hAnsi="仿宋" w:eastAsia="仿宋" w:cs="仿宋"/>
          <w:sz w:val="24"/>
          <w:highlight w:val="none"/>
        </w:rPr>
        <w:t>以</w:t>
      </w:r>
      <w:r>
        <w:rPr>
          <w:rFonts w:hint="eastAsia" w:ascii="仿宋" w:hAnsi="仿宋" w:eastAsia="仿宋" w:cs="仿宋"/>
          <w:sz w:val="24"/>
          <w:highlight w:val="none"/>
          <w:u w:val="single"/>
        </w:rPr>
        <w:t xml:space="preserve">   （政府采购方式）  </w:t>
      </w:r>
      <w:r>
        <w:rPr>
          <w:rFonts w:hint="eastAsia" w:ascii="仿宋" w:hAnsi="仿宋" w:eastAsia="仿宋" w:cs="仿宋"/>
          <w:sz w:val="24"/>
          <w:highlight w:val="none"/>
        </w:rPr>
        <w:t>对</w:t>
      </w:r>
      <w:r>
        <w:rPr>
          <w:rFonts w:hint="eastAsia" w:ascii="仿宋" w:hAnsi="仿宋" w:eastAsia="仿宋" w:cs="仿宋"/>
          <w:sz w:val="24"/>
          <w:highlight w:val="none"/>
          <w:u w:val="single"/>
        </w:rPr>
        <w:t xml:space="preserve">   （同前页项目名称）   </w:t>
      </w:r>
      <w:r>
        <w:rPr>
          <w:rFonts w:hint="eastAsia" w:ascii="仿宋" w:hAnsi="仿宋" w:eastAsia="仿宋" w:cs="仿宋"/>
          <w:sz w:val="24"/>
          <w:highlight w:val="none"/>
        </w:rPr>
        <w:t>项目进行了采购。经</w:t>
      </w:r>
      <w:r>
        <w:rPr>
          <w:rFonts w:hint="eastAsia" w:ascii="仿宋" w:hAnsi="仿宋" w:eastAsia="仿宋" w:cs="仿宋"/>
          <w:sz w:val="24"/>
          <w:highlight w:val="none"/>
          <w:u w:val="single"/>
        </w:rPr>
        <w:t xml:space="preserve">   （相关评定主体名称）   </w:t>
      </w:r>
      <w:r>
        <w:rPr>
          <w:rFonts w:hint="eastAsia" w:ascii="仿宋" w:hAnsi="仿宋" w:eastAsia="仿宋" w:cs="仿宋"/>
          <w:sz w:val="24"/>
          <w:highlight w:val="none"/>
        </w:rPr>
        <w:t>评定，</w:t>
      </w:r>
      <w:r>
        <w:rPr>
          <w:rFonts w:hint="eastAsia" w:ascii="仿宋" w:hAnsi="仿宋" w:eastAsia="仿宋" w:cs="仿宋"/>
          <w:sz w:val="24"/>
          <w:highlight w:val="none"/>
          <w:u w:val="single"/>
        </w:rPr>
        <w:t xml:space="preserve">   （中标供应商名称）</w:t>
      </w:r>
      <w:r>
        <w:rPr>
          <w:rFonts w:hint="eastAsia" w:ascii="仿宋" w:hAnsi="仿宋" w:eastAsia="仿宋" w:cs="仿宋"/>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highlight w:val="none"/>
          <w:u w:val="single"/>
        </w:rPr>
        <w:t xml:space="preserve">   （采购人）   </w:t>
      </w:r>
      <w:r>
        <w:rPr>
          <w:rFonts w:hint="eastAsia" w:ascii="仿宋" w:hAnsi="仿宋" w:eastAsia="仿宋" w:cs="仿宋"/>
          <w:sz w:val="24"/>
          <w:highlight w:val="none"/>
          <w:lang w:val="zh-CN"/>
        </w:rPr>
        <w:t>(以下简称：甲方)和</w:t>
      </w:r>
      <w:r>
        <w:rPr>
          <w:rFonts w:hint="eastAsia" w:ascii="仿宋" w:hAnsi="仿宋" w:eastAsia="仿宋" w:cs="仿宋"/>
          <w:sz w:val="24"/>
          <w:highlight w:val="none"/>
          <w:u w:val="single"/>
        </w:rPr>
        <w:t xml:space="preserve">   （中标供应商名称）   </w:t>
      </w:r>
      <w:r>
        <w:rPr>
          <w:rFonts w:hint="eastAsia" w:ascii="仿宋" w:hAnsi="仿宋" w:eastAsia="仿宋" w:cs="仿宋"/>
          <w:sz w:val="24"/>
          <w:highlight w:val="none"/>
          <w:lang w:val="zh-CN"/>
        </w:rPr>
        <w:t>(以下简称：乙方)协商一致，约定以下合同</w:t>
      </w:r>
      <w:r>
        <w:rPr>
          <w:rFonts w:hint="eastAsia" w:ascii="仿宋" w:hAnsi="仿宋" w:eastAsia="仿宋" w:cs="仿宋"/>
          <w:sz w:val="24"/>
          <w:highlight w:val="none"/>
        </w:rPr>
        <w:t>条款，以兹共同遵守、全面履行。</w:t>
      </w:r>
    </w:p>
    <w:p>
      <w:pPr>
        <w:spacing w:line="560" w:lineRule="exact"/>
        <w:ind w:firstLine="482" w:firstLineChars="200"/>
        <w:outlineLvl w:val="0"/>
        <w:rPr>
          <w:rFonts w:ascii="仿宋" w:hAnsi="仿宋" w:eastAsia="仿宋" w:cs="仿宋"/>
          <w:b/>
          <w:sz w:val="24"/>
          <w:highlight w:val="none"/>
        </w:rPr>
      </w:pPr>
      <w:bookmarkStart w:id="407" w:name="_Toc3029"/>
      <w:bookmarkStart w:id="408" w:name="_Toc24059"/>
      <w:bookmarkStart w:id="409" w:name="_Toc2232"/>
      <w:bookmarkStart w:id="410" w:name="_Toc6366"/>
      <w:r>
        <w:rPr>
          <w:rFonts w:hint="eastAsia" w:ascii="仿宋" w:hAnsi="仿宋" w:eastAsia="仿宋" w:cs="仿宋"/>
          <w:b/>
          <w:sz w:val="24"/>
          <w:highlight w:val="none"/>
        </w:rPr>
        <w:t>1.1 合同组成部分</w:t>
      </w:r>
      <w:bookmarkEnd w:id="407"/>
      <w:bookmarkEnd w:id="408"/>
      <w:bookmarkEnd w:id="409"/>
      <w:bookmarkEnd w:id="410"/>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1.1.1 本合同及其补充合同、变更协议；</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1.1.2 中标通知书；</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1.1.3 投标文件（含澄清或者说明文件）；</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1.1.4 招标文件（含澄清或者修改文件）；</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1.1.5 其他相关采购文件。</w:t>
      </w:r>
    </w:p>
    <w:p>
      <w:pPr>
        <w:spacing w:line="560" w:lineRule="exact"/>
        <w:ind w:firstLine="482" w:firstLineChars="200"/>
        <w:outlineLvl w:val="0"/>
        <w:rPr>
          <w:rFonts w:ascii="仿宋" w:hAnsi="仿宋" w:eastAsia="仿宋" w:cs="仿宋"/>
          <w:b/>
          <w:sz w:val="24"/>
          <w:highlight w:val="none"/>
        </w:rPr>
      </w:pPr>
      <w:bookmarkStart w:id="411" w:name="_Toc27126"/>
      <w:bookmarkStart w:id="412" w:name="_Toc24300"/>
      <w:bookmarkStart w:id="413" w:name="_Toc8758"/>
      <w:bookmarkStart w:id="414" w:name="_Toc21295"/>
      <w:r>
        <w:rPr>
          <w:rFonts w:hint="eastAsia" w:ascii="仿宋" w:hAnsi="仿宋" w:eastAsia="仿宋" w:cs="仿宋"/>
          <w:b/>
          <w:sz w:val="24"/>
          <w:highlight w:val="none"/>
        </w:rPr>
        <w:t>1.2 货物</w:t>
      </w:r>
      <w:bookmarkEnd w:id="411"/>
      <w:bookmarkEnd w:id="412"/>
      <w:bookmarkEnd w:id="413"/>
      <w:bookmarkEnd w:id="414"/>
    </w:p>
    <w:p>
      <w:pPr>
        <w:spacing w:line="56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1.2.1 货物名称：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56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1.2.2 货物数量：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1.2.3 货物</w:t>
      </w:r>
      <w:r>
        <w:rPr>
          <w:rFonts w:hint="eastAsia" w:ascii="仿宋" w:hAnsi="仿宋" w:eastAsia="仿宋" w:cs="仿宋"/>
          <w:sz w:val="24"/>
          <w:highlight w:val="none"/>
          <w:lang w:val="en-US" w:eastAsia="zh-CN"/>
        </w:rPr>
        <w:t>型号</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eastAsia="zh-CN"/>
        </w:rPr>
        <w:t>；</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1.2.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 xml:space="preserve"> 货物</w:t>
      </w:r>
      <w:r>
        <w:rPr>
          <w:rFonts w:hint="eastAsia" w:ascii="仿宋" w:hAnsi="仿宋" w:eastAsia="仿宋" w:cs="仿宋"/>
          <w:sz w:val="24"/>
          <w:highlight w:val="none"/>
          <w:lang w:val="en-US" w:eastAsia="zh-CN"/>
        </w:rPr>
        <w:t>保修期</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lang w:eastAsia="zh-CN"/>
        </w:rPr>
        <w:t>。</w:t>
      </w:r>
    </w:p>
    <w:p>
      <w:pPr>
        <w:spacing w:line="560" w:lineRule="exact"/>
        <w:ind w:firstLine="482" w:firstLineChars="200"/>
        <w:outlineLvl w:val="0"/>
        <w:rPr>
          <w:rFonts w:ascii="仿宋" w:hAnsi="仿宋" w:eastAsia="仿宋" w:cs="仿宋"/>
          <w:b/>
          <w:sz w:val="24"/>
          <w:highlight w:val="none"/>
        </w:rPr>
      </w:pPr>
      <w:bookmarkStart w:id="415" w:name="_Toc21631"/>
      <w:bookmarkStart w:id="416" w:name="_Toc21551"/>
      <w:bookmarkStart w:id="417" w:name="_Toc23292"/>
      <w:bookmarkStart w:id="418" w:name="_Toc30757"/>
      <w:r>
        <w:rPr>
          <w:rFonts w:hint="eastAsia" w:ascii="仿宋" w:hAnsi="仿宋" w:eastAsia="仿宋" w:cs="仿宋"/>
          <w:b/>
          <w:sz w:val="24"/>
          <w:highlight w:val="none"/>
        </w:rPr>
        <w:t>1.3 价款</w:t>
      </w:r>
      <w:bookmarkEnd w:id="415"/>
      <w:bookmarkEnd w:id="416"/>
      <w:bookmarkEnd w:id="417"/>
      <w:bookmarkEnd w:id="418"/>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本合同总价为：￥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元（大写：</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元人民币）。</w:t>
      </w:r>
    </w:p>
    <w:p>
      <w:pPr>
        <w:spacing w:line="56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r>
              <w:rPr>
                <w:rFonts w:hint="eastAsia" w:ascii="仿宋" w:hAnsi="仿宋" w:eastAsia="仿宋" w:cs="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r>
              <w:rPr>
                <w:rFonts w:hint="eastAsia" w:ascii="仿宋" w:hAnsi="仿宋" w:eastAsia="仿宋" w:cs="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sz w:val="24"/>
                <w:szCs w:val="24"/>
                <w:highlight w:val="none"/>
              </w:rPr>
            </w:pPr>
          </w:p>
        </w:tc>
      </w:tr>
    </w:tbl>
    <w:p>
      <w:pPr>
        <w:spacing w:line="560" w:lineRule="exact"/>
        <w:ind w:firstLine="482" w:firstLineChars="200"/>
        <w:outlineLvl w:val="0"/>
        <w:rPr>
          <w:rFonts w:ascii="仿宋" w:hAnsi="仿宋" w:eastAsia="仿宋" w:cs="仿宋"/>
          <w:b/>
          <w:sz w:val="24"/>
          <w:highlight w:val="none"/>
        </w:rPr>
      </w:pPr>
      <w:bookmarkStart w:id="419" w:name="_Toc22618"/>
      <w:bookmarkStart w:id="420" w:name="_Toc10340"/>
      <w:bookmarkStart w:id="421" w:name="_Toc1814"/>
      <w:bookmarkStart w:id="422" w:name="_Toc12774"/>
      <w:r>
        <w:rPr>
          <w:rFonts w:hint="eastAsia" w:ascii="仿宋" w:hAnsi="仿宋" w:eastAsia="仿宋" w:cs="仿宋"/>
          <w:b/>
          <w:sz w:val="24"/>
          <w:highlight w:val="none"/>
        </w:rPr>
        <w:t>1.4 付款</w:t>
      </w:r>
      <w:bookmarkEnd w:id="419"/>
      <w:bookmarkEnd w:id="420"/>
      <w:bookmarkEnd w:id="421"/>
      <w:r>
        <w:rPr>
          <w:rFonts w:hint="eastAsia" w:ascii="仿宋" w:hAnsi="仿宋" w:eastAsia="仿宋" w:cs="仿宋"/>
          <w:b/>
          <w:sz w:val="24"/>
          <w:highlight w:val="none"/>
        </w:rPr>
        <w:t>方式、时间和条件</w:t>
      </w:r>
      <w:bookmarkEnd w:id="422"/>
    </w:p>
    <w:p>
      <w:pPr>
        <w:spacing w:line="560" w:lineRule="exact"/>
        <w:ind w:firstLine="420" w:firstLineChars="200"/>
        <w:outlineLvl w:val="0"/>
        <w:rPr>
          <w:rFonts w:ascii="仿宋" w:hAnsi="仿宋" w:eastAsia="仿宋" w:cs="仿宋"/>
          <w:sz w:val="24"/>
          <w:highlight w:val="none"/>
        </w:rPr>
      </w:pPr>
      <w:r>
        <w:rPr>
          <w:rFonts w:hint="eastAsia" w:ascii="仿宋" w:hAnsi="仿宋" w:eastAsia="仿宋" w:cs="仿宋"/>
          <w:highlight w:val="none"/>
        </w:rPr>
        <w:t>1.4.1</w:t>
      </w:r>
      <w:bookmarkStart w:id="423" w:name="_Toc23973"/>
      <w:r>
        <w:rPr>
          <w:rFonts w:hint="eastAsia" w:ascii="仿宋" w:hAnsi="仿宋" w:eastAsia="仿宋" w:cs="仿宋"/>
          <w:sz w:val="24"/>
          <w:highlight w:val="none"/>
        </w:rPr>
        <w:t>资金支付的方式、时间和条件详见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bookmarkEnd w:id="423"/>
    </w:p>
    <w:p>
      <w:pPr>
        <w:spacing w:line="560" w:lineRule="exact"/>
        <w:ind w:firstLine="482" w:firstLineChars="200"/>
        <w:outlineLvl w:val="0"/>
        <w:rPr>
          <w:rFonts w:ascii="仿宋" w:hAnsi="仿宋" w:eastAsia="仿宋" w:cs="仿宋"/>
          <w:b/>
          <w:sz w:val="24"/>
          <w:highlight w:val="none"/>
        </w:rPr>
      </w:pPr>
      <w:bookmarkStart w:id="424" w:name="_Toc32071"/>
      <w:bookmarkStart w:id="425" w:name="_Toc19304"/>
      <w:bookmarkStart w:id="426" w:name="_Toc29639"/>
      <w:bookmarkStart w:id="427" w:name="_Toc2846"/>
      <w:r>
        <w:rPr>
          <w:rFonts w:hint="eastAsia" w:ascii="仿宋" w:hAnsi="仿宋" w:eastAsia="仿宋" w:cs="仿宋"/>
          <w:b/>
          <w:sz w:val="24"/>
          <w:highlight w:val="none"/>
        </w:rPr>
        <w:t>1.5 货物交付期限、地点和方式</w:t>
      </w:r>
      <w:bookmarkEnd w:id="424"/>
      <w:bookmarkEnd w:id="425"/>
      <w:bookmarkEnd w:id="426"/>
      <w:bookmarkEnd w:id="427"/>
    </w:p>
    <w:p>
      <w:pPr>
        <w:spacing w:line="56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1.5.1 交付期限：详见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1.5.2 交付地点：</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1.5.3 交付方式：</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2" w:firstLineChars="200"/>
        <w:outlineLvl w:val="0"/>
        <w:rPr>
          <w:rFonts w:ascii="仿宋" w:hAnsi="仿宋" w:eastAsia="仿宋" w:cs="仿宋"/>
          <w:b/>
          <w:sz w:val="24"/>
          <w:highlight w:val="none"/>
        </w:rPr>
      </w:pPr>
      <w:bookmarkStart w:id="428" w:name="_Toc27250"/>
      <w:bookmarkStart w:id="429" w:name="_Toc18286"/>
      <w:bookmarkStart w:id="430" w:name="_Toc21423"/>
      <w:bookmarkStart w:id="431" w:name="_Toc19554"/>
      <w:r>
        <w:rPr>
          <w:rFonts w:hint="eastAsia" w:ascii="仿宋" w:hAnsi="仿宋" w:eastAsia="仿宋" w:cs="仿宋"/>
          <w:b/>
          <w:sz w:val="24"/>
          <w:highlight w:val="none"/>
        </w:rPr>
        <w:t>1.6 违约责任</w:t>
      </w:r>
      <w:bookmarkEnd w:id="428"/>
      <w:bookmarkEnd w:id="429"/>
      <w:bookmarkEnd w:id="430"/>
      <w:bookmarkEnd w:id="431"/>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highlight w:val="none"/>
          <w:u w:val="single"/>
        </w:rPr>
        <w:t xml:space="preserve">  0.05  </w:t>
      </w:r>
      <w:r>
        <w:rPr>
          <w:rFonts w:hint="eastAsia" w:ascii="仿宋" w:hAnsi="仿宋" w:eastAsia="仿宋" w:cs="仿宋"/>
          <w:sz w:val="24"/>
          <w:highlight w:val="none"/>
        </w:rPr>
        <w:t>%计算，最高限额为本合同总价的</w:t>
      </w:r>
      <w:r>
        <w:rPr>
          <w:rFonts w:hint="eastAsia" w:ascii="仿宋" w:hAnsi="仿宋" w:eastAsia="仿宋" w:cs="仿宋"/>
          <w:sz w:val="24"/>
          <w:highlight w:val="none"/>
          <w:u w:val="single"/>
        </w:rPr>
        <w:t xml:space="preserve"> 20  </w:t>
      </w:r>
      <w:r>
        <w:rPr>
          <w:rFonts w:hint="eastAsia" w:ascii="仿宋" w:hAnsi="仿宋" w:eastAsia="仿宋" w:cs="仿宋"/>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highlight w:val="none"/>
          <w:u w:val="single"/>
        </w:rPr>
        <w:t xml:space="preserve">  0.05  </w:t>
      </w:r>
      <w:r>
        <w:rPr>
          <w:rFonts w:hint="eastAsia" w:ascii="仿宋" w:hAnsi="仿宋" w:eastAsia="仿宋" w:cs="仿宋"/>
          <w:sz w:val="24"/>
          <w:highlight w:val="none"/>
        </w:rPr>
        <w:t>%计算，最高限额为本合同总价的</w:t>
      </w:r>
      <w:r>
        <w:rPr>
          <w:rFonts w:hint="eastAsia" w:ascii="仿宋" w:hAnsi="仿宋" w:eastAsia="仿宋" w:cs="仿宋"/>
          <w:sz w:val="24"/>
          <w:highlight w:val="none"/>
          <w:u w:val="single"/>
        </w:rPr>
        <w:t xml:space="preserve">  20   </w:t>
      </w:r>
      <w:r>
        <w:rPr>
          <w:rFonts w:hint="eastAsia" w:ascii="仿宋" w:hAnsi="仿宋" w:eastAsia="仿宋" w:cs="仿宋"/>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highlight w:val="none"/>
        </w:rPr>
      </w:pPr>
      <w:r>
        <w:rPr>
          <w:rFonts w:hint="eastAsia" w:ascii="仿宋" w:hAnsi="仿宋" w:eastAsia="仿宋" w:cs="仿宋"/>
          <w:sz w:val="24"/>
          <w:highlight w:val="none"/>
        </w:rPr>
        <w:t>1.6.7违约责任</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另有约定的，从其约定。</w:t>
      </w:r>
    </w:p>
    <w:p>
      <w:pPr>
        <w:spacing w:line="560" w:lineRule="exact"/>
        <w:ind w:firstLine="482" w:firstLineChars="200"/>
        <w:outlineLvl w:val="0"/>
        <w:rPr>
          <w:rFonts w:ascii="仿宋" w:hAnsi="仿宋" w:eastAsia="仿宋" w:cs="仿宋"/>
          <w:b/>
          <w:sz w:val="24"/>
          <w:highlight w:val="none"/>
        </w:rPr>
      </w:pPr>
      <w:bookmarkStart w:id="432" w:name="_Toc16021"/>
      <w:bookmarkStart w:id="433" w:name="_Toc15583"/>
      <w:bookmarkStart w:id="434" w:name="_Toc28375"/>
      <w:bookmarkStart w:id="435" w:name="_Toc16643"/>
      <w:r>
        <w:rPr>
          <w:rFonts w:hint="eastAsia" w:ascii="仿宋" w:hAnsi="仿宋" w:eastAsia="仿宋" w:cs="仿宋"/>
          <w:b/>
          <w:sz w:val="24"/>
          <w:highlight w:val="none"/>
        </w:rPr>
        <w:t>1.7 合同争议的解决</w:t>
      </w:r>
      <w:bookmarkEnd w:id="432"/>
      <w:bookmarkEnd w:id="433"/>
      <w:bookmarkEnd w:id="434"/>
      <w:bookmarkEnd w:id="435"/>
    </w:p>
    <w:p>
      <w:pPr>
        <w:spacing w:line="560" w:lineRule="exact"/>
        <w:ind w:left="-61" w:leftChars="-29" w:right="-420" w:rightChars="-200" w:firstLine="240" w:firstLineChars="100"/>
        <w:rPr>
          <w:rFonts w:ascii="仿宋" w:hAnsi="仿宋" w:eastAsia="仿宋" w:cs="仿宋"/>
          <w:sz w:val="24"/>
          <w:highlight w:val="none"/>
        </w:rPr>
      </w:pPr>
      <w:r>
        <w:rPr>
          <w:rFonts w:hint="eastAsia" w:ascii="仿宋" w:hAnsi="仿宋" w:eastAsia="仿宋" w:cs="仿宋"/>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highlight w:val="none"/>
          <w:u w:val="single"/>
        </w:rPr>
        <w:t xml:space="preserve"> 合同专用条款  </w:t>
      </w:r>
      <w:r>
        <w:rPr>
          <w:rFonts w:hint="eastAsia" w:ascii="仿宋" w:hAnsi="仿宋" w:eastAsia="仿宋" w:cs="仿宋"/>
          <w:sz w:val="24"/>
          <w:highlight w:val="none"/>
        </w:rPr>
        <w:t>条款规定的方式解决：</w:t>
      </w:r>
    </w:p>
    <w:p>
      <w:pPr>
        <w:spacing w:line="560" w:lineRule="exact"/>
        <w:ind w:left="-420" w:leftChars="-200" w:right="-420" w:rightChars="-200" w:firstLine="600" w:firstLineChars="250"/>
        <w:rPr>
          <w:rFonts w:ascii="仿宋" w:hAnsi="仿宋" w:eastAsia="仿宋" w:cs="仿宋"/>
          <w:sz w:val="24"/>
          <w:highlight w:val="none"/>
        </w:rPr>
      </w:pPr>
      <w:r>
        <w:rPr>
          <w:rFonts w:hint="eastAsia" w:ascii="仿宋" w:hAnsi="仿宋" w:eastAsia="仿宋" w:cs="仿宋"/>
          <w:sz w:val="24"/>
          <w:highlight w:val="none"/>
        </w:rPr>
        <w:t>1.7.1 将争议提交</w:t>
      </w:r>
      <w:r>
        <w:rPr>
          <w:rFonts w:hint="eastAsia" w:ascii="仿宋" w:hAnsi="仿宋" w:eastAsia="仿宋" w:cs="仿宋"/>
          <w:sz w:val="24"/>
          <w:highlight w:val="none"/>
          <w:u w:val="single"/>
          <w:lang w:val="en-US" w:eastAsia="zh-CN"/>
        </w:rPr>
        <w:t xml:space="preserve"> </w:t>
      </w:r>
      <w:r>
        <w:rPr>
          <w:rFonts w:hint="eastAsia" w:ascii="仿宋" w:hAnsi="仿宋" w:eastAsia="仿宋" w:cs="仿宋"/>
          <w:b/>
          <w:i/>
          <w:sz w:val="24"/>
          <w:highlight w:val="none"/>
          <w:u w:val="single"/>
        </w:rPr>
        <w:t>合同专用条款</w:t>
      </w:r>
      <w:r>
        <w:rPr>
          <w:rFonts w:hint="eastAsia" w:ascii="仿宋" w:hAnsi="仿宋" w:eastAsia="仿宋" w:cs="仿宋"/>
          <w:b/>
          <w:i/>
          <w:sz w:val="24"/>
          <w:highlight w:val="none"/>
          <w:u w:val="single"/>
          <w:lang w:val="en-US" w:eastAsia="zh-CN"/>
        </w:rPr>
        <w:t xml:space="preserve"> </w:t>
      </w:r>
      <w:r>
        <w:rPr>
          <w:rFonts w:hint="eastAsia" w:ascii="仿宋" w:hAnsi="仿宋" w:eastAsia="仿宋" w:cs="仿宋"/>
          <w:sz w:val="24"/>
          <w:highlight w:val="none"/>
          <w:lang w:val="en-US" w:eastAsia="zh-CN"/>
        </w:rPr>
        <w:t>嘉善县人民法院处理</w:t>
      </w:r>
      <w:r>
        <w:rPr>
          <w:rFonts w:hint="eastAsia" w:ascii="仿宋" w:hAnsi="仿宋" w:eastAsia="仿宋" w:cs="仿宋"/>
          <w:sz w:val="24"/>
          <w:highlight w:val="none"/>
        </w:rPr>
        <w:t>；</w:t>
      </w:r>
    </w:p>
    <w:p>
      <w:pPr>
        <w:spacing w:line="560" w:lineRule="exact"/>
        <w:ind w:left="-420" w:leftChars="-200" w:right="-420" w:rightChars="-200" w:firstLine="600" w:firstLineChars="250"/>
        <w:rPr>
          <w:rFonts w:ascii="仿宋" w:hAnsi="仿宋" w:eastAsia="仿宋" w:cs="仿宋"/>
          <w:sz w:val="24"/>
          <w:highlight w:val="none"/>
        </w:rPr>
      </w:pPr>
      <w:r>
        <w:rPr>
          <w:rFonts w:hint="eastAsia" w:ascii="仿宋" w:hAnsi="仿宋" w:eastAsia="仿宋" w:cs="仿宋"/>
          <w:sz w:val="24"/>
          <w:highlight w:val="none"/>
        </w:rPr>
        <w:t>1.7.2 向</w:t>
      </w:r>
      <w:r>
        <w:rPr>
          <w:rFonts w:hint="eastAsia" w:ascii="仿宋" w:hAnsi="仿宋" w:eastAsia="仿宋" w:cs="仿宋"/>
          <w:sz w:val="24"/>
          <w:highlight w:val="none"/>
          <w:lang w:val="en-US" w:eastAsia="zh-CN"/>
        </w:rPr>
        <w:t xml:space="preserve"> </w:t>
      </w:r>
      <w:r>
        <w:rPr>
          <w:rFonts w:hint="eastAsia" w:ascii="仿宋" w:hAnsi="仿宋" w:eastAsia="仿宋" w:cs="仿宋"/>
          <w:b/>
          <w:i/>
          <w:sz w:val="24"/>
          <w:highlight w:val="none"/>
          <w:u w:val="single"/>
        </w:rPr>
        <w:t>合同专用条款</w:t>
      </w:r>
      <w:r>
        <w:rPr>
          <w:rFonts w:hint="eastAsia" w:ascii="仿宋" w:hAnsi="仿宋" w:eastAsia="仿宋" w:cs="仿宋"/>
          <w:b/>
          <w:i/>
          <w:sz w:val="24"/>
          <w:highlight w:val="none"/>
          <w:u w:val="single"/>
          <w:lang w:val="en-US" w:eastAsia="zh-CN"/>
        </w:rPr>
        <w:t xml:space="preserve"> </w:t>
      </w:r>
      <w:r>
        <w:rPr>
          <w:rFonts w:hint="eastAsia" w:ascii="仿宋" w:hAnsi="仿宋" w:eastAsia="仿宋" w:cs="仿宋"/>
          <w:sz w:val="24"/>
          <w:highlight w:val="none"/>
        </w:rPr>
        <w:t>人民法院起诉。</w:t>
      </w:r>
    </w:p>
    <w:p>
      <w:pPr>
        <w:spacing w:line="560" w:lineRule="exact"/>
        <w:ind w:firstLine="482" w:firstLineChars="200"/>
        <w:outlineLvl w:val="0"/>
        <w:rPr>
          <w:rFonts w:ascii="仿宋" w:hAnsi="仿宋" w:eastAsia="仿宋" w:cs="仿宋"/>
          <w:b/>
          <w:sz w:val="24"/>
          <w:highlight w:val="none"/>
        </w:rPr>
      </w:pPr>
      <w:bookmarkStart w:id="436" w:name="_Toc15322"/>
      <w:bookmarkStart w:id="437" w:name="_Toc7245"/>
      <w:bookmarkStart w:id="438" w:name="_Toc11173"/>
      <w:bookmarkStart w:id="439" w:name="_Toc7832"/>
      <w:r>
        <w:rPr>
          <w:rFonts w:hint="eastAsia" w:ascii="仿宋" w:hAnsi="仿宋" w:eastAsia="仿宋" w:cs="仿宋"/>
          <w:b/>
          <w:sz w:val="24"/>
          <w:highlight w:val="none"/>
        </w:rPr>
        <w:t>1.8 合同生效</w:t>
      </w:r>
      <w:bookmarkEnd w:id="436"/>
      <w:bookmarkEnd w:id="437"/>
      <w:bookmarkEnd w:id="438"/>
      <w:bookmarkEnd w:id="439"/>
    </w:p>
    <w:p>
      <w:pPr>
        <w:spacing w:line="560" w:lineRule="exact"/>
        <w:ind w:firstLine="480" w:firstLineChars="200"/>
        <w:rPr>
          <w:rFonts w:ascii="仿宋" w:hAnsi="仿宋" w:eastAsia="仿宋" w:cs="仿宋"/>
          <w:b/>
          <w:sz w:val="24"/>
          <w:highlight w:val="none"/>
        </w:rPr>
      </w:pPr>
      <w:r>
        <w:rPr>
          <w:rFonts w:hint="eastAsia" w:ascii="仿宋" w:hAnsi="仿宋" w:eastAsia="仿宋" w:cs="仿宋"/>
          <w:sz w:val="24"/>
          <w:highlight w:val="none"/>
        </w:rPr>
        <w:t>本合同自双方当事人盖章或者签字时生效。</w:t>
      </w:r>
    </w:p>
    <w:p>
      <w:pPr>
        <w:autoSpaceDE w:val="0"/>
        <w:autoSpaceDN w:val="0"/>
        <w:spacing w:line="560" w:lineRule="exact"/>
        <w:rPr>
          <w:rFonts w:ascii="仿宋" w:hAnsi="仿宋" w:eastAsia="仿宋" w:cs="仿宋"/>
          <w:sz w:val="24"/>
          <w:highlight w:val="none"/>
          <w:lang w:val="zh-CN"/>
        </w:rPr>
      </w:pP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b/>
          <w:sz w:val="24"/>
          <w:highlight w:val="none"/>
          <w:lang w:val="zh-CN"/>
        </w:rPr>
        <w:t>甲方</w:t>
      </w:r>
      <w:r>
        <w:rPr>
          <w:rFonts w:hint="eastAsia" w:ascii="仿宋" w:hAnsi="仿宋" w:eastAsia="仿宋" w:cs="仿宋"/>
          <w:sz w:val="24"/>
          <w:highlight w:val="none"/>
          <w:lang w:val="zh-CN"/>
        </w:rPr>
        <w:t xml:space="preserve">：                             </w:t>
      </w:r>
      <w:r>
        <w:rPr>
          <w:rFonts w:hint="eastAsia" w:ascii="仿宋" w:hAnsi="仿宋" w:eastAsia="仿宋" w:cs="仿宋"/>
          <w:b/>
          <w:sz w:val="24"/>
          <w:highlight w:val="none"/>
          <w:lang w:val="zh-CN"/>
        </w:rPr>
        <w:t xml:space="preserve">      乙方</w:t>
      </w:r>
      <w:r>
        <w:rPr>
          <w:rFonts w:hint="eastAsia" w:ascii="仿宋" w:hAnsi="仿宋" w:eastAsia="仿宋" w:cs="仿宋"/>
          <w:sz w:val="24"/>
          <w:highlight w:val="none"/>
          <w:lang w:val="zh-CN"/>
        </w:rPr>
        <w:t>：</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统一社会信用代码：                        统一社会信用代码或身份证号码：</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住所：                                   住所：</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法定代表人或                             法定代表人</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授权代表（签字）：                        或授权代表（签字）: </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联系人：                                 联系人：</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约定送达地址：                           约定送达地址：</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邮政编码：                               邮政编码：</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电话:                                    电话: </w:t>
      </w:r>
    </w:p>
    <w:p>
      <w:pPr>
        <w:autoSpaceDE w:val="0"/>
        <w:autoSpaceDN w:val="0"/>
        <w:spacing w:line="560" w:lineRule="exact"/>
        <w:rPr>
          <w:rFonts w:ascii="仿宋" w:hAnsi="仿宋" w:eastAsia="仿宋" w:cs="仿宋"/>
          <w:sz w:val="24"/>
          <w:highlight w:val="none"/>
          <w:lang w:val="zh-CN"/>
        </w:rPr>
      </w:pPr>
      <w:r>
        <w:rPr>
          <w:rFonts w:hint="eastAsia" w:ascii="仿宋" w:hAnsi="仿宋" w:eastAsia="仿宋" w:cs="仿宋"/>
          <w:sz w:val="24"/>
          <w:highlight w:val="none"/>
          <w:lang w:val="zh-CN"/>
        </w:rPr>
        <w:t>传真:                                    传真:</w:t>
      </w:r>
    </w:p>
    <w:p>
      <w:pPr>
        <w:autoSpaceDE w:val="0"/>
        <w:autoSpaceDN w:val="0"/>
        <w:spacing w:line="560" w:lineRule="exact"/>
        <w:rPr>
          <w:rFonts w:ascii="仿宋" w:hAnsi="仿宋" w:eastAsia="仿宋" w:cs="仿宋"/>
          <w:sz w:val="24"/>
          <w:highlight w:val="none"/>
        </w:rPr>
      </w:pPr>
      <w:r>
        <w:rPr>
          <w:rFonts w:hint="eastAsia" w:ascii="仿宋" w:hAnsi="仿宋" w:eastAsia="仿宋" w:cs="仿宋"/>
          <w:sz w:val="24"/>
          <w:highlight w:val="none"/>
          <w:lang w:val="zh-CN"/>
        </w:rPr>
        <w:t>电子邮箱：                               电子邮箱：</w:t>
      </w:r>
    </w:p>
    <w:p>
      <w:pPr>
        <w:autoSpaceDE w:val="0"/>
        <w:autoSpaceDN w:val="0"/>
        <w:spacing w:line="560" w:lineRule="exact"/>
        <w:rPr>
          <w:rFonts w:ascii="仿宋" w:hAnsi="仿宋" w:eastAsia="仿宋" w:cs="仿宋"/>
          <w:sz w:val="24"/>
          <w:highlight w:val="none"/>
        </w:rPr>
      </w:pPr>
      <w:r>
        <w:rPr>
          <w:rFonts w:hint="eastAsia" w:ascii="仿宋" w:hAnsi="仿宋" w:eastAsia="仿宋" w:cs="仿宋"/>
          <w:sz w:val="24"/>
          <w:highlight w:val="none"/>
        </w:rPr>
        <w:t xml:space="preserve">开户银行：                               开户银行： </w:t>
      </w:r>
    </w:p>
    <w:p>
      <w:pPr>
        <w:autoSpaceDE w:val="0"/>
        <w:autoSpaceDN w:val="0"/>
        <w:spacing w:line="560" w:lineRule="exact"/>
        <w:rPr>
          <w:rFonts w:ascii="仿宋" w:hAnsi="仿宋" w:eastAsia="仿宋" w:cs="仿宋"/>
          <w:sz w:val="24"/>
          <w:highlight w:val="none"/>
        </w:rPr>
      </w:pPr>
      <w:r>
        <w:rPr>
          <w:rFonts w:hint="eastAsia" w:ascii="仿宋" w:hAnsi="仿宋" w:eastAsia="仿宋" w:cs="仿宋"/>
          <w:sz w:val="24"/>
          <w:highlight w:val="none"/>
        </w:rPr>
        <w:t xml:space="preserve">开户名称：                               开户名称： </w:t>
      </w:r>
    </w:p>
    <w:p>
      <w:pPr>
        <w:autoSpaceDE w:val="0"/>
        <w:autoSpaceDN w:val="0"/>
        <w:spacing w:line="560" w:lineRule="exact"/>
        <w:rPr>
          <w:rFonts w:ascii="仿宋" w:hAnsi="仿宋" w:eastAsia="仿宋" w:cs="仿宋"/>
          <w:sz w:val="24"/>
          <w:highlight w:val="none"/>
        </w:rPr>
      </w:pPr>
      <w:r>
        <w:rPr>
          <w:rFonts w:hint="eastAsia" w:ascii="仿宋" w:hAnsi="仿宋" w:eastAsia="仿宋" w:cs="仿宋"/>
          <w:sz w:val="24"/>
          <w:highlight w:val="none"/>
        </w:rPr>
        <w:t>开户账号：</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开户账号：</w:t>
      </w:r>
    </w:p>
    <w:p>
      <w:pPr>
        <w:widowControl/>
        <w:spacing w:line="560" w:lineRule="exact"/>
        <w:jc w:val="left"/>
        <w:rPr>
          <w:rFonts w:ascii="仿宋" w:hAnsi="仿宋" w:eastAsia="仿宋" w:cs="仿宋"/>
          <w:b/>
          <w:sz w:val="24"/>
          <w:highlight w:val="none"/>
        </w:rPr>
      </w:pPr>
      <w:bookmarkStart w:id="440" w:name="_Toc331685783"/>
    </w:p>
    <w:p>
      <w:pPr>
        <w:pStyle w:val="701"/>
        <w:spacing w:line="560" w:lineRule="exact"/>
        <w:ind w:firstLine="482"/>
        <w:jc w:val="center"/>
        <w:rPr>
          <w:rFonts w:ascii="仿宋" w:hAnsi="仿宋" w:eastAsia="仿宋" w:cs="仿宋"/>
          <w:b/>
          <w:szCs w:val="24"/>
          <w:highlight w:val="none"/>
        </w:rPr>
      </w:pPr>
      <w:r>
        <w:rPr>
          <w:rFonts w:hint="eastAsia" w:ascii="仿宋" w:hAnsi="仿宋" w:eastAsia="仿宋" w:cs="仿宋"/>
          <w:b/>
          <w:szCs w:val="24"/>
          <w:highlight w:val="none"/>
        </w:rPr>
        <w:t>第二部分 合同一般条款</w:t>
      </w:r>
      <w:bookmarkEnd w:id="440"/>
    </w:p>
    <w:p>
      <w:pPr>
        <w:spacing w:line="560" w:lineRule="exact"/>
        <w:ind w:firstLine="482" w:firstLineChars="200"/>
        <w:outlineLvl w:val="0"/>
        <w:rPr>
          <w:rFonts w:ascii="仿宋" w:hAnsi="仿宋" w:eastAsia="仿宋" w:cs="仿宋"/>
          <w:b/>
          <w:sz w:val="24"/>
          <w:highlight w:val="none"/>
        </w:rPr>
      </w:pPr>
      <w:bookmarkStart w:id="441" w:name="_Toc16917"/>
      <w:bookmarkStart w:id="442" w:name="_Ref467379205"/>
      <w:bookmarkStart w:id="443" w:name="_Toc19614"/>
      <w:bookmarkStart w:id="444" w:name="_Ref467378499"/>
      <w:bookmarkStart w:id="445" w:name="_Toc259093669"/>
      <w:bookmarkStart w:id="446" w:name="_Toc28428"/>
      <w:bookmarkStart w:id="447" w:name="_Ref467379225"/>
      <w:bookmarkStart w:id="448" w:name="_Toc279701240"/>
      <w:bookmarkStart w:id="449" w:name="_Ref467379195"/>
      <w:bookmarkStart w:id="450" w:name="_Ref467378404"/>
      <w:bookmarkStart w:id="451" w:name="_Ref467379109"/>
      <w:bookmarkStart w:id="452" w:name="_Toc487900349"/>
      <w:bookmarkStart w:id="453" w:name="_Ref467379101"/>
      <w:bookmarkStart w:id="454" w:name="_Ref467379214"/>
      <w:bookmarkStart w:id="455" w:name="_Ref467378463"/>
      <w:bookmarkStart w:id="456" w:name="_Ref467379094"/>
      <w:bookmarkStart w:id="457" w:name="_Toc28763"/>
      <w:r>
        <w:rPr>
          <w:rFonts w:hint="eastAsia" w:ascii="仿宋" w:hAnsi="仿宋" w:eastAsia="仿宋" w:cs="仿宋"/>
          <w:b/>
          <w:sz w:val="24"/>
          <w:highlight w:val="none"/>
        </w:rPr>
        <w:t>2.1 定义</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本合同中的下列词语应按以下内容进行解释：</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sz w:val="24"/>
          <w:highlight w:val="none"/>
        </w:rPr>
      </w:pPr>
      <w:bookmarkStart w:id="458" w:name="_Ref467378840"/>
      <w:r>
        <w:rPr>
          <w:rFonts w:hint="eastAsia" w:ascii="仿宋" w:hAnsi="仿宋" w:eastAsia="仿宋" w:cs="仿宋"/>
          <w:sz w:val="24"/>
          <w:highlight w:val="none"/>
        </w:rPr>
        <w:t>2.1.4 “甲方”系指与中标供应商签署合同的采购人</w:t>
      </w:r>
      <w:bookmarkEnd w:id="458"/>
      <w:r>
        <w:rPr>
          <w:rFonts w:hint="eastAsia" w:ascii="仿宋" w:hAnsi="仿宋" w:eastAsia="仿宋" w:cs="仿宋"/>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s="仿宋"/>
          <w:sz w:val="24"/>
          <w:highlight w:val="none"/>
        </w:rPr>
      </w:pPr>
      <w:bookmarkStart w:id="459" w:name="_Ref467379400"/>
      <w:r>
        <w:rPr>
          <w:rFonts w:hint="eastAsia" w:ascii="仿宋" w:hAnsi="仿宋" w:eastAsia="仿宋" w:cs="仿宋"/>
          <w:sz w:val="24"/>
          <w:highlight w:val="none"/>
        </w:rPr>
        <w:t>2.1.5 “乙方”系指根据合同约定交付货物的中标供应商</w:t>
      </w:r>
      <w:bookmarkEnd w:id="459"/>
      <w:r>
        <w:rPr>
          <w:rFonts w:hint="eastAsia" w:ascii="仿宋" w:hAnsi="仿宋" w:eastAsia="仿宋" w:cs="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highlight w:val="none"/>
        </w:rPr>
      </w:pPr>
      <w:bookmarkStart w:id="460" w:name="_Ref467379436"/>
      <w:r>
        <w:rPr>
          <w:rFonts w:hint="eastAsia" w:ascii="仿宋" w:hAnsi="仿宋" w:eastAsia="仿宋" w:cs="仿宋"/>
          <w:sz w:val="24"/>
          <w:highlight w:val="none"/>
        </w:rPr>
        <w:t>2.1.6 “现场”系指合同约定货物将要运至或者安装的地点。</w:t>
      </w:r>
      <w:bookmarkEnd w:id="460"/>
    </w:p>
    <w:p>
      <w:pPr>
        <w:spacing w:line="560" w:lineRule="exact"/>
        <w:ind w:firstLine="482" w:firstLineChars="200"/>
        <w:outlineLvl w:val="0"/>
        <w:rPr>
          <w:rFonts w:ascii="仿宋" w:hAnsi="仿宋" w:eastAsia="仿宋" w:cs="仿宋"/>
          <w:b/>
          <w:sz w:val="24"/>
          <w:highlight w:val="none"/>
        </w:rPr>
      </w:pPr>
      <w:bookmarkStart w:id="461" w:name="_Toc27635"/>
      <w:bookmarkStart w:id="462" w:name="_Toc259093670"/>
      <w:bookmarkStart w:id="463" w:name="_Toc487900350"/>
      <w:bookmarkStart w:id="464" w:name="_Toc10631"/>
      <w:bookmarkStart w:id="465" w:name="_Toc13336"/>
      <w:bookmarkStart w:id="466" w:name="_Toc32504"/>
      <w:bookmarkStart w:id="467" w:name="_Toc279701241"/>
      <w:r>
        <w:rPr>
          <w:rFonts w:hint="eastAsia" w:ascii="仿宋" w:hAnsi="仿宋" w:eastAsia="仿宋" w:cs="仿宋"/>
          <w:b/>
          <w:sz w:val="24"/>
          <w:highlight w:val="none"/>
        </w:rPr>
        <w:t>2.2 技术规范</w:t>
      </w:r>
      <w:bookmarkEnd w:id="461"/>
      <w:bookmarkEnd w:id="462"/>
      <w:bookmarkEnd w:id="463"/>
      <w:bookmarkEnd w:id="464"/>
      <w:bookmarkEnd w:id="465"/>
      <w:bookmarkEnd w:id="466"/>
      <w:bookmarkEnd w:id="467"/>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highlight w:val="none"/>
        </w:rPr>
      </w:pPr>
      <w:bookmarkStart w:id="468" w:name="_Toc9829"/>
      <w:bookmarkStart w:id="469" w:name="_Toc27853"/>
      <w:bookmarkStart w:id="470" w:name="_Toc259093671"/>
      <w:bookmarkStart w:id="471" w:name="_Toc279701242"/>
      <w:bookmarkStart w:id="472" w:name="_Toc31634"/>
      <w:bookmarkStart w:id="473" w:name="_Toc487900351"/>
      <w:bookmarkStart w:id="474" w:name="_Toc65"/>
      <w:r>
        <w:rPr>
          <w:rFonts w:hint="eastAsia" w:ascii="仿宋" w:hAnsi="仿宋" w:eastAsia="仿宋" w:cs="仿宋"/>
          <w:b/>
          <w:sz w:val="24"/>
          <w:highlight w:val="none"/>
        </w:rPr>
        <w:t>2.3 知识产权</w:t>
      </w:r>
      <w:bookmarkEnd w:id="468"/>
      <w:bookmarkEnd w:id="469"/>
      <w:bookmarkEnd w:id="470"/>
      <w:bookmarkEnd w:id="471"/>
      <w:bookmarkEnd w:id="472"/>
      <w:bookmarkEnd w:id="473"/>
      <w:bookmarkEnd w:id="474"/>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2.3.2具有知识产权的计算机软件等货物的知识产权归属，详见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2" w:firstLineChars="200"/>
        <w:outlineLvl w:val="0"/>
        <w:rPr>
          <w:rFonts w:ascii="仿宋" w:hAnsi="仿宋" w:eastAsia="仿宋" w:cs="仿宋"/>
          <w:b/>
          <w:sz w:val="24"/>
          <w:highlight w:val="none"/>
        </w:rPr>
      </w:pPr>
      <w:bookmarkStart w:id="475" w:name="_Toc4194"/>
      <w:bookmarkStart w:id="476" w:name="_Toc29149"/>
      <w:bookmarkStart w:id="477" w:name="_Toc3199"/>
      <w:bookmarkStart w:id="478" w:name="_Toc11932"/>
      <w:r>
        <w:rPr>
          <w:rFonts w:hint="eastAsia" w:ascii="仿宋" w:hAnsi="仿宋" w:eastAsia="仿宋" w:cs="仿宋"/>
          <w:b/>
          <w:sz w:val="24"/>
          <w:highlight w:val="none"/>
        </w:rPr>
        <w:t>2.4 包装和装运</w:t>
      </w:r>
      <w:bookmarkEnd w:id="475"/>
      <w:bookmarkEnd w:id="476"/>
      <w:bookmarkEnd w:id="477"/>
      <w:bookmarkEnd w:id="478"/>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2.4.1除</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2.4.2 装运货物的要求和通知，详见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2" w:firstLineChars="200"/>
        <w:outlineLvl w:val="0"/>
        <w:rPr>
          <w:rFonts w:ascii="仿宋" w:hAnsi="仿宋" w:eastAsia="仿宋" w:cs="仿宋"/>
          <w:b/>
          <w:sz w:val="24"/>
          <w:highlight w:val="none"/>
        </w:rPr>
      </w:pPr>
      <w:bookmarkStart w:id="479" w:name="_Toc259093674"/>
      <w:bookmarkStart w:id="480" w:name="_Toc279701245"/>
      <w:bookmarkStart w:id="481" w:name="_Toc487900354"/>
      <w:bookmarkStart w:id="482" w:name="_Ref467378541"/>
      <w:bookmarkStart w:id="483" w:name="_Ref467379527"/>
      <w:bookmarkStart w:id="484" w:name="_Ref467379542"/>
      <w:bookmarkStart w:id="485" w:name="_Ref467378591"/>
      <w:bookmarkStart w:id="486" w:name="_Ref467379536"/>
      <w:bookmarkStart w:id="487" w:name="_Toc26182"/>
      <w:bookmarkStart w:id="488" w:name="_Toc30272"/>
      <w:bookmarkStart w:id="489" w:name="_Toc3506"/>
      <w:bookmarkStart w:id="490" w:name="_Toc19074"/>
      <w:r>
        <w:rPr>
          <w:rFonts w:hint="eastAsia" w:ascii="仿宋" w:hAnsi="仿宋" w:eastAsia="仿宋" w:cs="仿宋"/>
          <w:b/>
          <w:sz w:val="24"/>
          <w:highlight w:val="none"/>
        </w:rPr>
        <w:t>2.</w:t>
      </w:r>
      <w:bookmarkEnd w:id="479"/>
      <w:bookmarkEnd w:id="480"/>
      <w:bookmarkEnd w:id="481"/>
      <w:bookmarkEnd w:id="482"/>
      <w:bookmarkEnd w:id="483"/>
      <w:bookmarkEnd w:id="484"/>
      <w:bookmarkEnd w:id="485"/>
      <w:bookmarkEnd w:id="486"/>
      <w:r>
        <w:rPr>
          <w:rFonts w:hint="eastAsia" w:ascii="仿宋" w:hAnsi="仿宋" w:eastAsia="仿宋" w:cs="仿宋"/>
          <w:b/>
          <w:sz w:val="24"/>
          <w:highlight w:val="none"/>
        </w:rPr>
        <w:t>5 履约检查和问题反馈</w:t>
      </w:r>
      <w:bookmarkEnd w:id="487"/>
      <w:bookmarkEnd w:id="488"/>
      <w:bookmarkEnd w:id="489"/>
      <w:bookmarkEnd w:id="490"/>
    </w:p>
    <w:p>
      <w:pPr>
        <w:spacing w:line="560" w:lineRule="exact"/>
        <w:ind w:firstLine="480" w:firstLineChars="200"/>
        <w:rPr>
          <w:rFonts w:ascii="仿宋" w:hAnsi="仿宋" w:eastAsia="仿宋" w:cs="仿宋"/>
          <w:sz w:val="24"/>
          <w:highlight w:val="none"/>
        </w:rPr>
      </w:pPr>
      <w:bookmarkStart w:id="491" w:name="_Ref467379657"/>
      <w:r>
        <w:rPr>
          <w:rFonts w:hint="eastAsia" w:ascii="仿宋" w:hAnsi="仿宋" w:eastAsia="仿宋" w:cs="仿宋"/>
          <w:sz w:val="24"/>
          <w:highlight w:val="none"/>
        </w:rPr>
        <w:t>2.5.1</w:t>
      </w:r>
      <w:bookmarkEnd w:id="491"/>
      <w:bookmarkStart w:id="492" w:name="_Toc186431854"/>
      <w:bookmarkStart w:id="493" w:name="_Toc279701247"/>
      <w:bookmarkStart w:id="494" w:name="_Ref467379793"/>
      <w:bookmarkStart w:id="495" w:name="_Toc259093676"/>
      <w:bookmarkStart w:id="496" w:name="_Toc487900357"/>
      <w:bookmarkStart w:id="497" w:name="_Ref467379807"/>
      <w:r>
        <w:rPr>
          <w:rFonts w:hint="eastAsia" w:ascii="仿宋" w:hAnsi="仿宋" w:eastAsia="仿宋" w:cs="仿宋"/>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2.5.2 合同履行期间，甲方有权将履行过程中出现的问题反馈给乙方，双方当事人应以书面形式约定需要完善和改进的内容</w:t>
      </w:r>
      <w:bookmarkEnd w:id="492"/>
      <w:bookmarkStart w:id="498" w:name="_Toc186431855"/>
      <w:r>
        <w:rPr>
          <w:rFonts w:hint="eastAsia" w:ascii="仿宋" w:hAnsi="仿宋" w:eastAsia="仿宋" w:cs="仿宋"/>
          <w:sz w:val="24"/>
          <w:highlight w:val="none"/>
        </w:rPr>
        <w:t>。</w:t>
      </w:r>
    </w:p>
    <w:bookmarkEnd w:id="493"/>
    <w:bookmarkEnd w:id="494"/>
    <w:bookmarkEnd w:id="495"/>
    <w:bookmarkEnd w:id="496"/>
    <w:bookmarkEnd w:id="497"/>
    <w:bookmarkEnd w:id="498"/>
    <w:p>
      <w:pPr>
        <w:spacing w:line="560" w:lineRule="exact"/>
        <w:ind w:firstLine="482" w:firstLineChars="200"/>
        <w:outlineLvl w:val="0"/>
        <w:rPr>
          <w:rFonts w:ascii="仿宋" w:hAnsi="仿宋" w:eastAsia="仿宋" w:cs="仿宋"/>
          <w:b/>
          <w:sz w:val="24"/>
          <w:highlight w:val="none"/>
        </w:rPr>
      </w:pPr>
      <w:bookmarkStart w:id="499" w:name="_Toc487900358"/>
      <w:bookmarkStart w:id="500" w:name="_Ref467379852"/>
      <w:bookmarkStart w:id="501" w:name="_Ref467379863"/>
      <w:bookmarkStart w:id="502" w:name="_Toc259093677"/>
      <w:bookmarkStart w:id="503" w:name="_Ref467379923"/>
      <w:bookmarkStart w:id="504" w:name="_Toc279701248"/>
      <w:bookmarkStart w:id="505" w:name="_Toc774"/>
      <w:bookmarkStart w:id="506" w:name="_Toc21188"/>
      <w:bookmarkStart w:id="507" w:name="_Toc16110"/>
      <w:bookmarkStart w:id="508" w:name="_Toc3225"/>
      <w:r>
        <w:rPr>
          <w:rFonts w:hint="eastAsia" w:ascii="仿宋" w:hAnsi="仿宋" w:eastAsia="仿宋" w:cs="仿宋"/>
          <w:b/>
          <w:sz w:val="24"/>
          <w:highlight w:val="none"/>
        </w:rPr>
        <w:t>2.6 技术资料</w:t>
      </w:r>
      <w:bookmarkEnd w:id="499"/>
      <w:bookmarkEnd w:id="500"/>
      <w:bookmarkEnd w:id="501"/>
      <w:bookmarkEnd w:id="502"/>
      <w:bookmarkEnd w:id="503"/>
      <w:bookmarkEnd w:id="504"/>
      <w:r>
        <w:rPr>
          <w:rFonts w:hint="eastAsia" w:ascii="仿宋" w:hAnsi="仿宋" w:eastAsia="仿宋" w:cs="仿宋"/>
          <w:b/>
          <w:sz w:val="24"/>
          <w:highlight w:val="none"/>
        </w:rPr>
        <w:t>和保密义务</w:t>
      </w:r>
      <w:bookmarkEnd w:id="505"/>
      <w:bookmarkEnd w:id="506"/>
      <w:bookmarkEnd w:id="507"/>
      <w:bookmarkEnd w:id="508"/>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2.6.2 乙方有义务妥善保管和保护由甲方提供的前款信息和资料等；</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highlight w:val="none"/>
        </w:rPr>
      </w:pPr>
      <w:bookmarkStart w:id="509" w:name="_Toc14905"/>
      <w:bookmarkStart w:id="510" w:name="_Toc7860"/>
      <w:r>
        <w:rPr>
          <w:rFonts w:hint="eastAsia" w:ascii="仿宋" w:hAnsi="仿宋" w:eastAsia="仿宋" w:cs="仿宋"/>
          <w:b/>
          <w:sz w:val="24"/>
          <w:highlight w:val="none"/>
        </w:rPr>
        <w:t>2.7 质量保证</w:t>
      </w:r>
      <w:bookmarkEnd w:id="509"/>
      <w:bookmarkEnd w:id="510"/>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highlight w:val="none"/>
        </w:rPr>
      </w:pPr>
      <w:bookmarkStart w:id="511" w:name="_Toc17244"/>
      <w:bookmarkStart w:id="512" w:name="_Toc28105"/>
      <w:bookmarkStart w:id="513" w:name="_Toc279701252"/>
      <w:bookmarkStart w:id="514" w:name="_Toc259093681"/>
      <w:bookmarkStart w:id="515" w:name="_Toc487900362"/>
      <w:r>
        <w:rPr>
          <w:rFonts w:hint="eastAsia" w:ascii="仿宋" w:hAnsi="仿宋" w:eastAsia="仿宋" w:cs="仿宋"/>
          <w:b/>
          <w:sz w:val="24"/>
          <w:highlight w:val="none"/>
        </w:rPr>
        <w:t>2.8 货物的风险负担</w:t>
      </w:r>
      <w:bookmarkEnd w:id="511"/>
      <w:bookmarkEnd w:id="512"/>
    </w:p>
    <w:p>
      <w:pPr>
        <w:spacing w:line="560" w:lineRule="exact"/>
        <w:ind w:firstLine="480" w:firstLineChars="200"/>
        <w:rPr>
          <w:rFonts w:ascii="仿宋" w:hAnsi="仿宋" w:eastAsia="仿宋" w:cs="仿宋"/>
          <w:b/>
          <w:sz w:val="24"/>
          <w:highlight w:val="none"/>
        </w:rPr>
      </w:pPr>
      <w:r>
        <w:rPr>
          <w:rFonts w:hint="eastAsia" w:ascii="仿宋" w:hAnsi="仿宋" w:eastAsia="仿宋" w:cs="仿宋"/>
          <w:sz w:val="24"/>
          <w:highlight w:val="none"/>
        </w:rPr>
        <w:t>货物或者在途货物或者交付给第一承运人后的货物毁损、灭失的风险负担详见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2" w:firstLineChars="200"/>
        <w:outlineLvl w:val="0"/>
        <w:rPr>
          <w:rFonts w:ascii="仿宋" w:hAnsi="仿宋" w:eastAsia="仿宋" w:cs="仿宋"/>
          <w:b/>
          <w:sz w:val="24"/>
          <w:highlight w:val="none"/>
        </w:rPr>
      </w:pPr>
      <w:bookmarkStart w:id="516" w:name="_Toc14055"/>
      <w:bookmarkStart w:id="517" w:name="_Toc11130"/>
      <w:r>
        <w:rPr>
          <w:rFonts w:hint="eastAsia" w:ascii="仿宋" w:hAnsi="仿宋" w:eastAsia="仿宋" w:cs="仿宋"/>
          <w:b/>
          <w:sz w:val="24"/>
          <w:highlight w:val="none"/>
        </w:rPr>
        <w:t>2.9 延迟交货</w:t>
      </w:r>
      <w:bookmarkEnd w:id="513"/>
      <w:bookmarkEnd w:id="514"/>
      <w:bookmarkEnd w:id="515"/>
      <w:bookmarkEnd w:id="516"/>
      <w:bookmarkEnd w:id="517"/>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sz w:val="24"/>
          <w:highlight w:val="none"/>
        </w:rPr>
      </w:pPr>
      <w:bookmarkStart w:id="518" w:name="_Toc26295"/>
      <w:bookmarkStart w:id="519" w:name="_Toc7502"/>
      <w:bookmarkStart w:id="520" w:name="_Ref467378121"/>
      <w:bookmarkStart w:id="521" w:name="_Toc487900364"/>
      <w:bookmarkStart w:id="522" w:name="_Toc259093683"/>
      <w:bookmarkStart w:id="523" w:name="_Toc279701254"/>
      <w:r>
        <w:rPr>
          <w:rFonts w:hint="eastAsia" w:ascii="仿宋" w:hAnsi="仿宋" w:eastAsia="仿宋" w:cs="仿宋"/>
          <w:b/>
          <w:sz w:val="24"/>
          <w:highlight w:val="none"/>
        </w:rPr>
        <w:t>2.10 合同变更</w:t>
      </w:r>
      <w:bookmarkEnd w:id="518"/>
      <w:bookmarkEnd w:id="519"/>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合同继续履行将损害国家利益和社会公共利益的，双方当事人应当以书面形式变更合同。有过错的一方应当承担赔偿责任，双方当事人都有过错的，各自承担相应的责任。</w:t>
      </w:r>
      <w:bookmarkStart w:id="524" w:name="_Toc259093688"/>
      <w:bookmarkStart w:id="525" w:name="_Toc487900369"/>
      <w:bookmarkStart w:id="526" w:name="_Toc279701259"/>
    </w:p>
    <w:p>
      <w:pPr>
        <w:spacing w:line="560" w:lineRule="exact"/>
        <w:ind w:firstLine="482" w:firstLineChars="200"/>
        <w:outlineLvl w:val="0"/>
        <w:rPr>
          <w:rFonts w:ascii="仿宋" w:hAnsi="仿宋" w:eastAsia="仿宋" w:cs="仿宋"/>
          <w:b/>
          <w:sz w:val="24"/>
          <w:highlight w:val="none"/>
        </w:rPr>
      </w:pPr>
      <w:bookmarkStart w:id="527" w:name="_Toc15237"/>
      <w:bookmarkStart w:id="528" w:name="_Toc10366"/>
      <w:bookmarkStart w:id="529" w:name="_Toc8134"/>
      <w:bookmarkStart w:id="530" w:name="_Toc22955"/>
      <w:r>
        <w:rPr>
          <w:rFonts w:hint="eastAsia" w:ascii="仿宋" w:hAnsi="仿宋" w:eastAsia="仿宋" w:cs="仿宋"/>
          <w:b/>
          <w:sz w:val="24"/>
          <w:highlight w:val="none"/>
        </w:rPr>
        <w:t>2.11 合同转让</w:t>
      </w:r>
      <w:bookmarkEnd w:id="524"/>
      <w:bookmarkEnd w:id="525"/>
      <w:bookmarkEnd w:id="526"/>
      <w:r>
        <w:rPr>
          <w:rFonts w:hint="eastAsia" w:ascii="仿宋" w:hAnsi="仿宋" w:eastAsia="仿宋" w:cs="仿宋"/>
          <w:b/>
          <w:sz w:val="24"/>
          <w:highlight w:val="none"/>
        </w:rPr>
        <w:t>和分包</w:t>
      </w:r>
      <w:bookmarkEnd w:id="527"/>
      <w:bookmarkEnd w:id="528"/>
      <w:bookmarkEnd w:id="529"/>
      <w:bookmarkEnd w:id="530"/>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cs="仿宋"/>
          <w:b/>
          <w:sz w:val="24"/>
          <w:highlight w:val="none"/>
        </w:rPr>
      </w:pPr>
      <w:bookmarkStart w:id="531" w:name="_Toc7479"/>
      <w:bookmarkStart w:id="532" w:name="_Toc14066"/>
      <w:bookmarkStart w:id="533" w:name="_Toc13566"/>
      <w:bookmarkStart w:id="534" w:name="_Toc16508"/>
      <w:r>
        <w:rPr>
          <w:rFonts w:hint="eastAsia" w:ascii="仿宋" w:hAnsi="仿宋" w:eastAsia="仿宋" w:cs="仿宋"/>
          <w:b/>
          <w:sz w:val="24"/>
          <w:highlight w:val="none"/>
        </w:rPr>
        <w:t>2.12 不可抗力</w:t>
      </w:r>
      <w:bookmarkEnd w:id="531"/>
      <w:bookmarkEnd w:id="532"/>
      <w:bookmarkEnd w:id="533"/>
      <w:bookmarkEnd w:id="534"/>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2.12.2 因不可抗力致使不能实现合同目的的，当事人可以解除合同；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2.12.3 因不可抗力致使合同有变更必要的，双方当事人应在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约定时间内以书面形式变更合同；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2.12.4受不可抗力影响的一方在不可抗力发生后，应在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约定时间内以书面形式通知对方当事人，并在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sz w:val="24"/>
          <w:highlight w:val="none"/>
        </w:rPr>
      </w:pPr>
      <w:bookmarkStart w:id="535" w:name="_Toc487900365"/>
      <w:bookmarkStart w:id="536" w:name="_Toc259093684"/>
      <w:bookmarkStart w:id="537" w:name="_Toc12342"/>
      <w:bookmarkStart w:id="538" w:name="_Toc689"/>
      <w:bookmarkStart w:id="539" w:name="_Toc30676"/>
      <w:bookmarkStart w:id="540" w:name="_Toc279701255"/>
      <w:bookmarkStart w:id="541" w:name="_Toc6969"/>
      <w:r>
        <w:rPr>
          <w:rFonts w:hint="eastAsia" w:ascii="仿宋" w:hAnsi="仿宋" w:eastAsia="仿宋" w:cs="仿宋"/>
          <w:b/>
          <w:sz w:val="24"/>
          <w:highlight w:val="none"/>
        </w:rPr>
        <w:t>2.13 税费</w:t>
      </w:r>
      <w:bookmarkEnd w:id="535"/>
      <w:bookmarkEnd w:id="536"/>
      <w:bookmarkEnd w:id="537"/>
      <w:bookmarkEnd w:id="538"/>
      <w:bookmarkEnd w:id="539"/>
      <w:bookmarkEnd w:id="540"/>
      <w:bookmarkEnd w:id="541"/>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cs="仿宋"/>
          <w:b/>
          <w:sz w:val="24"/>
          <w:highlight w:val="none"/>
        </w:rPr>
      </w:pPr>
      <w:bookmarkStart w:id="542" w:name="_Toc279701258"/>
      <w:bookmarkStart w:id="543" w:name="_Toc487900368"/>
      <w:bookmarkStart w:id="544" w:name="_Toc16959"/>
      <w:bookmarkStart w:id="545" w:name="_Toc259093687"/>
      <w:bookmarkStart w:id="546" w:name="_Toc1459"/>
      <w:bookmarkStart w:id="547" w:name="_Toc7102"/>
      <w:bookmarkStart w:id="548" w:name="_Toc8298"/>
      <w:r>
        <w:rPr>
          <w:rFonts w:hint="eastAsia" w:ascii="仿宋" w:hAnsi="仿宋" w:eastAsia="仿宋" w:cs="仿宋"/>
          <w:b/>
          <w:sz w:val="24"/>
          <w:highlight w:val="none"/>
        </w:rPr>
        <w:t>2.14乙方破产</w:t>
      </w:r>
      <w:bookmarkEnd w:id="542"/>
      <w:bookmarkEnd w:id="543"/>
      <w:bookmarkEnd w:id="544"/>
      <w:bookmarkEnd w:id="545"/>
      <w:bookmarkEnd w:id="546"/>
      <w:bookmarkEnd w:id="547"/>
      <w:bookmarkEnd w:id="548"/>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highlight w:val="none"/>
        </w:rPr>
      </w:pPr>
      <w:bookmarkStart w:id="549" w:name="_Toc2169"/>
      <w:bookmarkStart w:id="550" w:name="_Toc29333"/>
      <w:bookmarkStart w:id="551" w:name="_Toc6134"/>
      <w:bookmarkStart w:id="552" w:name="_Toc15387"/>
      <w:r>
        <w:rPr>
          <w:rFonts w:hint="eastAsia" w:ascii="仿宋" w:hAnsi="仿宋" w:eastAsia="仿宋" w:cs="仿宋"/>
          <w:b/>
          <w:sz w:val="24"/>
          <w:highlight w:val="none"/>
        </w:rPr>
        <w:t>2.15 合同中止、终止</w:t>
      </w:r>
      <w:bookmarkEnd w:id="549"/>
      <w:bookmarkEnd w:id="550"/>
      <w:bookmarkEnd w:id="551"/>
      <w:bookmarkEnd w:id="552"/>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2.15.1 双方当事人不得擅自中止或者终止合同；</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highlight w:val="none"/>
        </w:rPr>
      </w:pPr>
      <w:bookmarkStart w:id="553" w:name="_Toc10851"/>
      <w:bookmarkStart w:id="554" w:name="_Toc14563"/>
      <w:bookmarkStart w:id="555" w:name="_Toc6596"/>
      <w:bookmarkStart w:id="556" w:name="_Toc1125"/>
      <w:r>
        <w:rPr>
          <w:rFonts w:hint="eastAsia" w:ascii="仿宋" w:hAnsi="仿宋" w:eastAsia="仿宋" w:cs="仿宋"/>
          <w:b/>
          <w:sz w:val="24"/>
          <w:highlight w:val="none"/>
        </w:rPr>
        <w:t>2.16检验和验收</w:t>
      </w:r>
      <w:bookmarkEnd w:id="553"/>
      <w:bookmarkEnd w:id="554"/>
      <w:bookmarkEnd w:id="555"/>
      <w:bookmarkEnd w:id="556"/>
    </w:p>
    <w:p>
      <w:pPr>
        <w:tabs>
          <w:tab w:val="left" w:pos="360"/>
          <w:tab w:val="left" w:pos="540"/>
          <w:tab w:val="left" w:pos="1080"/>
        </w:tabs>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2.16.3 检验和验收标准、程序等具体内容以及前述验收书的效力详见</w:t>
      </w:r>
      <w:r>
        <w:rPr>
          <w:rFonts w:hint="eastAsia" w:ascii="仿宋" w:hAnsi="仿宋" w:eastAsia="仿宋" w:cs="仿宋"/>
          <w:b/>
          <w:i/>
          <w:sz w:val="24"/>
          <w:highlight w:val="none"/>
          <w:u w:val="single"/>
        </w:rPr>
        <w:t>合同专用条款</w:t>
      </w:r>
      <w:r>
        <w:rPr>
          <w:rFonts w:hint="eastAsia" w:ascii="仿宋" w:hAnsi="仿宋" w:eastAsia="仿宋" w:cs="仿宋"/>
          <w:i/>
          <w:sz w:val="24"/>
          <w:highlight w:val="none"/>
        </w:rPr>
        <w:t>。</w:t>
      </w:r>
    </w:p>
    <w:bookmarkEnd w:id="520"/>
    <w:bookmarkEnd w:id="521"/>
    <w:bookmarkEnd w:id="522"/>
    <w:bookmarkEnd w:id="523"/>
    <w:p>
      <w:pPr>
        <w:spacing w:line="560" w:lineRule="exact"/>
        <w:ind w:firstLine="482" w:firstLineChars="200"/>
        <w:outlineLvl w:val="0"/>
        <w:rPr>
          <w:rFonts w:ascii="仿宋" w:hAnsi="仿宋" w:eastAsia="仿宋" w:cs="仿宋"/>
          <w:b/>
          <w:sz w:val="24"/>
          <w:highlight w:val="none"/>
        </w:rPr>
      </w:pPr>
      <w:bookmarkStart w:id="557" w:name="_Toc487900371"/>
      <w:bookmarkStart w:id="558" w:name="_Toc259093690"/>
      <w:bookmarkStart w:id="559" w:name="_Toc279701261"/>
      <w:bookmarkStart w:id="560" w:name="_Toc11284"/>
      <w:bookmarkStart w:id="561" w:name="_Toc19604"/>
      <w:bookmarkStart w:id="562" w:name="_Toc27172"/>
      <w:bookmarkStart w:id="563" w:name="_Toc25182"/>
      <w:r>
        <w:rPr>
          <w:rFonts w:hint="eastAsia" w:ascii="仿宋" w:hAnsi="仿宋" w:eastAsia="仿宋" w:cs="仿宋"/>
          <w:b/>
          <w:sz w:val="24"/>
          <w:highlight w:val="none"/>
        </w:rPr>
        <w:t>2.17 通知</w:t>
      </w:r>
      <w:bookmarkEnd w:id="557"/>
      <w:bookmarkEnd w:id="558"/>
      <w:bookmarkEnd w:id="559"/>
      <w:r>
        <w:rPr>
          <w:rFonts w:hint="eastAsia" w:ascii="仿宋" w:hAnsi="仿宋" w:eastAsia="仿宋" w:cs="仿宋"/>
          <w:b/>
          <w:sz w:val="24"/>
          <w:highlight w:val="none"/>
        </w:rPr>
        <w:t>和送达</w:t>
      </w:r>
      <w:bookmarkEnd w:id="560"/>
      <w:bookmarkEnd w:id="561"/>
      <w:bookmarkEnd w:id="562"/>
      <w:bookmarkEnd w:id="563"/>
    </w:p>
    <w:p>
      <w:pPr>
        <w:spacing w:line="560" w:lineRule="exact"/>
        <w:ind w:firstLine="480" w:firstLineChars="200"/>
        <w:rPr>
          <w:rFonts w:ascii="仿宋" w:hAnsi="仿宋" w:eastAsia="仿宋" w:cs="仿宋"/>
          <w:sz w:val="24"/>
          <w:highlight w:val="none"/>
        </w:rPr>
      </w:pPr>
      <w:bookmarkStart w:id="564" w:name="_Toc6698"/>
      <w:bookmarkStart w:id="565" w:name="_Toc3135"/>
      <w:bookmarkStart w:id="566" w:name="_Toc279701262"/>
      <w:bookmarkStart w:id="567" w:name="_Toc259093691"/>
      <w:bookmarkStart w:id="568" w:name="_Toc487900372"/>
      <w:r>
        <w:rPr>
          <w:rFonts w:hint="eastAsia" w:ascii="仿宋" w:hAnsi="仿宋" w:eastAsia="仿宋" w:cs="仿宋"/>
          <w:sz w:val="24"/>
          <w:highlight w:val="none"/>
        </w:rPr>
        <w:t xml:space="preserve">2.17.1任何一方因履行合同而以合同第一部分尾部所列明的传真或电子邮件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发出的所有通知、文件、材料，均视为已向对方当事人送达；任何一方变更上述送达方式或者地址的，应于</w:t>
      </w:r>
      <w:r>
        <w:rPr>
          <w:rFonts w:hint="eastAsia" w:ascii="仿宋" w:hAnsi="仿宋" w:eastAsia="仿宋" w:cs="仿宋"/>
          <w:sz w:val="24"/>
          <w:highlight w:val="none"/>
          <w:u w:val="single"/>
        </w:rPr>
        <w:t>3</w:t>
      </w:r>
      <w:r>
        <w:rPr>
          <w:rFonts w:hint="eastAsia" w:ascii="仿宋" w:hAnsi="仿宋" w:eastAsia="仿宋" w:cs="仿宋"/>
          <w:sz w:val="24"/>
          <w:highlight w:val="none"/>
        </w:rPr>
        <w:t>个工作日内书面通知对方当事人，在对方当事人收到有关变更通知之前，变更前的约定送达方式或者地址仍视为有效。</w:t>
      </w:r>
      <w:bookmarkEnd w:id="564"/>
      <w:bookmarkEnd w:id="565"/>
    </w:p>
    <w:p>
      <w:pPr>
        <w:spacing w:line="560" w:lineRule="exact"/>
        <w:ind w:firstLine="480" w:firstLineChars="200"/>
        <w:rPr>
          <w:rFonts w:ascii="仿宋" w:hAnsi="仿宋" w:eastAsia="仿宋" w:cs="仿宋"/>
          <w:sz w:val="24"/>
          <w:highlight w:val="none"/>
        </w:rPr>
      </w:pPr>
      <w:bookmarkStart w:id="569" w:name="_Toc23294"/>
      <w:bookmarkStart w:id="570" w:name="_Toc23128"/>
      <w:r>
        <w:rPr>
          <w:rFonts w:hint="eastAsia" w:ascii="仿宋" w:hAnsi="仿宋" w:eastAsia="仿宋" w:cs="仿宋"/>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9"/>
      <w:bookmarkEnd w:id="570"/>
    </w:p>
    <w:p>
      <w:pPr>
        <w:spacing w:line="560" w:lineRule="exact"/>
        <w:ind w:firstLine="482" w:firstLineChars="200"/>
        <w:outlineLvl w:val="0"/>
        <w:rPr>
          <w:rFonts w:ascii="仿宋" w:hAnsi="仿宋" w:eastAsia="仿宋" w:cs="仿宋"/>
          <w:b/>
          <w:sz w:val="24"/>
          <w:highlight w:val="none"/>
        </w:rPr>
      </w:pPr>
      <w:bookmarkStart w:id="571" w:name="_Toc3542"/>
      <w:bookmarkStart w:id="572" w:name="_Toc18540"/>
      <w:bookmarkStart w:id="573" w:name="_Toc4355"/>
      <w:bookmarkStart w:id="574" w:name="_Toc30599"/>
      <w:r>
        <w:rPr>
          <w:rFonts w:hint="eastAsia" w:ascii="仿宋" w:hAnsi="仿宋" w:eastAsia="仿宋" w:cs="仿宋"/>
          <w:b/>
          <w:sz w:val="24"/>
          <w:highlight w:val="none"/>
        </w:rPr>
        <w:t>2.18 计量单位</w:t>
      </w:r>
      <w:bookmarkEnd w:id="566"/>
      <w:bookmarkEnd w:id="567"/>
      <w:bookmarkEnd w:id="568"/>
      <w:bookmarkEnd w:id="571"/>
      <w:bookmarkEnd w:id="572"/>
      <w:bookmarkEnd w:id="573"/>
      <w:bookmarkEnd w:id="574"/>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除技术规范中另有规定外,合同的计量单位均使用国家法定计量单位。</w:t>
      </w:r>
    </w:p>
    <w:p>
      <w:pPr>
        <w:spacing w:line="560" w:lineRule="exact"/>
        <w:ind w:firstLine="482" w:firstLineChars="200"/>
        <w:outlineLvl w:val="0"/>
        <w:rPr>
          <w:rFonts w:ascii="仿宋" w:hAnsi="仿宋" w:eastAsia="仿宋" w:cs="仿宋"/>
          <w:b/>
          <w:sz w:val="24"/>
          <w:highlight w:val="none"/>
        </w:rPr>
      </w:pPr>
      <w:bookmarkStart w:id="575" w:name="_Toc12773"/>
      <w:bookmarkStart w:id="576" w:name="_Toc259093692"/>
      <w:bookmarkStart w:id="577" w:name="_Toc487900373"/>
      <w:bookmarkStart w:id="578" w:name="_Toc279701263"/>
      <w:bookmarkStart w:id="579" w:name="_Toc10330"/>
      <w:bookmarkStart w:id="580" w:name="_Toc18567"/>
      <w:bookmarkStart w:id="581" w:name="_Toc16270"/>
      <w:r>
        <w:rPr>
          <w:rFonts w:hint="eastAsia" w:ascii="仿宋" w:hAnsi="仿宋" w:eastAsia="仿宋" w:cs="仿宋"/>
          <w:b/>
          <w:sz w:val="24"/>
          <w:highlight w:val="none"/>
        </w:rPr>
        <w:t>2.19 合同使用的文字和适用的法律</w:t>
      </w:r>
      <w:bookmarkEnd w:id="575"/>
      <w:bookmarkEnd w:id="576"/>
      <w:bookmarkEnd w:id="577"/>
      <w:bookmarkEnd w:id="578"/>
      <w:bookmarkEnd w:id="579"/>
      <w:bookmarkEnd w:id="580"/>
      <w:bookmarkEnd w:id="581"/>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2.19.1 合同使用汉语书就、变更和解释；</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2.19.2 合同适用中华人民共和国法律。</w:t>
      </w:r>
    </w:p>
    <w:p>
      <w:pPr>
        <w:spacing w:line="560" w:lineRule="exact"/>
        <w:ind w:firstLine="482" w:firstLineChars="200"/>
        <w:outlineLvl w:val="0"/>
        <w:rPr>
          <w:rFonts w:ascii="仿宋" w:hAnsi="仿宋" w:eastAsia="仿宋" w:cs="仿宋"/>
          <w:b/>
          <w:sz w:val="24"/>
          <w:highlight w:val="none"/>
        </w:rPr>
      </w:pPr>
      <w:bookmarkStart w:id="582" w:name="_Toc259093693"/>
      <w:bookmarkStart w:id="583" w:name="_Toc3148"/>
      <w:bookmarkStart w:id="584" w:name="_Toc12004"/>
      <w:bookmarkStart w:id="585" w:name="_Toc16673"/>
      <w:bookmarkStart w:id="586" w:name="_Toc17131"/>
      <w:bookmarkStart w:id="587" w:name="_Toc279701264"/>
      <w:bookmarkStart w:id="588" w:name="_Toc487900374"/>
      <w:r>
        <w:rPr>
          <w:rFonts w:hint="eastAsia" w:ascii="仿宋" w:hAnsi="仿宋" w:eastAsia="仿宋" w:cs="仿宋"/>
          <w:b/>
          <w:sz w:val="24"/>
          <w:highlight w:val="none"/>
        </w:rPr>
        <w:t>2.20 履约保证金</w:t>
      </w:r>
      <w:bookmarkEnd w:id="582"/>
      <w:bookmarkEnd w:id="583"/>
      <w:bookmarkEnd w:id="584"/>
      <w:bookmarkEnd w:id="585"/>
      <w:bookmarkEnd w:id="586"/>
      <w:bookmarkEnd w:id="587"/>
    </w:p>
    <w:p>
      <w:pPr>
        <w:pStyle w:val="958"/>
        <w:spacing w:before="0" w:beforeAutospacing="0" w:after="0" w:afterAutospacing="0" w:line="360" w:lineRule="auto"/>
        <w:ind w:firstLine="420"/>
        <w:rPr>
          <w:rFonts w:ascii="仿宋" w:hAnsi="仿宋" w:eastAsia="仿宋" w:cs="仿宋"/>
          <w:highlight w:val="none"/>
        </w:rPr>
      </w:pPr>
      <w:r>
        <w:rPr>
          <w:rFonts w:hint="eastAsia" w:ascii="仿宋" w:hAnsi="仿宋" w:eastAsia="仿宋" w:cs="仿宋"/>
          <w:highlight w:val="none"/>
        </w:rPr>
        <w:t>2.20.1 采购文件要求乙方提交履约保证金的，乙方应按</w:t>
      </w:r>
      <w:r>
        <w:rPr>
          <w:rFonts w:hint="eastAsia" w:ascii="仿宋" w:hAnsi="仿宋" w:eastAsia="仿宋" w:cs="仿宋"/>
          <w:b/>
          <w:i/>
          <w:highlight w:val="none"/>
          <w:u w:val="single"/>
        </w:rPr>
        <w:t>合同专用条款</w:t>
      </w:r>
      <w:r>
        <w:rPr>
          <w:rFonts w:hint="eastAsia" w:ascii="仿宋" w:hAnsi="仿宋" w:eastAsia="仿宋" w:cs="仿宋"/>
          <w:highlight w:val="none"/>
        </w:rPr>
        <w:t>约定的方式，以支票、汇票、本票或者金融机构、担保机构出具的保函等非现金形式，提交不超过合同金额1%的履约保证金；鼓励和支持乙方以银行、保险公司出具的保函形式提供履约保证。</w:t>
      </w:r>
    </w:p>
    <w:bookmarkEnd w:id="588"/>
    <w:p>
      <w:pPr>
        <w:spacing w:line="560" w:lineRule="exact"/>
        <w:ind w:firstLine="482" w:firstLineChars="200"/>
        <w:outlineLvl w:val="0"/>
        <w:rPr>
          <w:rFonts w:ascii="仿宋" w:hAnsi="仿宋" w:eastAsia="仿宋" w:cs="仿宋"/>
          <w:b/>
          <w:sz w:val="24"/>
          <w:highlight w:val="none"/>
        </w:rPr>
      </w:pPr>
      <w:bookmarkStart w:id="589" w:name="_Toc14001"/>
      <w:bookmarkStart w:id="590" w:name="_Toc19890"/>
      <w:bookmarkStart w:id="591" w:name="_Toc6885"/>
      <w:bookmarkStart w:id="592" w:name="_Toc25210"/>
      <w:r>
        <w:rPr>
          <w:rFonts w:hint="eastAsia" w:ascii="仿宋" w:hAnsi="仿宋" w:eastAsia="仿宋" w:cs="仿宋"/>
          <w:b/>
          <w:sz w:val="24"/>
          <w:highlight w:val="none"/>
        </w:rPr>
        <w:t>2.22合同份数</w:t>
      </w:r>
      <w:bookmarkEnd w:id="589"/>
      <w:bookmarkEnd w:id="590"/>
      <w:bookmarkEnd w:id="591"/>
      <w:bookmarkEnd w:id="592"/>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合同份数按</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规定，每份均具有同等法律效力。</w:t>
      </w:r>
    </w:p>
    <w:p>
      <w:pPr>
        <w:pStyle w:val="701"/>
        <w:spacing w:line="560" w:lineRule="exact"/>
        <w:jc w:val="center"/>
        <w:rPr>
          <w:rFonts w:ascii="仿宋" w:hAnsi="仿宋" w:eastAsia="仿宋" w:cs="仿宋"/>
          <w:b/>
          <w:szCs w:val="24"/>
          <w:highlight w:val="none"/>
        </w:rPr>
      </w:pPr>
      <w:r>
        <w:rPr>
          <w:rFonts w:hint="eastAsia" w:ascii="仿宋" w:hAnsi="仿宋" w:eastAsia="仿宋" w:cs="仿宋"/>
          <w:kern w:val="0"/>
          <w:szCs w:val="24"/>
          <w:highlight w:val="none"/>
        </w:rPr>
        <w:br w:type="page"/>
      </w:r>
      <w:bookmarkStart w:id="593" w:name="_Toc331685784"/>
      <w:r>
        <w:rPr>
          <w:rFonts w:hint="eastAsia" w:ascii="仿宋" w:hAnsi="仿宋" w:eastAsia="仿宋" w:cs="仿宋"/>
          <w:b/>
          <w:szCs w:val="24"/>
          <w:highlight w:val="none"/>
        </w:rPr>
        <w:t xml:space="preserve"> </w:t>
      </w:r>
      <w:bookmarkEnd w:id="593"/>
      <w:r>
        <w:rPr>
          <w:rFonts w:hint="eastAsia" w:ascii="仿宋" w:hAnsi="仿宋" w:eastAsia="仿宋" w:cs="仿宋"/>
          <w:b/>
          <w:szCs w:val="24"/>
          <w:highlight w:val="none"/>
        </w:rPr>
        <w:t>第三部分  合同专用条款</w:t>
      </w:r>
    </w:p>
    <w:p>
      <w:pPr>
        <w:spacing w:line="560" w:lineRule="exact"/>
        <w:ind w:left="-420" w:leftChars="-200" w:right="-420" w:rightChars="-200" w:firstLine="480" w:firstLineChars="200"/>
        <w:rPr>
          <w:rFonts w:ascii="仿宋" w:hAnsi="仿宋" w:eastAsia="仿宋" w:cs="仿宋"/>
          <w:highlight w:val="none"/>
        </w:rPr>
      </w:pPr>
      <w:r>
        <w:rPr>
          <w:rFonts w:hint="eastAsia" w:ascii="仿宋" w:hAnsi="仿宋" w:eastAsia="仿宋" w:cs="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条款号</w:t>
            </w:r>
          </w:p>
        </w:tc>
        <w:tc>
          <w:tcPr>
            <w:tcW w:w="8275"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1.4.4</w:t>
            </w:r>
          </w:p>
        </w:tc>
        <w:tc>
          <w:tcPr>
            <w:tcW w:w="8275" w:type="dxa"/>
            <w:vAlign w:val="center"/>
          </w:tcPr>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资金支付的方式、时间和条件：</w:t>
            </w:r>
            <w:r>
              <w:rPr>
                <w:rFonts w:hint="eastAsia" w:ascii="仿宋" w:hAnsi="仿宋" w:eastAsia="仿宋" w:cs="宋体"/>
                <w:bCs/>
                <w:kern w:val="0"/>
                <w:sz w:val="24"/>
                <w:highlight w:val="none"/>
                <w:lang w:eastAsia="zh-CN"/>
              </w:rPr>
              <w:t>合同生效以及具备实施条件后七个工作日内支付合同预付款40%，余款在设备验收合格</w:t>
            </w:r>
            <w:r>
              <w:rPr>
                <w:rFonts w:hint="eastAsia" w:ascii="仿宋" w:hAnsi="仿宋" w:eastAsia="仿宋" w:cs="宋体"/>
                <w:bCs/>
                <w:kern w:val="0"/>
                <w:sz w:val="24"/>
                <w:highlight w:val="none"/>
                <w:lang w:val="en-US" w:eastAsia="zh-CN"/>
              </w:rPr>
              <w:t>一周</w:t>
            </w:r>
            <w:r>
              <w:rPr>
                <w:rFonts w:hint="eastAsia" w:ascii="仿宋" w:hAnsi="仿宋" w:eastAsia="仿宋" w:cs="宋体"/>
                <w:bCs/>
                <w:kern w:val="0"/>
                <w:sz w:val="24"/>
                <w:highlight w:val="none"/>
                <w:lang w:eastAsia="zh-CN"/>
              </w:rPr>
              <w:t>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1.5.1 </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交付期限：</w:t>
            </w:r>
            <w:r>
              <w:rPr>
                <w:rFonts w:hint="eastAsia" w:ascii="仿宋" w:hAnsi="仿宋" w:eastAsia="仿宋" w:cs="仿宋"/>
                <w:sz w:val="24"/>
                <w:highlight w:val="none"/>
                <w:u w:val="single"/>
              </w:rPr>
              <w:t>签订合同后</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1.5.2</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交付地点：</w:t>
            </w:r>
            <w:r>
              <w:rPr>
                <w:rFonts w:hint="eastAsia" w:ascii="仿宋" w:hAnsi="仿宋" w:eastAsia="仿宋" w:cs="仿宋"/>
                <w:sz w:val="24"/>
                <w:highlight w:val="none"/>
                <w:u w:val="single"/>
                <w:lang w:eastAsia="zh-CN"/>
              </w:rPr>
              <w:t>浙江省嘉善县第一人民医院</w:t>
            </w:r>
            <w:r>
              <w:rPr>
                <w:rFonts w:hint="eastAsia" w:ascii="仿宋" w:hAnsi="仿宋" w:eastAsia="仿宋" w:cs="仿宋"/>
                <w:sz w:val="24"/>
                <w:highlight w:val="none"/>
                <w:u w:val="singl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1.5.3 </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交付方式：</w:t>
            </w:r>
            <w:r>
              <w:rPr>
                <w:rFonts w:hint="eastAsia" w:ascii="仿宋" w:hAnsi="仿宋" w:eastAsia="仿宋" w:cs="仿宋"/>
                <w:sz w:val="24"/>
                <w:highlight w:val="none"/>
                <w:u w:val="single"/>
              </w:rPr>
              <w:t>送货上门。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1.7</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合同争议的解决：本合同履行过程中发生的任何争议，双方当事人均可通过和解或者调解解决；不愿和解、调解或者和解、调解不成的，可以选择以下第</w:t>
            </w:r>
            <w:r>
              <w:rPr>
                <w:rFonts w:hint="eastAsia" w:ascii="仿宋" w:hAnsi="仿宋" w:eastAsia="仿宋" w:cs="仿宋"/>
                <w:sz w:val="24"/>
                <w:highlight w:val="none"/>
                <w:u w:val="single"/>
              </w:rPr>
              <w:t>1.7.1</w:t>
            </w:r>
            <w:r>
              <w:rPr>
                <w:rFonts w:hint="eastAsia" w:ascii="仿宋" w:hAnsi="仿宋" w:eastAsia="仿宋" w:cs="仿宋"/>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1.7.1</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将争议提交</w:t>
            </w:r>
            <w:r>
              <w:rPr>
                <w:rFonts w:hint="eastAsia" w:ascii="仿宋" w:hAnsi="仿宋" w:eastAsia="仿宋" w:cs="仿宋"/>
                <w:sz w:val="24"/>
                <w:highlight w:val="none"/>
                <w:u w:val="single"/>
                <w:lang w:val="en-US" w:eastAsia="zh-CN"/>
              </w:rPr>
              <w:t>嘉善县</w:t>
            </w:r>
            <w:r>
              <w:rPr>
                <w:rFonts w:hint="eastAsia" w:ascii="仿宋" w:hAnsi="仿宋" w:eastAsia="仿宋" w:cs="仿宋"/>
                <w:sz w:val="24"/>
                <w:highlight w:val="none"/>
                <w:lang w:val="en-US" w:eastAsia="zh-CN"/>
              </w:rPr>
              <w:t>人民法院处理</w:t>
            </w:r>
            <w:r>
              <w:rPr>
                <w:rFonts w:hint="eastAsia" w:ascii="仿宋" w:hAnsi="仿宋" w:eastAsia="仿宋" w:cs="仿宋"/>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2.3.2</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具有知识产权的计算机软件等货物的知识产权归属，</w:t>
            </w:r>
            <w:r>
              <w:rPr>
                <w:rFonts w:hint="eastAsia" w:ascii="仿宋" w:hAnsi="仿宋" w:eastAsia="仿宋" w:cs="仿宋"/>
                <w:sz w:val="24"/>
                <w:highlight w:val="none"/>
                <w:u w:val="single"/>
              </w:rPr>
              <w:t>归甲方所有</w:t>
            </w:r>
            <w:r>
              <w:rPr>
                <w:rFonts w:hint="eastAsia" w:ascii="仿宋" w:hAnsi="仿宋" w:eastAsia="仿宋" w:cs="仿宋"/>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2.4.1</w:t>
            </w:r>
          </w:p>
        </w:tc>
        <w:tc>
          <w:tcPr>
            <w:tcW w:w="8275" w:type="dxa"/>
            <w:vAlign w:val="center"/>
          </w:tcPr>
          <w:p>
            <w:pPr>
              <w:spacing w:line="360" w:lineRule="auto"/>
              <w:ind w:right="-420" w:rightChars="-200"/>
              <w:rPr>
                <w:rFonts w:ascii="仿宋" w:hAnsi="仿宋" w:eastAsia="仿宋" w:cs="仿宋"/>
                <w:sz w:val="24"/>
                <w:highlight w:val="none"/>
              </w:rPr>
            </w:pPr>
            <w:r>
              <w:rPr>
                <w:rFonts w:hint="eastAsia" w:ascii="仿宋" w:hAnsi="仿宋" w:eastAsia="仿宋" w:cs="仿宋"/>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2.4.2</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装运货物的要求和通知：</w:t>
            </w:r>
            <w:r>
              <w:rPr>
                <w:rFonts w:hint="eastAsia" w:ascii="仿宋" w:hAnsi="仿宋" w:eastAsia="仿宋" w:cs="仿宋"/>
                <w:sz w:val="24"/>
                <w:highlight w:val="none"/>
                <w:u w:val="single"/>
              </w:rPr>
              <w:t>同国际贸易通用装运货物的要求和通知。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2.8 </w:t>
            </w:r>
          </w:p>
        </w:tc>
        <w:tc>
          <w:tcPr>
            <w:tcW w:w="8275" w:type="dxa"/>
            <w:vAlign w:val="top"/>
          </w:tcPr>
          <w:p>
            <w:pPr>
              <w:spacing w:line="360" w:lineRule="auto"/>
              <w:rPr>
                <w:rFonts w:ascii="仿宋" w:hAnsi="仿宋" w:eastAsia="仿宋" w:cs="仿宋"/>
                <w:sz w:val="24"/>
                <w:highlight w:val="none"/>
              </w:rPr>
            </w:pPr>
            <w:r>
              <w:rPr>
                <w:rFonts w:hint="eastAsia" w:ascii="仿宋" w:hAnsi="仿宋" w:eastAsia="仿宋" w:cs="仿宋"/>
                <w:sz w:val="24"/>
                <w:highlight w:val="none"/>
              </w:rPr>
              <w:t>货物或者在途货物或者交付给第一承运人后的货物毁损、灭失的风险负担由</w:t>
            </w:r>
            <w:r>
              <w:rPr>
                <w:rFonts w:hint="eastAsia" w:ascii="仿宋" w:hAnsi="仿宋" w:eastAsia="仿宋" w:cs="仿宋"/>
                <w:sz w:val="24"/>
                <w:highlight w:val="none"/>
                <w:u w:val="single"/>
              </w:rPr>
              <w:t>乙方</w:t>
            </w:r>
            <w:r>
              <w:rPr>
                <w:rFonts w:hint="eastAsia" w:ascii="仿宋" w:hAnsi="仿宋" w:eastAsia="仿宋" w:cs="仿宋"/>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2.12.3</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因不可抗力致使合同有变更必要的，双方当事人应在</w:t>
            </w:r>
            <w:r>
              <w:rPr>
                <w:rFonts w:hint="eastAsia" w:ascii="仿宋" w:hAnsi="仿宋" w:eastAsia="仿宋" w:cs="仿宋"/>
                <w:sz w:val="24"/>
                <w:highlight w:val="none"/>
                <w:u w:val="single"/>
              </w:rPr>
              <w:t>受不可抗力影响后14个自然日</w:t>
            </w:r>
            <w:r>
              <w:rPr>
                <w:rFonts w:hint="eastAsia" w:ascii="仿宋" w:hAnsi="仿宋" w:eastAsia="仿宋" w:cs="仿宋"/>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2.12.4</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受不可抗力影响的一方在不可抗力发生后，应在</w:t>
            </w:r>
            <w:r>
              <w:rPr>
                <w:rFonts w:hint="eastAsia" w:ascii="仿宋" w:hAnsi="仿宋" w:eastAsia="仿宋" w:cs="仿宋"/>
                <w:sz w:val="24"/>
                <w:highlight w:val="none"/>
                <w:u w:val="single"/>
              </w:rPr>
              <w:t>受不可抗力影响后3个自然日</w:t>
            </w:r>
            <w:r>
              <w:rPr>
                <w:rFonts w:hint="eastAsia" w:ascii="仿宋" w:hAnsi="仿宋" w:eastAsia="仿宋" w:cs="仿宋"/>
                <w:sz w:val="24"/>
                <w:highlight w:val="none"/>
              </w:rPr>
              <w:t>内以书面形式通知对方当事人，并在</w:t>
            </w:r>
            <w:r>
              <w:rPr>
                <w:rFonts w:hint="eastAsia" w:ascii="仿宋" w:hAnsi="仿宋" w:eastAsia="仿宋" w:cs="仿宋"/>
                <w:sz w:val="24"/>
                <w:highlight w:val="none"/>
                <w:u w:val="single"/>
              </w:rPr>
              <w:t>受不可抗力影响后7个自然日</w:t>
            </w:r>
            <w:r>
              <w:rPr>
                <w:rFonts w:hint="eastAsia" w:ascii="仿宋" w:hAnsi="仿宋" w:eastAsia="仿宋" w:cs="仿宋"/>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2.16.1</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货物交付前，乙方应对货物的质量、数量等方面进行详细、全面的检验，并向甲方出具证明货物符合合同约定的文件；货物交付时，乙方在</w:t>
            </w:r>
            <w:r>
              <w:rPr>
                <w:rFonts w:hint="eastAsia" w:ascii="仿宋" w:hAnsi="仿宋" w:eastAsia="仿宋" w:cs="仿宋"/>
                <w:sz w:val="24"/>
                <w:highlight w:val="none"/>
                <w:u w:val="single"/>
              </w:rPr>
              <w:t>接甲方通知后7个自然日</w:t>
            </w:r>
            <w:r>
              <w:rPr>
                <w:rFonts w:hint="eastAsia" w:ascii="仿宋" w:hAnsi="仿宋" w:eastAsia="仿宋" w:cs="仿宋"/>
                <w:sz w:val="24"/>
                <w:highlight w:val="none"/>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2.16.3</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检验和验收标准、程序等具体内容以及前述验收书的效力：</w:t>
            </w:r>
            <w:r>
              <w:rPr>
                <w:rFonts w:hint="eastAsia" w:ascii="仿宋" w:hAnsi="仿宋" w:eastAsia="仿宋" w:cs="仿宋"/>
                <w:sz w:val="24"/>
                <w:highlight w:val="none"/>
                <w:u w:val="single"/>
              </w:rPr>
              <w:t>检验验收标准同国家药监局关于印发医疗器械检验工作规范的通知（国药监科外〔2019〕41号）的相关规定，出具验收书后双方当事人不得再对验收内容提出异议。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s="仿宋"/>
                <w:sz w:val="24"/>
                <w:highlight w:val="none"/>
              </w:rPr>
            </w:pPr>
            <w:r>
              <w:rPr>
                <w:rFonts w:hint="eastAsia" w:ascii="仿宋" w:hAnsi="仿宋" w:eastAsia="仿宋" w:cs="仿宋"/>
                <w:sz w:val="24"/>
                <w:highlight w:val="none"/>
              </w:rPr>
              <w:t>2.20.1</w:t>
            </w:r>
          </w:p>
        </w:tc>
        <w:tc>
          <w:tcPr>
            <w:tcW w:w="8275" w:type="dxa"/>
            <w:vAlign w:val="top"/>
          </w:tcPr>
          <w:p>
            <w:pPr>
              <w:spacing w:line="360" w:lineRule="auto"/>
              <w:rPr>
                <w:rFonts w:ascii="仿宋" w:hAnsi="仿宋" w:eastAsia="仿宋" w:cs="仿宋"/>
                <w:sz w:val="24"/>
                <w:highlight w:val="none"/>
              </w:rPr>
            </w:pPr>
            <w:r>
              <w:rPr>
                <w:rFonts w:hint="eastAsia" w:ascii="仿宋" w:hAnsi="仿宋" w:eastAsia="仿宋" w:cs="仿宋"/>
                <w:sz w:val="24"/>
                <w:highlight w:val="none"/>
              </w:rPr>
              <w:t>履约保证金：</w:t>
            </w:r>
            <w:r>
              <w:rPr>
                <w:rFonts w:hint="eastAsia" w:ascii="仿宋" w:hAnsi="仿宋" w:eastAsia="仿宋" w:cs="仿宋"/>
                <w:sz w:val="24"/>
                <w:highlight w:val="none"/>
                <w:u w:val="single"/>
                <w:lang w:val="en-US" w:eastAsia="zh-CN"/>
              </w:rPr>
              <w:t>不适用</w:t>
            </w:r>
            <w:r>
              <w:rPr>
                <w:rFonts w:hint="eastAsia" w:ascii="仿宋" w:hAnsi="仿宋" w:eastAsia="仿宋" w:cs="仿宋"/>
                <w:sz w:val="24"/>
                <w:highlight w:val="none"/>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2.22 </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合同份数</w:t>
            </w:r>
            <w:r>
              <w:rPr>
                <w:rFonts w:hint="eastAsia" w:ascii="仿宋" w:hAnsi="仿宋" w:eastAsia="仿宋" w:cs="仿宋"/>
                <w:sz w:val="24"/>
                <w:highlight w:val="none"/>
                <w:u w:val="single"/>
              </w:rPr>
              <w:t>一式</w:t>
            </w:r>
            <w:r>
              <w:rPr>
                <w:rFonts w:hint="eastAsia" w:ascii="仿宋" w:hAnsi="仿宋" w:eastAsia="仿宋" w:cs="仿宋"/>
                <w:sz w:val="24"/>
                <w:highlight w:val="none"/>
                <w:u w:val="single"/>
                <w:lang w:val="en-US" w:eastAsia="zh-CN"/>
              </w:rPr>
              <w:t>贰</w:t>
            </w:r>
            <w:r>
              <w:rPr>
                <w:rFonts w:hint="eastAsia" w:ascii="仿宋" w:hAnsi="仿宋" w:eastAsia="仿宋" w:cs="仿宋"/>
                <w:sz w:val="24"/>
                <w:highlight w:val="none"/>
                <w:u w:val="single"/>
              </w:rPr>
              <w:t>份</w:t>
            </w:r>
            <w:r>
              <w:rPr>
                <w:rFonts w:hint="eastAsia" w:ascii="仿宋" w:hAnsi="仿宋" w:eastAsia="仿宋" w:cs="仿宋"/>
                <w:sz w:val="24"/>
                <w:highlight w:val="none"/>
              </w:rPr>
              <w:t>，每份均具有同等法律效力。</w:t>
            </w:r>
          </w:p>
        </w:tc>
      </w:tr>
    </w:tbl>
    <w:p>
      <w:pPr>
        <w:spacing w:line="360" w:lineRule="auto"/>
        <w:ind w:left="-420" w:leftChars="-200" w:right="-420" w:rightChars="-200" w:firstLine="480" w:firstLineChars="200"/>
        <w:rPr>
          <w:rFonts w:ascii="仿宋" w:hAnsi="仿宋" w:eastAsia="仿宋" w:cs="仿宋"/>
          <w:sz w:val="24"/>
          <w:highlight w:val="none"/>
        </w:rPr>
      </w:pPr>
    </w:p>
    <w:p>
      <w:pPr>
        <w:spacing w:line="360" w:lineRule="auto"/>
        <w:ind w:left="-420" w:leftChars="-200" w:right="-420" w:rightChars="-200"/>
        <w:rPr>
          <w:rFonts w:ascii="仿宋" w:hAnsi="仿宋" w:eastAsia="仿宋" w:cs="仿宋"/>
          <w:sz w:val="24"/>
          <w:highlight w:val="none"/>
        </w:rPr>
      </w:pPr>
    </w:p>
    <w:p>
      <w:pPr>
        <w:spacing w:line="360" w:lineRule="auto"/>
        <w:ind w:left="-420" w:leftChars="-200" w:right="-420" w:rightChars="-200" w:firstLine="480" w:firstLineChars="200"/>
        <w:jc w:val="center"/>
        <w:rPr>
          <w:rFonts w:ascii="仿宋" w:hAnsi="仿宋" w:eastAsia="仿宋" w:cs="仿宋"/>
          <w:sz w:val="24"/>
          <w:highlight w:val="none"/>
        </w:rPr>
      </w:pPr>
    </w:p>
    <w:p>
      <w:pPr>
        <w:spacing w:line="360" w:lineRule="auto"/>
        <w:ind w:left="-420" w:leftChars="-200" w:right="-420" w:rightChars="-200" w:firstLine="480" w:firstLineChars="200"/>
        <w:jc w:val="center"/>
        <w:rPr>
          <w:rFonts w:ascii="仿宋" w:hAnsi="仿宋" w:eastAsia="仿宋" w:cs="仿宋"/>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highlight w:val="none"/>
        </w:rPr>
      </w:pPr>
    </w:p>
    <w:p>
      <w:pPr>
        <w:rPr>
          <w:rFonts w:ascii="仿宋" w:hAnsi="仿宋" w:eastAsia="仿宋" w:cs="仿宋"/>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highlight w:val="none"/>
        </w:rPr>
      </w:pPr>
    </w:p>
    <w:p>
      <w:pPr>
        <w:rPr>
          <w:rFonts w:ascii="仿宋" w:hAnsi="仿宋" w:eastAsia="仿宋" w:cs="仿宋"/>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highlight w:val="none"/>
        </w:rPr>
      </w:pPr>
    </w:p>
    <w:p>
      <w:pPr>
        <w:rPr>
          <w:rFonts w:ascii="仿宋" w:hAnsi="仿宋" w:eastAsia="仿宋" w:cs="仿宋"/>
          <w:sz w:val="24"/>
          <w:highlight w:val="none"/>
        </w:rPr>
      </w:pPr>
    </w:p>
    <w:p>
      <w:pPr>
        <w:pStyle w:val="5"/>
        <w:rPr>
          <w:rFonts w:ascii="仿宋" w:hAnsi="仿宋" w:eastAsia="仿宋" w:cs="仿宋"/>
          <w:sz w:val="24"/>
          <w:highlight w:val="none"/>
        </w:rPr>
      </w:pPr>
    </w:p>
    <w:p>
      <w:pPr>
        <w:pStyle w:val="6"/>
        <w:rPr>
          <w:rFonts w:ascii="仿宋" w:hAnsi="仿宋" w:eastAsia="仿宋" w:cs="仿宋"/>
          <w:highlight w:val="none"/>
        </w:rPr>
      </w:pPr>
    </w:p>
    <w:p>
      <w:pPr>
        <w:rPr>
          <w:rFonts w:ascii="仿宋" w:hAnsi="仿宋" w:eastAsia="仿宋" w:cs="仿宋"/>
          <w:sz w:val="24"/>
          <w:highlight w:val="none"/>
        </w:rPr>
      </w:pPr>
    </w:p>
    <w:p>
      <w:pPr>
        <w:pStyle w:val="81"/>
        <w:rPr>
          <w:rFonts w:ascii="仿宋" w:hAnsi="仿宋" w:eastAsia="仿宋" w:cs="仿宋"/>
          <w:sz w:val="24"/>
          <w:highlight w:val="none"/>
        </w:rPr>
      </w:pPr>
    </w:p>
    <w:p>
      <w:pPr>
        <w:pStyle w:val="81"/>
        <w:rPr>
          <w:rFonts w:ascii="仿宋" w:hAnsi="仿宋" w:eastAsia="仿宋" w:cs="仿宋"/>
          <w:sz w:val="24"/>
          <w:highlight w:val="none"/>
        </w:rPr>
      </w:pPr>
    </w:p>
    <w:p>
      <w:pPr>
        <w:pStyle w:val="81"/>
        <w:rPr>
          <w:rFonts w:ascii="仿宋" w:hAnsi="仿宋" w:eastAsia="仿宋" w:cs="仿宋"/>
          <w:sz w:val="24"/>
          <w:highlight w:val="none"/>
        </w:rPr>
      </w:pPr>
    </w:p>
    <w:p>
      <w:pPr>
        <w:pStyle w:val="81"/>
        <w:rPr>
          <w:rFonts w:ascii="仿宋" w:hAnsi="仿宋" w:eastAsia="仿宋" w:cs="仿宋"/>
          <w:sz w:val="24"/>
          <w:highlight w:val="none"/>
        </w:rPr>
      </w:pPr>
    </w:p>
    <w:p>
      <w:pPr>
        <w:pStyle w:val="79"/>
        <w:rPr>
          <w:highlight w:val="none"/>
        </w:rPr>
      </w:pPr>
    </w:p>
    <w:p>
      <w:pPr>
        <w:pStyle w:val="5"/>
        <w:rPr>
          <w:rFonts w:ascii="仿宋" w:hAnsi="仿宋" w:eastAsia="仿宋" w:cs="仿宋"/>
          <w:highlight w:val="none"/>
        </w:rPr>
      </w:pPr>
    </w:p>
    <w:p>
      <w:pPr>
        <w:spacing w:line="360" w:lineRule="auto"/>
        <w:ind w:left="720" w:firstLine="723" w:firstLineChars="200"/>
        <w:outlineLvl w:val="0"/>
        <w:rPr>
          <w:rFonts w:ascii="仿宋" w:hAnsi="仿宋" w:eastAsia="仿宋" w:cs="仿宋"/>
          <w:b/>
          <w:sz w:val="36"/>
          <w:szCs w:val="20"/>
          <w:highlight w:val="none"/>
        </w:rPr>
      </w:pPr>
      <w:bookmarkStart w:id="594" w:name="_Toc7454"/>
      <w:r>
        <w:rPr>
          <w:rFonts w:hint="eastAsia" w:ascii="仿宋" w:hAnsi="仿宋" w:eastAsia="仿宋" w:cs="仿宋"/>
          <w:b/>
          <w:sz w:val="36"/>
          <w:szCs w:val="20"/>
          <w:highlight w:val="none"/>
        </w:rPr>
        <w:t>第六部分</w:t>
      </w:r>
      <w:bookmarkEnd w:id="404"/>
      <w:r>
        <w:rPr>
          <w:rFonts w:hint="eastAsia" w:ascii="仿宋" w:hAnsi="仿宋" w:eastAsia="仿宋" w:cs="仿宋"/>
          <w:b/>
          <w:sz w:val="36"/>
          <w:szCs w:val="20"/>
          <w:highlight w:val="none"/>
        </w:rPr>
        <w:t xml:space="preserve"> </w:t>
      </w:r>
      <w:bookmarkEnd w:id="405"/>
      <w:r>
        <w:rPr>
          <w:rFonts w:hint="eastAsia" w:ascii="仿宋" w:hAnsi="仿宋" w:eastAsia="仿宋" w:cs="仿宋"/>
          <w:b/>
          <w:sz w:val="36"/>
          <w:szCs w:val="20"/>
          <w:highlight w:val="none"/>
        </w:rPr>
        <w:t>应提交的有关格式范例</w:t>
      </w:r>
      <w:bookmarkEnd w:id="594"/>
    </w:p>
    <w:p>
      <w:pPr>
        <w:spacing w:line="360" w:lineRule="auto"/>
        <w:jc w:val="center"/>
        <w:rPr>
          <w:rFonts w:ascii="仿宋" w:hAnsi="仿宋" w:eastAsia="仿宋" w:cs="仿宋"/>
          <w:b/>
          <w:kern w:val="0"/>
          <w:sz w:val="36"/>
          <w:szCs w:val="36"/>
          <w:highlight w:val="none"/>
        </w:rPr>
      </w:pPr>
    </w:p>
    <w:p>
      <w:pPr>
        <w:spacing w:line="360" w:lineRule="auto"/>
        <w:jc w:val="center"/>
        <w:outlineLvl w:val="0"/>
        <w:rPr>
          <w:rFonts w:ascii="仿宋" w:hAnsi="仿宋" w:eastAsia="仿宋" w:cs="仿宋"/>
          <w:b/>
          <w:kern w:val="0"/>
          <w:sz w:val="36"/>
          <w:szCs w:val="36"/>
          <w:highlight w:val="none"/>
        </w:rPr>
      </w:pPr>
      <w:bookmarkStart w:id="595" w:name="_Toc14033"/>
      <w:r>
        <w:rPr>
          <w:rFonts w:hint="eastAsia" w:ascii="仿宋" w:hAnsi="仿宋" w:eastAsia="仿宋" w:cs="仿宋"/>
          <w:b/>
          <w:kern w:val="0"/>
          <w:sz w:val="36"/>
          <w:szCs w:val="36"/>
          <w:highlight w:val="none"/>
        </w:rPr>
        <w:t>资格文件部分</w:t>
      </w:r>
      <w:bookmarkEnd w:id="595"/>
    </w:p>
    <w:p>
      <w:pPr>
        <w:spacing w:line="360" w:lineRule="auto"/>
        <w:jc w:val="center"/>
        <w:outlineLvl w:val="0"/>
        <w:rPr>
          <w:rFonts w:ascii="仿宋" w:hAnsi="仿宋" w:eastAsia="仿宋" w:cs="仿宋"/>
          <w:b/>
          <w:kern w:val="0"/>
          <w:sz w:val="36"/>
          <w:szCs w:val="36"/>
          <w:highlight w:val="none"/>
        </w:rPr>
      </w:pPr>
      <w:bookmarkStart w:id="596" w:name="_Toc24642"/>
      <w:r>
        <w:rPr>
          <w:rFonts w:hint="eastAsia" w:ascii="仿宋" w:hAnsi="仿宋" w:eastAsia="仿宋" w:cs="仿宋"/>
          <w:b/>
          <w:kern w:val="0"/>
          <w:sz w:val="36"/>
          <w:szCs w:val="36"/>
          <w:highlight w:val="none"/>
        </w:rPr>
        <w:t>目录</w:t>
      </w:r>
      <w:bookmarkEnd w:id="596"/>
    </w:p>
    <w:p>
      <w:pPr>
        <w:spacing w:line="360" w:lineRule="auto"/>
        <w:jc w:val="center"/>
        <w:rPr>
          <w:rFonts w:ascii="仿宋" w:hAnsi="仿宋" w:eastAsia="仿宋" w:cs="仿宋"/>
          <w:b/>
          <w:kern w:val="0"/>
          <w:sz w:val="36"/>
          <w:szCs w:val="36"/>
          <w:highlight w:val="none"/>
        </w:rPr>
      </w:pP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（1）符合参加政府采购活动应当具备的一般条件的承诺函……………（页码）</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（2）落实政府采购政策需满足的资格要求………………………………（页码）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（3）本项目的特定资格要求………………………………………………（页码）</w:t>
      </w:r>
    </w:p>
    <w:p>
      <w:pPr>
        <w:snapToGrid w:val="0"/>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法人或者其他组织的营业执照等证明文件，自然人的身份证明</w:t>
      </w:r>
      <w:r>
        <w:rPr>
          <w:rFonts w:hint="eastAsia" w:ascii="仿宋" w:hAnsi="仿宋" w:eastAsia="仿宋" w:cs="仿宋"/>
          <w:sz w:val="24"/>
          <w:highlight w:val="none"/>
        </w:rPr>
        <w:t>…（页码）</w:t>
      </w:r>
    </w:p>
    <w:p>
      <w:pPr>
        <w:snapToGrid w:val="0"/>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napToGrid w:val="0"/>
        <w:spacing w:line="360" w:lineRule="auto"/>
        <w:ind w:right="480"/>
        <w:jc w:val="center"/>
        <w:rPr>
          <w:rFonts w:ascii="仿宋" w:hAnsi="仿宋" w:eastAsia="仿宋" w:cs="仿宋"/>
          <w:b/>
          <w:kern w:val="0"/>
          <w:sz w:val="32"/>
          <w:szCs w:val="32"/>
          <w:highlight w:val="none"/>
        </w:rPr>
      </w:pPr>
      <w:r>
        <w:rPr>
          <w:rFonts w:hint="eastAsia" w:ascii="仿宋" w:hAnsi="仿宋" w:eastAsia="仿宋" w:cs="仿宋"/>
          <w:kern w:val="0"/>
          <w:sz w:val="24"/>
          <w:highlight w:val="none"/>
        </w:rPr>
        <w:br w:type="page"/>
      </w:r>
      <w:r>
        <w:rPr>
          <w:rFonts w:hint="eastAsia" w:ascii="仿宋" w:hAnsi="仿宋" w:eastAsia="仿宋" w:cs="仿宋"/>
          <w:b/>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我方参与（项目名称）【招标编号：（采购编号）】政府采购活动，郑重承诺：</w:t>
      </w:r>
    </w:p>
    <w:p>
      <w:pPr>
        <w:snapToGrid w:val="0"/>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（一）具备《中华人民共和国政府采购法》第二十</w:t>
      </w:r>
      <w:r>
        <w:rPr>
          <w:rFonts w:hint="eastAsia" w:ascii="仿宋" w:hAnsi="仿宋" w:eastAsia="仿宋" w:cs="仿宋"/>
          <w:sz w:val="24"/>
          <w:highlight w:val="none"/>
          <w:lang w:val="en-US" w:eastAsia="zh-CN"/>
        </w:rPr>
        <w:t>二条</w:t>
      </w:r>
      <w:r>
        <w:rPr>
          <w:rFonts w:hint="eastAsia" w:ascii="仿宋" w:hAnsi="仿宋" w:eastAsia="仿宋" w:cs="仿宋"/>
          <w:sz w:val="24"/>
          <w:highlight w:val="none"/>
        </w:rPr>
        <w:t>第一款规定的条件：</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rPr>
          <w:rFonts w:ascii="仿宋" w:hAnsi="仿宋" w:eastAsia="仿宋" w:cs="仿宋"/>
          <w:highlight w:val="none"/>
        </w:rPr>
      </w:pPr>
    </w:p>
    <w:p>
      <w:pPr>
        <w:pStyle w:val="81"/>
        <w:rPr>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二、落实政府采购政策需满足的资格要求</w:t>
      </w:r>
    </w:p>
    <w:p>
      <w:pPr>
        <w:spacing w:line="360" w:lineRule="auto"/>
        <w:rPr>
          <w:rFonts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highlight w:val="none"/>
        </w:rPr>
      </w:pPr>
      <w:r>
        <w:rPr>
          <w:rFonts w:hint="eastAsia" w:ascii="仿宋" w:hAnsi="仿宋" w:eastAsia="仿宋" w:cs="仿宋"/>
          <w:b/>
          <w:sz w:val="24"/>
          <w:highlight w:val="none"/>
        </w:rPr>
        <w:t>A</w:t>
      </w:r>
      <w:r>
        <w:rPr>
          <w:rFonts w:hint="eastAsia" w:ascii="仿宋" w:hAnsi="仿宋" w:eastAsia="仿宋" w:cs="仿宋"/>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highlight w:val="none"/>
        </w:rPr>
      </w:pPr>
    </w:p>
    <w:p>
      <w:pPr>
        <w:widowControl/>
        <w:spacing w:line="360" w:lineRule="auto"/>
        <w:ind w:firstLine="472" w:firstLineChars="196"/>
        <w:jc w:val="left"/>
        <w:rPr>
          <w:rFonts w:ascii="仿宋" w:hAnsi="仿宋" w:eastAsia="仿宋" w:cs="仿宋"/>
          <w:sz w:val="24"/>
          <w:highlight w:val="none"/>
        </w:rPr>
      </w:pPr>
      <w:r>
        <w:rPr>
          <w:rFonts w:hint="eastAsia" w:ascii="仿宋" w:hAnsi="仿宋" w:eastAsia="仿宋" w:cs="仿宋"/>
          <w:b/>
          <w:sz w:val="24"/>
          <w:highlight w:val="none"/>
        </w:rPr>
        <w:t>B.</w:t>
      </w:r>
      <w:r>
        <w:rPr>
          <w:rFonts w:hint="eastAsia" w:ascii="仿宋" w:hAnsi="仿宋" w:eastAsia="仿宋" w:cs="仿宋"/>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highlight w:val="none"/>
          <w:lang w:val="zh-CN"/>
        </w:rPr>
      </w:pPr>
      <w:r>
        <w:rPr>
          <w:rFonts w:hint="eastAsia" w:ascii="仿宋" w:hAnsi="仿宋" w:eastAsia="仿宋" w:cs="仿宋"/>
          <w:b/>
          <w:sz w:val="24"/>
          <w:highlight w:val="none"/>
        </w:rPr>
        <w:t xml:space="preserve">    </w:t>
      </w:r>
      <w:r>
        <w:rPr>
          <w:rFonts w:hint="eastAsia" w:ascii="仿宋" w:hAnsi="仿宋" w:eastAsia="仿宋" w:cs="仿宋"/>
          <w:b/>
          <w:kern w:val="0"/>
          <w:sz w:val="32"/>
          <w:szCs w:val="32"/>
          <w:highlight w:val="none"/>
          <w:lang w:val="zh-CN"/>
        </w:rPr>
        <w:t>联合协议</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pacing w:line="360" w:lineRule="auto"/>
        <w:ind w:firstLine="480" w:firstLineChars="200"/>
        <w:rPr>
          <w:rFonts w:ascii="仿宋" w:hAnsi="仿宋" w:eastAsia="仿宋" w:cs="仿宋"/>
          <w:sz w:val="24"/>
          <w:highlight w:val="none"/>
        </w:rPr>
      </w:pP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C、</w:t>
      </w:r>
      <w:r>
        <w:rPr>
          <w:rFonts w:hint="eastAsia" w:ascii="仿宋" w:hAnsi="仿宋" w:eastAsia="仿宋" w:cs="仿宋"/>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分包意向协议</w:t>
      </w:r>
    </w:p>
    <w:p>
      <w:pPr>
        <w:widowControl/>
        <w:spacing w:line="360" w:lineRule="auto"/>
        <w:ind w:firstLine="120" w:firstLineChars="50"/>
        <w:jc w:val="left"/>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3"/>
        <w:ind w:left="664" w:leftChars="316" w:firstLine="229" w:firstLineChars="95"/>
        <w:rPr>
          <w:rFonts w:ascii="仿宋" w:eastAsia="仿宋" w:cs="仿宋"/>
          <w:highlight w:val="none"/>
        </w:rPr>
      </w:pPr>
      <w:r>
        <w:rPr>
          <w:rFonts w:hint="eastAsia" w:ascii="仿宋" w:eastAsia="仿宋" w:cs="仿宋"/>
          <w:kern w:val="0"/>
          <w:sz w:val="24"/>
          <w:szCs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left="5758" w:leftChars="342" w:hanging="5040" w:hangingChars="2100"/>
        <w:rPr>
          <w:rFonts w:ascii="仿宋" w:hAnsi="仿宋" w:eastAsia="仿宋" w:cs="仿宋"/>
          <w:kern w:val="0"/>
          <w:sz w:val="24"/>
          <w:highlight w:val="none"/>
          <w:lang w:val="zh-CN"/>
        </w:rPr>
      </w:pP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 xml:space="preserve">  。                                           投标人名称(电子签名)：</w:t>
      </w:r>
    </w:p>
    <w:p>
      <w:pPr>
        <w:snapToGrid w:val="0"/>
        <w:spacing w:line="360" w:lineRule="auto"/>
        <w:ind w:firstLine="5640" w:firstLineChars="235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pacing w:line="360" w:lineRule="auto"/>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widowControl/>
        <w:spacing w:line="360" w:lineRule="auto"/>
        <w:ind w:left="150"/>
        <w:jc w:val="center"/>
        <w:rPr>
          <w:rFonts w:ascii="仿宋" w:hAnsi="仿宋" w:eastAsia="仿宋" w:cs="仿宋"/>
          <w:b/>
          <w:kern w:val="0"/>
          <w:sz w:val="32"/>
          <w:szCs w:val="32"/>
          <w:highlight w:val="none"/>
        </w:rPr>
      </w:pPr>
    </w:p>
    <w:p>
      <w:pPr>
        <w:widowControl/>
        <w:spacing w:line="360" w:lineRule="auto"/>
        <w:ind w:left="15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三、本项目的特定资格要求</w:t>
      </w:r>
    </w:p>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（根据招标公告本项目的特定资格要求提供相应的材料；未要求的，无需提供）</w:t>
      </w:r>
    </w:p>
    <w:p>
      <w:pPr>
        <w:rPr>
          <w:rFonts w:ascii="仿宋" w:hAnsi="仿宋" w:eastAsia="仿宋" w:cs="仿宋"/>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pacing w:line="360" w:lineRule="auto"/>
        <w:jc w:val="center"/>
        <w:rPr>
          <w:rFonts w:ascii="仿宋" w:hAnsi="仿宋" w:eastAsia="仿宋" w:cs="仿宋"/>
          <w:b/>
          <w:kern w:val="0"/>
          <w:sz w:val="36"/>
          <w:szCs w:val="36"/>
          <w:highlight w:val="none"/>
        </w:rPr>
      </w:pPr>
    </w:p>
    <w:p>
      <w:pPr>
        <w:snapToGrid w:val="0"/>
        <w:spacing w:line="360" w:lineRule="auto"/>
        <w:ind w:right="480"/>
        <w:jc w:val="center"/>
        <w:rPr>
          <w:rFonts w:ascii="仿宋" w:hAnsi="仿宋" w:eastAsia="仿宋" w:cs="仿宋"/>
          <w:b/>
          <w:kern w:val="0"/>
          <w:sz w:val="32"/>
          <w:szCs w:val="32"/>
          <w:highlight w:val="none"/>
        </w:rPr>
      </w:pPr>
    </w:p>
    <w:p>
      <w:pPr>
        <w:spacing w:line="360" w:lineRule="auto"/>
        <w:jc w:val="center"/>
        <w:rPr>
          <w:rFonts w:ascii="仿宋" w:hAnsi="仿宋" w:eastAsia="仿宋" w:cs="仿宋"/>
          <w:b/>
          <w:kern w:val="0"/>
          <w:sz w:val="36"/>
          <w:szCs w:val="36"/>
          <w:highlight w:val="none"/>
        </w:rPr>
      </w:pPr>
    </w:p>
    <w:p>
      <w:pPr>
        <w:snapToGrid w:val="0"/>
        <w:spacing w:line="360" w:lineRule="auto"/>
        <w:ind w:right="480"/>
        <w:jc w:val="center"/>
        <w:rPr>
          <w:rFonts w:ascii="仿宋" w:hAnsi="仿宋" w:eastAsia="仿宋" w:cs="仿宋"/>
          <w:b/>
          <w:kern w:val="0"/>
          <w:sz w:val="32"/>
          <w:szCs w:val="32"/>
          <w:highlight w:val="none"/>
        </w:rPr>
      </w:pPr>
    </w:p>
    <w:p>
      <w:pPr>
        <w:spacing w:line="360" w:lineRule="auto"/>
        <w:jc w:val="center"/>
        <w:rPr>
          <w:rFonts w:ascii="仿宋" w:hAnsi="仿宋" w:eastAsia="仿宋" w:cs="仿宋"/>
          <w:b/>
          <w:kern w:val="0"/>
          <w:sz w:val="36"/>
          <w:szCs w:val="36"/>
          <w:highlight w:val="none"/>
        </w:rPr>
      </w:pPr>
    </w:p>
    <w:p>
      <w:pPr>
        <w:spacing w:line="360" w:lineRule="auto"/>
        <w:ind w:right="420" w:firstLine="3614" w:firstLineChars="1000"/>
        <w:outlineLvl w:val="0"/>
        <w:rPr>
          <w:rFonts w:ascii="仿宋" w:hAnsi="仿宋" w:eastAsia="仿宋" w:cs="仿宋"/>
          <w:b/>
          <w:kern w:val="0"/>
          <w:sz w:val="36"/>
          <w:szCs w:val="36"/>
          <w:highlight w:val="none"/>
        </w:rPr>
      </w:pPr>
      <w:bookmarkStart w:id="597" w:name="_Toc27069"/>
      <w:r>
        <w:rPr>
          <w:rFonts w:hint="eastAsia" w:ascii="仿宋" w:hAnsi="仿宋" w:eastAsia="仿宋" w:cs="仿宋"/>
          <w:b/>
          <w:kern w:val="0"/>
          <w:sz w:val="36"/>
          <w:szCs w:val="36"/>
          <w:highlight w:val="none"/>
        </w:rPr>
        <w:t>商务技术文件部分</w:t>
      </w:r>
      <w:bookmarkEnd w:id="597"/>
    </w:p>
    <w:p>
      <w:pPr>
        <w:spacing w:line="360" w:lineRule="auto"/>
        <w:jc w:val="center"/>
        <w:rPr>
          <w:rFonts w:ascii="仿宋" w:hAnsi="仿宋" w:eastAsia="仿宋" w:cs="仿宋"/>
          <w:b/>
          <w:kern w:val="0"/>
          <w:sz w:val="24"/>
          <w:highlight w:val="none"/>
        </w:rPr>
      </w:pPr>
    </w:p>
    <w:p>
      <w:pPr>
        <w:spacing w:line="360" w:lineRule="auto"/>
        <w:jc w:val="center"/>
        <w:outlineLvl w:val="0"/>
        <w:rPr>
          <w:rFonts w:hint="eastAsia" w:ascii="仿宋" w:hAnsi="仿宋" w:eastAsia="仿宋" w:cs="仿宋"/>
          <w:b/>
          <w:kern w:val="0"/>
          <w:sz w:val="28"/>
          <w:szCs w:val="28"/>
          <w:highlight w:val="none"/>
        </w:rPr>
      </w:pPr>
      <w:bookmarkStart w:id="598" w:name="_Toc16278"/>
      <w:r>
        <w:rPr>
          <w:rFonts w:hint="eastAsia" w:ascii="仿宋" w:hAnsi="仿宋" w:eastAsia="仿宋" w:cs="仿宋"/>
          <w:b/>
          <w:kern w:val="0"/>
          <w:sz w:val="28"/>
          <w:szCs w:val="28"/>
          <w:highlight w:val="none"/>
        </w:rPr>
        <w:t>目录</w:t>
      </w:r>
      <w:bookmarkEnd w:id="598"/>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（3）联合协议</w:t>
      </w:r>
      <w:r>
        <w:rPr>
          <w:rFonts w:hint="eastAsia" w:ascii="仿宋" w:hAnsi="仿宋" w:eastAsia="仿宋" w:cs="仿宋"/>
          <w:highlight w:val="none"/>
        </w:rPr>
        <w:t>………………………………………………………………………………（页码）</w:t>
      </w:r>
    </w:p>
    <w:p>
      <w:pPr>
        <w:snapToGrid w:val="0"/>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（4）分包意向协议</w:t>
      </w:r>
      <w:r>
        <w:rPr>
          <w:rFonts w:hint="eastAsia" w:ascii="仿宋" w:hAnsi="仿宋" w:eastAsia="仿宋" w:cs="仿宋"/>
          <w:highlight w:val="none"/>
        </w:rPr>
        <w:t>…………………………………………………………………………（页码）</w:t>
      </w:r>
    </w:p>
    <w:p>
      <w:pPr>
        <w:snapToGrid w:val="0"/>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（5）符合性审查资料</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（6）评标标准相应的商务技术资料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（7）商务技术偏离表</w:t>
      </w:r>
      <w:r>
        <w:rPr>
          <w:rFonts w:hint="eastAsia" w:ascii="仿宋" w:hAnsi="仿宋" w:eastAsia="仿宋" w:cs="仿宋"/>
          <w:highlight w:val="none"/>
        </w:rPr>
        <w:t>………………………………………………………………………（页码）</w:t>
      </w:r>
    </w:p>
    <w:p>
      <w:pPr>
        <w:pStyle w:val="81"/>
        <w:ind w:left="959" w:leftChars="228" w:hanging="480" w:hanging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（8）医疗器械经营许可证（和/或二类医疗器械经营备案证）（如适用）、完整的投标产品医疗器械注册证（如适用）、投标设备的制造商授权函（适用于进口设备）等销售许可文件</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kern w:val="2"/>
          <w:sz w:val="24"/>
          <w:szCs w:val="24"/>
          <w:highlight w:val="none"/>
          <w:lang w:val="en-US" w:eastAsia="zh-CN" w:bidi="ar-SA"/>
        </w:rPr>
        <w:t>（9）设备配置清单（均不含报价）</w:t>
      </w:r>
      <w:r>
        <w:rPr>
          <w:rFonts w:hint="eastAsia" w:ascii="仿宋" w:hAnsi="仿宋" w:eastAsia="仿宋" w:cs="仿宋"/>
          <w:highlight w:val="none"/>
        </w:rPr>
        <w:t>……………………………………………………（页码）</w:t>
      </w:r>
    </w:p>
    <w:p>
      <w:pPr>
        <w:pStyle w:val="81"/>
        <w:ind w:left="959" w:leftChars="228" w:hanging="480" w:hangingChars="200"/>
        <w:rPr>
          <w:rFonts w:hint="eastAsia" w:ascii="仿宋" w:hAnsi="仿宋" w:eastAsia="仿宋" w:cs="仿宋"/>
          <w:kern w:val="2"/>
          <w:sz w:val="24"/>
          <w:szCs w:val="24"/>
          <w:highlight w:val="none"/>
          <w:lang w:val="zh-CN" w:eastAsia="zh-CN" w:bidi="ar-SA"/>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10</w:t>
      </w:r>
      <w:r>
        <w:rPr>
          <w:rFonts w:hint="eastAsia" w:ascii="仿宋" w:hAnsi="仿宋" w:eastAsia="仿宋" w:cs="仿宋"/>
          <w:sz w:val="24"/>
          <w:highlight w:val="none"/>
          <w:lang w:val="zh-CN"/>
        </w:rPr>
        <w:t>）</w:t>
      </w:r>
      <w:r>
        <w:rPr>
          <w:rFonts w:hint="eastAsia" w:ascii="仿宋" w:hAnsi="仿宋" w:eastAsia="仿宋" w:cs="仿宋"/>
          <w:kern w:val="2"/>
          <w:sz w:val="24"/>
          <w:szCs w:val="24"/>
          <w:highlight w:val="none"/>
          <w:lang w:val="zh-CN" w:eastAsia="zh-CN" w:bidi="ar-SA"/>
        </w:rPr>
        <w:t>项目实施人员一览表</w:t>
      </w:r>
      <w:r>
        <w:rPr>
          <w:rFonts w:hint="eastAsia" w:ascii="仿宋" w:hAnsi="仿宋" w:eastAsia="仿宋" w:cs="仿宋"/>
          <w:highlight w:val="none"/>
        </w:rPr>
        <w:t>……………………………………………………</w:t>
      </w:r>
      <w:r>
        <w:rPr>
          <w:rFonts w:hint="eastAsia" w:ascii="仿宋" w:hAnsi="仿宋" w:eastAsia="仿宋" w:cs="仿宋"/>
          <w:kern w:val="2"/>
          <w:sz w:val="21"/>
          <w:szCs w:val="24"/>
          <w:highlight w:val="none"/>
          <w:lang w:val="en-US" w:eastAsia="zh-CN" w:bidi="ar-SA"/>
        </w:rPr>
        <w:t>…（页码）</w:t>
      </w:r>
    </w:p>
    <w:p>
      <w:pPr>
        <w:pStyle w:val="81"/>
        <w:ind w:left="959" w:leftChars="228" w:hanging="480" w:hangingChars="200"/>
        <w:rPr>
          <w:rFonts w:hint="eastAsia" w:ascii="仿宋" w:hAnsi="仿宋" w:eastAsia="仿宋" w:cs="仿宋"/>
          <w:kern w:val="2"/>
          <w:sz w:val="24"/>
          <w:szCs w:val="24"/>
          <w:highlight w:val="none"/>
          <w:lang w:val="zh-CN" w:eastAsia="zh-CN" w:bidi="ar-SA"/>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11</w:t>
      </w:r>
      <w:r>
        <w:rPr>
          <w:rFonts w:hint="eastAsia" w:ascii="仿宋" w:hAnsi="仿宋" w:eastAsia="仿宋" w:cs="仿宋"/>
          <w:sz w:val="24"/>
          <w:highlight w:val="none"/>
          <w:lang w:val="zh-CN"/>
        </w:rPr>
        <w:t>）</w:t>
      </w:r>
      <w:r>
        <w:rPr>
          <w:rFonts w:hint="eastAsia" w:ascii="仿宋" w:hAnsi="仿宋" w:eastAsia="仿宋" w:cs="仿宋"/>
          <w:kern w:val="2"/>
          <w:sz w:val="24"/>
          <w:szCs w:val="24"/>
          <w:highlight w:val="none"/>
          <w:lang w:val="zh-CN" w:eastAsia="zh-CN" w:bidi="ar-SA"/>
        </w:rPr>
        <w:t>选配件、专用耗材、售后服务优惠表</w:t>
      </w:r>
      <w:r>
        <w:rPr>
          <w:rFonts w:hint="eastAsia" w:ascii="仿宋" w:hAnsi="仿宋" w:eastAsia="仿宋" w:cs="仿宋"/>
          <w:highlight w:val="none"/>
        </w:rPr>
        <w:t>…………………………………</w:t>
      </w:r>
      <w:r>
        <w:rPr>
          <w:rFonts w:hint="eastAsia" w:ascii="仿宋" w:hAnsi="仿宋" w:eastAsia="仿宋" w:cs="仿宋"/>
          <w:kern w:val="2"/>
          <w:sz w:val="21"/>
          <w:szCs w:val="24"/>
          <w:highlight w:val="none"/>
          <w:lang w:val="en-US" w:eastAsia="zh-CN" w:bidi="ar-SA"/>
        </w:rPr>
        <w:t>…（页码）</w:t>
      </w:r>
    </w:p>
    <w:p>
      <w:pPr>
        <w:snapToGrid w:val="0"/>
        <w:spacing w:line="360" w:lineRule="auto"/>
        <w:ind w:left="959" w:leftChars="228" w:hanging="480" w:hangingChars="200"/>
        <w:jc w:val="both"/>
        <w:rPr>
          <w:rFonts w:ascii="仿宋" w:hAnsi="仿宋" w:eastAsia="仿宋" w:cs="仿宋"/>
          <w:b/>
          <w:kern w:val="0"/>
          <w:sz w:val="32"/>
          <w:szCs w:val="32"/>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12</w:t>
      </w:r>
      <w:r>
        <w:rPr>
          <w:rFonts w:hint="eastAsia" w:ascii="仿宋" w:hAnsi="仿宋" w:eastAsia="仿宋" w:cs="仿宋"/>
          <w:sz w:val="24"/>
          <w:highlight w:val="none"/>
          <w:lang w:val="zh-CN"/>
        </w:rPr>
        <w:t>）</w:t>
      </w:r>
      <w:r>
        <w:rPr>
          <w:rFonts w:hint="eastAsia" w:ascii="仿宋" w:hAnsi="仿宋" w:eastAsia="仿宋" w:cs="仿宋"/>
          <w:kern w:val="2"/>
          <w:sz w:val="24"/>
          <w:szCs w:val="24"/>
          <w:highlight w:val="none"/>
          <w:lang w:val="en-US" w:eastAsia="zh-CN" w:bidi="ar-SA"/>
        </w:rPr>
        <w:t>投标人需要说明的其他文件和说明（投标产品的彩页、原厂datasheet、检测报告等）</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13</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rPr>
      </w:pPr>
    </w:p>
    <w:p>
      <w:pPr>
        <w:snapToGrid w:val="0"/>
        <w:spacing w:line="360" w:lineRule="auto"/>
        <w:jc w:val="center"/>
        <w:rPr>
          <w:rFonts w:ascii="仿宋" w:hAnsi="仿宋" w:eastAsia="仿宋" w:cs="仿宋"/>
          <w:b/>
          <w:kern w:val="0"/>
          <w:sz w:val="32"/>
          <w:szCs w:val="32"/>
          <w:highlight w:val="none"/>
        </w:rPr>
      </w:pPr>
    </w:p>
    <w:p>
      <w:pPr>
        <w:rPr>
          <w:rFonts w:ascii="仿宋" w:hAnsi="仿宋" w:eastAsia="仿宋" w:cs="仿宋"/>
          <w:highlight w:val="none"/>
        </w:rPr>
      </w:pPr>
    </w:p>
    <w:p>
      <w:pPr>
        <w:snapToGrid w:val="0"/>
        <w:spacing w:line="360" w:lineRule="auto"/>
        <w:jc w:val="both"/>
        <w:rPr>
          <w:rFonts w:ascii="仿宋" w:hAnsi="仿宋" w:eastAsia="仿宋" w:cs="仿宋"/>
          <w:b/>
          <w:kern w:val="0"/>
          <w:sz w:val="32"/>
          <w:szCs w:val="32"/>
          <w:highlight w:val="none"/>
        </w:rPr>
      </w:pPr>
    </w:p>
    <w:p>
      <w:pPr>
        <w:snapToGrid w:val="0"/>
        <w:spacing w:line="360" w:lineRule="auto"/>
        <w:jc w:val="center"/>
        <w:outlineLvl w:val="0"/>
        <w:rPr>
          <w:rFonts w:ascii="仿宋" w:hAnsi="仿宋" w:eastAsia="仿宋" w:cs="仿宋"/>
          <w:b/>
          <w:sz w:val="32"/>
          <w:szCs w:val="32"/>
          <w:highlight w:val="none"/>
        </w:rPr>
      </w:pPr>
      <w:bookmarkStart w:id="599" w:name="_Toc7202"/>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bookmarkEnd w:id="599"/>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天（不少于90天）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2、我方的投标文件包括以下内容：</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2.1资格文件：</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2.1.1承诺函；</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2.1.2落实政府采购政策需满足的资格要求（如果有）；</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2.1.3本项目的特定资格要求（如果有）。</w:t>
      </w:r>
    </w:p>
    <w:p>
      <w:pPr>
        <w:snapToGrid w:val="0"/>
        <w:spacing w:line="360" w:lineRule="auto"/>
        <w:ind w:left="210" w:leftChars="1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2.2授权委托书或法定代表人（单位负责人、自然人本人）身份证明；</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2.3联合协议；</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2.4分包意向协议；</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2.5符合性审查资料；</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2.6评标标准相应的商务技术资料；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2.7商务技术偏离表；</w:t>
      </w:r>
    </w:p>
    <w:p>
      <w:pPr>
        <w:snapToGrid w:val="0"/>
        <w:spacing w:line="360" w:lineRule="auto"/>
        <w:ind w:left="958" w:leftChars="456" w:firstLine="0" w:firstLineChars="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医疗器械经营许可证（和/或二类医疗器械经营备案证）（如适用）、完整的投标产品医疗器械注册证（如适用）、投标设备的制造商授权函（适用于进口设备）等销售许可文件；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设备配置清单（均不含报价）；</w:t>
      </w:r>
    </w:p>
    <w:p>
      <w:pPr>
        <w:pStyle w:val="81"/>
        <w:ind w:firstLine="960" w:firstLineChars="4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10项目实施人员一览表；</w:t>
      </w:r>
    </w:p>
    <w:p>
      <w:pPr>
        <w:pStyle w:val="81"/>
        <w:ind w:firstLine="960" w:firstLineChars="4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11</w:t>
      </w:r>
      <w:r>
        <w:rPr>
          <w:rFonts w:hint="default" w:ascii="仿宋" w:hAnsi="仿宋" w:eastAsia="仿宋" w:cs="仿宋"/>
          <w:sz w:val="24"/>
          <w:highlight w:val="none"/>
          <w:lang w:val="en-US" w:eastAsia="zh-CN"/>
        </w:rPr>
        <w:t>选配件、专用耗材、售后服务优惠表</w:t>
      </w:r>
      <w:r>
        <w:rPr>
          <w:rFonts w:hint="eastAsia" w:ascii="仿宋" w:hAnsi="仿宋" w:eastAsia="仿宋" w:cs="仿宋"/>
          <w:sz w:val="24"/>
          <w:highlight w:val="none"/>
          <w:lang w:val="en-US" w:eastAsia="zh-CN"/>
        </w:rPr>
        <w:t>；</w:t>
      </w:r>
    </w:p>
    <w:p>
      <w:pPr>
        <w:snapToGrid w:val="0"/>
        <w:spacing w:line="360" w:lineRule="auto"/>
        <w:ind w:left="958" w:leftChars="456" w:firstLine="0" w:firstLineChars="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12投标人需要说明的其他文件和说明（投标产品的彩页、原厂datasheet、检测报告等）；</w:t>
      </w:r>
    </w:p>
    <w:p>
      <w:pPr>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13</w:t>
      </w:r>
      <w:r>
        <w:rPr>
          <w:rFonts w:hint="eastAsia" w:ascii="仿宋" w:hAnsi="仿宋" w:eastAsia="仿宋" w:cs="仿宋"/>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60" w:lineRule="auto"/>
        <w:ind w:left="420" w:leftChars="200" w:firstLine="480" w:firstLineChars="200"/>
        <w:rPr>
          <w:rFonts w:hint="default" w:eastAsia="宋体"/>
          <w:highlight w:val="none"/>
          <w:lang w:val="en-US" w:eastAsia="zh-CN"/>
        </w:rPr>
      </w:pPr>
      <w:r>
        <w:rPr>
          <w:rFonts w:hint="eastAsia" w:ascii="仿宋" w:hAnsi="仿宋" w:eastAsia="仿宋" w:cs="仿宋"/>
          <w:sz w:val="24"/>
          <w:highlight w:val="none"/>
        </w:rPr>
        <w:t>2.3.1开标一览表（报价表）；</w:t>
      </w:r>
    </w:p>
    <w:p>
      <w:pPr>
        <w:snapToGrid w:val="0"/>
        <w:spacing w:line="360" w:lineRule="auto"/>
        <w:ind w:left="420" w:leftChars="200"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rPr>
        <w:t>2.3.</w:t>
      </w:r>
      <w:r>
        <w:rPr>
          <w:rFonts w:hint="eastAsia" w:ascii="仿宋" w:hAnsi="仿宋" w:eastAsia="仿宋" w:cs="仿宋"/>
          <w:sz w:val="24"/>
          <w:highlight w:val="none"/>
          <w:lang w:val="en-US" w:eastAsia="zh-CN"/>
        </w:rPr>
        <w:t>2投标报价明细表；</w:t>
      </w:r>
    </w:p>
    <w:p>
      <w:pPr>
        <w:snapToGrid w:val="0"/>
        <w:spacing w:line="360" w:lineRule="auto"/>
        <w:ind w:left="420" w:leftChars="200" w:firstLine="480" w:firstLineChars="200"/>
        <w:rPr>
          <w:rFonts w:hint="default" w:eastAsia="宋体"/>
          <w:highlight w:val="none"/>
          <w:lang w:val="en-US" w:eastAsia="zh-CN"/>
        </w:rPr>
      </w:pPr>
      <w:r>
        <w:rPr>
          <w:rFonts w:hint="eastAsia" w:ascii="仿宋" w:hAnsi="仿宋" w:eastAsia="仿宋" w:cs="仿宋"/>
          <w:sz w:val="24"/>
          <w:highlight w:val="none"/>
        </w:rPr>
        <w:t>2.3.</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中小企业声明函（如果有）；</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4、如我方中标，我方承诺：</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360" w:lineRule="auto"/>
        <w:ind w:firstLine="3600" w:firstLineChars="1500"/>
        <w:rPr>
          <w:rFonts w:ascii="仿宋" w:hAnsi="仿宋" w:eastAsia="仿宋" w:cs="仿宋"/>
          <w:sz w:val="24"/>
          <w:highlight w:val="none"/>
        </w:rPr>
      </w:pPr>
      <w:r>
        <w:rPr>
          <w:rFonts w:hint="eastAsia" w:ascii="仿宋" w:hAnsi="仿宋" w:eastAsia="仿宋" w:cs="仿宋"/>
          <w:sz w:val="24"/>
          <w:highlight w:val="none"/>
        </w:rPr>
        <w:t xml:space="preserve">投标人名称（电子签名）：                          </w:t>
      </w:r>
    </w:p>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snapToGrid w:val="0"/>
        <w:spacing w:line="360" w:lineRule="auto"/>
        <w:ind w:left="420" w:leftChars="200" w:firstLine="4200" w:firstLineChars="1750"/>
        <w:rPr>
          <w:rFonts w:ascii="仿宋" w:hAnsi="仿宋" w:eastAsia="仿宋" w:cs="仿宋"/>
          <w:kern w:val="0"/>
          <w:sz w:val="24"/>
          <w:highlight w:val="none"/>
          <w:u w:val="singl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rPr>
          <w:rFonts w:ascii="仿宋" w:hAnsi="仿宋" w:eastAsia="仿宋" w:cs="仿宋"/>
          <w:sz w:val="24"/>
          <w:highlight w:val="none"/>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ind w:firstLine="2872" w:firstLineChars="894"/>
        <w:rPr>
          <w:rFonts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r>
        <w:rPr>
          <w:rFonts w:hint="eastAsia" w:ascii="仿宋" w:hAnsi="仿宋" w:eastAsia="仿宋" w:cs="仿宋"/>
          <w:highlight w:val="none"/>
        </w:rPr>
        <w:t xml:space="preserve">                               </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 xml:space="preserve">      </w:t>
      </w:r>
      <w:r>
        <w:rPr>
          <w:rFonts w:hint="eastAsia" w:ascii="仿宋" w:hAnsi="仿宋" w:eastAsia="仿宋" w:cs="仿宋"/>
          <w:b/>
          <w:kern w:val="0"/>
          <w:sz w:val="32"/>
          <w:szCs w:val="32"/>
          <w:highlight w:val="none"/>
        </w:rPr>
        <w:t xml:space="preserve"> </w:t>
      </w:r>
      <w:r>
        <w:rPr>
          <w:rFonts w:hint="eastAsia" w:ascii="仿宋" w:hAnsi="仿宋" w:eastAsia="仿宋" w:cs="仿宋"/>
          <w:b/>
          <w:kern w:val="0"/>
          <w:sz w:val="32"/>
          <w:szCs w:val="32"/>
          <w:highlight w:val="none"/>
          <w:lang w:val="zh-CN"/>
        </w:rPr>
        <w:t>授权委托书（适用于联合体投标）</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rPr>
          <w:rFonts w:ascii="仿宋" w:hAnsi="仿宋" w:eastAsia="仿宋" w:cs="仿宋"/>
          <w:highlight w:val="none"/>
        </w:rPr>
      </w:pP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autoSpaceDE w:val="0"/>
        <w:autoSpaceDN w:val="0"/>
        <w:spacing w:line="360" w:lineRule="auto"/>
        <w:jc w:val="center"/>
        <w:rPr>
          <w:rFonts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149"/>
        <w:spacing w:line="360" w:lineRule="auto"/>
        <w:rPr>
          <w:rFonts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cs="仿宋"/>
                <w:bCs/>
                <w:sz w:val="24"/>
                <w:highlight w:val="none"/>
              </w:rPr>
            </w:pPr>
            <w:r>
              <w:rPr>
                <w:rFonts w:hint="eastAsia" w:ascii="仿宋" w:hAnsi="仿宋" w:eastAsia="仿宋" w:cs="仿宋"/>
                <w:bCs/>
                <w:sz w:val="24"/>
                <w:highlight w:val="none"/>
              </w:rPr>
              <w:t>正面：                                 反面：</w:t>
            </w:r>
          </w:p>
          <w:p>
            <w:pPr>
              <w:pStyle w:val="149"/>
              <w:adjustRightInd w:val="0"/>
              <w:spacing w:line="360" w:lineRule="auto"/>
              <w:rPr>
                <w:rFonts w:ascii="仿宋" w:hAnsi="仿宋" w:eastAsia="仿宋" w:cs="仿宋"/>
                <w:bCs/>
                <w:sz w:val="24"/>
                <w:highlight w:val="none"/>
              </w:rPr>
            </w:pPr>
          </w:p>
        </w:tc>
      </w:tr>
    </w:tbl>
    <w:p>
      <w:pPr>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联合协议</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rPr>
        <w:t>提供的全部货物由小微企业制造，其合同份额占到合同总金额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30%以上，对联合体报价给予4%的扣除）</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napToGrid w:val="0"/>
        <w:spacing w:line="360" w:lineRule="auto"/>
        <w:ind w:right="480"/>
        <w:rPr>
          <w:rFonts w:ascii="仿宋" w:hAnsi="仿宋" w:eastAsia="仿宋" w:cs="仿宋"/>
          <w:b/>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四、分包意向协议</w:t>
      </w:r>
    </w:p>
    <w:p>
      <w:pPr>
        <w:widowControl/>
        <w:spacing w:line="360" w:lineRule="auto"/>
        <w:ind w:firstLine="120" w:firstLineChars="50"/>
        <w:jc w:val="left"/>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3"/>
        <w:ind w:left="664" w:leftChars="316" w:firstLine="229" w:firstLineChars="95"/>
        <w:rPr>
          <w:rFonts w:ascii="仿宋" w:eastAsia="仿宋" w:cs="仿宋"/>
          <w:highlight w:val="none"/>
        </w:rPr>
      </w:pPr>
      <w:r>
        <w:rPr>
          <w:rFonts w:hint="eastAsia" w:ascii="仿宋" w:eastAsia="仿宋" w:cs="仿宋"/>
          <w:kern w:val="0"/>
          <w:sz w:val="24"/>
          <w:szCs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u w:val="single"/>
        </w:rPr>
        <w:t>（分包供应商名称）提供的货物全部由小微企业制造，</w:t>
      </w:r>
      <w:r>
        <w:rPr>
          <w:rFonts w:hint="eastAsia" w:ascii="仿宋" w:hAnsi="仿宋" w:eastAsia="仿宋" w:cs="仿宋"/>
          <w:kern w:val="0"/>
          <w:sz w:val="24"/>
          <w:highlight w:val="none"/>
        </w:rPr>
        <w:t>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highlight w:val="none"/>
        </w:rPr>
        <w:t>。</w:t>
      </w:r>
      <w:r>
        <w:rPr>
          <w:rFonts w:hint="eastAsia" w:ascii="仿宋" w:hAnsi="仿宋" w:eastAsia="仿宋" w:cs="仿宋"/>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kern w:val="0"/>
          <w:sz w:val="24"/>
          <w:highlight w:val="none"/>
          <w:lang w:val="en-US" w:eastAsia="zh-CN"/>
        </w:rPr>
        <w:t>4%的扣除</w:t>
      </w:r>
      <w:r>
        <w:rPr>
          <w:rFonts w:hint="eastAsia" w:ascii="仿宋" w:hAnsi="仿宋" w:eastAsia="仿宋" w:cs="仿宋"/>
          <w:b/>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五、符合性审查资料</w:t>
      </w:r>
    </w:p>
    <w:p>
      <w:pPr>
        <w:jc w:val="center"/>
        <w:rPr>
          <w:rFonts w:ascii="仿宋" w:hAnsi="仿宋" w:eastAsia="仿宋" w:cs="仿宋"/>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4991"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实质性要求</w:t>
            </w:r>
          </w:p>
        </w:tc>
        <w:tc>
          <w:tcPr>
            <w:tcW w:w="2551"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highlight w:val="none"/>
              </w:rPr>
            </w:pPr>
            <w:r>
              <w:rPr>
                <w:rFonts w:hint="eastAsia" w:ascii="仿宋" w:hAnsi="仿宋" w:eastAsia="仿宋" w:cs="仿宋"/>
                <w:sz w:val="24"/>
                <w:highlight w:val="none"/>
              </w:rPr>
              <w:t>1</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51" w:type="dxa"/>
            <w:vAlign w:val="center"/>
          </w:tcPr>
          <w:p>
            <w:pPr>
              <w:rPr>
                <w:rFonts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418" w:type="dxa"/>
          </w:tcPr>
          <w:p>
            <w:pPr>
              <w:rPr>
                <w:rFonts w:ascii="仿宋" w:hAnsi="仿宋" w:eastAsia="仿宋" w:cs="仿宋"/>
                <w:sz w:val="24"/>
                <w:highlight w:val="none"/>
              </w:rPr>
            </w:pPr>
          </w:p>
          <w:p>
            <w:pPr>
              <w:rPr>
                <w:rFonts w:ascii="仿宋" w:hAnsi="仿宋" w:eastAsia="仿宋" w:cs="仿宋"/>
                <w:sz w:val="24"/>
                <w:highlight w:val="none"/>
              </w:rPr>
            </w:pPr>
            <w:r>
              <w:rPr>
                <w:rFonts w:hint="eastAsia" w:ascii="仿宋" w:hAnsi="仿宋" w:eastAsia="仿宋" w:cs="仿宋"/>
                <w:sz w:val="24"/>
                <w:highlight w:val="none"/>
              </w:rPr>
              <w:t>见投标文件</w:t>
            </w:r>
          </w:p>
          <w:p>
            <w:pP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2</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highlight w:val="none"/>
              </w:rPr>
            </w:pPr>
            <w:r>
              <w:rPr>
                <w:rFonts w:hint="eastAsia" w:ascii="仿宋" w:hAnsi="仿宋" w:eastAsia="仿宋" w:cs="仿宋"/>
                <w:sz w:val="24"/>
                <w:highlight w:val="none"/>
              </w:rPr>
              <w:t>节能产品认证证书（本项目拟采购的产品不属于政府强制采购的节能产品品目清单范围的，无需提供）</w:t>
            </w:r>
          </w:p>
        </w:tc>
        <w:tc>
          <w:tcPr>
            <w:tcW w:w="1418" w:type="dxa"/>
          </w:tcPr>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r>
              <w:rPr>
                <w:rFonts w:hint="eastAsia" w:ascii="仿宋" w:hAnsi="仿宋" w:eastAsia="仿宋" w:cs="仿宋"/>
                <w:sz w:val="24"/>
                <w:highlight w:val="none"/>
              </w:rPr>
              <w:t>见投标文件</w:t>
            </w:r>
          </w:p>
          <w:p>
            <w:pPr>
              <w:pStyle w:val="3"/>
              <w:rPr>
                <w:rFonts w:ascii="仿宋" w:eastAsia="仿宋" w:cs="仿宋"/>
                <w:highlight w:val="none"/>
                <w:lang w:val="en-US"/>
              </w:rPr>
            </w:pPr>
            <w:r>
              <w:rPr>
                <w:rFonts w:hint="eastAsia" w:ascii="仿宋" w:eastAsia="仿宋" w:cs="仿宋"/>
                <w:b w:val="0"/>
                <w:bCs w:val="0"/>
                <w:sz w:val="24"/>
                <w:szCs w:val="24"/>
                <w:highlight w:val="none"/>
                <w:lang w:val="en-US"/>
              </w:rPr>
              <w:t>第</w:t>
            </w:r>
            <w:r>
              <w:rPr>
                <w:rFonts w:hint="eastAsia" w:ascii="仿宋" w:eastAsia="仿宋" w:cs="仿宋"/>
                <w:b w:val="0"/>
                <w:bCs w:val="0"/>
                <w:sz w:val="24"/>
                <w:szCs w:val="24"/>
                <w:highlight w:val="none"/>
                <w:u w:val="single"/>
                <w:lang w:val="en-US"/>
              </w:rPr>
              <w:t xml:space="preserve">  </w:t>
            </w:r>
            <w:r>
              <w:rPr>
                <w:rFonts w:hint="eastAsia" w:asci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highlight w:val="none"/>
              </w:rPr>
            </w:pPr>
            <w:r>
              <w:rPr>
                <w:rFonts w:hint="eastAsia" w:ascii="仿宋" w:hAnsi="仿宋" w:eastAsia="仿宋" w:cs="仿宋"/>
                <w:sz w:val="24"/>
                <w:highlight w:val="none"/>
              </w:rPr>
              <w:t>3</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2551" w:type="dxa"/>
            <w:vAlign w:val="center"/>
          </w:tcPr>
          <w:p>
            <w:pPr>
              <w:rPr>
                <w:rFonts w:ascii="仿宋" w:hAnsi="仿宋" w:eastAsia="仿宋" w:cs="仿宋"/>
                <w:sz w:val="24"/>
                <w:highlight w:val="none"/>
              </w:rPr>
            </w:pPr>
            <w:r>
              <w:rPr>
                <w:rFonts w:hint="eastAsia" w:ascii="仿宋" w:hAnsi="仿宋" w:eastAsia="仿宋" w:cs="仿宋"/>
                <w:sz w:val="24"/>
                <w:highlight w:val="none"/>
              </w:rPr>
              <w:t>投标函</w:t>
            </w:r>
          </w:p>
        </w:tc>
        <w:tc>
          <w:tcPr>
            <w:tcW w:w="1418" w:type="dxa"/>
          </w:tcPr>
          <w:p>
            <w:pPr>
              <w:rPr>
                <w:rFonts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highlight w:val="none"/>
              </w:rPr>
            </w:pPr>
            <w:r>
              <w:rPr>
                <w:rFonts w:hint="eastAsia" w:ascii="仿宋" w:hAnsi="仿宋" w:eastAsia="仿宋" w:cs="仿宋"/>
                <w:sz w:val="24"/>
                <w:highlight w:val="none"/>
              </w:rPr>
              <w:t>4</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2551" w:type="dxa"/>
            <w:vAlign w:val="center"/>
          </w:tcPr>
          <w:p>
            <w:pPr>
              <w:rPr>
                <w:rFonts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            </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highlight w:val="none"/>
        </w:rPr>
      </w:pPr>
      <w:r>
        <w:rPr>
          <w:rFonts w:hint="eastAsia" w:ascii="仿宋" w:hAnsi="仿宋" w:eastAsia="仿宋" w:cs="仿宋"/>
          <w:b/>
          <w:kern w:val="0"/>
          <w:sz w:val="32"/>
          <w:szCs w:val="32"/>
          <w:highlight w:val="none"/>
        </w:rPr>
        <w:t>六、评标标准相应的商务技术资料</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bl>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ind w:firstLine="2891" w:firstLineChars="900"/>
        <w:rPr>
          <w:rFonts w:ascii="仿宋" w:hAnsi="仿宋" w:eastAsia="仿宋" w:cs="仿宋"/>
          <w:b/>
          <w:bCs/>
          <w:sz w:val="32"/>
          <w:szCs w:val="32"/>
          <w:highlight w:val="none"/>
        </w:rPr>
      </w:pPr>
    </w:p>
    <w:p>
      <w:pPr>
        <w:ind w:firstLine="2891" w:firstLineChars="900"/>
        <w:rPr>
          <w:rFonts w:ascii="仿宋" w:hAnsi="仿宋" w:eastAsia="仿宋" w:cs="仿宋"/>
          <w:b/>
          <w:bCs/>
          <w:sz w:val="32"/>
          <w:szCs w:val="32"/>
          <w:highlight w:val="none"/>
        </w:rPr>
      </w:pPr>
    </w:p>
    <w:p>
      <w:pPr>
        <w:ind w:firstLine="2891" w:firstLineChars="900"/>
        <w:rPr>
          <w:rFonts w:ascii="仿宋" w:hAnsi="仿宋" w:eastAsia="仿宋" w:cs="仿宋"/>
          <w:b/>
          <w:bCs/>
          <w:sz w:val="32"/>
          <w:szCs w:val="32"/>
          <w:highlight w:val="none"/>
        </w:rPr>
      </w:pPr>
    </w:p>
    <w:p>
      <w:pPr>
        <w:ind w:firstLine="2891" w:firstLineChars="900"/>
        <w:rPr>
          <w:rFonts w:ascii="仿宋" w:hAnsi="仿宋" w:eastAsia="仿宋" w:cs="仿宋"/>
          <w:b/>
          <w:bCs/>
          <w:sz w:val="32"/>
          <w:szCs w:val="32"/>
          <w:highlight w:val="none"/>
        </w:rPr>
      </w:pPr>
    </w:p>
    <w:p>
      <w:pPr>
        <w:ind w:firstLine="2891" w:firstLineChars="900"/>
        <w:rPr>
          <w:rFonts w:ascii="仿宋" w:hAnsi="仿宋" w:eastAsia="仿宋" w:cs="仿宋"/>
          <w:b/>
          <w:bCs/>
          <w:sz w:val="32"/>
          <w:szCs w:val="32"/>
          <w:highlight w:val="none"/>
        </w:rPr>
      </w:pPr>
    </w:p>
    <w:p>
      <w:pPr>
        <w:ind w:firstLine="2891" w:firstLineChars="900"/>
        <w:rPr>
          <w:rFonts w:ascii="仿宋" w:hAnsi="仿宋" w:eastAsia="仿宋" w:cs="仿宋"/>
          <w:b/>
          <w:bCs/>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lang w:val="en-US" w:eastAsia="zh-CN"/>
        </w:rPr>
      </w:pPr>
      <w:r>
        <w:rPr>
          <w:rFonts w:hint="eastAsia" w:ascii="仿宋" w:hAnsi="仿宋" w:eastAsia="仿宋" w:cs="仿宋"/>
          <w:b/>
          <w:kern w:val="0"/>
          <w:sz w:val="32"/>
          <w:szCs w:val="32"/>
          <w:highlight w:val="none"/>
          <w:lang w:val="en-US" w:eastAsia="zh-CN"/>
        </w:rPr>
        <w:t>八、医疗器械经营许可证（和/或二类医疗器械经营备案证）（如适用）、完整的投标产品医疗器械注册证（如适用）、投标设备的制造商授权函（适用于进口设备）等销售许可文件</w:t>
      </w: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jc w:val="both"/>
        <w:rPr>
          <w:rFonts w:hint="eastAsia" w:ascii="仿宋" w:hAnsi="仿宋" w:eastAsia="仿宋" w:cs="仿宋"/>
          <w:b/>
          <w:kern w:val="0"/>
          <w:sz w:val="32"/>
          <w:szCs w:val="32"/>
          <w:highlight w:val="none"/>
        </w:rPr>
      </w:pPr>
    </w:p>
    <w:p>
      <w:pPr>
        <w:numPr>
          <w:ilvl w:val="0"/>
          <w:numId w:val="0"/>
        </w:numPr>
        <w:ind w:firstLine="2891" w:firstLineChars="900"/>
        <w:jc w:val="both"/>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val="en-US" w:eastAsia="zh-CN"/>
        </w:rPr>
        <w:t>九、</w:t>
      </w:r>
      <w:r>
        <w:rPr>
          <w:rFonts w:hint="eastAsia" w:ascii="仿宋" w:hAnsi="仿宋" w:eastAsia="仿宋" w:cs="仿宋"/>
          <w:b/>
          <w:kern w:val="0"/>
          <w:sz w:val="32"/>
          <w:szCs w:val="32"/>
          <w:highlight w:val="none"/>
        </w:rPr>
        <w:t>设备配置清单</w:t>
      </w:r>
    </w:p>
    <w:p>
      <w:pPr>
        <w:tabs>
          <w:tab w:val="left" w:pos="1418"/>
        </w:tabs>
        <w:snapToGrid w:val="0"/>
        <w:spacing w:before="50" w:after="50"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招标编号：</w:t>
      </w:r>
      <w:r>
        <w:rPr>
          <w:rFonts w:hint="eastAsia" w:ascii="仿宋" w:hAnsi="仿宋" w:eastAsia="仿宋" w:cs="仿宋"/>
          <w:b/>
          <w:bCs/>
          <w:sz w:val="24"/>
          <w:szCs w:val="24"/>
          <w:highlight w:val="none"/>
          <w:u w:val="single"/>
        </w:rPr>
        <w:t xml:space="preserve">       </w:t>
      </w:r>
      <w:r>
        <w:rPr>
          <w:rFonts w:hint="eastAsia" w:ascii="仿宋" w:hAnsi="仿宋" w:eastAsia="仿宋" w:cs="仿宋"/>
          <w:b/>
          <w:bCs/>
          <w:sz w:val="24"/>
          <w:szCs w:val="24"/>
          <w:highlight w:val="none"/>
        </w:rPr>
        <w:t xml:space="preserve">  标    项：</w:t>
      </w:r>
      <w:r>
        <w:rPr>
          <w:rFonts w:hint="eastAsia" w:ascii="仿宋" w:hAnsi="仿宋" w:eastAsia="仿宋" w:cs="仿宋"/>
          <w:b/>
          <w:bCs/>
          <w:sz w:val="24"/>
          <w:szCs w:val="24"/>
          <w:highlight w:val="none"/>
          <w:u w:val="single"/>
        </w:rPr>
        <w:t xml:space="preserve">         </w:t>
      </w:r>
      <w:r>
        <w:rPr>
          <w:rFonts w:hint="eastAsia" w:ascii="仿宋" w:hAnsi="仿宋" w:eastAsia="仿宋" w:cs="仿宋"/>
          <w:b/>
          <w:bCs/>
          <w:sz w:val="24"/>
          <w:szCs w:val="24"/>
          <w:highlight w:val="none"/>
        </w:rPr>
        <w:t>投标人名称：</w:t>
      </w:r>
      <w:r>
        <w:rPr>
          <w:rFonts w:hint="eastAsia" w:ascii="仿宋" w:hAnsi="仿宋" w:eastAsia="仿宋" w:cs="仿宋"/>
          <w:b/>
          <w:bCs/>
          <w:sz w:val="24"/>
          <w:szCs w:val="24"/>
          <w:highlight w:val="none"/>
          <w:u w:val="single"/>
        </w:rPr>
        <w:t xml:space="preserve">                      </w:t>
      </w:r>
    </w:p>
    <w:tbl>
      <w:tblPr>
        <w:tblStyle w:val="6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p>
            <w:pPr>
              <w:snapToGrid w:val="0"/>
              <w:spacing w:before="50" w:after="50" w:line="360" w:lineRule="auto"/>
              <w:jc w:val="center"/>
              <w:rPr>
                <w:rFonts w:hint="eastAsia" w:ascii="仿宋" w:hAnsi="仿宋" w:eastAsia="仿宋" w:cs="仿宋"/>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ind w:left="480" w:hanging="480"/>
              <w:jc w:val="center"/>
              <w:rPr>
                <w:rFonts w:hint="eastAsia" w:ascii="仿宋" w:hAnsi="仿宋" w:eastAsia="仿宋" w:cs="仿宋"/>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sz w:val="24"/>
                <w:szCs w:val="24"/>
                <w:highlight w:val="none"/>
              </w:rPr>
            </w:pPr>
          </w:p>
        </w:tc>
      </w:tr>
    </w:tbl>
    <w:p>
      <w:pPr>
        <w:snapToGrid w:val="0"/>
        <w:spacing w:before="50" w:after="50" w:line="360" w:lineRule="auto"/>
        <w:rPr>
          <w:rFonts w:ascii="宋体" w:hAnsi="宋体"/>
          <w:sz w:val="24"/>
          <w:szCs w:val="24"/>
          <w:highlight w:val="none"/>
        </w:rPr>
      </w:pPr>
      <w:r>
        <w:rPr>
          <w:rFonts w:hint="eastAsia" w:ascii="仿宋" w:hAnsi="仿宋" w:eastAsia="仿宋" w:cs="仿宋"/>
          <w:spacing w:val="20"/>
          <w:sz w:val="24"/>
          <w:szCs w:val="24"/>
          <w:highlight w:val="none"/>
        </w:rPr>
        <w:t>投标人盖章：</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 xml:space="preserve">              日  期：</w:t>
      </w:r>
      <w:r>
        <w:rPr>
          <w:rFonts w:hint="eastAsia" w:ascii="仿宋" w:hAnsi="仿宋" w:eastAsia="仿宋" w:cs="仿宋"/>
          <w:spacing w:val="20"/>
          <w:sz w:val="24"/>
          <w:szCs w:val="24"/>
          <w:highlight w:val="none"/>
          <w:u w:val="single"/>
        </w:rPr>
        <w:t xml:space="preserve">          </w:t>
      </w: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p>
    <w:p>
      <w:pPr>
        <w:pStyle w:val="81"/>
        <w:rPr>
          <w:rFonts w:hint="eastAsia"/>
          <w:highlight w:val="none"/>
        </w:rPr>
      </w:pPr>
    </w:p>
    <w:p>
      <w:pPr>
        <w:ind w:firstLine="1911" w:firstLineChars="595"/>
        <w:rPr>
          <w:rFonts w:hint="eastAsia" w:ascii="仿宋" w:hAnsi="仿宋" w:eastAsia="仿宋" w:cs="仿宋"/>
          <w:b/>
          <w:kern w:val="0"/>
          <w:sz w:val="32"/>
          <w:szCs w:val="32"/>
          <w:highlight w:val="none"/>
        </w:rPr>
      </w:pPr>
    </w:p>
    <w:p>
      <w:pPr>
        <w:pStyle w:val="81"/>
        <w:rPr>
          <w:rFonts w:hint="eastAsia"/>
          <w:highlight w:val="none"/>
        </w:rPr>
      </w:pPr>
    </w:p>
    <w:p>
      <w:pPr>
        <w:snapToGrid w:val="0"/>
        <w:spacing w:before="120" w:beforeLines="50" w:after="50" w:line="360" w:lineRule="auto"/>
        <w:jc w:val="center"/>
        <w:rPr>
          <w:rFonts w:hint="eastAsia" w:ascii="仿宋" w:hAnsi="仿宋" w:eastAsia="仿宋" w:cs="仿宋"/>
          <w:b/>
          <w:sz w:val="30"/>
          <w:szCs w:val="30"/>
          <w:highlight w:val="none"/>
        </w:rPr>
      </w:pPr>
      <w:r>
        <w:rPr>
          <w:rFonts w:hint="eastAsia" w:ascii="仿宋" w:hAnsi="仿宋" w:eastAsia="仿宋" w:cs="仿宋"/>
          <w:b/>
          <w:sz w:val="32"/>
          <w:szCs w:val="32"/>
          <w:highlight w:val="none"/>
          <w:lang w:val="en-US" w:eastAsia="zh-CN"/>
        </w:rPr>
        <w:t>十、</w:t>
      </w:r>
      <w:r>
        <w:rPr>
          <w:rFonts w:hint="eastAsia" w:ascii="仿宋" w:hAnsi="仿宋" w:eastAsia="仿宋" w:cs="仿宋"/>
          <w:b/>
          <w:sz w:val="32"/>
          <w:szCs w:val="32"/>
          <w:highlight w:val="none"/>
        </w:rPr>
        <w:t>项目实施人员一览表</w:t>
      </w:r>
    </w:p>
    <w:p>
      <w:pPr>
        <w:snapToGrid w:val="0"/>
        <w:spacing w:before="120" w:beforeLines="50" w:after="50" w:line="360" w:lineRule="auto"/>
        <w:rPr>
          <w:rFonts w:hint="eastAsia" w:ascii="仿宋" w:hAnsi="仿宋" w:eastAsia="仿宋" w:cs="仿宋"/>
          <w:b/>
          <w:bCs/>
          <w:sz w:val="24"/>
          <w:szCs w:val="20"/>
          <w:highlight w:val="none"/>
        </w:rPr>
      </w:pPr>
      <w:r>
        <w:rPr>
          <w:rFonts w:hint="eastAsia" w:ascii="仿宋" w:hAnsi="仿宋" w:eastAsia="仿宋" w:cs="仿宋"/>
          <w:b/>
          <w:bCs/>
          <w:sz w:val="24"/>
          <w:highlight w:val="none"/>
        </w:rPr>
        <w:t>招标编号：</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 xml:space="preserve">  标    项：</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投标人名称：</w:t>
      </w:r>
      <w:r>
        <w:rPr>
          <w:rFonts w:hint="eastAsia" w:ascii="仿宋" w:hAnsi="仿宋" w:eastAsia="仿宋" w:cs="仿宋"/>
          <w:b/>
          <w:bCs/>
          <w:sz w:val="24"/>
          <w:highlight w:val="none"/>
          <w:u w:val="single"/>
        </w:rPr>
        <w:t xml:space="preserve">                     </w:t>
      </w:r>
    </w:p>
    <w:tbl>
      <w:tblPr>
        <w:tblStyle w:val="62"/>
        <w:tblpPr w:leftFromText="180" w:rightFromText="180" w:vertAnchor="text" w:horzAnchor="page" w:tblpX="1523" w:tblpY="520"/>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612"/>
        <w:gridCol w:w="1937"/>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sz w:val="24"/>
                <w:szCs w:val="20"/>
                <w:highlight w:val="none"/>
              </w:rPr>
            </w:pPr>
            <w:r>
              <w:rPr>
                <w:rFonts w:hint="eastAsia" w:ascii="仿宋" w:hAnsi="仿宋" w:eastAsia="仿宋" w:cs="仿宋"/>
                <w:b/>
                <w:bCs/>
                <w:sz w:val="24"/>
                <w:highlight w:val="none"/>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sz w:val="24"/>
                <w:szCs w:val="20"/>
                <w:highlight w:val="none"/>
              </w:rPr>
            </w:pPr>
            <w:r>
              <w:rPr>
                <w:rFonts w:hint="eastAsia" w:ascii="仿宋" w:hAnsi="仿宋" w:eastAsia="仿宋" w:cs="仿宋"/>
                <w:b/>
                <w:bCs/>
                <w:sz w:val="24"/>
                <w:szCs w:val="20"/>
                <w:highlight w:val="none"/>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sz w:val="24"/>
                <w:szCs w:val="20"/>
                <w:highlight w:val="none"/>
              </w:rPr>
            </w:pPr>
            <w:r>
              <w:rPr>
                <w:rFonts w:hint="eastAsia" w:ascii="仿宋" w:hAnsi="仿宋" w:eastAsia="仿宋" w:cs="仿宋"/>
                <w:b/>
                <w:bCs/>
                <w:sz w:val="24"/>
                <w:szCs w:val="20"/>
                <w:highlight w:val="none"/>
              </w:rPr>
              <w:t>专业技术资格</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sz w:val="24"/>
                <w:szCs w:val="20"/>
                <w:highlight w:val="none"/>
              </w:rPr>
            </w:pPr>
            <w:r>
              <w:rPr>
                <w:rFonts w:hint="eastAsia" w:ascii="仿宋" w:hAnsi="仿宋" w:eastAsia="仿宋" w:cs="仿宋"/>
                <w:b/>
                <w:bCs/>
                <w:sz w:val="24"/>
                <w:szCs w:val="20"/>
                <w:highlight w:val="none"/>
              </w:rPr>
              <w:t>证书编号</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sz w:val="24"/>
                <w:szCs w:val="20"/>
                <w:highlight w:val="none"/>
              </w:rPr>
            </w:pPr>
            <w:r>
              <w:rPr>
                <w:rFonts w:hint="eastAsia" w:ascii="仿宋" w:hAnsi="仿宋" w:eastAsia="仿宋" w:cs="仿宋"/>
                <w:b/>
                <w:bCs/>
                <w:sz w:val="24"/>
                <w:szCs w:val="20"/>
                <w:highlight w:val="none"/>
              </w:rPr>
              <w:t>参加本单位工作时间</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sz w:val="24"/>
                <w:szCs w:val="20"/>
                <w:highlight w:val="none"/>
              </w:rPr>
            </w:pPr>
            <w:r>
              <w:rPr>
                <w:rFonts w:hint="eastAsia" w:ascii="仿宋" w:hAnsi="仿宋" w:eastAsia="仿宋" w:cs="仿宋"/>
                <w:b/>
                <w:bCs/>
                <w:sz w:val="24"/>
                <w:szCs w:val="2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tabs>
                <w:tab w:val="clear" w:pos="1200"/>
              </w:tabs>
              <w:snapToGrid w:val="0"/>
              <w:spacing w:before="120" w:beforeLines="50" w:after="50" w:line="360" w:lineRule="auto"/>
              <w:ind w:left="5250" w:leftChars="2500" w:firstLine="0"/>
              <w:rPr>
                <w:rFonts w:hint="eastAsia" w:ascii="仿宋" w:hAnsi="仿宋" w:eastAsia="仿宋" w:cs="仿宋"/>
                <w:sz w:val="24"/>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sz w:val="24"/>
                <w:szCs w:val="20"/>
                <w:highlight w:val="none"/>
              </w:rPr>
            </w:pPr>
          </w:p>
        </w:tc>
      </w:tr>
    </w:tbl>
    <w:p>
      <w:pPr>
        <w:snapToGrid w:val="0"/>
        <w:spacing w:before="50" w:after="120" w:afterLines="50" w:line="360" w:lineRule="auto"/>
        <w:jc w:val="left"/>
        <w:rPr>
          <w:rFonts w:hint="eastAsia" w:ascii="仿宋" w:hAnsi="仿宋" w:eastAsia="仿宋" w:cs="仿宋"/>
          <w:sz w:val="24"/>
          <w:szCs w:val="20"/>
          <w:highlight w:val="none"/>
        </w:rPr>
      </w:pPr>
      <w:r>
        <w:rPr>
          <w:rFonts w:hint="eastAsia" w:ascii="仿宋" w:hAnsi="仿宋" w:eastAsia="仿宋" w:cs="仿宋"/>
          <w:sz w:val="24"/>
          <w:highlight w:val="none"/>
        </w:rPr>
        <w:t>注：在填写时，如本表格不适合投标单位的实际情况，可根据本表格式自行划表填写。</w:t>
      </w:r>
    </w:p>
    <w:p>
      <w:pPr>
        <w:snapToGrid w:val="0"/>
        <w:spacing w:before="50" w:after="120" w:afterLines="50" w:line="360" w:lineRule="auto"/>
        <w:jc w:val="left"/>
        <w:rPr>
          <w:rFonts w:hint="eastAsia" w:ascii="仿宋" w:hAnsi="仿宋" w:eastAsia="仿宋" w:cs="仿宋"/>
          <w:spacing w:val="20"/>
          <w:sz w:val="24"/>
          <w:highlight w:val="none"/>
        </w:rPr>
      </w:pPr>
    </w:p>
    <w:p>
      <w:pPr>
        <w:snapToGrid w:val="0"/>
        <w:spacing w:before="50" w:after="120" w:afterLines="50" w:line="360" w:lineRule="auto"/>
        <w:jc w:val="left"/>
        <w:rPr>
          <w:rFonts w:hint="eastAsia" w:ascii="仿宋" w:hAnsi="仿宋" w:eastAsia="仿宋" w:cs="仿宋"/>
          <w:spacing w:val="20"/>
          <w:sz w:val="24"/>
          <w:highlight w:val="none"/>
          <w:u w:val="single"/>
        </w:rPr>
      </w:pPr>
      <w:r>
        <w:rPr>
          <w:rFonts w:hint="eastAsia" w:ascii="仿宋" w:hAnsi="仿宋" w:eastAsia="仿宋" w:cs="仿宋"/>
          <w:spacing w:val="20"/>
          <w:sz w:val="24"/>
          <w:highlight w:val="none"/>
        </w:rPr>
        <w:t>投标人盖章：</w:t>
      </w:r>
      <w:r>
        <w:rPr>
          <w:rFonts w:hint="eastAsia" w:ascii="仿宋" w:hAnsi="仿宋" w:eastAsia="仿宋" w:cs="仿宋"/>
          <w:spacing w:val="20"/>
          <w:sz w:val="24"/>
          <w:highlight w:val="none"/>
          <w:u w:val="single"/>
        </w:rPr>
        <w:t xml:space="preserve">            </w:t>
      </w:r>
      <w:r>
        <w:rPr>
          <w:rFonts w:hint="eastAsia" w:ascii="仿宋" w:hAnsi="仿宋" w:eastAsia="仿宋" w:cs="仿宋"/>
          <w:spacing w:val="20"/>
          <w:sz w:val="24"/>
          <w:highlight w:val="none"/>
        </w:rPr>
        <w:t xml:space="preserve">             日  期：</w:t>
      </w:r>
      <w:r>
        <w:rPr>
          <w:rFonts w:hint="eastAsia" w:ascii="仿宋" w:hAnsi="仿宋" w:eastAsia="仿宋" w:cs="仿宋"/>
          <w:spacing w:val="20"/>
          <w:sz w:val="24"/>
          <w:highlight w:val="none"/>
          <w:u w:val="single"/>
        </w:rPr>
        <w:t xml:space="preserve">        </w:t>
      </w:r>
    </w:p>
    <w:p>
      <w:pPr>
        <w:snapToGrid w:val="0"/>
        <w:spacing w:before="50" w:after="120" w:afterLines="50" w:line="360" w:lineRule="auto"/>
        <w:jc w:val="center"/>
        <w:rPr>
          <w:rFonts w:hint="eastAsia" w:ascii="仿宋" w:hAnsi="仿宋" w:eastAsia="仿宋" w:cs="仿宋"/>
          <w:b/>
          <w:sz w:val="24"/>
          <w:szCs w:val="20"/>
          <w:highlight w:val="none"/>
        </w:rPr>
      </w:pPr>
      <w:r>
        <w:rPr>
          <w:rFonts w:hint="eastAsia" w:ascii="仿宋" w:hAnsi="仿宋" w:eastAsia="仿宋" w:cs="仿宋"/>
          <w:spacing w:val="20"/>
          <w:sz w:val="24"/>
          <w:highlight w:val="none"/>
          <w:u w:val="single"/>
        </w:rPr>
        <w:br w:type="page"/>
      </w:r>
      <w:r>
        <w:rPr>
          <w:rFonts w:hint="eastAsia" w:ascii="仿宋" w:hAnsi="仿宋" w:eastAsia="仿宋" w:cs="仿宋"/>
          <w:b/>
          <w:sz w:val="32"/>
          <w:szCs w:val="32"/>
          <w:highlight w:val="none"/>
          <w:lang w:val="en-US" w:eastAsia="zh-CN"/>
        </w:rPr>
        <w:t>十一、</w:t>
      </w:r>
      <w:r>
        <w:rPr>
          <w:rFonts w:hint="eastAsia" w:ascii="仿宋" w:hAnsi="仿宋" w:eastAsia="仿宋" w:cs="仿宋"/>
          <w:b/>
          <w:sz w:val="32"/>
          <w:szCs w:val="32"/>
          <w:highlight w:val="none"/>
        </w:rPr>
        <w:t>选配件、专用耗材、售后服务优惠表</w:t>
      </w:r>
    </w:p>
    <w:p>
      <w:pPr>
        <w:tabs>
          <w:tab w:val="left" w:pos="315"/>
        </w:tabs>
        <w:snapToGrid w:val="0"/>
        <w:spacing w:before="50" w:after="50" w:line="360" w:lineRule="auto"/>
        <w:rPr>
          <w:rFonts w:hint="eastAsia" w:ascii="仿宋" w:hAnsi="仿宋" w:eastAsia="仿宋" w:cs="仿宋"/>
          <w:b/>
          <w:bCs/>
          <w:spacing w:val="20"/>
          <w:sz w:val="24"/>
          <w:szCs w:val="20"/>
          <w:highlight w:val="none"/>
        </w:rPr>
      </w:pPr>
      <w:r>
        <w:rPr>
          <w:rFonts w:hint="eastAsia" w:ascii="仿宋" w:hAnsi="仿宋" w:eastAsia="仿宋" w:cs="仿宋"/>
          <w:b/>
          <w:bCs/>
          <w:sz w:val="24"/>
          <w:highlight w:val="none"/>
        </w:rPr>
        <w:t>招标编号：</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 xml:space="preserve">  标    项：</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投标人名称：</w:t>
      </w:r>
      <w:r>
        <w:rPr>
          <w:rFonts w:hint="eastAsia" w:ascii="仿宋" w:hAnsi="仿宋" w:eastAsia="仿宋" w:cs="仿宋"/>
          <w:b/>
          <w:bCs/>
          <w:sz w:val="24"/>
          <w:highlight w:val="none"/>
          <w:u w:val="single"/>
        </w:rPr>
        <w:t xml:space="preserve">                     </w:t>
      </w:r>
    </w:p>
    <w:tbl>
      <w:tblPr>
        <w:tblStyle w:val="62"/>
        <w:tblW w:w="86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序号</w:t>
            </w:r>
          </w:p>
        </w:tc>
        <w:tc>
          <w:tcPr>
            <w:tcW w:w="2700" w:type="dxa"/>
            <w:tcBorders>
              <w:top w:val="single" w:color="auto" w:sz="4" w:space="0"/>
              <w:left w:val="single" w:color="auto" w:sz="4" w:space="0"/>
              <w:bottom w:val="single" w:color="auto" w:sz="2" w:space="0"/>
              <w:right w:val="single" w:color="auto" w:sz="4" w:space="0"/>
            </w:tcBorders>
            <w:noWrap w:val="0"/>
            <w:vAlign w:val="center"/>
          </w:tcPr>
          <w:p>
            <w:pPr>
              <w:snapToGrid w:val="0"/>
              <w:spacing w:before="295" w:after="295" w:line="360" w:lineRule="auto"/>
              <w:jc w:val="center"/>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优惠内容</w:t>
            </w:r>
          </w:p>
        </w:tc>
        <w:tc>
          <w:tcPr>
            <w:tcW w:w="1440" w:type="dxa"/>
            <w:tcBorders>
              <w:top w:val="single" w:color="auto" w:sz="4" w:space="0"/>
              <w:left w:val="single" w:color="auto" w:sz="4" w:space="0"/>
              <w:bottom w:val="single" w:color="auto" w:sz="2" w:space="0"/>
              <w:right w:val="single" w:color="auto" w:sz="4" w:space="0"/>
            </w:tcBorders>
            <w:noWrap w:val="0"/>
            <w:vAlign w:val="center"/>
          </w:tcPr>
          <w:p>
            <w:pPr>
              <w:snapToGrid w:val="0"/>
              <w:spacing w:before="295" w:after="295" w:line="360" w:lineRule="auto"/>
              <w:jc w:val="center"/>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适用机型</w:t>
            </w:r>
          </w:p>
        </w:tc>
        <w:tc>
          <w:tcPr>
            <w:tcW w:w="14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优惠前单价</w:t>
            </w:r>
          </w:p>
        </w:tc>
        <w:tc>
          <w:tcPr>
            <w:tcW w:w="2340" w:type="dxa"/>
            <w:tcBorders>
              <w:top w:val="single" w:color="auto" w:sz="4" w:space="0"/>
              <w:left w:val="single" w:color="auto" w:sz="4" w:space="0"/>
              <w:bottom w:val="single" w:color="auto" w:sz="2" w:space="0"/>
              <w:right w:val="single" w:color="auto" w:sz="4" w:space="0"/>
            </w:tcBorders>
            <w:noWrap w:val="0"/>
            <w:vAlign w:val="center"/>
          </w:tcPr>
          <w:p>
            <w:pPr>
              <w:snapToGrid w:val="0"/>
              <w:spacing w:before="295" w:after="295" w:line="360" w:lineRule="auto"/>
              <w:jc w:val="center"/>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比投标报价优惠率（优惠后价格按1-___%计算）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1</w:t>
            </w:r>
          </w:p>
        </w:tc>
        <w:tc>
          <w:tcPr>
            <w:tcW w:w="2700" w:type="dxa"/>
            <w:tcBorders>
              <w:top w:val="single" w:color="auto" w:sz="2"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2"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340" w:type="dxa"/>
            <w:tcBorders>
              <w:top w:val="single" w:color="auto" w:sz="2"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sz w:val="32"/>
                <w:szCs w:val="21"/>
                <w:highlight w:val="none"/>
              </w:rPr>
            </w:pPr>
            <w:r>
              <w:rPr>
                <w:rFonts w:hint="eastAsia" w:ascii="仿宋" w:hAnsi="仿宋" w:eastAsia="仿宋" w:cs="仿宋"/>
                <w:sz w:val="24"/>
                <w:szCs w:val="21"/>
                <w:highlight w:val="none"/>
                <w:u w:val="single"/>
              </w:rPr>
              <w:t xml:space="preserve">            </w:t>
            </w:r>
            <w:r>
              <w:rPr>
                <w:rFonts w:hint="eastAsia" w:ascii="仿宋" w:hAnsi="仿宋" w:eastAsia="仿宋" w:cs="仿宋"/>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2</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u w:val="single"/>
              </w:rPr>
              <w:t xml:space="preserve">            </w:t>
            </w:r>
            <w:r>
              <w:rPr>
                <w:rFonts w:hint="eastAsia" w:ascii="仿宋" w:hAnsi="仿宋" w:eastAsia="仿宋" w:cs="仿宋"/>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3</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u w:val="single"/>
              </w:rPr>
              <w:t xml:space="preserve">            </w:t>
            </w:r>
            <w:r>
              <w:rPr>
                <w:rFonts w:hint="eastAsia" w:ascii="仿宋" w:hAnsi="仿宋" w:eastAsia="仿宋" w:cs="仿宋"/>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4</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u w:val="single"/>
              </w:rPr>
              <w:t xml:space="preserve">            </w:t>
            </w:r>
            <w:r>
              <w:rPr>
                <w:rFonts w:hint="eastAsia" w:ascii="仿宋" w:hAnsi="仿宋" w:eastAsia="仿宋" w:cs="仿宋"/>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5</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u w:val="single"/>
              </w:rPr>
              <w:t xml:space="preserve">            </w:t>
            </w:r>
            <w:r>
              <w:rPr>
                <w:rFonts w:hint="eastAsia" w:ascii="仿宋" w:hAnsi="仿宋" w:eastAsia="仿宋" w:cs="仿宋"/>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sz w:val="24"/>
                <w:szCs w:val="21"/>
                <w:highlight w:val="none"/>
              </w:rPr>
            </w:pPr>
            <w:r>
              <w:rPr>
                <w:rFonts w:hint="eastAsia" w:ascii="仿宋" w:hAnsi="仿宋" w:eastAsia="仿宋" w:cs="仿宋"/>
                <w:sz w:val="24"/>
                <w:szCs w:val="21"/>
                <w:highlight w:val="none"/>
                <w:u w:val="single"/>
              </w:rPr>
              <w:t xml:space="preserve">            </w:t>
            </w:r>
            <w:r>
              <w:rPr>
                <w:rFonts w:hint="eastAsia" w:ascii="仿宋" w:hAnsi="仿宋" w:eastAsia="仿宋" w:cs="仿宋"/>
                <w:sz w:val="32"/>
                <w:szCs w:val="21"/>
                <w:highlight w:val="none"/>
              </w:rPr>
              <w:t>%</w:t>
            </w:r>
          </w:p>
        </w:tc>
      </w:tr>
    </w:tbl>
    <w:p>
      <w:pPr>
        <w:snapToGrid w:val="0"/>
        <w:spacing w:before="120" w:beforeLines="50" w:line="360" w:lineRule="auto"/>
        <w:ind w:firstLine="200"/>
        <w:rPr>
          <w:rFonts w:hint="eastAsia" w:ascii="仿宋" w:hAnsi="仿宋" w:eastAsia="仿宋" w:cs="仿宋"/>
          <w:sz w:val="24"/>
          <w:highlight w:val="none"/>
        </w:rPr>
      </w:pPr>
      <w:r>
        <w:rPr>
          <w:rFonts w:hint="eastAsia" w:ascii="仿宋" w:hAnsi="仿宋" w:eastAsia="仿宋" w:cs="仿宋"/>
          <w:sz w:val="24"/>
          <w:highlight w:val="none"/>
        </w:rPr>
        <w:t>注：上述清单之外的配件、耗材及服务，默认已包含在配置清单中，</w:t>
      </w:r>
      <w:r>
        <w:rPr>
          <w:rFonts w:hint="eastAsia" w:ascii="仿宋" w:hAnsi="仿宋" w:eastAsia="仿宋" w:cs="仿宋"/>
          <w:sz w:val="24"/>
          <w:highlight w:val="none"/>
          <w:lang w:val="en-US" w:eastAsia="zh-CN"/>
        </w:rPr>
        <w:t>无条件</w:t>
      </w:r>
      <w:r>
        <w:rPr>
          <w:rFonts w:hint="eastAsia" w:ascii="仿宋" w:hAnsi="仿宋" w:eastAsia="仿宋" w:cs="仿宋"/>
          <w:sz w:val="24"/>
          <w:highlight w:val="none"/>
        </w:rPr>
        <w:t>提供给采购人。</w:t>
      </w:r>
    </w:p>
    <w:p>
      <w:pPr>
        <w:snapToGrid w:val="0"/>
        <w:spacing w:before="50" w:after="50" w:line="360" w:lineRule="auto"/>
        <w:rPr>
          <w:rFonts w:hint="eastAsia" w:ascii="仿宋" w:hAnsi="仿宋" w:eastAsia="仿宋" w:cs="仿宋"/>
          <w:sz w:val="24"/>
          <w:highlight w:val="none"/>
        </w:rPr>
      </w:pPr>
    </w:p>
    <w:p>
      <w:pPr>
        <w:ind w:firstLine="1666" w:firstLineChars="595"/>
        <w:rPr>
          <w:rFonts w:ascii="宋体" w:hAnsi="宋体"/>
          <w:spacing w:val="20"/>
          <w:sz w:val="24"/>
          <w:highlight w:val="none"/>
          <w:u w:val="single"/>
        </w:rPr>
      </w:pPr>
      <w:r>
        <w:rPr>
          <w:rFonts w:hint="eastAsia" w:ascii="仿宋" w:hAnsi="仿宋" w:eastAsia="仿宋" w:cs="仿宋"/>
          <w:spacing w:val="20"/>
          <w:sz w:val="24"/>
          <w:highlight w:val="none"/>
        </w:rPr>
        <w:t>投标人盖章：</w:t>
      </w:r>
      <w:r>
        <w:rPr>
          <w:rFonts w:hint="eastAsia" w:ascii="仿宋" w:hAnsi="仿宋" w:eastAsia="仿宋" w:cs="仿宋"/>
          <w:spacing w:val="20"/>
          <w:sz w:val="24"/>
          <w:highlight w:val="none"/>
          <w:u w:val="single"/>
        </w:rPr>
        <w:t xml:space="preserve">            </w:t>
      </w:r>
      <w:r>
        <w:rPr>
          <w:rFonts w:hint="eastAsia" w:ascii="仿宋" w:hAnsi="仿宋" w:eastAsia="仿宋" w:cs="仿宋"/>
          <w:spacing w:val="20"/>
          <w:sz w:val="24"/>
          <w:highlight w:val="none"/>
        </w:rPr>
        <w:t xml:space="preserve">              日 期：</w:t>
      </w:r>
      <w:r>
        <w:rPr>
          <w:rFonts w:hint="eastAsia" w:ascii="仿宋" w:hAnsi="仿宋" w:eastAsia="仿宋" w:cs="仿宋"/>
          <w:spacing w:val="20"/>
          <w:sz w:val="24"/>
          <w:highlight w:val="none"/>
          <w:u w:val="single"/>
        </w:rPr>
        <w:t xml:space="preserve">     </w:t>
      </w:r>
      <w:r>
        <w:rPr>
          <w:rFonts w:ascii="宋体" w:hAnsi="宋体"/>
          <w:spacing w:val="20"/>
          <w:sz w:val="24"/>
          <w:highlight w:val="none"/>
          <w:u w:val="single"/>
        </w:rPr>
        <w:t xml:space="preserve">    </w:t>
      </w:r>
    </w:p>
    <w:p>
      <w:pPr>
        <w:ind w:firstLine="1666" w:firstLineChars="595"/>
        <w:rPr>
          <w:rFonts w:ascii="宋体" w:hAnsi="宋体"/>
          <w:spacing w:val="20"/>
          <w:sz w:val="24"/>
          <w:highlight w:val="none"/>
          <w:u w:val="single"/>
        </w:rPr>
      </w:pPr>
    </w:p>
    <w:p>
      <w:pPr>
        <w:pStyle w:val="81"/>
        <w:rPr>
          <w:rFonts w:ascii="宋体" w:hAnsi="宋体"/>
          <w:spacing w:val="20"/>
          <w:sz w:val="24"/>
          <w:highlight w:val="none"/>
          <w:u w:val="single"/>
        </w:rPr>
      </w:pPr>
    </w:p>
    <w:p>
      <w:pPr>
        <w:pStyle w:val="81"/>
        <w:rPr>
          <w:rFonts w:ascii="宋体" w:hAnsi="宋体"/>
          <w:spacing w:val="20"/>
          <w:sz w:val="24"/>
          <w:highlight w:val="none"/>
          <w:u w:val="single"/>
        </w:rPr>
      </w:pPr>
    </w:p>
    <w:p>
      <w:pPr>
        <w:jc w:val="center"/>
        <w:rPr>
          <w:rFonts w:hint="eastAsia" w:ascii="仿宋" w:hAnsi="仿宋" w:eastAsia="仿宋" w:cs="仿宋"/>
          <w:b/>
          <w:kern w:val="0"/>
          <w:sz w:val="32"/>
          <w:szCs w:val="32"/>
          <w:highlight w:val="none"/>
          <w:lang w:val="en-US" w:eastAsia="zh-CN"/>
        </w:rPr>
      </w:pPr>
      <w:r>
        <w:rPr>
          <w:rFonts w:hint="eastAsia" w:ascii="仿宋" w:hAnsi="仿宋" w:eastAsia="仿宋" w:cs="仿宋"/>
          <w:b/>
          <w:kern w:val="0"/>
          <w:sz w:val="32"/>
          <w:szCs w:val="32"/>
          <w:highlight w:val="none"/>
          <w:lang w:val="en-US" w:eastAsia="zh-CN"/>
        </w:rPr>
        <w:t>十二、投标人需要说明的其他文件和说明（投标产品的彩页、原厂datasheet、检测报告等）</w:t>
      </w:r>
    </w:p>
    <w:p>
      <w:pPr>
        <w:ind w:firstLine="1911" w:firstLineChars="595"/>
        <w:rPr>
          <w:rFonts w:hint="eastAsia" w:ascii="仿宋" w:hAnsi="仿宋" w:eastAsia="仿宋" w:cs="仿宋"/>
          <w:b/>
          <w:kern w:val="0"/>
          <w:sz w:val="32"/>
          <w:szCs w:val="32"/>
          <w:highlight w:val="none"/>
          <w:lang w:val="en-US" w:eastAsia="zh-CN"/>
        </w:rPr>
      </w:pPr>
    </w:p>
    <w:p>
      <w:pPr>
        <w:ind w:firstLine="1911" w:firstLineChars="595"/>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rPr>
          <w:rFonts w:hint="eastAsia" w:ascii="仿宋" w:hAnsi="仿宋" w:eastAsia="仿宋" w:cs="仿宋"/>
          <w:b/>
          <w:kern w:val="0"/>
          <w:sz w:val="32"/>
          <w:szCs w:val="32"/>
          <w:highlight w:val="none"/>
          <w:lang w:val="en-US" w:eastAsia="zh-CN"/>
        </w:rPr>
      </w:pPr>
    </w:p>
    <w:p>
      <w:pPr>
        <w:pStyle w:val="81"/>
        <w:ind w:left="0" w:leftChars="0" w:firstLine="0" w:firstLineChars="0"/>
        <w:rPr>
          <w:rFonts w:hint="eastAsia" w:ascii="仿宋" w:hAnsi="仿宋" w:eastAsia="仿宋" w:cs="仿宋"/>
          <w:b/>
          <w:kern w:val="0"/>
          <w:sz w:val="32"/>
          <w:szCs w:val="32"/>
          <w:highlight w:val="none"/>
          <w:lang w:val="en-US" w:eastAsia="zh-CN"/>
        </w:rPr>
      </w:pPr>
    </w:p>
    <w:p>
      <w:pPr>
        <w:ind w:firstLine="1911" w:firstLineChars="595"/>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en-US" w:eastAsia="zh-CN"/>
        </w:rPr>
        <w:t>十三</w:t>
      </w:r>
      <w:r>
        <w:rPr>
          <w:rFonts w:hint="eastAsia" w:ascii="仿宋" w:hAnsi="仿宋" w:eastAsia="仿宋" w:cs="仿宋"/>
          <w:b/>
          <w:kern w:val="0"/>
          <w:sz w:val="32"/>
          <w:szCs w:val="32"/>
          <w:highlight w:val="none"/>
        </w:rPr>
        <w:t>、</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spacing w:line="360" w:lineRule="auto"/>
        <w:jc w:val="center"/>
        <w:rPr>
          <w:rFonts w:ascii="仿宋" w:hAnsi="仿宋" w:eastAsia="仿宋" w:cs="仿宋"/>
          <w:b/>
          <w:bCs/>
          <w:sz w:val="24"/>
          <w:highlight w:val="none"/>
        </w:rPr>
      </w:pPr>
    </w:p>
    <w:p>
      <w:pPr>
        <w:spacing w:line="360" w:lineRule="auto"/>
        <w:jc w:val="center"/>
        <w:rPr>
          <w:rFonts w:ascii="仿宋" w:hAnsi="仿宋" w:eastAsia="仿宋" w:cs="仿宋"/>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highlight w:val="none"/>
        </w:rPr>
      </w:pPr>
      <w:bookmarkStart w:id="600" w:name="_Toc3432"/>
      <w:r>
        <w:rPr>
          <w:rFonts w:hint="eastAsia" w:ascii="仿宋" w:hAnsi="仿宋" w:eastAsia="仿宋" w:cs="仿宋"/>
          <w:b/>
          <w:kern w:val="0"/>
          <w:sz w:val="36"/>
          <w:szCs w:val="36"/>
          <w:highlight w:val="none"/>
        </w:rPr>
        <w:t>报价文件部分</w:t>
      </w:r>
      <w:bookmarkEnd w:id="600"/>
    </w:p>
    <w:p>
      <w:pPr>
        <w:spacing w:line="360" w:lineRule="auto"/>
        <w:jc w:val="center"/>
        <w:outlineLvl w:val="0"/>
        <w:rPr>
          <w:rFonts w:ascii="仿宋" w:hAnsi="仿宋" w:eastAsia="仿宋" w:cs="仿宋"/>
          <w:b/>
          <w:kern w:val="0"/>
          <w:sz w:val="36"/>
          <w:szCs w:val="36"/>
          <w:highlight w:val="none"/>
        </w:rPr>
      </w:pPr>
      <w:bookmarkStart w:id="601" w:name="_Toc321"/>
      <w:r>
        <w:rPr>
          <w:rFonts w:hint="eastAsia" w:ascii="仿宋" w:hAnsi="仿宋" w:eastAsia="仿宋" w:cs="仿宋"/>
          <w:b/>
          <w:kern w:val="0"/>
          <w:sz w:val="36"/>
          <w:szCs w:val="36"/>
          <w:highlight w:val="none"/>
        </w:rPr>
        <w:t>目录</w:t>
      </w:r>
      <w:bookmarkEnd w:id="601"/>
    </w:p>
    <w:p>
      <w:pPr>
        <w:spacing w:line="360" w:lineRule="auto"/>
        <w:jc w:val="center"/>
        <w:rPr>
          <w:rFonts w:ascii="仿宋" w:hAnsi="仿宋" w:eastAsia="仿宋" w:cs="仿宋"/>
          <w:b/>
          <w:kern w:val="0"/>
          <w:sz w:val="36"/>
          <w:szCs w:val="36"/>
          <w:highlight w:val="none"/>
        </w:rPr>
      </w:pPr>
    </w:p>
    <w:p>
      <w:pPr>
        <w:numPr>
          <w:ilvl w:val="0"/>
          <w:numId w:val="4"/>
        </w:num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开标一览表（报价表）………………………………………………………（页码）</w:t>
      </w:r>
    </w:p>
    <w:p>
      <w:pPr>
        <w:pStyle w:val="81"/>
        <w:numPr>
          <w:ilvl w:val="0"/>
          <w:numId w:val="4"/>
        </w:numPr>
        <w:ind w:left="0" w:leftChars="0" w:firstLine="0" w:firstLineChars="0"/>
        <w:rPr>
          <w:rFonts w:hint="eastAsia" w:ascii="仿宋" w:hAnsi="仿宋" w:eastAsia="仿宋" w:cs="仿宋"/>
          <w:sz w:val="24"/>
          <w:highlight w:val="none"/>
        </w:rPr>
      </w:pPr>
      <w:r>
        <w:rPr>
          <w:rFonts w:hint="eastAsia" w:ascii="仿宋" w:hAnsi="仿宋" w:eastAsia="仿宋" w:cs="仿宋"/>
          <w:kern w:val="2"/>
          <w:sz w:val="24"/>
          <w:szCs w:val="24"/>
          <w:highlight w:val="none"/>
          <w:lang w:val="en-US" w:eastAsia="zh-CN" w:bidi="ar-SA"/>
        </w:rPr>
        <w:t>投标报价明细表</w:t>
      </w:r>
      <w:r>
        <w:rPr>
          <w:rFonts w:hint="eastAsia" w:ascii="仿宋" w:hAnsi="仿宋" w:eastAsia="仿宋" w:cs="仿宋"/>
          <w:sz w:val="24"/>
          <w:highlight w:val="none"/>
        </w:rPr>
        <w:t>………………………………………………………………（页码）</w:t>
      </w:r>
    </w:p>
    <w:p>
      <w:pPr>
        <w:pStyle w:val="81"/>
        <w:numPr>
          <w:ilvl w:val="0"/>
          <w:numId w:val="0"/>
        </w:numPr>
        <w:ind w:leftChars="0"/>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）中小企业声明函………………………………………………………………（页码）</w:t>
      </w: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pPr>
      <w:bookmarkStart w:id="602" w:name="_Toc31079"/>
      <w:r>
        <w:rPr>
          <w:rFonts w:hint="eastAsia" w:ascii="仿宋" w:hAnsi="仿宋" w:eastAsia="仿宋" w:cs="仿宋"/>
          <w:kern w:val="2"/>
          <w:sz w:val="32"/>
          <w:szCs w:val="32"/>
          <w:highlight w:val="none"/>
        </w:rPr>
        <w:t>一、开标一览表（报价表）</w:t>
      </w:r>
      <w:bookmarkEnd w:id="602"/>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482"/>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highlight w:val="none"/>
        </w:rPr>
        <w:t>（项目名称）</w:t>
      </w:r>
      <w:r>
        <w:rPr>
          <w:rFonts w:hint="eastAsia" w:ascii="仿宋" w:hAnsi="仿宋" w:eastAsia="仿宋" w:cs="仿宋"/>
          <w:kern w:val="0"/>
          <w:sz w:val="24"/>
          <w:highlight w:val="none"/>
          <w:lang w:val="zh-CN"/>
        </w:rPr>
        <w:t>【招标编号：</w:t>
      </w:r>
      <w:r>
        <w:rPr>
          <w:rFonts w:hint="eastAsia" w:ascii="仿宋" w:hAnsi="仿宋" w:eastAsia="仿宋" w:cs="仿宋"/>
          <w:sz w:val="24"/>
          <w:highlight w:val="none"/>
        </w:rPr>
        <w:t>（采购编号）】的实施</w:t>
      </w:r>
      <w:r>
        <w:rPr>
          <w:rFonts w:hint="eastAsia" w:ascii="仿宋" w:hAnsi="仿宋" w:eastAsia="仿宋" w:cs="仿宋"/>
          <w:kern w:val="0"/>
          <w:sz w:val="24"/>
          <w:highlight w:val="none"/>
          <w:lang w:val="zh-CN"/>
        </w:rPr>
        <w:t>。</w:t>
      </w:r>
    </w:p>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1417"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名称</w:t>
            </w:r>
          </w:p>
        </w:tc>
        <w:tc>
          <w:tcPr>
            <w:tcW w:w="1843" w:type="dxa"/>
          </w:tcPr>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品牌（如果有）</w:t>
            </w:r>
          </w:p>
        </w:tc>
        <w:tc>
          <w:tcPr>
            <w:tcW w:w="3118"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规格型号（或具体服务）</w:t>
            </w:r>
          </w:p>
        </w:tc>
        <w:tc>
          <w:tcPr>
            <w:tcW w:w="993"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数量</w:t>
            </w:r>
          </w:p>
        </w:tc>
        <w:tc>
          <w:tcPr>
            <w:tcW w:w="1559"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单价</w:t>
            </w:r>
          </w:p>
        </w:tc>
        <w:tc>
          <w:tcPr>
            <w:tcW w:w="1984"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总价</w:t>
            </w:r>
          </w:p>
        </w:tc>
        <w:tc>
          <w:tcPr>
            <w:tcW w:w="3119" w:type="dxa"/>
            <w:vAlign w:val="center"/>
          </w:tcPr>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服务要求（年限）</w:t>
            </w:r>
          </w:p>
          <w:p>
            <w:pPr>
              <w:spacing w:line="360" w:lineRule="auto"/>
              <w:jc w:val="center"/>
              <w:rPr>
                <w:rFonts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1417" w:type="dxa"/>
            <w:vAlign w:val="center"/>
          </w:tcPr>
          <w:p>
            <w:pPr>
              <w:snapToGrid w:val="0"/>
              <w:spacing w:line="360" w:lineRule="auto"/>
              <w:jc w:val="center"/>
              <w:rPr>
                <w:rFonts w:ascii="仿宋" w:hAnsi="仿宋" w:eastAsia="仿宋" w:cs="仿宋"/>
                <w:sz w:val="24"/>
                <w:highlight w:val="none"/>
              </w:rPr>
            </w:pPr>
          </w:p>
        </w:tc>
        <w:tc>
          <w:tcPr>
            <w:tcW w:w="1843" w:type="dxa"/>
            <w:vAlign w:val="center"/>
          </w:tcPr>
          <w:p>
            <w:pPr>
              <w:snapToGrid w:val="0"/>
              <w:spacing w:line="360" w:lineRule="auto"/>
              <w:jc w:val="center"/>
              <w:rPr>
                <w:rFonts w:ascii="仿宋" w:hAnsi="仿宋" w:eastAsia="仿宋" w:cs="仿宋"/>
                <w:sz w:val="24"/>
                <w:highlight w:val="none"/>
              </w:rPr>
            </w:pPr>
          </w:p>
        </w:tc>
        <w:tc>
          <w:tcPr>
            <w:tcW w:w="3118" w:type="dxa"/>
            <w:vAlign w:val="center"/>
          </w:tcPr>
          <w:p>
            <w:pPr>
              <w:snapToGrid w:val="0"/>
              <w:spacing w:line="360" w:lineRule="auto"/>
              <w:jc w:val="center"/>
              <w:rPr>
                <w:rFonts w:ascii="仿宋" w:hAnsi="仿宋" w:eastAsia="仿宋" w:cs="仿宋"/>
                <w:sz w:val="24"/>
                <w:highlight w:val="none"/>
              </w:rPr>
            </w:pPr>
          </w:p>
        </w:tc>
        <w:tc>
          <w:tcPr>
            <w:tcW w:w="993" w:type="dxa"/>
            <w:vAlign w:val="center"/>
          </w:tcPr>
          <w:p>
            <w:pPr>
              <w:snapToGrid w:val="0"/>
              <w:spacing w:line="360" w:lineRule="auto"/>
              <w:jc w:val="center"/>
              <w:rPr>
                <w:rFonts w:ascii="仿宋" w:hAnsi="仿宋" w:eastAsia="仿宋" w:cs="仿宋"/>
                <w:sz w:val="24"/>
                <w:highlight w:val="none"/>
              </w:rPr>
            </w:pPr>
          </w:p>
        </w:tc>
        <w:tc>
          <w:tcPr>
            <w:tcW w:w="1559" w:type="dxa"/>
            <w:vAlign w:val="center"/>
          </w:tcPr>
          <w:p>
            <w:pPr>
              <w:spacing w:line="360" w:lineRule="auto"/>
              <w:jc w:val="center"/>
              <w:rPr>
                <w:rFonts w:ascii="仿宋" w:hAnsi="仿宋" w:eastAsia="仿宋" w:cs="仿宋"/>
                <w:sz w:val="24"/>
                <w:highlight w:val="none"/>
              </w:rPr>
            </w:pPr>
          </w:p>
        </w:tc>
        <w:tc>
          <w:tcPr>
            <w:tcW w:w="1984" w:type="dxa"/>
            <w:vAlign w:val="center"/>
          </w:tcPr>
          <w:p>
            <w:pPr>
              <w:spacing w:line="360" w:lineRule="auto"/>
              <w:jc w:val="center"/>
              <w:rPr>
                <w:rFonts w:ascii="仿宋" w:hAnsi="仿宋" w:eastAsia="仿宋" w:cs="仿宋"/>
                <w:sz w:val="24"/>
                <w:highlight w:val="none"/>
              </w:rPr>
            </w:pPr>
          </w:p>
        </w:tc>
        <w:tc>
          <w:tcPr>
            <w:tcW w:w="3119" w:type="dxa"/>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1417" w:type="dxa"/>
            <w:vAlign w:val="center"/>
          </w:tcPr>
          <w:p>
            <w:pPr>
              <w:snapToGrid w:val="0"/>
              <w:spacing w:line="360" w:lineRule="auto"/>
              <w:jc w:val="center"/>
              <w:rPr>
                <w:rFonts w:ascii="仿宋" w:hAnsi="仿宋" w:eastAsia="仿宋" w:cs="仿宋"/>
                <w:sz w:val="24"/>
                <w:highlight w:val="none"/>
              </w:rPr>
            </w:pPr>
          </w:p>
        </w:tc>
        <w:tc>
          <w:tcPr>
            <w:tcW w:w="1843" w:type="dxa"/>
            <w:vAlign w:val="center"/>
          </w:tcPr>
          <w:p>
            <w:pPr>
              <w:snapToGrid w:val="0"/>
              <w:spacing w:line="360" w:lineRule="auto"/>
              <w:jc w:val="center"/>
              <w:rPr>
                <w:rFonts w:ascii="仿宋" w:hAnsi="仿宋" w:eastAsia="仿宋" w:cs="仿宋"/>
                <w:sz w:val="24"/>
                <w:highlight w:val="none"/>
              </w:rPr>
            </w:pPr>
          </w:p>
        </w:tc>
        <w:tc>
          <w:tcPr>
            <w:tcW w:w="3118" w:type="dxa"/>
            <w:vAlign w:val="center"/>
          </w:tcPr>
          <w:p>
            <w:pPr>
              <w:snapToGrid w:val="0"/>
              <w:spacing w:line="360" w:lineRule="auto"/>
              <w:jc w:val="center"/>
              <w:rPr>
                <w:rFonts w:ascii="仿宋" w:hAnsi="仿宋" w:eastAsia="仿宋" w:cs="仿宋"/>
                <w:sz w:val="24"/>
                <w:highlight w:val="none"/>
              </w:rPr>
            </w:pPr>
          </w:p>
        </w:tc>
        <w:tc>
          <w:tcPr>
            <w:tcW w:w="993" w:type="dxa"/>
            <w:vAlign w:val="center"/>
          </w:tcPr>
          <w:p>
            <w:pPr>
              <w:snapToGrid w:val="0"/>
              <w:spacing w:line="360" w:lineRule="auto"/>
              <w:jc w:val="center"/>
              <w:rPr>
                <w:rFonts w:ascii="仿宋" w:hAnsi="仿宋" w:eastAsia="仿宋" w:cs="仿宋"/>
                <w:sz w:val="24"/>
                <w:highlight w:val="none"/>
              </w:rPr>
            </w:pPr>
          </w:p>
        </w:tc>
        <w:tc>
          <w:tcPr>
            <w:tcW w:w="1559" w:type="dxa"/>
            <w:vAlign w:val="center"/>
          </w:tcPr>
          <w:p>
            <w:pPr>
              <w:spacing w:line="360" w:lineRule="auto"/>
              <w:jc w:val="center"/>
              <w:rPr>
                <w:rFonts w:ascii="仿宋" w:hAnsi="仿宋" w:eastAsia="仿宋" w:cs="仿宋"/>
                <w:sz w:val="24"/>
                <w:highlight w:val="none"/>
              </w:rPr>
            </w:pPr>
          </w:p>
        </w:tc>
        <w:tc>
          <w:tcPr>
            <w:tcW w:w="1984" w:type="dxa"/>
            <w:vAlign w:val="center"/>
          </w:tcPr>
          <w:p>
            <w:pPr>
              <w:spacing w:line="360" w:lineRule="auto"/>
              <w:jc w:val="center"/>
              <w:rPr>
                <w:rFonts w:ascii="仿宋" w:hAnsi="仿宋" w:eastAsia="仿宋" w:cs="仿宋"/>
                <w:sz w:val="24"/>
                <w:highlight w:val="none"/>
              </w:rPr>
            </w:pPr>
          </w:p>
        </w:tc>
        <w:tc>
          <w:tcPr>
            <w:tcW w:w="3119" w:type="dxa"/>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w:t>
            </w:r>
          </w:p>
        </w:tc>
        <w:tc>
          <w:tcPr>
            <w:tcW w:w="1417" w:type="dxa"/>
            <w:vAlign w:val="center"/>
          </w:tcPr>
          <w:p>
            <w:pPr>
              <w:snapToGrid w:val="0"/>
              <w:spacing w:line="360" w:lineRule="auto"/>
              <w:jc w:val="center"/>
              <w:rPr>
                <w:rFonts w:ascii="仿宋" w:hAnsi="仿宋" w:eastAsia="仿宋" w:cs="仿宋"/>
                <w:sz w:val="24"/>
                <w:highlight w:val="none"/>
              </w:rPr>
            </w:pPr>
          </w:p>
        </w:tc>
        <w:tc>
          <w:tcPr>
            <w:tcW w:w="1843" w:type="dxa"/>
            <w:vAlign w:val="center"/>
          </w:tcPr>
          <w:p>
            <w:pPr>
              <w:snapToGrid w:val="0"/>
              <w:spacing w:line="360" w:lineRule="auto"/>
              <w:jc w:val="center"/>
              <w:rPr>
                <w:rFonts w:ascii="仿宋" w:hAnsi="仿宋" w:eastAsia="仿宋" w:cs="仿宋"/>
                <w:sz w:val="24"/>
                <w:highlight w:val="none"/>
              </w:rPr>
            </w:pPr>
          </w:p>
        </w:tc>
        <w:tc>
          <w:tcPr>
            <w:tcW w:w="3118" w:type="dxa"/>
            <w:vAlign w:val="center"/>
          </w:tcPr>
          <w:p>
            <w:pPr>
              <w:snapToGrid w:val="0"/>
              <w:spacing w:line="360" w:lineRule="auto"/>
              <w:jc w:val="center"/>
              <w:rPr>
                <w:rFonts w:ascii="仿宋" w:hAnsi="仿宋" w:eastAsia="仿宋" w:cs="仿宋"/>
                <w:sz w:val="24"/>
                <w:highlight w:val="none"/>
              </w:rPr>
            </w:pPr>
          </w:p>
        </w:tc>
        <w:tc>
          <w:tcPr>
            <w:tcW w:w="993" w:type="dxa"/>
            <w:vAlign w:val="center"/>
          </w:tcPr>
          <w:p>
            <w:pPr>
              <w:snapToGrid w:val="0"/>
              <w:spacing w:line="360" w:lineRule="auto"/>
              <w:jc w:val="center"/>
              <w:rPr>
                <w:rFonts w:ascii="仿宋" w:hAnsi="仿宋" w:eastAsia="仿宋" w:cs="仿宋"/>
                <w:sz w:val="24"/>
                <w:highlight w:val="none"/>
              </w:rPr>
            </w:pPr>
          </w:p>
        </w:tc>
        <w:tc>
          <w:tcPr>
            <w:tcW w:w="1559" w:type="dxa"/>
            <w:vAlign w:val="center"/>
          </w:tcPr>
          <w:p>
            <w:pPr>
              <w:spacing w:line="360" w:lineRule="auto"/>
              <w:jc w:val="center"/>
              <w:rPr>
                <w:rFonts w:ascii="仿宋" w:hAnsi="仿宋" w:eastAsia="仿宋" w:cs="仿宋"/>
                <w:sz w:val="24"/>
                <w:highlight w:val="none"/>
              </w:rPr>
            </w:pPr>
          </w:p>
        </w:tc>
        <w:tc>
          <w:tcPr>
            <w:tcW w:w="1984" w:type="dxa"/>
            <w:vAlign w:val="center"/>
          </w:tcPr>
          <w:p>
            <w:pPr>
              <w:spacing w:line="360" w:lineRule="auto"/>
              <w:jc w:val="center"/>
              <w:rPr>
                <w:rFonts w:ascii="仿宋" w:hAnsi="仿宋" w:eastAsia="仿宋" w:cs="仿宋"/>
                <w:sz w:val="24"/>
                <w:highlight w:val="none"/>
              </w:rPr>
            </w:pPr>
          </w:p>
        </w:tc>
        <w:tc>
          <w:tcPr>
            <w:tcW w:w="3119" w:type="dxa"/>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highlight w:val="none"/>
              </w:rPr>
            </w:pPr>
          </w:p>
        </w:tc>
        <w:tc>
          <w:tcPr>
            <w:tcW w:w="1417" w:type="dxa"/>
            <w:vAlign w:val="center"/>
          </w:tcPr>
          <w:p>
            <w:pPr>
              <w:snapToGrid w:val="0"/>
              <w:spacing w:line="360" w:lineRule="auto"/>
              <w:jc w:val="center"/>
              <w:rPr>
                <w:rFonts w:ascii="仿宋" w:hAnsi="仿宋" w:eastAsia="仿宋" w:cs="仿宋"/>
                <w:sz w:val="24"/>
                <w:highlight w:val="none"/>
              </w:rPr>
            </w:pPr>
          </w:p>
        </w:tc>
        <w:tc>
          <w:tcPr>
            <w:tcW w:w="1843" w:type="dxa"/>
            <w:vAlign w:val="center"/>
          </w:tcPr>
          <w:p>
            <w:pPr>
              <w:snapToGrid w:val="0"/>
              <w:spacing w:line="360" w:lineRule="auto"/>
              <w:jc w:val="center"/>
              <w:rPr>
                <w:rFonts w:ascii="仿宋" w:hAnsi="仿宋" w:eastAsia="仿宋" w:cs="仿宋"/>
                <w:sz w:val="24"/>
                <w:highlight w:val="none"/>
              </w:rPr>
            </w:pPr>
          </w:p>
        </w:tc>
        <w:tc>
          <w:tcPr>
            <w:tcW w:w="3118" w:type="dxa"/>
            <w:vAlign w:val="center"/>
          </w:tcPr>
          <w:p>
            <w:pPr>
              <w:snapToGrid w:val="0"/>
              <w:spacing w:line="360" w:lineRule="auto"/>
              <w:jc w:val="center"/>
              <w:rPr>
                <w:rFonts w:ascii="仿宋" w:hAnsi="仿宋" w:eastAsia="仿宋" w:cs="仿宋"/>
                <w:sz w:val="24"/>
                <w:highlight w:val="none"/>
              </w:rPr>
            </w:pPr>
          </w:p>
        </w:tc>
        <w:tc>
          <w:tcPr>
            <w:tcW w:w="993" w:type="dxa"/>
            <w:vAlign w:val="center"/>
          </w:tcPr>
          <w:p>
            <w:pPr>
              <w:snapToGrid w:val="0"/>
              <w:spacing w:line="360" w:lineRule="auto"/>
              <w:jc w:val="center"/>
              <w:rPr>
                <w:rFonts w:ascii="仿宋" w:hAnsi="仿宋" w:eastAsia="仿宋" w:cs="仿宋"/>
                <w:sz w:val="24"/>
                <w:highlight w:val="none"/>
              </w:rPr>
            </w:pPr>
          </w:p>
        </w:tc>
        <w:tc>
          <w:tcPr>
            <w:tcW w:w="1559" w:type="dxa"/>
            <w:vAlign w:val="center"/>
          </w:tcPr>
          <w:p>
            <w:pPr>
              <w:spacing w:line="360" w:lineRule="auto"/>
              <w:jc w:val="center"/>
              <w:rPr>
                <w:rFonts w:ascii="仿宋" w:hAnsi="仿宋" w:eastAsia="仿宋" w:cs="仿宋"/>
                <w:sz w:val="24"/>
                <w:highlight w:val="none"/>
              </w:rPr>
            </w:pPr>
          </w:p>
        </w:tc>
        <w:tc>
          <w:tcPr>
            <w:tcW w:w="1984" w:type="dxa"/>
            <w:vAlign w:val="center"/>
          </w:tcPr>
          <w:p>
            <w:pPr>
              <w:spacing w:line="360" w:lineRule="auto"/>
              <w:jc w:val="center"/>
              <w:rPr>
                <w:rFonts w:ascii="仿宋" w:hAnsi="仿宋" w:eastAsia="仿宋" w:cs="仿宋"/>
                <w:sz w:val="24"/>
                <w:highlight w:val="none"/>
              </w:rPr>
            </w:pPr>
          </w:p>
        </w:tc>
        <w:tc>
          <w:tcPr>
            <w:tcW w:w="3119" w:type="dxa"/>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highlight w:val="none"/>
              </w:rPr>
            </w:pPr>
          </w:p>
        </w:tc>
        <w:tc>
          <w:tcPr>
            <w:tcW w:w="1417" w:type="dxa"/>
            <w:vAlign w:val="center"/>
          </w:tcPr>
          <w:p>
            <w:pPr>
              <w:snapToGrid w:val="0"/>
              <w:spacing w:line="360" w:lineRule="auto"/>
              <w:jc w:val="center"/>
              <w:rPr>
                <w:rFonts w:ascii="仿宋" w:hAnsi="仿宋" w:eastAsia="仿宋" w:cs="仿宋"/>
                <w:sz w:val="24"/>
                <w:highlight w:val="none"/>
              </w:rPr>
            </w:pPr>
          </w:p>
        </w:tc>
        <w:tc>
          <w:tcPr>
            <w:tcW w:w="1843" w:type="dxa"/>
            <w:vAlign w:val="center"/>
          </w:tcPr>
          <w:p>
            <w:pPr>
              <w:snapToGrid w:val="0"/>
              <w:spacing w:line="360" w:lineRule="auto"/>
              <w:jc w:val="center"/>
              <w:rPr>
                <w:rFonts w:ascii="仿宋" w:hAnsi="仿宋" w:eastAsia="仿宋" w:cs="仿宋"/>
                <w:sz w:val="24"/>
                <w:highlight w:val="none"/>
              </w:rPr>
            </w:pPr>
          </w:p>
        </w:tc>
        <w:tc>
          <w:tcPr>
            <w:tcW w:w="3118" w:type="dxa"/>
            <w:vAlign w:val="center"/>
          </w:tcPr>
          <w:p>
            <w:pPr>
              <w:snapToGrid w:val="0"/>
              <w:spacing w:line="360" w:lineRule="auto"/>
              <w:jc w:val="center"/>
              <w:rPr>
                <w:rFonts w:ascii="仿宋" w:hAnsi="仿宋" w:eastAsia="仿宋" w:cs="仿宋"/>
                <w:sz w:val="24"/>
                <w:highlight w:val="none"/>
              </w:rPr>
            </w:pPr>
          </w:p>
        </w:tc>
        <w:tc>
          <w:tcPr>
            <w:tcW w:w="993" w:type="dxa"/>
            <w:vAlign w:val="center"/>
          </w:tcPr>
          <w:p>
            <w:pPr>
              <w:snapToGrid w:val="0"/>
              <w:spacing w:line="360" w:lineRule="auto"/>
              <w:jc w:val="center"/>
              <w:rPr>
                <w:rFonts w:ascii="仿宋" w:hAnsi="仿宋" w:eastAsia="仿宋" w:cs="仿宋"/>
                <w:sz w:val="24"/>
                <w:highlight w:val="none"/>
              </w:rPr>
            </w:pPr>
          </w:p>
        </w:tc>
        <w:tc>
          <w:tcPr>
            <w:tcW w:w="1559" w:type="dxa"/>
            <w:vAlign w:val="center"/>
          </w:tcPr>
          <w:p>
            <w:pPr>
              <w:spacing w:line="360" w:lineRule="auto"/>
              <w:jc w:val="center"/>
              <w:rPr>
                <w:rFonts w:ascii="仿宋" w:hAnsi="仿宋" w:eastAsia="仿宋" w:cs="仿宋"/>
                <w:sz w:val="24"/>
                <w:highlight w:val="none"/>
              </w:rPr>
            </w:pPr>
          </w:p>
        </w:tc>
        <w:tc>
          <w:tcPr>
            <w:tcW w:w="1984" w:type="dxa"/>
            <w:vAlign w:val="center"/>
          </w:tcPr>
          <w:p>
            <w:pPr>
              <w:spacing w:line="360" w:lineRule="auto"/>
              <w:jc w:val="center"/>
              <w:rPr>
                <w:rFonts w:ascii="仿宋" w:hAnsi="仿宋" w:eastAsia="仿宋" w:cs="仿宋"/>
                <w:sz w:val="24"/>
                <w:highlight w:val="none"/>
              </w:rPr>
            </w:pPr>
          </w:p>
        </w:tc>
        <w:tc>
          <w:tcPr>
            <w:tcW w:w="3119" w:type="dxa"/>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投标报价（小写）</w:t>
            </w:r>
          </w:p>
        </w:tc>
        <w:tc>
          <w:tcPr>
            <w:tcW w:w="7655" w:type="dxa"/>
            <w:gridSpan w:val="4"/>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投标报价（大写）</w:t>
            </w:r>
          </w:p>
        </w:tc>
        <w:tc>
          <w:tcPr>
            <w:tcW w:w="7655" w:type="dxa"/>
            <w:gridSpan w:val="4"/>
            <w:vAlign w:val="center"/>
          </w:tcPr>
          <w:p>
            <w:pPr>
              <w:spacing w:line="360" w:lineRule="auto"/>
              <w:jc w:val="center"/>
              <w:rPr>
                <w:rFonts w:ascii="仿宋" w:hAnsi="仿宋" w:eastAsia="仿宋" w:cs="仿宋"/>
                <w:sz w:val="24"/>
                <w:highlight w:val="none"/>
              </w:rPr>
            </w:pPr>
          </w:p>
        </w:tc>
      </w:tr>
    </w:tbl>
    <w:p>
      <w:pPr>
        <w:snapToGrid w:val="0"/>
        <w:spacing w:line="360" w:lineRule="auto"/>
        <w:ind w:left="480"/>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注：</w:t>
      </w:r>
    </w:p>
    <w:p>
      <w:pPr>
        <w:spacing w:line="360" w:lineRule="auto"/>
        <w:ind w:left="-2" w:leftChars="-1"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1、投标人需按本表格式填写，不得自行更改。</w:t>
      </w:r>
    </w:p>
    <w:p>
      <w:pPr>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szCs w:val="22"/>
          <w:highlight w:val="none"/>
          <w:lang w:val="zh-CN"/>
        </w:rPr>
        <w:t>5、</w:t>
      </w:r>
      <w:r>
        <w:rPr>
          <w:rFonts w:hint="eastAsia" w:ascii="仿宋" w:hAnsi="仿宋" w:eastAsia="仿宋" w:cs="仿宋"/>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4"/>
        <w:snapToGrid w:val="0"/>
        <w:spacing w:before="295" w:beforeLines="0" w:after="295" w:afterLines="0" w:line="360" w:lineRule="auto"/>
        <w:jc w:val="center"/>
        <w:rPr>
          <w:rFonts w:hint="eastAsia" w:ascii="仿宋" w:hAnsi="仿宋" w:eastAsia="仿宋" w:cs="仿宋"/>
          <w:b/>
          <w:sz w:val="30"/>
          <w:szCs w:val="30"/>
          <w:highlight w:val="none"/>
        </w:rPr>
      </w:pPr>
      <w:bookmarkStart w:id="603" w:name="_Toc21974"/>
      <w:r>
        <w:rPr>
          <w:rFonts w:hint="eastAsia" w:ascii="仿宋" w:hAnsi="仿宋" w:eastAsia="仿宋" w:cs="仿宋"/>
          <w:b/>
          <w:sz w:val="30"/>
          <w:szCs w:val="30"/>
          <w:highlight w:val="none"/>
          <w:lang w:val="en-US" w:eastAsia="zh-CN"/>
        </w:rPr>
        <w:t>二、</w:t>
      </w:r>
      <w:r>
        <w:rPr>
          <w:rFonts w:hint="eastAsia" w:ascii="仿宋" w:hAnsi="仿宋" w:eastAsia="仿宋" w:cs="仿宋"/>
          <w:b/>
          <w:sz w:val="30"/>
          <w:szCs w:val="30"/>
          <w:highlight w:val="none"/>
        </w:rPr>
        <w:t>投标报价明细表</w:t>
      </w:r>
    </w:p>
    <w:p>
      <w:pPr>
        <w:pStyle w:val="34"/>
        <w:snapToGrid w:val="0"/>
        <w:spacing w:before="295" w:beforeLines="0" w:after="295" w:afterLines="0"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u w:val="single"/>
        </w:rPr>
        <w:t xml:space="preserve">              </w:t>
      </w:r>
      <w:r>
        <w:rPr>
          <w:rFonts w:hint="eastAsia" w:ascii="仿宋" w:hAnsi="仿宋" w:eastAsia="仿宋" w:cs="仿宋"/>
          <w:b/>
          <w:bCs/>
          <w:sz w:val="24"/>
          <w:szCs w:val="24"/>
          <w:highlight w:val="none"/>
        </w:rPr>
        <w:t xml:space="preserve">                   金额单位：人民币（元）</w:t>
      </w:r>
    </w:p>
    <w:tbl>
      <w:tblPr>
        <w:tblStyle w:val="62"/>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319"/>
        <w:gridCol w:w="1201"/>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spacing w:val="20"/>
                <w:sz w:val="24"/>
                <w:szCs w:val="24"/>
                <w:highlight w:val="none"/>
              </w:rPr>
            </w:pPr>
            <w:r>
              <w:rPr>
                <w:rFonts w:hint="eastAsia" w:ascii="仿宋" w:hAnsi="仿宋" w:eastAsia="仿宋" w:cs="仿宋"/>
                <w:b/>
                <w:bCs/>
                <w:sz w:val="24"/>
                <w:szCs w:val="24"/>
                <w:highlight w:val="none"/>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spacing w:val="20"/>
                <w:sz w:val="24"/>
                <w:szCs w:val="24"/>
                <w:highlight w:val="none"/>
              </w:rPr>
            </w:pPr>
            <w:r>
              <w:rPr>
                <w:rFonts w:hint="eastAsia" w:ascii="仿宋" w:hAnsi="仿宋" w:eastAsia="仿宋" w:cs="仿宋"/>
                <w:b/>
                <w:bCs/>
                <w:sz w:val="24"/>
                <w:szCs w:val="24"/>
                <w:highlight w:val="none"/>
              </w:rPr>
              <w:t>设备名称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pStyle w:val="775"/>
              <w:snapToGrid w:val="0"/>
              <w:spacing w:before="50" w:after="50"/>
              <w:ind w:left="0" w:leftChars="0" w:firstLine="0" w:firstLineChars="0"/>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品牌、产地</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spacing w:val="20"/>
                <w:sz w:val="24"/>
                <w:szCs w:val="24"/>
                <w:highlight w:val="none"/>
              </w:rPr>
            </w:pPr>
            <w:r>
              <w:rPr>
                <w:rFonts w:hint="eastAsia" w:ascii="仿宋" w:hAnsi="仿宋" w:eastAsia="仿宋" w:cs="仿宋"/>
                <w:b/>
                <w:bCs/>
                <w:sz w:val="24"/>
                <w:szCs w:val="24"/>
                <w:highlight w:val="none"/>
              </w:rPr>
              <w:t>规格型号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spacing w:val="20"/>
                <w:sz w:val="24"/>
                <w:szCs w:val="24"/>
                <w:highlight w:val="none"/>
              </w:rPr>
            </w:pPr>
            <w:r>
              <w:rPr>
                <w:rFonts w:hint="eastAsia" w:ascii="仿宋" w:hAnsi="仿宋" w:eastAsia="仿宋" w:cs="仿宋"/>
                <w:b/>
                <w:bCs/>
                <w:sz w:val="24"/>
                <w:szCs w:val="24"/>
                <w:highlight w:val="none"/>
              </w:rPr>
              <w:t>单位及数量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spacing w:val="20"/>
                <w:sz w:val="24"/>
                <w:szCs w:val="24"/>
                <w:highlight w:val="none"/>
              </w:rPr>
            </w:pPr>
            <w:r>
              <w:rPr>
                <w:rFonts w:hint="eastAsia" w:ascii="仿宋" w:hAnsi="仿宋" w:eastAsia="仿宋" w:cs="仿宋"/>
                <w:b/>
                <w:bCs/>
                <w:sz w:val="24"/>
                <w:szCs w:val="24"/>
                <w:highlight w:val="none"/>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spacing w:val="20"/>
                <w:sz w:val="24"/>
                <w:szCs w:val="24"/>
                <w:highlight w:val="none"/>
              </w:rPr>
            </w:pPr>
            <w:r>
              <w:rPr>
                <w:rFonts w:hint="eastAsia" w:ascii="仿宋" w:hAnsi="仿宋" w:eastAsia="仿宋" w:cs="仿宋"/>
                <w:b/>
                <w:bCs/>
                <w:sz w:val="24"/>
                <w:szCs w:val="24"/>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w:t>
            </w: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专用耗材</w:t>
            </w: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4140" w:type="dxa"/>
            <w:gridSpan w:val="3"/>
            <w:tcBorders>
              <w:top w:val="single" w:color="auto" w:sz="4" w:space="0"/>
              <w:left w:val="single" w:color="auto" w:sz="4" w:space="0"/>
              <w:bottom w:val="single" w:color="auto" w:sz="4" w:space="0"/>
              <w:right w:val="single" w:color="auto" w:sz="4" w:space="0"/>
            </w:tcBorders>
            <w:noWrap w:val="0"/>
            <w:vAlign w:val="top"/>
          </w:tcPr>
          <w:p>
            <w:pPr>
              <w:pStyle w:val="809"/>
              <w:tabs>
                <w:tab w:val="left" w:pos="1418"/>
              </w:tabs>
              <w:snapToGrid w:val="0"/>
              <w:spacing w:before="50" w:after="50" w:line="360" w:lineRule="auto"/>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运输费、安装调试费</w:t>
            </w: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4140" w:type="dxa"/>
            <w:gridSpan w:val="3"/>
            <w:tcBorders>
              <w:top w:val="single" w:color="auto" w:sz="4" w:space="0"/>
              <w:left w:val="single" w:color="auto" w:sz="4" w:space="0"/>
              <w:bottom w:val="single" w:color="auto" w:sz="4" w:space="0"/>
              <w:right w:val="single" w:color="auto" w:sz="4" w:space="0"/>
            </w:tcBorders>
            <w:noWrap w:val="0"/>
            <w:vAlign w:val="top"/>
          </w:tcPr>
          <w:p>
            <w:pPr>
              <w:pStyle w:val="809"/>
              <w:tabs>
                <w:tab w:val="left" w:pos="1418"/>
              </w:tabs>
              <w:snapToGrid w:val="0"/>
              <w:spacing w:before="50" w:after="50" w:line="360" w:lineRule="auto"/>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其他：</w:t>
            </w: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投 标 总  价</w:t>
            </w: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spacing w:val="20"/>
                <w:sz w:val="24"/>
                <w:szCs w:val="24"/>
                <w:highlight w:val="none"/>
              </w:rPr>
            </w:pPr>
          </w:p>
        </w:tc>
      </w:tr>
    </w:tbl>
    <w:p>
      <w:pPr>
        <w:tabs>
          <w:tab w:val="left" w:pos="1418"/>
        </w:tabs>
        <w:snapToGrid w:val="0"/>
        <w:spacing w:before="50" w:after="50" w:line="360" w:lineRule="auto"/>
        <w:ind w:left="1418" w:hanging="567"/>
        <w:jc w:val="center"/>
        <w:rPr>
          <w:rFonts w:hint="eastAsia" w:ascii="仿宋" w:hAnsi="仿宋" w:eastAsia="仿宋" w:cs="仿宋"/>
          <w:spacing w:val="20"/>
          <w:sz w:val="24"/>
          <w:szCs w:val="24"/>
          <w:highlight w:val="none"/>
          <w:u w:val="single"/>
        </w:rPr>
      </w:pPr>
    </w:p>
    <w:p>
      <w:pPr>
        <w:snapToGrid w:val="0"/>
        <w:spacing w:before="50" w:after="50" w:line="360" w:lineRule="auto"/>
        <w:rPr>
          <w:rFonts w:hint="eastAsia" w:ascii="仿宋" w:hAnsi="仿宋" w:eastAsia="仿宋" w:cs="仿宋"/>
          <w:spacing w:val="20"/>
          <w:sz w:val="24"/>
          <w:szCs w:val="24"/>
          <w:highlight w:val="none"/>
        </w:rPr>
      </w:pPr>
    </w:p>
    <w:p>
      <w:pPr>
        <w:pStyle w:val="692"/>
        <w:keepNext w:val="0"/>
        <w:pageBreakBefore w:val="0"/>
        <w:tabs>
          <w:tab w:val="clear" w:pos="720"/>
        </w:tabs>
        <w:snapToGrid w:val="0"/>
        <w:spacing w:before="120" w:after="120"/>
        <w:ind w:firstLine="643"/>
        <w:outlineLvl w:val="9"/>
        <w:rPr>
          <w:rFonts w:ascii="宋体" w:hAnsi="宋体"/>
          <w:spacing w:val="20"/>
          <w:sz w:val="24"/>
          <w:highlight w:val="none"/>
          <w:u w:val="single"/>
        </w:rPr>
      </w:pPr>
      <w:r>
        <w:rPr>
          <w:rFonts w:hint="eastAsia" w:ascii="仿宋" w:hAnsi="仿宋" w:eastAsia="仿宋" w:cs="仿宋"/>
          <w:spacing w:val="20"/>
          <w:sz w:val="24"/>
          <w:szCs w:val="24"/>
          <w:highlight w:val="none"/>
        </w:rPr>
        <w:t>投标人：</w:t>
      </w:r>
      <w:r>
        <w:rPr>
          <w:rFonts w:hint="eastAsia" w:ascii="仿宋" w:hAnsi="仿宋" w:eastAsia="仿宋" w:cs="仿宋"/>
          <w:spacing w:val="20"/>
          <w:sz w:val="24"/>
          <w:szCs w:val="24"/>
          <w:highlight w:val="none"/>
          <w:u w:val="single"/>
        </w:rPr>
        <w:t xml:space="preserve">      （盖章）      </w:t>
      </w:r>
      <w:r>
        <w:rPr>
          <w:rFonts w:hint="eastAsia" w:ascii="仿宋" w:hAnsi="仿宋" w:eastAsia="仿宋" w:cs="仿宋"/>
          <w:spacing w:val="20"/>
          <w:sz w:val="24"/>
          <w:szCs w:val="24"/>
          <w:highlight w:val="none"/>
        </w:rPr>
        <w:t xml:space="preserve">     日  期：</w:t>
      </w:r>
      <w:r>
        <w:rPr>
          <w:rFonts w:hint="eastAsia" w:ascii="仿宋" w:hAnsi="仿宋" w:eastAsia="仿宋" w:cs="仿宋"/>
          <w:spacing w:val="20"/>
          <w:sz w:val="24"/>
          <w:szCs w:val="24"/>
          <w:highlight w:val="none"/>
          <w:u w:val="single"/>
        </w:rPr>
        <w:t xml:space="preserve">       </w:t>
      </w:r>
      <w:r>
        <w:rPr>
          <w:rFonts w:ascii="宋体" w:hAnsi="宋体"/>
          <w:spacing w:val="20"/>
          <w:sz w:val="24"/>
          <w:highlight w:val="none"/>
          <w:u w:val="single"/>
        </w:rPr>
        <w:t xml:space="preserve">   </w:t>
      </w:r>
    </w:p>
    <w:p>
      <w:pPr>
        <w:pStyle w:val="692"/>
        <w:keepNext w:val="0"/>
        <w:pageBreakBefore w:val="0"/>
        <w:tabs>
          <w:tab w:val="clear" w:pos="720"/>
        </w:tabs>
        <w:snapToGrid w:val="0"/>
        <w:spacing w:before="120" w:after="120"/>
        <w:ind w:firstLine="643"/>
        <w:outlineLvl w:val="9"/>
        <w:rPr>
          <w:rFonts w:ascii="宋体" w:hAnsi="宋体"/>
          <w:spacing w:val="20"/>
          <w:sz w:val="24"/>
          <w:highlight w:val="none"/>
          <w:u w:val="single"/>
        </w:rPr>
      </w:pPr>
    </w:p>
    <w:p>
      <w:pPr>
        <w:pStyle w:val="692"/>
        <w:keepNext w:val="0"/>
        <w:pageBreakBefore w:val="0"/>
        <w:tabs>
          <w:tab w:val="clear" w:pos="720"/>
        </w:tabs>
        <w:snapToGrid w:val="0"/>
        <w:spacing w:before="120" w:after="120"/>
        <w:ind w:firstLine="643"/>
        <w:outlineLvl w:val="9"/>
        <w:rPr>
          <w:rFonts w:ascii="宋体" w:hAnsi="宋体"/>
          <w:spacing w:val="20"/>
          <w:sz w:val="24"/>
          <w:highlight w:val="none"/>
          <w:u w:val="single"/>
        </w:rPr>
      </w:pPr>
    </w:p>
    <w:p>
      <w:pPr>
        <w:pStyle w:val="692"/>
        <w:keepNext w:val="0"/>
        <w:pageBreakBefore w:val="0"/>
        <w:tabs>
          <w:tab w:val="clear" w:pos="720"/>
        </w:tabs>
        <w:snapToGrid w:val="0"/>
        <w:spacing w:before="120" w:after="120"/>
        <w:ind w:firstLine="643"/>
        <w:outlineLvl w:val="9"/>
        <w:rPr>
          <w:rFonts w:ascii="宋体" w:hAnsi="宋体"/>
          <w:spacing w:val="20"/>
          <w:sz w:val="24"/>
          <w:highlight w:val="none"/>
          <w:u w:val="single"/>
        </w:rPr>
      </w:pPr>
    </w:p>
    <w:p>
      <w:pPr>
        <w:pStyle w:val="692"/>
        <w:keepNext w:val="0"/>
        <w:pageBreakBefore w:val="0"/>
        <w:tabs>
          <w:tab w:val="clear" w:pos="720"/>
        </w:tabs>
        <w:snapToGrid w:val="0"/>
        <w:spacing w:before="120" w:after="120"/>
        <w:ind w:firstLine="643"/>
        <w:outlineLvl w:val="9"/>
        <w:rPr>
          <w:rFonts w:ascii="宋体" w:hAnsi="宋体"/>
          <w:spacing w:val="20"/>
          <w:sz w:val="24"/>
          <w:highlight w:val="none"/>
          <w:u w:val="single"/>
        </w:rPr>
      </w:pPr>
    </w:p>
    <w:p>
      <w:pPr>
        <w:pStyle w:val="692"/>
        <w:keepNext w:val="0"/>
        <w:pageBreakBefore w:val="0"/>
        <w:tabs>
          <w:tab w:val="clear" w:pos="720"/>
        </w:tabs>
        <w:snapToGrid w:val="0"/>
        <w:spacing w:before="120" w:after="120"/>
        <w:ind w:firstLine="643"/>
        <w:outlineLvl w:val="9"/>
        <w:rPr>
          <w:rFonts w:ascii="仿宋" w:hAnsi="仿宋" w:eastAsia="仿宋" w:cs="仿宋"/>
          <w:sz w:val="32"/>
          <w:szCs w:val="32"/>
          <w:highlight w:val="none"/>
        </w:rPr>
      </w:pPr>
      <w:r>
        <w:rPr>
          <w:rFonts w:hint="eastAsia" w:ascii="仿宋" w:hAnsi="仿宋" w:eastAsia="仿宋" w:cs="仿宋"/>
          <w:kern w:val="2"/>
          <w:sz w:val="32"/>
          <w:szCs w:val="32"/>
          <w:highlight w:val="none"/>
          <w:lang w:val="en-US" w:eastAsia="zh-CN"/>
        </w:rPr>
        <w:t>三</w:t>
      </w:r>
      <w:r>
        <w:rPr>
          <w:rFonts w:hint="eastAsia" w:ascii="仿宋" w:hAnsi="仿宋" w:eastAsia="仿宋" w:cs="仿宋"/>
          <w:kern w:val="2"/>
          <w:sz w:val="32"/>
          <w:szCs w:val="32"/>
          <w:highlight w:val="none"/>
        </w:rPr>
        <w:t>、</w:t>
      </w:r>
      <w:r>
        <w:rPr>
          <w:rFonts w:hint="eastAsia" w:ascii="仿宋" w:hAnsi="仿宋" w:eastAsia="仿宋" w:cs="仿宋"/>
          <w:sz w:val="32"/>
          <w:szCs w:val="32"/>
          <w:highlight w:val="none"/>
        </w:rPr>
        <w:t>中小企业声明函</w:t>
      </w:r>
      <w:bookmarkEnd w:id="603"/>
    </w:p>
    <w:p>
      <w:pPr>
        <w:widowControl/>
        <w:spacing w:line="360" w:lineRule="auto"/>
        <w:ind w:firstLine="120" w:firstLineChars="50"/>
        <w:jc w:val="left"/>
        <w:rPr>
          <w:rFonts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2"/>
        <w:keepNext w:val="0"/>
        <w:pageBreakBefore w:val="0"/>
        <w:tabs>
          <w:tab w:val="clear" w:pos="720"/>
        </w:tabs>
        <w:snapToGrid w:val="0"/>
        <w:spacing w:before="120" w:after="120"/>
        <w:ind w:firstLine="643"/>
        <w:outlineLvl w:val="9"/>
        <w:rPr>
          <w:rFonts w:ascii="仿宋" w:hAnsi="仿宋" w:eastAsia="仿宋" w:cs="仿宋"/>
          <w:b w:val="0"/>
          <w:sz w:val="32"/>
          <w:szCs w:val="32"/>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spacing w:line="360" w:lineRule="auto"/>
        <w:ind w:right="420" w:firstLine="3614" w:firstLineChars="1000"/>
        <w:rPr>
          <w:rFonts w:ascii="仿宋" w:hAnsi="仿宋" w:eastAsia="仿宋" w:cs="仿宋"/>
          <w:b/>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
          <w:highlight w:val="none"/>
        </w:rPr>
      </w:pPr>
      <w:bookmarkStart w:id="604" w:name="_Toc29202"/>
      <w:bookmarkStart w:id="605" w:name="_Toc465665161"/>
      <w:r>
        <w:rPr>
          <w:rFonts w:hint="eastAsia" w:ascii="仿宋" w:hAnsi="仿宋" w:eastAsia="仿宋" w:cs="仿宋"/>
          <w:highlight w:val="none"/>
        </w:rPr>
        <w:t>附件</w:t>
      </w:r>
      <w:bookmarkEnd w:id="604"/>
      <w:bookmarkEnd w:id="605"/>
    </w:p>
    <w:p>
      <w:pPr>
        <w:spacing w:line="360" w:lineRule="auto"/>
        <w:outlineLvl w:val="0"/>
        <w:rPr>
          <w:rFonts w:ascii="仿宋" w:hAnsi="仿宋" w:eastAsia="仿宋" w:cs="仿宋"/>
          <w:b/>
          <w:spacing w:val="6"/>
          <w:sz w:val="32"/>
          <w:szCs w:val="32"/>
          <w:highlight w:val="none"/>
        </w:rPr>
      </w:pPr>
      <w:bookmarkStart w:id="606" w:name="_Toc18484"/>
      <w:r>
        <w:rPr>
          <w:rFonts w:hint="eastAsia" w:ascii="仿宋" w:hAnsi="仿宋" w:eastAsia="仿宋" w:cs="仿宋"/>
          <w:b/>
          <w:spacing w:val="6"/>
          <w:sz w:val="32"/>
          <w:szCs w:val="32"/>
          <w:highlight w:val="none"/>
        </w:rPr>
        <w:t>附件1：</w:t>
      </w:r>
      <w:bookmarkEnd w:id="606"/>
    </w:p>
    <w:p>
      <w:pPr>
        <w:spacing w:line="360" w:lineRule="auto"/>
        <w:jc w:val="center"/>
        <w:rPr>
          <w:rFonts w:ascii="仿宋" w:hAnsi="仿宋" w:eastAsia="仿宋" w:cs="仿宋"/>
          <w:b/>
          <w:spacing w:val="6"/>
          <w:sz w:val="32"/>
          <w:szCs w:val="32"/>
          <w:highlight w:val="none"/>
        </w:rPr>
      </w:pPr>
      <w:bookmarkStart w:id="607" w:name="OLE_LINK14"/>
      <w:bookmarkStart w:id="608" w:name="OLE_LINK13"/>
      <w:r>
        <w:rPr>
          <w:rFonts w:hint="eastAsia" w:ascii="仿宋" w:hAnsi="仿宋" w:eastAsia="仿宋" w:cs="仿宋"/>
          <w:b/>
          <w:spacing w:val="6"/>
          <w:sz w:val="32"/>
          <w:szCs w:val="32"/>
          <w:highlight w:val="none"/>
        </w:rPr>
        <w:t>残疾人福利性单位声明函</w:t>
      </w:r>
    </w:p>
    <w:bookmarkEnd w:id="607"/>
    <w:bookmarkEnd w:id="608"/>
    <w:p>
      <w:pPr>
        <w:spacing w:line="360" w:lineRule="auto"/>
        <w:rPr>
          <w:rFonts w:ascii="仿宋" w:hAnsi="仿宋" w:eastAsia="仿宋" w:cs="仿宋"/>
          <w:b/>
          <w:spacing w:val="6"/>
          <w:sz w:val="30"/>
          <w:szCs w:val="30"/>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tabs>
          <w:tab w:val="left" w:pos="4860"/>
        </w:tabs>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日  期：</w:t>
      </w:r>
    </w:p>
    <w:p>
      <w:pPr>
        <w:spacing w:line="360" w:lineRule="auto"/>
        <w:ind w:firstLine="480" w:firstLineChars="200"/>
        <w:rPr>
          <w:rFonts w:ascii="仿宋" w:hAnsi="仿宋" w:eastAsia="仿宋" w:cs="仿宋"/>
          <w:sz w:val="24"/>
          <w:highlight w:val="none"/>
        </w:rPr>
      </w:pPr>
    </w:p>
    <w:p>
      <w:pPr>
        <w:spacing w:line="360" w:lineRule="auto"/>
        <w:ind w:firstLine="420" w:firstLineChars="200"/>
        <w:rPr>
          <w:rFonts w:ascii="仿宋" w:hAnsi="仿宋" w:eastAsia="仿宋" w:cs="仿宋"/>
          <w:highlight w:val="none"/>
        </w:rPr>
      </w:pPr>
    </w:p>
    <w:p>
      <w:pPr>
        <w:spacing w:line="360" w:lineRule="auto"/>
        <w:ind w:firstLine="420" w:firstLineChars="200"/>
        <w:rPr>
          <w:rFonts w:ascii="仿宋" w:hAnsi="仿宋" w:eastAsia="仿宋" w:cs="仿宋"/>
          <w:highlight w:val="none"/>
        </w:rPr>
      </w:pPr>
    </w:p>
    <w:p>
      <w:pPr>
        <w:spacing w:line="360" w:lineRule="auto"/>
        <w:ind w:firstLine="420" w:firstLineChars="200"/>
        <w:rPr>
          <w:rFonts w:ascii="仿宋" w:hAnsi="仿宋" w:eastAsia="仿宋" w:cs="仿宋"/>
          <w:highlight w:val="none"/>
        </w:rPr>
      </w:pPr>
    </w:p>
    <w:p>
      <w:pPr>
        <w:spacing w:line="360" w:lineRule="auto"/>
        <w:ind w:firstLine="420" w:firstLineChars="200"/>
        <w:rPr>
          <w:rFonts w:ascii="仿宋" w:hAnsi="仿宋" w:eastAsia="仿宋" w:cs="仿宋"/>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jc w:val="left"/>
        <w:outlineLvl w:val="0"/>
        <w:rPr>
          <w:rFonts w:ascii="仿宋" w:hAnsi="仿宋" w:eastAsia="仿宋" w:cs="仿宋"/>
          <w:b/>
          <w:spacing w:val="6"/>
          <w:sz w:val="32"/>
          <w:szCs w:val="32"/>
          <w:highlight w:val="none"/>
        </w:rPr>
      </w:pPr>
      <w:bookmarkStart w:id="609" w:name="_Toc18175"/>
      <w:r>
        <w:rPr>
          <w:rFonts w:hint="eastAsia" w:ascii="仿宋" w:hAnsi="仿宋" w:eastAsia="仿宋" w:cs="仿宋"/>
          <w:b/>
          <w:spacing w:val="6"/>
          <w:sz w:val="32"/>
          <w:szCs w:val="32"/>
          <w:highlight w:val="none"/>
        </w:rPr>
        <w:t>附件2：质疑函范本及制作说明</w:t>
      </w:r>
      <w:bookmarkEnd w:id="609"/>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before="240" w:beforeLines="100" w:line="360" w:lineRule="auto"/>
        <w:rPr>
          <w:rFonts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ascii="仿宋" w:hAnsi="仿宋" w:eastAsia="仿宋" w:cs="仿宋"/>
          <w:b/>
          <w:bCs/>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p>
    <w:p>
      <w:pPr>
        <w:spacing w:line="360" w:lineRule="auto"/>
        <w:jc w:val="left"/>
        <w:rPr>
          <w:rFonts w:ascii="仿宋" w:hAnsi="仿宋" w:eastAsia="仿宋" w:cs="仿宋"/>
          <w:b/>
          <w:spacing w:val="6"/>
          <w:sz w:val="32"/>
          <w:szCs w:val="32"/>
          <w:highlight w:val="none"/>
        </w:rPr>
      </w:pPr>
    </w:p>
    <w:p>
      <w:pPr>
        <w:spacing w:line="360" w:lineRule="auto"/>
        <w:jc w:val="left"/>
        <w:rPr>
          <w:rFonts w:ascii="仿宋" w:hAnsi="仿宋" w:eastAsia="仿宋" w:cs="仿宋"/>
          <w:b/>
          <w:spacing w:val="6"/>
          <w:sz w:val="32"/>
          <w:szCs w:val="32"/>
          <w:highlight w:val="none"/>
        </w:rPr>
      </w:pPr>
    </w:p>
    <w:p>
      <w:pPr>
        <w:spacing w:line="360" w:lineRule="auto"/>
        <w:jc w:val="left"/>
        <w:outlineLvl w:val="0"/>
        <w:rPr>
          <w:rFonts w:ascii="仿宋" w:hAnsi="仿宋" w:eastAsia="仿宋" w:cs="仿宋"/>
          <w:b/>
          <w:spacing w:val="6"/>
          <w:sz w:val="32"/>
          <w:szCs w:val="32"/>
          <w:highlight w:val="none"/>
        </w:rPr>
      </w:pPr>
      <w:bookmarkStart w:id="610" w:name="_Toc504"/>
      <w:r>
        <w:rPr>
          <w:rFonts w:hint="eastAsia" w:ascii="仿宋" w:hAnsi="仿宋" w:eastAsia="仿宋" w:cs="仿宋"/>
          <w:b/>
          <w:spacing w:val="6"/>
          <w:sz w:val="32"/>
          <w:szCs w:val="32"/>
          <w:highlight w:val="none"/>
        </w:rPr>
        <w:t>附件3：投诉书范本及制作说明</w:t>
      </w:r>
      <w:bookmarkEnd w:id="610"/>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outlineLvl w:val="0"/>
        <w:rPr>
          <w:rFonts w:ascii="仿宋" w:hAnsi="仿宋" w:eastAsia="仿宋" w:cs="仿宋"/>
          <w:b/>
          <w:bCs/>
          <w:sz w:val="32"/>
          <w:szCs w:val="32"/>
          <w:highlight w:val="none"/>
        </w:rPr>
      </w:pPr>
      <w:bookmarkStart w:id="611" w:name="_Toc14895"/>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bookmarkEnd w:id="611"/>
    </w:p>
    <w:p>
      <w:pPr>
        <w:spacing w:line="360" w:lineRule="auto"/>
        <w:rPr>
          <w:rFonts w:ascii="仿宋" w:hAnsi="仿宋" w:eastAsia="仿宋" w:cs="仿宋"/>
          <w:sz w:val="24"/>
          <w:highlight w:val="none"/>
        </w:rPr>
      </w:pPr>
      <w:r>
        <w:rPr>
          <w:rFonts w:hint="eastAsia" w:ascii="仿宋" w:hAnsi="仿宋" w:eastAsia="仿宋" w:cs="仿宋"/>
          <w:sz w:val="24"/>
          <w:highlight w:val="none"/>
          <w:u w:val="single"/>
        </w:rPr>
        <w:t>（采购人）、（采购代理机构）</w:t>
      </w:r>
    </w:p>
    <w:p>
      <w:pPr>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你方组织的（项目名称）项目【招标编号：（采购编号）】</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right="480" w:firstLine="4080" w:firstLineChars="1700"/>
        <w:rPr>
          <w:rFonts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ascii="仿宋" w:hAnsi="仿宋" w:eastAsia="仿宋" w:cs="仿宋"/>
          <w:bCs/>
          <w:sz w:val="24"/>
          <w:highlight w:val="none"/>
        </w:rPr>
      </w:pPr>
      <w:r>
        <w:rPr>
          <w:rFonts w:hint="eastAsia" w:ascii="仿宋" w:hAnsi="仿宋" w:eastAsia="仿宋" w:cs="仿宋"/>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sz w:val="24"/>
          <w:highlight w:val="none"/>
        </w:rPr>
        <w:t>投标单位法定名称章（印模）                投标单位“XX专用章”（印模）</w:t>
      </w: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outlineLvl w:val="0"/>
        <w:rPr>
          <w:rFonts w:ascii="仿宋" w:hAnsi="仿宋" w:eastAsia="仿宋" w:cs="仿宋"/>
          <w:b/>
          <w:bCs/>
          <w:sz w:val="32"/>
          <w:szCs w:val="32"/>
          <w:highlight w:val="none"/>
        </w:rPr>
      </w:pPr>
      <w:bookmarkStart w:id="612" w:name="_Toc26771"/>
      <w:r>
        <w:rPr>
          <w:rFonts w:hint="eastAsia" w:ascii="仿宋" w:hAnsi="仿宋" w:eastAsia="仿宋" w:cs="仿宋"/>
          <w:b/>
          <w:spacing w:val="6"/>
          <w:sz w:val="32"/>
          <w:szCs w:val="32"/>
          <w:highlight w:val="none"/>
        </w:rPr>
        <w:t>附件5：</w:t>
      </w:r>
      <w:r>
        <w:rPr>
          <w:rFonts w:hint="eastAsia" w:ascii="仿宋" w:hAnsi="仿宋" w:eastAsia="仿宋" w:cs="仿宋"/>
          <w:b/>
          <w:sz w:val="32"/>
          <w:szCs w:val="32"/>
          <w:highlight w:val="none"/>
        </w:rPr>
        <w:t>中小企业声明函</w:t>
      </w:r>
      <w:bookmarkEnd w:id="612"/>
    </w:p>
    <w:p>
      <w:pPr>
        <w:spacing w:line="360" w:lineRule="auto"/>
        <w:jc w:val="center"/>
        <w:rPr>
          <w:rFonts w:ascii="仿宋" w:hAnsi="仿宋" w:eastAsia="仿宋" w:cs="仿宋"/>
          <w:sz w:val="24"/>
          <w:highlight w:val="none"/>
          <w:u w:val="single"/>
        </w:rPr>
      </w:pPr>
    </w:p>
    <w:p>
      <w:pPr>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中小企业声明函（货物）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pacing w:line="360" w:lineRule="auto"/>
        <w:jc w:val="left"/>
        <w:rPr>
          <w:rFonts w:ascii="仿宋" w:hAnsi="仿宋" w:eastAsia="仿宋" w:cs="仿宋"/>
          <w:sz w:val="18"/>
          <w:szCs w:val="18"/>
          <w:highlight w:val="none"/>
        </w:rPr>
      </w:pPr>
      <w:r>
        <w:rPr>
          <w:rFonts w:hint="eastAsia" w:ascii="仿宋" w:hAnsi="仿宋" w:eastAsia="仿宋" w:cs="仿宋"/>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highlight w:val="none"/>
        </w:rPr>
      </w:pPr>
      <w:r>
        <w:rPr>
          <w:rFonts w:hint="eastAsia" w:ascii="仿宋" w:hAnsi="仿宋" w:eastAsia="仿宋" w:cs="仿宋"/>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中小企业声明函（工程、服务）</w:t>
      </w:r>
    </w:p>
    <w:p>
      <w:pPr>
        <w:spacing w:line="360" w:lineRule="auto"/>
        <w:rPr>
          <w:rFonts w:ascii="仿宋" w:hAnsi="仿宋" w:eastAsia="仿宋" w:cs="仿宋"/>
          <w:highlight w:val="none"/>
        </w:rPr>
      </w:pPr>
    </w:p>
    <w:p>
      <w:pPr>
        <w:spacing w:line="360" w:lineRule="auto"/>
        <w:ind w:firstLine="360" w:firstLineChars="150"/>
        <w:jc w:val="left"/>
        <w:rPr>
          <w:rFonts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ind w:right="1760"/>
        <w:jc w:val="right"/>
        <w:rPr>
          <w:rFonts w:ascii="仿宋" w:hAnsi="仿宋" w:eastAsia="仿宋" w:cs="仿宋"/>
          <w:sz w:val="24"/>
          <w:highlight w:val="none"/>
        </w:rPr>
      </w:pPr>
      <w:r>
        <w:rPr>
          <w:rFonts w:hint="eastAsia" w:ascii="仿宋" w:hAnsi="仿宋" w:eastAsia="仿宋" w:cs="仿宋"/>
          <w:sz w:val="24"/>
          <w:highlight w:val="none"/>
        </w:rPr>
        <w:t>投标人名称（电子签名）：</w:t>
      </w:r>
    </w:p>
    <w:p>
      <w:pPr>
        <w:spacing w:line="360" w:lineRule="auto"/>
        <w:ind w:right="1120" w:firstLine="4680" w:firstLineChars="1950"/>
        <w:rPr>
          <w:rFonts w:ascii="仿宋" w:hAnsi="仿宋" w:eastAsia="仿宋" w:cs="仿宋"/>
          <w:sz w:val="24"/>
          <w:highlight w:val="none"/>
        </w:rPr>
      </w:pPr>
      <w:r>
        <w:rPr>
          <w:rFonts w:hint="eastAsia" w:ascii="仿宋" w:hAnsi="仿宋" w:eastAsia="仿宋" w:cs="仿宋"/>
          <w:sz w:val="24"/>
          <w:highlight w:val="none"/>
        </w:rPr>
        <w:t>日 期：</w:t>
      </w:r>
    </w:p>
    <w:p>
      <w:pPr>
        <w:spacing w:line="360" w:lineRule="auto"/>
        <w:ind w:firstLine="310" w:firstLineChars="147"/>
        <w:jc w:val="left"/>
        <w:rPr>
          <w:rFonts w:ascii="仿宋" w:hAnsi="仿宋" w:eastAsia="仿宋" w:cs="仿宋"/>
          <w:b/>
          <w:szCs w:val="21"/>
          <w:highlight w:val="none"/>
        </w:rPr>
      </w:pPr>
      <w:r>
        <w:rPr>
          <w:rFonts w:hint="eastAsia" w:ascii="仿宋" w:hAnsi="仿宋" w:eastAsia="仿宋" w:cs="仿宋"/>
          <w:b/>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sz w:val="24"/>
          <w:highlight w:val="none"/>
        </w:rPr>
      </w:pPr>
    </w:p>
    <w:p>
      <w:pPr>
        <w:spacing w:line="360" w:lineRule="auto"/>
        <w:ind w:right="420"/>
        <w:rPr>
          <w:rFonts w:ascii="仿宋" w:hAnsi="仿宋" w:eastAsia="仿宋" w:cs="仿宋"/>
          <w:sz w:val="24"/>
          <w:highlight w:val="none"/>
        </w:rPr>
      </w:pPr>
      <w:r>
        <w:rPr>
          <w:rFonts w:hint="eastAsia" w:ascii="仿宋" w:hAnsi="仿宋" w:eastAsia="仿宋" w:cs="仿宋"/>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仿宋" w:eastAsia="仿宋" w:cs="仿宋"/>
          <w:highlight w:val="none"/>
          <w:lang w:val="en-US"/>
        </w:rPr>
      </w:pPr>
    </w:p>
    <w:p>
      <w:pPr>
        <w:spacing w:line="360" w:lineRule="auto"/>
        <w:ind w:right="420"/>
        <w:rPr>
          <w:rFonts w:ascii="仿宋" w:hAnsi="仿宋" w:eastAsia="仿宋" w:cs="仿宋"/>
          <w:highlight w:val="none"/>
        </w:rPr>
      </w:pPr>
    </w:p>
    <w:p>
      <w:pPr>
        <w:spacing w:line="360" w:lineRule="auto"/>
        <w:rPr>
          <w:rFonts w:ascii="仿宋" w:hAnsi="仿宋" w:eastAsia="仿宋" w:cs="仿宋"/>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bookmarkStart w:id="613" w:name="_Toc91899912"/>
    <w:bookmarkStart w:id="614" w:name="_Toc131845147"/>
    <w:bookmarkStart w:id="615" w:name="_Toc164085800"/>
    <w:bookmarkStart w:id="616" w:name="_Toc36110187"/>
    <w:r>
      <w:rPr>
        <w:rFonts w:hint="eastAsia" w:ascii="仿宋_GB2312" w:eastAsia="仿宋_GB2312"/>
        <w:kern w:val="0"/>
        <w:szCs w:val="21"/>
      </w:rPr>
      <w:t xml:space="preserve"> 页</w:t>
    </w:r>
    <w:bookmarkEnd w:id="613"/>
    <w:bookmarkEnd w:id="614"/>
    <w:bookmarkEnd w:id="615"/>
    <w:bookmarkEnd w:id="6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B5C99"/>
    <w:multiLevelType w:val="singleLevel"/>
    <w:tmpl w:val="EFFB5C99"/>
    <w:lvl w:ilvl="0" w:tentative="0">
      <w:start w:val="3"/>
      <w:numFmt w:val="chineseCounting"/>
      <w:suff w:val="space"/>
      <w:lvlText w:val="第%1部分"/>
      <w:lvlJc w:val="left"/>
      <w:rPr>
        <w:rFonts w:hint="eastAsia"/>
      </w:rPr>
    </w:lvl>
  </w:abstractNum>
  <w:abstractNum w:abstractNumId="1">
    <w:nsid w:val="FFFFFF7E"/>
    <w:multiLevelType w:val="singleLevel"/>
    <w:tmpl w:val="FFFFFF7E"/>
    <w:lvl w:ilvl="0" w:tentative="0">
      <w:start w:val="1"/>
      <w:numFmt w:val="decimal"/>
      <w:lvlText w:val="%1."/>
      <w:lvlJc w:val="left"/>
      <w:pPr>
        <w:tabs>
          <w:tab w:val="left" w:pos="1200"/>
        </w:tabs>
        <w:ind w:left="1200" w:hanging="360"/>
      </w:pPr>
    </w:lvl>
  </w:abstractNum>
  <w:abstractNum w:abstractNumId="2">
    <w:nsid w:val="071A48AF"/>
    <w:multiLevelType w:val="singleLevel"/>
    <w:tmpl w:val="071A48AF"/>
    <w:lvl w:ilvl="0" w:tentative="0">
      <w:start w:val="1"/>
      <w:numFmt w:val="decimal"/>
      <w:suff w:val="nothing"/>
      <w:lvlText w:val="（%1）"/>
      <w:lvlJc w:val="left"/>
    </w:lvl>
  </w:abstractNum>
  <w:abstractNum w:abstractNumId="3">
    <w:nsid w:val="5559833E"/>
    <w:multiLevelType w:val="singleLevel"/>
    <w:tmpl w:val="5559833E"/>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MTUyN2I0OGU0MDJkNTlmOWU0YWNlZGMxYTQzMD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7D"/>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5CC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4B2"/>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64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BB8"/>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AF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F00"/>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97E58"/>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6F1"/>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830"/>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2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60"/>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8E1"/>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61"/>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32"/>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D8E"/>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73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1F"/>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266"/>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6D"/>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635D"/>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AB"/>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B8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1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E2E"/>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B77F6"/>
    <w:rsid w:val="026B2E25"/>
    <w:rsid w:val="02824D4D"/>
    <w:rsid w:val="02DC4B10"/>
    <w:rsid w:val="02DD76CE"/>
    <w:rsid w:val="02F36323"/>
    <w:rsid w:val="02F5619C"/>
    <w:rsid w:val="0326446A"/>
    <w:rsid w:val="032D5555"/>
    <w:rsid w:val="0332416A"/>
    <w:rsid w:val="0332416B"/>
    <w:rsid w:val="03522419"/>
    <w:rsid w:val="036634D2"/>
    <w:rsid w:val="03B9554C"/>
    <w:rsid w:val="03BF4D4F"/>
    <w:rsid w:val="03DD35E4"/>
    <w:rsid w:val="04076900"/>
    <w:rsid w:val="041A5A3B"/>
    <w:rsid w:val="042311BA"/>
    <w:rsid w:val="042B157A"/>
    <w:rsid w:val="043205F4"/>
    <w:rsid w:val="044A0B20"/>
    <w:rsid w:val="048F763B"/>
    <w:rsid w:val="049F330E"/>
    <w:rsid w:val="04AA775C"/>
    <w:rsid w:val="04AF1889"/>
    <w:rsid w:val="04F66F48"/>
    <w:rsid w:val="05251E14"/>
    <w:rsid w:val="05A16594"/>
    <w:rsid w:val="05A7762D"/>
    <w:rsid w:val="060E5941"/>
    <w:rsid w:val="06110FAF"/>
    <w:rsid w:val="06493CA7"/>
    <w:rsid w:val="065A6178"/>
    <w:rsid w:val="066B155F"/>
    <w:rsid w:val="066F1CF3"/>
    <w:rsid w:val="06754E38"/>
    <w:rsid w:val="068E6895"/>
    <w:rsid w:val="06930BB8"/>
    <w:rsid w:val="07245D42"/>
    <w:rsid w:val="07264C62"/>
    <w:rsid w:val="074652AB"/>
    <w:rsid w:val="0779354C"/>
    <w:rsid w:val="08061376"/>
    <w:rsid w:val="08452D77"/>
    <w:rsid w:val="085A5FF7"/>
    <w:rsid w:val="086401F8"/>
    <w:rsid w:val="08751CAA"/>
    <w:rsid w:val="087E4C40"/>
    <w:rsid w:val="08D66AD6"/>
    <w:rsid w:val="08DA33A3"/>
    <w:rsid w:val="08E80F13"/>
    <w:rsid w:val="090E399A"/>
    <w:rsid w:val="09285598"/>
    <w:rsid w:val="09335624"/>
    <w:rsid w:val="0944690F"/>
    <w:rsid w:val="09535675"/>
    <w:rsid w:val="095F057D"/>
    <w:rsid w:val="09642282"/>
    <w:rsid w:val="09733572"/>
    <w:rsid w:val="097624AA"/>
    <w:rsid w:val="09772C16"/>
    <w:rsid w:val="098353B5"/>
    <w:rsid w:val="09A92330"/>
    <w:rsid w:val="09B06B87"/>
    <w:rsid w:val="09C13146"/>
    <w:rsid w:val="09E04166"/>
    <w:rsid w:val="0A1C0718"/>
    <w:rsid w:val="0A3E7710"/>
    <w:rsid w:val="0A5B7E63"/>
    <w:rsid w:val="0A892BC9"/>
    <w:rsid w:val="0AA374A5"/>
    <w:rsid w:val="0AAB7649"/>
    <w:rsid w:val="0ABC5606"/>
    <w:rsid w:val="0B135A1B"/>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794595"/>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F71A72"/>
    <w:rsid w:val="13072A44"/>
    <w:rsid w:val="132356BC"/>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856F0A"/>
    <w:rsid w:val="16A8729C"/>
    <w:rsid w:val="16B33777"/>
    <w:rsid w:val="16BC70A7"/>
    <w:rsid w:val="16C6339E"/>
    <w:rsid w:val="16F47617"/>
    <w:rsid w:val="172F2D79"/>
    <w:rsid w:val="17557BEF"/>
    <w:rsid w:val="17D349C1"/>
    <w:rsid w:val="17DB0D3F"/>
    <w:rsid w:val="1830729E"/>
    <w:rsid w:val="186A7F89"/>
    <w:rsid w:val="1870062C"/>
    <w:rsid w:val="18817102"/>
    <w:rsid w:val="18830A15"/>
    <w:rsid w:val="18852B28"/>
    <w:rsid w:val="188B5321"/>
    <w:rsid w:val="1921268C"/>
    <w:rsid w:val="19932372"/>
    <w:rsid w:val="19A20DD5"/>
    <w:rsid w:val="19AE03F1"/>
    <w:rsid w:val="1A071A03"/>
    <w:rsid w:val="1A1F16AE"/>
    <w:rsid w:val="1A3B5C77"/>
    <w:rsid w:val="1A984BAD"/>
    <w:rsid w:val="1AB8220E"/>
    <w:rsid w:val="1AC80DB2"/>
    <w:rsid w:val="1AE4166C"/>
    <w:rsid w:val="1AF06CFB"/>
    <w:rsid w:val="1AF11B8D"/>
    <w:rsid w:val="1AFB4207"/>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741A3"/>
    <w:rsid w:val="1EB7330C"/>
    <w:rsid w:val="1EC34AFA"/>
    <w:rsid w:val="1F0A0FF3"/>
    <w:rsid w:val="1F1B540A"/>
    <w:rsid w:val="1F5771FF"/>
    <w:rsid w:val="1FE868A9"/>
    <w:rsid w:val="20034907"/>
    <w:rsid w:val="20173E4B"/>
    <w:rsid w:val="204E48BC"/>
    <w:rsid w:val="208921B3"/>
    <w:rsid w:val="20973DEB"/>
    <w:rsid w:val="20B26522"/>
    <w:rsid w:val="20B44310"/>
    <w:rsid w:val="211116EB"/>
    <w:rsid w:val="213D7CA0"/>
    <w:rsid w:val="216133FC"/>
    <w:rsid w:val="21A62862"/>
    <w:rsid w:val="21D56769"/>
    <w:rsid w:val="21E52EF3"/>
    <w:rsid w:val="21FB5D7B"/>
    <w:rsid w:val="220B1C3D"/>
    <w:rsid w:val="221D1D20"/>
    <w:rsid w:val="222E3AC4"/>
    <w:rsid w:val="22334A87"/>
    <w:rsid w:val="22BE6801"/>
    <w:rsid w:val="233500BF"/>
    <w:rsid w:val="23377FF7"/>
    <w:rsid w:val="236B425F"/>
    <w:rsid w:val="23836192"/>
    <w:rsid w:val="23901F29"/>
    <w:rsid w:val="239C0061"/>
    <w:rsid w:val="23A108FB"/>
    <w:rsid w:val="23B908A4"/>
    <w:rsid w:val="23E95BEF"/>
    <w:rsid w:val="23FD0064"/>
    <w:rsid w:val="245375B0"/>
    <w:rsid w:val="24642C0A"/>
    <w:rsid w:val="24B22173"/>
    <w:rsid w:val="24B95AD9"/>
    <w:rsid w:val="24BE24DA"/>
    <w:rsid w:val="24CF5825"/>
    <w:rsid w:val="24D663E6"/>
    <w:rsid w:val="24D77F2B"/>
    <w:rsid w:val="250F62DF"/>
    <w:rsid w:val="256B08A8"/>
    <w:rsid w:val="258B00E2"/>
    <w:rsid w:val="25A917A6"/>
    <w:rsid w:val="25BE27CC"/>
    <w:rsid w:val="25C9544B"/>
    <w:rsid w:val="25F74A5C"/>
    <w:rsid w:val="2628662C"/>
    <w:rsid w:val="262D45DE"/>
    <w:rsid w:val="26A53EF9"/>
    <w:rsid w:val="26A94201"/>
    <w:rsid w:val="26AC274F"/>
    <w:rsid w:val="27044A29"/>
    <w:rsid w:val="271D34C8"/>
    <w:rsid w:val="276142BF"/>
    <w:rsid w:val="2766510F"/>
    <w:rsid w:val="27783712"/>
    <w:rsid w:val="27907362"/>
    <w:rsid w:val="27DA522B"/>
    <w:rsid w:val="27EE3BCB"/>
    <w:rsid w:val="28333E1D"/>
    <w:rsid w:val="28454BD6"/>
    <w:rsid w:val="28455253"/>
    <w:rsid w:val="28551971"/>
    <w:rsid w:val="285B1C53"/>
    <w:rsid w:val="289F7086"/>
    <w:rsid w:val="28C32028"/>
    <w:rsid w:val="28CC490F"/>
    <w:rsid w:val="28DE40AA"/>
    <w:rsid w:val="28EB54C9"/>
    <w:rsid w:val="29345E77"/>
    <w:rsid w:val="294C65AD"/>
    <w:rsid w:val="29806583"/>
    <w:rsid w:val="298B3C4C"/>
    <w:rsid w:val="29F26D24"/>
    <w:rsid w:val="2A15033F"/>
    <w:rsid w:val="2A1662C1"/>
    <w:rsid w:val="2A1A0429"/>
    <w:rsid w:val="2A1C7367"/>
    <w:rsid w:val="2A2815FA"/>
    <w:rsid w:val="2A6D6092"/>
    <w:rsid w:val="2A7426B7"/>
    <w:rsid w:val="2A7D76B4"/>
    <w:rsid w:val="2B437463"/>
    <w:rsid w:val="2B4D50F0"/>
    <w:rsid w:val="2B7807EE"/>
    <w:rsid w:val="2B870602"/>
    <w:rsid w:val="2BBF00EC"/>
    <w:rsid w:val="2BC37CFD"/>
    <w:rsid w:val="2BD5237F"/>
    <w:rsid w:val="2BE536CE"/>
    <w:rsid w:val="2BE758D9"/>
    <w:rsid w:val="2C09049E"/>
    <w:rsid w:val="2C0A653C"/>
    <w:rsid w:val="2C191F85"/>
    <w:rsid w:val="2CE82D6F"/>
    <w:rsid w:val="2CEF6564"/>
    <w:rsid w:val="2D343236"/>
    <w:rsid w:val="2D7E0F72"/>
    <w:rsid w:val="2DD15014"/>
    <w:rsid w:val="2DDE5C22"/>
    <w:rsid w:val="2DF72DE4"/>
    <w:rsid w:val="2E0220AF"/>
    <w:rsid w:val="2E4B082A"/>
    <w:rsid w:val="2E5D4E86"/>
    <w:rsid w:val="2E5D790B"/>
    <w:rsid w:val="2E9A3C18"/>
    <w:rsid w:val="2EBB0FEE"/>
    <w:rsid w:val="2EC63002"/>
    <w:rsid w:val="2F0A6B38"/>
    <w:rsid w:val="2F6C669F"/>
    <w:rsid w:val="2F946CCB"/>
    <w:rsid w:val="2FD25781"/>
    <w:rsid w:val="2FFD7934"/>
    <w:rsid w:val="30733ACD"/>
    <w:rsid w:val="308C3862"/>
    <w:rsid w:val="309379D8"/>
    <w:rsid w:val="30A270F7"/>
    <w:rsid w:val="30DF1478"/>
    <w:rsid w:val="30EC586F"/>
    <w:rsid w:val="319C6071"/>
    <w:rsid w:val="31AC537E"/>
    <w:rsid w:val="31E10BAD"/>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804F1"/>
    <w:rsid w:val="3572259C"/>
    <w:rsid w:val="358D5588"/>
    <w:rsid w:val="363A3B40"/>
    <w:rsid w:val="365302AE"/>
    <w:rsid w:val="36607A0A"/>
    <w:rsid w:val="36666747"/>
    <w:rsid w:val="366E227C"/>
    <w:rsid w:val="366F2E0D"/>
    <w:rsid w:val="367B6A5C"/>
    <w:rsid w:val="36A74ADA"/>
    <w:rsid w:val="36AD60D5"/>
    <w:rsid w:val="36B224F9"/>
    <w:rsid w:val="36B94065"/>
    <w:rsid w:val="36EC0CC9"/>
    <w:rsid w:val="373F410B"/>
    <w:rsid w:val="37EE7094"/>
    <w:rsid w:val="38296C89"/>
    <w:rsid w:val="383002EB"/>
    <w:rsid w:val="38586797"/>
    <w:rsid w:val="38BC0149"/>
    <w:rsid w:val="38CF2505"/>
    <w:rsid w:val="38D87D1C"/>
    <w:rsid w:val="39636459"/>
    <w:rsid w:val="396B7F6C"/>
    <w:rsid w:val="39811E3F"/>
    <w:rsid w:val="398E08B7"/>
    <w:rsid w:val="39B417A9"/>
    <w:rsid w:val="39C17FF3"/>
    <w:rsid w:val="39FC5695"/>
    <w:rsid w:val="3A006D8E"/>
    <w:rsid w:val="3A3651E5"/>
    <w:rsid w:val="3A3C272F"/>
    <w:rsid w:val="3A744481"/>
    <w:rsid w:val="3A8C7BEF"/>
    <w:rsid w:val="3A906246"/>
    <w:rsid w:val="3AA91A8A"/>
    <w:rsid w:val="3B2349B7"/>
    <w:rsid w:val="3B616CFF"/>
    <w:rsid w:val="3B6259F6"/>
    <w:rsid w:val="3B976654"/>
    <w:rsid w:val="3BC01EFC"/>
    <w:rsid w:val="3BCA786A"/>
    <w:rsid w:val="3BD31E2F"/>
    <w:rsid w:val="3BF15831"/>
    <w:rsid w:val="3C105946"/>
    <w:rsid w:val="3C471448"/>
    <w:rsid w:val="3C5F759A"/>
    <w:rsid w:val="3C6C525A"/>
    <w:rsid w:val="3C716317"/>
    <w:rsid w:val="3C8104D0"/>
    <w:rsid w:val="3CCE23CB"/>
    <w:rsid w:val="3CD07D83"/>
    <w:rsid w:val="3CD17D17"/>
    <w:rsid w:val="3D3C7F39"/>
    <w:rsid w:val="3D440F09"/>
    <w:rsid w:val="3D4504A0"/>
    <w:rsid w:val="3D671F56"/>
    <w:rsid w:val="3D8734BB"/>
    <w:rsid w:val="3D9A11D4"/>
    <w:rsid w:val="3DA16D89"/>
    <w:rsid w:val="3DA364BE"/>
    <w:rsid w:val="3DE041CB"/>
    <w:rsid w:val="3E0D48F6"/>
    <w:rsid w:val="3E1868B4"/>
    <w:rsid w:val="3E377251"/>
    <w:rsid w:val="3E42664B"/>
    <w:rsid w:val="3E5A7334"/>
    <w:rsid w:val="3E7A4CB0"/>
    <w:rsid w:val="3E7B5D6B"/>
    <w:rsid w:val="3E843E66"/>
    <w:rsid w:val="3E8F51FE"/>
    <w:rsid w:val="3E926F87"/>
    <w:rsid w:val="3E9A59DE"/>
    <w:rsid w:val="3EA370A9"/>
    <w:rsid w:val="3EAF4836"/>
    <w:rsid w:val="3EC33DFA"/>
    <w:rsid w:val="3F060E16"/>
    <w:rsid w:val="3F1D1096"/>
    <w:rsid w:val="3F2F0234"/>
    <w:rsid w:val="3F6363FE"/>
    <w:rsid w:val="3F756B8F"/>
    <w:rsid w:val="3F95482B"/>
    <w:rsid w:val="4019356B"/>
    <w:rsid w:val="40592157"/>
    <w:rsid w:val="406E1CAE"/>
    <w:rsid w:val="40720D56"/>
    <w:rsid w:val="40A0133A"/>
    <w:rsid w:val="40C31A53"/>
    <w:rsid w:val="40FF545D"/>
    <w:rsid w:val="410067C8"/>
    <w:rsid w:val="410B71F0"/>
    <w:rsid w:val="415D379C"/>
    <w:rsid w:val="418F0D2A"/>
    <w:rsid w:val="41D01505"/>
    <w:rsid w:val="42474939"/>
    <w:rsid w:val="424C3C57"/>
    <w:rsid w:val="42613FF3"/>
    <w:rsid w:val="42660D96"/>
    <w:rsid w:val="428667D2"/>
    <w:rsid w:val="428A3F3E"/>
    <w:rsid w:val="42CD1CE0"/>
    <w:rsid w:val="42E1381E"/>
    <w:rsid w:val="42ED6459"/>
    <w:rsid w:val="42FE58DD"/>
    <w:rsid w:val="43174B3D"/>
    <w:rsid w:val="43384643"/>
    <w:rsid w:val="434B790E"/>
    <w:rsid w:val="4360274F"/>
    <w:rsid w:val="43977AB6"/>
    <w:rsid w:val="43A3342B"/>
    <w:rsid w:val="43C77C27"/>
    <w:rsid w:val="43DE09EE"/>
    <w:rsid w:val="44002FAD"/>
    <w:rsid w:val="44097921"/>
    <w:rsid w:val="442027F5"/>
    <w:rsid w:val="444C27E0"/>
    <w:rsid w:val="449101DD"/>
    <w:rsid w:val="44BD5438"/>
    <w:rsid w:val="44C5552F"/>
    <w:rsid w:val="44DE1391"/>
    <w:rsid w:val="44E6505F"/>
    <w:rsid w:val="451B225C"/>
    <w:rsid w:val="451B55A9"/>
    <w:rsid w:val="452410C9"/>
    <w:rsid w:val="45317DFB"/>
    <w:rsid w:val="456D3CE4"/>
    <w:rsid w:val="4579042C"/>
    <w:rsid w:val="457F0571"/>
    <w:rsid w:val="45851176"/>
    <w:rsid w:val="45C63B94"/>
    <w:rsid w:val="45E72483"/>
    <w:rsid w:val="460E7DA5"/>
    <w:rsid w:val="462339FE"/>
    <w:rsid w:val="46422483"/>
    <w:rsid w:val="4659254A"/>
    <w:rsid w:val="465B0637"/>
    <w:rsid w:val="465E3F0D"/>
    <w:rsid w:val="466A16E6"/>
    <w:rsid w:val="46893F2B"/>
    <w:rsid w:val="46C4686E"/>
    <w:rsid w:val="46FE3529"/>
    <w:rsid w:val="471322F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2829C1"/>
    <w:rsid w:val="495F5B3E"/>
    <w:rsid w:val="496F77D7"/>
    <w:rsid w:val="497654FD"/>
    <w:rsid w:val="49B64211"/>
    <w:rsid w:val="49F6167F"/>
    <w:rsid w:val="4A0122A3"/>
    <w:rsid w:val="4A064FA0"/>
    <w:rsid w:val="4A16615C"/>
    <w:rsid w:val="4A4424D7"/>
    <w:rsid w:val="4A511D5F"/>
    <w:rsid w:val="4A93705B"/>
    <w:rsid w:val="4AB82D0F"/>
    <w:rsid w:val="4AEB7664"/>
    <w:rsid w:val="4AFD7C19"/>
    <w:rsid w:val="4B0567D1"/>
    <w:rsid w:val="4B236AAE"/>
    <w:rsid w:val="4B2B2900"/>
    <w:rsid w:val="4B707271"/>
    <w:rsid w:val="4B9739F7"/>
    <w:rsid w:val="4BEE2503"/>
    <w:rsid w:val="4C103690"/>
    <w:rsid w:val="4C245A30"/>
    <w:rsid w:val="4C397FD8"/>
    <w:rsid w:val="4CB6685F"/>
    <w:rsid w:val="4CC367FE"/>
    <w:rsid w:val="4CED0E58"/>
    <w:rsid w:val="4D077F3C"/>
    <w:rsid w:val="4D123355"/>
    <w:rsid w:val="4D2A3B31"/>
    <w:rsid w:val="4D312C52"/>
    <w:rsid w:val="4D905305"/>
    <w:rsid w:val="4D964A72"/>
    <w:rsid w:val="4D9C1254"/>
    <w:rsid w:val="4E3B35E0"/>
    <w:rsid w:val="4E793892"/>
    <w:rsid w:val="4E800872"/>
    <w:rsid w:val="4EC569ED"/>
    <w:rsid w:val="4ED50EA1"/>
    <w:rsid w:val="4EEC050C"/>
    <w:rsid w:val="4EF97D55"/>
    <w:rsid w:val="4F104EC3"/>
    <w:rsid w:val="4F47354A"/>
    <w:rsid w:val="4F911C54"/>
    <w:rsid w:val="4F9B774B"/>
    <w:rsid w:val="4FE625E0"/>
    <w:rsid w:val="5015416C"/>
    <w:rsid w:val="5021480F"/>
    <w:rsid w:val="50962ECB"/>
    <w:rsid w:val="50A42E38"/>
    <w:rsid w:val="50A4577F"/>
    <w:rsid w:val="50B73D1F"/>
    <w:rsid w:val="50BD5BC9"/>
    <w:rsid w:val="50C11EEE"/>
    <w:rsid w:val="50E97CFC"/>
    <w:rsid w:val="50FA4028"/>
    <w:rsid w:val="510D65B7"/>
    <w:rsid w:val="51102CD9"/>
    <w:rsid w:val="511157AB"/>
    <w:rsid w:val="5142540C"/>
    <w:rsid w:val="517035B4"/>
    <w:rsid w:val="518832C8"/>
    <w:rsid w:val="51A0432A"/>
    <w:rsid w:val="51A86090"/>
    <w:rsid w:val="51B7396D"/>
    <w:rsid w:val="51E47E44"/>
    <w:rsid w:val="522E4CC3"/>
    <w:rsid w:val="5244713B"/>
    <w:rsid w:val="52615633"/>
    <w:rsid w:val="52977FD4"/>
    <w:rsid w:val="52A25790"/>
    <w:rsid w:val="52A96B6F"/>
    <w:rsid w:val="52B45975"/>
    <w:rsid w:val="52D94AA4"/>
    <w:rsid w:val="52EA3A62"/>
    <w:rsid w:val="52F50BB8"/>
    <w:rsid w:val="53097272"/>
    <w:rsid w:val="53544462"/>
    <w:rsid w:val="5397158E"/>
    <w:rsid w:val="54013861"/>
    <w:rsid w:val="541C6223"/>
    <w:rsid w:val="54487265"/>
    <w:rsid w:val="544D6070"/>
    <w:rsid w:val="54605E1E"/>
    <w:rsid w:val="54B3506A"/>
    <w:rsid w:val="54CA0D16"/>
    <w:rsid w:val="54DD4057"/>
    <w:rsid w:val="54E7490F"/>
    <w:rsid w:val="550764A4"/>
    <w:rsid w:val="550B2BF6"/>
    <w:rsid w:val="55214EB5"/>
    <w:rsid w:val="55284354"/>
    <w:rsid w:val="55364EFD"/>
    <w:rsid w:val="555D4828"/>
    <w:rsid w:val="557A4C8B"/>
    <w:rsid w:val="558931E1"/>
    <w:rsid w:val="55923347"/>
    <w:rsid w:val="55925180"/>
    <w:rsid w:val="55983B1B"/>
    <w:rsid w:val="55A21A11"/>
    <w:rsid w:val="55A8376B"/>
    <w:rsid w:val="55DC29B6"/>
    <w:rsid w:val="55DD4241"/>
    <w:rsid w:val="566B6D1E"/>
    <w:rsid w:val="566E551E"/>
    <w:rsid w:val="57032A2C"/>
    <w:rsid w:val="570F5219"/>
    <w:rsid w:val="571E7666"/>
    <w:rsid w:val="575D12B5"/>
    <w:rsid w:val="57601BAC"/>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76398"/>
    <w:rsid w:val="5A6D33BA"/>
    <w:rsid w:val="5A792B1F"/>
    <w:rsid w:val="5A874767"/>
    <w:rsid w:val="5AAD6F28"/>
    <w:rsid w:val="5AD63A24"/>
    <w:rsid w:val="5AD703CB"/>
    <w:rsid w:val="5B2E1A1D"/>
    <w:rsid w:val="5B800A46"/>
    <w:rsid w:val="5B843A1C"/>
    <w:rsid w:val="5B873E3F"/>
    <w:rsid w:val="5BDC060A"/>
    <w:rsid w:val="5C02690E"/>
    <w:rsid w:val="5C196DA7"/>
    <w:rsid w:val="5C2A048C"/>
    <w:rsid w:val="5C80234E"/>
    <w:rsid w:val="5C8A680C"/>
    <w:rsid w:val="5C8F66B0"/>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AD56FC"/>
    <w:rsid w:val="5EFC7377"/>
    <w:rsid w:val="5F06174D"/>
    <w:rsid w:val="5F3A3602"/>
    <w:rsid w:val="5F6277C6"/>
    <w:rsid w:val="5F6D0B1D"/>
    <w:rsid w:val="5F8D0B82"/>
    <w:rsid w:val="5F9A025F"/>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E64657"/>
    <w:rsid w:val="61EE0FC9"/>
    <w:rsid w:val="61F94C26"/>
    <w:rsid w:val="62000E56"/>
    <w:rsid w:val="620D3302"/>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261F6"/>
    <w:rsid w:val="662E75B1"/>
    <w:rsid w:val="66342C2E"/>
    <w:rsid w:val="663E784C"/>
    <w:rsid w:val="668B6A45"/>
    <w:rsid w:val="668E0F61"/>
    <w:rsid w:val="66EF082E"/>
    <w:rsid w:val="672F3F24"/>
    <w:rsid w:val="673E055F"/>
    <w:rsid w:val="67551CE3"/>
    <w:rsid w:val="67A22552"/>
    <w:rsid w:val="67B22DCC"/>
    <w:rsid w:val="67BE71AA"/>
    <w:rsid w:val="67D90273"/>
    <w:rsid w:val="67DE5875"/>
    <w:rsid w:val="67E55852"/>
    <w:rsid w:val="67E70A99"/>
    <w:rsid w:val="67EB1AB4"/>
    <w:rsid w:val="67FA1285"/>
    <w:rsid w:val="68551F4F"/>
    <w:rsid w:val="68724A70"/>
    <w:rsid w:val="687C10C9"/>
    <w:rsid w:val="68840C16"/>
    <w:rsid w:val="68876EFB"/>
    <w:rsid w:val="68884654"/>
    <w:rsid w:val="689279BC"/>
    <w:rsid w:val="689F444F"/>
    <w:rsid w:val="68B96DBB"/>
    <w:rsid w:val="68CA2805"/>
    <w:rsid w:val="68E937A3"/>
    <w:rsid w:val="693E15D3"/>
    <w:rsid w:val="69627681"/>
    <w:rsid w:val="6977531D"/>
    <w:rsid w:val="699116C8"/>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F56B2"/>
    <w:rsid w:val="6D9078AF"/>
    <w:rsid w:val="6DAA3FEF"/>
    <w:rsid w:val="6DC0172B"/>
    <w:rsid w:val="6DCB690C"/>
    <w:rsid w:val="6DD41A5B"/>
    <w:rsid w:val="6DF43C2E"/>
    <w:rsid w:val="6DF51CA3"/>
    <w:rsid w:val="6E8335BD"/>
    <w:rsid w:val="6E8E12EF"/>
    <w:rsid w:val="6E972936"/>
    <w:rsid w:val="6ED446C5"/>
    <w:rsid w:val="6F0F1845"/>
    <w:rsid w:val="6F2A7D94"/>
    <w:rsid w:val="6F817129"/>
    <w:rsid w:val="6F8331F1"/>
    <w:rsid w:val="6FA60AC4"/>
    <w:rsid w:val="6FAE1A09"/>
    <w:rsid w:val="6FD75BF8"/>
    <w:rsid w:val="70367D46"/>
    <w:rsid w:val="707723D0"/>
    <w:rsid w:val="70F5661B"/>
    <w:rsid w:val="71357785"/>
    <w:rsid w:val="71360107"/>
    <w:rsid w:val="713B688E"/>
    <w:rsid w:val="71CD702E"/>
    <w:rsid w:val="71D43752"/>
    <w:rsid w:val="71F1796A"/>
    <w:rsid w:val="72154626"/>
    <w:rsid w:val="72262B5D"/>
    <w:rsid w:val="72283FF7"/>
    <w:rsid w:val="722E7212"/>
    <w:rsid w:val="7237580C"/>
    <w:rsid w:val="723A0474"/>
    <w:rsid w:val="725923E4"/>
    <w:rsid w:val="72864BF7"/>
    <w:rsid w:val="729023FC"/>
    <w:rsid w:val="72E128E9"/>
    <w:rsid w:val="72FD17B8"/>
    <w:rsid w:val="73C0646E"/>
    <w:rsid w:val="742222F5"/>
    <w:rsid w:val="743329DC"/>
    <w:rsid w:val="74476126"/>
    <w:rsid w:val="74706664"/>
    <w:rsid w:val="747F3682"/>
    <w:rsid w:val="749C4185"/>
    <w:rsid w:val="75067759"/>
    <w:rsid w:val="75181EE2"/>
    <w:rsid w:val="752E6DCD"/>
    <w:rsid w:val="75493A3F"/>
    <w:rsid w:val="7551380D"/>
    <w:rsid w:val="75600BE5"/>
    <w:rsid w:val="7564475C"/>
    <w:rsid w:val="7583797F"/>
    <w:rsid w:val="75D20F1D"/>
    <w:rsid w:val="75DA2C18"/>
    <w:rsid w:val="75F54412"/>
    <w:rsid w:val="761D08E0"/>
    <w:rsid w:val="765D347C"/>
    <w:rsid w:val="766539DA"/>
    <w:rsid w:val="76826699"/>
    <w:rsid w:val="76C87133"/>
    <w:rsid w:val="76CD08D5"/>
    <w:rsid w:val="76DB4B92"/>
    <w:rsid w:val="77052AA4"/>
    <w:rsid w:val="77136511"/>
    <w:rsid w:val="772A56EB"/>
    <w:rsid w:val="77340A39"/>
    <w:rsid w:val="77351FD0"/>
    <w:rsid w:val="77472422"/>
    <w:rsid w:val="775070C7"/>
    <w:rsid w:val="777F31F2"/>
    <w:rsid w:val="77B3568E"/>
    <w:rsid w:val="77D1700D"/>
    <w:rsid w:val="77EC04CC"/>
    <w:rsid w:val="782C1324"/>
    <w:rsid w:val="7870579E"/>
    <w:rsid w:val="78775729"/>
    <w:rsid w:val="78A42DB0"/>
    <w:rsid w:val="78A656AB"/>
    <w:rsid w:val="78B2245C"/>
    <w:rsid w:val="78E172CC"/>
    <w:rsid w:val="78EA1D1F"/>
    <w:rsid w:val="7904172F"/>
    <w:rsid w:val="790F7E27"/>
    <w:rsid w:val="792A231A"/>
    <w:rsid w:val="79316829"/>
    <w:rsid w:val="796110D2"/>
    <w:rsid w:val="797E66A9"/>
    <w:rsid w:val="79A97383"/>
    <w:rsid w:val="79E27E8B"/>
    <w:rsid w:val="79E9735F"/>
    <w:rsid w:val="79F850CE"/>
    <w:rsid w:val="79FD443C"/>
    <w:rsid w:val="7A1D1975"/>
    <w:rsid w:val="7A3E5150"/>
    <w:rsid w:val="7A4670D6"/>
    <w:rsid w:val="7A534B63"/>
    <w:rsid w:val="7A615382"/>
    <w:rsid w:val="7A67303B"/>
    <w:rsid w:val="7AA72953"/>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70508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3"/>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1"/>
    <w:link w:val="264"/>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2"/>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0"/>
    <w:qFormat/>
    <w:uiPriority w:val="0"/>
    <w:pPr>
      <w:ind w:firstLine="420"/>
    </w:pPr>
    <w:rPr>
      <w:rFonts w:hAnsi="Calibri" w:cs="Times New Roman"/>
      <w:snapToGrid/>
      <w:szCs w:val="20"/>
    </w:rPr>
  </w:style>
  <w:style w:type="paragraph" w:styleId="26">
    <w:name w:val="List"/>
    <w:basedOn w:val="1"/>
    <w:next w:val="1"/>
    <w:qFormat/>
    <w:uiPriority w:val="0"/>
    <w:pPr>
      <w:ind w:left="200" w:hanging="200" w:hangingChars="200"/>
    </w:p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6"/>
    <w:qFormat/>
    <w:uiPriority w:val="0"/>
    <w:rPr>
      <w:b/>
      <w:bCs/>
    </w:rPr>
  </w:style>
  <w:style w:type="paragraph" w:styleId="61">
    <w:name w:val="Body Text First Indent 2"/>
    <w:basedOn w:val="6"/>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首行缩进"/>
    <w:basedOn w:val="1"/>
    <w:qFormat/>
    <w:uiPriority w:val="0"/>
    <w:pPr>
      <w:spacing w:line="360" w:lineRule="auto"/>
      <w:ind w:firstLine="480" w:firstLineChars="200"/>
    </w:pPr>
    <w:rPr>
      <w:rFonts w:ascii="宋体"/>
      <w:sz w:val="24"/>
      <w:szCs w:val="20"/>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字符"/>
    <w:link w:val="61"/>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9"/>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7"/>
    <w:qFormat/>
    <w:uiPriority w:val="0"/>
    <w:rPr>
      <w:rFonts w:ascii="宋体"/>
      <w:kern w:val="2"/>
      <w:sz w:val="24"/>
      <w:szCs w:val="21"/>
      <w:lang w:val="zh-CN"/>
    </w:rPr>
  </w:style>
  <w:style w:type="character" w:customStyle="1" w:styleId="182">
    <w:name w:val="标题 9 字符"/>
    <w:link w:val="12"/>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9"/>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7"/>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7"/>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79"/>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0"/>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0"/>
    <w:qFormat/>
    <w:uiPriority w:val="0"/>
    <w:rPr>
      <w:b/>
      <w:bCs/>
      <w:kern w:val="2"/>
      <w:sz w:val="24"/>
      <w:szCs w:val="24"/>
    </w:rPr>
  </w:style>
  <w:style w:type="character" w:customStyle="1" w:styleId="307">
    <w:name w:val="正文文本缩进 2 字符"/>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69"/>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字符"/>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0"/>
    <w:rPr>
      <w:kern w:val="2"/>
      <w:sz w:val="21"/>
      <w:szCs w:val="24"/>
    </w:rPr>
  </w:style>
  <w:style w:type="character" w:customStyle="1" w:styleId="344">
    <w:name w:val="签名 字符"/>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79"/>
    <w:next w:val="79"/>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79"/>
    <w:next w:val="79"/>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9"/>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WPSOffice手动目录 1"/>
    <w:qFormat/>
    <w:uiPriority w:val="0"/>
    <w:rPr>
      <w:rFonts w:ascii="Times New Roman" w:hAnsi="Times New Roman" w:eastAsia="宋体" w:cs="Times New Roman"/>
      <w:lang w:val="en-US" w:eastAsia="zh-CN" w:bidi="ar-SA"/>
    </w:rPr>
  </w:style>
  <w:style w:type="character" w:customStyle="1" w:styleId="963">
    <w:name w:val="mark"/>
    <w:qFormat/>
    <w:uiPriority w:val="0"/>
    <w:rPr>
      <w:rFonts w:ascii="Times New Roman" w:hAnsi="Times New Roman" w:eastAsia="宋体" w:cs="Times New Roman"/>
    </w:rPr>
  </w:style>
  <w:style w:type="character" w:customStyle="1" w:styleId="964">
    <w:name w:val="NormalCharacter"/>
    <w:qFormat/>
    <w:uiPriority w:val="0"/>
  </w:style>
  <w:style w:type="character" w:customStyle="1" w:styleId="965">
    <w:name w:val="Anrede1IhrZeichen"/>
    <w:qFormat/>
    <w:uiPriority w:val="0"/>
    <w:rPr>
      <w:rFonts w:ascii="Arial" w:hAnsi="Arial"/>
      <w:sz w:val="20"/>
    </w:rPr>
  </w:style>
  <w:style w:type="table" w:customStyle="1" w:styleId="96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0A29F-395A-4629-90B7-24590CDDF9F2}">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33645</Words>
  <Characters>35703</Characters>
  <Lines>311</Lines>
  <Paragraphs>87</Paragraphs>
  <TotalTime>10</TotalTime>
  <ScaleCrop>false</ScaleCrop>
  <LinksUpToDate>false</LinksUpToDate>
  <CharactersWithSpaces>41976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云-包装类型产品定制</cp:lastModifiedBy>
  <cp:lastPrinted>2021-12-27T03:06:00Z</cp:lastPrinted>
  <dcterms:modified xsi:type="dcterms:W3CDTF">2023-12-02T12:14:40Z</dcterms:modified>
  <dc:title>杭州市市民卡扩大发卡工程</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6B79883A78FD498FB26CB3A9239E812D_13</vt:lpwstr>
  </property>
</Properties>
</file>