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color w:val="auto"/>
          <w:highlight w:val="none"/>
        </w:rPr>
      </w:pPr>
      <w:r>
        <w:rPr>
          <w:rFonts w:hint="eastAsia"/>
          <w:b/>
          <w:color w:val="auto"/>
          <w:spacing w:val="-6"/>
          <w:sz w:val="52"/>
          <w:szCs w:val="52"/>
          <w:highlight w:val="none"/>
          <w:lang w:eastAsia="zh-CN"/>
        </w:rPr>
        <w:t>富阳非物质文化遗产馆第三方运营服务采购项目</w:t>
      </w:r>
    </w:p>
    <w:p>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项目编号：HCCGFY2024-009</w:t>
      </w:r>
      <w:bookmarkStart w:id="7" w:name="_GoBack"/>
      <w:bookmarkEnd w:id="7"/>
    </w:p>
    <w:p>
      <w:pPr>
        <w:pStyle w:val="88"/>
        <w:ind w:left="0" w:leftChars="0" w:firstLine="0" w:firstLineChars="0"/>
        <w:jc w:val="center"/>
        <w:rPr>
          <w:rFonts w:hint="eastAsia" w:hAnsi="宋体"/>
          <w:color w:val="auto"/>
          <w:sz w:val="36"/>
          <w:szCs w:val="36"/>
          <w:highlight w:val="none"/>
        </w:rPr>
      </w:pPr>
      <w:r>
        <w:rPr>
          <w:rFonts w:hint="eastAsia" w:hAnsi="宋体"/>
          <w:color w:val="auto"/>
          <w:sz w:val="36"/>
          <w:szCs w:val="36"/>
          <w:highlight w:val="none"/>
        </w:rPr>
        <w:t>（电子招投标）</w:t>
      </w:r>
    </w:p>
    <w:p>
      <w:pPr>
        <w:pStyle w:val="7"/>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pStyle w:val="50"/>
        <w:spacing w:before="156" w:after="156" w:line="360" w:lineRule="auto"/>
        <w:jc w:val="center"/>
        <w:rPr>
          <w:rFonts w:hint="eastAsia" w:ascii="仿宋" w:hAnsi="仿宋"/>
          <w:color w:val="auto"/>
          <w:sz w:val="32"/>
          <w:szCs w:val="32"/>
          <w:highlight w:val="none"/>
        </w:rPr>
      </w:pPr>
    </w:p>
    <w:p>
      <w:pPr>
        <w:pStyle w:val="50"/>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w:t>
      </w:r>
      <w:r>
        <w:rPr>
          <w:rFonts w:hint="eastAsia" w:ascii="仿宋" w:hAnsi="仿宋"/>
          <w:color w:val="auto"/>
          <w:sz w:val="32"/>
          <w:szCs w:val="32"/>
          <w:highlight w:val="none"/>
          <w:lang w:eastAsia="zh-CN"/>
        </w:rPr>
        <w:t xml:space="preserve"> 杭州市富阳区文化和广电旅游体育局</w:t>
      </w:r>
      <w:r>
        <w:rPr>
          <w:rFonts w:hint="eastAsia" w:ascii="仿宋" w:hAnsi="仿宋"/>
          <w:color w:val="auto"/>
          <w:sz w:val="32"/>
          <w:szCs w:val="32"/>
          <w:highlight w:val="none"/>
        </w:rPr>
        <w:t>(盖章)</w:t>
      </w:r>
    </w:p>
    <w:p>
      <w:pPr>
        <w:spacing w:line="500" w:lineRule="exact"/>
        <w:ind w:right="105"/>
        <w:jc w:val="center"/>
        <w:rPr>
          <w:color w:val="auto"/>
          <w:highlight w:val="none"/>
        </w:rPr>
      </w:pPr>
      <w:r>
        <w:rPr>
          <w:rFonts w:hint="eastAsia"/>
          <w:color w:val="auto"/>
          <w:sz w:val="32"/>
          <w:szCs w:val="32"/>
          <w:highlight w:val="none"/>
        </w:rPr>
        <w:t>采购代理机构：</w:t>
      </w:r>
      <w:r>
        <w:rPr>
          <w:rFonts w:hint="eastAsia"/>
          <w:color w:val="auto"/>
          <w:sz w:val="32"/>
          <w:szCs w:val="32"/>
          <w:highlight w:val="none"/>
          <w:lang w:eastAsia="zh-CN"/>
        </w:rPr>
        <w:t>华诚工程咨询集团有限公司</w:t>
      </w:r>
      <w:r>
        <w:rPr>
          <w:rFonts w:hint="eastAsia"/>
          <w:color w:val="auto"/>
          <w:sz w:val="32"/>
          <w:szCs w:val="32"/>
          <w:highlight w:val="none"/>
        </w:rPr>
        <w:t>(盖章)</w:t>
      </w:r>
    </w:p>
    <w:p>
      <w:pPr>
        <w:spacing w:before="120"/>
        <w:rPr>
          <w:color w:val="auto"/>
          <w:sz w:val="30"/>
          <w:szCs w:val="30"/>
          <w:highlight w:val="none"/>
        </w:rPr>
      </w:pPr>
    </w:p>
    <w:p>
      <w:pPr>
        <w:pStyle w:val="50"/>
        <w:spacing w:before="156" w:after="156" w:line="360" w:lineRule="auto"/>
        <w:ind w:left="1900" w:hanging="640"/>
        <w:rPr>
          <w:rFonts w:ascii="仿宋" w:hAnsi="仿宋"/>
          <w:color w:val="auto"/>
          <w:sz w:val="32"/>
          <w:szCs w:val="32"/>
          <w:highlight w:val="none"/>
        </w:rPr>
      </w:pPr>
    </w:p>
    <w:p>
      <w:pPr>
        <w:pStyle w:val="50"/>
        <w:spacing w:before="156" w:after="156" w:line="360" w:lineRule="auto"/>
        <w:jc w:val="both"/>
        <w:rPr>
          <w:rFonts w:ascii="仿宋" w:hAnsi="仿宋"/>
          <w:b/>
          <w:color w:val="auto"/>
          <w:sz w:val="44"/>
          <w:szCs w:val="44"/>
          <w:highlight w:val="none"/>
        </w:rPr>
      </w:pPr>
    </w:p>
    <w:p>
      <w:pPr>
        <w:pStyle w:val="50"/>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pPr>
        <w:pStyle w:val="50"/>
        <w:spacing w:before="156" w:after="156" w:line="360" w:lineRule="auto"/>
        <w:ind w:left="1900" w:hanging="640"/>
        <w:jc w:val="center"/>
        <w:rPr>
          <w:rFonts w:ascii="仿宋" w:hAnsi="仿宋"/>
          <w:color w:val="auto"/>
          <w:sz w:val="32"/>
          <w:szCs w:val="32"/>
          <w:highlight w:val="none"/>
        </w:rPr>
      </w:pPr>
    </w:p>
    <w:p>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w:t>
      </w:r>
      <w:r>
        <w:rPr>
          <w:rFonts w:hint="eastAsia"/>
          <w:color w:val="auto"/>
          <w:sz w:val="30"/>
          <w:szCs w:val="30"/>
          <w:highlight w:val="none"/>
        </w:rPr>
        <w:t>……………… 3</w:t>
      </w:r>
    </w:p>
    <w:p>
      <w:pPr>
        <w:spacing w:before="120" w:line="480" w:lineRule="exact"/>
        <w:ind w:firstLine="300" w:firstLineChars="100"/>
        <w:rPr>
          <w:rFonts w:hint="eastAsia" w:eastAsia="仿宋"/>
          <w:color w:val="auto"/>
          <w:sz w:val="30"/>
          <w:szCs w:val="30"/>
          <w:highlight w:val="none"/>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9</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40</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46</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54</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62</w:t>
      </w:r>
    </w:p>
    <w:p>
      <w:pPr>
        <w:rPr>
          <w:color w:val="auto"/>
          <w:highlight w:val="none"/>
        </w:rPr>
      </w:pPr>
    </w:p>
    <w:p>
      <w:pPr>
        <w:pStyle w:val="5"/>
        <w:pageBreakBefore w:val="0"/>
        <w:kinsoku/>
        <w:bidi w:val="0"/>
        <w:spacing w:beforeAutospacing="0" w:afterAutospacing="0" w:line="440" w:lineRule="exact"/>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项目概况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富阳非物质文化遗产馆第三方运营服务采购项目</w:t>
            </w:r>
            <w:r>
              <w:rPr>
                <w:rFonts w:hint="eastAsia" w:ascii="仿宋" w:hAnsi="仿宋" w:eastAsia="仿宋" w:cs="仿宋"/>
                <w:color w:val="auto"/>
                <w:highlight w:val="none"/>
              </w:rPr>
              <w:t>的潜在投标人应在政采云平台（https://www.zcygov.cn/）获取（下载）招标文件，并于</w:t>
            </w:r>
            <w:r>
              <w:rPr>
                <w:rFonts w:hint="eastAsia"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9:00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 xml:space="preserve">一、项目基本情况   </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项目编号：HCCGFY2024-009</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：富阳非物质文化遗产馆第三方运营服务采购项目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cs="仿宋"/>
          <w:color w:val="auto"/>
          <w:highlight w:val="none"/>
          <w:lang w:val="en-US" w:eastAsia="zh-CN"/>
        </w:rPr>
        <w:t>1000000</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最高限价（元）：</w:t>
      </w:r>
      <w:r>
        <w:rPr>
          <w:rFonts w:hint="eastAsia" w:cs="仿宋"/>
          <w:color w:val="auto"/>
          <w:highlight w:val="none"/>
          <w:lang w:val="en-US" w:eastAsia="zh-CN"/>
        </w:rPr>
        <w:t>1000000</w:t>
      </w:r>
    </w:p>
    <w:p>
      <w:pPr>
        <w:widowControl/>
        <w:shd w:val="clear" w:color="auto" w:fill="FFFFFF"/>
        <w:spacing w:line="500" w:lineRule="exact"/>
        <w:ind w:firstLine="480"/>
        <w:jc w:val="left"/>
        <w:rPr>
          <w:rFonts w:hint="eastAsia" w:ascii="仿宋" w:hAnsi="仿宋" w:eastAsia="仿宋" w:cs="仿宋"/>
          <w:b/>
          <w:bCs/>
          <w:color w:val="auto"/>
          <w:highlight w:val="none"/>
        </w:rPr>
      </w:pPr>
      <w:r>
        <w:rPr>
          <w:rFonts w:hint="eastAsia" w:ascii="仿宋" w:hAnsi="仿宋" w:eastAsia="仿宋" w:cs="仿宋"/>
          <w:color w:val="auto"/>
          <w:highlight w:val="none"/>
        </w:rPr>
        <w:t>采购需求：</w:t>
      </w:r>
      <w:r>
        <w:rPr>
          <w:rFonts w:hint="eastAsia" w:ascii="仿宋" w:hAnsi="仿宋" w:eastAsia="仿宋" w:cs="仿宋"/>
          <w:color w:val="auto"/>
          <w:sz w:val="24"/>
          <w:szCs w:val="24"/>
          <w:highlight w:val="none"/>
        </w:rPr>
        <w:t>富阳非物质文化遗产馆位于浙江省杭州市富阳区下园沙岛，原儿童公园综合楼，该项目总建筑面积1800平方米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rPr>
        <w:t>其中临时展厅250平方米，城市书屋220平方米，办公室、非遗传承讲习所、大厅其他空间为450平方米。二层为非遗陈列区，面积为880平方米</w:t>
      </w:r>
      <w:r>
        <w:rPr>
          <w:rFonts w:hint="eastAsia"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室外可移动</w:t>
      </w:r>
      <w:r>
        <w:rPr>
          <w:rFonts w:hint="eastAsia" w:ascii="仿宋" w:hAnsi="仿宋" w:eastAsia="仿宋" w:cs="仿宋"/>
          <w:color w:val="auto"/>
          <w:sz w:val="24"/>
          <w:szCs w:val="24"/>
          <w:highlight w:val="none"/>
          <w:u w:val="none"/>
          <w:lang w:val="en-US" w:eastAsia="zh-CN"/>
        </w:rPr>
        <w:t>绿化约</w:t>
      </w:r>
      <w:r>
        <w:rPr>
          <w:rFonts w:hint="eastAsia" w:ascii="仿宋" w:hAnsi="仿宋" w:eastAsia="仿宋" w:cs="仿宋"/>
          <w:color w:val="auto"/>
          <w:sz w:val="24"/>
          <w:szCs w:val="24"/>
          <w:highlight w:val="none"/>
          <w:u w:val="none"/>
          <w:lang w:val="en-US" w:eastAsia="zh-CN"/>
        </w:rPr>
        <w:t>80</w:t>
      </w:r>
      <w:r>
        <w:rPr>
          <w:rFonts w:hint="eastAsia" w:ascii="仿宋" w:hAnsi="仿宋" w:eastAsia="仿宋" w:cs="仿宋"/>
          <w:color w:val="auto"/>
          <w:sz w:val="24"/>
          <w:szCs w:val="24"/>
          <w:highlight w:val="none"/>
          <w:u w:val="none"/>
          <w:lang w:val="en-US" w:eastAsia="zh-CN"/>
        </w:rPr>
        <w:t>平方米</w:t>
      </w:r>
      <w:r>
        <w:rPr>
          <w:rFonts w:hint="eastAsia" w:cs="仿宋"/>
          <w:color w:val="auto"/>
          <w:sz w:val="24"/>
          <w:szCs w:val="24"/>
          <w:highlight w:val="none"/>
          <w:u w:val="none"/>
          <w:lang w:val="en-US" w:eastAsia="zh-CN"/>
        </w:rPr>
        <w:t>。</w:t>
      </w:r>
      <w:r>
        <w:rPr>
          <w:rFonts w:hint="eastAsia" w:ascii="仿宋" w:hAnsi="仿宋" w:eastAsia="仿宋" w:cs="仿宋"/>
          <w:color w:val="auto"/>
          <w:sz w:val="24"/>
          <w:szCs w:val="24"/>
          <w:highlight w:val="none"/>
          <w:lang w:eastAsia="zh-CN"/>
        </w:rPr>
        <w:t>现需委托运营机构</w:t>
      </w:r>
      <w:r>
        <w:rPr>
          <w:rFonts w:hint="eastAsia" w:ascii="仿宋" w:hAnsi="仿宋" w:eastAsia="仿宋" w:cs="仿宋"/>
          <w:color w:val="auto"/>
          <w:sz w:val="24"/>
          <w:szCs w:val="24"/>
          <w:highlight w:val="none"/>
        </w:rPr>
        <w:t>对富阳区非遗馆（含一楼少儿图书馆，以下</w:t>
      </w:r>
      <w:r>
        <w:rPr>
          <w:rFonts w:hint="eastAsia" w:ascii="仿宋" w:hAnsi="仿宋" w:eastAsia="仿宋" w:cs="仿宋"/>
          <w:color w:val="auto"/>
          <w:sz w:val="24"/>
          <w:szCs w:val="24"/>
          <w:highlight w:val="none"/>
          <w:lang w:val="en-US" w:eastAsia="zh-CN"/>
        </w:rPr>
        <w:t>提到均包含在内）</w:t>
      </w:r>
      <w:r>
        <w:rPr>
          <w:rFonts w:hint="eastAsia" w:ascii="仿宋" w:hAnsi="仿宋" w:eastAsia="仿宋" w:cs="仿宋"/>
          <w:color w:val="auto"/>
          <w:sz w:val="24"/>
          <w:szCs w:val="24"/>
          <w:highlight w:val="none"/>
        </w:rPr>
        <w:t>进行运营管理。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标项名称:  </w:t>
      </w:r>
      <w:r>
        <w:rPr>
          <w:rFonts w:hint="eastAsia" w:cs="仿宋"/>
          <w:color w:val="auto"/>
          <w:highlight w:val="none"/>
          <w:lang w:eastAsia="zh-CN"/>
        </w:rPr>
        <w:t>富阳非物质文化遗产馆第三方运营服务采购项目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数量: </w:t>
      </w:r>
      <w:r>
        <w:rPr>
          <w:rFonts w:hint="eastAsia" w:cs="仿宋"/>
          <w:color w:val="auto"/>
          <w:highlight w:val="none"/>
          <w:lang w:val="en-US" w:eastAsia="zh-CN"/>
        </w:rPr>
        <w:t>1</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 </w:t>
      </w:r>
      <w:r>
        <w:rPr>
          <w:rFonts w:hint="eastAsia" w:cs="仿宋"/>
          <w:color w:val="auto"/>
          <w:highlight w:val="none"/>
          <w:lang w:val="en-US" w:eastAsia="zh-CN"/>
        </w:rPr>
        <w:t>1000000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w:t>
      </w:r>
      <w:r>
        <w:rPr>
          <w:rFonts w:hint="eastAsia" w:ascii="仿宋" w:hAnsi="仿宋" w:eastAsia="仿宋" w:cs="仿宋"/>
          <w:color w:val="auto"/>
          <w:sz w:val="24"/>
          <w:szCs w:val="24"/>
          <w:highlight w:val="none"/>
        </w:rPr>
        <w:t>富阳非物质文化遗产馆位于浙江省杭州市富阳区下园沙岛，原儿童公园综合楼，该项目总建筑面积1800平方米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rPr>
        <w:t>其中临时展厅250平方米，城市书屋220平方米，办公室、非遗传承讲习所、大厅其他空间为450平方米。二层为非遗陈列区，面积为880平方米</w:t>
      </w:r>
      <w:r>
        <w:rPr>
          <w:rFonts w:hint="eastAsia"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室外可移动</w:t>
      </w:r>
      <w:r>
        <w:rPr>
          <w:rFonts w:hint="eastAsia" w:ascii="仿宋" w:hAnsi="仿宋" w:eastAsia="仿宋" w:cs="仿宋"/>
          <w:color w:val="auto"/>
          <w:sz w:val="24"/>
          <w:szCs w:val="24"/>
          <w:highlight w:val="none"/>
          <w:u w:val="none"/>
          <w:lang w:val="en-US" w:eastAsia="zh-CN"/>
        </w:rPr>
        <w:t>绿化约</w:t>
      </w:r>
      <w:r>
        <w:rPr>
          <w:rFonts w:hint="eastAsia" w:ascii="仿宋" w:hAnsi="仿宋" w:eastAsia="仿宋" w:cs="仿宋"/>
          <w:color w:val="auto"/>
          <w:sz w:val="24"/>
          <w:szCs w:val="24"/>
          <w:highlight w:val="none"/>
          <w:u w:val="none"/>
          <w:lang w:val="en-US" w:eastAsia="zh-CN"/>
        </w:rPr>
        <w:t>80</w:t>
      </w:r>
      <w:r>
        <w:rPr>
          <w:rFonts w:hint="eastAsia" w:ascii="仿宋" w:hAnsi="仿宋" w:eastAsia="仿宋" w:cs="仿宋"/>
          <w:color w:val="auto"/>
          <w:sz w:val="24"/>
          <w:szCs w:val="24"/>
          <w:highlight w:val="none"/>
          <w:u w:val="none"/>
          <w:lang w:val="en-US" w:eastAsia="zh-CN"/>
        </w:rPr>
        <w:t>平方米</w:t>
      </w:r>
      <w:r>
        <w:rPr>
          <w:rFonts w:hint="eastAsia" w:cs="仿宋"/>
          <w:color w:val="auto"/>
          <w:sz w:val="24"/>
          <w:szCs w:val="24"/>
          <w:highlight w:val="none"/>
          <w:u w:val="none"/>
          <w:lang w:val="en-US" w:eastAsia="zh-CN"/>
        </w:rPr>
        <w:t>。</w:t>
      </w:r>
      <w:r>
        <w:rPr>
          <w:rFonts w:hint="eastAsia" w:ascii="仿宋" w:hAnsi="仿宋" w:eastAsia="仿宋" w:cs="仿宋"/>
          <w:color w:val="auto"/>
          <w:sz w:val="24"/>
          <w:szCs w:val="24"/>
          <w:highlight w:val="none"/>
          <w:lang w:eastAsia="zh-CN"/>
        </w:rPr>
        <w:t>现需委托运营机构</w:t>
      </w:r>
      <w:r>
        <w:rPr>
          <w:rFonts w:hint="eastAsia" w:ascii="仿宋" w:hAnsi="仿宋" w:eastAsia="仿宋" w:cs="仿宋"/>
          <w:color w:val="auto"/>
          <w:sz w:val="24"/>
          <w:szCs w:val="24"/>
          <w:highlight w:val="none"/>
        </w:rPr>
        <w:t>对富阳区非遗馆（含一楼少儿图书馆，以下</w:t>
      </w:r>
      <w:r>
        <w:rPr>
          <w:rFonts w:hint="eastAsia" w:ascii="仿宋" w:hAnsi="仿宋" w:eastAsia="仿宋" w:cs="仿宋"/>
          <w:color w:val="auto"/>
          <w:sz w:val="24"/>
          <w:szCs w:val="24"/>
          <w:highlight w:val="none"/>
          <w:lang w:val="en-US" w:eastAsia="zh-CN"/>
        </w:rPr>
        <w:t>提到均包含在内）</w:t>
      </w:r>
      <w:r>
        <w:rPr>
          <w:rFonts w:hint="eastAsia" w:ascii="仿宋" w:hAnsi="仿宋" w:eastAsia="仿宋" w:cs="仿宋"/>
          <w:color w:val="auto"/>
          <w:sz w:val="24"/>
          <w:szCs w:val="24"/>
          <w:highlight w:val="none"/>
        </w:rPr>
        <w:t>进行运营管理。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备注： </w:t>
      </w:r>
      <w:r>
        <w:rPr>
          <w:rFonts w:hint="eastAsia" w:cs="仿宋"/>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合同履约期限：本项目服务期为两年，自合同签订之日起计，合同为一年一签，考核达到要求签订下一年度的合同。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w:t>
      </w:r>
      <w:r>
        <w:rPr>
          <w:rFonts w:hint="eastAsia" w:ascii="仿宋" w:hAnsi="仿宋" w:cs="仿宋"/>
          <w:color w:val="auto"/>
          <w:szCs w:val="24"/>
          <w:highlight w:val="none"/>
        </w:rPr>
        <w:t>在中华人民共和国境内注册，且符合、承认并承诺履行本招标文件各项规定，所提供的货物和服务须在我国境内合法生产或销售的</w:t>
      </w:r>
      <w:r>
        <w:rPr>
          <w:rFonts w:hint="eastAsia" w:ascii="仿宋" w:hAnsi="仿宋" w:cs="仿宋"/>
          <w:color w:val="auto"/>
          <w:szCs w:val="24"/>
          <w:highlight w:val="none"/>
        </w:rPr>
        <w:t>；未被“信用中国”(www.creditchina.gov.cn)、中国政府采购网（www.ccgp.gov.cn）列入失信被执行人、重大税收违法失信主体、政府采购严重违法失信行为记录名单；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w:t>
      </w:r>
      <w:r>
        <w:rPr>
          <w:rFonts w:hint="eastAsia" w:cs="仿宋"/>
          <w:b/>
          <w:bCs/>
          <w:color w:val="auto"/>
          <w:highlight w:val="none"/>
          <w:lang w:val="en-US" w:eastAsia="zh-CN"/>
        </w:rPr>
        <w:t>是</w:t>
      </w:r>
      <w:r>
        <w:rPr>
          <w:rFonts w:hint="eastAsia" w:ascii="仿宋" w:hAnsi="仿宋" w:eastAsia="仿宋" w:cs="仿宋"/>
          <w:b/>
          <w:bCs/>
          <w:color w:val="auto"/>
          <w:highlight w:val="none"/>
        </w:rPr>
        <w:t>）</w:t>
      </w:r>
      <w:r>
        <w:rPr>
          <w:rFonts w:hint="eastAsia" w:ascii="仿宋" w:hAnsi="仿宋" w:eastAsia="仿宋" w:cs="仿宋"/>
          <w:color w:val="auto"/>
          <w:highlight w:val="none"/>
        </w:rPr>
        <w:t>接受联合体投标。</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落实政府采购政策需满足的资格要求：</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.本项目的特定资格要求：无 </w:t>
      </w:r>
    </w:p>
    <w:p>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  </w:t>
      </w:r>
      <w:r>
        <w:rPr>
          <w:rFonts w:hint="eastAsia" w:cs="仿宋"/>
          <w:color w:val="auto"/>
          <w:highlight w:val="none"/>
          <w:lang w:val="en-US" w:eastAsia="zh-CN"/>
        </w:rPr>
        <w:t>1.</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9:00</w:t>
      </w:r>
      <w:r>
        <w:rPr>
          <w:rFonts w:hint="eastAsia" w:ascii="仿宋" w:hAnsi="仿宋" w:eastAsia="仿宋" w:cs="仿宋"/>
          <w:color w:val="auto"/>
          <w:highlight w:val="none"/>
        </w:rPr>
        <w:t> ，</w:t>
      </w:r>
      <w:r>
        <w:rPr>
          <w:rFonts w:hint="eastAsia" w:ascii="仿宋" w:hAnsi="仿宋" w:eastAsia="仿宋" w:cs="仿宋"/>
          <w:color w:val="auto"/>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2.</w:t>
      </w:r>
      <w:r>
        <w:rPr>
          <w:rFonts w:hint="eastAsia" w:ascii="仿宋" w:hAnsi="仿宋" w:eastAsia="仿宋" w:cs="仿宋"/>
          <w:color w:val="auto"/>
          <w:highlight w:val="none"/>
        </w:rPr>
        <w:t>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w:t>
      </w:r>
      <w:r>
        <w:rPr>
          <w:rFonts w:hint="eastAsia"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30</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30</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开标地点（网址）：</w:t>
      </w:r>
      <w:r>
        <w:rPr>
          <w:rFonts w:hint="eastAsia" w:ascii="仿宋" w:hAnsi="仿宋" w:eastAsia="仿宋" w:cs="仿宋"/>
          <w:color w:val="auto"/>
          <w:highlight w:val="none"/>
          <w:u w:val="single"/>
          <w:lang w:val="en-US" w:eastAsia="zh-CN"/>
        </w:rPr>
        <w:t xml:space="preserve"> </w:t>
      </w:r>
      <w:r>
        <w:rPr>
          <w:rFonts w:hint="eastAsia" w:cs="仿宋"/>
          <w:color w:val="auto"/>
          <w:highlight w:val="none"/>
          <w:u w:val="single"/>
          <w:lang w:val="en-US" w:eastAsia="zh-CN"/>
        </w:rPr>
        <w:t>华诚工程咨询集团有限公司一楼会议室（杭州市富阳区富春街道凤浦路197号）</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rPr>
        <w:t>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u w:val="single"/>
          <w:lang w:val="en-US" w:eastAsia="zh-CN"/>
        </w:rPr>
        <w:t>http://www.ccgp-zhejiang.gov.cn/site/detail?parentId=600007&amp;articleId=da3QKEk0zobU2jlSXcheFA%3D%3D&amp;utm=site.site-PC-37000.979-pc-websitegroup-zhejiang-secondPage-front.1.b6a5e8a0f61011eeb81d4929b5113f33</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六、公告期限</w:t>
      </w:r>
      <w:r>
        <w:rPr>
          <w:rFonts w:hint="eastAsia" w:ascii="仿宋" w:hAnsi="仿宋" w:eastAsia="仿宋" w:cs="仿宋"/>
          <w:b/>
          <w:bCs/>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highlight w:val="none"/>
          <w:lang w:eastAsia="zh-CN"/>
        </w:rPr>
        <w:t>、</w:t>
      </w:r>
      <w:r>
        <w:rPr>
          <w:rFonts w:hint="eastAsia" w:ascii="仿宋" w:hAnsi="仿宋" w:cs="仿宋"/>
          <w:color w:val="auto"/>
          <w:szCs w:val="24"/>
          <w:highlight w:val="none"/>
        </w:rPr>
        <w:t>《浙江省财政厅关于进一步加大政府采购支持中小企业力度助力扎实稳住经济的通知》（浙财采监（2022）8号）</w:t>
      </w:r>
      <w:r>
        <w:rPr>
          <w:rFonts w:hint="eastAsia" w:ascii="仿宋" w:hAnsi="仿宋" w:eastAsia="仿宋" w:cs="仿宋"/>
          <w:color w:val="auto"/>
          <w:highlight w:val="none"/>
        </w:rPr>
        <w:t>已分别于2022年1月29日</w:t>
      </w:r>
      <w:r>
        <w:rPr>
          <w:rFonts w:hint="eastAsia" w:cs="仿宋"/>
          <w:color w:val="auto"/>
          <w:highlight w:val="none"/>
          <w:lang w:eastAsia="zh-CN"/>
        </w:rPr>
        <w:t>、</w:t>
      </w:r>
      <w:r>
        <w:rPr>
          <w:rFonts w:hint="eastAsia" w:ascii="仿宋" w:hAnsi="仿宋" w:eastAsia="仿宋" w:cs="仿宋"/>
          <w:color w:val="auto"/>
          <w:highlight w:val="none"/>
        </w:rPr>
        <w:t>2022年2月1日</w:t>
      </w:r>
      <w:r>
        <w:rPr>
          <w:rFonts w:hint="eastAsia" w:cs="仿宋"/>
          <w:color w:val="auto"/>
          <w:highlight w:val="none"/>
          <w:lang w:eastAsia="zh-CN"/>
        </w:rPr>
        <w:t>、</w:t>
      </w:r>
      <w:r>
        <w:rPr>
          <w:rFonts w:hint="eastAsia" w:ascii="仿宋" w:hAnsi="仿宋" w:cs="仿宋"/>
          <w:color w:val="auto"/>
          <w:szCs w:val="24"/>
          <w:highlight w:val="none"/>
        </w:rPr>
        <w:t>2022年7月1日</w:t>
      </w:r>
      <w:r>
        <w:rPr>
          <w:rFonts w:hint="eastAsia" w:ascii="仿宋" w:hAnsi="仿宋" w:eastAsia="仿宋" w:cs="仿宋"/>
          <w:color w:val="auto"/>
          <w:highlight w:val="none"/>
        </w:rPr>
        <w:t>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w:t>
      </w: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.其他事项：</w:t>
      </w:r>
      <w:r>
        <w:rPr>
          <w:rFonts w:hint="eastAsia" w:cs="仿宋"/>
          <w:color w:val="auto"/>
          <w:highlight w:val="none"/>
          <w:lang w:eastAsia="zh-CN"/>
        </w:rPr>
        <w:t>（</w:t>
      </w:r>
      <w:r>
        <w:rPr>
          <w:rFonts w:hint="eastAsia" w:cs="仿宋"/>
          <w:color w:val="auto"/>
          <w:highlight w:val="none"/>
          <w:lang w:val="en-US" w:eastAsia="zh-CN"/>
        </w:rPr>
        <w:t>1</w:t>
      </w:r>
      <w:r>
        <w:rPr>
          <w:rFonts w:hint="eastAsia" w:cs="仿宋"/>
          <w:color w:val="auto"/>
          <w:highlight w:val="none"/>
          <w:lang w:eastAsia="zh-CN"/>
        </w:rPr>
        <w:t>）</w:t>
      </w:r>
      <w:r>
        <w:rPr>
          <w:rFonts w:hint="eastAsia" w:ascii="仿宋" w:hAnsi="仿宋" w:eastAsia="仿宋" w:cs="仿宋"/>
          <w:color w:val="auto"/>
          <w:highlight w:val="none"/>
        </w:rPr>
        <w:t>落实政府采购政策：包括保护环境、节约能源、促进中小企业发展等。详见招标文件投标人须知。</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（2）</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本采购项目，中标单位与采购人签订的政府采购合同适用于杭州市富阳区政府采购贷款政策，简称“政采贷”，具体内容可参阅《富阳区“政采贷”办理指引》http://www.fuyang.gov.cn/art/2024/4/1/art_1228923243_59356997.html</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highlight w:val="none"/>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rPr>
        <w:t>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名    称：</w:t>
      </w:r>
      <w:r>
        <w:rPr>
          <w:rFonts w:hint="eastAsia" w:cs="仿宋"/>
          <w:color w:val="auto"/>
          <w:highlight w:val="none"/>
          <w:lang w:eastAsia="zh-CN"/>
        </w:rPr>
        <w:t xml:space="preserve"> 杭州市富阳区文化和广电旅游体育局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址：富阳区江滨西大道325号A座</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传    真：  </w:t>
      </w:r>
      <w:r>
        <w:rPr>
          <w:rFonts w:hint="eastAsia" w:cs="仿宋"/>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w:t>
      </w:r>
      <w:r>
        <w:rPr>
          <w:rFonts w:hint="eastAsia" w:ascii="仿宋" w:hAnsi="仿宋" w:eastAsia="仿宋" w:cs="仿宋"/>
          <w:color w:val="auto"/>
          <w:highlight w:val="none"/>
        </w:rPr>
        <w:t xml:space="preserve"> 项目联系人（询问）：李涵奇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w:t>
      </w:r>
      <w:r>
        <w:rPr>
          <w:rFonts w:hint="eastAsia" w:cs="仿宋"/>
          <w:color w:val="auto"/>
          <w:highlight w:val="none"/>
          <w:lang w:val="en-US" w:eastAsia="zh-CN"/>
        </w:rPr>
        <w:t xml:space="preserve"> </w:t>
      </w:r>
      <w:r>
        <w:rPr>
          <w:rFonts w:hint="eastAsia" w:ascii="仿宋" w:hAnsi="仿宋" w:eastAsia="仿宋" w:cs="仿宋"/>
          <w:color w:val="auto"/>
          <w:highlight w:val="none"/>
        </w:rPr>
        <w:t xml:space="preserve"> 项目联系方式（询问）：0571-63343392</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质疑联系人：李莲君</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质疑联系方式：</w:t>
      </w:r>
      <w:r>
        <w:rPr>
          <w:rFonts w:hint="eastAsia" w:cs="仿宋"/>
          <w:color w:val="auto"/>
          <w:highlight w:val="none"/>
          <w:lang w:val="en-US" w:eastAsia="zh-CN"/>
        </w:rPr>
        <w:t>0571-63343392</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2.采购代理机构信息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名    称：华诚工程咨询集团有限公司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cs="仿宋"/>
          <w:color w:val="auto"/>
          <w:highlight w:val="none"/>
          <w:lang w:eastAsia="zh-CN"/>
        </w:rPr>
        <w:t>杭州市富阳区凤浦路</w:t>
      </w:r>
      <w:r>
        <w:rPr>
          <w:rFonts w:hint="eastAsia" w:cs="仿宋"/>
          <w:color w:val="auto"/>
          <w:highlight w:val="none"/>
          <w:lang w:val="en-US" w:eastAsia="zh-CN"/>
        </w:rPr>
        <w:t>197号</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eastAsia="zh-CN"/>
        </w:rPr>
        <w:t>邮</w:t>
      </w:r>
      <w:r>
        <w:rPr>
          <w:rFonts w:hint="eastAsia" w:cs="仿宋"/>
          <w:color w:val="auto"/>
          <w:highlight w:val="none"/>
          <w:lang w:val="en-US" w:eastAsia="zh-CN"/>
        </w:rPr>
        <w:t xml:space="preserve">   </w:t>
      </w:r>
      <w:r>
        <w:rPr>
          <w:rFonts w:hint="eastAsia" w:cs="仿宋"/>
          <w:color w:val="auto"/>
          <w:highlight w:val="none"/>
          <w:lang w:eastAsia="zh-CN"/>
        </w:rPr>
        <w:t>箱</w:t>
      </w:r>
      <w:r>
        <w:rPr>
          <w:rFonts w:hint="eastAsia" w:ascii="仿宋" w:hAnsi="仿宋" w:eastAsia="仿宋" w:cs="仿宋"/>
          <w:color w:val="auto"/>
          <w:highlight w:val="none"/>
        </w:rPr>
        <w:t>：</w:t>
      </w:r>
      <w:r>
        <w:rPr>
          <w:rFonts w:hint="eastAsia" w:cs="仿宋"/>
          <w:color w:val="auto"/>
          <w:highlight w:val="none"/>
          <w:lang w:val="en-US" w:eastAsia="zh-CN"/>
        </w:rPr>
        <w:t>1181378055@qq.com</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cs="仿宋"/>
          <w:color w:val="auto"/>
          <w:highlight w:val="none"/>
          <w:lang w:val="en-US" w:eastAsia="zh-CN"/>
        </w:rPr>
        <w:t>周冰洁</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 </w:t>
      </w:r>
      <w:r>
        <w:rPr>
          <w:rFonts w:hint="eastAsia" w:cs="仿宋"/>
          <w:color w:val="auto"/>
          <w:highlight w:val="none"/>
          <w:lang w:val="en-US" w:eastAsia="zh-CN"/>
        </w:rPr>
        <w:t>0571-62051531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质疑联系人：</w:t>
      </w:r>
      <w:r>
        <w:rPr>
          <w:rFonts w:hint="eastAsia" w:cs="仿宋"/>
          <w:color w:val="auto"/>
          <w:highlight w:val="none"/>
          <w:lang w:eastAsia="zh-CN"/>
        </w:rPr>
        <w:t>徐银华</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质疑联系方式：</w:t>
      </w:r>
      <w:r>
        <w:rPr>
          <w:rFonts w:hint="eastAsia" w:cs="仿宋"/>
          <w:color w:val="auto"/>
          <w:highlight w:val="none"/>
          <w:lang w:val="en-US" w:eastAsia="zh-CN"/>
        </w:rPr>
        <w:t>0571-61772168</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3.同级政府采购监督管理部门信息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名 称：杭州市富阳区财政局政府采购监督管理科/浙江省政府采购行政裁决服务中心（杭州）</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址：杭州市上城区四季青街道新业路市民之家G03办公室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邮 箱：cjzxhz@163.com</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 ：沈女士/朱女士</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监督投诉电话：0571-61772959/0571-85252453</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firstLine="373"/>
        <w:textAlignment w:val="auto"/>
        <w:rPr>
          <w:rFonts w:hint="eastAsia"/>
          <w:color w:val="auto"/>
          <w:highlight w:val="none"/>
          <w:lang w:val="en-US" w:eastAsia="zh-CN"/>
        </w:rPr>
      </w:pPr>
      <w:r>
        <w:rPr>
          <w:rFonts w:hint="eastAsia" w:ascii="仿宋" w:hAnsi="仿宋" w:eastAsia="仿宋" w:cs="仿宋"/>
          <w:color w:val="auto"/>
          <w:highlight w:val="none"/>
        </w:rPr>
        <w:t>浙江省本级、杭州市本级、拱墅区、富阳区政府采购项目投诉材料可寄送：浙江省政府采购行政裁决服务中心（杭州），地址：杭州市上城区四季青街道新业路市民之家G03办公室，收件人：朱女士，电话：0571-85252453</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若对项目采购电子交易系统操作有疑问，可登录政采</w:t>
      </w:r>
      <w:r>
        <w:rPr>
          <w:rFonts w:hint="eastAsia" w:ascii="仿宋" w:hAnsi="仿宋" w:eastAsia="仿宋" w:cs="仿宋"/>
          <w:b/>
          <w:bCs/>
          <w:color w:val="auto"/>
          <w:highlight w:val="none"/>
          <w:lang w:val="en-US" w:eastAsia="zh-CN"/>
        </w:rPr>
        <w:t>云（https://www.zcygov.cn/），点击右侧咨询小采，获取采小蜜智能服务管家帮助，或拨打政采云服务热线</w:t>
      </w:r>
      <w:r>
        <w:rPr>
          <w:rFonts w:hint="eastAsia" w:cs="仿宋"/>
          <w:b/>
          <w:bCs/>
          <w:color w:val="auto"/>
          <w:highlight w:val="none"/>
          <w:lang w:val="en-US" w:eastAsia="zh-CN"/>
        </w:rPr>
        <w:t>95763</w:t>
      </w:r>
      <w:r>
        <w:rPr>
          <w:rFonts w:hint="eastAsia" w:ascii="仿宋" w:hAnsi="仿宋" w:eastAsia="仿宋" w:cs="仿宋"/>
          <w:b/>
          <w:bCs/>
          <w:color w:val="auto"/>
          <w:highlight w:val="none"/>
          <w:lang w:val="en-US" w:eastAsia="zh-CN"/>
        </w:rPr>
        <w:t>获取热线服务帮助。     </w:t>
      </w:r>
      <w:r>
        <w:rPr>
          <w:rFonts w:hint="eastAsia" w:ascii="仿宋" w:hAnsi="仿宋" w:eastAsia="仿宋" w:cs="仿宋"/>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auto"/>
          <w:highlight w:val="none"/>
          <w:lang w:eastAsia="zh-CN"/>
        </w:rPr>
      </w:pPr>
    </w:p>
    <w:p>
      <w:pPr>
        <w:pageBreakBefore w:val="0"/>
        <w:kinsoku/>
        <w:bidi w:val="0"/>
        <w:spacing w:beforeAutospacing="0" w:afterAutospacing="0" w:line="440" w:lineRule="exact"/>
        <w:jc w:val="right"/>
        <w:rPr>
          <w:rFonts w:hint="eastAsia"/>
          <w:color w:val="auto"/>
          <w:highlight w:val="none"/>
          <w:lang w:eastAsia="zh-CN"/>
        </w:rPr>
      </w:pP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 xml:space="preserve"> 杭州市富阳区文化和广电旅游体育局</w:t>
      </w: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4</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9</w:t>
      </w:r>
      <w:r>
        <w:rPr>
          <w:rFonts w:hint="eastAsia"/>
          <w:color w:val="auto"/>
          <w:highlight w:val="none"/>
          <w:u w:val="single"/>
        </w:rPr>
        <w:t>日</w:t>
      </w:r>
    </w:p>
    <w:p>
      <w:pPr>
        <w:pageBreakBefore w:val="0"/>
        <w:kinsoku/>
        <w:bidi w:val="0"/>
        <w:spacing w:beforeAutospacing="0" w:afterAutospacing="0" w:line="440" w:lineRule="exact"/>
        <w:rPr>
          <w:b/>
          <w:color w:val="auto"/>
          <w:sz w:val="36"/>
          <w:szCs w:val="36"/>
          <w:highlight w:val="none"/>
        </w:rPr>
      </w:pPr>
      <w:r>
        <w:rPr>
          <w:b/>
          <w:color w:val="auto"/>
          <w:sz w:val="36"/>
          <w:szCs w:val="36"/>
          <w:highlight w:val="none"/>
        </w:rPr>
        <w:br w:type="page"/>
      </w:r>
    </w:p>
    <w:p>
      <w:pPr>
        <w:pStyle w:val="5"/>
        <w:pageBreakBefore w:val="0"/>
        <w:kinsoku/>
        <w:bidi w:val="0"/>
        <w:spacing w:beforeAutospacing="0" w:afterAutospacing="0" w:line="440" w:lineRule="exact"/>
        <w:rPr>
          <w:color w:val="auto"/>
          <w:highlight w:val="none"/>
        </w:rPr>
      </w:pPr>
      <w:bookmarkStart w:id="1" w:name="_Toc236940849"/>
      <w:r>
        <w:rPr>
          <w:rFonts w:hint="eastAsia"/>
          <w:color w:val="auto"/>
          <w:highlight w:val="none"/>
        </w:rPr>
        <w:t>第二章  投标人须知</w:t>
      </w:r>
      <w:bookmarkEnd w:id="1"/>
    </w:p>
    <w:p>
      <w:pPr>
        <w:pStyle w:val="6"/>
        <w:pageBreakBefore w:val="0"/>
        <w:kinsoku/>
        <w:bidi w:val="0"/>
        <w:spacing w:before="0" w:beforeAutospacing="0" w:after="0" w:afterAutospacing="0" w:line="440" w:lineRule="exact"/>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富阳非物质文化遗产馆第三方运营服务采购项目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100</w:t>
            </w:r>
            <w:r>
              <w:rPr>
                <w:rFonts w:hint="eastAsia"/>
                <w:color w:val="auto"/>
                <w:highlight w:val="none"/>
              </w:rPr>
              <w:t>万元，最高限价为</w:t>
            </w:r>
            <w:r>
              <w:rPr>
                <w:rFonts w:hint="eastAsia"/>
                <w:color w:val="auto"/>
                <w:highlight w:val="none"/>
                <w:u w:val="single"/>
                <w:lang w:val="en-US" w:eastAsia="zh-CN"/>
              </w:rPr>
              <w:t>100</w:t>
            </w:r>
            <w:r>
              <w:rPr>
                <w:rFonts w:hint="eastAsia"/>
                <w:color w:val="auto"/>
                <w:highlight w:val="none"/>
              </w:rPr>
              <w:t xml:space="preserve">万元 </w:t>
            </w:r>
            <w:r>
              <w:rPr>
                <w:rFonts w:hint="eastAsia"/>
                <w:color w:val="auto"/>
                <w:highlight w:val="none"/>
                <w:lang w:eastAsia="zh-CN"/>
              </w:rPr>
              <w:t>，超过最高限价的投标无效。</w:t>
            </w:r>
          </w:p>
          <w:p>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rPr>
              <w:t>：</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7"/>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7"/>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开标地点：华诚工程咨询集团有限公司一楼会议室（杭州市富阳区富春街道凤浦路197号）。</w:t>
            </w:r>
            <w:r>
              <w:rPr>
                <w:rFonts w:hint="eastAsia" w:ascii="仿宋" w:hAnsi="仿宋"/>
                <w:color w:val="auto"/>
                <w:szCs w:val="24"/>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本项目不允许转包</w:t>
            </w:r>
          </w:p>
          <w:p>
            <w:pPr>
              <w:pageBreakBefore w:val="0"/>
              <w:kinsoku/>
              <w:wordWrap w:val="0"/>
              <w:topLinePunct/>
              <w:bidi w:val="0"/>
              <w:snapToGrid w:val="0"/>
              <w:spacing w:beforeAutospacing="0" w:afterAutospacing="0" w:line="440" w:lineRule="exact"/>
              <w:ind w:left="480" w:hanging="480" w:hangingChars="200"/>
              <w:rPr>
                <w:rFonts w:ascii="宋体" w:hAnsi="宋体" w:cs="宋体"/>
                <w:color w:val="auto"/>
                <w:sz w:val="24"/>
                <w:highlight w:val="none"/>
              </w:rPr>
            </w:pPr>
            <w:r>
              <w:rPr>
                <w:rFonts w:hint="eastAsia"/>
                <w:color w:val="auto"/>
                <w:highlight w:val="none"/>
              </w:rPr>
              <w:t>（2）</w:t>
            </w:r>
            <w:r>
              <w:rPr>
                <w:rFonts w:hint="eastAsia" w:ascii="宋体" w:hAnsi="宋体" w:cs="宋体"/>
                <w:color w:val="auto"/>
                <w:sz w:val="24"/>
                <w:highlight w:val="none"/>
                <w:lang w:val="en-US" w:eastAsia="zh-CN"/>
              </w:rPr>
              <w:t xml:space="preserve"> </w:t>
            </w: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sz w:val="24"/>
                <w:highlight w:val="none"/>
              </w:rPr>
              <w:t>不同意分包。</w:t>
            </w:r>
          </w:p>
          <w:p>
            <w:pPr>
              <w:pStyle w:val="107"/>
              <w:pageBreakBefore w:val="0"/>
              <w:kinsoku/>
              <w:wordWrap w:val="0"/>
              <w:topLinePunct/>
              <w:bidi w:val="0"/>
              <w:spacing w:before="0" w:beforeAutospacing="0" w:after="0" w:afterAutospacing="0" w:line="440" w:lineRule="exact"/>
              <w:ind w:left="0"/>
              <w:rPr>
                <w:rFonts w:hint="eastAsia" w:ascii="仿宋" w:hAnsi="仿宋" w:eastAsia="仿宋"/>
                <w:color w:val="auto"/>
                <w:szCs w:val="24"/>
                <w:highlight w:val="none"/>
                <w:lang w:val="en-US" w:eastAsia="zh-CN"/>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topLinePunct/>
              <w:bidi w:val="0"/>
              <w:snapToGrid w:val="0"/>
              <w:spacing w:beforeAutospacing="0" w:afterAutospacing="0" w:line="440" w:lineRule="exact"/>
              <w:rPr>
                <w:color w:val="auto"/>
                <w:highlight w:val="none"/>
              </w:rPr>
            </w:pPr>
            <w:r>
              <w:rPr>
                <w:rFonts w:ascii="仿宋" w:hAnsi="仿宋" w:eastAsia="仿宋" w:cs="仿宋"/>
                <w:color w:val="auto"/>
                <w:kern w:val="3"/>
                <w:sz w:val="24"/>
                <w:szCs w:val="24"/>
                <w:highlight w:val="none"/>
                <w:lang w:val="en-US" w:eastAsia="zh-CN" w:bidi="ar-SA"/>
              </w:rPr>
              <w:t>（1）</w:t>
            </w:r>
            <w:r>
              <w:rPr>
                <w:rFonts w:hint="eastAsia"/>
                <w:color w:val="auto"/>
                <w:highlight w:val="none"/>
              </w:rPr>
              <w:t>开标前答疑会：不组织</w:t>
            </w:r>
          </w:p>
          <w:p>
            <w:pPr>
              <w:pageBreakBefore w:val="0"/>
              <w:numPr>
                <w:ilvl w:val="0"/>
                <w:numId w:val="0"/>
              </w:numPr>
              <w:kinsoku/>
              <w:wordWrap w:val="0"/>
              <w:topLinePunct/>
              <w:bidi w:val="0"/>
              <w:snapToGrid w:val="0"/>
              <w:spacing w:beforeAutospacing="0" w:afterAutospacing="0" w:line="440" w:lineRule="exact"/>
              <w:rPr>
                <w:color w:val="auto"/>
                <w:highlight w:val="none"/>
              </w:rPr>
            </w:pPr>
            <w:r>
              <w:rPr>
                <w:rFonts w:ascii="仿宋" w:hAnsi="仿宋" w:eastAsia="仿宋" w:cs="仿宋"/>
                <w:color w:val="auto"/>
                <w:kern w:val="3"/>
                <w:sz w:val="24"/>
                <w:szCs w:val="24"/>
                <w:highlight w:val="none"/>
                <w:lang w:val="en-US" w:eastAsia="zh-CN" w:bidi="ar-SA"/>
              </w:rPr>
              <w:t>（2）</w:t>
            </w:r>
            <w:r>
              <w:rPr>
                <w:rFonts w:hint="eastAsia"/>
                <w:color w:val="auto"/>
                <w:highlight w:val="none"/>
              </w:rPr>
              <w:t>现场踏勘：不统一组织，如需现场踏勘，请潜在投标人自行联系采购人进行踏勘。</w:t>
            </w:r>
          </w:p>
          <w:p>
            <w:pPr>
              <w:pageBreakBefore w:val="0"/>
              <w:kinsoku/>
              <w:wordWrap w:val="0"/>
              <w:topLinePunct/>
              <w:bidi w:val="0"/>
              <w:snapToGrid w:val="0"/>
              <w:spacing w:beforeAutospacing="0" w:afterAutospacing="0" w:line="440" w:lineRule="exact"/>
              <w:rPr>
                <w:rFonts w:hint="default" w:eastAsia="仿宋" w:cs="Arial"/>
                <w:color w:val="auto"/>
                <w:highlight w:val="none"/>
                <w:lang w:val="en-US" w:eastAsia="zh-CN"/>
              </w:rPr>
            </w:pPr>
            <w:r>
              <w:rPr>
                <w:rFonts w:hint="eastAsia" w:cs="Arial"/>
                <w:color w:val="auto"/>
                <w:highlight w:val="none"/>
              </w:rPr>
              <w:t>采购人联系方式：联系人：</w:t>
            </w:r>
            <w:r>
              <w:rPr>
                <w:rFonts w:hint="eastAsia" w:cs="宋体"/>
                <w:bCs/>
                <w:color w:val="auto"/>
                <w:kern w:val="0"/>
                <w:sz w:val="24"/>
                <w:szCs w:val="24"/>
                <w:highlight w:val="none"/>
                <w:u w:val="single"/>
                <w:lang w:val="en-US" w:eastAsia="zh-CN"/>
              </w:rPr>
              <w:t>李涵奇</w:t>
            </w:r>
            <w:r>
              <w:rPr>
                <w:rFonts w:hint="eastAsia" w:cs="Arial"/>
                <w:color w:val="auto"/>
                <w:highlight w:val="none"/>
              </w:rPr>
              <w:t xml:space="preserve"> 联系电话：</w:t>
            </w:r>
            <w:r>
              <w:rPr>
                <w:rFonts w:hint="eastAsia"/>
                <w:color w:val="auto"/>
                <w:highlight w:val="none"/>
                <w:u w:val="single"/>
                <w:lang w:val="en-US" w:eastAsia="zh-CN"/>
              </w:rPr>
              <w:t>0571-63343392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cs="Arial"/>
                <w:color w:val="auto"/>
                <w:highlight w:val="none"/>
              </w:rPr>
            </w:pPr>
            <w:r>
              <w:rPr>
                <w:rFonts w:hint="eastAsia"/>
                <w:color w:val="auto"/>
                <w:highlight w:val="none"/>
                <w:lang w:eastAsia="zh-CN"/>
              </w:rPr>
              <w:t>综合评分法。具</w:t>
            </w:r>
            <w:r>
              <w:rPr>
                <w:rFonts w:hint="eastAsia"/>
                <w:color w:val="auto"/>
                <w:highlight w:val="none"/>
                <w:lang w:eastAsia="zh-CN"/>
              </w:rPr>
              <w:t>体详见</w:t>
            </w:r>
            <w:r>
              <w:rPr>
                <w:rFonts w:hint="eastAsia"/>
                <w:color w:val="auto"/>
                <w:highlight w:val="none"/>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仿宋"/>
                <w:color w:val="auto"/>
                <w:highlight w:val="none"/>
                <w:lang w:val="en-US" w:eastAsia="zh-CN"/>
              </w:rPr>
            </w:pPr>
            <w:r>
              <w:rPr>
                <w:rFonts w:hint="eastAsia"/>
                <w:color w:val="auto"/>
                <w:highlight w:val="none"/>
                <w:lang w:val="en-US" w:eastAsia="zh-CN"/>
              </w:rPr>
              <w:sym w:font="Wingdings 2" w:char="0052"/>
            </w:r>
            <w:r>
              <w:rPr>
                <w:rFonts w:hint="eastAsia"/>
                <w:color w:val="auto"/>
                <w:highlight w:val="none"/>
                <w:lang w:val="en-US" w:eastAsia="zh-CN"/>
              </w:rPr>
              <w:t xml:space="preserve"> 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val="en-US" w:eastAsia="zh-CN"/>
              </w:rPr>
            </w:pPr>
            <w:r>
              <w:rPr>
                <w:rFonts w:hint="eastAsia"/>
                <w:color w:val="auto"/>
                <w:highlight w:val="none"/>
                <w:lang w:val="en-US" w:eastAsia="zh-CN"/>
              </w:rPr>
              <w:sym w:font="Wingdings 2" w:char="00A3"/>
            </w:r>
            <w:r>
              <w:rPr>
                <w:rFonts w:hint="eastAsia"/>
                <w:color w:val="auto"/>
                <w:highlight w:val="none"/>
                <w:lang w:val="en-US" w:eastAsia="zh-CN"/>
              </w:rPr>
              <w:t xml:space="preserve"> A不要求演示</w:t>
            </w:r>
          </w:p>
          <w:p>
            <w:pPr>
              <w:pStyle w:val="27"/>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default"/>
                <w:color w:val="auto"/>
                <w:highlight w:val="none"/>
                <w:lang w:val="en-US" w:eastAsia="zh-CN"/>
              </w:rPr>
            </w:pP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color w:val="auto"/>
                <w:highlight w:val="none"/>
                <w:lang w:val="en-US" w:eastAsia="zh-CN"/>
              </w:rPr>
              <w:t>要求演示(现场演示或</w:t>
            </w:r>
            <w:r>
              <w:rPr>
                <w:rFonts w:hint="eastAsia"/>
                <w:color w:val="auto"/>
                <w:highlight w:val="none"/>
                <w:lang w:val="en-US" w:eastAsia="zh-CN"/>
              </w:rPr>
              <w:t>视频演示</w:t>
            </w:r>
            <w:r>
              <w:rPr>
                <w:rFonts w:hint="eastAsia"/>
                <w:color w:val="auto"/>
                <w:highlight w:val="none"/>
                <w:lang w:val="en-US" w:eastAsia="zh-CN"/>
              </w:rPr>
              <w:t>）</w:t>
            </w:r>
          </w:p>
          <w:p>
            <w:pPr>
              <w:pStyle w:val="27"/>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现场演示时间：</w:t>
            </w:r>
            <w:r>
              <w:rPr>
                <w:rFonts w:hint="eastAsia"/>
                <w:color w:val="auto"/>
                <w:highlight w:val="none"/>
                <w:u w:val="single"/>
                <w:lang w:val="en-US" w:eastAsia="zh-CN"/>
              </w:rPr>
              <w:t xml:space="preserve"> 20</w:t>
            </w:r>
            <w:r>
              <w:rPr>
                <w:rFonts w:hint="eastAsia"/>
                <w:color w:val="auto"/>
                <w:highlight w:val="none"/>
                <w:lang w:eastAsia="zh-CN"/>
              </w:rPr>
              <w:t>分钟</w:t>
            </w:r>
            <w:r>
              <w:rPr>
                <w:rFonts w:hint="eastAsia"/>
                <w:color w:val="auto"/>
                <w:highlight w:val="none"/>
                <w:lang w:eastAsia="zh-CN"/>
              </w:rPr>
              <w:t>，</w:t>
            </w:r>
            <w:r>
              <w:rPr>
                <w:rFonts w:hint="eastAsia" w:ascii="仿宋" w:hAnsi="仿宋" w:cs="仿宋"/>
                <w:b/>
                <w:bCs/>
                <w:color w:val="auto"/>
                <w:szCs w:val="24"/>
                <w:highlight w:val="none"/>
              </w:rPr>
              <w:t>含专家提问环节</w:t>
            </w:r>
            <w:r>
              <w:rPr>
                <w:rFonts w:hint="eastAsia"/>
                <w:color w:val="auto"/>
                <w:highlight w:val="none"/>
                <w:lang w:eastAsia="zh-CN"/>
              </w:rPr>
              <w:t>。讲解次序以投标文件解密时间先后次序为准。</w:t>
            </w:r>
          </w:p>
          <w:p>
            <w:pPr>
              <w:pStyle w:val="2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default"/>
                <w:color w:val="auto"/>
                <w:highlight w:val="none"/>
                <w:lang w:val="en-US" w:eastAsia="zh-CN"/>
              </w:rPr>
            </w:pPr>
            <w:r>
              <w:rPr>
                <w:rFonts w:hint="eastAsia"/>
                <w:color w:val="auto"/>
                <w:highlight w:val="none"/>
                <w:lang w:val="en-US" w:eastAsia="zh-CN"/>
              </w:rPr>
              <w:t>(2)现场演示地点：华诚工程咨询集团有限公司一楼会议室（杭州市富阳区富春街道凤浦路197号）</w:t>
            </w:r>
          </w:p>
          <w:p>
            <w:pPr>
              <w:pStyle w:val="27"/>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现场演示要求：详见招标文件。</w:t>
            </w:r>
          </w:p>
          <w:p>
            <w:pPr>
              <w:pStyle w:val="27"/>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val="en-US" w:eastAsia="zh-CN"/>
              </w:rPr>
            </w:pPr>
            <w:r>
              <w:rPr>
                <w:rFonts w:hint="eastAsia"/>
                <w:color w:val="auto"/>
                <w:highlight w:val="none"/>
                <w:lang w:val="en-US" w:eastAsia="zh-CN"/>
              </w:rPr>
              <w:t>注：投标人演示人员于投标截止时间前到达</w:t>
            </w:r>
            <w:r>
              <w:rPr>
                <w:rFonts w:hint="eastAsia" w:cs="仿宋"/>
                <w:color w:val="auto"/>
                <w:highlight w:val="none"/>
                <w:u w:val="single"/>
                <w:lang w:val="en-US" w:eastAsia="zh-CN"/>
              </w:rPr>
              <w:t>华诚工程咨询集团有限公司一楼会议室（杭州市富阳区富春街道凤浦路197号）</w:t>
            </w:r>
            <w:r>
              <w:rPr>
                <w:rFonts w:hint="eastAsia"/>
                <w:color w:val="auto"/>
                <w:highlight w:val="none"/>
                <w:lang w:val="en-US" w:eastAsia="zh-CN"/>
              </w:rPr>
              <w:t>等候，逾期到达的视为主动放弃现场演示，演示人员请自行准备相关设备及网络环境进行现场演示。</w:t>
            </w:r>
          </w:p>
          <w:p>
            <w:pPr>
              <w:pageBreakBefore w:val="0"/>
              <w:kinsoku/>
              <w:wordWrap w:val="0"/>
              <w:topLinePunct/>
              <w:bidi w:val="0"/>
              <w:snapToGrid w:val="0"/>
              <w:spacing w:beforeAutospacing="0" w:afterAutospacing="0" w:line="440" w:lineRule="exact"/>
              <w:rPr>
                <w:rFonts w:hint="eastAsia"/>
                <w:color w:val="auto"/>
                <w:highlight w:val="none"/>
                <w:lang w:val="en-US" w:eastAsia="zh-CN"/>
              </w:rPr>
            </w:pPr>
            <w:r>
              <w:rPr>
                <w:rFonts w:hint="eastAsia"/>
                <w:color w:val="auto"/>
                <w:highlight w:val="none"/>
                <w:lang w:val="en-US" w:eastAsia="zh-CN"/>
              </w:rPr>
              <w:t>投标方案演示人员须与投标人存在劳动关系，提供授权委托书、身份证明及社保证明。因投标人自身原因导致无法演示或者演示效果不理想的，责任自负。</w:t>
            </w:r>
          </w:p>
          <w:p>
            <w:pPr>
              <w:pStyle w:val="50"/>
              <w:rPr>
                <w:rFonts w:hint="eastAsia"/>
                <w:color w:val="auto"/>
                <w:highlight w:val="none"/>
              </w:rPr>
            </w:pPr>
            <w:r>
              <w:rPr>
                <w:rFonts w:hint="eastAsia"/>
                <w:color w:val="auto"/>
                <w:highlight w:val="none"/>
              </w:rPr>
              <w:t>投标人须自行携带演示所需的计算机等设备，并准备网络环境自行调试。演示时间控制在</w:t>
            </w:r>
            <w:r>
              <w:rPr>
                <w:rFonts w:hint="eastAsia"/>
                <w:color w:val="auto"/>
                <w:highlight w:val="none"/>
                <w:u w:val="single"/>
                <w:lang w:val="en-US" w:eastAsia="zh-CN"/>
              </w:rPr>
              <w:t>20</w:t>
            </w:r>
            <w:r>
              <w:rPr>
                <w:rFonts w:hint="eastAsia"/>
                <w:color w:val="auto"/>
                <w:highlight w:val="none"/>
              </w:rPr>
              <w:t>分钟内。</w:t>
            </w:r>
          </w:p>
          <w:p>
            <w:pPr>
              <w:pStyle w:val="27"/>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val="en-US" w:eastAsia="zh-CN"/>
              </w:rPr>
            </w:pPr>
            <w:r>
              <w:rPr>
                <w:rFonts w:hint="eastAsia" w:ascii="宋体" w:hAnsi="Courier New" w:eastAsia="仿宋" w:cs="仿宋"/>
                <w:color w:val="auto"/>
                <w:kern w:val="3"/>
                <w:sz w:val="24"/>
                <w:szCs w:val="24"/>
                <w:highlight w:val="none"/>
                <w:lang w:val="en-US" w:eastAsia="zh-CN" w:bidi="ar-SA"/>
              </w:rPr>
              <w:t>将演示内容提前拍摄成视频并压缩加密（密码由投标人自行保管），视频播放时间控制在</w:t>
            </w:r>
            <w:r>
              <w:rPr>
                <w:rFonts w:hint="eastAsia" w:ascii="宋体" w:hAnsi="Courier New" w:cs="仿宋"/>
                <w:color w:val="auto"/>
                <w:kern w:val="3"/>
                <w:sz w:val="24"/>
                <w:szCs w:val="24"/>
                <w:highlight w:val="none"/>
                <w:u w:val="single"/>
                <w:lang w:val="en-US" w:eastAsia="zh-CN" w:bidi="ar-SA"/>
              </w:rPr>
              <w:t>20</w:t>
            </w:r>
            <w:r>
              <w:rPr>
                <w:rFonts w:hint="eastAsia" w:ascii="宋体" w:hAnsi="Courier New" w:eastAsia="仿宋" w:cs="仿宋"/>
                <w:color w:val="auto"/>
                <w:kern w:val="3"/>
                <w:sz w:val="24"/>
                <w:szCs w:val="24"/>
                <w:highlight w:val="none"/>
                <w:lang w:val="en-US" w:eastAsia="zh-CN" w:bidi="ar-SA"/>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本项目专门面向中小</w:t>
            </w:r>
            <w:r>
              <w:rPr>
                <w:rFonts w:hint="eastAsia"/>
                <w:b/>
                <w:bCs/>
                <w:color w:val="auto"/>
                <w:highlight w:val="none"/>
                <w:lang w:eastAsia="zh-CN"/>
              </w:rPr>
              <w:t>微</w:t>
            </w:r>
            <w:r>
              <w:rPr>
                <w:rFonts w:hint="eastAsia"/>
                <w:b/>
                <w:bCs/>
                <w:color w:val="auto"/>
                <w:highlight w:val="none"/>
              </w:rPr>
              <w:t>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《关于印发中小企业划型标准规定的通知》（工信部联企业〔2011〕300号）规定的划分标准。</w:t>
            </w:r>
          </w:p>
          <w:p>
            <w:pPr>
              <w:pageBreakBefore w:val="0"/>
              <w:numPr>
                <w:ilvl w:val="0"/>
                <w:numId w:val="2"/>
              </w:numPr>
              <w:kinsoku/>
              <w:wordWrap w:val="0"/>
              <w:topLinePunct/>
              <w:bidi w:val="0"/>
              <w:snapToGrid w:val="0"/>
              <w:spacing w:beforeAutospacing="0" w:afterAutospacing="0" w:line="440" w:lineRule="exact"/>
              <w:rPr>
                <w:rFonts w:hint="eastAsia"/>
                <w:b w:val="0"/>
                <w:bCs w:val="0"/>
                <w:color w:val="auto"/>
                <w:highlight w:val="none"/>
              </w:rPr>
            </w:pPr>
            <w:r>
              <w:rPr>
                <w:rFonts w:hint="eastAsia"/>
                <w:b w:val="0"/>
                <w:bCs w:val="0"/>
                <w:color w:val="auto"/>
                <w:highlight w:val="none"/>
              </w:rPr>
              <w:t>采购标的：富阳非物质文化遗产馆第三方运营服务</w:t>
            </w:r>
          </w:p>
          <w:p>
            <w:pPr>
              <w:pageBreakBefore w:val="0"/>
              <w:numPr>
                <w:ilvl w:val="0"/>
                <w:numId w:val="0"/>
              </w:numPr>
              <w:kinsoku/>
              <w:wordWrap w:val="0"/>
              <w:topLinePunct/>
              <w:bidi w:val="0"/>
              <w:snapToGrid w:val="0"/>
              <w:spacing w:beforeAutospacing="0" w:afterAutospacing="0" w:line="440" w:lineRule="exact"/>
              <w:rPr>
                <w:rFonts w:hint="default" w:eastAsia="仿宋" w:cs="Arial"/>
                <w:color w:val="auto"/>
                <w:highlight w:val="none"/>
                <w:u w:val="single"/>
                <w:lang w:val="en-US" w:eastAsia="zh-CN"/>
              </w:rPr>
            </w:pPr>
            <w:r>
              <w:rPr>
                <w:rFonts w:hint="eastAsia"/>
                <w:b/>
                <w:bCs/>
                <w:color w:val="auto"/>
                <w:highlight w:val="none"/>
              </w:rPr>
              <w:t>（2）所属行业：其他未列明行业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3"/>
              </w:numPr>
              <w:kinsoku/>
              <w:wordWrap w:val="0"/>
              <w:topLinePunct/>
              <w:bidi w:val="0"/>
              <w:spacing w:beforeAutospacing="0" w:afterAutospacing="0" w:line="440" w:lineRule="exact"/>
              <w:jc w:val="left"/>
              <w:rPr>
                <w:b/>
                <w:bCs/>
                <w:color w:val="auto"/>
                <w:highlight w:val="none"/>
              </w:rPr>
            </w:pPr>
            <w:r>
              <w:rPr>
                <w:rFonts w:hint="eastAsia"/>
                <w:b/>
                <w:bCs/>
                <w:color w:val="auto"/>
                <w:highlight w:val="none"/>
              </w:rPr>
              <w:t>根据财库〔2020〕</w:t>
            </w:r>
            <w:r>
              <w:rPr>
                <w:rFonts w:hint="eastAsia"/>
                <w:b/>
                <w:bCs/>
                <w:color w:val="auto"/>
                <w:highlight w:val="none"/>
              </w:rPr>
              <w:t>46号</w:t>
            </w:r>
            <w:r>
              <w:rPr>
                <w:rFonts w:hint="eastAsia"/>
                <w:b/>
                <w:bCs/>
                <w:color w:val="auto"/>
                <w:highlight w:val="none"/>
                <w:lang w:eastAsia="zh-CN"/>
              </w:rPr>
              <w:t>、</w:t>
            </w:r>
            <w:r>
              <w:rPr>
                <w:rFonts w:hint="eastAsia"/>
                <w:b/>
                <w:bCs/>
                <w:color w:val="auto"/>
                <w:highlight w:val="none"/>
              </w:rPr>
              <w:t>财库〔202</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en-US" w:eastAsia="zh-CN"/>
              </w:rPr>
              <w:t>19</w:t>
            </w:r>
            <w:r>
              <w:rPr>
                <w:rFonts w:hint="eastAsia"/>
                <w:b/>
                <w:bCs/>
                <w:color w:val="auto"/>
                <w:highlight w:val="none"/>
              </w:rPr>
              <w:t>号的相关规定</w:t>
            </w:r>
            <w:r>
              <w:rPr>
                <w:rFonts w:hint="eastAsia"/>
                <w:b/>
                <w:bCs/>
                <w:color w:val="auto"/>
                <w:highlight w:val="none"/>
                <w:lang w:eastAsia="zh-CN"/>
              </w:rPr>
              <w:t>：</w:t>
            </w:r>
          </w:p>
          <w:p>
            <w:pPr>
              <w:pStyle w:val="1024"/>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r>
              <w:rPr>
                <w:rFonts w:hint="eastAsia" w:ascii="仿宋" w:hAnsi="仿宋" w:eastAsia="仿宋" w:cs="仿宋"/>
                <w:color w:val="auto"/>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w:t>
            </w:r>
            <w:r>
              <w:rPr>
                <w:rFonts w:hint="eastAsia"/>
                <w:b/>
                <w:bCs/>
                <w:color w:val="auto"/>
                <w:kern w:val="2"/>
                <w:highlight w:val="none"/>
              </w:rPr>
              <w:t>予</w:t>
            </w:r>
            <w:r>
              <w:rPr>
                <w:rFonts w:hint="eastAsia"/>
                <w:b/>
                <w:bCs/>
                <w:color w:val="auto"/>
                <w:kern w:val="2"/>
                <w:highlight w:val="none"/>
                <w:lang w:val="en-US" w:eastAsia="zh-CN"/>
              </w:rPr>
              <w:t>10-20</w:t>
            </w:r>
            <w:r>
              <w:rPr>
                <w:rFonts w:hint="eastAsia"/>
                <w:b/>
                <w:bCs/>
                <w:color w:val="auto"/>
                <w:kern w:val="2"/>
                <w:highlight w:val="none"/>
              </w:rPr>
              <w:t>%的扣除，</w:t>
            </w:r>
            <w:r>
              <w:rPr>
                <w:rFonts w:hint="eastAsia"/>
                <w:b/>
                <w:bCs/>
                <w:color w:val="auto"/>
                <w:kern w:val="2"/>
                <w:highlight w:val="none"/>
              </w:rPr>
              <w:t>用扣除后的价格参与评审。</w:t>
            </w:r>
            <w:r>
              <w:rPr>
                <w:rFonts w:hint="eastAsia" w:ascii="宋体" w:hAnsi="宋体" w:cs="宋体"/>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color w:val="auto"/>
                <w:sz w:val="24"/>
                <w:highlight w:val="none"/>
                <w:lang w:eastAsia="zh-CN"/>
              </w:rPr>
              <w:t>予</w:t>
            </w:r>
            <w:r>
              <w:rPr>
                <w:rFonts w:hint="eastAsia" w:ascii="宋体" w:hAnsi="宋体" w:cs="宋体"/>
                <w:color w:val="auto"/>
                <w:sz w:val="24"/>
                <w:highlight w:val="none"/>
                <w:lang w:val="en-US" w:eastAsia="zh-CN"/>
              </w:rPr>
              <w:t>4-6%</w:t>
            </w:r>
            <w:r>
              <w:rPr>
                <w:rFonts w:hint="eastAsia" w:ascii="宋体" w:hAnsi="宋体" w:cs="宋体"/>
                <w:color w:val="auto"/>
                <w:sz w:val="24"/>
                <w:highlight w:val="none"/>
              </w:rPr>
              <w:t>的扣除，</w:t>
            </w:r>
            <w:r>
              <w:rPr>
                <w:rFonts w:hint="eastAsia" w:ascii="宋体" w:hAnsi="宋体" w:cs="宋体"/>
                <w:color w:val="auto"/>
                <w:sz w:val="24"/>
                <w:highlight w:val="none"/>
              </w:rPr>
              <w:t>用扣除后的价格参加评审。组成联合体或者接受分包的小微企业与联合体内其他企业、分包企业之间存在直接控股、管理关系的，不享受价格扣除优惠政策。</w:t>
            </w:r>
          </w:p>
          <w:p>
            <w:pPr>
              <w:keepNext/>
              <w:keepLines/>
              <w:pageBreakBefore w:val="0"/>
              <w:kinsoku/>
              <w:wordWrap w:val="0"/>
              <w:topLinePunct/>
              <w:bidi w:val="0"/>
              <w:spacing w:beforeAutospacing="0" w:afterAutospacing="0" w:line="440" w:lineRule="exact"/>
              <w:ind w:firstLine="470" w:firstLineChars="196"/>
              <w:rPr>
                <w:rFonts w:hint="eastAsia"/>
                <w:color w:val="auto"/>
                <w:highlight w:val="none"/>
                <w:lang w:val="zh-CN"/>
              </w:rPr>
            </w:pPr>
            <w:r>
              <w:rPr>
                <w:rFonts w:hint="eastAsia" w:ascii="仿宋" w:hAnsi="仿宋" w:eastAsia="仿宋" w:cs="仿宋"/>
                <w:color w:val="auto"/>
                <w:sz w:val="24"/>
                <w:highlight w:val="none"/>
                <w:u w:val="none"/>
              </w:rPr>
              <w:sym w:font="Wingdings" w:char="00FE"/>
            </w:r>
            <w:r>
              <w:rPr>
                <w:rFonts w:hint="eastAsia"/>
                <w:b/>
                <w:bCs/>
                <w:color w:val="auto"/>
                <w:kern w:val="2"/>
                <w:highlight w:val="none"/>
              </w:rPr>
              <w:t>对于专门面向中、小、微型企业或者监狱企业或者残疾人福利性单位，符合资格条件的不再执行价格评审优惠的扶持政策。</w:t>
            </w:r>
          </w:p>
          <w:p>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2"/>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topLinePunct/>
              <w:bidi w:val="0"/>
              <w:spacing w:beforeAutospacing="0" w:afterAutospacing="0" w:line="440" w:lineRule="exact"/>
              <w:ind w:firstLine="482" w:firstLineChars="200"/>
              <w:jc w:val="left"/>
              <w:rPr>
                <w:b/>
                <w:bCs/>
                <w:color w:val="auto"/>
                <w:highlight w:val="none"/>
              </w:rPr>
            </w:pPr>
            <w:r>
              <w:rPr>
                <w:rFonts w:hint="eastAsia"/>
                <w:b/>
                <w:bCs/>
                <w:color w:val="auto"/>
                <w:highlight w:val="none"/>
                <w:lang w:val="zh-CN"/>
              </w:rPr>
              <w:t>符合上述条件的，请填写中小企业声明函。</w:t>
            </w:r>
          </w:p>
          <w:p>
            <w:pPr>
              <w:pageBreakBefore w:val="0"/>
              <w:kinsoku/>
              <w:wordWrap w:val="0"/>
              <w:topLinePunct/>
              <w:autoSpaceDE w:val="0"/>
              <w:autoSpaceDN w:val="0"/>
              <w:bidi w:val="0"/>
              <w:snapToGrid w:val="0"/>
              <w:spacing w:beforeAutospacing="0" w:afterAutospacing="0" w:line="440" w:lineRule="exact"/>
              <w:textAlignment w:val="bottom"/>
              <w:rPr>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topLinePunct/>
              <w:bidi w:val="0"/>
              <w:spacing w:beforeAutospacing="0" w:afterAutospacing="0" w:line="440" w:lineRule="exact"/>
              <w:jc w:val="left"/>
              <w:rPr>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pPr>
              <w:pageBreakBefore w:val="0"/>
              <w:kinsoku/>
              <w:wordWrap w:val="0"/>
              <w:topLinePunct/>
              <w:bidi w:val="0"/>
              <w:spacing w:beforeAutospacing="0" w:afterAutospacing="0" w:line="440" w:lineRule="exact"/>
              <w:jc w:val="left"/>
              <w:rPr>
                <w:b/>
                <w:bCs/>
                <w:color w:val="auto"/>
                <w:highlight w:val="none"/>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color w:val="auto"/>
                <w:highlight w:val="none"/>
              </w:rPr>
              <w:t>微企业、监狱企业、残疾人福利性单位的，其《中小企业声明函》、监狱企业证明文件、《残疾人福利性单位声明函》随中标结果同时公告，接受社会监督。</w:t>
            </w:r>
          </w:p>
          <w:p>
            <w:pPr>
              <w:pageBreakBefore w:val="0"/>
              <w:kinsoku/>
              <w:wordWrap w:val="0"/>
              <w:topLinePunct/>
              <w:bidi w:val="0"/>
              <w:snapToGrid w:val="0"/>
              <w:spacing w:beforeAutospacing="0" w:afterAutospacing="0" w:line="440" w:lineRule="exact"/>
              <w:ind w:firstLine="482" w:firstLineChars="200"/>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color w:val="auto"/>
                <w:highlight w:val="none"/>
                <w:lang w:eastAsia="zh-CN"/>
              </w:rPr>
            </w:pPr>
            <w:r>
              <w:rPr>
                <w:rFonts w:hint="eastAsia"/>
                <w:b/>
                <w:bCs/>
                <w:color w:val="auto"/>
                <w:highlight w:val="none"/>
              </w:rPr>
              <w:t>1</w:t>
            </w: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color w:val="auto"/>
                <w:highlight w:val="none"/>
              </w:rPr>
              <w:t>节</w:t>
            </w:r>
            <w:r>
              <w:rPr>
                <w:rFonts w:hint="eastAsia"/>
                <w:b/>
                <w:bCs/>
                <w:color w:val="auto"/>
                <w:highlight w:val="none"/>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2"/>
              <w:pageBreakBefore w:val="0"/>
              <w:kinsoku/>
              <w:wordWrap w:val="0"/>
              <w:topLinePunct/>
              <w:bidi w:val="0"/>
              <w:spacing w:before="0" w:beforeAutospacing="0" w:after="0" w:afterAutospacing="0" w:line="440" w:lineRule="exact"/>
              <w:jc w:val="left"/>
              <w:rPr>
                <w:rFonts w:hint="eastAsia"/>
                <w:color w:val="auto"/>
                <w:sz w:val="24"/>
                <w:szCs w:val="24"/>
                <w:highlight w:val="none"/>
                <w:shd w:val="clear" w:color="auto" w:fill="FFFFFF"/>
              </w:rPr>
            </w:pPr>
          </w:p>
          <w:p>
            <w:pPr>
              <w:pStyle w:val="2"/>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2"/>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2"/>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2"/>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2"/>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color w:val="auto"/>
                <w:highlight w:val="none"/>
              </w:rPr>
            </w:pPr>
            <w:r>
              <w:rPr>
                <w:rFonts w:hint="eastAsia" w:ascii="仿宋" w:hAnsi="仿宋" w:eastAsia="仿宋" w:cs="仿宋"/>
                <w:b/>
                <w:color w:val="auto"/>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color w:val="auto"/>
                <w:highlight w:val="none"/>
                <w:lang w:val="en-US" w:eastAsia="zh-CN"/>
              </w:rPr>
            </w:pPr>
            <w:r>
              <w:rPr>
                <w:rFonts w:hint="eastAsia"/>
                <w:color w:val="auto"/>
                <w:highlight w:val="none"/>
                <w:lang w:val="en-US" w:eastAsia="zh-CN"/>
              </w:rPr>
              <w:t>（1）修缮、装修类项目采购建材的，采购人应将绿色建筑和绿色建材性能、指标等作为实质性条件纳入招标文件和合同。</w:t>
            </w:r>
          </w:p>
          <w:p>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color w:val="auto"/>
                <w:highlight w:val="none"/>
                <w:lang w:val="en-US" w:eastAsia="zh-CN"/>
              </w:rPr>
            </w:pPr>
            <w:r>
              <w:rPr>
                <w:rFonts w:hint="eastAsia"/>
                <w:color w:val="auto"/>
                <w:highlight w:val="none"/>
                <w:lang w:val="en-US" w:eastAsia="zh-CN"/>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color w:val="auto"/>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ascii="仿宋" w:hAnsi="仿宋" w:eastAsia="仿宋" w:cs="仿宋"/>
                <w:color w:val="auto"/>
                <w:kern w:val="3"/>
                <w:sz w:val="24"/>
                <w:szCs w:val="24"/>
                <w:highlight w:val="none"/>
                <w:lang w:val="en-US" w:eastAsia="zh-CN" w:bidi="ar-SA"/>
              </w:rPr>
            </w:pPr>
            <w:r>
              <w:rPr>
                <w:rFonts w:hint="eastAsia"/>
                <w:b/>
                <w:bCs/>
                <w:color w:val="auto"/>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（1）采购人优先采购被认定为首台套产品和“制造精品”的自主创新产品。</w:t>
            </w:r>
          </w:p>
          <w:p>
            <w:pPr>
              <w:pageBreakBefore w:val="0"/>
              <w:kinsoku/>
              <w:wordWrap w:val="0"/>
              <w:topLinePunct/>
              <w:bidi w:val="0"/>
              <w:snapToGrid w:val="0"/>
              <w:spacing w:beforeAutospacing="0" w:afterAutospacing="0" w:line="440" w:lineRule="exac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评标结束后</w:t>
            </w:r>
            <w:r>
              <w:rPr>
                <w:rFonts w:hint="eastAsia"/>
                <w:color w:val="auto"/>
                <w:highlight w:val="none"/>
                <w:lang w:val="en-US" w:eastAsia="zh-CN"/>
              </w:rPr>
              <w:t>7</w:t>
            </w:r>
            <w:r>
              <w:rPr>
                <w:rFonts w:hint="eastAsia"/>
                <w:color w:val="auto"/>
                <w:highlight w:val="none"/>
              </w:rPr>
              <w:t>个工作日内发布</w:t>
            </w:r>
            <w:r>
              <w:rPr>
                <w:rFonts w:hint="eastAsia"/>
                <w:color w:val="auto"/>
                <w:highlight w:val="none"/>
                <w:lang w:val="en-US" w:eastAsia="zh-CN"/>
              </w:rPr>
              <w:t>中标、成交</w:t>
            </w:r>
            <w:r>
              <w:rPr>
                <w:rFonts w:hint="eastAsia"/>
                <w:color w:val="auto"/>
                <w:highlight w:val="none"/>
              </w:rPr>
              <w:t>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color w:val="auto"/>
                <w:highlight w:val="none"/>
                <w:lang w:val="en-US" w:eastAsia="zh-CN"/>
              </w:rPr>
              <w:sym w:font="Wingdings 2" w:char="00A3"/>
            </w:r>
            <w:r>
              <w:rPr>
                <w:rFonts w:hint="eastAsia"/>
                <w:color w:val="auto"/>
                <w:highlight w:val="none"/>
                <w:lang w:val="en-US" w:eastAsia="zh-CN"/>
              </w:rPr>
              <w:t xml:space="preserve"> A本项目不收取履约保证金</w:t>
            </w:r>
            <w:r>
              <w:rPr>
                <w:rFonts w:hint="eastAsia" w:ascii="宋体" w:hAnsi="宋体" w:cs="宋体"/>
                <w:color w:val="auto"/>
                <w:sz w:val="24"/>
                <w:highlight w:val="none"/>
              </w:rPr>
              <w:t>。</w:t>
            </w:r>
          </w:p>
          <w:p>
            <w:pPr>
              <w:spacing w:line="360" w:lineRule="auto"/>
              <w:rPr>
                <w:rFonts w:ascii="宋体" w:hAnsi="宋体" w:cs="宋体"/>
                <w:color w:val="auto"/>
                <w:kern w:val="0"/>
                <w:sz w:val="24"/>
                <w:highlight w:val="none"/>
              </w:rPr>
            </w:pP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kern w:val="0"/>
                <w:sz w:val="24"/>
                <w:highlight w:val="none"/>
                <w:lang w:val="en-US" w:eastAsia="zh-CN"/>
              </w:rPr>
              <w:t>本项目需收取履约保证金</w:t>
            </w:r>
            <w:r>
              <w:rPr>
                <w:rFonts w:hint="eastAsia" w:ascii="宋体" w:hAnsi="宋体" w:cs="宋体"/>
                <w:color w:val="auto"/>
                <w:kern w:val="0"/>
                <w:sz w:val="24"/>
                <w:highlight w:val="none"/>
              </w:rPr>
              <w:t>，</w:t>
            </w:r>
          </w:p>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pPr>
              <w:pageBreakBefore w:val="0"/>
              <w:kinsoku/>
              <w:wordWrap w:val="0"/>
              <w:topLinePunct/>
              <w:bidi w:val="0"/>
              <w:snapToGrid w:val="0"/>
              <w:spacing w:beforeAutospacing="0" w:afterAutospacing="0" w:line="440" w:lineRule="exact"/>
              <w:rPr>
                <w:color w:val="auto"/>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w:t>
            </w:r>
            <w:r>
              <w:rPr>
                <w:rFonts w:hint="eastAsia" w:ascii="仿宋" w:hAnsi="仿宋" w:cs="仿宋"/>
                <w:color w:val="auto"/>
                <w:szCs w:val="24"/>
                <w:highlight w:val="none"/>
              </w:rPr>
              <w:t>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val="en-US" w:eastAsia="zh-CN"/>
              </w:rPr>
            </w:pPr>
            <w:r>
              <w:rPr>
                <w:rFonts w:hint="eastAsia"/>
                <w:b/>
                <w:bCs/>
                <w:color w:val="auto"/>
                <w:highlight w:val="none"/>
              </w:rPr>
              <w:t>2</w:t>
            </w: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topLinePunct/>
              <w:bidi w:val="0"/>
              <w:snapToGrid w:val="0"/>
              <w:spacing w:beforeAutospacing="0" w:afterAutospacing="0" w:line="440" w:lineRule="exact"/>
              <w:rPr>
                <w:b/>
                <w:bCs/>
                <w:color w:val="auto"/>
                <w:highlight w:val="none"/>
              </w:rPr>
            </w:pPr>
            <w:r>
              <w:rPr>
                <w:rFonts w:hint="eastAsia"/>
                <w:b/>
                <w:bCs/>
                <w:color w:val="auto"/>
                <w:highlight w:val="none"/>
              </w:rPr>
              <w:t>▲投标人须按时自行解密，规定时间内解密失败的，投标无效。</w:t>
            </w:r>
          </w:p>
          <w:p>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pPr>
              <w:pStyle w:val="10"/>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pPr>
              <w:pStyle w:val="10"/>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pPr>
              <w:pageBreakBefore w:val="0"/>
              <w:kinsoku/>
              <w:wordWrap w:val="0"/>
              <w:topLinePunct/>
              <w:bidi w:val="0"/>
              <w:snapToGrid w:val="0"/>
              <w:spacing w:beforeAutospacing="0" w:afterAutospacing="0" w:line="440" w:lineRule="exact"/>
              <w:jc w:val="center"/>
              <w:rPr>
                <w:rFonts w:hint="eastAsia"/>
                <w:color w:val="auto"/>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color w:val="auto"/>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olor w:val="auto"/>
                <w:highlight w:val="none"/>
              </w:rPr>
            </w:pPr>
            <w:r>
              <w:rPr>
                <w:rFonts w:hint="eastAsia"/>
                <w:color w:val="auto"/>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28</w:t>
            </w:r>
          </w:p>
        </w:tc>
        <w:tc>
          <w:tcPr>
            <w:tcW w:w="16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仿宋" w:cs="宋体"/>
                <w:b/>
                <w:color w:val="auto"/>
                <w:kern w:val="3"/>
                <w:sz w:val="24"/>
                <w:szCs w:val="24"/>
                <w:highlight w:val="none"/>
                <w:lang w:val="en-US" w:eastAsia="zh-CN" w:bidi="ar-SA"/>
              </w:rPr>
            </w:pPr>
            <w:r>
              <w:rPr>
                <w:rFonts w:hint="eastAsia"/>
                <w:b/>
                <w:bCs/>
                <w:color w:val="auto"/>
                <w:highlight w:val="none"/>
                <w:lang w:val="en-US" w:eastAsia="zh-CN"/>
              </w:rPr>
              <w:t>联合体相关</w:t>
            </w:r>
            <w:r>
              <w:rPr>
                <w:rFonts w:hint="eastAsia"/>
                <w:b/>
                <w:bCs/>
                <w:color w:val="auto"/>
                <w:highlight w:val="none"/>
                <w:lang w:eastAsia="zh-CN"/>
              </w:rPr>
              <w:t>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val="0"/>
                <w:bCs/>
                <w:color w:val="auto"/>
                <w:szCs w:val="24"/>
                <w:highlight w:val="none"/>
                <w:lang w:val="en-US" w:eastAsia="zh-CN"/>
              </w:rPr>
              <w:t>30</w:t>
            </w:r>
          </w:p>
        </w:tc>
        <w:tc>
          <w:tcPr>
            <w:tcW w:w="1640"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宋体" w:hAnsi="宋体" w:cs="宋体"/>
                <w:snapToGrid w:val="0"/>
                <w:color w:val="auto"/>
                <w:kern w:val="28"/>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31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Autospacing="0" w:afterAutospacing="0" w:line="440" w:lineRule="exact"/>
              <w:rPr>
                <w:color w:val="auto"/>
                <w:highlight w:val="none"/>
                <w:lang w:val="zh-CN"/>
              </w:rPr>
            </w:pPr>
            <w:r>
              <w:rPr>
                <w:rFonts w:hint="eastAsia"/>
                <w:color w:val="auto"/>
                <w:highlight w:val="none"/>
                <w:lang w:eastAsia="zh-CN"/>
              </w:rPr>
              <w:t>本项目采购代理费由中标人支付，收费以下表为准计取，计费基数为本项目</w:t>
            </w:r>
            <w:r>
              <w:rPr>
                <w:rFonts w:hint="eastAsia"/>
                <w:color w:val="auto"/>
                <w:highlight w:val="none"/>
                <w:u w:val="single"/>
                <w:lang w:val="en-US" w:eastAsia="zh-CN"/>
              </w:rPr>
              <w:t>中标</w:t>
            </w:r>
            <w:r>
              <w:rPr>
                <w:rFonts w:hint="eastAsia"/>
                <w:color w:val="auto"/>
                <w:highlight w:val="none"/>
                <w:u w:val="none"/>
                <w:lang w:val="en-US" w:eastAsia="zh-CN"/>
              </w:rPr>
              <w:t>价，</w:t>
            </w:r>
            <w:r>
              <w:rPr>
                <w:rFonts w:hint="eastAsia"/>
                <w:color w:val="auto"/>
                <w:highlight w:val="none"/>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服务类型、费率</w:t>
                  </w:r>
                </w:p>
                <w:p>
                  <w:pPr>
                    <w:topLinePunct/>
                    <w:adjustRightInd w:val="0"/>
                    <w:spacing w:line="440" w:lineRule="exact"/>
                    <w:jc w:val="center"/>
                    <w:rPr>
                      <w:rFonts w:cs="宋体"/>
                      <w:b/>
                      <w:color w:val="auto"/>
                      <w:szCs w:val="21"/>
                      <w:highlight w:val="none"/>
                    </w:rPr>
                  </w:pPr>
                  <w:r>
                    <w:rPr>
                      <w:color w:val="auto"/>
                      <w:highlight w:val="none"/>
                    </w:rPr>
                    <w:pict>
                      <v:line id="直线连接符 1" o:spid="_x0000_s2053"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d/Q8/MBAADgAwAADgAAAGRycy9lMm9Eb2MueG1srVO9jhMx&#10;EO6ReAfLPdkk6E6wyuaKC0eDIBLwABPbm7XkP3mcbPISvAASHVSUVDT3Nhceg7E3l4OjScEW3vF4&#10;/M1834xnVztr2FZF1N41fDIac6ac8FK7dcM/frh59oIzTOAkGO9Uw/cK+dX86ZNZH2o19Z03UkVG&#10;IA7rPjS8SynUVYWiUxZw5INydNj6aCHRNq4rGaEndGuq6Xh8WfU+yhC9UIjkXQyH/IgYzwH0bauF&#10;WnixscqlATUqA4koYacD8nmptm2VSO/aFlVipuHENJWVkpC9yms1n0G9jhA6LY4lwDklPOJkQTtK&#10;eoJaQAK2ifofKKtF9OjbNBLeVgORogixmIwfafO+g6AKF5Iaw0l0/H+w4u12GZmWNAmcObDU8MPn&#10;H4eft79uv9x9+nr4/o1Nskh9wJpir90yHncYljEz3rXR5j9xYbsi7P4krNolJsh5+fyCM3Hvrx4u&#10;hYjptfKWZaPhRrvMF2rYvsFEiSj0PiS7jWN9w19eTDMc0PC11HQybSAC6NblLnqj5Y02Jt/AuF5d&#10;m8i2kAegfJkO4f4VlpMsALshrhwNo9EpkK+cZGkfSBpHL4LnEqySnBlFDyhbBAh1Am3OiaTUxlEF&#10;WdFBw2ytvNxTIzYh6nVHShTRSww1vtR7HNI8WX/uC9LDw5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R037VAAAACQEAAA8AAAAAAAAAAQAgAAAAIgAAAGRycy9kb3ducmV2LnhtbFBLAQIUABQA&#10;AAAIAIdO4kBl39Dz8wEAAOADAAAOAAAAAAAAAAEAIAAAACQBAABkcnMvZTJvRG9jLnhtbFBLBQYA&#10;AAAABgAGAFkBAACJBQAAAAA=&#10;">
                        <v:path arrowok="t"/>
                        <v:fill on="f" focussize="0,0"/>
                        <v:stroke color="#000000" joinstyle="round"/>
                        <v:imagedata o:title=""/>
                        <o:lock v:ext="edit" aspectratio="f"/>
                      </v:line>
                    </w:pict>
                  </w:r>
                  <w:r>
                    <w:rPr>
                      <w:rFonts w:hint="eastAsia" w:cs="宋体"/>
                      <w:b/>
                      <w:color w:val="auto"/>
                      <w:szCs w:val="21"/>
                      <w:highlight w:val="none"/>
                    </w:rPr>
                    <w:t>金额（万元）</w:t>
                  </w:r>
                </w:p>
              </w:tc>
              <w:tc>
                <w:tcPr>
                  <w:tcW w:w="1424"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货物</w:t>
                  </w:r>
                </w:p>
              </w:tc>
              <w:tc>
                <w:tcPr>
                  <w:tcW w:w="1280"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服务</w:t>
                  </w:r>
                </w:p>
              </w:tc>
              <w:tc>
                <w:tcPr>
                  <w:tcW w:w="1458"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100以下</w:t>
                  </w:r>
                </w:p>
              </w:tc>
              <w:tc>
                <w:tcPr>
                  <w:tcW w:w="1424"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1.5%</w:t>
                  </w:r>
                </w:p>
              </w:tc>
              <w:tc>
                <w:tcPr>
                  <w:tcW w:w="1280"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1.5%</w:t>
                  </w:r>
                </w:p>
              </w:tc>
              <w:tc>
                <w:tcPr>
                  <w:tcW w:w="1458"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100万元-500万元</w:t>
                  </w:r>
                </w:p>
              </w:tc>
              <w:tc>
                <w:tcPr>
                  <w:tcW w:w="1424"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1.1%</w:t>
                  </w:r>
                </w:p>
              </w:tc>
              <w:tc>
                <w:tcPr>
                  <w:tcW w:w="1280"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0.8%</w:t>
                  </w:r>
                </w:p>
              </w:tc>
              <w:tc>
                <w:tcPr>
                  <w:tcW w:w="1458"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500万元-1000万元</w:t>
                  </w:r>
                </w:p>
              </w:tc>
              <w:tc>
                <w:tcPr>
                  <w:tcW w:w="1424"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0.8%</w:t>
                  </w:r>
                </w:p>
              </w:tc>
              <w:tc>
                <w:tcPr>
                  <w:tcW w:w="1280"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0.45%</w:t>
                  </w:r>
                </w:p>
              </w:tc>
              <w:tc>
                <w:tcPr>
                  <w:tcW w:w="1458"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1000万元-5000万元</w:t>
                  </w:r>
                </w:p>
              </w:tc>
              <w:tc>
                <w:tcPr>
                  <w:tcW w:w="1424"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0.5%</w:t>
                  </w:r>
                </w:p>
              </w:tc>
              <w:tc>
                <w:tcPr>
                  <w:tcW w:w="1280"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0.25%</w:t>
                  </w:r>
                </w:p>
              </w:tc>
              <w:tc>
                <w:tcPr>
                  <w:tcW w:w="1458" w:type="dxa"/>
                  <w:vAlign w:val="center"/>
                </w:tcPr>
                <w:p>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0.35%</w:t>
                  </w:r>
                </w:p>
              </w:tc>
            </w:tr>
          </w:tbl>
          <w:p>
            <w:pPr>
              <w:pStyle w:val="50"/>
              <w:rPr>
                <w:rFonts w:hint="eastAsia"/>
                <w:color w:val="auto"/>
                <w:highlight w:val="none"/>
              </w:rPr>
            </w:pPr>
            <w:r>
              <w:rPr>
                <w:rFonts w:hint="eastAsia"/>
                <w:color w:val="auto"/>
                <w:highlight w:val="none"/>
              </w:rPr>
              <w:t>注：</w:t>
            </w:r>
            <w:r>
              <w:rPr>
                <w:rFonts w:hint="eastAsia"/>
                <w:b w:val="0"/>
                <w:bCs w:val="0"/>
                <w:color w:val="auto"/>
                <w:highlight w:val="none"/>
              </w:rPr>
              <w:t>招标代理服务收</w:t>
            </w:r>
            <w:r>
              <w:rPr>
                <w:rFonts w:hint="eastAsia"/>
                <w:color w:val="auto"/>
                <w:highlight w:val="none"/>
              </w:rPr>
              <w:t>费按差额定率累进法计算。</w:t>
            </w:r>
          </w:p>
          <w:p>
            <w:pPr>
              <w:pStyle w:val="54"/>
              <w:ind w:left="0" w:leftChars="0" w:firstLine="0" w:firstLineChars="0"/>
              <w:jc w:val="left"/>
              <w:rPr>
                <w:rFonts w:hint="eastAsia" w:ascii="宋体" w:hAnsi="Courier New" w:eastAsia="仿宋" w:cs="仿宋"/>
                <w:b/>
                <w:bCs/>
                <w:color w:val="auto"/>
                <w:kern w:val="3"/>
                <w:sz w:val="24"/>
                <w:szCs w:val="24"/>
                <w:highlight w:val="none"/>
                <w:lang w:val="en-US" w:eastAsia="zh-CN" w:bidi="ar-SA"/>
              </w:rPr>
            </w:pPr>
            <w:r>
              <w:rPr>
                <w:rFonts w:hint="eastAsia" w:ascii="宋体" w:hAnsi="Courier New" w:eastAsia="仿宋" w:cs="仿宋"/>
                <w:b/>
                <w:bCs/>
                <w:color w:val="auto"/>
                <w:kern w:val="3"/>
                <w:sz w:val="24"/>
                <w:szCs w:val="24"/>
                <w:highlight w:val="none"/>
                <w:lang w:val="en-US" w:eastAsia="zh-CN" w:bidi="ar-SA"/>
              </w:rPr>
              <w:t>汇款信息：</w:t>
            </w:r>
          </w:p>
          <w:p>
            <w:pPr>
              <w:rPr>
                <w:rFonts w:hint="eastAsia"/>
                <w:color w:val="auto"/>
                <w:highlight w:val="none"/>
                <w:lang w:eastAsia="zh-CN"/>
              </w:rPr>
            </w:pPr>
            <w:r>
              <w:rPr>
                <w:rFonts w:hint="eastAsia"/>
                <w:b/>
                <w:bCs/>
                <w:color w:val="auto"/>
                <w:highlight w:val="none"/>
                <w:lang w:eastAsia="zh-CN"/>
              </w:rPr>
              <w:t>单位全称</w:t>
            </w:r>
            <w:r>
              <w:rPr>
                <w:rFonts w:hint="eastAsia"/>
                <w:color w:val="auto"/>
                <w:highlight w:val="none"/>
                <w:lang w:eastAsia="zh-CN"/>
              </w:rPr>
              <w:t>：华诚工程咨询集团有限公司富阳分公司</w:t>
            </w:r>
          </w:p>
          <w:p>
            <w:pPr>
              <w:rPr>
                <w:rFonts w:hint="eastAsia"/>
                <w:color w:val="auto"/>
                <w:highlight w:val="none"/>
                <w:lang w:eastAsia="zh-CN"/>
              </w:rPr>
            </w:pPr>
            <w:r>
              <w:rPr>
                <w:rFonts w:hint="eastAsia"/>
                <w:b/>
                <w:bCs/>
                <w:color w:val="auto"/>
                <w:highlight w:val="none"/>
                <w:lang w:eastAsia="zh-CN"/>
              </w:rPr>
              <w:t>开户行及账号</w:t>
            </w:r>
            <w:r>
              <w:rPr>
                <w:rFonts w:hint="eastAsia"/>
                <w:color w:val="auto"/>
                <w:highlight w:val="none"/>
                <w:lang w:eastAsia="zh-CN"/>
              </w:rPr>
              <w:t>：杭州银行富阳支行 8733 8100 246325</w:t>
            </w:r>
          </w:p>
        </w:tc>
      </w:tr>
    </w:tbl>
    <w:p>
      <w:pPr>
        <w:pStyle w:val="6"/>
        <w:keepNext w:val="0"/>
        <w:keepLines w:val="0"/>
        <w:pageBreakBefore w:val="0"/>
        <w:kinsoku/>
        <w:wordWrap w:val="0"/>
        <w:topLinePunct/>
        <w:bidi w:val="0"/>
        <w:spacing w:before="0" w:beforeAutospacing="0" w:after="0" w:afterAutospacing="0" w:line="440" w:lineRule="exact"/>
        <w:ind w:left="0" w:firstLine="0"/>
        <w:jc w:val="both"/>
        <w:rPr>
          <w:color w:val="auto"/>
          <w:highlight w:val="none"/>
        </w:rPr>
      </w:pPr>
      <w:r>
        <w:rPr>
          <w:color w:val="auto"/>
          <w:sz w:val="30"/>
          <w:szCs w:val="30"/>
          <w:highlight w:val="none"/>
        </w:rPr>
        <w:br w:type="page"/>
      </w:r>
      <w:r>
        <w:rPr>
          <w:rFonts w:hint="eastAsia"/>
          <w:color w:val="auto"/>
          <w:sz w:val="30"/>
          <w:szCs w:val="30"/>
          <w:highlight w:val="none"/>
          <w:lang w:val="en-US" w:eastAsia="zh-CN"/>
        </w:rPr>
        <w:t xml:space="preserve">  </w:t>
      </w:r>
      <w:r>
        <w:rPr>
          <w:rStyle w:val="249"/>
          <w:rFonts w:hint="eastAsia"/>
          <w:b/>
          <w:bCs/>
          <w:color w:val="auto"/>
          <w:highlight w:val="none"/>
        </w:rPr>
        <w:t>一、总则</w:t>
      </w:r>
    </w:p>
    <w:p>
      <w:pPr>
        <w:pageBreakBefore w:val="0"/>
        <w:kinsoku/>
        <w:wordWrap w:val="0"/>
        <w:topLinePunct/>
        <w:bidi w:val="0"/>
        <w:spacing w:beforeAutospacing="0" w:afterAutospacing="0" w:line="440" w:lineRule="exact"/>
        <w:ind w:firstLine="482" w:firstLineChars="200"/>
        <w:jc w:val="both"/>
        <w:rPr>
          <w:b/>
          <w:bCs/>
          <w:color w:val="auto"/>
          <w:highlight w:val="none"/>
        </w:rPr>
      </w:pPr>
      <w:r>
        <w:rPr>
          <w:rFonts w:hint="eastAsia"/>
          <w:b/>
          <w:bCs/>
          <w:color w:val="auto"/>
          <w:highlight w:val="none"/>
        </w:rPr>
        <w:t>（一）适用范围</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（二）定义</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1.“采购人”系指按政府采购有关规定，</w:t>
      </w:r>
      <w:r>
        <w:rPr>
          <w:rFonts w:hint="eastAsia"/>
          <w:color w:val="auto"/>
          <w:highlight w:val="none"/>
          <w:lang w:eastAsia="zh-CN"/>
        </w:rPr>
        <w:t>委</w:t>
      </w:r>
      <w:r>
        <w:rPr>
          <w:rFonts w:hint="eastAsia"/>
          <w:color w:val="auto"/>
          <w:highlight w:val="none"/>
          <w:lang w:eastAsia="zh-CN"/>
        </w:rPr>
        <w:t>托</w:t>
      </w:r>
      <w:r>
        <w:rPr>
          <w:rFonts w:hint="eastAsia"/>
          <w:color w:val="auto"/>
          <w:highlight w:val="none"/>
        </w:rPr>
        <w:t>本次</w:t>
      </w:r>
      <w:r>
        <w:rPr>
          <w:rFonts w:hint="eastAsia"/>
          <w:color w:val="auto"/>
          <w:highlight w:val="none"/>
          <w:lang w:eastAsia="zh-CN"/>
        </w:rPr>
        <w:t>项目</w:t>
      </w:r>
      <w:r>
        <w:rPr>
          <w:rFonts w:hint="eastAsia"/>
          <w:color w:val="auto"/>
          <w:highlight w:val="none"/>
        </w:rPr>
        <w:t>招</w:t>
      </w:r>
      <w:r>
        <w:rPr>
          <w:rFonts w:hint="eastAsia"/>
          <w:color w:val="auto"/>
          <w:highlight w:val="none"/>
        </w:rPr>
        <w:t>标的</w:t>
      </w:r>
      <w:r>
        <w:rPr>
          <w:rFonts w:hint="eastAsia"/>
          <w:color w:val="auto"/>
          <w:highlight w:val="none"/>
          <w:lang w:eastAsia="zh-CN"/>
        </w:rPr>
        <w:t>杭州市富阳区文化和广电旅游体育局</w:t>
      </w:r>
      <w:r>
        <w:rPr>
          <w:rFonts w:hint="eastAsia"/>
          <w:color w:val="auto"/>
          <w:highlight w:val="none"/>
        </w:rPr>
        <w:t>。</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2.</w:t>
      </w:r>
      <w:r>
        <w:rPr>
          <w:rFonts w:hint="eastAsia"/>
          <w:color w:val="auto"/>
          <w:highlight w:val="none"/>
        </w:rPr>
        <w:t>“采购代理机构”系指</w:t>
      </w:r>
      <w:r>
        <w:rPr>
          <w:rFonts w:hint="eastAsia"/>
          <w:color w:val="auto"/>
          <w:highlight w:val="none"/>
          <w:lang w:eastAsia="zh-CN"/>
        </w:rPr>
        <w:t>华诚工程咨询集团有限公司</w:t>
      </w:r>
      <w:r>
        <w:rPr>
          <w:rFonts w:hint="eastAsia"/>
          <w:color w:val="auto"/>
          <w:highlight w:val="none"/>
        </w:rPr>
        <w:t>。</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3</w:t>
      </w:r>
      <w:r>
        <w:rPr>
          <w:rFonts w:hint="eastAsia"/>
          <w:color w:val="auto"/>
          <w:highlight w:val="none"/>
        </w:rPr>
        <w:t>.“投标人”系</w:t>
      </w:r>
      <w:r>
        <w:rPr>
          <w:rFonts w:hint="eastAsia"/>
          <w:color w:val="auto"/>
          <w:highlight w:val="none"/>
        </w:rPr>
        <w:t>指</w:t>
      </w:r>
      <w:r>
        <w:rPr>
          <w:rFonts w:hint="eastAsia" w:ascii="仿宋" w:hAnsi="仿宋" w:eastAsia="仿宋"/>
          <w:color w:val="auto"/>
          <w:sz w:val="24"/>
          <w:highlight w:val="none"/>
        </w:rPr>
        <w:t>响应招标、参加投标竞争的法人、其他组织或者自然人。</w:t>
      </w:r>
    </w:p>
    <w:p>
      <w:pPr>
        <w:pageBreakBefore w:val="0"/>
        <w:kinsoku/>
        <w:bidi w:val="0"/>
        <w:spacing w:beforeAutospacing="0" w:afterAutospacing="0" w:line="440" w:lineRule="exact"/>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5</w:t>
      </w:r>
      <w:r>
        <w:rPr>
          <w:rFonts w:hint="eastAsia"/>
          <w:color w:val="auto"/>
          <w:highlight w:val="none"/>
        </w:rPr>
        <w:t>.“产品”系指供方按招标文件规定，须向采购人提供的一切货物、材料、设备、保险、税金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pPr>
        <w:pageBreakBefore w:val="0"/>
        <w:kinsoku/>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lang w:val="en-US" w:eastAsia="zh-CN"/>
        </w:rPr>
        <w:t>7</w:t>
      </w:r>
      <w:r>
        <w:rPr>
          <w:rFonts w:hint="eastAsia"/>
          <w:color w:val="auto"/>
          <w:highlight w:val="none"/>
        </w:rPr>
        <w:t>.“项目”系指投标人按招标文件规定向采购人提供的产品和服务</w:t>
      </w:r>
      <w:r>
        <w:rPr>
          <w:rFonts w:hint="eastAsia"/>
          <w:color w:val="auto"/>
          <w:highlight w:val="none"/>
          <w:lang w:eastAsia="zh-CN"/>
        </w:rPr>
        <w:t>。</w:t>
      </w:r>
    </w:p>
    <w:p>
      <w:pPr>
        <w:numPr>
          <w:ilvl w:val="0"/>
          <w:numId w:val="0"/>
        </w:numPr>
        <w:tabs>
          <w:tab w:val="left" w:pos="0"/>
        </w:tabs>
        <w:ind w:firstLine="480" w:firstLineChars="200"/>
        <w:rPr>
          <w:rFonts w:hint="eastAsia" w:ascii="仿宋" w:hAnsi="仿宋" w:cs="仿宋"/>
          <w:color w:val="auto"/>
          <w:szCs w:val="24"/>
          <w:highlight w:val="none"/>
        </w:rPr>
      </w:pPr>
      <w:r>
        <w:rPr>
          <w:rFonts w:hint="eastAsia"/>
          <w:color w:val="auto"/>
          <w:sz w:val="24"/>
          <w:highlight w:val="none"/>
          <w:lang w:val="en-US" w:eastAsia="zh-CN"/>
        </w:rPr>
        <w:t>8.</w:t>
      </w:r>
      <w:r>
        <w:rPr>
          <w:rFonts w:hint="eastAsia" w:ascii="仿宋" w:hAnsi="仿宋" w:cs="仿宋"/>
          <w:color w:val="auto"/>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color w:val="auto"/>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仿宋" w:hAnsi="仿宋" w:eastAsia="仿宋" w:cs="仿宋"/>
          <w:color w:val="auto"/>
          <w:sz w:val="24"/>
          <w:szCs w:val="24"/>
          <w:highlight w:val="none"/>
        </w:rPr>
        <w:sym w:font="Wingdings 2" w:char="0052"/>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pPr>
        <w:pageBreakBefore w:val="0"/>
        <w:kinsoku/>
        <w:wordWrap w:val="0"/>
        <w:topLinePunct/>
        <w:bidi w:val="0"/>
        <w:spacing w:beforeAutospacing="0" w:afterAutospacing="0" w:line="440" w:lineRule="exact"/>
        <w:ind w:firstLine="482" w:firstLineChars="200"/>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pPr>
        <w:pageBreakBefore w:val="0"/>
        <w:kinsoku/>
        <w:wordWrap w:val="0"/>
        <w:topLinePunct/>
        <w:bidi w:val="0"/>
        <w:spacing w:beforeAutospacing="0" w:afterAutospacing="0" w:line="440" w:lineRule="exa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（四）投标费用</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无论投标过程和结果如何，投标人均应自行承担所有与投标有关的全部费用。</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（五）特别说明</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2.价格是评标的重要因素之一，但最低报价不是中标的唯一依据。</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不得进行影响产品质量或者诚信履约的恶意报价。</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在项目评审前准备好报价核算、报价明细、报价说明等材料，以备</w:t>
      </w:r>
      <w:r>
        <w:rPr>
          <w:rFonts w:hint="eastAsia" w:ascii="仿宋" w:hAnsi="仿宋" w:cs="仿宋"/>
          <w:color w:val="auto"/>
          <w:szCs w:val="24"/>
          <w:highlight w:val="none"/>
          <w:lang w:eastAsia="zh-CN"/>
        </w:rPr>
        <w:t>评标委员会</w:t>
      </w:r>
      <w:r>
        <w:rPr>
          <w:rFonts w:hint="eastAsia" w:ascii="仿宋" w:hAnsi="仿宋" w:cs="仿宋"/>
          <w:color w:val="auto"/>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pPr>
        <w:pStyle w:val="6"/>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w:t>
      </w:r>
      <w:r>
        <w:rPr>
          <w:rFonts w:hint="eastAsia"/>
          <w:color w:val="auto"/>
          <w:highlight w:val="none"/>
        </w:rPr>
        <w:t>通过政采云平</w:t>
      </w:r>
      <w:r>
        <w:rPr>
          <w:rFonts w:hint="eastAsia"/>
          <w:color w:val="auto"/>
          <w:highlight w:val="none"/>
        </w:rPr>
        <w:t>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（二）招标文件的修改</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 更正公告的内容将作为招标文件的组成部分，对所有投标人均具有约束力。</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▲投标文件未按招标文件的最终澄清、修改的内容进行编制的</w:t>
      </w:r>
      <w:r>
        <w:rPr>
          <w:rFonts w:hint="eastAsia"/>
          <w:b/>
          <w:bCs/>
          <w:color w:val="auto"/>
          <w:highlight w:val="none"/>
        </w:rPr>
        <w:t>，</w:t>
      </w:r>
      <w:r>
        <w:rPr>
          <w:rFonts w:hint="eastAsia"/>
          <w:b/>
          <w:bCs/>
          <w:color w:val="auto"/>
          <w:highlight w:val="none"/>
          <w:lang w:eastAsia="zh-CN"/>
        </w:rPr>
        <w:t>又不符合实质性要求的，</w:t>
      </w:r>
      <w:r>
        <w:rPr>
          <w:rFonts w:hint="eastAsia"/>
          <w:b/>
          <w:bCs/>
          <w:color w:val="auto"/>
          <w:highlight w:val="none"/>
        </w:rPr>
        <w:t>投标无效。</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三、投标文件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pPr>
        <w:pStyle w:val="10"/>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pageBreakBefore w:val="0"/>
        <w:kinsoku/>
        <w:wordWrap w:val="0"/>
        <w:topLinePunct/>
        <w:bidi w:val="0"/>
        <w:spacing w:beforeAutospacing="0" w:afterAutospacing="0" w:line="440" w:lineRule="exa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（二）投标文件的组成</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3）联合体协议书</w:t>
      </w:r>
      <w:r>
        <w:rPr>
          <w:rFonts w:hint="eastAsia"/>
          <w:color w:val="auto"/>
          <w:highlight w:val="none"/>
        </w:rPr>
        <w:t>（格式见附件）</w:t>
      </w:r>
      <w:r>
        <w:rPr>
          <w:rFonts w:hint="eastAsia"/>
          <w:color w:val="auto"/>
          <w:highlight w:val="none"/>
          <w:lang w:eastAsia="zh-CN"/>
        </w:rPr>
        <w:t>；（如果有）</w:t>
      </w:r>
    </w:p>
    <w:p>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4</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color w:val="auto"/>
          <w:highlight w:val="none"/>
          <w:lang w:eastAsia="zh-CN"/>
        </w:rPr>
        <w:t>（如果有）</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）符合特定资格条件（如果项目要求）的有关证明材料（复印件）。</w:t>
      </w:r>
    </w:p>
    <w:p>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7</w:t>
      </w:r>
      <w:r>
        <w:rPr>
          <w:rFonts w:hint="eastAsia"/>
          <w:bCs/>
          <w:color w:val="auto"/>
          <w:highlight w:val="none"/>
        </w:rPr>
        <w:t>）投标人认为有必要提供的其他资信文件或说明。</w:t>
      </w:r>
    </w:p>
    <w:p>
      <w:pPr>
        <w:pageBreakBefore w:val="0"/>
        <w:kinsoku/>
        <w:wordWrap w:val="0"/>
        <w:topLinePunct/>
        <w:bidi w:val="0"/>
        <w:spacing w:beforeAutospacing="0" w:afterAutospacing="0" w:line="440" w:lineRule="exact"/>
        <w:ind w:firstLine="482" w:firstLineChars="200"/>
        <w:rPr>
          <w:rFonts w:hint="eastAsia"/>
          <w:b/>
          <w:bCs/>
          <w:i/>
          <w:iCs/>
          <w:color w:val="auto"/>
          <w:highlight w:val="none"/>
          <w:lang w:eastAsia="zh-CN"/>
        </w:rPr>
      </w:pPr>
      <w:r>
        <w:rPr>
          <w:rFonts w:hint="eastAsia"/>
          <w:b/>
          <w:bCs/>
          <w:i/>
          <w:iCs/>
          <w:color w:val="auto"/>
          <w:highlight w:val="none"/>
          <w:lang w:eastAsia="zh-CN"/>
        </w:rPr>
        <w:t>（以下内容按项目评标内容提供）</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lang w:val="en-US" w:eastAsia="zh-CN"/>
        </w:rPr>
        <w:t>总体运营服务要求理解与分析；</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（9）针对本项目的组织架构、管理机制；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）投标人同类项目实施业绩一览表(格式见附件)；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（11）企业实力；</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（12）日常维护管理；</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（13）运营方案；</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（14）实施方案；</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（15）推广宣传；</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）项目实施人员（主要从业人员及其技术资格）一览表(格式见附件)；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（17）员工培训；</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（18）安全管理制度；</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（19）服务质量保证措施；</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（20）应急措施；</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（21）合理化、优化建议；</w:t>
      </w:r>
    </w:p>
    <w:p>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val="en-US" w:eastAsia="zh-CN"/>
        </w:rPr>
        <w:t>（22）服务能力；</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23</w:t>
      </w:r>
      <w:r>
        <w:rPr>
          <w:rFonts w:hint="eastAsia"/>
          <w:color w:val="auto"/>
          <w:highlight w:val="none"/>
        </w:rPr>
        <w:t>）</w:t>
      </w:r>
      <w:r>
        <w:rPr>
          <w:rFonts w:hint="eastAsia"/>
          <w:color w:val="auto"/>
          <w:highlight w:val="none"/>
          <w:lang w:eastAsia="zh-CN"/>
        </w:rPr>
        <w:t>服务条款</w:t>
      </w:r>
      <w:r>
        <w:rPr>
          <w:rFonts w:hint="eastAsia"/>
          <w:color w:val="auto"/>
          <w:highlight w:val="none"/>
        </w:rPr>
        <w:t>偏离表(格式见附件)；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24</w:t>
      </w:r>
      <w:r>
        <w:rPr>
          <w:rFonts w:hint="eastAsia"/>
          <w:color w:val="auto"/>
          <w:highlight w:val="none"/>
        </w:rPr>
        <w:t>）投标人认为有必要提供的其他文件和说明（格式自拟）。</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）投标人针对报价需要说明的其他文件和资料（格式自拟）。</w:t>
      </w:r>
    </w:p>
    <w:p>
      <w:pPr>
        <w:pStyle w:val="10"/>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组成投标文件的各项资料均应遵守本条：</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1.投标文件的</w:t>
      </w:r>
      <w:r>
        <w:rPr>
          <w:rFonts w:hint="eastAsia"/>
          <w:color w:val="auto"/>
          <w:highlight w:val="none"/>
          <w:lang w:eastAsia="zh-CN"/>
        </w:rPr>
        <w:t>编制</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pPr>
        <w:pStyle w:val="10"/>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w:t>
      </w:r>
      <w:r>
        <w:rPr>
          <w:rFonts w:hint="eastAsia"/>
          <w:color w:val="auto"/>
          <w:highlight w:val="none"/>
        </w:rPr>
        <w:t>该已经扣除所有同业折扣以及现金折扣。投标报价应包括所需缴纳的所有税费、项目实施所需的一切费用。</w:t>
      </w:r>
    </w:p>
    <w:p>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w:t>
      </w:r>
      <w:r>
        <w:rPr>
          <w:rFonts w:hint="eastAsia"/>
          <w:b/>
          <w:bCs/>
          <w:color w:val="auto"/>
          <w:highlight w:val="none"/>
        </w:rPr>
        <w:t>环节10分钟内</w:t>
      </w:r>
      <w:r>
        <w:rPr>
          <w:rFonts w:hint="eastAsia"/>
          <w:b/>
          <w:bCs/>
          <w:color w:val="auto"/>
          <w:highlight w:val="none"/>
        </w:rPr>
        <w:t>进行在线核实的，视作确认报价，不影响评标过程和结果。</w:t>
      </w:r>
    </w:p>
    <w:p>
      <w:pPr>
        <w:pStyle w:val="10"/>
        <w:ind w:firstLine="482"/>
        <w:rPr>
          <w:rFonts w:hint="eastAsia" w:ascii="仿宋" w:hAnsi="仿宋" w:cs="仿宋"/>
          <w:color w:val="auto"/>
          <w:szCs w:val="24"/>
          <w:highlight w:val="none"/>
        </w:rPr>
      </w:pPr>
      <w:r>
        <w:rPr>
          <w:rFonts w:hint="eastAsia"/>
          <w:color w:val="auto"/>
          <w:sz w:val="24"/>
          <w:szCs w:val="24"/>
          <w:highlight w:val="none"/>
        </w:rPr>
        <w:t>（五）</w:t>
      </w:r>
      <w:r>
        <w:rPr>
          <w:rFonts w:hint="eastAsia" w:ascii="仿宋" w:hAnsi="仿宋" w:cs="仿宋"/>
          <w:color w:val="auto"/>
          <w:szCs w:val="24"/>
          <w:highlight w:val="none"/>
        </w:rPr>
        <w:t>投标文件的递交</w:t>
      </w:r>
    </w:p>
    <w:p>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w:t>
      </w:r>
      <w:r>
        <w:rPr>
          <w:rFonts w:hint="eastAsia" w:ascii="仿宋" w:hAnsi="仿宋" w:cs="仿宋"/>
          <w:color w:val="auto"/>
          <w:szCs w:val="24"/>
          <w:highlight w:val="none"/>
        </w:rPr>
        <w:t>递交、补充、修改和撤回</w:t>
      </w:r>
    </w:p>
    <w:p>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pPr>
        <w:pStyle w:val="477"/>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b/>
          <w:bCs/>
          <w:color w:val="auto"/>
          <w:highlight w:val="none"/>
        </w:rPr>
        <w:t>。</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6"/>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pPr>
        <w:pStyle w:val="6"/>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w:t>
      </w:r>
      <w:r>
        <w:rPr>
          <w:rFonts w:hint="eastAsia"/>
          <w:b/>
          <w:bCs/>
          <w:color w:val="auto"/>
          <w:highlight w:val="none"/>
        </w:rPr>
        <w:t>解密成功的投标人不足三家的，本项目重新组织采购活动。</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pPr>
        <w:pStyle w:val="10"/>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pPr>
        <w:pageBreakBefore w:val="0"/>
        <w:kinsoku/>
        <w:wordWrap w:val="0"/>
        <w:topLinePunct/>
        <w:bidi w:val="0"/>
        <w:spacing w:beforeAutospacing="0" w:afterAutospacing="0" w:line="440" w:lineRule="exa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pageBreakBefore w:val="0"/>
        <w:kinsoku/>
        <w:wordWrap w:val="0"/>
        <w:topLinePunct/>
        <w:bidi w:val="0"/>
        <w:spacing w:beforeAutospacing="0" w:afterAutospacing="0" w:line="440" w:lineRule="exa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（5）与供应商有其他可能影响政府采购活动公平、公正进行的关系。</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（二）评标原则</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5、评标方法及评分标准等，详见招标文件“第三章  评标办法及评分标准”。</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（三）评标程序</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1.投标文件初审</w:t>
      </w:r>
    </w:p>
    <w:p>
      <w:pPr>
        <w:ind w:firstLine="482"/>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p>
    <w:p>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采购人代表</w:t>
      </w:r>
      <w:r>
        <w:rPr>
          <w:rFonts w:hint="eastAsia" w:cs="仿宋"/>
          <w:b/>
          <w:bCs/>
          <w:color w:val="auto"/>
          <w:szCs w:val="24"/>
          <w:highlight w:val="none"/>
          <w:lang w:val="en-US" w:eastAsia="zh-CN"/>
        </w:rPr>
        <w:t>或代理机构</w:t>
      </w:r>
      <w:r>
        <w:rPr>
          <w:rFonts w:hint="eastAsia" w:ascii="仿宋" w:hAnsi="仿宋" w:cs="仿宋"/>
          <w:b/>
          <w:bCs/>
          <w:color w:val="auto"/>
          <w:szCs w:val="24"/>
          <w:highlight w:val="none"/>
        </w:rPr>
        <w:t>应当依法对投标人的资格进行审查，</w:t>
      </w:r>
      <w:r>
        <w:rPr>
          <w:rFonts w:hint="eastAsia" w:ascii="仿宋" w:hAnsi="仿宋" w:cs="仿宋"/>
          <w:color w:val="auto"/>
          <w:szCs w:val="24"/>
          <w:highlight w:val="none"/>
        </w:rPr>
        <w:t>依据法律法规和招标文件的规定，对投标人的基本资格条件、特定资格条件进行审查。</w:t>
      </w:r>
      <w:r>
        <w:rPr>
          <w:rFonts w:hint="eastAsia" w:ascii="仿宋" w:hAnsi="仿宋" w:cs="仿宋"/>
          <w:b/>
          <w:bCs/>
          <w:color w:val="auto"/>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highlight w:val="none"/>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pPr>
        <w:pageBreakBefore w:val="0"/>
        <w:kinsoku/>
        <w:wordWrap w:val="0"/>
        <w:topLinePunct/>
        <w:bidi w:val="0"/>
        <w:spacing w:beforeAutospacing="0" w:afterAutospacing="0" w:line="440" w:lineRule="exact"/>
        <w:ind w:firstLine="482" w:firstLineChars="200"/>
        <w:rPr>
          <w:rFonts w:hint="eastAsia" w:eastAsia="仿宋"/>
          <w:color w:val="auto"/>
          <w:highlight w:val="none"/>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color w:val="auto"/>
          <w:szCs w:val="24"/>
          <w:highlight w:val="none"/>
        </w:rPr>
        <w:t>购活动</w:t>
      </w:r>
      <w:r>
        <w:rPr>
          <w:rFonts w:hint="eastAsia" w:ascii="仿宋" w:hAnsi="仿宋" w:cs="仿宋"/>
          <w:b/>
          <w:bCs/>
          <w:color w:val="auto"/>
          <w:szCs w:val="24"/>
          <w:highlight w:val="none"/>
        </w:rPr>
        <w:t>。联合体信用信息查询：</w:t>
      </w:r>
      <w:r>
        <w:rPr>
          <w:rFonts w:hint="eastAsia" w:ascii="仿宋" w:hAnsi="仿宋" w:cs="仿宋"/>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pPr>
        <w:pageBreakBefore w:val="0"/>
        <w:numPr>
          <w:ilvl w:val="0"/>
          <w:numId w:val="0"/>
        </w:numPr>
        <w:kinsoku/>
        <w:wordWrap w:val="0"/>
        <w:topLinePunct/>
        <w:bidi w:val="0"/>
        <w:spacing w:beforeAutospacing="0" w:afterAutospacing="0" w:line="440" w:lineRule="exact"/>
        <w:ind w:leftChars="0" w:firstLine="482" w:firstLineChars="200"/>
        <w:rPr>
          <w:rFonts w:hint="eastAsia"/>
          <w:b/>
          <w:color w:val="auto"/>
          <w:highlight w:val="none"/>
        </w:rPr>
      </w:pPr>
      <w:r>
        <w:rPr>
          <w:rFonts w:hint="eastAsia"/>
          <w:b/>
          <w:color w:val="auto"/>
          <w:highlight w:val="none"/>
          <w:lang w:eastAsia="zh-CN"/>
        </w:rPr>
        <w:t>（</w:t>
      </w:r>
      <w:r>
        <w:rPr>
          <w:rFonts w:hint="eastAsia"/>
          <w:b/>
          <w:color w:val="auto"/>
          <w:highlight w:val="none"/>
          <w:lang w:val="en-US" w:eastAsia="zh-CN"/>
        </w:rPr>
        <w:t>2）</w:t>
      </w:r>
      <w:r>
        <w:rPr>
          <w:rFonts w:hint="eastAsia"/>
          <w:b/>
          <w:color w:val="auto"/>
          <w:highlight w:val="none"/>
        </w:rPr>
        <w:t>符合性</w:t>
      </w:r>
      <w:r>
        <w:rPr>
          <w:rFonts w:hint="eastAsia"/>
          <w:b/>
          <w:color w:val="auto"/>
          <w:highlight w:val="none"/>
          <w:lang w:eastAsia="zh-CN"/>
        </w:rPr>
        <w:t>审</w:t>
      </w:r>
      <w:r>
        <w:rPr>
          <w:rFonts w:hint="eastAsia"/>
          <w:b/>
          <w:color w:val="auto"/>
          <w:highlight w:val="none"/>
        </w:rPr>
        <w:t>查</w:t>
      </w:r>
    </w:p>
    <w:p>
      <w:pPr>
        <w:pageBreakBefore w:val="0"/>
        <w:numPr>
          <w:ilvl w:val="0"/>
          <w:numId w:val="0"/>
        </w:numPr>
        <w:kinsoku/>
        <w:wordWrap w:val="0"/>
        <w:topLinePunct/>
        <w:bidi w:val="0"/>
        <w:spacing w:beforeAutospacing="0" w:afterAutospacing="0" w:line="440" w:lineRule="exact"/>
        <w:ind w:leftChars="0" w:firstLine="480" w:firstLineChars="200"/>
        <w:rPr>
          <w:color w:val="auto"/>
          <w:highlight w:val="none"/>
        </w:rPr>
      </w:pP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pPr>
        <w:numPr>
          <w:ilvl w:val="0"/>
          <w:numId w:val="0"/>
        </w:numPr>
        <w:tabs>
          <w:tab w:val="left" w:pos="0"/>
        </w:tabs>
        <w:ind w:left="480" w:leftChars="0"/>
        <w:rPr>
          <w:rFonts w:hint="eastAsia" w:ascii="仿宋" w:hAnsi="仿宋" w:cs="仿宋"/>
          <w:b/>
          <w:bCs/>
          <w:color w:val="auto"/>
          <w:szCs w:val="24"/>
          <w:highlight w:val="none"/>
        </w:rPr>
      </w:pPr>
      <w:r>
        <w:rPr>
          <w:rFonts w:hint="eastAsia" w:cs="仿宋"/>
          <w:b/>
          <w:bCs/>
          <w:color w:val="auto"/>
          <w:szCs w:val="24"/>
          <w:highlight w:val="none"/>
          <w:lang w:val="en-US" w:eastAsia="zh-CN"/>
        </w:rPr>
        <w:t>2.</w:t>
      </w:r>
      <w:r>
        <w:rPr>
          <w:rFonts w:hint="eastAsia" w:ascii="仿宋" w:hAnsi="仿宋" w:cs="仿宋"/>
          <w:b/>
          <w:bCs/>
          <w:color w:val="auto"/>
          <w:szCs w:val="24"/>
          <w:highlight w:val="none"/>
        </w:rPr>
        <w:t>样品评审（若有）</w:t>
      </w:r>
    </w:p>
    <w:p>
      <w:pPr>
        <w:ind w:firstLine="480"/>
        <w:rPr>
          <w:b/>
          <w:bCs/>
          <w:color w:val="auto"/>
          <w:sz w:val="24"/>
          <w:szCs w:val="24"/>
          <w:highlight w:val="none"/>
        </w:rPr>
      </w:pPr>
      <w:r>
        <w:rPr>
          <w:rFonts w:hint="eastAsia" w:ascii="仿宋" w:hAnsi="仿宋" w:cs="仿宋"/>
          <w:color w:val="auto"/>
          <w:szCs w:val="24"/>
          <w:highlight w:val="none"/>
        </w:rPr>
        <w:t>投标文件初审结论合格的供应商进入后续评审程序。如项目有样品展示环节，评标委员会将根据评标办法进行</w:t>
      </w:r>
      <w:r>
        <w:rPr>
          <w:rFonts w:hint="eastAsia" w:ascii="仿宋" w:hAnsi="仿宋" w:cs="仿宋"/>
          <w:color w:val="auto"/>
          <w:szCs w:val="24"/>
          <w:highlight w:val="none"/>
          <w:lang w:eastAsia="zh-CN"/>
        </w:rPr>
        <w:t>样品</w:t>
      </w:r>
      <w:r>
        <w:rPr>
          <w:rFonts w:hint="eastAsia" w:ascii="仿宋" w:hAnsi="仿宋" w:cs="仿宋"/>
          <w:color w:val="auto"/>
          <w:szCs w:val="24"/>
          <w:highlight w:val="none"/>
        </w:rPr>
        <w:t>评审。</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bCs/>
          <w:color w:val="auto"/>
          <w:highlight w:val="none"/>
          <w:lang w:val="en-US" w:eastAsia="zh-CN"/>
        </w:rPr>
        <w:t>3</w:t>
      </w:r>
      <w:r>
        <w:rPr>
          <w:rFonts w:hint="eastAsia"/>
          <w:b/>
          <w:bCs/>
          <w:color w:val="auto"/>
          <w:highlight w:val="none"/>
        </w:rPr>
        <w:t>.</w:t>
      </w:r>
      <w:r>
        <w:rPr>
          <w:rFonts w:hint="eastAsia"/>
          <w:b/>
          <w:color w:val="auto"/>
          <w:highlight w:val="none"/>
        </w:rPr>
        <w:t>投标文件的澄清</w:t>
      </w:r>
    </w:p>
    <w:p>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highlight w:val="none"/>
        </w:rPr>
      </w:pPr>
      <w:r>
        <w:rPr>
          <w:rFonts w:hint="eastAsia" w:ascii="仿宋" w:hAnsi="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cs="仿宋"/>
          <w:color w:val="auto"/>
          <w:szCs w:val="24"/>
          <w:highlight w:val="none"/>
        </w:rPr>
        <w:t>签名</w:t>
      </w:r>
      <w:r>
        <w:rPr>
          <w:rFonts w:hint="eastAsia" w:ascii="仿宋" w:hAnsi="仿宋" w:cs="仿宋"/>
          <w:color w:val="auto"/>
          <w:szCs w:val="24"/>
          <w:highlight w:val="none"/>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4</w:t>
      </w:r>
      <w:r>
        <w:rPr>
          <w:rFonts w:hint="eastAsia"/>
          <w:b/>
          <w:color w:val="auto"/>
          <w:highlight w:val="none"/>
        </w:rPr>
        <w:t>.商务及技术文件的比较与评价</w:t>
      </w:r>
    </w:p>
    <w:p>
      <w:pPr>
        <w:ind w:firstLine="480"/>
        <w:rPr>
          <w:color w:val="auto"/>
          <w:highlight w:val="none"/>
        </w:rPr>
      </w:pPr>
      <w:r>
        <w:rPr>
          <w:rFonts w:hint="eastAsia" w:ascii="仿宋" w:hAnsi="仿宋" w:cs="仿宋"/>
          <w:color w:val="auto"/>
          <w:szCs w:val="24"/>
          <w:highlight w:val="none"/>
        </w:rPr>
        <w:t xml:space="preserve">评标委员会对投标文件初审结论合格的投标人进行商务及技术投标文件评审。 </w:t>
      </w:r>
      <w:r>
        <w:rPr>
          <w:rFonts w:hint="eastAsia" w:ascii="仿宋" w:hAnsi="仿宋" w:cs="仿宋"/>
          <w:color w:val="auto"/>
          <w:szCs w:val="24"/>
          <w:highlight w:val="none"/>
        </w:rPr>
        <w:t>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w:t>
      </w:r>
      <w:r>
        <w:rPr>
          <w:rFonts w:hint="eastAsia" w:ascii="仿宋" w:hAnsi="仿宋" w:cs="仿宋"/>
          <w:color w:val="auto"/>
          <w:szCs w:val="24"/>
          <w:highlight w:val="none"/>
        </w:rPr>
        <w:t>评审结束后，在电子交易平台系统上公开资格和商务及技术评审结果，如投标有效供应商不足三家，评标委员会确定为废标。</w:t>
      </w:r>
    </w:p>
    <w:p>
      <w:pPr>
        <w:pStyle w:val="11"/>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highlight w:val="none"/>
        </w:rPr>
      </w:pPr>
      <w:r>
        <w:rPr>
          <w:rFonts w:hint="eastAsia"/>
          <w:bCs w:val="0"/>
          <w:color w:val="auto"/>
          <w:sz w:val="24"/>
          <w:szCs w:val="24"/>
          <w:highlight w:val="none"/>
          <w:lang w:val="en-US" w:eastAsia="zh-CN"/>
        </w:rPr>
        <w:t>5</w:t>
      </w:r>
      <w:r>
        <w:rPr>
          <w:rFonts w:hint="eastAsia"/>
          <w:bCs w:val="0"/>
          <w:color w:val="auto"/>
          <w:sz w:val="24"/>
          <w:szCs w:val="24"/>
          <w:highlight w:val="none"/>
        </w:rPr>
        <w:t>.报价文件的比较与评审</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color w:val="auto"/>
          <w:highlight w:val="none"/>
        </w:rPr>
        <w:t>10分钟内</w:t>
      </w:r>
      <w:r>
        <w:rPr>
          <w:rFonts w:hint="eastAsia"/>
          <w:color w:val="auto"/>
          <w:highlight w:val="none"/>
        </w:rPr>
        <w:t>进行在线核实的，视作无异议，不影响评标过程和结果。</w:t>
      </w:r>
    </w:p>
    <w:p>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highlight w:val="none"/>
        </w:rPr>
        <w:t>开标一览表（报价表）</w:t>
      </w:r>
      <w:r>
        <w:rPr>
          <w:rFonts w:hint="eastAsia"/>
          <w:color w:val="auto"/>
          <w:highlight w:val="none"/>
        </w:rPr>
        <w:t>内容与投标文件中相应内容不一致的，以</w:t>
      </w:r>
      <w:r>
        <w:rPr>
          <w:rFonts w:hint="eastAsia" w:ascii="仿宋" w:hAnsi="仿宋" w:cs="仿宋"/>
          <w:color w:val="auto"/>
          <w:szCs w:val="24"/>
          <w:highlight w:val="none"/>
        </w:rPr>
        <w:t>开标一览表（报价表）</w:t>
      </w:r>
      <w:r>
        <w:rPr>
          <w:rFonts w:hint="eastAsia"/>
          <w:color w:val="auto"/>
          <w:highlight w:val="none"/>
        </w:rPr>
        <w:t>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highlight w:val="none"/>
        </w:rPr>
        <w:t>开标一览表（报价表）</w:t>
      </w:r>
      <w:r>
        <w:rPr>
          <w:rFonts w:hint="eastAsia"/>
          <w:color w:val="auto"/>
          <w:highlight w:val="none"/>
        </w:rPr>
        <w:t>的总价为准，并修改单价；</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（4）总价金额与按单价汇总金额不一致的，以单价金额计算结果为准；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（5）政采云电子交易平台-开标记录模块的报价与投标响应文件中的报价不一致的，以投标响应文件中的报价为准。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6</w:t>
      </w:r>
      <w:r>
        <w:rPr>
          <w:rFonts w:hint="eastAsia"/>
          <w:b/>
          <w:color w:val="auto"/>
          <w:highlight w:val="none"/>
        </w:rPr>
        <w:t>.推荐中标候选人与编写评标报告</w:t>
      </w:r>
    </w:p>
    <w:p>
      <w:pPr>
        <w:ind w:firstLine="480"/>
        <w:rPr>
          <w:color w:val="auto"/>
          <w:highlight w:val="none"/>
        </w:rPr>
      </w:pPr>
      <w:r>
        <w:rPr>
          <w:rFonts w:hint="eastAsia" w:ascii="仿宋" w:hAnsi="仿宋" w:cs="仿宋"/>
          <w:color w:val="auto"/>
          <w:szCs w:val="24"/>
          <w:highlight w:val="none"/>
        </w:rPr>
        <w:t>评标委员会完成评标后，</w:t>
      </w:r>
      <w:r>
        <w:rPr>
          <w:rFonts w:hint="eastAsia" w:ascii="仿宋" w:hAnsi="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cs="仿宋"/>
          <w:color w:val="auto"/>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2" w:firstLineChars="200"/>
        <w:rPr>
          <w:rFonts w:hint="eastAsia"/>
          <w:b/>
          <w:bCs/>
          <w:color w:val="auto"/>
          <w:sz w:val="32"/>
          <w:szCs w:val="32"/>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w:t>
      </w:r>
      <w:r>
        <w:rPr>
          <w:rFonts w:hint="eastAsia" w:cs="仿宋_GB2312"/>
          <w:color w:val="auto"/>
          <w:kern w:val="0"/>
          <w:highlight w:val="none"/>
        </w:rPr>
        <w:t>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rPr>
        <w:t>投标人对根据修正原则修正后的报价不确认的；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仿宋_GB2312"/>
          <w:color w:val="auto"/>
          <w:kern w:val="0"/>
          <w:szCs w:val="22"/>
          <w:highlight w:val="none"/>
        </w:rPr>
        <w:t xml:space="preserve"> </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
          <w:color w:val="auto"/>
          <w:kern w:val="0"/>
          <w:szCs w:val="22"/>
          <w:highlight w:val="none"/>
        </w:rPr>
        <w:t>（二十</w:t>
      </w:r>
      <w:r>
        <w:rPr>
          <w:rFonts w:hint="eastAsia"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cs="仿宋"/>
          <w:color w:val="auto"/>
          <w:szCs w:val="24"/>
          <w:highlight w:val="none"/>
        </w:rPr>
        <w:t>有下列情形之一的，视为投标人串通投标，其投标无效：</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不同投标人的投标文件由同一单位或者个人编制（同一IP地址上传投标、响应文件）；</w:t>
      </w:r>
    </w:p>
    <w:p>
      <w:pPr>
        <w:numPr>
          <w:ilvl w:val="0"/>
          <w:numId w:val="0"/>
        </w:numPr>
        <w:tabs>
          <w:tab w:val="left" w:pos="0"/>
        </w:tabs>
        <w:ind w:leftChars="0" w:firstLine="480" w:firstLineChars="20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不同投标人的投标文件载明的项目管理成员或者联系人员为同一人的；</w:t>
      </w:r>
    </w:p>
    <w:p>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不同投标人的投标文件异常一致或者投标报价呈规律性差异的；</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不同投标人的投标文件相互混装的。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pPr>
        <w:pStyle w:val="6"/>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pPr>
        <w:pStyle w:val="6"/>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pPr>
        <w:pStyle w:val="6"/>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pPr>
        <w:pageBreakBefore w:val="0"/>
        <w:kinsoku/>
        <w:wordWrap w:val="0"/>
        <w:topLinePunct/>
        <w:bidi w:val="0"/>
        <w:spacing w:beforeAutospacing="0" w:afterAutospacing="0" w:line="440" w:lineRule="exact"/>
        <w:ind w:firstLine="480" w:firstLineChars="200"/>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cs="仿宋"/>
          <w:color w:val="auto"/>
          <w:szCs w:val="24"/>
          <w:highlight w:val="none"/>
          <w:lang w:eastAsia="zh-CN"/>
        </w:rPr>
        <w:t>。</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.政府采购当事人有其他违反政府采购法或者本条例规定的行为，经改正后仍然影响或者可能影响中标、成交结果或者依法被认定为中标、成交无效的，依照1-5条规定处理。</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color w:val="auto"/>
          <w:highlight w:val="none"/>
        </w:rPr>
        <w:t>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w:t>
      </w:r>
      <w:r>
        <w:rPr>
          <w:rFonts w:hint="eastAsia" w:ascii="宋体" w:hAnsi="宋体" w:cs="宋体"/>
          <w:color w:val="auto"/>
          <w:sz w:val="24"/>
          <w:highlight w:val="none"/>
        </w:rPr>
        <w:t>资格审查情况、评审专家抽取规则、符合性审查情况、未中标情况说明、中标公告期限以及评审专家名单、评分汇总及明细</w:t>
      </w:r>
      <w:r>
        <w:rPr>
          <w:rFonts w:hint="eastAsia"/>
          <w:color w:val="auto"/>
          <w:highlight w:val="none"/>
        </w:rPr>
        <w:t>。</w:t>
      </w:r>
      <w:r>
        <w:rPr>
          <w:rFonts w:hint="eastAsia"/>
          <w:color w:val="auto"/>
          <w:highlight w:val="none"/>
        </w:rPr>
        <w:t>公告期限为1个工作日。</w:t>
      </w:r>
    </w:p>
    <w:p>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w:t>
      </w:r>
      <w:r>
        <w:rPr>
          <w:rFonts w:hint="eastAsia" w:ascii="仿宋" w:hAnsi="仿宋" w:eastAsia="仿宋" w:cs="仿宋"/>
          <w:color w:val="auto"/>
          <w:sz w:val="24"/>
          <w:szCs w:val="24"/>
          <w:highlight w:val="none"/>
        </w:rPr>
        <w:t>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cs="仿宋"/>
          <w:color w:val="auto"/>
          <w:szCs w:val="24"/>
          <w:highlight w:val="none"/>
        </w:rPr>
        <w:t>中标、成交供应商放弃中标、成交资格导致重新采购的，应当承担支付代理费和专家评审费等费用在内的赔偿责任。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50"/>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华诚工程咨询集团有限公司</w:t>
      </w:r>
      <w:r>
        <w:rPr>
          <w:rFonts w:hint="eastAsia" w:ascii="仿宋" w:hAnsi="仿宋" w:eastAsia="仿宋" w:cs="仿宋"/>
          <w:b/>
          <w:bCs/>
          <w:color w:val="auto"/>
          <w:kern w:val="0"/>
          <w:sz w:val="24"/>
          <w:highlight w:val="none"/>
        </w:rPr>
        <w:t>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供应商可登录政采云平台</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pPr>
        <w:numPr>
          <w:ilvl w:val="0"/>
          <w:numId w:val="0"/>
        </w:numPr>
        <w:tabs>
          <w:tab w:val="left" w:pos="0"/>
        </w:tabs>
        <w:ind w:firstLine="480" w:firstLineChars="200"/>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color w:val="auto"/>
          <w:szCs w:val="24"/>
          <w:highlight w:val="none"/>
        </w:rPr>
        <w:t>政府采购预付款应在合同生效以及具备实施条件后7个工作日内支付。</w:t>
      </w:r>
    </w:p>
    <w:p>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w:t>
      </w:r>
      <w:r>
        <w:rPr>
          <w:rFonts w:hint="eastAsia" w:ascii="仿宋" w:hAnsi="仿宋" w:eastAsia="仿宋" w:cs="仿宋"/>
          <w:color w:val="auto"/>
          <w:highlight w:val="none"/>
          <w:u w:val="none"/>
          <w:lang w:val="en-US" w:eastAsia="zh-CN"/>
        </w:rPr>
        <w:t>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w:t>
      </w:r>
      <w:r>
        <w:rPr>
          <w:rFonts w:hint="eastAsia" w:ascii="仿宋" w:hAnsi="仿宋" w:eastAsia="仿宋" w:cs="仿宋"/>
          <w:color w:val="auto"/>
          <w:sz w:val="24"/>
          <w:szCs w:val="24"/>
          <w:highlight w:val="none"/>
          <w:lang w:val="en-US" w:eastAsia="zh-CN"/>
        </w:rPr>
        <w:t>替、政策调整、单位放假、履行内部付款流程，或者在合同未作约定的情况下以等待竣工验收批复、决算审计等为由延迟付款。</w:t>
      </w:r>
    </w:p>
    <w:p>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p>
    <w:p>
      <w:pPr>
        <w:pageBreakBefore w:val="0"/>
        <w:widowControl/>
        <w:kinsoku/>
        <w:bidi w:val="0"/>
        <w:spacing w:beforeAutospacing="0" w:afterAutospacing="0" w:line="440" w:lineRule="exact"/>
        <w:ind w:firstLine="480" w:firstLineChars="200"/>
        <w:jc w:val="left"/>
        <w:rPr>
          <w:rFonts w:hint="eastAsia"/>
          <w:color w:val="auto"/>
          <w:highlight w:val="none"/>
          <w:lang w:val="en-US" w:eastAsia="zh-CN"/>
        </w:rPr>
      </w:pPr>
      <w:r>
        <w:rPr>
          <w:rFonts w:hint="eastAsia" w:ascii="仿宋" w:hAnsi="仿宋" w:eastAsia="仿宋" w:cs="仿宋"/>
          <w:color w:val="auto"/>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（五）询问、质疑和投诉</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w:t>
      </w:r>
      <w:r>
        <w:rPr>
          <w:rFonts w:hint="eastAsia" w:ascii="仿宋" w:hAnsi="仿宋" w:cs="仿宋"/>
          <w:color w:val="auto"/>
          <w:szCs w:val="24"/>
          <w:highlight w:val="none"/>
        </w:rPr>
        <w:t>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w:t>
      </w:r>
      <w:r>
        <w:rPr>
          <w:rFonts w:hint="eastAsia" w:ascii="仿宋" w:hAnsi="仿宋" w:cs="仿宋"/>
          <w:color w:val="auto"/>
          <w:szCs w:val="24"/>
          <w:highlight w:val="none"/>
        </w:rPr>
        <w:t>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7"/>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pPr>
        <w:pStyle w:val="50"/>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numPr>
          <w:ilvl w:val="0"/>
          <w:numId w:val="6"/>
        </w:numPr>
        <w:ind w:firstLine="48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auto"/>
          <w:szCs w:val="24"/>
          <w:highlight w:val="none"/>
        </w:rPr>
        <w:t>采购人或者采购代理机构应当在收到供应商的书面质疑后</w:t>
      </w:r>
      <w:r>
        <w:rPr>
          <w:rFonts w:hint="eastAsia" w:ascii="仿宋" w:hAnsi="仿宋" w:cs="仿宋"/>
          <w:b/>
          <w:bCs/>
          <w:color w:val="auto"/>
          <w:szCs w:val="24"/>
          <w:highlight w:val="none"/>
        </w:rPr>
        <w:t>七个工作日内</w:t>
      </w:r>
      <w:r>
        <w:rPr>
          <w:rFonts w:hint="eastAsia" w:ascii="仿宋" w:hAnsi="仿宋" w:cs="仿宋"/>
          <w:color w:val="auto"/>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auto"/>
          <w:szCs w:val="24"/>
          <w:highlight w:val="none"/>
        </w:rPr>
        <w:t>5个工作日</w:t>
      </w:r>
      <w:r>
        <w:rPr>
          <w:rFonts w:hint="eastAsia" w:ascii="仿宋" w:hAnsi="仿宋" w:cs="仿宋"/>
          <w:color w:val="auto"/>
          <w:szCs w:val="24"/>
          <w:highlight w:val="none"/>
        </w:rPr>
        <w:t>内，在浙江政府采购网的“其他公告”栏目公开质疑答复，答复内容应当完整。质疑函作为附件上传。</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11.</w:t>
      </w:r>
      <w:r>
        <w:rPr>
          <w:rFonts w:hint="eastAsia" w:ascii="仿宋" w:hAnsi="仿宋" w:cs="仿宋"/>
          <w:b/>
          <w:bCs/>
          <w:color w:val="auto"/>
          <w:szCs w:val="24"/>
          <w:highlight w:val="none"/>
        </w:rPr>
        <w:t>在线询问</w:t>
      </w:r>
      <w:r>
        <w:rPr>
          <w:rFonts w:hint="eastAsia" w:ascii="仿宋" w:hAnsi="仿宋" w:cs="仿宋"/>
          <w:b/>
          <w:bCs/>
          <w:color w:val="auto"/>
          <w:szCs w:val="24"/>
          <w:highlight w:val="none"/>
        </w:rPr>
        <w:t>、质疑、投诉。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pageBreakBefore w:val="0"/>
        <w:kinsoku/>
        <w:bidi w:val="0"/>
        <w:spacing w:beforeAutospacing="0" w:afterAutospacing="0" w:line="440" w:lineRule="exact"/>
        <w:rPr>
          <w:rFonts w:hint="eastAsia"/>
          <w:color w:val="auto"/>
          <w:highlight w:val="none"/>
        </w:rPr>
      </w:pPr>
    </w:p>
    <w:p>
      <w:pPr>
        <w:pageBreakBefore w:val="0"/>
        <w:kinsoku/>
        <w:bidi w:val="0"/>
        <w:spacing w:beforeAutospacing="0" w:afterAutospacing="0" w:line="440" w:lineRule="exact"/>
        <w:rPr>
          <w:rFonts w:hint="eastAsia"/>
          <w:color w:val="auto"/>
          <w:highlight w:val="none"/>
        </w:rPr>
      </w:pPr>
      <w:r>
        <w:rPr>
          <w:rFonts w:hint="eastAsia"/>
          <w:color w:val="auto"/>
          <w:highlight w:val="none"/>
        </w:rPr>
        <w:br w:type="page"/>
      </w:r>
    </w:p>
    <w:p>
      <w:pPr>
        <w:pStyle w:val="5"/>
        <w:pageBreakBefore w:val="0"/>
        <w:kinsoku/>
        <w:bidi w:val="0"/>
        <w:spacing w:beforeAutospacing="0" w:afterAutospacing="0" w:line="440" w:lineRule="exact"/>
        <w:rPr>
          <w:color w:val="auto"/>
          <w:highlight w:val="none"/>
        </w:rPr>
      </w:pPr>
      <w:r>
        <w:rPr>
          <w:rFonts w:hint="eastAsia"/>
          <w:color w:val="auto"/>
          <w:highlight w:val="none"/>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highlight w:val="none"/>
        </w:rPr>
      </w:pPr>
      <w:r>
        <w:rPr>
          <w:rFonts w:hint="eastAsia"/>
          <w:color w:val="auto"/>
          <w:highlight w:val="none"/>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投标人评标</w:t>
      </w:r>
      <w:r>
        <w:rPr>
          <w:rFonts w:hint="eastAsia" w:ascii="仿宋" w:hAnsi="仿宋" w:eastAsia="仿宋"/>
          <w:bCs/>
          <w:color w:val="auto"/>
          <w:sz w:val="24"/>
          <w:szCs w:val="24"/>
          <w:highlight w:val="none"/>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3.合格投标人的评标得分为各项目汇总得分，中标候选资格按评标得分由高到低顺序排列，得分相同的，按投标报价由低到高顺序排列；</w:t>
      </w:r>
      <w:r>
        <w:rPr>
          <w:rFonts w:hint="eastAsia" w:ascii="仿宋" w:hAnsi="仿宋" w:eastAsia="仿宋"/>
          <w:color w:val="auto"/>
          <w:sz w:val="24"/>
          <w:szCs w:val="24"/>
          <w:highlight w:val="none"/>
        </w:rPr>
        <w:t>得分且投标报价相同的</w:t>
      </w:r>
      <w:r>
        <w:rPr>
          <w:rFonts w:hint="eastAsia"/>
          <w:color w:val="auto"/>
          <w:sz w:val="24"/>
          <w:szCs w:val="24"/>
          <w:highlight w:val="none"/>
          <w:lang w:val="en-US" w:eastAsia="zh-CN"/>
        </w:rPr>
        <w:t>并列</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rPr>
        <w:t>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pPr>
        <w:pStyle w:val="27"/>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pPr>
        <w:pageBreakBefore w:val="0"/>
        <w:kinsoku/>
        <w:bidi w:val="0"/>
        <w:spacing w:beforeAutospacing="0" w:afterAutospacing="0" w:line="440" w:lineRule="exact"/>
        <w:ind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（一）价格评</w:t>
      </w:r>
      <w:r>
        <w:rPr>
          <w:rFonts w:hint="eastAsia" w:ascii="仿宋" w:hAnsi="仿宋" w:eastAsia="仿宋"/>
          <w:b/>
          <w:color w:val="auto"/>
          <w:sz w:val="24"/>
          <w:szCs w:val="24"/>
          <w:highlight w:val="none"/>
        </w:rPr>
        <w:t>分(</w:t>
      </w:r>
      <w:r>
        <w:rPr>
          <w:rFonts w:hint="eastAsia"/>
          <w:b/>
          <w:color w:val="auto"/>
          <w:sz w:val="24"/>
          <w:szCs w:val="24"/>
          <w:highlight w:val="none"/>
          <w:lang w:val="en-US" w:eastAsia="zh-CN"/>
        </w:rPr>
        <w:t>10</w:t>
      </w:r>
      <w:r>
        <w:rPr>
          <w:rFonts w:hint="eastAsia" w:ascii="仿宋" w:hAnsi="仿宋" w:eastAsia="仿宋"/>
          <w:b/>
          <w:color w:val="auto"/>
          <w:sz w:val="24"/>
          <w:szCs w:val="24"/>
          <w:highlight w:val="none"/>
        </w:rPr>
        <w:t>分)</w:t>
      </w:r>
    </w:p>
    <w:p>
      <w:pPr>
        <w:pageBreakBefore w:val="0"/>
        <w:kinsoku/>
        <w:bidi w:val="0"/>
        <w:spacing w:beforeAutospacing="0" w:afterAutospacing="0" w:line="440" w:lineRule="exact"/>
        <w:ind w:firstLine="482" w:firstLineChars="200"/>
        <w:rPr>
          <w:rFonts w:ascii="仿宋" w:hAnsi="仿宋" w:eastAsia="仿宋"/>
          <w:color w:val="auto"/>
          <w:sz w:val="24"/>
          <w:szCs w:val="24"/>
          <w:highlight w:val="none"/>
        </w:rPr>
      </w:pPr>
      <w:r>
        <w:rPr>
          <w:rFonts w:hint="eastAsia" w:ascii="仿宋" w:hAnsi="仿宋" w:eastAsia="仿宋"/>
          <w:b/>
          <w:color w:val="auto"/>
          <w:sz w:val="24"/>
          <w:szCs w:val="24"/>
          <w:highlight w:val="none"/>
        </w:rPr>
        <w:t>1.报价的合理性：</w:t>
      </w:r>
      <w:r>
        <w:rPr>
          <w:rFonts w:hint="eastAsia" w:ascii="仿宋" w:hAnsi="仿宋" w:eastAsia="仿宋"/>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highlight w:val="none"/>
          <w:lang w:val="zh-CN"/>
        </w:rPr>
        <w:t>价格</w:t>
      </w:r>
      <w:r>
        <w:rPr>
          <w:rFonts w:hint="eastAsia" w:ascii="仿宋" w:hAnsi="仿宋" w:eastAsia="仿宋" w:cs="仿宋_GB2312"/>
          <w:b/>
          <w:color w:val="auto"/>
          <w:sz w:val="24"/>
          <w:highlight w:val="none"/>
          <w:lang w:val="zh-CN"/>
        </w:rPr>
        <w:t>分的计算：</w:t>
      </w:r>
      <w:r>
        <w:rPr>
          <w:rFonts w:ascii="仿宋" w:hAnsi="仿宋" w:eastAsia="仿宋"/>
          <w:b/>
          <w:bCs/>
          <w:color w:val="auto"/>
          <w:sz w:val="24"/>
          <w:szCs w:val="24"/>
          <w:highlight w:val="none"/>
        </w:rPr>
        <w:t xml:space="preserve"> </w:t>
      </w:r>
      <w:r>
        <w:rPr>
          <w:rFonts w:hint="eastAsia" w:ascii="仿宋" w:hAnsi="仿宋" w:eastAsia="仿宋"/>
          <w:color w:val="auto"/>
          <w:sz w:val="24"/>
          <w:highlight w:val="none"/>
        </w:rPr>
        <w:t>根据各投标人的有效投标报价，</w:t>
      </w:r>
      <w:r>
        <w:rPr>
          <w:rFonts w:hint="eastAsia" w:ascii="仿宋" w:hAnsi="仿宋" w:eastAsia="仿宋"/>
          <w:color w:val="auto"/>
          <w:sz w:val="24"/>
          <w:szCs w:val="24"/>
          <w:highlight w:val="none"/>
        </w:rPr>
        <w:t>满足招标文件要求且投标价格最低的投标报价为评标基准价，其价格分为满分。其他投标人的价格分统一按照下列公式计算：投</w:t>
      </w:r>
      <w:r>
        <w:rPr>
          <w:rFonts w:hint="eastAsia" w:ascii="仿宋" w:hAnsi="仿宋" w:eastAsia="仿宋"/>
          <w:color w:val="auto"/>
          <w:sz w:val="24"/>
          <w:szCs w:val="24"/>
          <w:highlight w:val="none"/>
        </w:rPr>
        <w:t>标报价得分=(评标基准价／有效投标报价)×</w:t>
      </w:r>
      <w:r>
        <w:rPr>
          <w:rFonts w:hint="eastAsia"/>
          <w:color w:val="auto"/>
          <w:sz w:val="24"/>
          <w:szCs w:val="24"/>
          <w:highlight w:val="none"/>
          <w:lang w:val="en-US" w:eastAsia="zh-CN"/>
        </w:rPr>
        <w:t>10</w:t>
      </w:r>
      <w:r>
        <w:rPr>
          <w:rFonts w:hint="eastAsia" w:ascii="仿宋" w:hAnsi="仿宋" w:eastAsia="仿宋"/>
          <w:color w:val="auto"/>
          <w:sz w:val="24"/>
          <w:szCs w:val="24"/>
          <w:highlight w:val="none"/>
        </w:rPr>
        <w:t>%×100；</w:t>
      </w:r>
      <w:r>
        <w:rPr>
          <w:rFonts w:hint="eastAsia" w:ascii="仿宋" w:hAnsi="仿宋" w:cs="仿宋"/>
          <w:color w:val="auto"/>
          <w:szCs w:val="24"/>
          <w:highlight w:val="none"/>
        </w:rPr>
        <w:t>评标过程中，不得去掉报价中的最高报价和最低报价。</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（二）商务及技术评分（</w:t>
      </w:r>
      <w:r>
        <w:rPr>
          <w:rFonts w:hint="eastAsia"/>
          <w:b/>
          <w:color w:val="auto"/>
          <w:sz w:val="24"/>
          <w:szCs w:val="24"/>
          <w:highlight w:val="none"/>
          <w:lang w:val="en-US" w:eastAsia="zh-CN"/>
        </w:rPr>
        <w:t>90</w:t>
      </w:r>
      <w:r>
        <w:rPr>
          <w:rFonts w:hint="eastAsia" w:ascii="仿宋" w:hAnsi="仿宋" w:eastAsia="仿宋"/>
          <w:b/>
          <w:color w:val="auto"/>
          <w:sz w:val="24"/>
          <w:szCs w:val="24"/>
          <w:highlight w:val="none"/>
        </w:rPr>
        <w:t>分）</w:t>
      </w:r>
    </w:p>
    <w:p>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1.商务及技术分的计算。</w:t>
      </w:r>
    </w:p>
    <w:p>
      <w:pPr>
        <w:pageBreakBefore w:val="0"/>
        <w:kinsoku/>
        <w:bidi w:val="0"/>
        <w:spacing w:beforeAutospacing="0" w:afterAutospacing="0" w:line="440" w:lineRule="exact"/>
        <w:ind w:firstLine="480" w:firstLineChars="200"/>
        <w:rPr>
          <w:rStyle w:val="96"/>
          <w:rFonts w:hint="eastAsia" w:ascii="Arial" w:hAnsi="Arial" w:eastAsia="宋体" w:cs="Arial"/>
          <w:color w:val="auto"/>
          <w:sz w:val="22"/>
          <w:szCs w:val="22"/>
          <w:highlight w:val="none"/>
          <w:shd w:val="clear" w:color="auto" w:fill="FFFFFF"/>
        </w:rPr>
      </w:pPr>
      <w:r>
        <w:rPr>
          <w:rFonts w:hint="eastAsia" w:ascii="仿宋" w:hAnsi="仿宋" w:eastAsia="仿宋"/>
          <w:color w:val="auto"/>
          <w:sz w:val="24"/>
          <w:szCs w:val="24"/>
          <w:highlight w:val="none"/>
        </w:rPr>
        <w:t>商务及技术评分按照评标委员会成员的独立评分结果汇总后的算术平均分计算，计算公式为：商务及技术评分＝评标委员会所有成员评分合计数/评标委员会组成人员数。</w:t>
      </w:r>
    </w:p>
    <w:p>
      <w:pPr>
        <w:pageBreakBefore w:val="0"/>
        <w:kinsoku/>
        <w:bidi w:val="0"/>
        <w:adjustRightInd w:val="0"/>
        <w:snapToGrid w:val="0"/>
        <w:spacing w:beforeAutospacing="0" w:afterAutospacing="0" w:line="440" w:lineRule="exact"/>
        <w:ind w:firstLine="482" w:firstLineChars="200"/>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评分细则</w:t>
      </w:r>
    </w:p>
    <w:tbl>
      <w:tblPr>
        <w:tblStyle w:val="89"/>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67"/>
        <w:gridCol w:w="6033"/>
        <w:gridCol w:w="75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669"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序号</w:t>
            </w:r>
          </w:p>
        </w:tc>
        <w:tc>
          <w:tcPr>
            <w:tcW w:w="13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评分项目</w:t>
            </w:r>
          </w:p>
        </w:tc>
        <w:tc>
          <w:tcPr>
            <w:tcW w:w="6033"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评分内容</w:t>
            </w:r>
          </w:p>
        </w:tc>
        <w:tc>
          <w:tcPr>
            <w:tcW w:w="750"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分值</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9"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1</w:t>
            </w:r>
          </w:p>
        </w:tc>
        <w:tc>
          <w:tcPr>
            <w:tcW w:w="1367" w:type="dxa"/>
            <w:noWrap w:val="0"/>
            <w:vAlign w:val="center"/>
          </w:tcPr>
          <w:p>
            <w:pPr>
              <w:pStyle w:val="83"/>
              <w:widowControl w:val="0"/>
              <w:wordWrap/>
              <w:adjustRightIn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总体运营服务要求理解与分析</w:t>
            </w:r>
          </w:p>
        </w:tc>
        <w:tc>
          <w:tcPr>
            <w:tcW w:w="6033" w:type="dxa"/>
            <w:noWrap w:val="0"/>
            <w:vAlign w:val="center"/>
          </w:tcPr>
          <w:p>
            <w:pPr>
              <w:pStyle w:val="83"/>
              <w:widowControl w:val="0"/>
              <w:wordWrap/>
              <w:adjustRightIn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投标人对项目总体运营服务要求的理解与分析，</w:t>
            </w:r>
            <w:r>
              <w:rPr>
                <w:rFonts w:hint="eastAsia" w:ascii="仿宋" w:hAnsi="仿宋" w:eastAsia="仿宋" w:cs="仿宋"/>
                <w:color w:val="auto"/>
                <w:kern w:val="2"/>
                <w:sz w:val="24"/>
                <w:szCs w:val="24"/>
                <w:highlight w:val="none"/>
              </w:rPr>
              <w:t>现状情况了解全面，</w:t>
            </w:r>
            <w:r>
              <w:rPr>
                <w:rFonts w:hint="eastAsia" w:ascii="仿宋" w:hAnsi="仿宋" w:eastAsia="仿宋" w:cs="仿宋"/>
                <w:color w:val="auto"/>
                <w:kern w:val="2"/>
                <w:sz w:val="24"/>
                <w:szCs w:val="24"/>
                <w:highlight w:val="none"/>
                <w:lang w:eastAsia="zh-CN"/>
              </w:rPr>
              <w:t>需求分析</w:t>
            </w:r>
            <w:r>
              <w:rPr>
                <w:rFonts w:hint="eastAsia" w:ascii="仿宋" w:hAnsi="仿宋" w:eastAsia="仿宋" w:cs="仿宋"/>
                <w:color w:val="auto"/>
                <w:sz w:val="24"/>
                <w:szCs w:val="24"/>
                <w:highlight w:val="none"/>
              </w:rPr>
              <w:t>完整性、准确性、科学性、有针对性</w:t>
            </w:r>
            <w:r>
              <w:rPr>
                <w:rFonts w:hint="eastAsia" w:ascii="仿宋" w:hAnsi="仿宋" w:eastAsia="仿宋" w:cs="仿宋"/>
                <w:color w:val="auto"/>
                <w:kern w:val="2"/>
                <w:sz w:val="24"/>
                <w:szCs w:val="24"/>
                <w:highlight w:val="none"/>
              </w:rPr>
              <w:t>的得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分，现状情况了解</w:t>
            </w:r>
            <w:r>
              <w:rPr>
                <w:rFonts w:hint="eastAsia" w:ascii="仿宋" w:hAnsi="仿宋" w:eastAsia="仿宋" w:cs="仿宋"/>
                <w:color w:val="auto"/>
                <w:kern w:val="2"/>
                <w:sz w:val="24"/>
                <w:szCs w:val="24"/>
                <w:highlight w:val="none"/>
                <w:lang w:eastAsia="zh-CN"/>
              </w:rPr>
              <w:t>较好，需求分析部分符合</w:t>
            </w:r>
            <w:r>
              <w:rPr>
                <w:rFonts w:hint="eastAsia" w:ascii="仿宋" w:hAnsi="仿宋" w:eastAsia="仿宋" w:cs="仿宋"/>
                <w:color w:val="auto"/>
                <w:kern w:val="2"/>
                <w:sz w:val="24"/>
                <w:szCs w:val="24"/>
                <w:highlight w:val="none"/>
              </w:rPr>
              <w:t>的得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分，内容</w:t>
            </w:r>
            <w:r>
              <w:rPr>
                <w:rFonts w:hint="eastAsia" w:ascii="仿宋" w:hAnsi="仿宋" w:eastAsia="仿宋" w:cs="仿宋"/>
                <w:color w:val="auto"/>
                <w:kern w:val="2"/>
                <w:sz w:val="24"/>
                <w:szCs w:val="24"/>
                <w:highlight w:val="none"/>
                <w:lang w:eastAsia="zh-CN"/>
              </w:rPr>
              <w:t>存在缺漏较多，</w:t>
            </w:r>
            <w:r>
              <w:rPr>
                <w:rFonts w:hint="eastAsia" w:ascii="仿宋" w:hAnsi="仿宋" w:eastAsia="仿宋" w:cs="仿宋"/>
                <w:color w:val="auto"/>
                <w:kern w:val="2"/>
                <w:sz w:val="24"/>
                <w:szCs w:val="24"/>
                <w:highlight w:val="none"/>
              </w:rPr>
              <w:t>基本提及的得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分，不提供不得分。</w:t>
            </w:r>
          </w:p>
        </w:tc>
        <w:tc>
          <w:tcPr>
            <w:tcW w:w="750"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2</w:t>
            </w:r>
          </w:p>
        </w:tc>
        <w:tc>
          <w:tcPr>
            <w:tcW w:w="1367" w:type="dxa"/>
            <w:vMerge w:val="restart"/>
            <w:noWrap w:val="0"/>
            <w:vAlign w:val="center"/>
          </w:tcPr>
          <w:p>
            <w:pPr>
              <w:pStyle w:val="50"/>
              <w:wordWrap/>
              <w:snapToGrid/>
              <w:spacing w:before="0" w:beforeAutospacing="0" w:after="0" w:afterAutospacing="0" w:line="360" w:lineRule="auto"/>
              <w:ind w:left="0" w:leftChars="0" w:right="0" w:rightChars="0"/>
              <w:jc w:val="center"/>
              <w:textAlignment w:val="auto"/>
              <w:rPr>
                <w:rFonts w:hint="eastAsia" w:ascii="仿宋" w:hAnsi="仿宋" w:eastAsia="仿宋" w:cs="仿宋"/>
                <w:b/>
                <w:color w:val="auto"/>
                <w:kern w:val="44"/>
                <w:sz w:val="24"/>
                <w:szCs w:val="24"/>
                <w:highlight w:val="none"/>
                <w:lang w:val="en-US" w:eastAsia="zh-CN" w:bidi="ar-SA"/>
              </w:rPr>
            </w:pPr>
            <w:r>
              <w:rPr>
                <w:rFonts w:hint="eastAsia" w:ascii="仿宋" w:hAnsi="仿宋" w:eastAsia="仿宋" w:cs="仿宋"/>
                <w:color w:val="auto"/>
                <w:sz w:val="24"/>
                <w:szCs w:val="24"/>
                <w:highlight w:val="none"/>
              </w:rPr>
              <w:t>针对本项目的组织架构、管理机制</w:t>
            </w:r>
          </w:p>
        </w:tc>
        <w:tc>
          <w:tcPr>
            <w:tcW w:w="6033" w:type="dxa"/>
            <w:noWrap w:val="0"/>
            <w:vAlign w:val="center"/>
          </w:tcPr>
          <w:p>
            <w:pPr>
              <w:pStyle w:val="1020"/>
              <w:widowControl/>
              <w:wordWrap/>
              <w:snapToGrid/>
              <w:spacing w:before="0" w:beforeAutospacing="0" w:after="0" w:afterAutospacing="0" w:line="360" w:lineRule="auto"/>
              <w:ind w:left="0" w:right="0"/>
              <w:textAlignment w:val="auto"/>
              <w:rPr>
                <w:rFonts w:hint="eastAsia" w:ascii="仿宋" w:hAnsi="仿宋" w:eastAsia="仿宋" w:cs="仿宋"/>
                <w:bCs/>
                <w:color w:val="auto"/>
                <w:spacing w:val="14"/>
                <w:sz w:val="24"/>
                <w:szCs w:val="24"/>
                <w:highlight w:val="none"/>
                <w:u w:val="none"/>
                <w:lang w:val="en-US" w:eastAsia="zh-CN"/>
              </w:rPr>
            </w:pPr>
            <w:r>
              <w:rPr>
                <w:rFonts w:hint="eastAsia" w:ascii="仿宋" w:hAnsi="仿宋" w:eastAsia="仿宋" w:cs="仿宋"/>
                <w:bCs/>
                <w:color w:val="auto"/>
                <w:spacing w:val="14"/>
                <w:sz w:val="24"/>
                <w:szCs w:val="24"/>
                <w:highlight w:val="none"/>
                <w:u w:val="none"/>
                <w:lang w:val="en-US" w:eastAsia="zh-CN"/>
              </w:rPr>
              <w:t>针对本项目的组织架构、管理机制，有比较完善的组织架构，清晰简练地列出主要管理流程：</w:t>
            </w:r>
          </w:p>
          <w:p>
            <w:pPr>
              <w:pStyle w:val="1020"/>
              <w:widowControl/>
              <w:wordWrap/>
              <w:snapToGrid/>
              <w:spacing w:before="0" w:beforeAutospacing="0" w:after="0" w:afterAutospacing="0" w:line="360" w:lineRule="auto"/>
              <w:ind w:left="0" w:right="0"/>
              <w:textAlignment w:val="auto"/>
              <w:rPr>
                <w:rFonts w:hint="eastAsia" w:ascii="仿宋" w:hAnsi="仿宋" w:eastAsia="仿宋" w:cs="仿宋"/>
                <w:bCs/>
                <w:color w:val="auto"/>
                <w:spacing w:val="14"/>
                <w:sz w:val="24"/>
                <w:szCs w:val="24"/>
                <w:highlight w:val="none"/>
                <w:u w:val="single"/>
                <w:lang w:val="en-US" w:eastAsia="zh-CN" w:bidi="ar-SA"/>
              </w:rPr>
            </w:pPr>
            <w:r>
              <w:rPr>
                <w:rFonts w:hint="eastAsia" w:ascii="仿宋" w:hAnsi="仿宋" w:eastAsia="仿宋" w:cs="仿宋"/>
                <w:bCs/>
                <w:color w:val="auto"/>
                <w:spacing w:val="14"/>
                <w:sz w:val="24"/>
                <w:szCs w:val="24"/>
                <w:highlight w:val="none"/>
                <w:u w:val="none"/>
                <w:lang w:val="en-US" w:eastAsia="zh-CN"/>
              </w:rPr>
              <w:t>1）根据投标人的运作流程图（完全符合得3分，部分符合得2分，基本符合得1分，不符合不得分）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3分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rPr>
            </w:pPr>
          </w:p>
        </w:tc>
        <w:tc>
          <w:tcPr>
            <w:tcW w:w="1367" w:type="dxa"/>
            <w:vMerge w:val="continue"/>
            <w:noWrap w:val="0"/>
            <w:vAlign w:val="center"/>
          </w:tcPr>
          <w:p>
            <w:pPr>
              <w:pStyle w:val="50"/>
              <w:wordWrap/>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033" w:type="dxa"/>
            <w:noWrap w:val="0"/>
            <w:vAlign w:val="center"/>
          </w:tcPr>
          <w:p>
            <w:pPr>
              <w:pStyle w:val="1020"/>
              <w:widowControl/>
              <w:wordWrap/>
              <w:snapToGrid/>
              <w:spacing w:before="0" w:beforeAutospacing="0" w:after="0" w:afterAutospacing="0" w:line="360" w:lineRule="auto"/>
              <w:ind w:left="0" w:right="0"/>
              <w:textAlignment w:val="auto"/>
              <w:rPr>
                <w:rFonts w:hint="eastAsia" w:ascii="仿宋" w:hAnsi="仿宋" w:eastAsia="仿宋" w:cs="仿宋"/>
                <w:bCs/>
                <w:color w:val="auto"/>
                <w:spacing w:val="14"/>
                <w:sz w:val="24"/>
                <w:szCs w:val="24"/>
                <w:highlight w:val="none"/>
                <w:u w:val="none"/>
                <w:lang w:val="en-US" w:eastAsia="zh-CN"/>
              </w:rPr>
            </w:pPr>
            <w:r>
              <w:rPr>
                <w:rFonts w:hint="eastAsia" w:ascii="仿宋" w:hAnsi="仿宋" w:eastAsia="仿宋" w:cs="仿宋"/>
                <w:bCs/>
                <w:color w:val="auto"/>
                <w:spacing w:val="14"/>
                <w:sz w:val="24"/>
                <w:szCs w:val="24"/>
                <w:highlight w:val="none"/>
                <w:u w:val="none"/>
                <w:lang w:val="en-US" w:eastAsia="zh-CN"/>
              </w:rPr>
              <w:t>2）根据投标人的激励机制（完全符合得2分，基本符合得1分，不符合不得分）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2分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rPr>
            </w:pPr>
          </w:p>
        </w:tc>
        <w:tc>
          <w:tcPr>
            <w:tcW w:w="1367" w:type="dxa"/>
            <w:vMerge w:val="continue"/>
            <w:noWrap w:val="0"/>
            <w:vAlign w:val="center"/>
          </w:tcPr>
          <w:p>
            <w:pPr>
              <w:pStyle w:val="50"/>
              <w:wordWrap/>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033" w:type="dxa"/>
            <w:noWrap w:val="0"/>
            <w:vAlign w:val="center"/>
          </w:tcPr>
          <w:p>
            <w:pPr>
              <w:pStyle w:val="1020"/>
              <w:widowControl/>
              <w:wordWrap/>
              <w:snapToGrid/>
              <w:spacing w:before="0" w:beforeAutospacing="0" w:after="0" w:afterAutospacing="0" w:line="360" w:lineRule="auto"/>
              <w:ind w:left="0" w:leftChars="0" w:right="0" w:rightChars="0"/>
              <w:textAlignment w:val="auto"/>
              <w:rPr>
                <w:rFonts w:hint="eastAsia" w:ascii="仿宋" w:hAnsi="仿宋" w:eastAsia="仿宋" w:cs="仿宋"/>
                <w:bCs/>
                <w:color w:val="auto"/>
                <w:spacing w:val="14"/>
                <w:sz w:val="24"/>
                <w:szCs w:val="24"/>
                <w:highlight w:val="none"/>
                <w:u w:val="none"/>
                <w:lang w:val="en-US" w:eastAsia="zh-CN"/>
              </w:rPr>
            </w:pPr>
            <w:r>
              <w:rPr>
                <w:rFonts w:hint="eastAsia" w:ascii="仿宋" w:hAnsi="仿宋" w:eastAsia="仿宋" w:cs="仿宋"/>
                <w:bCs/>
                <w:color w:val="auto"/>
                <w:spacing w:val="14"/>
                <w:sz w:val="24"/>
                <w:szCs w:val="24"/>
                <w:highlight w:val="none"/>
                <w:u w:val="none"/>
                <w:lang w:val="en-US" w:eastAsia="zh-CN"/>
              </w:rPr>
              <w:t>3）根据投标人的信息反馈渠道及处理机制（完全符合得2分，基本符合得1分，不符合不得分）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2分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9"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p>
        </w:tc>
        <w:tc>
          <w:tcPr>
            <w:tcW w:w="1367" w:type="dxa"/>
            <w:noWrap w:val="0"/>
            <w:vAlign w:val="center"/>
          </w:tcPr>
          <w:p>
            <w:pPr>
              <w:spacing w:beforeLines="0"/>
              <w:jc w:val="center"/>
              <w:rPr>
                <w:rFonts w:hint="eastAsia" w:ascii="仿宋" w:hAnsi="仿宋" w:eastAsia="仿宋" w:cs="仿宋"/>
                <w:color w:val="auto"/>
                <w:highlight w:val="none"/>
              </w:rPr>
            </w:pPr>
            <w:r>
              <w:rPr>
                <w:rFonts w:hint="eastAsia" w:ascii="仿宋" w:hAnsi="仿宋" w:eastAsia="仿宋" w:cs="仿宋"/>
                <w:b w:val="0"/>
                <w:bCs w:val="0"/>
                <w:color w:val="auto"/>
                <w:kern w:val="3"/>
                <w:sz w:val="24"/>
                <w:szCs w:val="24"/>
                <w:highlight w:val="none"/>
                <w:lang w:val="en-US" w:eastAsia="zh-CN" w:bidi="ar-SA"/>
              </w:rPr>
              <w:t>运营业绩</w:t>
            </w:r>
          </w:p>
        </w:tc>
        <w:tc>
          <w:tcPr>
            <w:tcW w:w="6033" w:type="dxa"/>
            <w:noWrap w:val="0"/>
            <w:vAlign w:val="center"/>
          </w:tcPr>
          <w:p>
            <w:pPr>
              <w:spacing w:beforeLines="0"/>
              <w:jc w:val="both"/>
              <w:rPr>
                <w:rFonts w:hint="eastAsia" w:ascii="仿宋" w:hAnsi="仿宋" w:eastAsia="仿宋" w:cs="仿宋"/>
                <w:b w:val="0"/>
                <w:bCs w:val="0"/>
                <w:strike/>
                <w:dstrike w:val="0"/>
                <w:color w:val="auto"/>
                <w:kern w:val="3"/>
                <w:sz w:val="24"/>
                <w:szCs w:val="24"/>
                <w:highlight w:val="none"/>
                <w:lang w:val="en-US" w:eastAsia="zh-CN" w:bidi="ar-SA"/>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月1日起（以合同签订时间为准）至今</w:t>
            </w:r>
            <w:r>
              <w:rPr>
                <w:rFonts w:hint="eastAsia" w:ascii="仿宋" w:hAnsi="仿宋" w:eastAsia="仿宋" w:cs="仿宋"/>
                <w:b w:val="0"/>
                <w:bCs w:val="0"/>
                <w:color w:val="auto"/>
                <w:kern w:val="3"/>
                <w:sz w:val="24"/>
                <w:szCs w:val="24"/>
                <w:highlight w:val="none"/>
                <w:lang w:val="en-US" w:eastAsia="zh-CN" w:bidi="ar-SA"/>
              </w:rPr>
              <w:t>投标人有相关文化旅游业务运营经验的，提供相关证明材料</w:t>
            </w:r>
            <w:r>
              <w:rPr>
                <w:rFonts w:hint="eastAsia" w:cs="仿宋"/>
                <w:b w:val="0"/>
                <w:bCs w:val="0"/>
                <w:color w:val="auto"/>
                <w:kern w:val="3"/>
                <w:sz w:val="24"/>
                <w:szCs w:val="24"/>
                <w:highlight w:val="none"/>
                <w:lang w:val="en-US" w:eastAsia="zh-CN" w:bidi="ar-SA"/>
              </w:rPr>
              <w:t>每个</w:t>
            </w:r>
            <w:r>
              <w:rPr>
                <w:rFonts w:hint="eastAsia" w:ascii="仿宋" w:hAnsi="仿宋" w:eastAsia="仿宋" w:cs="仿宋"/>
                <w:b w:val="0"/>
                <w:bCs w:val="0"/>
                <w:color w:val="auto"/>
                <w:kern w:val="3"/>
                <w:sz w:val="24"/>
                <w:szCs w:val="24"/>
                <w:highlight w:val="none"/>
                <w:lang w:val="en-US" w:eastAsia="zh-CN" w:bidi="ar-SA"/>
              </w:rPr>
              <w:t>得</w:t>
            </w:r>
            <w:r>
              <w:rPr>
                <w:rFonts w:hint="eastAsia" w:cs="仿宋"/>
                <w:b w:val="0"/>
                <w:bCs w:val="0"/>
                <w:color w:val="auto"/>
                <w:kern w:val="3"/>
                <w:sz w:val="24"/>
                <w:szCs w:val="24"/>
                <w:highlight w:val="none"/>
                <w:lang w:val="en-US" w:eastAsia="zh-CN" w:bidi="ar-SA"/>
              </w:rPr>
              <w:t>0.5</w:t>
            </w:r>
            <w:r>
              <w:rPr>
                <w:rFonts w:hint="eastAsia" w:ascii="仿宋" w:hAnsi="仿宋" w:eastAsia="仿宋" w:cs="仿宋"/>
                <w:b w:val="0"/>
                <w:bCs w:val="0"/>
                <w:color w:val="auto"/>
                <w:kern w:val="3"/>
                <w:sz w:val="24"/>
                <w:szCs w:val="24"/>
                <w:highlight w:val="none"/>
                <w:lang w:val="en-US" w:eastAsia="zh-CN" w:bidi="ar-SA"/>
              </w:rPr>
              <w:t>分</w:t>
            </w:r>
            <w:r>
              <w:rPr>
                <w:rFonts w:hint="eastAsia" w:cs="仿宋"/>
                <w:b w:val="0"/>
                <w:bCs w:val="0"/>
                <w:color w:val="auto"/>
                <w:kern w:val="3"/>
                <w:sz w:val="24"/>
                <w:szCs w:val="24"/>
                <w:highlight w:val="none"/>
                <w:lang w:val="en-US" w:eastAsia="zh-CN" w:bidi="ar-SA"/>
              </w:rPr>
              <w:t>,最高得1分</w:t>
            </w:r>
            <w:r>
              <w:rPr>
                <w:rFonts w:hint="eastAsia" w:ascii="仿宋" w:hAnsi="仿宋" w:eastAsia="仿宋" w:cs="仿宋"/>
                <w:b w:val="0"/>
                <w:bCs w:val="0"/>
                <w:color w:val="auto"/>
                <w:kern w:val="3"/>
                <w:sz w:val="24"/>
                <w:szCs w:val="24"/>
                <w:highlight w:val="none"/>
                <w:lang w:val="en-US" w:eastAsia="zh-CN" w:bidi="ar-SA"/>
              </w:rPr>
              <w:t>。（0-1分）</w:t>
            </w:r>
          </w:p>
          <w:p>
            <w:pPr>
              <w:spacing w:beforeLine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z w:val="24"/>
                <w:szCs w:val="24"/>
                <w:highlight w:val="none"/>
              </w:rPr>
              <w:t>提供合同等证明资料</w:t>
            </w:r>
            <w:r>
              <w:rPr>
                <w:rFonts w:hint="eastAsia" w:ascii="仿宋" w:hAnsi="仿宋" w:eastAsia="仿宋" w:cs="仿宋"/>
                <w:b/>
                <w:bCs/>
                <w:color w:val="auto"/>
                <w:sz w:val="24"/>
                <w:szCs w:val="24"/>
                <w:highlight w:val="none"/>
                <w:lang w:eastAsia="zh-CN"/>
              </w:rPr>
              <w:t>加盖公章</w:t>
            </w:r>
            <w:r>
              <w:rPr>
                <w:rFonts w:hint="eastAsia" w:ascii="仿宋" w:hAnsi="仿宋" w:eastAsia="仿宋" w:cs="仿宋"/>
                <w:b/>
                <w:bCs/>
                <w:color w:val="auto"/>
                <w:sz w:val="24"/>
                <w:szCs w:val="24"/>
                <w:highlight w:val="none"/>
                <w:lang w:val="en-US" w:eastAsia="zh-CN"/>
              </w:rPr>
              <w:t>.</w:t>
            </w:r>
          </w:p>
        </w:tc>
        <w:tc>
          <w:tcPr>
            <w:tcW w:w="750"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3"/>
                <w:sz w:val="24"/>
                <w:szCs w:val="24"/>
                <w:highlight w:val="none"/>
                <w:lang w:val="en-US" w:eastAsia="zh-CN" w:bidi="ar-SA"/>
              </w:rPr>
              <w:t xml:space="preserve"> 1</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69"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bCs/>
                <w:color w:val="auto"/>
                <w:kern w:val="0"/>
                <w:sz w:val="24"/>
                <w:szCs w:val="24"/>
                <w:highlight w:val="none"/>
                <w:lang w:val="en-US" w:eastAsia="zh-CN"/>
              </w:rPr>
            </w:pPr>
            <w:r>
              <w:rPr>
                <w:rFonts w:hint="eastAsia" w:cs="仿宋"/>
                <w:b/>
                <w:bCs/>
                <w:color w:val="auto"/>
                <w:kern w:val="0"/>
                <w:sz w:val="24"/>
                <w:szCs w:val="24"/>
                <w:highlight w:val="none"/>
                <w:lang w:val="en-US" w:eastAsia="zh-CN"/>
              </w:rPr>
              <w:t>4</w:t>
            </w:r>
          </w:p>
        </w:tc>
        <w:tc>
          <w:tcPr>
            <w:tcW w:w="1367" w:type="dxa"/>
            <w:noWrap w:val="0"/>
            <w:vAlign w:val="center"/>
          </w:tcPr>
          <w:p>
            <w:pPr>
              <w:spacing w:beforeLines="0"/>
              <w:jc w:val="center"/>
              <w:rPr>
                <w:rFonts w:hint="eastAsia" w:ascii="仿宋" w:hAnsi="仿宋" w:eastAsia="仿宋" w:cs="仿宋"/>
                <w:b/>
                <w:bCs/>
                <w:strike/>
                <w:dstrike w:val="0"/>
                <w:color w:val="auto"/>
                <w:sz w:val="24"/>
                <w:szCs w:val="24"/>
                <w:highlight w:val="none"/>
              </w:rPr>
            </w:pPr>
            <w:r>
              <w:rPr>
                <w:rFonts w:hint="eastAsia" w:ascii="仿宋" w:hAnsi="仿宋" w:eastAsia="仿宋" w:cs="仿宋"/>
                <w:b w:val="0"/>
                <w:bCs w:val="0"/>
                <w:color w:val="auto"/>
                <w:kern w:val="3"/>
                <w:sz w:val="24"/>
                <w:szCs w:val="24"/>
                <w:highlight w:val="none"/>
                <w:lang w:val="en-US" w:eastAsia="zh-CN" w:bidi="ar-SA"/>
              </w:rPr>
              <w:t>企业</w:t>
            </w:r>
            <w:r>
              <w:rPr>
                <w:rFonts w:hint="eastAsia" w:cs="仿宋"/>
                <w:b w:val="0"/>
                <w:bCs w:val="0"/>
                <w:color w:val="auto"/>
                <w:kern w:val="3"/>
                <w:sz w:val="24"/>
                <w:szCs w:val="24"/>
                <w:highlight w:val="none"/>
                <w:lang w:val="en-US" w:eastAsia="zh-CN" w:bidi="ar-SA"/>
              </w:rPr>
              <w:t>实力</w:t>
            </w:r>
          </w:p>
        </w:tc>
        <w:tc>
          <w:tcPr>
            <w:tcW w:w="6033" w:type="dxa"/>
            <w:noWrap w:val="0"/>
            <w:vAlign w:val="center"/>
          </w:tcPr>
          <w:p>
            <w:pPr>
              <w:spacing w:beforeLines="0"/>
              <w:jc w:val="left"/>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获得区级及以上荣誉的每项加1分，市级及以上荣誉的每项加</w:t>
            </w:r>
            <w:r>
              <w:rPr>
                <w:rFonts w:hint="eastAsia" w:cs="仿宋"/>
                <w:b w:val="0"/>
                <w:bCs w:val="0"/>
                <w:color w:val="auto"/>
                <w:kern w:val="3"/>
                <w:sz w:val="24"/>
                <w:szCs w:val="24"/>
                <w:highlight w:val="none"/>
                <w:lang w:val="en-US" w:eastAsia="zh-CN" w:bidi="ar-SA"/>
              </w:rPr>
              <w:t>0.3</w:t>
            </w:r>
            <w:r>
              <w:rPr>
                <w:rFonts w:hint="eastAsia" w:ascii="仿宋" w:hAnsi="仿宋" w:eastAsia="仿宋" w:cs="仿宋"/>
                <w:b w:val="0"/>
                <w:bCs w:val="0"/>
                <w:color w:val="auto"/>
                <w:kern w:val="3"/>
                <w:sz w:val="24"/>
                <w:szCs w:val="24"/>
                <w:highlight w:val="none"/>
                <w:lang w:val="en-US" w:eastAsia="zh-CN" w:bidi="ar-SA"/>
              </w:rPr>
              <w:t>分，省级及以上荣誉的每项加</w:t>
            </w:r>
            <w:r>
              <w:rPr>
                <w:rFonts w:hint="eastAsia" w:cs="仿宋"/>
                <w:b w:val="0"/>
                <w:bCs w:val="0"/>
                <w:color w:val="auto"/>
                <w:kern w:val="3"/>
                <w:sz w:val="24"/>
                <w:szCs w:val="24"/>
                <w:highlight w:val="none"/>
                <w:lang w:val="en-US" w:eastAsia="zh-CN" w:bidi="ar-SA"/>
              </w:rPr>
              <w:t>0.5</w:t>
            </w:r>
            <w:r>
              <w:rPr>
                <w:rFonts w:hint="eastAsia" w:ascii="仿宋" w:hAnsi="仿宋" w:eastAsia="仿宋" w:cs="仿宋"/>
                <w:b w:val="0"/>
                <w:bCs w:val="0"/>
                <w:color w:val="auto"/>
                <w:kern w:val="3"/>
                <w:sz w:val="24"/>
                <w:szCs w:val="24"/>
                <w:highlight w:val="none"/>
                <w:lang w:val="en-US" w:eastAsia="zh-CN" w:bidi="ar-SA"/>
              </w:rPr>
              <w:t>分，最多得</w:t>
            </w:r>
            <w:r>
              <w:rPr>
                <w:rFonts w:hint="eastAsia" w:cs="仿宋"/>
                <w:b w:val="0"/>
                <w:bCs w:val="0"/>
                <w:color w:val="auto"/>
                <w:kern w:val="3"/>
                <w:sz w:val="24"/>
                <w:szCs w:val="24"/>
                <w:highlight w:val="none"/>
                <w:lang w:val="en-US" w:eastAsia="zh-CN" w:bidi="ar-SA"/>
              </w:rPr>
              <w:t>1</w:t>
            </w:r>
            <w:r>
              <w:rPr>
                <w:rFonts w:hint="eastAsia" w:ascii="仿宋" w:hAnsi="仿宋" w:eastAsia="仿宋" w:cs="仿宋"/>
                <w:b w:val="0"/>
                <w:bCs w:val="0"/>
                <w:color w:val="auto"/>
                <w:kern w:val="3"/>
                <w:sz w:val="24"/>
                <w:szCs w:val="24"/>
                <w:highlight w:val="none"/>
                <w:lang w:val="en-US" w:eastAsia="zh-CN" w:bidi="ar-SA"/>
              </w:rPr>
              <w:t>分。（0-</w:t>
            </w:r>
            <w:r>
              <w:rPr>
                <w:rFonts w:hint="eastAsia" w:cs="仿宋"/>
                <w:b w:val="0"/>
                <w:bCs w:val="0"/>
                <w:color w:val="auto"/>
                <w:kern w:val="3"/>
                <w:sz w:val="24"/>
                <w:szCs w:val="24"/>
                <w:highlight w:val="none"/>
                <w:lang w:val="en-US" w:eastAsia="zh-CN" w:bidi="ar-SA"/>
              </w:rPr>
              <w:t>1</w:t>
            </w:r>
            <w:r>
              <w:rPr>
                <w:rFonts w:hint="eastAsia" w:ascii="仿宋" w:hAnsi="仿宋" w:eastAsia="仿宋" w:cs="仿宋"/>
                <w:b w:val="0"/>
                <w:bCs w:val="0"/>
                <w:color w:val="auto"/>
                <w:kern w:val="3"/>
                <w:sz w:val="24"/>
                <w:szCs w:val="24"/>
                <w:highlight w:val="none"/>
                <w:lang w:val="en-US" w:eastAsia="zh-CN" w:bidi="ar-SA"/>
              </w:rPr>
              <w:t>分）</w:t>
            </w:r>
          </w:p>
          <w:p>
            <w:pPr>
              <w:spacing w:beforeLines="0"/>
              <w:jc w:val="left"/>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注：提供相关荣誉证书等证明资料加盖公章.</w:t>
            </w:r>
          </w:p>
        </w:tc>
        <w:tc>
          <w:tcPr>
            <w:tcW w:w="750" w:type="dxa"/>
            <w:noWrap w:val="0"/>
            <w:vAlign w:val="center"/>
          </w:tcPr>
          <w:p>
            <w:pPr>
              <w:spacing w:beforeLines="0"/>
              <w:jc w:val="center"/>
              <w:rPr>
                <w:rFonts w:hint="eastAsia"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r>
              <w:rPr>
                <w:rFonts w:hint="eastAsia" w:cs="仿宋"/>
                <w:b/>
                <w:bCs/>
                <w:color w:val="auto"/>
                <w:kern w:val="0"/>
                <w:sz w:val="24"/>
                <w:szCs w:val="24"/>
                <w:highlight w:val="none"/>
                <w:lang w:val="en-US" w:eastAsia="zh-CN"/>
              </w:rPr>
              <w:t>分</w:t>
            </w:r>
          </w:p>
        </w:tc>
        <w:tc>
          <w:tcPr>
            <w:tcW w:w="967" w:type="dxa"/>
            <w:noWrap w:val="0"/>
            <w:vAlign w:val="center"/>
          </w:tcPr>
          <w:p>
            <w:pPr>
              <w:spacing w:beforeLines="0"/>
              <w:jc w:val="left"/>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69" w:type="dxa"/>
            <w:vMerge w:val="restart"/>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5</w:t>
            </w:r>
          </w:p>
        </w:tc>
        <w:tc>
          <w:tcPr>
            <w:tcW w:w="1367"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lang w:val="en-US"/>
              </w:rPr>
            </w:pPr>
            <w:r>
              <w:rPr>
                <w:rFonts w:hint="eastAsia" w:ascii="仿宋" w:hAnsi="仿宋" w:eastAsia="仿宋" w:cs="仿宋"/>
                <w:color w:val="auto"/>
                <w:kern w:val="2"/>
                <w:sz w:val="24"/>
                <w:szCs w:val="24"/>
                <w:highlight w:val="none"/>
                <w:lang w:val="en-US" w:eastAsia="zh-CN" w:bidi="ar-SA"/>
              </w:rPr>
              <w:t>现场讲解（讲解时间不超过</w:t>
            </w:r>
            <w:r>
              <w:rPr>
                <w:rFonts w:hint="eastAsia" w:cs="仿宋"/>
                <w:color w:val="auto"/>
                <w:kern w:val="2"/>
                <w:sz w:val="24"/>
                <w:szCs w:val="24"/>
                <w:highlight w:val="none"/>
                <w:lang w:val="en-US" w:eastAsia="zh-CN" w:bidi="ar-SA"/>
              </w:rPr>
              <w:t>20</w:t>
            </w:r>
            <w:r>
              <w:rPr>
                <w:rFonts w:hint="eastAsia" w:ascii="仿宋" w:hAnsi="仿宋" w:eastAsia="仿宋" w:cs="仿宋"/>
                <w:color w:val="auto"/>
                <w:kern w:val="2"/>
                <w:sz w:val="24"/>
                <w:szCs w:val="24"/>
                <w:highlight w:val="none"/>
                <w:lang w:val="en-US" w:eastAsia="zh-CN" w:bidi="ar-SA"/>
              </w:rPr>
              <w:t>分钟）</w:t>
            </w:r>
          </w:p>
        </w:tc>
        <w:tc>
          <w:tcPr>
            <w:tcW w:w="6033" w:type="dxa"/>
            <w:noWrap w:val="0"/>
            <w:vAlign w:val="center"/>
          </w:tcPr>
          <w:p>
            <w:pPr>
              <w:pageBreakBefore w:val="0"/>
              <w:widowControl/>
              <w:kinsoku/>
              <w:bidi w:val="0"/>
              <w:spacing w:beforeAutospacing="0" w:afterAutospacing="0" w:line="4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对以下讲解内容进行评审打分：</w:t>
            </w:r>
          </w:p>
          <w:p>
            <w:pPr>
              <w:pageBreakBefore w:val="0"/>
              <w:widowControl/>
              <w:numPr>
                <w:ilvl w:val="0"/>
                <w:numId w:val="0"/>
              </w:numPr>
              <w:kinsoku/>
              <w:bidi w:val="0"/>
              <w:spacing w:beforeAutospacing="0" w:afterAutospacing="0" w:line="440" w:lineRule="exact"/>
              <w:jc w:val="both"/>
              <w:rPr>
                <w:rFonts w:hint="eastAsia" w:ascii="仿宋" w:hAnsi="仿宋" w:eastAsia="仿宋" w:cs="仿宋"/>
                <w:b/>
                <w:bCs/>
                <w:color w:val="auto"/>
                <w:kern w:val="0"/>
                <w:sz w:val="24"/>
                <w:szCs w:val="24"/>
                <w:highlight w:val="none"/>
                <w:lang w:val="en-US"/>
              </w:rPr>
            </w:pPr>
            <w:r>
              <w:rPr>
                <w:rFonts w:hint="eastAsia" w:ascii="仿宋" w:hAnsi="仿宋" w:eastAsia="仿宋" w:cs="仿宋"/>
                <w:color w:val="auto"/>
                <w:sz w:val="24"/>
                <w:szCs w:val="24"/>
                <w:highlight w:val="none"/>
                <w:lang w:val="en-US" w:eastAsia="zh-CN"/>
              </w:rPr>
              <w:t>1、由现场讲解人员针对富阳非遗馆的了解及文化相关产业了解情况进行打分</w:t>
            </w:r>
            <w:r>
              <w:rPr>
                <w:rFonts w:hint="eastAsia" w:cs="仿宋"/>
                <w:color w:val="auto"/>
                <w:sz w:val="24"/>
                <w:szCs w:val="24"/>
                <w:highlight w:val="none"/>
                <w:lang w:val="en-US" w:eastAsia="zh-CN"/>
              </w:rPr>
              <w:t>，讲解到位且流畅的得3分，讲解有所欠缺且不够流畅的得2分，讲解不清楚且不流畅的得1分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p>
        </w:tc>
        <w:tc>
          <w:tcPr>
            <w:tcW w:w="6033" w:type="dxa"/>
            <w:noWrap w:val="0"/>
            <w:vAlign w:val="center"/>
          </w:tcPr>
          <w:p>
            <w:pPr>
              <w:pageBreakBefore w:val="0"/>
              <w:widowControl/>
              <w:numPr>
                <w:ilvl w:val="0"/>
                <w:numId w:val="0"/>
              </w:numPr>
              <w:kinsoku/>
              <w:bidi w:val="0"/>
              <w:spacing w:beforeAutospacing="0" w:afterAutospacing="0" w:line="440" w:lineRule="exact"/>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2、本项目的理解情况及对富阳非遗馆运营思路的整体性、合理性进行打分</w:t>
            </w:r>
            <w:r>
              <w:rPr>
                <w:rFonts w:hint="eastAsia" w:cs="仿宋"/>
                <w:color w:val="auto"/>
                <w:sz w:val="24"/>
                <w:szCs w:val="24"/>
                <w:highlight w:val="none"/>
                <w:lang w:val="en-US" w:eastAsia="zh-CN"/>
              </w:rPr>
              <w:t>，讲解到位且流畅的得3分，讲解有所欠缺且不够流畅的得2分，讲解不清楚且不流畅的得1分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p>
        </w:tc>
        <w:tc>
          <w:tcPr>
            <w:tcW w:w="6033" w:type="dxa"/>
            <w:noWrap w:val="0"/>
            <w:vAlign w:val="center"/>
          </w:tcPr>
          <w:p>
            <w:pPr>
              <w:pageBreakBefore w:val="0"/>
              <w:widowControl/>
              <w:numPr>
                <w:ilvl w:val="0"/>
                <w:numId w:val="0"/>
              </w:numPr>
              <w:kinsoku/>
              <w:bidi w:val="0"/>
              <w:spacing w:beforeAutospacing="0" w:afterAutospacing="0" w:line="440" w:lineRule="exact"/>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3、对项目的创新思维等进行打分；</w:t>
            </w:r>
            <w:r>
              <w:rPr>
                <w:rFonts w:hint="eastAsia" w:cs="仿宋"/>
                <w:color w:val="auto"/>
                <w:sz w:val="24"/>
                <w:szCs w:val="24"/>
                <w:highlight w:val="none"/>
                <w:lang w:val="en-US" w:eastAsia="zh-CN"/>
              </w:rPr>
              <w:t>讲解到位且流畅的得3分，讲解有所欠缺且不够流畅的得2分，讲解不清楚且不流畅的得1分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p>
        </w:tc>
        <w:tc>
          <w:tcPr>
            <w:tcW w:w="6033" w:type="dxa"/>
            <w:noWrap w:val="0"/>
            <w:vAlign w:val="center"/>
          </w:tcPr>
          <w:p>
            <w:pPr>
              <w:pageBreakBefore w:val="0"/>
              <w:widowControl/>
              <w:numPr>
                <w:ilvl w:val="0"/>
                <w:numId w:val="0"/>
              </w:numPr>
              <w:kinsoku/>
              <w:bidi w:val="0"/>
              <w:spacing w:beforeAutospacing="0" w:afterAutospacing="0" w:line="440" w:lineRule="exact"/>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4、讲解过程中的思路清晰、内容完整、语言表达流畅进行打分；</w:t>
            </w:r>
            <w:r>
              <w:rPr>
                <w:rFonts w:hint="eastAsia" w:cs="仿宋"/>
                <w:color w:val="auto"/>
                <w:sz w:val="24"/>
                <w:szCs w:val="24"/>
                <w:highlight w:val="none"/>
                <w:lang w:val="en-US" w:eastAsia="zh-CN"/>
              </w:rPr>
              <w:t>讲解到位且流畅的得3分，讲解有所欠缺且不够流畅的得2分，讲解不清楚且不流畅的得1分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69"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367"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日常维护管理</w:t>
            </w:r>
          </w:p>
        </w:tc>
        <w:tc>
          <w:tcPr>
            <w:tcW w:w="6033" w:type="dxa"/>
            <w:noWrap w:val="0"/>
            <w:vAlign w:val="center"/>
          </w:tcPr>
          <w:p>
            <w:pPr>
              <w:pageBreakBefore w:val="0"/>
              <w:widowControl/>
              <w:kinsoku/>
              <w:bidi w:val="0"/>
              <w:spacing w:beforeAutospacing="0" w:afterAutospacing="0" w:line="440"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1、根据投标人针对本项目的常设展厅展品展具日常维护、检测维修等方面的日常管理和维护方案等进行评审；</w:t>
            </w:r>
            <w:r>
              <w:rPr>
                <w:rFonts w:hint="eastAsia" w:ascii="仿宋" w:hAnsi="仿宋" w:eastAsia="仿宋" w:cs="仿宋"/>
                <w:color w:val="auto"/>
                <w:sz w:val="24"/>
                <w:szCs w:val="24"/>
                <w:highlight w:val="none"/>
              </w:rPr>
              <w:t>方案描述详细全面、思路清晰、先进、可行科学合理的得3分；方案描述较详细全面、思路较清晰、较先进、可行的得2分，方案描述不全面、思路不清晰、先进、可行性较差的得1分。不提供方案不得分（0-3分）</w:t>
            </w:r>
          </w:p>
        </w:tc>
        <w:tc>
          <w:tcPr>
            <w:tcW w:w="750"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p>
        </w:tc>
        <w:tc>
          <w:tcPr>
            <w:tcW w:w="6033" w:type="dxa"/>
            <w:noWrap w:val="0"/>
            <w:vAlign w:val="center"/>
          </w:tcPr>
          <w:p>
            <w:pPr>
              <w:pageBreakBefore w:val="0"/>
              <w:widowControl/>
              <w:kinsoku/>
              <w:bidi w:val="0"/>
              <w:spacing w:beforeAutospacing="0" w:afterAutospacing="0" w:line="4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2、投标人对场馆设施设备的日常维护及场馆的卫生保洁方案等进行打分；</w:t>
            </w:r>
            <w:r>
              <w:rPr>
                <w:rFonts w:hint="eastAsia" w:ascii="仿宋" w:hAnsi="仿宋" w:eastAsia="仿宋" w:cs="仿宋"/>
                <w:color w:val="auto"/>
                <w:sz w:val="24"/>
                <w:szCs w:val="24"/>
                <w:highlight w:val="none"/>
              </w:rPr>
              <w:t>方案描述详细全面、思路清晰、先进、可行科学合理的得3分；方案描述较详细全面、思路较清晰、较先进、可行的得2分，方案描述不全面、思路不清晰、先进、可行性较差的得1分。不提供方案不得分（0-3分）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669"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367"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运营方案</w:t>
            </w:r>
          </w:p>
        </w:tc>
        <w:tc>
          <w:tcPr>
            <w:tcW w:w="6033" w:type="dxa"/>
            <w:noWrap w:val="0"/>
            <w:vAlign w:val="center"/>
          </w:tcPr>
          <w:p>
            <w:pPr>
              <w:pageBreakBefore w:val="0"/>
              <w:widowControl/>
              <w:kinsoku/>
              <w:bidi w:val="0"/>
              <w:spacing w:beforeAutospacing="0" w:afterAutospacing="0" w:line="440"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根据投标人针对本项目的运营管理服务方案：</w:t>
            </w:r>
          </w:p>
          <w:p>
            <w:pPr>
              <w:pageBreakBefore w:val="0"/>
              <w:widowControl/>
              <w:numPr>
                <w:ilvl w:val="0"/>
                <w:numId w:val="0"/>
              </w:numPr>
              <w:kinsoku/>
              <w:bidi w:val="0"/>
              <w:spacing w:beforeAutospacing="0" w:afterAutospacing="0" w:line="440" w:lineRule="exact"/>
              <w:jc w:val="both"/>
              <w:rPr>
                <w:rFonts w:hint="eastAsia" w:ascii="仿宋" w:hAnsi="仿宋" w:eastAsia="仿宋" w:cs="仿宋"/>
                <w:color w:val="auto"/>
                <w:highlight w:val="none"/>
                <w:lang w:val="en-US" w:eastAsia="zh-CN"/>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非遗</w:t>
            </w:r>
            <w:r>
              <w:rPr>
                <w:rFonts w:hint="eastAsia" w:ascii="仿宋" w:hAnsi="仿宋" w:eastAsia="仿宋" w:cs="仿宋"/>
                <w:color w:val="auto"/>
                <w:sz w:val="24"/>
                <w:szCs w:val="24"/>
                <w:highlight w:val="none"/>
                <w:lang w:eastAsia="zh-CN"/>
              </w:rPr>
              <w:t>主题活动</w:t>
            </w:r>
            <w:r>
              <w:rPr>
                <w:rFonts w:hint="eastAsia" w:ascii="仿宋" w:hAnsi="仿宋" w:eastAsia="仿宋" w:cs="仿宋"/>
                <w:color w:val="auto"/>
                <w:highlight w:val="none"/>
                <w:lang w:val="en-US" w:eastAsia="zh-CN"/>
              </w:rPr>
              <w:t>开展方案：</w:t>
            </w:r>
            <w:r>
              <w:rPr>
                <w:rFonts w:hint="eastAsia" w:ascii="仿宋" w:hAnsi="仿宋" w:eastAsia="仿宋" w:cs="仿宋"/>
                <w:color w:val="auto"/>
                <w:sz w:val="24"/>
                <w:szCs w:val="24"/>
                <w:highlight w:val="none"/>
              </w:rPr>
              <w:t>方案描述详细全面、思路清晰、先进、可行科学合理的得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分；方案描述较详细全面、思路较清晰、较先进、可行的得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分，方案描述不</w:t>
            </w:r>
            <w:r>
              <w:rPr>
                <w:rFonts w:hint="eastAsia" w:cs="仿宋"/>
                <w:color w:val="auto"/>
                <w:sz w:val="24"/>
                <w:szCs w:val="24"/>
                <w:highlight w:val="none"/>
                <w:lang w:val="en-US" w:eastAsia="zh-CN"/>
              </w:rPr>
              <w:t>够</w:t>
            </w:r>
            <w:r>
              <w:rPr>
                <w:rFonts w:hint="eastAsia" w:ascii="仿宋" w:hAnsi="仿宋" w:eastAsia="仿宋" w:cs="仿宋"/>
                <w:color w:val="auto"/>
                <w:sz w:val="24"/>
                <w:szCs w:val="24"/>
                <w:highlight w:val="none"/>
              </w:rPr>
              <w:t>全面、思路不</w:t>
            </w:r>
            <w:r>
              <w:rPr>
                <w:rFonts w:hint="eastAsia" w:cs="仿宋"/>
                <w:color w:val="auto"/>
                <w:sz w:val="24"/>
                <w:szCs w:val="24"/>
                <w:highlight w:val="none"/>
                <w:lang w:val="en-US" w:eastAsia="zh-CN"/>
              </w:rPr>
              <w:t>够</w:t>
            </w:r>
            <w:r>
              <w:rPr>
                <w:rFonts w:hint="eastAsia" w:ascii="仿宋" w:hAnsi="仿宋" w:eastAsia="仿宋" w:cs="仿宋"/>
                <w:color w:val="auto"/>
                <w:sz w:val="24"/>
                <w:szCs w:val="24"/>
                <w:highlight w:val="none"/>
              </w:rPr>
              <w:t>清晰、先进、可行性</w:t>
            </w:r>
            <w:r>
              <w:rPr>
                <w:rFonts w:hint="eastAsia" w:cs="仿宋"/>
                <w:color w:val="auto"/>
                <w:sz w:val="24"/>
                <w:szCs w:val="24"/>
                <w:highlight w:val="none"/>
                <w:lang w:val="en-US" w:eastAsia="zh-CN"/>
              </w:rPr>
              <w:t>一般</w:t>
            </w:r>
            <w:r>
              <w:rPr>
                <w:rFonts w:hint="eastAsia" w:ascii="仿宋" w:hAnsi="仿宋" w:eastAsia="仿宋" w:cs="仿宋"/>
                <w:color w:val="auto"/>
                <w:sz w:val="24"/>
                <w:szCs w:val="24"/>
                <w:highlight w:val="none"/>
              </w:rPr>
              <w:t>的得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方案描述不全面、思路不清晰、先进、可行性</w:t>
            </w:r>
            <w:r>
              <w:rPr>
                <w:rFonts w:hint="eastAsia" w:cs="仿宋"/>
                <w:color w:val="auto"/>
                <w:sz w:val="24"/>
                <w:szCs w:val="24"/>
                <w:highlight w:val="none"/>
                <w:lang w:val="en-US" w:eastAsia="zh-CN"/>
              </w:rPr>
              <w:t>较差</w:t>
            </w:r>
            <w:r>
              <w:rPr>
                <w:rFonts w:hint="eastAsia" w:ascii="仿宋" w:hAnsi="仿宋" w:eastAsia="仿宋" w:cs="仿宋"/>
                <w:color w:val="auto"/>
                <w:sz w:val="24"/>
                <w:szCs w:val="24"/>
                <w:highlight w:val="none"/>
              </w:rPr>
              <w:t>的得</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分。不提供方案不得分（0-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50"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4</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p>
        </w:tc>
        <w:tc>
          <w:tcPr>
            <w:tcW w:w="6033" w:type="dxa"/>
            <w:noWrap w:val="0"/>
            <w:vAlign w:val="center"/>
          </w:tcPr>
          <w:p>
            <w:pPr>
              <w:pageBreakBefore w:val="0"/>
              <w:widowControl/>
              <w:numPr>
                <w:ilvl w:val="0"/>
                <w:numId w:val="0"/>
              </w:numPr>
              <w:kinsoku/>
              <w:bidi w:val="0"/>
              <w:spacing w:beforeAutospacing="0" w:afterAutospacing="0" w:line="440" w:lineRule="exact"/>
              <w:ind w:leftChars="0"/>
              <w:jc w:val="both"/>
              <w:rPr>
                <w:rFonts w:hint="eastAsia" w:ascii="仿宋" w:hAnsi="仿宋" w:eastAsia="仿宋" w:cs="仿宋"/>
                <w:color w:val="auto"/>
                <w:highlight w:val="none"/>
                <w:lang w:val="en-US" w:eastAsia="zh-CN"/>
              </w:rPr>
            </w:pPr>
            <w:r>
              <w:rPr>
                <w:rFonts w:hint="eastAsia" w:cs="仿宋"/>
                <w:color w:val="auto"/>
                <w:highlight w:val="none"/>
                <w:lang w:val="en-US" w:eastAsia="zh-CN"/>
              </w:rPr>
              <w:t>2、</w:t>
            </w:r>
            <w:r>
              <w:rPr>
                <w:rFonts w:hint="eastAsia" w:ascii="仿宋" w:hAnsi="仿宋" w:eastAsia="仿宋" w:cs="仿宋"/>
                <w:color w:val="auto"/>
                <w:highlight w:val="none"/>
                <w:lang w:val="en-US" w:eastAsia="zh-CN"/>
              </w:rPr>
              <w:t>非遗主题展览的开展及保障工作方案；</w:t>
            </w:r>
            <w:r>
              <w:rPr>
                <w:rFonts w:hint="eastAsia" w:ascii="仿宋" w:hAnsi="仿宋" w:eastAsia="仿宋" w:cs="仿宋"/>
                <w:color w:val="auto"/>
                <w:sz w:val="24"/>
                <w:szCs w:val="24"/>
                <w:highlight w:val="none"/>
              </w:rPr>
              <w:t>方案描述详细全面、思路清晰、先进、可行科学合理的得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分；方案描述较详细全面、思路较清晰、较先进、可行的得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分，方案描述不</w:t>
            </w:r>
            <w:r>
              <w:rPr>
                <w:rFonts w:hint="eastAsia" w:cs="仿宋"/>
                <w:color w:val="auto"/>
                <w:sz w:val="24"/>
                <w:szCs w:val="24"/>
                <w:highlight w:val="none"/>
                <w:lang w:val="en-US" w:eastAsia="zh-CN"/>
              </w:rPr>
              <w:t>够</w:t>
            </w:r>
            <w:r>
              <w:rPr>
                <w:rFonts w:hint="eastAsia" w:ascii="仿宋" w:hAnsi="仿宋" w:eastAsia="仿宋" w:cs="仿宋"/>
                <w:color w:val="auto"/>
                <w:sz w:val="24"/>
                <w:szCs w:val="24"/>
                <w:highlight w:val="none"/>
              </w:rPr>
              <w:t>全面、思路不</w:t>
            </w:r>
            <w:r>
              <w:rPr>
                <w:rFonts w:hint="eastAsia" w:cs="仿宋"/>
                <w:color w:val="auto"/>
                <w:sz w:val="24"/>
                <w:szCs w:val="24"/>
                <w:highlight w:val="none"/>
                <w:lang w:val="en-US" w:eastAsia="zh-CN"/>
              </w:rPr>
              <w:t>够</w:t>
            </w:r>
            <w:r>
              <w:rPr>
                <w:rFonts w:hint="eastAsia" w:ascii="仿宋" w:hAnsi="仿宋" w:eastAsia="仿宋" w:cs="仿宋"/>
                <w:color w:val="auto"/>
                <w:sz w:val="24"/>
                <w:szCs w:val="24"/>
                <w:highlight w:val="none"/>
              </w:rPr>
              <w:t>清晰、先进、可行性</w:t>
            </w:r>
            <w:r>
              <w:rPr>
                <w:rFonts w:hint="eastAsia" w:cs="仿宋"/>
                <w:color w:val="auto"/>
                <w:sz w:val="24"/>
                <w:szCs w:val="24"/>
                <w:highlight w:val="none"/>
                <w:lang w:val="en-US" w:eastAsia="zh-CN"/>
              </w:rPr>
              <w:t>一般</w:t>
            </w:r>
            <w:r>
              <w:rPr>
                <w:rFonts w:hint="eastAsia" w:ascii="仿宋" w:hAnsi="仿宋" w:eastAsia="仿宋" w:cs="仿宋"/>
                <w:color w:val="auto"/>
                <w:sz w:val="24"/>
                <w:szCs w:val="24"/>
                <w:highlight w:val="none"/>
              </w:rPr>
              <w:t>的得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方案描述不全面、思路不清晰、先进、可行性</w:t>
            </w:r>
            <w:r>
              <w:rPr>
                <w:rFonts w:hint="eastAsia" w:cs="仿宋"/>
                <w:color w:val="auto"/>
                <w:sz w:val="24"/>
                <w:szCs w:val="24"/>
                <w:highlight w:val="none"/>
                <w:lang w:val="en-US" w:eastAsia="zh-CN"/>
              </w:rPr>
              <w:t>较差</w:t>
            </w:r>
            <w:r>
              <w:rPr>
                <w:rFonts w:hint="eastAsia" w:ascii="仿宋" w:hAnsi="仿宋" w:eastAsia="仿宋" w:cs="仿宋"/>
                <w:color w:val="auto"/>
                <w:sz w:val="24"/>
                <w:szCs w:val="24"/>
                <w:highlight w:val="none"/>
              </w:rPr>
              <w:t>的得</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分。不提供方案不得分（0-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4</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p>
        </w:tc>
        <w:tc>
          <w:tcPr>
            <w:tcW w:w="6033" w:type="dxa"/>
            <w:noWrap w:val="0"/>
            <w:vAlign w:val="center"/>
          </w:tcPr>
          <w:p>
            <w:pPr>
              <w:pageBreakBefore w:val="0"/>
              <w:widowControl/>
              <w:numPr>
                <w:ilvl w:val="0"/>
                <w:numId w:val="0"/>
              </w:numPr>
              <w:kinsoku/>
              <w:bidi w:val="0"/>
              <w:spacing w:beforeAutospacing="0" w:afterAutospacing="0" w:line="440" w:lineRule="exact"/>
              <w:ind w:leftChars="0"/>
              <w:jc w:val="both"/>
              <w:rPr>
                <w:rFonts w:hint="eastAsia" w:ascii="仿宋" w:hAnsi="仿宋" w:eastAsia="仿宋" w:cs="仿宋"/>
                <w:color w:val="auto"/>
                <w:highlight w:val="none"/>
                <w:lang w:val="en-US" w:eastAsia="zh-CN"/>
              </w:rPr>
            </w:pPr>
            <w:r>
              <w:rPr>
                <w:rFonts w:hint="eastAsia" w:cs="仿宋"/>
                <w:color w:val="auto"/>
                <w:highlight w:val="none"/>
                <w:lang w:val="en-US" w:eastAsia="zh-CN"/>
              </w:rPr>
              <w:t>3、</w:t>
            </w:r>
            <w:r>
              <w:rPr>
                <w:rFonts w:hint="eastAsia" w:ascii="仿宋" w:hAnsi="仿宋" w:eastAsia="仿宋" w:cs="仿宋"/>
                <w:color w:val="auto"/>
                <w:highlight w:val="none"/>
                <w:lang w:val="en-US" w:eastAsia="zh-CN"/>
              </w:rPr>
              <w:t>公益性培训方案；</w:t>
            </w:r>
            <w:r>
              <w:rPr>
                <w:rFonts w:hint="eastAsia" w:ascii="仿宋" w:hAnsi="仿宋" w:eastAsia="仿宋" w:cs="仿宋"/>
                <w:color w:val="auto"/>
                <w:sz w:val="24"/>
                <w:szCs w:val="24"/>
                <w:highlight w:val="none"/>
              </w:rPr>
              <w:t>方案描述详细全面、思路清晰、先进、可行科学合理的得3分；方案描述较详细全面、思路较清晰、较先进、可行的得2分，方案描述不全面、思路不清晰、先进、可行性较差的得1分。不提供方案不得分（0-3分）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2"/>
                <w:sz w:val="24"/>
                <w:szCs w:val="24"/>
                <w:highlight w:val="none"/>
                <w:lang w:val="en-US" w:eastAsia="zh-CN" w:bidi="ar-SA"/>
              </w:rPr>
            </w:pPr>
          </w:p>
        </w:tc>
        <w:tc>
          <w:tcPr>
            <w:tcW w:w="6033" w:type="dxa"/>
            <w:noWrap w:val="0"/>
            <w:vAlign w:val="center"/>
          </w:tcPr>
          <w:p>
            <w:pPr>
              <w:pageBreakBefore w:val="0"/>
              <w:widowControl/>
              <w:numPr>
                <w:ilvl w:val="0"/>
                <w:numId w:val="0"/>
              </w:numPr>
              <w:kinsoku/>
              <w:bidi w:val="0"/>
              <w:spacing w:beforeAutospacing="0" w:afterAutospacing="0" w:line="440" w:lineRule="exact"/>
              <w:ind w:leftChars="0"/>
              <w:jc w:val="both"/>
              <w:rPr>
                <w:rFonts w:hint="eastAsia" w:ascii="仿宋" w:hAnsi="仿宋" w:eastAsia="仿宋" w:cs="仿宋"/>
                <w:color w:val="auto"/>
                <w:highlight w:val="none"/>
                <w:lang w:val="en-US" w:eastAsia="zh-CN"/>
              </w:rPr>
            </w:pPr>
            <w:r>
              <w:rPr>
                <w:rFonts w:hint="eastAsia" w:cs="仿宋"/>
                <w:color w:val="auto"/>
                <w:highlight w:val="none"/>
                <w:lang w:val="en-US" w:eastAsia="zh-CN"/>
              </w:rPr>
              <w:t>4、</w:t>
            </w:r>
            <w:r>
              <w:rPr>
                <w:rFonts w:hint="eastAsia" w:ascii="仿宋" w:hAnsi="仿宋" w:eastAsia="仿宋" w:cs="仿宋"/>
                <w:color w:val="auto"/>
                <w:highlight w:val="none"/>
                <w:lang w:val="en-US" w:eastAsia="zh-CN"/>
              </w:rPr>
              <w:t>公共服务保障、社会影响控制；</w:t>
            </w:r>
            <w:r>
              <w:rPr>
                <w:rFonts w:hint="eastAsia" w:ascii="仿宋" w:hAnsi="仿宋" w:eastAsia="仿宋" w:cs="仿宋"/>
                <w:color w:val="auto"/>
                <w:sz w:val="24"/>
                <w:szCs w:val="24"/>
                <w:highlight w:val="none"/>
              </w:rPr>
              <w:t>方案描述较详细全面、思路较清晰、较先进、可行的得2分，方案描述不全面、思路不清晰、先进、可行性较差的得1分。不提供方案不得分（0-3分）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bCs/>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69"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w:t>
            </w:r>
          </w:p>
        </w:tc>
        <w:tc>
          <w:tcPr>
            <w:tcW w:w="1367"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eastAsia="zh-CN"/>
              </w:rPr>
              <w:t>实施</w:t>
            </w:r>
            <w:r>
              <w:rPr>
                <w:rFonts w:hint="eastAsia" w:ascii="仿宋" w:hAnsi="仿宋" w:eastAsia="仿宋" w:cs="仿宋"/>
                <w:color w:val="auto"/>
                <w:sz w:val="24"/>
                <w:szCs w:val="24"/>
                <w:highlight w:val="none"/>
              </w:rPr>
              <w:t>方案</w:t>
            </w:r>
          </w:p>
        </w:tc>
        <w:tc>
          <w:tcPr>
            <w:tcW w:w="6033" w:type="dxa"/>
            <w:noWrap w:val="0"/>
            <w:vAlign w:val="center"/>
          </w:tcPr>
          <w:p>
            <w:pPr>
              <w:keepNext w:val="0"/>
              <w:keepLines w:val="0"/>
              <w:widowControl/>
              <w:suppressLineNumbers w:val="0"/>
              <w:jc w:val="left"/>
              <w:rPr>
                <w:rFonts w:hint="eastAsia" w:ascii="仿宋" w:hAnsi="仿宋" w:eastAsia="仿宋" w:cs="仿宋"/>
                <w:b/>
                <w:bCs/>
                <w:color w:val="auto"/>
                <w:kern w:val="0"/>
                <w:sz w:val="24"/>
                <w:szCs w:val="24"/>
                <w:highlight w:val="none"/>
                <w:lang w:val="en-US"/>
              </w:rPr>
            </w:pPr>
            <w:r>
              <w:rPr>
                <w:rFonts w:hint="eastAsia" w:ascii="仿宋" w:hAnsi="仿宋" w:eastAsia="仿宋" w:cs="仿宋"/>
                <w:color w:val="auto"/>
                <w:sz w:val="24"/>
                <w:szCs w:val="24"/>
                <w:highlight w:val="none"/>
                <w:lang w:val="en-US" w:eastAsia="zh-CN"/>
              </w:rPr>
              <w:t>1、投标人根据非遗馆的现状，在运营服务期间</w:t>
            </w:r>
            <w:r>
              <w:rPr>
                <w:rFonts w:hint="eastAsia" w:ascii="仿宋" w:hAnsi="仿宋" w:eastAsia="仿宋" w:cs="仿宋"/>
                <w:color w:val="auto"/>
                <w:sz w:val="24"/>
                <w:szCs w:val="24"/>
                <w:highlight w:val="none"/>
                <w:lang w:val="en-US" w:eastAsia="zh-CN"/>
              </w:rPr>
              <w:t>对非遗馆临时展区布置方案。</w:t>
            </w:r>
            <w:r>
              <w:rPr>
                <w:rFonts w:hint="eastAsia" w:ascii="仿宋" w:hAnsi="仿宋" w:eastAsia="仿宋" w:cs="仿宋"/>
                <w:color w:val="auto"/>
                <w:sz w:val="24"/>
                <w:szCs w:val="24"/>
                <w:highlight w:val="none"/>
              </w:rPr>
              <w:t>方案描述详细全面、思路清晰、先进、可行科学合理的得3分；方案描述较详细全面、思路较清晰、较先进、可行的得2分，方案描述不全面、思路不清晰、先进、可行性较差的得1分。不提供方案不得分（0-3分）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sz w:val="24"/>
                <w:szCs w:val="24"/>
                <w:highlight w:val="none"/>
                <w:lang w:eastAsia="zh-CN"/>
              </w:rPr>
            </w:pPr>
          </w:p>
        </w:tc>
        <w:tc>
          <w:tcPr>
            <w:tcW w:w="6033" w:type="dxa"/>
            <w:noWrap w:val="0"/>
            <w:vAlign w:val="center"/>
          </w:tcPr>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2、投标人在服务期内应利用自身资源，定制非遗项目拓展性方案；</w:t>
            </w:r>
            <w:r>
              <w:rPr>
                <w:rFonts w:hint="eastAsia" w:ascii="仿宋" w:hAnsi="仿宋" w:eastAsia="仿宋" w:cs="仿宋"/>
                <w:color w:val="auto"/>
                <w:sz w:val="24"/>
                <w:szCs w:val="24"/>
                <w:highlight w:val="none"/>
              </w:rPr>
              <w:t>方案描述详细全面、思路清晰、先进、可行科学合理的得3分；方案描述较详细全面、思路较清晰、较先进、可行的得2分，方案描述不全面、思路不清晰、先进、可行性较差的得1分。不提供方案不得分（0-3分）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669"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9</w:t>
            </w:r>
          </w:p>
        </w:tc>
        <w:tc>
          <w:tcPr>
            <w:tcW w:w="1367"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推广宣传</w:t>
            </w:r>
          </w:p>
        </w:tc>
        <w:tc>
          <w:tcPr>
            <w:tcW w:w="6033" w:type="dxa"/>
            <w:noWrap w:val="0"/>
            <w:vAlign w:val="center"/>
          </w:tcPr>
          <w:p>
            <w:pPr>
              <w:keepNext w:val="0"/>
              <w:keepLines w:val="0"/>
              <w:widowControl/>
              <w:numPr>
                <w:ilvl w:val="0"/>
                <w:numId w:val="7"/>
              </w:numPr>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针对非遗馆及非遗项目，定制活动推广方案；</w:t>
            </w:r>
            <w:r>
              <w:rPr>
                <w:rFonts w:hint="eastAsia" w:ascii="仿宋" w:hAnsi="仿宋" w:eastAsia="仿宋" w:cs="仿宋"/>
                <w:color w:val="auto"/>
                <w:sz w:val="24"/>
                <w:szCs w:val="24"/>
                <w:highlight w:val="none"/>
              </w:rPr>
              <w:t>方案描述详细全面、思路清晰、先进、可行科学合理的得3分；方案描述较详细全面、思路较清晰、较先进、可行的得2分，方案描述不全面、思路不清晰、先进、可行性较差的得1分。不提供方案不得分（0-3分）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r>
              <w:rPr>
                <w:rFonts w:hint="eastAsia" w:cs="仿宋"/>
                <w:b w:val="0"/>
                <w:bCs w:val="0"/>
                <w:color w:val="auto"/>
                <w:kern w:val="0"/>
                <w:sz w:val="24"/>
                <w:szCs w:val="24"/>
                <w:highlight w:val="none"/>
                <w:lang w:val="en-US" w:eastAsia="zh-CN"/>
              </w:rPr>
              <w:t>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sz w:val="24"/>
                <w:szCs w:val="24"/>
                <w:highlight w:val="none"/>
                <w:lang w:eastAsia="zh-CN"/>
              </w:rPr>
            </w:pPr>
          </w:p>
        </w:tc>
        <w:tc>
          <w:tcPr>
            <w:tcW w:w="6033" w:type="dxa"/>
            <w:noWrap w:val="0"/>
            <w:vAlign w:val="center"/>
          </w:tcPr>
          <w:p>
            <w:pPr>
              <w:keepNext w:val="0"/>
              <w:keepLines w:val="0"/>
              <w:widowControl/>
              <w:numPr>
                <w:ilvl w:val="0"/>
                <w:numId w:val="0"/>
              </w:numPr>
              <w:suppressLineNumbers w:val="0"/>
              <w:jc w:val="left"/>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非遗馆的信息宣传推广方案；</w:t>
            </w:r>
            <w:r>
              <w:rPr>
                <w:rFonts w:hint="eastAsia" w:ascii="仿宋" w:hAnsi="仿宋" w:eastAsia="仿宋" w:cs="仿宋"/>
                <w:color w:val="auto"/>
                <w:sz w:val="24"/>
                <w:szCs w:val="24"/>
                <w:highlight w:val="none"/>
              </w:rPr>
              <w:t>方案描述详细全面、思路清晰、先进、可行科学合理的得3分；方案描述较详细全面、思路较清晰、较先进、可行的得2分，方案描述不全面、思路不清晰、先进、可行性较差的得1分。不提供方案不得分（0-3分）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Merge w:val="restart"/>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10</w:t>
            </w:r>
          </w:p>
        </w:tc>
        <w:tc>
          <w:tcPr>
            <w:tcW w:w="1367" w:type="dxa"/>
            <w:vMerge w:val="restart"/>
            <w:noWrap w:val="0"/>
            <w:vAlign w:val="center"/>
          </w:tcPr>
          <w:p>
            <w:pPr>
              <w:keepNext w:val="0"/>
              <w:keepLines w:val="0"/>
              <w:widowControl/>
              <w:suppressLineNumbers w:val="0"/>
              <w:jc w:val="left"/>
              <w:rPr>
                <w:rFonts w:hint="eastAsia" w:ascii="仿宋" w:hAnsi="仿宋" w:eastAsia="仿宋" w:cs="仿宋"/>
                <w:color w:val="auto"/>
                <w:kern w:val="0"/>
                <w:sz w:val="24"/>
                <w:szCs w:val="24"/>
                <w:highlight w:val="none"/>
              </w:rPr>
            </w:pPr>
          </w:p>
          <w:p>
            <w:pPr>
              <w:keepNext w:val="0"/>
              <w:keepLines w:val="0"/>
              <w:widowControl/>
              <w:suppressLineNumbers w:val="0"/>
              <w:jc w:val="left"/>
              <w:rPr>
                <w:rFonts w:hint="eastAsia" w:ascii="仿宋" w:hAnsi="仿宋" w:eastAsia="仿宋" w:cs="仿宋"/>
                <w:color w:val="auto"/>
                <w:kern w:val="0"/>
                <w:sz w:val="24"/>
                <w:szCs w:val="24"/>
                <w:highlight w:val="none"/>
              </w:rPr>
            </w:pPr>
          </w:p>
          <w:p>
            <w:pPr>
              <w:keepNext w:val="0"/>
              <w:keepLines w:val="0"/>
              <w:widowControl/>
              <w:suppressLineNumbers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团队人员配备及人员能力</w:t>
            </w:r>
          </w:p>
          <w:p>
            <w:pPr>
              <w:keepNext w:val="0"/>
              <w:keepLines w:val="0"/>
              <w:widowControl/>
              <w:suppressLineNumbers w:val="0"/>
              <w:jc w:val="left"/>
              <w:rPr>
                <w:rFonts w:hint="eastAsia" w:ascii="仿宋" w:hAnsi="仿宋" w:eastAsia="仿宋" w:cs="仿宋"/>
                <w:color w:val="auto"/>
                <w:kern w:val="0"/>
                <w:sz w:val="24"/>
                <w:szCs w:val="24"/>
                <w:highlight w:val="none"/>
              </w:rPr>
            </w:pPr>
          </w:p>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rPr>
            </w:pPr>
          </w:p>
        </w:tc>
        <w:tc>
          <w:tcPr>
            <w:tcW w:w="6033" w:type="dxa"/>
            <w:noWrap w:val="0"/>
            <w:vAlign w:val="top"/>
          </w:tcPr>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w:t>
            </w:r>
            <w:r>
              <w:rPr>
                <w:rFonts w:hint="eastAsia" w:cs="仿宋"/>
                <w:color w:val="auto"/>
                <w:sz w:val="24"/>
                <w:szCs w:val="24"/>
                <w:highlight w:val="none"/>
                <w:lang w:val="en-US" w:eastAsia="zh-CN"/>
              </w:rPr>
              <w:t>经理</w:t>
            </w:r>
          </w:p>
          <w:p>
            <w:pPr>
              <w:keepNext w:val="0"/>
              <w:keepLines w:val="0"/>
              <w:widowControl/>
              <w:suppressLineNumbers w:val="0"/>
              <w:jc w:val="left"/>
              <w:rPr>
                <w:rFonts w:hint="default" w:ascii="仿宋" w:hAnsi="仿宋" w:eastAsia="仿宋" w:cs="仿宋"/>
                <w:color w:val="auto"/>
                <w:highlight w:val="none"/>
                <w:lang w:val="en-US"/>
              </w:rPr>
            </w:pPr>
            <w:r>
              <w:rPr>
                <w:rFonts w:hint="eastAsia" w:ascii="仿宋" w:hAnsi="仿宋" w:eastAsia="仿宋" w:cs="仿宋"/>
                <w:color w:val="auto"/>
                <w:sz w:val="24"/>
                <w:szCs w:val="24"/>
                <w:highlight w:val="none"/>
                <w:lang w:val="en-US" w:eastAsia="zh-CN"/>
              </w:rPr>
              <w:t>①项目</w:t>
            </w:r>
            <w:r>
              <w:rPr>
                <w:rFonts w:hint="eastAsia" w:cs="仿宋"/>
                <w:color w:val="auto"/>
                <w:sz w:val="24"/>
                <w:szCs w:val="24"/>
                <w:highlight w:val="none"/>
                <w:lang w:val="en-US" w:eastAsia="zh-CN"/>
              </w:rPr>
              <w:t>经理</w:t>
            </w:r>
            <w:r>
              <w:rPr>
                <w:rFonts w:hint="eastAsia" w:ascii="仿宋" w:hAnsi="仿宋" w:eastAsia="仿宋" w:cs="仿宋"/>
                <w:color w:val="auto"/>
                <w:sz w:val="24"/>
                <w:szCs w:val="24"/>
                <w:highlight w:val="none"/>
                <w:lang w:val="en-US" w:eastAsia="zh-CN"/>
              </w:rPr>
              <w:t>为本科及以上学历、从事相关文化旅游职业5年及以上、经验丰富以及调动各项资源能力</w:t>
            </w:r>
            <w:r>
              <w:rPr>
                <w:rFonts w:hint="eastAsia" w:cs="仿宋"/>
                <w:color w:val="auto"/>
                <w:sz w:val="24"/>
                <w:szCs w:val="24"/>
                <w:highlight w:val="none"/>
                <w:lang w:val="en-US" w:eastAsia="zh-CN"/>
              </w:rPr>
              <w:t>的得2分</w:t>
            </w: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分）</w:t>
            </w:r>
            <w:r>
              <w:rPr>
                <w:rFonts w:hint="eastAsia" w:ascii="仿宋" w:hAnsi="仿宋" w:eastAsia="仿宋" w:cs="仿宋"/>
                <w:b/>
                <w:bCs/>
                <w:color w:val="auto"/>
                <w:sz w:val="24"/>
                <w:szCs w:val="24"/>
                <w:highlight w:val="none"/>
                <w:lang w:val="en-US" w:eastAsia="zh-CN"/>
              </w:rPr>
              <w:t>注：项目经理需提供</w:t>
            </w:r>
            <w:r>
              <w:rPr>
                <w:rFonts w:hint="eastAsia" w:cs="仿宋"/>
                <w:b/>
                <w:bCs/>
                <w:color w:val="auto"/>
                <w:sz w:val="24"/>
                <w:szCs w:val="24"/>
                <w:highlight w:val="none"/>
                <w:lang w:val="en-US" w:eastAsia="zh-CN"/>
              </w:rPr>
              <w:t>近三个月任意一个月</w:t>
            </w:r>
            <w:r>
              <w:rPr>
                <w:rFonts w:hint="eastAsia" w:ascii="仿宋" w:hAnsi="仿宋" w:eastAsia="仿宋" w:cs="仿宋"/>
                <w:b/>
                <w:bCs/>
                <w:color w:val="auto"/>
                <w:sz w:val="24"/>
                <w:szCs w:val="24"/>
                <w:highlight w:val="none"/>
                <w:lang w:val="en-US" w:eastAsia="zh-CN"/>
              </w:rPr>
              <w:t>社保缴纳证明</w:t>
            </w:r>
            <w:r>
              <w:rPr>
                <w:rFonts w:hint="eastAsia" w:cs="仿宋"/>
                <w:b/>
                <w:bCs/>
                <w:color w:val="auto"/>
                <w:sz w:val="24"/>
                <w:szCs w:val="24"/>
                <w:highlight w:val="none"/>
                <w:lang w:val="en-US" w:eastAsia="zh-CN"/>
              </w:rPr>
              <w:t>，并能证明5年及以上工作经验，否则不得分。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2分</w:t>
            </w:r>
          </w:p>
        </w:tc>
        <w:tc>
          <w:tcPr>
            <w:tcW w:w="967"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0"/>
                <w:sz w:val="24"/>
                <w:szCs w:val="24"/>
                <w:highlight w:val="none"/>
              </w:rPr>
            </w:pPr>
          </w:p>
        </w:tc>
        <w:tc>
          <w:tcPr>
            <w:tcW w:w="6033" w:type="dxa"/>
            <w:noWrap w:val="0"/>
            <w:vAlign w:val="top"/>
          </w:tcPr>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t>项目</w:t>
            </w:r>
            <w:r>
              <w:rPr>
                <w:rFonts w:hint="eastAsia" w:cs="仿宋"/>
                <w:color w:val="auto"/>
                <w:sz w:val="24"/>
                <w:szCs w:val="24"/>
                <w:highlight w:val="none"/>
                <w:lang w:val="en-US" w:eastAsia="zh-CN"/>
              </w:rPr>
              <w:t>经理</w:t>
            </w:r>
            <w:r>
              <w:rPr>
                <w:rFonts w:hint="eastAsia" w:ascii="仿宋" w:hAnsi="仿宋" w:eastAsia="仿宋" w:cs="仿宋"/>
                <w:color w:val="auto"/>
                <w:sz w:val="24"/>
                <w:szCs w:val="24"/>
                <w:highlight w:val="none"/>
                <w:lang w:val="en-US" w:eastAsia="zh-CN"/>
              </w:rPr>
              <w:t>参与过文化旅游类</w:t>
            </w:r>
            <w:r>
              <w:rPr>
                <w:rFonts w:hint="eastAsia" w:cs="仿宋"/>
                <w:color w:val="auto"/>
                <w:sz w:val="24"/>
                <w:szCs w:val="24"/>
                <w:highlight w:val="none"/>
                <w:lang w:val="en-US" w:eastAsia="zh-CN"/>
              </w:rPr>
              <w:t>的</w:t>
            </w:r>
            <w:r>
              <w:rPr>
                <w:rFonts w:hint="eastAsia" w:ascii="仿宋" w:hAnsi="仿宋" w:eastAsia="仿宋" w:cs="仿宋"/>
                <w:color w:val="auto"/>
                <w:sz w:val="24"/>
                <w:szCs w:val="24"/>
                <w:highlight w:val="none"/>
                <w:lang w:val="en-US" w:eastAsia="zh-CN"/>
              </w:rPr>
              <w:t>创作展演，</w:t>
            </w:r>
            <w:r>
              <w:rPr>
                <w:rFonts w:hint="eastAsia" w:ascii="仿宋" w:hAnsi="仿宋" w:eastAsia="仿宋" w:cs="仿宋"/>
                <w:color w:val="auto"/>
                <w:sz w:val="24"/>
                <w:szCs w:val="24"/>
                <w:highlight w:val="none"/>
                <w:lang w:val="en-US" w:eastAsia="zh-CN"/>
              </w:rPr>
              <w:t>并获得奖项的1个得1分，最多得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分。（0-</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p>
          <w:p>
            <w:pPr>
              <w:keepNext w:val="0"/>
              <w:keepLines w:val="0"/>
              <w:widowControl/>
              <w:suppressLineNumbers w:val="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注：项目经理需提供</w:t>
            </w:r>
            <w:r>
              <w:rPr>
                <w:rFonts w:hint="eastAsia" w:cs="仿宋"/>
                <w:b/>
                <w:bCs/>
                <w:color w:val="auto"/>
                <w:sz w:val="24"/>
                <w:szCs w:val="24"/>
                <w:highlight w:val="none"/>
                <w:lang w:val="en-US" w:eastAsia="zh-CN"/>
              </w:rPr>
              <w:t>近三个月任意一个月</w:t>
            </w:r>
            <w:r>
              <w:rPr>
                <w:rFonts w:hint="eastAsia" w:ascii="仿宋" w:hAnsi="仿宋" w:eastAsia="仿宋" w:cs="仿宋"/>
                <w:b/>
                <w:bCs/>
                <w:color w:val="auto"/>
                <w:sz w:val="24"/>
                <w:szCs w:val="24"/>
                <w:highlight w:val="none"/>
                <w:lang w:val="en-US" w:eastAsia="zh-CN"/>
              </w:rPr>
              <w:t>社保缴纳证明</w:t>
            </w:r>
            <w:r>
              <w:rPr>
                <w:rFonts w:hint="eastAsia" w:cs="仿宋"/>
                <w:b/>
                <w:bCs/>
                <w:color w:val="auto"/>
                <w:sz w:val="24"/>
                <w:szCs w:val="24"/>
                <w:highlight w:val="none"/>
                <w:lang w:val="en-US" w:eastAsia="zh-CN"/>
              </w:rPr>
              <w:t>，并提供奖项证明材料，不提供不得分。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0"/>
                <w:sz w:val="24"/>
                <w:szCs w:val="24"/>
                <w:highlight w:val="none"/>
              </w:rPr>
            </w:pPr>
          </w:p>
        </w:tc>
        <w:tc>
          <w:tcPr>
            <w:tcW w:w="6033" w:type="dxa"/>
            <w:noWrap w:val="0"/>
            <w:vAlign w:val="top"/>
          </w:tcPr>
          <w:p>
            <w:pPr>
              <w:keepNext w:val="0"/>
              <w:keepLines w:val="0"/>
              <w:widowControl/>
              <w:numPr>
                <w:ilvl w:val="0"/>
                <w:numId w:val="7"/>
              </w:numPr>
              <w:suppressLineNumbers w:val="0"/>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参与非遗馆运营的工作人员数量充足，</w:t>
            </w:r>
            <w:r>
              <w:rPr>
                <w:rFonts w:hint="eastAsia" w:ascii="仿宋" w:hAnsi="仿宋" w:eastAsia="仿宋" w:cs="仿宋"/>
                <w:color w:val="auto"/>
                <w:sz w:val="24"/>
                <w:szCs w:val="24"/>
                <w:highlight w:val="none"/>
                <w:lang w:val="en-US" w:eastAsia="zh-CN"/>
              </w:rPr>
              <w:t>组建完善，对非遗传播工作有经验，对非遗传承有深入了解</w:t>
            </w:r>
            <w:r>
              <w:rPr>
                <w:rFonts w:hint="eastAsia" w:cs="仿宋"/>
                <w:color w:val="auto"/>
                <w:sz w:val="24"/>
                <w:szCs w:val="24"/>
                <w:highlight w:val="none"/>
                <w:lang w:val="en-US" w:eastAsia="zh-CN"/>
              </w:rPr>
              <w:t>的得3分；组建不够完善，经验有所欠缺的得2分，组建人数不足，经验较差的得1分。不提供不得</w:t>
            </w:r>
            <w:r>
              <w:rPr>
                <w:rFonts w:hint="eastAsia" w:ascii="仿宋" w:hAnsi="仿宋" w:eastAsia="仿宋" w:cs="仿宋"/>
                <w:color w:val="auto"/>
                <w:sz w:val="24"/>
                <w:szCs w:val="24"/>
                <w:highlight w:val="none"/>
                <w:lang w:val="en-US" w:eastAsia="zh-CN"/>
              </w:rPr>
              <w:t>分）</w:t>
            </w:r>
          </w:p>
          <w:p>
            <w:pPr>
              <w:keepNext w:val="0"/>
              <w:keepLines w:val="0"/>
              <w:widowControl/>
              <w:numPr>
                <w:ilvl w:val="0"/>
                <w:numId w:val="0"/>
              </w:numPr>
              <w:suppressLineNumbers w:val="0"/>
              <w:ind w:lef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注：团队人员需提供</w:t>
            </w:r>
            <w:r>
              <w:rPr>
                <w:rFonts w:hint="eastAsia" w:cs="仿宋"/>
                <w:b/>
                <w:bCs/>
                <w:color w:val="auto"/>
                <w:sz w:val="24"/>
                <w:szCs w:val="24"/>
                <w:highlight w:val="none"/>
                <w:lang w:val="en-US" w:eastAsia="zh-CN"/>
              </w:rPr>
              <w:t>近三个月任意一个月</w:t>
            </w:r>
            <w:r>
              <w:rPr>
                <w:rFonts w:hint="eastAsia" w:ascii="仿宋" w:hAnsi="仿宋" w:eastAsia="仿宋" w:cs="仿宋"/>
                <w:b/>
                <w:bCs/>
                <w:color w:val="auto"/>
                <w:sz w:val="24"/>
                <w:szCs w:val="24"/>
                <w:highlight w:val="none"/>
                <w:lang w:val="en-US" w:eastAsia="zh-CN"/>
              </w:rPr>
              <w:t>社保缴纳证明</w:t>
            </w:r>
            <w:r>
              <w:rPr>
                <w:rFonts w:hint="eastAsia" w:cs="仿宋"/>
                <w:b/>
                <w:bCs/>
                <w:color w:val="auto"/>
                <w:sz w:val="24"/>
                <w:szCs w:val="24"/>
                <w:highlight w:val="none"/>
                <w:lang w:val="en-US" w:eastAsia="zh-CN"/>
              </w:rPr>
              <w:t>，并能证明工作经验，否则不得分。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3分</w:t>
            </w:r>
          </w:p>
        </w:tc>
        <w:tc>
          <w:tcPr>
            <w:tcW w:w="967"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kern w:val="0"/>
                <w:sz w:val="24"/>
                <w:szCs w:val="24"/>
                <w:highlight w:val="none"/>
              </w:rPr>
            </w:pPr>
          </w:p>
        </w:tc>
        <w:tc>
          <w:tcPr>
            <w:tcW w:w="6033" w:type="dxa"/>
            <w:noWrap w:val="0"/>
            <w:vAlign w:val="top"/>
          </w:tcPr>
          <w:p>
            <w:pPr>
              <w:keepNext w:val="0"/>
              <w:keepLines w:val="0"/>
              <w:widowControl/>
              <w:numPr>
                <w:ilvl w:val="0"/>
                <w:numId w:val="7"/>
              </w:numPr>
              <w:suppressLineNumbers w:val="0"/>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讲解员持有初级导游证得1分，中级导游证得2分，高级导游证或有金牌讲解员得3分，最多得6分。（0-6分）</w:t>
            </w:r>
          </w:p>
          <w:p>
            <w:pPr>
              <w:keepNext w:val="0"/>
              <w:keepLines w:val="0"/>
              <w:widowControl/>
              <w:numPr>
                <w:ilvl w:val="0"/>
                <w:numId w:val="0"/>
              </w:numPr>
              <w:suppressLineNumbers w:val="0"/>
              <w:ind w:lef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注：团队人员需提供</w:t>
            </w:r>
            <w:r>
              <w:rPr>
                <w:rFonts w:hint="eastAsia" w:cs="仿宋"/>
                <w:b/>
                <w:bCs/>
                <w:color w:val="auto"/>
                <w:sz w:val="24"/>
                <w:szCs w:val="24"/>
                <w:highlight w:val="none"/>
                <w:lang w:val="en-US" w:eastAsia="zh-CN"/>
              </w:rPr>
              <w:t>近三个月任意一个月</w:t>
            </w:r>
            <w:r>
              <w:rPr>
                <w:rFonts w:hint="eastAsia" w:ascii="仿宋" w:hAnsi="仿宋" w:eastAsia="仿宋" w:cs="仿宋"/>
                <w:b/>
                <w:bCs/>
                <w:color w:val="auto"/>
                <w:sz w:val="24"/>
                <w:szCs w:val="24"/>
                <w:highlight w:val="none"/>
                <w:lang w:val="en-US" w:eastAsia="zh-CN"/>
              </w:rPr>
              <w:t>社保缴纳证明</w:t>
            </w:r>
            <w:r>
              <w:rPr>
                <w:rFonts w:hint="eastAsia" w:cs="仿宋"/>
                <w:b/>
                <w:bCs/>
                <w:color w:val="auto"/>
                <w:sz w:val="24"/>
                <w:szCs w:val="24"/>
                <w:highlight w:val="none"/>
                <w:lang w:val="en-US" w:eastAsia="zh-CN"/>
              </w:rPr>
              <w:t>，并提供证书证明材料，不提供不得分。</w:t>
            </w:r>
          </w:p>
        </w:tc>
        <w:tc>
          <w:tcPr>
            <w:tcW w:w="750"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6分</w:t>
            </w:r>
          </w:p>
        </w:tc>
        <w:tc>
          <w:tcPr>
            <w:tcW w:w="967"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69"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11</w:t>
            </w:r>
          </w:p>
        </w:tc>
        <w:tc>
          <w:tcPr>
            <w:tcW w:w="1367" w:type="dxa"/>
            <w:noWrap w:val="0"/>
            <w:vAlign w:val="center"/>
          </w:tcPr>
          <w:p>
            <w:pPr>
              <w:widowControl/>
              <w:numPr>
                <w:ilvl w:val="0"/>
                <w:numId w:val="0"/>
              </w:numPr>
              <w:spacing w:line="36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员工培训</w:t>
            </w:r>
          </w:p>
        </w:tc>
        <w:tc>
          <w:tcPr>
            <w:tcW w:w="6033" w:type="dxa"/>
            <w:noWrap w:val="0"/>
            <w:vAlign w:val="center"/>
          </w:tcPr>
          <w:p>
            <w:pPr>
              <w:widowControl/>
              <w:numPr>
                <w:ilvl w:val="0"/>
                <w:numId w:val="0"/>
              </w:numPr>
              <w:spacing w:line="36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根据对采购人人员的可行业务培训计划或培训措施等方面进行评分培训计划较详细、全面、可行，能够对项目的使用对象提供全面的培训的得</w:t>
            </w:r>
            <w:r>
              <w:rPr>
                <w:rFonts w:hint="eastAsia"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分；培训计划及措施基本可行的得</w:t>
            </w:r>
            <w:r>
              <w:rPr>
                <w:rFonts w:hint="eastAsia"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分；培训计划及措施较粗略，可行性较差的得1分。</w:t>
            </w:r>
          </w:p>
        </w:tc>
        <w:tc>
          <w:tcPr>
            <w:tcW w:w="750" w:type="dxa"/>
            <w:noWrap w:val="0"/>
            <w:vAlign w:val="center"/>
          </w:tcPr>
          <w:p>
            <w:pPr>
              <w:widowControl/>
              <w:numPr>
                <w:ilvl w:val="0"/>
                <w:numId w:val="0"/>
              </w:numPr>
              <w:spacing w:line="360" w:lineRule="auto"/>
              <w:jc w:val="center"/>
              <w:textAlignment w:val="center"/>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3分</w:t>
            </w:r>
          </w:p>
        </w:tc>
        <w:tc>
          <w:tcPr>
            <w:tcW w:w="967" w:type="dxa"/>
            <w:noWrap w:val="0"/>
            <w:vAlign w:val="center"/>
          </w:tcPr>
          <w:p>
            <w:pPr>
              <w:widowControl/>
              <w:numPr>
                <w:ilvl w:val="0"/>
                <w:numId w:val="0"/>
              </w:numPr>
              <w:spacing w:line="360" w:lineRule="auto"/>
              <w:jc w:val="left"/>
              <w:textAlignment w:val="center"/>
              <w:rPr>
                <w:rFonts w:hint="eastAsia" w:ascii="仿宋" w:hAnsi="仿宋" w:eastAsia="仿宋" w:cs="仿宋"/>
                <w:color w:val="auto"/>
                <w:kern w:val="0"/>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9" w:type="dxa"/>
            <w:vMerge w:val="restart"/>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12</w:t>
            </w:r>
          </w:p>
        </w:tc>
        <w:tc>
          <w:tcPr>
            <w:tcW w:w="1367" w:type="dxa"/>
            <w:vMerge w:val="restart"/>
            <w:noWrap w:val="0"/>
            <w:vAlign w:val="center"/>
          </w:tcPr>
          <w:p>
            <w:pPr>
              <w:widowControl/>
              <w:spacing w:line="360" w:lineRule="auto"/>
              <w:jc w:val="center"/>
              <w:textAlignment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color w:val="auto"/>
                <w:kern w:val="0"/>
                <w:sz w:val="24"/>
                <w:szCs w:val="24"/>
                <w:highlight w:val="none"/>
                <w:lang w:val="zh-TW" w:eastAsia="zh-TW"/>
              </w:rPr>
              <w:t>安全管理</w:t>
            </w:r>
            <w:r>
              <w:rPr>
                <w:rFonts w:hint="eastAsia" w:ascii="仿宋" w:hAnsi="仿宋" w:eastAsia="仿宋" w:cs="仿宋"/>
                <w:color w:val="auto"/>
                <w:kern w:val="0"/>
                <w:sz w:val="24"/>
                <w:szCs w:val="24"/>
                <w:highlight w:val="none"/>
                <w:lang w:val="en-US" w:eastAsia="zh-CN"/>
              </w:rPr>
              <w:t>制度</w:t>
            </w:r>
          </w:p>
        </w:tc>
        <w:tc>
          <w:tcPr>
            <w:tcW w:w="6033" w:type="dxa"/>
            <w:noWrap w:val="0"/>
            <w:vAlign w:val="center"/>
          </w:tcPr>
          <w:p>
            <w:pPr>
              <w:widowControl/>
              <w:numPr>
                <w:ilvl w:val="0"/>
                <w:numId w:val="8"/>
              </w:numPr>
              <w:spacing w:line="360" w:lineRule="auto"/>
              <w:jc w:val="left"/>
              <w:textAlignment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lang w:val="zh-TW" w:eastAsia="zh-TW"/>
              </w:rPr>
              <w:t>相关安全管理制度或守则</w:t>
            </w:r>
            <w:r>
              <w:rPr>
                <w:rFonts w:hint="eastAsia" w:cs="仿宋"/>
                <w:color w:val="auto"/>
                <w:kern w:val="0"/>
                <w:sz w:val="24"/>
                <w:szCs w:val="24"/>
                <w:highlight w:val="none"/>
                <w:lang w:val="en-US" w:eastAsia="zh-CN"/>
              </w:rPr>
              <w:t>是否完善</w:t>
            </w:r>
            <w:r>
              <w:rPr>
                <w:rFonts w:hint="eastAsia" w:ascii="仿宋" w:hAnsi="仿宋" w:eastAsia="仿宋" w:cs="仿宋"/>
                <w:color w:val="auto"/>
                <w:kern w:val="0"/>
                <w:sz w:val="24"/>
                <w:szCs w:val="24"/>
                <w:highlight w:val="none"/>
                <w:lang w:val="zh-TW"/>
              </w:rPr>
              <w:t>，根据相关内容打分</w:t>
            </w:r>
            <w:r>
              <w:rPr>
                <w:rFonts w:hint="eastAsia" w:cs="仿宋"/>
                <w:color w:val="auto"/>
                <w:kern w:val="0"/>
                <w:sz w:val="24"/>
                <w:szCs w:val="24"/>
                <w:highlight w:val="none"/>
                <w:lang w:val="zh-TW" w:eastAsia="zh-CN"/>
              </w:rPr>
              <w:t>，</w:t>
            </w:r>
            <w:r>
              <w:rPr>
                <w:rFonts w:hint="eastAsia" w:ascii="仿宋" w:hAnsi="仿宋" w:eastAsia="仿宋" w:cs="仿宋"/>
                <w:color w:val="auto"/>
                <w:sz w:val="24"/>
                <w:szCs w:val="24"/>
                <w:highlight w:val="none"/>
              </w:rPr>
              <w:t>全部完善得3分，基本完善得2分，一般完善得1分。不完善不得分（0-3分）</w:t>
            </w:r>
            <w:r>
              <w:rPr>
                <w:rFonts w:hint="eastAsia" w:ascii="仿宋" w:hAnsi="仿宋" w:eastAsia="仿宋" w:cs="仿宋"/>
                <w:color w:val="auto"/>
                <w:kern w:val="0"/>
                <w:sz w:val="24"/>
                <w:szCs w:val="24"/>
                <w:highlight w:val="none"/>
                <w:lang w:val="zh-TW" w:eastAsia="zh-CN"/>
              </w:rPr>
              <w:t>）</w:t>
            </w:r>
          </w:p>
        </w:tc>
        <w:tc>
          <w:tcPr>
            <w:tcW w:w="750" w:type="dxa"/>
            <w:noWrap w:val="0"/>
            <w:vAlign w:val="center"/>
          </w:tcPr>
          <w:p>
            <w:pPr>
              <w:widowControl/>
              <w:spacing w:line="360" w:lineRule="auto"/>
              <w:jc w:val="center"/>
              <w:textAlignment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0"/>
                <w:sz w:val="24"/>
                <w:szCs w:val="24"/>
                <w:highlight w:val="none"/>
                <w:lang w:val="en-US" w:eastAsia="zh-CN"/>
              </w:rPr>
              <w:t>3分</w:t>
            </w:r>
          </w:p>
        </w:tc>
        <w:tc>
          <w:tcPr>
            <w:tcW w:w="967" w:type="dxa"/>
            <w:noWrap w:val="0"/>
            <w:vAlign w:val="center"/>
          </w:tcPr>
          <w:p>
            <w:pPr>
              <w:widowControl/>
              <w:spacing w:line="360" w:lineRule="auto"/>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69" w:type="dxa"/>
            <w:vMerge w:val="continue"/>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p>
        </w:tc>
        <w:tc>
          <w:tcPr>
            <w:tcW w:w="1367" w:type="dxa"/>
            <w:vMerge w:val="continue"/>
            <w:noWrap w:val="0"/>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zh-TW" w:eastAsia="zh-TW"/>
              </w:rPr>
            </w:pPr>
          </w:p>
        </w:tc>
        <w:tc>
          <w:tcPr>
            <w:tcW w:w="6033" w:type="dxa"/>
            <w:noWrap w:val="0"/>
            <w:vAlign w:val="center"/>
          </w:tcPr>
          <w:p>
            <w:pPr>
              <w:widowControl/>
              <w:numPr>
                <w:ilvl w:val="0"/>
                <w:numId w:val="8"/>
              </w:numPr>
              <w:spacing w:line="360" w:lineRule="auto"/>
              <w:ind w:left="0" w:leftChars="0" w:firstLine="0" w:firstLineChars="0"/>
              <w:jc w:val="left"/>
              <w:textAlignment w:val="center"/>
              <w:rPr>
                <w:rFonts w:hint="eastAsia"/>
                <w:color w:val="auto"/>
                <w:highlight w:val="none"/>
                <w:lang w:val="en-US" w:eastAsia="zh-CN"/>
              </w:rPr>
            </w:pPr>
            <w:r>
              <w:rPr>
                <w:rFonts w:hint="eastAsia" w:cs="仿宋"/>
                <w:color w:val="auto"/>
                <w:kern w:val="0"/>
                <w:sz w:val="24"/>
                <w:szCs w:val="24"/>
                <w:highlight w:val="none"/>
                <w:lang w:val="en-US" w:eastAsia="zh-CN"/>
              </w:rPr>
              <w:t>拟投入人员</w:t>
            </w:r>
            <w:r>
              <w:rPr>
                <w:rFonts w:hint="eastAsia" w:ascii="仿宋" w:hAnsi="仿宋" w:eastAsia="仿宋" w:cs="仿宋"/>
                <w:color w:val="auto"/>
                <w:kern w:val="0"/>
                <w:sz w:val="24"/>
                <w:szCs w:val="24"/>
                <w:highlight w:val="none"/>
                <w:lang w:val="en-US" w:eastAsia="zh-CN"/>
              </w:rPr>
              <w:t>有安全生产管理员证的1名得</w:t>
            </w:r>
            <w:r>
              <w:rPr>
                <w:rFonts w:hint="eastAsia"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分，最高得2分。（0-2分）</w:t>
            </w:r>
          </w:p>
          <w:p>
            <w:pPr>
              <w:widowControl/>
              <w:numPr>
                <w:ilvl w:val="0"/>
                <w:numId w:val="0"/>
              </w:numPr>
              <w:spacing w:line="360" w:lineRule="auto"/>
              <w:ind w:leftChars="0"/>
              <w:jc w:val="left"/>
              <w:textAlignment w:val="center"/>
              <w:rPr>
                <w:rFonts w:hint="eastAsia"/>
                <w:color w:val="auto"/>
                <w:highlight w:val="none"/>
                <w:lang w:val="en-US" w:eastAsia="zh-CN"/>
              </w:rPr>
            </w:pPr>
            <w:r>
              <w:rPr>
                <w:rFonts w:hint="eastAsia" w:ascii="仿宋" w:hAnsi="仿宋" w:eastAsia="仿宋" w:cs="仿宋"/>
                <w:b/>
                <w:bCs/>
                <w:color w:val="auto"/>
                <w:sz w:val="24"/>
                <w:szCs w:val="24"/>
                <w:highlight w:val="none"/>
                <w:lang w:val="en-US" w:eastAsia="zh-CN"/>
              </w:rPr>
              <w:t>注：团队人员需提供</w:t>
            </w:r>
            <w:r>
              <w:rPr>
                <w:rFonts w:hint="eastAsia" w:cs="仿宋"/>
                <w:b/>
                <w:bCs/>
                <w:color w:val="auto"/>
                <w:sz w:val="24"/>
                <w:szCs w:val="24"/>
                <w:highlight w:val="none"/>
                <w:lang w:val="en-US" w:eastAsia="zh-CN"/>
              </w:rPr>
              <w:t>近三个月任意一个月</w:t>
            </w:r>
            <w:r>
              <w:rPr>
                <w:rFonts w:hint="eastAsia" w:ascii="仿宋" w:hAnsi="仿宋" w:eastAsia="仿宋" w:cs="仿宋"/>
                <w:b/>
                <w:bCs/>
                <w:color w:val="auto"/>
                <w:sz w:val="24"/>
                <w:szCs w:val="24"/>
                <w:highlight w:val="none"/>
                <w:lang w:val="en-US" w:eastAsia="zh-CN"/>
              </w:rPr>
              <w:t>社保缴纳证明</w:t>
            </w:r>
            <w:r>
              <w:rPr>
                <w:rFonts w:hint="eastAsia" w:cs="仿宋"/>
                <w:b/>
                <w:bCs/>
                <w:color w:val="auto"/>
                <w:sz w:val="24"/>
                <w:szCs w:val="24"/>
                <w:highlight w:val="none"/>
                <w:lang w:val="en-US" w:eastAsia="zh-CN"/>
              </w:rPr>
              <w:t>，并提供证明材料，不提供不得分。</w:t>
            </w:r>
          </w:p>
        </w:tc>
        <w:tc>
          <w:tcPr>
            <w:tcW w:w="750" w:type="dxa"/>
            <w:noWrap w:val="0"/>
            <w:vAlign w:val="center"/>
          </w:tcPr>
          <w:p>
            <w:pPr>
              <w:widowControl/>
              <w:spacing w:line="360" w:lineRule="auto"/>
              <w:jc w:val="center"/>
              <w:textAlignment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2分</w:t>
            </w:r>
          </w:p>
        </w:tc>
        <w:tc>
          <w:tcPr>
            <w:tcW w:w="967" w:type="dxa"/>
            <w:noWrap w:val="0"/>
            <w:vAlign w:val="center"/>
          </w:tcPr>
          <w:p>
            <w:pPr>
              <w:widowControl/>
              <w:spacing w:line="360" w:lineRule="auto"/>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69"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r>
              <w:rPr>
                <w:rFonts w:hint="eastAsia" w:cs="仿宋"/>
                <w:b w:val="0"/>
                <w:bCs w:val="0"/>
                <w:color w:val="auto"/>
                <w:kern w:val="0"/>
                <w:sz w:val="24"/>
                <w:szCs w:val="24"/>
                <w:highlight w:val="none"/>
                <w:lang w:val="en-US" w:eastAsia="zh-CN"/>
              </w:rPr>
              <w:t>3</w:t>
            </w:r>
          </w:p>
        </w:tc>
        <w:tc>
          <w:tcPr>
            <w:tcW w:w="1367" w:type="dxa"/>
            <w:noWrap w:val="0"/>
            <w:vAlign w:val="center"/>
          </w:tcPr>
          <w:p>
            <w:pPr>
              <w:widowControl/>
              <w:spacing w:line="360" w:lineRule="auto"/>
              <w:jc w:val="center"/>
              <w:textAlignment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服务质量保证措施</w:t>
            </w:r>
          </w:p>
        </w:tc>
        <w:tc>
          <w:tcPr>
            <w:tcW w:w="603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根据服务质量保证措施具有保障性、合理可行、优于采购文件要求的进行打分；</w:t>
            </w:r>
            <w:r>
              <w:rPr>
                <w:rFonts w:hint="eastAsia" w:cs="仿宋"/>
                <w:color w:val="auto"/>
                <w:kern w:val="0"/>
                <w:sz w:val="24"/>
                <w:szCs w:val="24"/>
                <w:highlight w:val="none"/>
                <w:lang w:val="en-US" w:eastAsia="zh-CN"/>
              </w:rPr>
              <w:t xml:space="preserve"> 方案优于招标要求响应情况，能够提供详细的技术方案，清晰合理，详尽完善的得3分；方案基本符合招标要求响应情况，且满足采购人最低要求，得2分；方案简略或不能满足采购单位需求的，的得1分，不提供不得分。（0-3分）</w:t>
            </w:r>
          </w:p>
        </w:tc>
        <w:tc>
          <w:tcPr>
            <w:tcW w:w="750" w:type="dxa"/>
            <w:noWrap w:val="0"/>
            <w:vAlign w:val="center"/>
          </w:tcPr>
          <w:p>
            <w:pPr>
              <w:widowControl/>
              <w:spacing w:line="360" w:lineRule="auto"/>
              <w:jc w:val="center"/>
              <w:textAlignment w:val="center"/>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0"/>
                <w:sz w:val="24"/>
                <w:szCs w:val="24"/>
                <w:highlight w:val="none"/>
                <w:lang w:val="en-US" w:eastAsia="zh-CN"/>
              </w:rPr>
              <w:t xml:space="preserve"> 3分</w:t>
            </w:r>
          </w:p>
        </w:tc>
        <w:tc>
          <w:tcPr>
            <w:tcW w:w="967" w:type="dxa"/>
            <w:noWrap w:val="0"/>
            <w:vAlign w:val="center"/>
          </w:tcPr>
          <w:p>
            <w:pPr>
              <w:widowControl/>
              <w:spacing w:line="360" w:lineRule="auto"/>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9"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14</w:t>
            </w:r>
          </w:p>
        </w:tc>
        <w:tc>
          <w:tcPr>
            <w:tcW w:w="1367" w:type="dxa"/>
            <w:noWrap w:val="0"/>
            <w:vAlign w:val="center"/>
          </w:tcPr>
          <w:p>
            <w:pPr>
              <w:widowControl/>
              <w:spacing w:line="360" w:lineRule="auto"/>
              <w:jc w:val="center"/>
              <w:textAlignment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应急措施</w:t>
            </w:r>
          </w:p>
        </w:tc>
        <w:tc>
          <w:tcPr>
            <w:tcW w:w="603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本项目在运营过程中，应对采购人出现应急接待任务、应急展示任务等，制定出行之有效的应急管理措施及应急方案；</w:t>
            </w:r>
            <w:r>
              <w:rPr>
                <w:rFonts w:hint="eastAsia" w:ascii="仿宋" w:hAnsi="仿宋" w:eastAsia="仿宋" w:cs="仿宋"/>
                <w:color w:val="auto"/>
                <w:sz w:val="24"/>
                <w:szCs w:val="24"/>
                <w:highlight w:val="none"/>
              </w:rPr>
              <w:t>方案内容完整合理的得3分；方案内容较为完整合理的得2分；方案内容存在欠缺但基本合理的得1分；不提供不得分。</w:t>
            </w:r>
            <w:r>
              <w:rPr>
                <w:rFonts w:hint="eastAsia" w:ascii="仿宋" w:hAnsi="仿宋" w:eastAsia="仿宋" w:cs="仿宋"/>
                <w:color w:val="auto"/>
                <w:kern w:val="2"/>
                <w:sz w:val="24"/>
                <w:szCs w:val="24"/>
                <w:highlight w:val="none"/>
                <w:lang w:val="en-US" w:eastAsia="zh-CN" w:bidi="ar-SA"/>
              </w:rPr>
              <w:t>（0-3分）</w:t>
            </w:r>
          </w:p>
        </w:tc>
        <w:tc>
          <w:tcPr>
            <w:tcW w:w="750" w:type="dxa"/>
            <w:noWrap w:val="0"/>
            <w:vAlign w:val="center"/>
          </w:tcPr>
          <w:p>
            <w:pPr>
              <w:widowControl/>
              <w:spacing w:line="360" w:lineRule="auto"/>
              <w:jc w:val="center"/>
              <w:textAlignment w:val="center"/>
              <w:rPr>
                <w:rFonts w:hint="default" w:ascii="仿宋" w:hAnsi="仿宋" w:eastAsia="仿宋" w:cs="仿宋"/>
                <w:b w:val="0"/>
                <w:bCs w:val="0"/>
                <w:color w:val="auto"/>
                <w:kern w:val="3"/>
                <w:sz w:val="24"/>
                <w:szCs w:val="24"/>
                <w:highlight w:val="none"/>
                <w:lang w:val="en-US" w:eastAsia="zh-CN" w:bidi="ar-SA"/>
              </w:rPr>
            </w:pPr>
            <w:r>
              <w:rPr>
                <w:rFonts w:hint="default" w:ascii="仿宋" w:hAnsi="仿宋" w:eastAsia="仿宋" w:cs="仿宋"/>
                <w:b w:val="0"/>
                <w:bCs w:val="0"/>
                <w:color w:val="auto"/>
                <w:kern w:val="0"/>
                <w:sz w:val="24"/>
                <w:szCs w:val="24"/>
                <w:highlight w:val="none"/>
                <w:lang w:val="en-US" w:eastAsia="zh-CN"/>
              </w:rPr>
              <w:t>3</w:t>
            </w:r>
            <w:r>
              <w:rPr>
                <w:rFonts w:hint="eastAsia" w:cs="仿宋"/>
                <w:b w:val="0"/>
                <w:bCs w:val="0"/>
                <w:color w:val="auto"/>
                <w:kern w:val="0"/>
                <w:sz w:val="24"/>
                <w:szCs w:val="24"/>
                <w:highlight w:val="none"/>
                <w:lang w:val="en-US" w:eastAsia="zh-CN"/>
              </w:rPr>
              <w:t>分</w:t>
            </w:r>
          </w:p>
        </w:tc>
        <w:tc>
          <w:tcPr>
            <w:tcW w:w="967" w:type="dxa"/>
            <w:noWrap w:val="0"/>
            <w:vAlign w:val="center"/>
          </w:tcPr>
          <w:p>
            <w:pPr>
              <w:widowControl/>
              <w:spacing w:line="360" w:lineRule="auto"/>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9" w:type="dxa"/>
            <w:noWrap w:val="0"/>
            <w:vAlign w:val="center"/>
          </w:tcPr>
          <w:p>
            <w:pPr>
              <w:pageBreakBefore w:val="0"/>
              <w:widowControl/>
              <w:kinsoku/>
              <w:bidi w:val="0"/>
              <w:spacing w:beforeAutospacing="0" w:afterAutospacing="0" w:line="440" w:lineRule="exact"/>
              <w:jc w:val="center"/>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15</w:t>
            </w:r>
          </w:p>
        </w:tc>
        <w:tc>
          <w:tcPr>
            <w:tcW w:w="13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合理化、优化建议</w:t>
            </w:r>
          </w:p>
        </w:tc>
        <w:tc>
          <w:tcPr>
            <w:tcW w:w="603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针对本项目提供合理化、优化建议内容合理、清晰、全面的得</w:t>
            </w:r>
            <w:r>
              <w:rPr>
                <w:rFonts w:hint="eastAsia"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分，内容较合理、清晰、全面的得</w:t>
            </w:r>
            <w:r>
              <w:rPr>
                <w:rFonts w:hint="eastAsia"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CN" w:bidi="ar-SA"/>
              </w:rPr>
              <w:t>分,较为简单、存在缺漏的得1分。</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3分</w:t>
            </w:r>
          </w:p>
        </w:tc>
        <w:tc>
          <w:tcPr>
            <w:tcW w:w="9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69" w:type="dxa"/>
            <w:noWrap w:val="0"/>
            <w:vAlign w:val="center"/>
          </w:tcPr>
          <w:p>
            <w:pPr>
              <w:pageBreakBefore w:val="0"/>
              <w:widowControl/>
              <w:kinsoku/>
              <w:bidi w:val="0"/>
              <w:spacing w:beforeAutospacing="0" w:afterAutospacing="0" w:line="44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r>
              <w:rPr>
                <w:rFonts w:hint="eastAsia" w:cs="仿宋"/>
                <w:b w:val="0"/>
                <w:bCs w:val="0"/>
                <w:color w:val="auto"/>
                <w:kern w:val="0"/>
                <w:sz w:val="24"/>
                <w:szCs w:val="24"/>
                <w:highlight w:val="none"/>
                <w:lang w:val="en-US" w:eastAsia="zh-CN"/>
              </w:rPr>
              <w:t>6</w:t>
            </w:r>
          </w:p>
        </w:tc>
        <w:tc>
          <w:tcPr>
            <w:tcW w:w="1367" w:type="dxa"/>
            <w:noWrap w:val="0"/>
            <w:vAlign w:val="center"/>
          </w:tcPr>
          <w:p>
            <w:pPr>
              <w:pStyle w:val="191"/>
              <w:numPr>
                <w:ilvl w:val="0"/>
                <w:numId w:val="0"/>
              </w:numPr>
              <w:spacing w:before="0"/>
              <w:ind w:left="0" w:leftChars="0" w:firstLine="0" w:firstLineChars="0"/>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服务能力</w:t>
            </w:r>
          </w:p>
        </w:tc>
        <w:tc>
          <w:tcPr>
            <w:tcW w:w="6033" w:type="dxa"/>
            <w:noWrap w:val="0"/>
            <w:vAlign w:val="center"/>
          </w:tcPr>
          <w:p>
            <w:pPr>
              <w:pStyle w:val="191"/>
              <w:spacing w:before="0"/>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是否具有较强的服务能力，配有较强的专业技术队伍，在售后响应时效、售后处理方案，提供快速的售后服务；服务响应的描述与承诺内容合理到位，具有可操作性得3分；服务响应的描述与承诺内容基本到位，基本满足需求得2分；服务响应的描述与承诺一般的得1分；未提供服务响应的不得分。（0-3分）</w:t>
            </w:r>
          </w:p>
        </w:tc>
        <w:tc>
          <w:tcPr>
            <w:tcW w:w="750" w:type="dxa"/>
            <w:noWrap w:val="0"/>
            <w:vAlign w:val="center"/>
          </w:tcPr>
          <w:p>
            <w:pPr>
              <w:pStyle w:val="191"/>
              <w:spacing w:before="0"/>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967" w:type="dxa"/>
            <w:noWrap w:val="0"/>
            <w:vAlign w:val="center"/>
          </w:tcPr>
          <w:p>
            <w:pPr>
              <w:pStyle w:val="191"/>
              <w:spacing w:before="0"/>
              <w:ind w:firstLine="0" w:firstLineChars="0"/>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主观分</w:t>
            </w:r>
          </w:p>
        </w:tc>
      </w:tr>
    </w:tbl>
    <w:p>
      <w:pPr>
        <w:pageBreakBefore w:val="0"/>
        <w:kinsoku/>
        <w:bidi w:val="0"/>
        <w:spacing w:beforeAutospacing="0" w:afterAutospacing="0" w:line="440" w:lineRule="exact"/>
        <w:rPr>
          <w:rFonts w:hint="eastAsia" w:ascii="仿宋" w:hAnsi="仿宋" w:eastAsia="仿宋" w:cs="仿宋"/>
          <w:b/>
          <w:color w:val="auto"/>
          <w:sz w:val="24"/>
          <w:szCs w:val="24"/>
          <w:highlight w:val="none"/>
          <w:lang w:eastAsia="zh-CN"/>
        </w:rPr>
      </w:pPr>
    </w:p>
    <w:p>
      <w:pPr>
        <w:pageBreakBefore w:val="0"/>
        <w:kinsoku/>
        <w:bidi w:val="0"/>
        <w:spacing w:beforeAutospacing="0" w:afterAutospacing="0" w:line="44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 w:val="24"/>
          <w:szCs w:val="24"/>
          <w:highlight w:val="none"/>
          <w:lang w:eastAsia="zh-CN"/>
        </w:rPr>
        <w:t>注</w:t>
      </w:r>
      <w:r>
        <w:rPr>
          <w:rFonts w:hint="eastAsia" w:ascii="仿宋" w:hAnsi="仿宋" w:eastAsia="仿宋" w:cs="仿宋"/>
          <w:color w:val="auto"/>
          <w:kern w:val="0"/>
          <w:sz w:val="24"/>
          <w:szCs w:val="24"/>
          <w:highlight w:val="none"/>
          <w:lang w:val="en-US" w:eastAsia="zh-CN" w:bidi="ar-SA"/>
        </w:rPr>
        <w:t>：1、投标人弄虚作假的，报政府采购监督部门查处。</w:t>
      </w:r>
    </w:p>
    <w:p>
      <w:pPr>
        <w:pStyle w:val="88"/>
        <w:pageBreakBefore w:val="0"/>
        <w:kinsoku/>
        <w:bidi w:val="0"/>
        <w:spacing w:beforeAutospacing="0" w:after="0" w:afterAutospacing="0" w:line="440" w:lineRule="exact"/>
        <w:rPr>
          <w:rFonts w:hint="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pageBreakBefore w:val="0"/>
        <w:numPr>
          <w:ilvl w:val="0"/>
          <w:numId w:val="9"/>
        </w:numPr>
        <w:kinsoku/>
        <w:bidi w:val="0"/>
        <w:spacing w:beforeAutospacing="0" w:afterAutospacing="0" w:line="440" w:lineRule="exact"/>
        <w:rPr>
          <w:rFonts w:hint="eastAsia"/>
          <w:color w:val="auto"/>
          <w:highlight w:val="none"/>
        </w:rPr>
      </w:pPr>
      <w:bookmarkStart w:id="3" w:name="_Toc425682676"/>
      <w:r>
        <w:rPr>
          <w:rFonts w:hint="eastAsia"/>
          <w:color w:val="auto"/>
          <w:highlight w:val="none"/>
        </w:rPr>
        <w:t>采购需求</w:t>
      </w:r>
      <w:bookmarkEnd w:id="3"/>
      <w:bookmarkStart w:id="4" w:name="_Toc292375921"/>
      <w:bookmarkEnd w:id="4"/>
    </w:p>
    <w:p>
      <w:pPr>
        <w:spacing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项目概况</w:t>
      </w:r>
    </w:p>
    <w:p>
      <w:pPr>
        <w:widowControl/>
        <w:shd w:val="clear" w:color="auto" w:fill="FFFFFF"/>
        <w:spacing w:line="500" w:lineRule="exact"/>
        <w:ind w:firstLine="480"/>
        <w:jc w:val="left"/>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富阳非物质文化遗产馆位于浙江省杭州市富阳区下园沙岛，原儿童公园综合楼，该项目总建筑面积1800平方米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rPr>
        <w:t>其中临时展厅250平方米，城市书屋220平方米，办公室、非遗传承讲习所、大厅其他空间为450平方米。二层为非遗陈列区，面积为880平方米</w:t>
      </w:r>
      <w:r>
        <w:rPr>
          <w:rFonts w:hint="eastAsia"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室外可移动</w:t>
      </w:r>
      <w:r>
        <w:rPr>
          <w:rFonts w:hint="eastAsia" w:ascii="仿宋" w:hAnsi="仿宋" w:eastAsia="仿宋" w:cs="仿宋"/>
          <w:color w:val="auto"/>
          <w:sz w:val="24"/>
          <w:szCs w:val="24"/>
          <w:highlight w:val="none"/>
          <w:u w:val="none"/>
          <w:lang w:val="en-US" w:eastAsia="zh-CN"/>
        </w:rPr>
        <w:t>绿化约</w:t>
      </w:r>
      <w:r>
        <w:rPr>
          <w:rFonts w:hint="eastAsia" w:ascii="仿宋" w:hAnsi="仿宋" w:eastAsia="仿宋" w:cs="仿宋"/>
          <w:color w:val="auto"/>
          <w:sz w:val="24"/>
          <w:szCs w:val="24"/>
          <w:highlight w:val="none"/>
          <w:u w:val="single"/>
          <w:lang w:val="en-US" w:eastAsia="zh-CN"/>
        </w:rPr>
        <w:t>80</w:t>
      </w:r>
      <w:r>
        <w:rPr>
          <w:rFonts w:hint="eastAsia" w:ascii="仿宋" w:hAnsi="仿宋" w:eastAsia="仿宋" w:cs="仿宋"/>
          <w:color w:val="auto"/>
          <w:sz w:val="24"/>
          <w:szCs w:val="24"/>
          <w:highlight w:val="none"/>
          <w:u w:val="none"/>
          <w:lang w:val="en-US" w:eastAsia="zh-CN"/>
        </w:rPr>
        <w:t>平方米</w:t>
      </w:r>
      <w:r>
        <w:rPr>
          <w:rFonts w:hint="eastAsia" w:cs="仿宋"/>
          <w:color w:val="auto"/>
          <w:sz w:val="24"/>
          <w:szCs w:val="24"/>
          <w:highlight w:val="none"/>
          <w:u w:val="none"/>
          <w:lang w:val="en-US" w:eastAsia="zh-CN"/>
        </w:rPr>
        <w:t>。</w:t>
      </w:r>
      <w:r>
        <w:rPr>
          <w:rFonts w:hint="eastAsia" w:ascii="仿宋" w:hAnsi="仿宋" w:eastAsia="仿宋" w:cs="仿宋"/>
          <w:color w:val="auto"/>
          <w:sz w:val="24"/>
          <w:szCs w:val="24"/>
          <w:highlight w:val="none"/>
          <w:lang w:eastAsia="zh-CN"/>
        </w:rPr>
        <w:t>现需委托运营机构</w:t>
      </w:r>
      <w:r>
        <w:rPr>
          <w:rFonts w:hint="eastAsia" w:ascii="仿宋" w:hAnsi="仿宋" w:eastAsia="仿宋" w:cs="仿宋"/>
          <w:color w:val="auto"/>
          <w:sz w:val="24"/>
          <w:szCs w:val="24"/>
          <w:highlight w:val="none"/>
        </w:rPr>
        <w:t>对富阳区非遗馆（含一楼少儿图书馆，以下</w:t>
      </w:r>
      <w:r>
        <w:rPr>
          <w:rFonts w:hint="eastAsia" w:ascii="仿宋" w:hAnsi="仿宋" w:eastAsia="仿宋" w:cs="仿宋"/>
          <w:color w:val="auto"/>
          <w:sz w:val="24"/>
          <w:szCs w:val="24"/>
          <w:highlight w:val="none"/>
          <w:lang w:val="en-US" w:eastAsia="zh-CN"/>
        </w:rPr>
        <w:t>提到均包含在内）</w:t>
      </w:r>
      <w:r>
        <w:rPr>
          <w:rFonts w:hint="eastAsia" w:ascii="仿宋" w:hAnsi="仿宋" w:eastAsia="仿宋" w:cs="仿宋"/>
          <w:color w:val="auto"/>
          <w:sz w:val="24"/>
          <w:szCs w:val="24"/>
          <w:highlight w:val="none"/>
        </w:rPr>
        <w:t>进行运营管理。</w:t>
      </w:r>
    </w:p>
    <w:p>
      <w:pPr>
        <w:widowControl/>
        <w:shd w:val="clear" w:color="auto" w:fill="FFFFFF"/>
        <w:spacing w:line="500" w:lineRule="exact"/>
        <w:ind w:firstLine="48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二、项目</w:t>
      </w:r>
      <w:r>
        <w:rPr>
          <w:rFonts w:hint="eastAsia" w:ascii="仿宋" w:hAnsi="仿宋" w:eastAsia="仿宋" w:cs="仿宋"/>
          <w:b/>
          <w:color w:val="auto"/>
          <w:sz w:val="24"/>
          <w:szCs w:val="24"/>
          <w:highlight w:val="none"/>
          <w:lang w:eastAsia="zh-CN"/>
        </w:rPr>
        <w:t>主要</w:t>
      </w:r>
      <w:r>
        <w:rPr>
          <w:rFonts w:hint="eastAsia" w:ascii="仿宋" w:hAnsi="仿宋" w:eastAsia="仿宋" w:cs="仿宋"/>
          <w:b/>
          <w:color w:val="auto"/>
          <w:sz w:val="24"/>
          <w:szCs w:val="24"/>
          <w:highlight w:val="none"/>
        </w:rPr>
        <w:t>内容</w:t>
      </w:r>
    </w:p>
    <w:p>
      <w:pPr>
        <w:widowControl/>
        <w:shd w:val="clear" w:color="auto" w:fill="FFFFFF"/>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w:t>
      </w:r>
      <w:r>
        <w:rPr>
          <w:rFonts w:hint="eastAsia" w:cs="仿宋"/>
          <w:color w:val="auto"/>
          <w:sz w:val="24"/>
          <w:szCs w:val="24"/>
          <w:highlight w:val="none"/>
          <w:lang w:eastAsia="zh-CN"/>
        </w:rPr>
        <w:t>采购人</w:t>
      </w:r>
      <w:r>
        <w:rPr>
          <w:rFonts w:hint="eastAsia" w:ascii="仿宋" w:hAnsi="仿宋" w:eastAsia="仿宋" w:cs="仿宋"/>
          <w:color w:val="auto"/>
          <w:sz w:val="24"/>
          <w:szCs w:val="24"/>
          <w:highlight w:val="none"/>
        </w:rPr>
        <w:t>委托在运营管理期间，中标服务商对富阳区非遗馆</w:t>
      </w:r>
      <w:r>
        <w:rPr>
          <w:rFonts w:hint="eastAsia" w:ascii="仿宋" w:hAnsi="仿宋" w:eastAsia="仿宋" w:cs="仿宋"/>
          <w:color w:val="auto"/>
          <w:sz w:val="24"/>
          <w:szCs w:val="24"/>
          <w:highlight w:val="none"/>
          <w:lang w:eastAsia="zh-CN"/>
        </w:rPr>
        <w:t>管理</w:t>
      </w:r>
      <w:r>
        <w:rPr>
          <w:rFonts w:hint="eastAsia" w:ascii="仿宋" w:hAnsi="仿宋" w:eastAsia="仿宋" w:cs="仿宋"/>
          <w:color w:val="auto"/>
          <w:sz w:val="24"/>
          <w:szCs w:val="24"/>
          <w:highlight w:val="none"/>
        </w:rPr>
        <w:t>范围内的建筑、场地（所）、设施设备、物品、等具有运营管理权，包括但不限于：</w:t>
      </w:r>
    </w:p>
    <w:p>
      <w:pPr>
        <w:widowControl/>
        <w:shd w:val="clear" w:color="auto" w:fill="FFFFFF"/>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1、对富阳区非遗馆及全部附属设施（政府自用部分除外）进行依法运营管理，充分发挥富阳区非遗馆内场馆及附属设施的功能作用，全面提高富阳区非遗馆的社会效益。</w:t>
      </w:r>
    </w:p>
    <w:p>
      <w:pPr>
        <w:widowControl/>
        <w:shd w:val="clear" w:color="auto" w:fill="FFFFFF"/>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坚持构建社会化、专业化、独立完整的非遗馆运营体系，通过开展非遗传播活动和举办非遗集市，打造出具有地方特色和一定影响力的富阳非遗标志点、注目地，进而提升富阳区非遗馆持续的自主良性运营能力。</w:t>
      </w:r>
    </w:p>
    <w:p>
      <w:pPr>
        <w:widowControl/>
        <w:shd w:val="clear" w:color="auto" w:fill="FFFFFF"/>
        <w:spacing w:line="5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3、对富阳区非遗馆及全部附属设施（政府自用部分除外）提供日常管理服务，如日常环境保洁、设施维养、秩序维护、消防安全、</w:t>
      </w:r>
      <w:r>
        <w:rPr>
          <w:rFonts w:hint="eastAsia" w:ascii="仿宋" w:hAnsi="仿宋" w:eastAsia="仿宋" w:cs="仿宋"/>
          <w:color w:val="auto"/>
          <w:sz w:val="24"/>
          <w:szCs w:val="24"/>
          <w:highlight w:val="none"/>
          <w:lang w:eastAsia="zh-CN"/>
        </w:rPr>
        <w:t>绿化养护</w:t>
      </w:r>
      <w:r>
        <w:rPr>
          <w:rFonts w:hint="eastAsia" w:ascii="仿宋" w:hAnsi="仿宋" w:eastAsia="仿宋" w:cs="仿宋"/>
          <w:color w:val="auto"/>
          <w:sz w:val="24"/>
          <w:szCs w:val="24"/>
          <w:highlight w:val="none"/>
        </w:rPr>
        <w:t>等。</w:t>
      </w:r>
    </w:p>
    <w:p>
      <w:pPr>
        <w:widowControl/>
        <w:shd w:val="clear" w:color="auto" w:fill="FFFFFF"/>
        <w:spacing w:line="500" w:lineRule="exact"/>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4、非遗馆的宣传推广：</w:t>
      </w:r>
      <w:r>
        <w:rPr>
          <w:rFonts w:hint="eastAsia" w:cs="仿宋"/>
          <w:color w:val="auto"/>
          <w:sz w:val="24"/>
          <w:szCs w:val="24"/>
          <w:highlight w:val="none"/>
          <w:lang w:val="en-US" w:eastAsia="zh-CN"/>
        </w:rPr>
        <w:t>结合自身资源，利用</w:t>
      </w:r>
      <w:r>
        <w:rPr>
          <w:rFonts w:hint="eastAsia" w:ascii="仿宋" w:hAnsi="仿宋" w:eastAsia="仿宋" w:cs="仿宋"/>
          <w:color w:val="auto"/>
          <w:sz w:val="24"/>
          <w:szCs w:val="24"/>
          <w:highlight w:val="none"/>
          <w:lang w:val="en-US" w:eastAsia="zh-CN"/>
        </w:rPr>
        <w:t>官方媒体、公众号、视频号等媒介</w:t>
      </w:r>
      <w:r>
        <w:rPr>
          <w:rFonts w:hint="eastAsia" w:cs="仿宋"/>
          <w:color w:val="auto"/>
          <w:sz w:val="24"/>
          <w:szCs w:val="24"/>
          <w:highlight w:val="none"/>
          <w:lang w:val="en-US" w:eastAsia="zh-CN"/>
        </w:rPr>
        <w:t>对富阳非遗进行宣传，其中富阳非遗馆微信公众号每月不少于4条，其他平台每月不少于4条</w:t>
      </w:r>
      <w:r>
        <w:rPr>
          <w:rFonts w:hint="eastAsia" w:ascii="仿宋" w:hAnsi="仿宋" w:eastAsia="仿宋" w:cs="仿宋"/>
          <w:color w:val="auto"/>
          <w:sz w:val="24"/>
          <w:szCs w:val="24"/>
          <w:highlight w:val="none"/>
          <w:lang w:val="en-US" w:eastAsia="zh-CN"/>
        </w:rPr>
        <w:t>。</w:t>
      </w:r>
    </w:p>
    <w:p>
      <w:pPr>
        <w:pageBreakBefore w:val="0"/>
        <w:widowControl/>
        <w:shd w:val="clear" w:color="auto" w:fill="FFFFFF"/>
        <w:kinsoku/>
        <w:wordWrap/>
        <w:overflowPunct/>
        <w:topLinePunct w:val="0"/>
        <w:bidi w:val="0"/>
        <w:snapToGrid/>
        <w:spacing w:line="520" w:lineRule="exact"/>
        <w:ind w:firstLine="48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5、非遗馆的活动推广：</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每年组织</w:t>
      </w:r>
      <w:r>
        <w:rPr>
          <w:rFonts w:hint="eastAsia" w:cs="仿宋"/>
          <w:color w:val="auto"/>
          <w:sz w:val="24"/>
          <w:szCs w:val="24"/>
          <w:highlight w:val="none"/>
          <w:lang w:val="en-US" w:eastAsia="zh-CN"/>
        </w:rPr>
        <w:t>主题活动不少于4场（每季度一场）；（2）每年举办主题展览不少于4场（每季度1场）；（3）</w:t>
      </w:r>
      <w:r>
        <w:rPr>
          <w:rFonts w:hint="eastAsia" w:ascii="仿宋" w:hAnsi="仿宋" w:eastAsia="仿宋" w:cs="仿宋"/>
          <w:color w:val="auto"/>
          <w:sz w:val="24"/>
          <w:szCs w:val="24"/>
          <w:highlight w:val="none"/>
          <w:lang w:val="en-US" w:eastAsia="zh-CN"/>
        </w:rPr>
        <w:t>每年开展</w:t>
      </w:r>
      <w:r>
        <w:rPr>
          <w:rFonts w:hint="eastAsia" w:cs="仿宋"/>
          <w:color w:val="auto"/>
          <w:sz w:val="24"/>
          <w:szCs w:val="24"/>
          <w:highlight w:val="none"/>
          <w:lang w:val="en-US" w:eastAsia="zh-CN"/>
        </w:rPr>
        <w:t>公益性培训不少于6场（每两个月一次）</w:t>
      </w:r>
      <w:r>
        <w:rPr>
          <w:rFonts w:hint="eastAsia" w:ascii="仿宋" w:hAnsi="仿宋" w:eastAsia="仿宋" w:cs="仿宋"/>
          <w:b w:val="0"/>
          <w:bCs w:val="0"/>
          <w:color w:val="auto"/>
          <w:kern w:val="2"/>
          <w:sz w:val="24"/>
          <w:szCs w:val="24"/>
          <w:highlight w:val="none"/>
          <w:lang w:val="en-US" w:eastAsia="zh-CN" w:bidi="ar-SA"/>
        </w:rPr>
        <w:t>。</w:t>
      </w:r>
    </w:p>
    <w:p>
      <w:pPr>
        <w:pageBreakBefore w:val="0"/>
        <w:widowControl/>
        <w:shd w:val="clear" w:color="auto" w:fill="FFFFFF"/>
        <w:kinsoku/>
        <w:wordWrap/>
        <w:overflowPunct/>
        <w:topLinePunct w:val="0"/>
        <w:bidi w:val="0"/>
        <w:snapToGrid/>
        <w:spacing w:line="520" w:lineRule="exact"/>
        <w:ind w:firstLine="480"/>
        <w:jc w:val="left"/>
        <w:rPr>
          <w:rFonts w:hint="eastAsia" w:cs="仿宋"/>
          <w:b w:val="0"/>
          <w:bCs w:val="0"/>
          <w:strike/>
          <w:dstrike w:val="0"/>
          <w:color w:val="auto"/>
          <w:kern w:val="2"/>
          <w:sz w:val="24"/>
          <w:szCs w:val="24"/>
          <w:highlight w:val="none"/>
          <w:lang w:val="en-US" w:eastAsia="zh-CN" w:bidi="ar-SA"/>
        </w:rPr>
      </w:pPr>
      <w:r>
        <w:rPr>
          <w:rFonts w:hint="eastAsia" w:cs="仿宋"/>
          <w:b w:val="0"/>
          <w:bCs w:val="0"/>
          <w:color w:val="auto"/>
          <w:kern w:val="2"/>
          <w:sz w:val="24"/>
          <w:szCs w:val="24"/>
          <w:highlight w:val="none"/>
          <w:lang w:val="en-US" w:eastAsia="zh-CN" w:bidi="ar-SA"/>
        </w:rPr>
        <w:t>相关说明：</w:t>
      </w:r>
    </w:p>
    <w:p>
      <w:pPr>
        <w:pageBreakBefore w:val="0"/>
        <w:widowControl/>
        <w:shd w:val="clear" w:color="auto" w:fill="FFFFFF"/>
        <w:kinsoku/>
        <w:wordWrap/>
        <w:overflowPunct/>
        <w:topLinePunct w:val="0"/>
        <w:bidi w:val="0"/>
        <w:snapToGrid/>
        <w:spacing w:line="520" w:lineRule="exact"/>
        <w:ind w:firstLine="480"/>
        <w:jc w:val="left"/>
        <w:rPr>
          <w:rFonts w:hint="eastAsia" w:cs="仿宋"/>
          <w:color w:val="auto"/>
          <w:sz w:val="24"/>
          <w:szCs w:val="24"/>
          <w:highlight w:val="none"/>
          <w:lang w:val="en-US" w:eastAsia="zh-CN"/>
        </w:rPr>
      </w:pPr>
      <w:r>
        <w:rPr>
          <w:rFonts w:hint="eastAsia" w:cs="仿宋"/>
          <w:color w:val="auto"/>
          <w:sz w:val="24"/>
          <w:szCs w:val="24"/>
          <w:highlight w:val="none"/>
          <w:lang w:val="en-US" w:eastAsia="zh-CN"/>
        </w:rPr>
        <w:t>非遗主题活动需以一个特定主题为线索，提供完整活动策划案及执行案，以富阳非遗为主基调，围绕主题进行持续性、多环节的系列活动并产生一定的社会影响。</w:t>
      </w:r>
    </w:p>
    <w:p>
      <w:pPr>
        <w:pageBreakBefore w:val="0"/>
        <w:widowControl/>
        <w:shd w:val="clear" w:color="auto" w:fill="FFFFFF"/>
        <w:kinsoku/>
        <w:wordWrap/>
        <w:overflowPunct/>
        <w:topLinePunct w:val="0"/>
        <w:bidi w:val="0"/>
        <w:snapToGrid/>
        <w:spacing w:line="520" w:lineRule="exact"/>
        <w:ind w:firstLine="480"/>
        <w:jc w:val="left"/>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非遗</w:t>
      </w:r>
      <w:r>
        <w:rPr>
          <w:rFonts w:hint="eastAsia" w:ascii="仿宋" w:hAnsi="仿宋" w:eastAsia="仿宋" w:cs="仿宋"/>
          <w:b w:val="0"/>
          <w:bCs w:val="0"/>
          <w:color w:val="auto"/>
          <w:kern w:val="3"/>
          <w:sz w:val="24"/>
          <w:szCs w:val="24"/>
          <w:highlight w:val="none"/>
          <w:lang w:val="en-US" w:eastAsia="zh-CN" w:bidi="ar-SA"/>
        </w:rPr>
        <w:t>主题展览</w:t>
      </w:r>
      <w:r>
        <w:rPr>
          <w:rFonts w:hint="eastAsia" w:cs="仿宋"/>
          <w:b w:val="0"/>
          <w:bCs w:val="0"/>
          <w:color w:val="auto"/>
          <w:kern w:val="3"/>
          <w:sz w:val="24"/>
          <w:szCs w:val="24"/>
          <w:highlight w:val="none"/>
          <w:lang w:val="en-US" w:eastAsia="zh-CN" w:bidi="ar-SA"/>
        </w:rPr>
        <w:t>需</w:t>
      </w:r>
      <w:r>
        <w:rPr>
          <w:rFonts w:hint="eastAsia" w:ascii="仿宋" w:hAnsi="仿宋" w:eastAsia="仿宋" w:cs="仿宋"/>
          <w:b w:val="0"/>
          <w:bCs w:val="0"/>
          <w:color w:val="auto"/>
          <w:kern w:val="3"/>
          <w:sz w:val="24"/>
          <w:szCs w:val="24"/>
          <w:highlight w:val="none"/>
          <w:lang w:val="en-US" w:eastAsia="zh-CN" w:bidi="ar-SA"/>
        </w:rPr>
        <w:t>以富阳非遗为主基调，</w:t>
      </w:r>
      <w:r>
        <w:rPr>
          <w:rFonts w:hint="eastAsia" w:cs="仿宋"/>
          <w:b w:val="0"/>
          <w:bCs w:val="0"/>
          <w:color w:val="auto"/>
          <w:kern w:val="3"/>
          <w:sz w:val="24"/>
          <w:szCs w:val="24"/>
          <w:highlight w:val="none"/>
          <w:lang w:val="en-US" w:eastAsia="zh-CN" w:bidi="ar-SA"/>
        </w:rPr>
        <w:t>持续时长为</w:t>
      </w:r>
      <w:r>
        <w:rPr>
          <w:rFonts w:hint="eastAsia" w:cs="仿宋"/>
          <w:b w:val="0"/>
          <w:bCs w:val="0"/>
          <w:strike w:val="0"/>
          <w:dstrike w:val="0"/>
          <w:color w:val="auto"/>
          <w:kern w:val="3"/>
          <w:sz w:val="24"/>
          <w:szCs w:val="24"/>
          <w:highlight w:val="none"/>
          <w:lang w:val="en-US" w:eastAsia="zh-CN" w:bidi="ar-SA"/>
        </w:rPr>
        <w:t>1个月</w:t>
      </w:r>
      <w:r>
        <w:rPr>
          <w:rFonts w:hint="eastAsia" w:cs="仿宋"/>
          <w:b w:val="0"/>
          <w:bCs w:val="0"/>
          <w:color w:val="auto"/>
          <w:kern w:val="3"/>
          <w:sz w:val="24"/>
          <w:szCs w:val="24"/>
          <w:highlight w:val="none"/>
          <w:lang w:val="en-US" w:eastAsia="zh-CN" w:bidi="ar-SA"/>
        </w:rPr>
        <w:t>左右，展览结束后提供活动台账资料，如活动照片或视频、活动总结。</w:t>
      </w:r>
    </w:p>
    <w:p>
      <w:pPr>
        <w:ind w:firstLine="480" w:firstLineChars="200"/>
        <w:rPr>
          <w:rFonts w:hint="eastAsia"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非遗公益性培训</w:t>
      </w:r>
      <w:r>
        <w:rPr>
          <w:rFonts w:hint="eastAsia" w:ascii="仿宋" w:hAnsi="仿宋" w:eastAsia="仿宋" w:cs="仿宋"/>
          <w:b w:val="0"/>
          <w:bCs w:val="0"/>
          <w:color w:val="auto"/>
          <w:kern w:val="3"/>
          <w:sz w:val="24"/>
          <w:szCs w:val="24"/>
          <w:highlight w:val="none"/>
          <w:lang w:val="en-US" w:eastAsia="zh-CN" w:bidi="ar-SA"/>
        </w:rPr>
        <w:t>需</w:t>
      </w:r>
      <w:r>
        <w:rPr>
          <w:rFonts w:hint="eastAsia" w:cs="仿宋"/>
          <w:b w:val="0"/>
          <w:bCs w:val="0"/>
          <w:color w:val="auto"/>
          <w:kern w:val="3"/>
          <w:sz w:val="24"/>
          <w:szCs w:val="24"/>
          <w:highlight w:val="none"/>
          <w:lang w:val="en-US" w:eastAsia="zh-CN" w:bidi="ar-SA"/>
        </w:rPr>
        <w:t>提供课件、</w:t>
      </w:r>
      <w:r>
        <w:rPr>
          <w:rFonts w:hint="eastAsia" w:cs="仿宋"/>
          <w:b w:val="0"/>
          <w:bCs w:val="0"/>
          <w:color w:val="auto"/>
          <w:kern w:val="3"/>
          <w:sz w:val="24"/>
          <w:szCs w:val="24"/>
          <w:highlight w:val="none"/>
          <w:lang w:val="en-US" w:eastAsia="zh-CN" w:bidi="ar-SA"/>
        </w:rPr>
        <w:t>每场培训时长</w:t>
      </w:r>
      <w:r>
        <w:rPr>
          <w:rFonts w:hint="eastAsia" w:cs="仿宋"/>
          <w:b w:val="0"/>
          <w:bCs w:val="0"/>
          <w:strike w:val="0"/>
          <w:dstrike w:val="0"/>
          <w:color w:val="auto"/>
          <w:kern w:val="3"/>
          <w:sz w:val="24"/>
          <w:szCs w:val="24"/>
          <w:highlight w:val="none"/>
          <w:lang w:val="en-US" w:eastAsia="zh-CN" w:bidi="ar-SA"/>
        </w:rPr>
        <w:t xml:space="preserve"> 6</w:t>
      </w:r>
      <w:r>
        <w:rPr>
          <w:rFonts w:hint="eastAsia" w:cs="仿宋"/>
          <w:b w:val="0"/>
          <w:bCs w:val="0"/>
          <w:color w:val="auto"/>
          <w:kern w:val="3"/>
          <w:sz w:val="24"/>
          <w:szCs w:val="24"/>
          <w:highlight w:val="none"/>
          <w:lang w:val="en-US" w:eastAsia="zh-CN" w:bidi="ar-SA"/>
        </w:rPr>
        <w:t>0分钟以上</w:t>
      </w:r>
      <w:r>
        <w:rPr>
          <w:rFonts w:hint="eastAsia" w:cs="仿宋"/>
          <w:b w:val="0"/>
          <w:bCs w:val="0"/>
          <w:color w:val="auto"/>
          <w:kern w:val="3"/>
          <w:sz w:val="24"/>
          <w:szCs w:val="24"/>
          <w:highlight w:val="none"/>
          <w:lang w:val="en-US" w:eastAsia="zh-CN" w:bidi="ar-SA"/>
        </w:rPr>
        <w:t>、</w:t>
      </w:r>
      <w:r>
        <w:rPr>
          <w:rFonts w:hint="eastAsia" w:cs="仿宋"/>
          <w:b w:val="0"/>
          <w:bCs w:val="0"/>
          <w:color w:val="auto"/>
          <w:kern w:val="3"/>
          <w:sz w:val="24"/>
          <w:szCs w:val="24"/>
          <w:highlight w:val="none"/>
          <w:lang w:val="en-US" w:eastAsia="zh-CN" w:bidi="ar-SA"/>
        </w:rPr>
        <w:t>参加人数不少于25人</w:t>
      </w:r>
      <w:r>
        <w:rPr>
          <w:rFonts w:hint="eastAsia" w:cs="仿宋"/>
          <w:b w:val="0"/>
          <w:bCs w:val="0"/>
          <w:color w:val="auto"/>
          <w:kern w:val="3"/>
          <w:sz w:val="24"/>
          <w:szCs w:val="24"/>
          <w:highlight w:val="none"/>
          <w:lang w:val="en-US" w:eastAsia="zh-CN" w:bidi="ar-SA"/>
        </w:rPr>
        <w:t>、为</w:t>
      </w:r>
      <w:r>
        <w:rPr>
          <w:rFonts w:hint="eastAsia" w:ascii="仿宋" w:hAnsi="仿宋" w:eastAsia="仿宋" w:cs="仿宋"/>
          <w:b w:val="0"/>
          <w:bCs w:val="0"/>
          <w:color w:val="auto"/>
          <w:kern w:val="3"/>
          <w:sz w:val="24"/>
          <w:szCs w:val="24"/>
          <w:highlight w:val="none"/>
          <w:lang w:val="en-US" w:eastAsia="zh-CN" w:bidi="ar-SA"/>
        </w:rPr>
        <w:t>非营利性社会培训业务</w:t>
      </w:r>
      <w:r>
        <w:rPr>
          <w:rFonts w:hint="eastAsia" w:cs="仿宋"/>
          <w:b w:val="0"/>
          <w:bCs w:val="0"/>
          <w:color w:val="auto"/>
          <w:kern w:val="3"/>
          <w:sz w:val="24"/>
          <w:szCs w:val="24"/>
          <w:highlight w:val="none"/>
          <w:lang w:val="en-US" w:eastAsia="zh-CN" w:bidi="ar-SA"/>
        </w:rPr>
        <w:t>。</w:t>
      </w:r>
    </w:p>
    <w:p>
      <w:pPr>
        <w:widowControl/>
        <w:shd w:val="clear" w:color="auto" w:fill="FFFFFF"/>
        <w:spacing w:line="500" w:lineRule="exact"/>
        <w:ind w:firstLine="480"/>
        <w:jc w:val="left"/>
        <w:rPr>
          <w:rFonts w:hint="eastAsia"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运营方需提前一月向采购方提供活动推广方案，并经采购方审核通过后方可执行，需在活动结束后一周内提供活动小结及活动影像资料。</w:t>
      </w:r>
    </w:p>
    <w:p>
      <w:pPr>
        <w:widowControl/>
        <w:numPr>
          <w:ilvl w:val="0"/>
          <w:numId w:val="10"/>
        </w:numPr>
        <w:shd w:val="clear" w:color="auto" w:fill="FFFFFF"/>
        <w:spacing w:line="500" w:lineRule="exact"/>
        <w:ind w:firstLine="480"/>
        <w:jc w:val="left"/>
        <w:rPr>
          <w:rFonts w:hint="eastAsia"/>
          <w:color w:val="auto"/>
          <w:highlight w:val="none"/>
          <w:lang w:eastAsia="zh-CN"/>
        </w:rPr>
      </w:pPr>
      <w:r>
        <w:rPr>
          <w:rFonts w:hint="eastAsia" w:ascii="仿宋" w:hAnsi="仿宋" w:eastAsia="仿宋" w:cs="仿宋"/>
          <w:color w:val="auto"/>
          <w:sz w:val="24"/>
          <w:szCs w:val="24"/>
          <w:highlight w:val="none"/>
        </w:rPr>
        <w:t>中标服务商利用自身资源，进行非遗项目拓展性运营</w:t>
      </w:r>
      <w:r>
        <w:rPr>
          <w:rFonts w:hint="eastAsia" w:ascii="仿宋" w:hAnsi="仿宋" w:eastAsia="仿宋" w:cs="仿宋"/>
          <w:color w:val="auto"/>
          <w:sz w:val="24"/>
          <w:szCs w:val="24"/>
          <w:highlight w:val="none"/>
          <w:lang w:eastAsia="zh-CN"/>
        </w:rPr>
        <w:t>，提升非遗馆的社会知名度与美誉度。</w:t>
      </w:r>
    </w:p>
    <w:p>
      <w:pPr>
        <w:widowControl/>
        <w:numPr>
          <w:ilvl w:val="0"/>
          <w:numId w:val="0"/>
        </w:numPr>
        <w:shd w:val="clear" w:color="auto" w:fill="FFFFFF"/>
        <w:spacing w:line="500" w:lineRule="exact"/>
        <w:ind w:firstLine="480" w:firstLineChars="200"/>
        <w:jc w:val="left"/>
        <w:rPr>
          <w:rFonts w:hint="eastAsia"/>
          <w:color w:val="auto"/>
          <w:highlight w:val="none"/>
          <w:lang w:eastAsia="zh-CN"/>
        </w:rPr>
      </w:pPr>
      <w:r>
        <w:rPr>
          <w:rFonts w:hint="eastAsia" w:cs="仿宋"/>
          <w:color w:val="auto"/>
          <w:sz w:val="24"/>
          <w:szCs w:val="24"/>
          <w:highlight w:val="none"/>
          <w:lang w:val="en-US" w:eastAsia="zh-CN"/>
        </w:rPr>
        <w:t>7、</w:t>
      </w:r>
      <w:r>
        <w:rPr>
          <w:rFonts w:hint="eastAsia" w:ascii="仿宋" w:hAnsi="仿宋" w:eastAsia="仿宋" w:cs="仿宋"/>
          <w:b w:val="0"/>
          <w:bCs w:val="0"/>
          <w:color w:val="auto"/>
          <w:kern w:val="3"/>
          <w:sz w:val="24"/>
          <w:szCs w:val="24"/>
          <w:highlight w:val="none"/>
          <w:lang w:val="en-US" w:eastAsia="zh-CN" w:bidi="ar-SA"/>
        </w:rPr>
        <w:t>运营服务方在运营过程中需配合采购方的工作安排，包括不仅限于活动</w:t>
      </w:r>
      <w:r>
        <w:rPr>
          <w:rFonts w:hint="eastAsia" w:cs="仿宋"/>
          <w:b w:val="0"/>
          <w:bCs w:val="0"/>
          <w:color w:val="auto"/>
          <w:kern w:val="3"/>
          <w:sz w:val="24"/>
          <w:szCs w:val="24"/>
          <w:highlight w:val="none"/>
          <w:lang w:val="en-US" w:eastAsia="zh-CN" w:bidi="ar-SA"/>
        </w:rPr>
        <w:t>策划执行</w:t>
      </w:r>
      <w:r>
        <w:rPr>
          <w:rFonts w:hint="eastAsia" w:ascii="仿宋" w:hAnsi="仿宋" w:eastAsia="仿宋" w:cs="仿宋"/>
          <w:b w:val="0"/>
          <w:bCs w:val="0"/>
          <w:color w:val="auto"/>
          <w:kern w:val="3"/>
          <w:sz w:val="24"/>
          <w:szCs w:val="24"/>
          <w:highlight w:val="none"/>
          <w:lang w:val="en-US" w:eastAsia="zh-CN" w:bidi="ar-SA"/>
        </w:rPr>
        <w:t>、宣传推广</w:t>
      </w:r>
      <w:r>
        <w:rPr>
          <w:rFonts w:hint="eastAsia" w:cs="仿宋"/>
          <w:b w:val="0"/>
          <w:bCs w:val="0"/>
          <w:color w:val="auto"/>
          <w:kern w:val="3"/>
          <w:sz w:val="24"/>
          <w:szCs w:val="24"/>
          <w:highlight w:val="none"/>
          <w:lang w:val="en-US" w:eastAsia="zh-CN" w:bidi="ar-SA"/>
        </w:rPr>
        <w:t>等</w:t>
      </w:r>
      <w:r>
        <w:rPr>
          <w:rFonts w:hint="eastAsia" w:ascii="仿宋" w:hAnsi="仿宋" w:eastAsia="仿宋" w:cs="仿宋"/>
          <w:b w:val="0"/>
          <w:bCs w:val="0"/>
          <w:color w:val="auto"/>
          <w:kern w:val="3"/>
          <w:sz w:val="24"/>
          <w:szCs w:val="24"/>
          <w:highlight w:val="none"/>
          <w:lang w:val="en-US" w:eastAsia="zh-CN" w:bidi="ar-SA"/>
        </w:rPr>
        <w:t>。</w:t>
      </w:r>
    </w:p>
    <w:p>
      <w:pPr>
        <w:widowControl/>
        <w:shd w:val="clear" w:color="auto" w:fill="FFFFFF"/>
        <w:spacing w:line="500" w:lineRule="exact"/>
        <w:ind w:firstLine="480"/>
        <w:jc w:val="lef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三、运营管理指标</w:t>
      </w:r>
      <w:r>
        <w:rPr>
          <w:rFonts w:hint="eastAsia" w:cs="仿宋"/>
          <w:b/>
          <w:color w:val="auto"/>
          <w:sz w:val="24"/>
          <w:szCs w:val="24"/>
          <w:highlight w:val="none"/>
          <w:lang w:val="en-US" w:eastAsia="zh-CN"/>
        </w:rPr>
        <w:t xml:space="preserve">  </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以下所述的各项指标、标准和要求，是投标人必须达到的基本要求，但不能理解为完整的、详细的要求。投标人应根据自己的管理经验，结合本项目的实际情况，提出完整制度和实施计划。 </w:t>
      </w:r>
    </w:p>
    <w:p>
      <w:pPr>
        <w:ind w:firstLine="480" w:firstLineChars="200"/>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2、中标服务商必须具有独立法人资格的文化旅游项目相关公司，不得擅自转包、分包。</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中标服务商必须按照国家、地方法律、法规和政策的要求依法开展运营管理活动，保证场馆及设施设备的完好和功能的有效运行，坚持社会效益兼顾经济效益原则，实现富阳区非遗馆的可持续发展。 </w:t>
      </w:r>
    </w:p>
    <w:p>
      <w:pPr>
        <w:widowControl/>
        <w:shd w:val="clear" w:color="auto" w:fill="FFFFFF"/>
        <w:spacing w:line="500" w:lineRule="exact"/>
        <w:ind w:firstLine="480" w:firstLineChars="200"/>
        <w:jc w:val="left"/>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中标服务商开展</w:t>
      </w:r>
      <w:r>
        <w:rPr>
          <w:rFonts w:hint="eastAsia" w:ascii="仿宋" w:hAnsi="仿宋" w:eastAsia="仿宋" w:cs="仿宋"/>
          <w:color w:val="auto"/>
          <w:sz w:val="24"/>
          <w:szCs w:val="24"/>
          <w:highlight w:val="none"/>
        </w:rPr>
        <w:t>的拓展性</w:t>
      </w:r>
      <w:r>
        <w:rPr>
          <w:rFonts w:hint="eastAsia" w:ascii="仿宋" w:hAnsi="仿宋" w:eastAsia="仿宋" w:cs="仿宋"/>
          <w:color w:val="auto"/>
          <w:sz w:val="24"/>
          <w:szCs w:val="24"/>
          <w:highlight w:val="none"/>
        </w:rPr>
        <w:t>经营类活动必须符合省、市、区等各级政府部门</w:t>
      </w:r>
      <w:r>
        <w:rPr>
          <w:rFonts w:hint="eastAsia" w:ascii="仿宋" w:hAnsi="仿宋" w:eastAsia="仿宋" w:cs="仿宋"/>
          <w:color w:val="auto"/>
          <w:sz w:val="24"/>
          <w:szCs w:val="24"/>
          <w:highlight w:val="none"/>
          <w:lang w:val="en-US" w:eastAsia="zh-CN"/>
        </w:rPr>
        <w:t>制定</w:t>
      </w:r>
      <w:r>
        <w:rPr>
          <w:rFonts w:hint="eastAsia" w:ascii="仿宋" w:hAnsi="仿宋" w:eastAsia="仿宋" w:cs="仿宋"/>
          <w:color w:val="auto"/>
          <w:sz w:val="24"/>
          <w:szCs w:val="24"/>
          <w:highlight w:val="none"/>
        </w:rPr>
        <w:t>的有</w:t>
      </w:r>
      <w:r>
        <w:rPr>
          <w:rFonts w:hint="eastAsia" w:ascii="仿宋" w:hAnsi="仿宋" w:eastAsia="仿宋" w:cs="仿宋"/>
          <w:color w:val="auto"/>
          <w:sz w:val="24"/>
          <w:szCs w:val="24"/>
          <w:highlight w:val="none"/>
          <w:lang w:val="en-US" w:eastAsia="zh-CN"/>
        </w:rPr>
        <w:t>关</w:t>
      </w:r>
      <w:r>
        <w:rPr>
          <w:rFonts w:hint="eastAsia" w:ascii="仿宋" w:hAnsi="仿宋" w:eastAsia="仿宋" w:cs="仿宋"/>
          <w:color w:val="auto"/>
          <w:sz w:val="24"/>
          <w:szCs w:val="24"/>
          <w:highlight w:val="none"/>
        </w:rPr>
        <w:t>政策法规要求。</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中标服务商必须优先安排区非遗中心自主组织的各项活动，并根据相关要求协助提供申办各项活动所需的各项设施和</w:t>
      </w:r>
      <w:r>
        <w:rPr>
          <w:rFonts w:hint="eastAsia" w:ascii="仿宋" w:hAnsi="仿宋" w:eastAsia="仿宋" w:cs="仿宋"/>
          <w:b w:val="0"/>
          <w:bCs w:val="0"/>
          <w:strike w:val="0"/>
          <w:dstrike w:val="0"/>
          <w:color w:val="auto"/>
          <w:sz w:val="24"/>
          <w:szCs w:val="24"/>
          <w:highlight w:val="none"/>
        </w:rPr>
        <w:t>保障资料</w:t>
      </w:r>
      <w:r>
        <w:rPr>
          <w:rFonts w:hint="eastAsia" w:ascii="仿宋" w:hAnsi="仿宋" w:eastAsia="仿宋" w:cs="仿宋"/>
          <w:color w:val="auto"/>
          <w:sz w:val="24"/>
          <w:szCs w:val="24"/>
          <w:highlight w:val="none"/>
        </w:rPr>
        <w:t xml:space="preserve">，做好参观接待工作。  </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运营管理期间，中标服务商要实现的工作指标</w:t>
      </w:r>
      <w:r>
        <w:rPr>
          <w:rFonts w:hint="eastAsia" w:ascii="仿宋" w:hAnsi="仿宋" w:eastAsia="仿宋" w:cs="仿宋"/>
          <w:color w:val="auto"/>
          <w:sz w:val="24"/>
          <w:szCs w:val="24"/>
          <w:highlight w:val="none"/>
          <w:lang w:eastAsia="zh-CN"/>
        </w:rPr>
        <w:t>不低于</w:t>
      </w:r>
      <w:r>
        <w:rPr>
          <w:rFonts w:hint="eastAsia" w:ascii="仿宋" w:hAnsi="仿宋" w:eastAsia="仿宋" w:cs="仿宋"/>
          <w:color w:val="auto"/>
          <w:sz w:val="24"/>
          <w:szCs w:val="24"/>
          <w:highlight w:val="none"/>
        </w:rPr>
        <w:t>如下</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 xml:space="preserve">： </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完成富阳区非遗馆日常管理服务工作，按照公益性展馆开放要求，每周开放时间</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none"/>
          <w:lang w:val="en-US" w:eastAsia="zh-CN"/>
        </w:rPr>
        <w:t>天，每周</w:t>
      </w:r>
      <w:r>
        <w:rPr>
          <w:rFonts w:hint="eastAsia" w:ascii="仿宋" w:hAnsi="仿宋" w:eastAsia="仿宋" w:cs="仿宋"/>
          <w:color w:val="auto"/>
          <w:sz w:val="24"/>
          <w:szCs w:val="24"/>
          <w:highlight w:val="none"/>
        </w:rPr>
        <w:t>确保在42小时以上并向社会公示</w:t>
      </w:r>
      <w:r>
        <w:rPr>
          <w:rFonts w:hint="eastAsia" w:cs="仿宋"/>
          <w:color w:val="auto"/>
          <w:sz w:val="24"/>
          <w:szCs w:val="24"/>
          <w:highlight w:val="none"/>
          <w:lang w:eastAsia="zh-CN"/>
        </w:rPr>
        <w:t>，法定节假日及周末无特殊情况务必开放，确因特殊情况无法开馆的，需与管理部门提前申请并告知原因</w:t>
      </w:r>
      <w:r>
        <w:rPr>
          <w:rFonts w:hint="eastAsia" w:ascii="仿宋" w:hAnsi="仿宋" w:eastAsia="仿宋" w:cs="仿宋"/>
          <w:color w:val="auto"/>
          <w:sz w:val="24"/>
          <w:szCs w:val="24"/>
          <w:highlight w:val="none"/>
        </w:rPr>
        <w:t>；</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w:t>
      </w:r>
      <w:r>
        <w:rPr>
          <w:rFonts w:hint="eastAsia" w:cs="仿宋"/>
          <w:color w:val="auto"/>
          <w:sz w:val="24"/>
          <w:szCs w:val="24"/>
          <w:highlight w:val="none"/>
          <w:lang w:val="en-US" w:eastAsia="zh-CN"/>
        </w:rPr>
        <w:t>个</w:t>
      </w:r>
      <w:r>
        <w:rPr>
          <w:rFonts w:hint="eastAsia" w:ascii="仿宋" w:hAnsi="仿宋" w:eastAsia="仿宋" w:cs="仿宋"/>
          <w:color w:val="auto"/>
          <w:sz w:val="24"/>
          <w:szCs w:val="24"/>
          <w:highlight w:val="none"/>
          <w:lang w:val="en-US" w:eastAsia="zh-CN"/>
        </w:rPr>
        <w:t>年</w:t>
      </w:r>
      <w:r>
        <w:rPr>
          <w:rFonts w:hint="eastAsia" w:cs="仿宋"/>
          <w:color w:val="auto"/>
          <w:sz w:val="24"/>
          <w:szCs w:val="24"/>
          <w:highlight w:val="none"/>
          <w:lang w:val="en-US" w:eastAsia="zh-CN"/>
        </w:rPr>
        <w:t>度在非遗馆</w:t>
      </w:r>
      <w:r>
        <w:rPr>
          <w:rFonts w:hint="eastAsia" w:ascii="仿宋" w:hAnsi="仿宋" w:eastAsia="仿宋" w:cs="仿宋"/>
          <w:color w:val="auto"/>
          <w:sz w:val="24"/>
          <w:szCs w:val="24"/>
          <w:highlight w:val="none"/>
          <w:lang w:val="en-US" w:eastAsia="zh-CN"/>
        </w:rPr>
        <w:t>组织</w:t>
      </w:r>
      <w:r>
        <w:rPr>
          <w:rFonts w:hint="eastAsia" w:cs="仿宋"/>
          <w:color w:val="auto"/>
          <w:sz w:val="24"/>
          <w:szCs w:val="24"/>
          <w:highlight w:val="none"/>
          <w:lang w:val="en-US" w:eastAsia="zh-CN"/>
        </w:rPr>
        <w:t>主题活动不少于4场（每季度一场）</w:t>
      </w:r>
      <w:r>
        <w:rPr>
          <w:rFonts w:hint="eastAsia" w:ascii="仿宋" w:hAnsi="仿宋" w:eastAsia="仿宋" w:cs="仿宋"/>
          <w:color w:val="auto"/>
          <w:sz w:val="24"/>
          <w:szCs w:val="24"/>
          <w:highlight w:val="none"/>
        </w:rPr>
        <w:t>；</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每个年度</w:t>
      </w:r>
      <w:r>
        <w:rPr>
          <w:rFonts w:hint="eastAsia" w:cs="仿宋"/>
          <w:color w:val="auto"/>
          <w:sz w:val="24"/>
          <w:szCs w:val="24"/>
          <w:highlight w:val="none"/>
          <w:lang w:eastAsia="zh-CN"/>
        </w:rPr>
        <w:t>在非遗馆</w:t>
      </w:r>
      <w:r>
        <w:rPr>
          <w:rFonts w:hint="eastAsia" w:cs="仿宋"/>
          <w:color w:val="auto"/>
          <w:sz w:val="24"/>
          <w:szCs w:val="24"/>
          <w:highlight w:val="none"/>
          <w:lang w:val="en-US" w:eastAsia="zh-CN"/>
        </w:rPr>
        <w:t>举办主题展览不少于4场（每季度1场）</w:t>
      </w:r>
      <w:r>
        <w:rPr>
          <w:rFonts w:hint="eastAsia" w:ascii="仿宋" w:hAnsi="仿宋" w:eastAsia="仿宋" w:cs="仿宋"/>
          <w:color w:val="auto"/>
          <w:sz w:val="24"/>
          <w:szCs w:val="24"/>
          <w:highlight w:val="none"/>
        </w:rPr>
        <w:t>；</w:t>
      </w:r>
    </w:p>
    <w:p>
      <w:pPr>
        <w:pageBreakBefore w:val="0"/>
        <w:widowControl/>
        <w:shd w:val="clear" w:color="auto" w:fill="FFFFFF"/>
        <w:kinsoku/>
        <w:wordWrap/>
        <w:overflowPunct/>
        <w:topLinePunct w:val="0"/>
        <w:bidi w:val="0"/>
        <w:snapToGrid/>
        <w:spacing w:line="52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每个年度</w:t>
      </w:r>
      <w:r>
        <w:rPr>
          <w:rFonts w:hint="eastAsia" w:cs="仿宋"/>
          <w:color w:val="auto"/>
          <w:sz w:val="24"/>
          <w:szCs w:val="24"/>
          <w:highlight w:val="none"/>
          <w:lang w:eastAsia="zh-CN"/>
        </w:rPr>
        <w:t>在非遗馆</w:t>
      </w:r>
      <w:r>
        <w:rPr>
          <w:rFonts w:hint="eastAsia" w:ascii="仿宋" w:hAnsi="仿宋" w:eastAsia="仿宋" w:cs="仿宋"/>
          <w:color w:val="auto"/>
          <w:sz w:val="24"/>
          <w:szCs w:val="24"/>
          <w:highlight w:val="none"/>
          <w:lang w:val="en-US" w:eastAsia="zh-CN"/>
        </w:rPr>
        <w:t>开展</w:t>
      </w:r>
      <w:r>
        <w:rPr>
          <w:rFonts w:hint="eastAsia" w:cs="仿宋"/>
          <w:color w:val="auto"/>
          <w:sz w:val="24"/>
          <w:szCs w:val="24"/>
          <w:highlight w:val="none"/>
          <w:lang w:val="en-US" w:eastAsia="zh-CN"/>
        </w:rPr>
        <w:t>公益性培训不少于6场（每两个月一次）</w:t>
      </w:r>
      <w:r>
        <w:rPr>
          <w:rFonts w:hint="eastAsia" w:ascii="仿宋" w:hAnsi="仿宋" w:eastAsia="仿宋" w:cs="仿宋"/>
          <w:color w:val="auto"/>
          <w:sz w:val="24"/>
          <w:szCs w:val="24"/>
          <w:highlight w:val="none"/>
        </w:rPr>
        <w:t>；</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中标服务商利用自身资源，进行非遗项目拓展性运营。</w:t>
      </w:r>
    </w:p>
    <w:p>
      <w:pPr>
        <w:widowControl/>
        <w:shd w:val="clear" w:color="auto" w:fill="FFFFFF"/>
        <w:spacing w:line="500" w:lineRule="exact"/>
        <w:ind w:firstLine="602" w:firstLineChars="250"/>
        <w:jc w:val="lef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四、运营管理要求</w:t>
      </w:r>
      <w:r>
        <w:rPr>
          <w:rFonts w:hint="eastAsia" w:cs="仿宋"/>
          <w:b/>
          <w:color w:val="auto"/>
          <w:sz w:val="24"/>
          <w:szCs w:val="24"/>
          <w:highlight w:val="none"/>
          <w:lang w:val="en-US" w:eastAsia="zh-CN"/>
        </w:rPr>
        <w:t xml:space="preserve">  </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中标服务商应制定详实</w:t>
      </w:r>
      <w:r>
        <w:rPr>
          <w:rFonts w:hint="eastAsia" w:ascii="仿宋" w:hAnsi="仿宋" w:eastAsia="仿宋" w:cs="仿宋"/>
          <w:color w:val="auto"/>
          <w:sz w:val="24"/>
          <w:szCs w:val="24"/>
          <w:highlight w:val="none"/>
          <w:lang w:eastAsia="zh-CN"/>
        </w:rPr>
        <w:t>日常运行维护</w:t>
      </w:r>
      <w:r>
        <w:rPr>
          <w:rFonts w:hint="eastAsia" w:ascii="仿宋" w:hAnsi="仿宋" w:eastAsia="仿宋" w:cs="仿宋"/>
          <w:color w:val="auto"/>
          <w:sz w:val="24"/>
          <w:szCs w:val="24"/>
          <w:highlight w:val="none"/>
        </w:rPr>
        <w:t>方案，切实做好场地设备设施的</w:t>
      </w:r>
      <w:r>
        <w:rPr>
          <w:rFonts w:hint="eastAsia" w:ascii="仿宋" w:hAnsi="仿宋" w:eastAsia="仿宋" w:cs="仿宋"/>
          <w:color w:val="auto"/>
          <w:sz w:val="24"/>
          <w:szCs w:val="24"/>
          <w:highlight w:val="none"/>
          <w:lang w:eastAsia="zh-CN"/>
        </w:rPr>
        <w:t>维护</w:t>
      </w:r>
      <w:r>
        <w:rPr>
          <w:rFonts w:hint="eastAsia" w:ascii="仿宋" w:hAnsi="仿宋" w:eastAsia="仿宋" w:cs="仿宋"/>
          <w:color w:val="auto"/>
          <w:sz w:val="24"/>
          <w:szCs w:val="24"/>
          <w:highlight w:val="none"/>
        </w:rPr>
        <w:t>工作，确保运营管理期</w:t>
      </w:r>
      <w:r>
        <w:rPr>
          <w:rFonts w:hint="eastAsia" w:ascii="仿宋" w:hAnsi="仿宋" w:eastAsia="仿宋" w:cs="仿宋"/>
          <w:color w:val="auto"/>
          <w:sz w:val="24"/>
          <w:szCs w:val="24"/>
          <w:highlight w:val="none"/>
          <w:lang w:eastAsia="zh-CN"/>
        </w:rPr>
        <w:t>间</w:t>
      </w:r>
      <w:r>
        <w:rPr>
          <w:rFonts w:hint="eastAsia" w:ascii="仿宋" w:hAnsi="仿宋" w:eastAsia="仿宋" w:cs="仿宋"/>
          <w:color w:val="auto"/>
          <w:sz w:val="24"/>
          <w:szCs w:val="24"/>
          <w:highlight w:val="none"/>
        </w:rPr>
        <w:t xml:space="preserve">场地设备设施的运行完好。  </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运营管理期间，中标服务商因运营需要对场馆一楼</w:t>
      </w:r>
      <w:r>
        <w:rPr>
          <w:rFonts w:hint="eastAsia" w:ascii="仿宋" w:hAnsi="仿宋" w:eastAsia="仿宋" w:cs="仿宋"/>
          <w:color w:val="auto"/>
          <w:sz w:val="24"/>
          <w:szCs w:val="24"/>
          <w:highlight w:val="none"/>
          <w:lang w:eastAsia="zh-CN"/>
        </w:rPr>
        <w:t>进行软装布置</w:t>
      </w:r>
      <w:r>
        <w:rPr>
          <w:rFonts w:hint="eastAsia" w:ascii="仿宋" w:hAnsi="仿宋" w:eastAsia="仿宋" w:cs="仿宋"/>
          <w:color w:val="auto"/>
          <w:sz w:val="24"/>
          <w:szCs w:val="24"/>
          <w:highlight w:val="none"/>
        </w:rPr>
        <w:t>的，方案须经</w:t>
      </w:r>
      <w:r>
        <w:rPr>
          <w:rFonts w:hint="eastAsia" w:ascii="仿宋" w:hAnsi="仿宋" w:eastAsia="仿宋" w:cs="仿宋"/>
          <w:b w:val="0"/>
          <w:bCs w:val="0"/>
          <w:strike w:val="0"/>
          <w:dstrike w:val="0"/>
          <w:color w:val="auto"/>
          <w:sz w:val="24"/>
          <w:szCs w:val="24"/>
          <w:highlight w:val="none"/>
        </w:rPr>
        <w:t>区非遗中心</w:t>
      </w:r>
      <w:r>
        <w:rPr>
          <w:rFonts w:hint="eastAsia" w:ascii="仿宋" w:hAnsi="仿宋" w:eastAsia="仿宋" w:cs="仿宋"/>
          <w:color w:val="auto"/>
          <w:sz w:val="24"/>
          <w:szCs w:val="24"/>
          <w:highlight w:val="none"/>
        </w:rPr>
        <w:t>批准后方可实施，改造不能改变区非遗馆既有功能和特色，</w:t>
      </w:r>
      <w:r>
        <w:rPr>
          <w:rFonts w:hint="eastAsia" w:ascii="仿宋" w:hAnsi="仿宋" w:eastAsia="仿宋" w:cs="仿宋"/>
          <w:color w:val="auto"/>
          <w:sz w:val="24"/>
          <w:szCs w:val="24"/>
          <w:highlight w:val="none"/>
          <w:lang w:val="en-US" w:eastAsia="zh-CN"/>
        </w:rPr>
        <w:t>布置</w:t>
      </w:r>
      <w:r>
        <w:rPr>
          <w:rFonts w:hint="eastAsia" w:ascii="仿宋" w:hAnsi="仿宋" w:eastAsia="仿宋" w:cs="仿宋"/>
          <w:color w:val="auto"/>
          <w:sz w:val="24"/>
          <w:szCs w:val="24"/>
          <w:highlight w:val="none"/>
        </w:rPr>
        <w:t xml:space="preserve">所发生的全部费用均由中标服务商承担。  </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运营管理期满后，或提前解除、终止合同时，中标服务商因运营需要对场馆及设备进行</w:t>
      </w:r>
      <w:r>
        <w:rPr>
          <w:rFonts w:hint="eastAsia" w:ascii="仿宋" w:hAnsi="仿宋" w:eastAsia="仿宋" w:cs="仿宋"/>
          <w:color w:val="auto"/>
          <w:sz w:val="24"/>
          <w:szCs w:val="24"/>
          <w:highlight w:val="none"/>
          <w:lang w:eastAsia="zh-CN"/>
        </w:rPr>
        <w:t>软装布置</w:t>
      </w:r>
      <w:r>
        <w:rPr>
          <w:rFonts w:hint="eastAsia" w:ascii="仿宋" w:hAnsi="仿宋" w:eastAsia="仿宋" w:cs="仿宋"/>
          <w:color w:val="auto"/>
          <w:sz w:val="24"/>
          <w:szCs w:val="24"/>
          <w:highlight w:val="none"/>
        </w:rPr>
        <w:t xml:space="preserve">的或在运营管理期间购置的、属固定资产范畴的（除活动的设施设备、器材等可以完整剥离的部分外），全部无偿归采购人所有。  </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中标服务商使用富阳区非遗馆的知识产权等无形资产，必须按照相关规定，需经采购人或其他标志权利人充分许可。中标服务商开发富阳区非遗馆的无形资产所形成新的无形资产归采购人所有。  </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中标服务商必须严格按照富阳区非遗馆运营管理合同、运营管理办法，坚持以社会效益为主，兼顾经济效益的原则，负责运营管理富阳区非遗馆设施设备，接受采购人的监督。中标服务商不得从事有损政府形象及采购人形象的活动。  </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资产安全</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运营管理期间，中标服务商须及时对富阳区非遗馆建筑物及其附属设施设备进行维护，排除使用故障和隐患</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必须严格按照使用操作规范实施操作，对于违规使用或操作造成安全事故并造成损失的，由中标服务商承担一切责任，保证富阳区非遗馆的建筑物及附属设施设备在运营期间的完整性、安全性以及功能使用的完好性。</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运营管理期间，中标服务商须及时对展示展陈内容进行维护和保养，保证其完整性和安全性。</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对于区非遗馆的日常维修保养，</w:t>
      </w:r>
      <w:r>
        <w:rPr>
          <w:rFonts w:hint="eastAsia" w:ascii="仿宋" w:hAnsi="仿宋" w:eastAsia="仿宋" w:cs="仿宋"/>
          <w:color w:val="auto"/>
          <w:sz w:val="24"/>
          <w:szCs w:val="24"/>
          <w:highlight w:val="none"/>
        </w:rPr>
        <w:t>单项维修费在1万元</w:t>
      </w:r>
      <w:r>
        <w:rPr>
          <w:rFonts w:hint="eastAsia" w:cs="仿宋"/>
          <w:b w:val="0"/>
          <w:bCs w:val="0"/>
          <w:color w:val="auto"/>
          <w:sz w:val="24"/>
          <w:szCs w:val="24"/>
          <w:highlight w:val="none"/>
          <w:lang w:val="en-US" w:eastAsia="zh-CN"/>
        </w:rPr>
        <w:t>及</w:t>
      </w:r>
      <w:r>
        <w:rPr>
          <w:rFonts w:hint="eastAsia" w:ascii="仿宋" w:hAnsi="仿宋" w:eastAsia="仿宋" w:cs="仿宋"/>
          <w:color w:val="auto"/>
          <w:sz w:val="24"/>
          <w:szCs w:val="24"/>
          <w:highlight w:val="none"/>
        </w:rPr>
        <w:t>以上的项目，</w:t>
      </w:r>
      <w:r>
        <w:rPr>
          <w:rFonts w:hint="eastAsia" w:cs="仿宋"/>
          <w:color w:val="auto"/>
          <w:sz w:val="24"/>
          <w:szCs w:val="24"/>
          <w:highlight w:val="none"/>
          <w:lang w:eastAsia="zh-CN"/>
        </w:rPr>
        <w:t>采购人</w:t>
      </w:r>
      <w:r>
        <w:rPr>
          <w:rFonts w:hint="eastAsia" w:ascii="仿宋" w:hAnsi="仿宋" w:eastAsia="仿宋" w:cs="仿宋"/>
          <w:color w:val="auto"/>
          <w:sz w:val="24"/>
          <w:szCs w:val="24"/>
          <w:highlight w:val="none"/>
        </w:rPr>
        <w:t>根据实际情况决定维修，费用由</w:t>
      </w:r>
      <w:r>
        <w:rPr>
          <w:rFonts w:hint="eastAsia" w:cs="仿宋"/>
          <w:color w:val="auto"/>
          <w:sz w:val="24"/>
          <w:szCs w:val="24"/>
          <w:highlight w:val="none"/>
          <w:lang w:eastAsia="zh-CN"/>
        </w:rPr>
        <w:t>采购人</w:t>
      </w:r>
      <w:r>
        <w:rPr>
          <w:rFonts w:hint="eastAsia" w:ascii="仿宋" w:hAnsi="仿宋" w:eastAsia="仿宋" w:cs="仿宋"/>
          <w:color w:val="auto"/>
          <w:sz w:val="24"/>
          <w:szCs w:val="24"/>
          <w:highlight w:val="none"/>
        </w:rPr>
        <w:t>承担，其它日常维修费用由中标服务商承担。</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运营管理期限届满，中标服务商应保证设施设备功能完好地移交采购人（因区非遗馆运营需要，经双方确认改变的设施、设备及功能，正常使用年限寿命到期的设施设备及功能除外）。</w:t>
      </w:r>
    </w:p>
    <w:p>
      <w:pPr>
        <w:widowControl/>
        <w:numPr>
          <w:ilvl w:val="0"/>
          <w:numId w:val="0"/>
        </w:numPr>
        <w:shd w:val="clear" w:color="auto" w:fill="FFFFFF"/>
        <w:spacing w:line="500" w:lineRule="exact"/>
        <w:ind w:firstLine="480" w:firstLineChars="20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w:t>
      </w:r>
      <w:r>
        <w:rPr>
          <w:rFonts w:hint="eastAsia" w:cs="仿宋"/>
          <w:b w:val="0"/>
          <w:bCs w:val="0"/>
          <w:color w:val="auto"/>
          <w:sz w:val="24"/>
          <w:szCs w:val="24"/>
          <w:highlight w:val="none"/>
          <w:lang w:val="en-US" w:eastAsia="zh-CN"/>
        </w:rPr>
        <w:t>采购人应在中标服务商介入运营前做好相关资产交接，填写交接清单，采购人应确保基础设施建设符合国家及地方有关法律法规。</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中标服务商作为富阳区非遗馆的运营单位，负责按照国家规定依法缴纳一切税费。</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采购人为中标服务商提供相关资料，包括但不限于：富阳区非遗馆建设工程图纸等，但中标服务商未经采购人许可，不得作为其他用途。</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9、建立健全各项规章制度、岗位责任制、操作规程和各项台帐。</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10、服务人员应相对稳定，主要岗位人员</w:t>
      </w:r>
      <w:r>
        <w:rPr>
          <w:rFonts w:hint="eastAsia" w:cs="仿宋"/>
          <w:color w:val="auto"/>
          <w:sz w:val="24"/>
          <w:szCs w:val="24"/>
          <w:highlight w:val="none"/>
          <w:lang w:val="en-US" w:eastAsia="zh-CN"/>
        </w:rPr>
        <w:t>（项目经理、前台及讲解）</w:t>
      </w:r>
      <w:r>
        <w:rPr>
          <w:rFonts w:hint="eastAsia" w:ascii="仿宋" w:hAnsi="仿宋" w:eastAsia="仿宋" w:cs="仿宋"/>
          <w:color w:val="auto"/>
          <w:sz w:val="24"/>
          <w:szCs w:val="24"/>
          <w:highlight w:val="none"/>
          <w:lang w:val="en-US" w:eastAsia="zh-CN"/>
        </w:rPr>
        <w:t>如需调动需提前征求采购方意见。</w:t>
      </w:r>
    </w:p>
    <w:p>
      <w:pPr>
        <w:pStyle w:val="106"/>
        <w:ind w:firstLine="482" w:firstLineChars="20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五、项目组人员配置要求：以下人员配置为最低配置</w:t>
      </w:r>
    </w:p>
    <w:tbl>
      <w:tblPr>
        <w:tblStyle w:val="8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2"/>
        <w:gridCol w:w="864"/>
        <w:gridCol w:w="2328"/>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38"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72"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岗位名称</w:t>
            </w:r>
          </w:p>
        </w:tc>
        <w:tc>
          <w:tcPr>
            <w:tcW w:w="864"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人数</w:t>
            </w:r>
          </w:p>
        </w:tc>
        <w:tc>
          <w:tcPr>
            <w:tcW w:w="2328"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岗位职责</w:t>
            </w:r>
          </w:p>
        </w:tc>
        <w:tc>
          <w:tcPr>
            <w:tcW w:w="2957"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38"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项目经理</w:t>
            </w:r>
          </w:p>
        </w:tc>
        <w:tc>
          <w:tcPr>
            <w:tcW w:w="864"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8" w:type="dxa"/>
            <w:noWrap w:val="0"/>
            <w:vAlign w:val="center"/>
          </w:tcPr>
          <w:p>
            <w:pPr>
              <w:widowControl/>
              <w:shd w:val="clear" w:color="auto" w:fill="FFFFFF"/>
              <w:spacing w:line="5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主要负责整个场馆运营的管理以及与采购人的沟通协调。</w:t>
            </w:r>
          </w:p>
        </w:tc>
        <w:tc>
          <w:tcPr>
            <w:tcW w:w="2957"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年龄4</w:t>
            </w: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zh-CN" w:bidi="ar-SA"/>
              </w:rPr>
              <w:t>周岁以下，</w:t>
            </w:r>
            <w:r>
              <w:rPr>
                <w:rFonts w:hint="eastAsia" w:ascii="仿宋" w:hAnsi="仿宋" w:eastAsia="仿宋" w:cs="仿宋"/>
                <w:color w:val="auto"/>
                <w:sz w:val="24"/>
                <w:szCs w:val="24"/>
                <w:highlight w:val="none"/>
              </w:rPr>
              <w:t>具有一年以上类似场馆运营管理或项目管理的经验</w:t>
            </w:r>
            <w:r>
              <w:rPr>
                <w:rFonts w:hint="eastAsia" w:cs="仿宋"/>
                <w:b w:val="0"/>
                <w:bCs w:val="0"/>
                <w:color w:val="auto"/>
                <w:sz w:val="24"/>
                <w:szCs w:val="24"/>
                <w:highlight w:val="none"/>
                <w:lang w:eastAsia="zh-CN"/>
              </w:rPr>
              <w:t>（</w:t>
            </w:r>
            <w:r>
              <w:rPr>
                <w:rFonts w:hint="eastAsia" w:cs="仿宋"/>
                <w:b w:val="0"/>
                <w:bCs w:val="0"/>
                <w:color w:val="auto"/>
                <w:sz w:val="24"/>
                <w:szCs w:val="24"/>
                <w:highlight w:val="none"/>
                <w:lang w:val="en-US" w:eastAsia="zh-CN"/>
              </w:rPr>
              <w:t>需提供劳动合同及三个月社保证明</w:t>
            </w:r>
            <w:r>
              <w:rPr>
                <w:rFonts w:hint="eastAsia" w:cs="仿宋"/>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38"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72"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前台讲解</w:t>
            </w:r>
            <w:r>
              <w:rPr>
                <w:rFonts w:hint="eastAsia" w:cs="仿宋"/>
                <w:color w:val="auto"/>
                <w:kern w:val="2"/>
                <w:sz w:val="24"/>
                <w:szCs w:val="24"/>
                <w:highlight w:val="none"/>
                <w:lang w:val="en-US" w:eastAsia="zh-CN" w:bidi="ar-SA"/>
              </w:rPr>
              <w:t>及运营</w:t>
            </w:r>
          </w:p>
        </w:tc>
        <w:tc>
          <w:tcPr>
            <w:tcW w:w="864"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2</w:t>
            </w:r>
          </w:p>
        </w:tc>
        <w:tc>
          <w:tcPr>
            <w:tcW w:w="2328" w:type="dxa"/>
            <w:noWrap w:val="0"/>
            <w:vAlign w:val="center"/>
          </w:tcPr>
          <w:p>
            <w:pPr>
              <w:pStyle w:val="107"/>
              <w:pageBreakBefore w:val="0"/>
              <w:numPr>
                <w:ilvl w:val="0"/>
                <w:numId w:val="0"/>
              </w:numPr>
              <w:kinsoku/>
              <w:wordWrap/>
              <w:overflowPunct/>
              <w:topLinePunct w:val="0"/>
              <w:autoSpaceDE/>
              <w:autoSpaceDN/>
              <w:bidi w:val="0"/>
              <w:adjustRightInd/>
              <w:snapToGrid/>
              <w:spacing w:before="157" w:beforeLines="50"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负责接待讲解工作</w:t>
            </w:r>
            <w:r>
              <w:rPr>
                <w:rFonts w:hint="eastAsia" w:ascii="仿宋" w:hAnsi="仿宋" w:cs="仿宋"/>
                <w:color w:val="auto"/>
                <w:kern w:val="2"/>
                <w:sz w:val="24"/>
                <w:szCs w:val="24"/>
                <w:highlight w:val="none"/>
                <w:lang w:val="en-US" w:eastAsia="zh-CN" w:bidi="ar-SA"/>
              </w:rPr>
              <w:t>及</w:t>
            </w:r>
            <w:r>
              <w:rPr>
                <w:rFonts w:hint="eastAsia" w:ascii="仿宋" w:hAnsi="仿宋" w:eastAsia="仿宋" w:cs="仿宋"/>
                <w:color w:val="auto"/>
                <w:kern w:val="2"/>
                <w:sz w:val="24"/>
                <w:szCs w:val="24"/>
                <w:highlight w:val="none"/>
                <w:lang w:val="en-US" w:eastAsia="zh-CN" w:bidi="ar-SA"/>
              </w:rPr>
              <w:t>场馆的活动策划运营、场馆的宣传推广等工作。</w:t>
            </w:r>
          </w:p>
        </w:tc>
        <w:tc>
          <w:tcPr>
            <w:tcW w:w="2957" w:type="dxa"/>
            <w:noWrap w:val="0"/>
            <w:vAlign w:val="center"/>
          </w:tcPr>
          <w:p>
            <w:pPr>
              <w:pStyle w:val="107"/>
              <w:pageBreakBefore w:val="0"/>
              <w:numPr>
                <w:ilvl w:val="0"/>
                <w:numId w:val="0"/>
              </w:numPr>
              <w:kinsoku/>
              <w:wordWrap/>
              <w:overflowPunct/>
              <w:topLinePunct w:val="0"/>
              <w:autoSpaceDE/>
              <w:autoSpaceDN/>
              <w:bidi w:val="0"/>
              <w:adjustRightInd/>
              <w:snapToGrid/>
              <w:spacing w:before="157" w:beforeLines="50"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年龄40周岁以下，大专及以上学历，形象佳，普通话标准，具有良好的沟通能力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8"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72"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保洁</w:t>
            </w:r>
          </w:p>
        </w:tc>
        <w:tc>
          <w:tcPr>
            <w:tcW w:w="864"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1</w:t>
            </w:r>
          </w:p>
        </w:tc>
        <w:tc>
          <w:tcPr>
            <w:tcW w:w="2328" w:type="dxa"/>
            <w:noWrap w:val="0"/>
            <w:vAlign w:val="center"/>
          </w:tcPr>
          <w:p>
            <w:pPr>
              <w:pStyle w:val="107"/>
              <w:pageBreakBefore w:val="0"/>
              <w:numPr>
                <w:ilvl w:val="0"/>
                <w:numId w:val="0"/>
              </w:numPr>
              <w:kinsoku/>
              <w:wordWrap/>
              <w:overflowPunct/>
              <w:topLinePunct w:val="0"/>
              <w:autoSpaceDE/>
              <w:autoSpaceDN/>
              <w:bidi w:val="0"/>
              <w:adjustRightInd/>
              <w:snapToGrid/>
              <w:spacing w:before="157" w:beforeLines="50"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负责运营范围内的所有保洁、绿化养护工作。</w:t>
            </w:r>
          </w:p>
        </w:tc>
        <w:tc>
          <w:tcPr>
            <w:tcW w:w="2957" w:type="dxa"/>
            <w:noWrap w:val="0"/>
            <w:vAlign w:val="center"/>
          </w:tcPr>
          <w:p>
            <w:pPr>
              <w:pStyle w:val="107"/>
              <w:pageBreakBefore w:val="0"/>
              <w:numPr>
                <w:ilvl w:val="0"/>
                <w:numId w:val="0"/>
              </w:numPr>
              <w:kinsoku/>
              <w:wordWrap/>
              <w:overflowPunct/>
              <w:topLinePunct w:val="0"/>
              <w:autoSpaceDE/>
              <w:autoSpaceDN/>
              <w:bidi w:val="0"/>
              <w:adjustRightInd/>
              <w:snapToGrid/>
              <w:spacing w:before="157" w:beforeLines="50"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女55周岁以下，男60周岁以下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8"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72"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保安及消监控</w:t>
            </w:r>
          </w:p>
        </w:tc>
        <w:tc>
          <w:tcPr>
            <w:tcW w:w="864" w:type="dxa"/>
            <w:noWrap w:val="0"/>
            <w:vAlign w:val="center"/>
          </w:tcPr>
          <w:p>
            <w:pPr>
              <w:pageBreakBefore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3</w:t>
            </w:r>
          </w:p>
        </w:tc>
        <w:tc>
          <w:tcPr>
            <w:tcW w:w="2328" w:type="dxa"/>
            <w:noWrap w:val="0"/>
            <w:vAlign w:val="center"/>
          </w:tcPr>
          <w:p>
            <w:pPr>
              <w:pStyle w:val="107"/>
              <w:pageBreakBefore w:val="0"/>
              <w:numPr>
                <w:ilvl w:val="0"/>
                <w:numId w:val="0"/>
              </w:numPr>
              <w:kinsoku/>
              <w:wordWrap/>
              <w:overflowPunct/>
              <w:topLinePunct w:val="0"/>
              <w:autoSpaceDE/>
              <w:autoSpaceDN/>
              <w:bidi w:val="0"/>
              <w:adjustRightInd/>
              <w:snapToGrid/>
              <w:spacing w:before="157" w:beforeLines="50"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负责运营范围内安保、设施设备日常维护等工作。</w:t>
            </w:r>
          </w:p>
        </w:tc>
        <w:tc>
          <w:tcPr>
            <w:tcW w:w="2957" w:type="dxa"/>
            <w:noWrap w:val="0"/>
            <w:vAlign w:val="center"/>
          </w:tcPr>
          <w:p>
            <w:pPr>
              <w:pStyle w:val="107"/>
              <w:pageBreakBefore w:val="0"/>
              <w:numPr>
                <w:ilvl w:val="0"/>
                <w:numId w:val="0"/>
              </w:numPr>
              <w:kinsoku/>
              <w:wordWrap/>
              <w:overflowPunct/>
              <w:topLinePunct w:val="0"/>
              <w:autoSpaceDE/>
              <w:autoSpaceDN/>
              <w:bidi w:val="0"/>
              <w:adjustRightInd/>
              <w:snapToGrid/>
              <w:spacing w:before="157" w:beforeLines="50"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女55周岁以下，男60周岁以下，具有一年以上同类工作经验</w:t>
            </w:r>
            <w:r>
              <w:rPr>
                <w:rFonts w:hint="eastAsia" w:ascii="仿宋" w:hAnsi="仿宋" w:cs="仿宋"/>
                <w:color w:val="auto"/>
                <w:kern w:val="2"/>
                <w:sz w:val="24"/>
                <w:szCs w:val="24"/>
                <w:highlight w:val="none"/>
                <w:lang w:val="en-US" w:eastAsia="zh-CN" w:bidi="ar-SA"/>
              </w:rPr>
              <w:t>，消监控保安需持专业证件</w:t>
            </w:r>
          </w:p>
        </w:tc>
      </w:tr>
    </w:tbl>
    <w:p>
      <w:pPr>
        <w:widowControl/>
        <w:shd w:val="clear" w:color="auto" w:fill="FFFFFF"/>
        <w:spacing w:line="500" w:lineRule="exact"/>
        <w:ind w:left="48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、双方的权利和义务</w:t>
      </w:r>
    </w:p>
    <w:p>
      <w:pPr>
        <w:widowControl/>
        <w:shd w:val="clear" w:color="auto" w:fill="FFFFFF"/>
        <w:spacing w:line="500" w:lineRule="exact"/>
        <w:ind w:left="48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 采购人的权利</w:t>
      </w:r>
    </w:p>
    <w:p>
      <w:pPr>
        <w:widowControl/>
        <w:shd w:val="clear" w:color="auto" w:fill="FFFFFF"/>
        <w:spacing w:line="500" w:lineRule="exact"/>
        <w:ind w:left="48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1、在运营管理合同终止时，采购人有权接收区非遗馆的运营管理权</w:t>
      </w:r>
      <w:r>
        <w:rPr>
          <w:rFonts w:hint="eastAsia" w:cs="仿宋"/>
          <w:color w:val="auto"/>
          <w:sz w:val="24"/>
          <w:szCs w:val="24"/>
          <w:highlight w:val="none"/>
          <w:lang w:eastAsia="zh-CN"/>
        </w:rPr>
        <w:t>，</w:t>
      </w:r>
      <w:r>
        <w:rPr>
          <w:rFonts w:hint="eastAsia" w:cs="仿宋"/>
          <w:b w:val="0"/>
          <w:bCs w:val="0"/>
          <w:color w:val="auto"/>
          <w:sz w:val="24"/>
          <w:szCs w:val="24"/>
          <w:highlight w:val="none"/>
          <w:lang w:val="en-US" w:eastAsia="zh-CN"/>
        </w:rPr>
        <w:t>双方在运营期间如存有遗留问题由双方协商解决。</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2、采购人有了解中标服务商运营管理情况及对各类活动筹办和区非遗馆设施维护管理进行监督的权利。</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在合同期限内，采购人可派人列席中标服务商的运营管理等会议，主要负责协调中标服务商与政府的关系及有关社会公益活动，中标服务商有义务提前通知采购人会议时间、地点和会议内容。</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在运营管理期内，因中标服务商的</w:t>
      </w:r>
      <w:r>
        <w:rPr>
          <w:rFonts w:hint="eastAsia" w:ascii="仿宋" w:hAnsi="仿宋" w:eastAsia="仿宋" w:cs="仿宋"/>
          <w:color w:val="auto"/>
          <w:sz w:val="24"/>
          <w:szCs w:val="24"/>
          <w:highlight w:val="none"/>
          <w:lang w:eastAsia="zh-CN"/>
        </w:rPr>
        <w:t>运营</w:t>
      </w:r>
      <w:r>
        <w:rPr>
          <w:rFonts w:hint="eastAsia" w:ascii="仿宋" w:hAnsi="仿宋" w:eastAsia="仿宋" w:cs="仿宋"/>
          <w:color w:val="auto"/>
          <w:sz w:val="24"/>
          <w:szCs w:val="24"/>
          <w:highlight w:val="none"/>
        </w:rPr>
        <w:t>管理行为所产生的任何债务，均由中标服务商承担。采购人不向因中标服务商的</w:t>
      </w:r>
      <w:r>
        <w:rPr>
          <w:rFonts w:hint="eastAsia" w:ascii="仿宋" w:hAnsi="仿宋" w:eastAsia="仿宋" w:cs="仿宋"/>
          <w:color w:val="auto"/>
          <w:sz w:val="24"/>
          <w:szCs w:val="24"/>
          <w:highlight w:val="none"/>
          <w:lang w:eastAsia="zh-CN"/>
        </w:rPr>
        <w:t>运营</w:t>
      </w:r>
      <w:r>
        <w:rPr>
          <w:rFonts w:hint="eastAsia" w:ascii="仿宋" w:hAnsi="仿宋" w:eastAsia="仿宋" w:cs="仿宋"/>
          <w:color w:val="auto"/>
          <w:sz w:val="24"/>
          <w:szCs w:val="24"/>
          <w:highlight w:val="none"/>
        </w:rPr>
        <w:t>管理行为所产生的任何第三方承担任何法律责任。</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对中标服务商不称职的管理人员，采购人有权要求整改，整改不到位，采购人有权要求中标服务商更换。</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在运营管理期内，中标服务商对区非遗馆进行微调整等方案，应当先行提交给</w:t>
      </w:r>
      <w:r>
        <w:rPr>
          <w:rFonts w:hint="eastAsia" w:cs="仿宋"/>
          <w:color w:val="auto"/>
          <w:sz w:val="24"/>
          <w:szCs w:val="24"/>
          <w:highlight w:val="none"/>
          <w:lang w:eastAsia="zh-CN"/>
        </w:rPr>
        <w:t>采购人</w:t>
      </w:r>
      <w:r>
        <w:rPr>
          <w:rFonts w:hint="eastAsia" w:ascii="仿宋" w:hAnsi="仿宋" w:eastAsia="仿宋" w:cs="仿宋"/>
          <w:color w:val="auto"/>
          <w:sz w:val="24"/>
          <w:szCs w:val="24"/>
          <w:highlight w:val="none"/>
        </w:rPr>
        <w:t>审定后才能实施。</w:t>
      </w:r>
    </w:p>
    <w:p>
      <w:pPr>
        <w:widowControl/>
        <w:shd w:val="clear" w:color="auto" w:fill="FFFFFF"/>
        <w:spacing w:line="500" w:lineRule="exact"/>
        <w:ind w:left="48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采购人的义务</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1、协助中标服务商办理富阳区非遗馆开业所必需的运营、管理、服务等方面的手续；协助中标服务商申请享受国家相关优惠政策，实现优惠共享。</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2、协助中标服务商在运营管理、宣传推介、行政服务及场地使用等方面的协调工作。</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3、配合中标服务商查阅仅用于富阳区非遗馆运营管理所需的竣工图纸等有关资料（中标服务商不得另作他用）</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4、协助中标服务商做好大型活动在当地政府有关部门报批、立项和协调工作。</w:t>
      </w:r>
    </w:p>
    <w:p>
      <w:pPr>
        <w:widowControl/>
        <w:shd w:val="clear" w:color="auto" w:fill="FFFFFF"/>
        <w:spacing w:line="500" w:lineRule="exact"/>
        <w:ind w:firstLine="480" w:firstLineChars="200"/>
        <w:jc w:val="left"/>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w:t>
      </w:r>
      <w:r>
        <w:rPr>
          <w:rFonts w:hint="eastAsia" w:ascii="仿宋" w:hAnsi="仿宋" w:eastAsia="仿宋" w:cs="仿宋"/>
          <w:color w:val="auto"/>
          <w:sz w:val="24"/>
          <w:szCs w:val="24"/>
          <w:highlight w:val="none"/>
        </w:rPr>
        <w:t>、在本运营管理合同终止时，应当协助中标服务商办理交接手续。</w:t>
      </w:r>
    </w:p>
    <w:p>
      <w:pPr>
        <w:widowControl/>
        <w:shd w:val="clear" w:color="auto" w:fill="FFFFFF"/>
        <w:spacing w:line="500" w:lineRule="exact"/>
        <w:ind w:left="480"/>
        <w:jc w:val="lef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（三）中标服务商的权利</w:t>
      </w:r>
      <w:r>
        <w:rPr>
          <w:rFonts w:hint="eastAsia" w:cs="仿宋"/>
          <w:b/>
          <w:color w:val="auto"/>
          <w:sz w:val="24"/>
          <w:szCs w:val="24"/>
          <w:highlight w:val="none"/>
          <w:lang w:val="en-US" w:eastAsia="zh-CN"/>
        </w:rPr>
        <w:t xml:space="preserve">   </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1、中标服务商根据国家有关法律、法规及合同约定的内容，行使富阳区非遗馆日常运营管理权，并承担在运营管理过程中产生的经济、法律责任。</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2、在运营管理期内，中标服务商对富阳区非遗馆延伸的开拓性运营，所得收入归中标服务商所有，产生的支出亦由中标服务商承担。</w:t>
      </w:r>
    </w:p>
    <w:p>
      <w:pPr>
        <w:widowControl/>
        <w:shd w:val="clear" w:color="auto" w:fill="FFFFFF"/>
        <w:spacing w:line="500" w:lineRule="exact"/>
        <w:ind w:firstLine="480" w:firstLineChars="200"/>
        <w:jc w:val="left"/>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3、经采购人同意，中标服务商对富阳区非遗馆相关非遗活动或展览可与第三方进行合作。</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、中标服务商制定相关的安保、卫生消防、应急预案等相关的制度，自觉接受相关部门的监督和检查。</w:t>
      </w:r>
    </w:p>
    <w:p>
      <w:pPr>
        <w:widowControl/>
        <w:shd w:val="clear" w:color="auto" w:fill="FFFFFF"/>
        <w:spacing w:line="500" w:lineRule="exact"/>
        <w:ind w:left="48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（四）中标服务商的义务</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1、中标服务商应做好场馆及附属设施设备的日常巡检工作，发现问题及时处理，并将有关情况通报采购人，中标服务商不得将运营管理的财产进行处置或者抵押。</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中标服务商必须按照国家、地方法律、法规和政策的要求依法开展运营管理活动。运营管理期间，富阳区非遗馆开放方案必须符合省、市、区等各级政府部门制定的场馆免费开放的政策要求。</w:t>
      </w:r>
    </w:p>
    <w:p>
      <w:pPr>
        <w:widowControl/>
        <w:numPr>
          <w:ilvl w:val="0"/>
          <w:numId w:val="0"/>
        </w:numPr>
        <w:shd w:val="clear" w:color="auto" w:fill="FFFFFF"/>
        <w:spacing w:line="500" w:lineRule="exact"/>
        <w:ind w:firstLine="480" w:firstLineChars="200"/>
        <w:jc w:val="left"/>
        <w:rPr>
          <w:rFonts w:hint="eastAsia"/>
          <w:color w:val="auto"/>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运营管理期间产生的电费、水费等直接</w:t>
      </w:r>
      <w:r>
        <w:rPr>
          <w:rFonts w:hint="eastAsia" w:cs="仿宋"/>
          <w:color w:val="auto"/>
          <w:sz w:val="24"/>
          <w:szCs w:val="24"/>
          <w:highlight w:val="none"/>
          <w:lang w:val="en-US" w:eastAsia="zh-CN"/>
        </w:rPr>
        <w:t>日常</w:t>
      </w:r>
      <w:r>
        <w:rPr>
          <w:rFonts w:hint="eastAsia" w:ascii="仿宋" w:hAnsi="仿宋" w:eastAsia="仿宋" w:cs="仿宋"/>
          <w:color w:val="auto"/>
          <w:sz w:val="24"/>
          <w:szCs w:val="24"/>
          <w:highlight w:val="none"/>
        </w:rPr>
        <w:t>费用由中标服务商支付。</w:t>
      </w:r>
    </w:p>
    <w:p>
      <w:pPr>
        <w:widowControl/>
        <w:numPr>
          <w:ilvl w:val="0"/>
          <w:numId w:val="0"/>
        </w:numPr>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遵守当地政府职能部门的相关规定，自觉接受检查和监督，若违反有关规定，中标服务商承担责任。在运营过程中，若因中标服务商原因发生富阳区非遗馆财产损毁、灭失的，由中标服务商承担民事赔偿责任。</w:t>
      </w:r>
    </w:p>
    <w:p>
      <w:pPr>
        <w:widowControl/>
        <w:shd w:val="clear" w:color="auto" w:fill="FFFFFF"/>
        <w:spacing w:line="500" w:lineRule="exact"/>
        <w:ind w:left="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5、在运营管理期内，中标服务商应按照国家规定依法缴纳一切税费。</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6、在运营管理期间，</w:t>
      </w:r>
      <w:r>
        <w:rPr>
          <w:rFonts w:hint="eastAsia" w:ascii="仿宋" w:hAnsi="仿宋" w:eastAsia="仿宋" w:cs="仿宋"/>
          <w:color w:val="auto"/>
          <w:sz w:val="24"/>
          <w:szCs w:val="24"/>
          <w:highlight w:val="none"/>
          <w:lang w:val="en-US" w:eastAsia="zh-CN"/>
        </w:rPr>
        <w:t>经</w:t>
      </w:r>
      <w:r>
        <w:rPr>
          <w:rFonts w:hint="eastAsia" w:ascii="仿宋" w:hAnsi="仿宋" w:eastAsia="仿宋" w:cs="仿宋"/>
          <w:color w:val="auto"/>
          <w:sz w:val="24"/>
          <w:szCs w:val="24"/>
          <w:highlight w:val="none"/>
        </w:rPr>
        <w:t>报采购人</w:t>
      </w:r>
      <w:r>
        <w:rPr>
          <w:rFonts w:hint="eastAsia" w:ascii="仿宋" w:hAnsi="仿宋" w:eastAsia="仿宋" w:cs="仿宋"/>
          <w:color w:val="auto"/>
          <w:sz w:val="24"/>
          <w:szCs w:val="24"/>
          <w:highlight w:val="none"/>
          <w:lang w:val="en-US" w:eastAsia="zh-CN"/>
        </w:rPr>
        <w:t>书面</w:t>
      </w:r>
      <w:r>
        <w:rPr>
          <w:rFonts w:hint="eastAsia" w:ascii="仿宋" w:hAnsi="仿宋" w:eastAsia="仿宋" w:cs="仿宋"/>
          <w:color w:val="auto"/>
          <w:sz w:val="24"/>
          <w:szCs w:val="24"/>
          <w:highlight w:val="none"/>
        </w:rPr>
        <w:t>审批同意后，中标服务商方可对区非遗馆一楼场馆及附属设施进行</w:t>
      </w:r>
      <w:r>
        <w:rPr>
          <w:rFonts w:hint="eastAsia" w:ascii="仿宋" w:hAnsi="仿宋" w:eastAsia="仿宋" w:cs="仿宋"/>
          <w:color w:val="auto"/>
          <w:sz w:val="24"/>
          <w:szCs w:val="24"/>
          <w:highlight w:val="none"/>
          <w:lang w:val="en-US" w:eastAsia="zh-CN"/>
        </w:rPr>
        <w:t>软装布置</w:t>
      </w:r>
      <w:r>
        <w:rPr>
          <w:rFonts w:hint="eastAsia" w:ascii="仿宋" w:hAnsi="仿宋" w:eastAsia="仿宋" w:cs="仿宋"/>
          <w:color w:val="auto"/>
          <w:sz w:val="24"/>
          <w:szCs w:val="24"/>
          <w:highlight w:val="none"/>
        </w:rPr>
        <w:t>，费用由中标单位负责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并将相关资料提交一份给采购人备存。</w:t>
      </w:r>
      <w:r>
        <w:rPr>
          <w:rFonts w:hint="eastAsia" w:ascii="仿宋" w:hAnsi="仿宋" w:eastAsia="仿宋" w:cs="仿宋"/>
          <w:color w:val="auto"/>
          <w:sz w:val="24"/>
          <w:szCs w:val="24"/>
          <w:highlight w:val="none"/>
          <w:lang w:val="en-US" w:eastAsia="zh-CN"/>
        </w:rPr>
        <w:t>布置</w:t>
      </w:r>
      <w:r>
        <w:rPr>
          <w:rFonts w:hint="eastAsia" w:ascii="仿宋" w:hAnsi="仿宋" w:eastAsia="仿宋" w:cs="仿宋"/>
          <w:color w:val="auto"/>
          <w:sz w:val="24"/>
          <w:szCs w:val="24"/>
          <w:highlight w:val="none"/>
        </w:rPr>
        <w:t>的设施设备由中标服务商负责日常维护、保养，并保证其完整、安全以及功能使用的完好。若中标服务商因使用不当或未及时进行维护、维修造成区非遗馆场馆及附属设施设备损坏的，由中标服务商承担损失赔偿责任。</w:t>
      </w:r>
    </w:p>
    <w:p>
      <w:pPr>
        <w:widowControl/>
        <w:shd w:val="clear" w:color="auto" w:fill="FFFFFF"/>
        <w:spacing w:line="500" w:lineRule="exact"/>
        <w:ind w:firstLine="480" w:firstLineChars="200"/>
        <w:jc w:val="left"/>
        <w:rPr>
          <w:rFonts w:hint="default"/>
          <w:color w:val="auto"/>
          <w:highlight w:val="none"/>
          <w:lang w:val="en-US" w:eastAsia="zh-CN"/>
        </w:rPr>
      </w:pPr>
      <w:r>
        <w:rPr>
          <w:rFonts w:hint="eastAsia" w:ascii="仿宋" w:hAnsi="仿宋" w:eastAsia="仿宋" w:cs="仿宋"/>
          <w:color w:val="auto"/>
          <w:sz w:val="24"/>
          <w:szCs w:val="24"/>
          <w:highlight w:val="none"/>
        </w:rPr>
        <w:t>7、运营管理期间，中标服务商必须优先安排上级政府或采购人自主组织的各项活动，并提供各项活动所需的各项设施和人力保障，</w:t>
      </w:r>
      <w:r>
        <w:rPr>
          <w:rFonts w:hint="eastAsia" w:cs="仿宋"/>
          <w:color w:val="auto"/>
          <w:sz w:val="24"/>
          <w:szCs w:val="24"/>
          <w:highlight w:val="none"/>
          <w:lang w:val="en-US" w:eastAsia="zh-CN"/>
        </w:rPr>
        <w:t>同时</w:t>
      </w:r>
      <w:r>
        <w:rPr>
          <w:rFonts w:hint="eastAsia" w:ascii="仿宋" w:hAnsi="仿宋" w:eastAsia="仿宋" w:cs="仿宋"/>
          <w:color w:val="auto"/>
          <w:sz w:val="24"/>
          <w:szCs w:val="24"/>
          <w:highlight w:val="none"/>
        </w:rPr>
        <w:t>做好接待工作</w:t>
      </w:r>
      <w:r>
        <w:rPr>
          <w:rFonts w:hint="eastAsia" w:cs="仿宋"/>
          <w:color w:val="auto"/>
          <w:sz w:val="24"/>
          <w:szCs w:val="24"/>
          <w:highlight w:val="none"/>
          <w:lang w:eastAsia="zh-CN"/>
        </w:rPr>
        <w:t>。</w:t>
      </w:r>
    </w:p>
    <w:p>
      <w:pPr>
        <w:widowControl/>
        <w:shd w:val="clear" w:color="auto" w:fill="FFFFFF"/>
        <w:spacing w:line="500" w:lineRule="exact"/>
        <w:ind w:left="480"/>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七、培训要求</w:t>
      </w:r>
    </w:p>
    <w:p>
      <w:pPr>
        <w:pStyle w:val="106"/>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员工上岗前要进行相应的培训，培训合格方可上岗，需在员工上岗一周内向采购方提交书面的培训记录。在服务期间根据工作要求进行不定期的培训，以确保场馆的良好运作。</w:t>
      </w:r>
    </w:p>
    <w:p>
      <w:pPr>
        <w:pStyle w:val="106"/>
        <w:numPr>
          <w:ilvl w:val="0"/>
          <w:numId w:val="11"/>
        </w:numPr>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服务期</w:t>
      </w:r>
    </w:p>
    <w:p>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本项目服务期为</w:t>
      </w:r>
      <w:r>
        <w:rPr>
          <w:rFonts w:hint="eastAsia" w:cs="仿宋"/>
          <w:b w:val="0"/>
          <w:bCs w:val="0"/>
          <w:color w:val="auto"/>
          <w:kern w:val="2"/>
          <w:sz w:val="24"/>
          <w:szCs w:val="24"/>
          <w:highlight w:val="none"/>
          <w:lang w:val="en-US" w:eastAsia="zh-CN" w:bidi="ar-SA"/>
        </w:rPr>
        <w:t>两</w:t>
      </w:r>
      <w:r>
        <w:rPr>
          <w:rFonts w:hint="eastAsia" w:ascii="仿宋" w:hAnsi="仿宋" w:eastAsia="仿宋" w:cs="仿宋"/>
          <w:b w:val="0"/>
          <w:bCs w:val="0"/>
          <w:color w:val="auto"/>
          <w:kern w:val="2"/>
          <w:sz w:val="24"/>
          <w:szCs w:val="24"/>
          <w:highlight w:val="none"/>
          <w:lang w:val="en-US" w:eastAsia="zh-CN" w:bidi="ar-SA"/>
        </w:rPr>
        <w:t>年，自合同签订之日起计，合同为一年一签，考核达到要求签订下一年度的合同。</w:t>
      </w:r>
    </w:p>
    <w:p>
      <w:pPr>
        <w:pStyle w:val="106"/>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九、考核管理办法</w:t>
      </w:r>
    </w:p>
    <w:p>
      <w:pPr>
        <w:snapToGrid w:val="0"/>
        <w:spacing w:line="420" w:lineRule="exact"/>
        <w:ind w:firstLine="480"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采购人成立考核小组，将每季度对中标供应商进行运营考核，每</w:t>
      </w:r>
      <w:r>
        <w:rPr>
          <w:rFonts w:hint="eastAsia" w:ascii="仿宋" w:hAnsi="仿宋" w:eastAsia="仿宋" w:cs="仿宋"/>
          <w:b w:val="0"/>
          <w:bCs w:val="0"/>
          <w:color w:val="auto"/>
          <w:sz w:val="24"/>
          <w:szCs w:val="24"/>
          <w:highlight w:val="none"/>
          <w:lang w:val="en-US" w:eastAsia="zh-CN"/>
        </w:rPr>
        <w:t>4个季度为一个考核周期。</w:t>
      </w:r>
      <w:r>
        <w:rPr>
          <w:rFonts w:hint="eastAsia" w:ascii="仿宋" w:hAnsi="仿宋" w:eastAsia="仿宋" w:cs="仿宋"/>
          <w:b w:val="0"/>
          <w:bCs w:val="0"/>
          <w:color w:val="auto"/>
          <w:sz w:val="24"/>
          <w:szCs w:val="24"/>
          <w:highlight w:val="none"/>
          <w:lang w:eastAsia="zh-CN"/>
        </w:rPr>
        <w:t>发现问题及时记录，并当场告知中标供应商管理人员，奖扣情况在当季服务费结算中处理</w:t>
      </w:r>
      <w:r>
        <w:rPr>
          <w:rFonts w:hint="eastAsia" w:cs="仿宋"/>
          <w:b w:val="0"/>
          <w:bCs w:val="0"/>
          <w:color w:val="auto"/>
          <w:sz w:val="24"/>
          <w:szCs w:val="24"/>
          <w:highlight w:val="none"/>
          <w:lang w:eastAsia="zh-CN"/>
        </w:rPr>
        <w:t>，当季度考核得分在</w:t>
      </w:r>
      <w:r>
        <w:rPr>
          <w:rFonts w:hint="eastAsia" w:cs="仿宋"/>
          <w:b w:val="0"/>
          <w:bCs w:val="0"/>
          <w:color w:val="auto"/>
          <w:sz w:val="24"/>
          <w:szCs w:val="24"/>
          <w:highlight w:val="none"/>
          <w:lang w:val="en-US" w:eastAsia="zh-CN"/>
        </w:rPr>
        <w:t>60分以下（不含60分）的，运营服务费不予支付</w:t>
      </w:r>
      <w:r>
        <w:rPr>
          <w:rFonts w:hint="eastAsia" w:ascii="仿宋" w:hAnsi="仿宋" w:eastAsia="仿宋" w:cs="仿宋"/>
          <w:b w:val="0"/>
          <w:bCs w:val="0"/>
          <w:color w:val="auto"/>
          <w:sz w:val="24"/>
          <w:szCs w:val="24"/>
          <w:highlight w:val="none"/>
          <w:lang w:eastAsia="zh-CN"/>
        </w:rPr>
        <w:t>。</w:t>
      </w:r>
      <w:r>
        <w:rPr>
          <w:rFonts w:hint="eastAsia" w:cs="仿宋"/>
          <w:b w:val="0"/>
          <w:bCs w:val="0"/>
          <w:color w:val="auto"/>
          <w:sz w:val="24"/>
          <w:szCs w:val="24"/>
          <w:highlight w:val="none"/>
          <w:lang w:eastAsia="zh-CN"/>
        </w:rPr>
        <w:t>当季度考核得分在</w:t>
      </w:r>
      <w:r>
        <w:rPr>
          <w:rFonts w:hint="eastAsia" w:cs="仿宋"/>
          <w:b w:val="0"/>
          <w:bCs w:val="0"/>
          <w:color w:val="auto"/>
          <w:sz w:val="24"/>
          <w:szCs w:val="24"/>
          <w:highlight w:val="none"/>
          <w:lang w:val="en-US" w:eastAsia="zh-CN"/>
        </w:rPr>
        <w:t>60分以上70分以下（不含70分）的，扣除当季度运营服务费的10%</w:t>
      </w:r>
      <w:r>
        <w:rPr>
          <w:rFonts w:hint="eastAsia" w:ascii="仿宋" w:hAnsi="仿宋" w:eastAsia="仿宋" w:cs="仿宋"/>
          <w:b w:val="0"/>
          <w:bCs w:val="0"/>
          <w:color w:val="auto"/>
          <w:sz w:val="24"/>
          <w:szCs w:val="24"/>
          <w:highlight w:val="none"/>
          <w:lang w:eastAsia="zh-CN"/>
        </w:rPr>
        <w:t>。</w:t>
      </w:r>
      <w:r>
        <w:rPr>
          <w:rFonts w:hint="eastAsia" w:cs="仿宋"/>
          <w:b w:val="0"/>
          <w:bCs w:val="0"/>
          <w:color w:val="auto"/>
          <w:sz w:val="24"/>
          <w:szCs w:val="24"/>
          <w:highlight w:val="none"/>
          <w:lang w:eastAsia="zh-CN"/>
        </w:rPr>
        <w:t>当季度考核得分在</w:t>
      </w:r>
      <w:r>
        <w:rPr>
          <w:rFonts w:hint="eastAsia" w:cs="仿宋"/>
          <w:b w:val="0"/>
          <w:bCs w:val="0"/>
          <w:color w:val="auto"/>
          <w:sz w:val="24"/>
          <w:szCs w:val="24"/>
          <w:highlight w:val="none"/>
          <w:lang w:val="en-US" w:eastAsia="zh-CN"/>
        </w:rPr>
        <w:t>70分以上80分以下（不含80分）的，扣除当季度运营服务费的5%</w:t>
      </w:r>
      <w:r>
        <w:rPr>
          <w:rFonts w:hint="eastAsia" w:ascii="仿宋" w:hAnsi="仿宋" w:eastAsia="仿宋" w:cs="仿宋"/>
          <w:b w:val="0"/>
          <w:bCs w:val="0"/>
          <w:color w:val="auto"/>
          <w:sz w:val="24"/>
          <w:szCs w:val="24"/>
          <w:highlight w:val="none"/>
          <w:lang w:eastAsia="zh-CN"/>
        </w:rPr>
        <w:t>。</w:t>
      </w:r>
    </w:p>
    <w:p>
      <w:pPr>
        <w:snapToGrid w:val="0"/>
        <w:spacing w:line="420" w:lineRule="exact"/>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cs="仿宋"/>
          <w:b w:val="0"/>
          <w:bCs w:val="0"/>
          <w:color w:val="auto"/>
          <w:sz w:val="24"/>
          <w:szCs w:val="24"/>
          <w:highlight w:val="none"/>
          <w:lang w:val="en-US" w:eastAsia="zh-CN"/>
        </w:rPr>
        <w:t>第一季度为试用期，</w:t>
      </w:r>
      <w:r>
        <w:rPr>
          <w:rFonts w:hint="eastAsia" w:ascii="仿宋" w:hAnsi="仿宋" w:eastAsia="仿宋" w:cs="仿宋"/>
          <w:b w:val="0"/>
          <w:bCs w:val="0"/>
          <w:color w:val="auto"/>
          <w:sz w:val="24"/>
          <w:szCs w:val="24"/>
          <w:highlight w:val="none"/>
          <w:lang w:eastAsia="zh-CN"/>
        </w:rPr>
        <w:t>考核得分在</w:t>
      </w:r>
      <w:r>
        <w:rPr>
          <w:rFonts w:hint="eastAsia" w:cs="仿宋"/>
          <w:b w:val="0"/>
          <w:bCs w:val="0"/>
          <w:color w:val="auto"/>
          <w:sz w:val="24"/>
          <w:szCs w:val="24"/>
          <w:highlight w:val="none"/>
          <w:lang w:val="en-US" w:eastAsia="zh-CN"/>
        </w:rPr>
        <w:t>70</w:t>
      </w:r>
      <w:r>
        <w:rPr>
          <w:rFonts w:hint="eastAsia" w:ascii="仿宋" w:hAnsi="仿宋" w:eastAsia="仿宋" w:cs="仿宋"/>
          <w:b w:val="0"/>
          <w:bCs w:val="0"/>
          <w:color w:val="auto"/>
          <w:sz w:val="24"/>
          <w:szCs w:val="24"/>
          <w:highlight w:val="none"/>
          <w:lang w:eastAsia="zh-CN"/>
        </w:rPr>
        <w:t>分以下</w:t>
      </w:r>
      <w:r>
        <w:rPr>
          <w:rFonts w:hint="eastAsia" w:cs="仿宋"/>
          <w:b w:val="0"/>
          <w:bCs w:val="0"/>
          <w:color w:val="auto"/>
          <w:sz w:val="24"/>
          <w:szCs w:val="24"/>
          <w:highlight w:val="none"/>
          <w:lang w:val="en-US" w:eastAsia="zh-CN"/>
        </w:rPr>
        <w:t>（不含</w:t>
      </w:r>
      <w:r>
        <w:rPr>
          <w:rFonts w:hint="eastAsia" w:cs="仿宋"/>
          <w:b/>
          <w:bCs/>
          <w:color w:val="auto"/>
          <w:sz w:val="24"/>
          <w:szCs w:val="24"/>
          <w:highlight w:val="none"/>
          <w:lang w:val="en-US" w:eastAsia="zh-CN"/>
        </w:rPr>
        <w:t xml:space="preserve"> </w:t>
      </w:r>
      <w:r>
        <w:rPr>
          <w:rFonts w:hint="eastAsia" w:cs="仿宋"/>
          <w:b w:val="0"/>
          <w:bCs w:val="0"/>
          <w:color w:val="auto"/>
          <w:sz w:val="24"/>
          <w:szCs w:val="24"/>
          <w:highlight w:val="none"/>
          <w:lang w:val="en-US" w:eastAsia="zh-CN"/>
        </w:rPr>
        <w:t>70分）</w:t>
      </w:r>
      <w:r>
        <w:rPr>
          <w:rFonts w:hint="eastAsia"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lang w:eastAsia="zh-CN"/>
        </w:rPr>
        <w:t>，</w:t>
      </w:r>
      <w:r>
        <w:rPr>
          <w:rFonts w:hint="eastAsia" w:cs="仿宋"/>
          <w:b w:val="0"/>
          <w:bCs w:val="0"/>
          <w:color w:val="auto"/>
          <w:sz w:val="24"/>
          <w:szCs w:val="24"/>
          <w:highlight w:val="none"/>
          <w:lang w:eastAsia="zh-CN"/>
        </w:rPr>
        <w:t>采购人可直接终止合同。</w:t>
      </w:r>
      <w:r>
        <w:rPr>
          <w:rFonts w:hint="eastAsia" w:ascii="仿宋" w:hAnsi="仿宋" w:eastAsia="仿宋" w:cs="仿宋"/>
          <w:b w:val="0"/>
          <w:bCs w:val="0"/>
          <w:color w:val="auto"/>
          <w:sz w:val="24"/>
          <w:szCs w:val="24"/>
          <w:highlight w:val="none"/>
          <w:lang w:eastAsia="zh-CN"/>
        </w:rPr>
        <w:t>考核在</w:t>
      </w:r>
      <w:r>
        <w:rPr>
          <w:rFonts w:hint="eastAsia" w:cs="仿宋"/>
          <w:b/>
          <w:bCs/>
          <w:color w:val="auto"/>
          <w:sz w:val="24"/>
          <w:szCs w:val="24"/>
          <w:highlight w:val="none"/>
          <w:lang w:val="en-US" w:eastAsia="zh-CN"/>
        </w:rPr>
        <w:t xml:space="preserve"> </w:t>
      </w:r>
      <w:r>
        <w:rPr>
          <w:rFonts w:hint="eastAsia" w:cs="仿宋"/>
          <w:b w:val="0"/>
          <w:bCs w:val="0"/>
          <w:color w:val="auto"/>
          <w:sz w:val="24"/>
          <w:szCs w:val="24"/>
          <w:highlight w:val="none"/>
          <w:lang w:val="en-US" w:eastAsia="zh-CN"/>
        </w:rPr>
        <w:t>60分以上80</w:t>
      </w:r>
      <w:r>
        <w:rPr>
          <w:rFonts w:hint="eastAsia" w:ascii="仿宋" w:hAnsi="仿宋" w:eastAsia="仿宋" w:cs="仿宋"/>
          <w:b w:val="0"/>
          <w:bCs w:val="0"/>
          <w:color w:val="auto"/>
          <w:sz w:val="24"/>
          <w:szCs w:val="24"/>
          <w:highlight w:val="none"/>
          <w:lang w:val="en-US" w:eastAsia="zh-CN"/>
        </w:rPr>
        <w:t>分以下</w:t>
      </w:r>
      <w:r>
        <w:rPr>
          <w:rFonts w:hint="eastAsia" w:cs="仿宋"/>
          <w:b w:val="0"/>
          <w:bCs w:val="0"/>
          <w:color w:val="auto"/>
          <w:sz w:val="24"/>
          <w:szCs w:val="24"/>
          <w:highlight w:val="none"/>
          <w:lang w:val="en-US" w:eastAsia="zh-CN"/>
        </w:rPr>
        <w:t>（不含 80分）</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b w:val="0"/>
          <w:bCs w:val="0"/>
          <w:color w:val="auto"/>
          <w:sz w:val="24"/>
          <w:szCs w:val="24"/>
          <w:highlight w:val="none"/>
          <w:lang w:eastAsia="zh-CN"/>
        </w:rPr>
        <w:t>中标供应商必须整改，连续三次考核在</w:t>
      </w:r>
      <w:r>
        <w:rPr>
          <w:rFonts w:hint="eastAsia" w:cs="仿宋"/>
          <w:b w:val="0"/>
          <w:bCs w:val="0"/>
          <w:strike w:val="0"/>
          <w:dstrike w:val="0"/>
          <w:color w:val="auto"/>
          <w:sz w:val="24"/>
          <w:szCs w:val="24"/>
          <w:highlight w:val="none"/>
          <w:lang w:val="en-US" w:eastAsia="zh-CN"/>
        </w:rPr>
        <w:t xml:space="preserve"> </w:t>
      </w:r>
      <w:r>
        <w:rPr>
          <w:rFonts w:hint="eastAsia" w:cs="仿宋"/>
          <w:b w:val="0"/>
          <w:bCs w:val="0"/>
          <w:color w:val="auto"/>
          <w:sz w:val="24"/>
          <w:szCs w:val="24"/>
          <w:highlight w:val="none"/>
          <w:lang w:val="en-US" w:eastAsia="zh-CN"/>
        </w:rPr>
        <w:t>60分以上80</w:t>
      </w:r>
      <w:r>
        <w:rPr>
          <w:rFonts w:hint="eastAsia" w:ascii="仿宋" w:hAnsi="仿宋" w:eastAsia="仿宋" w:cs="仿宋"/>
          <w:b w:val="0"/>
          <w:bCs w:val="0"/>
          <w:color w:val="auto"/>
          <w:sz w:val="24"/>
          <w:szCs w:val="24"/>
          <w:highlight w:val="none"/>
          <w:lang w:val="en-US" w:eastAsia="zh-CN"/>
        </w:rPr>
        <w:t>分以下</w:t>
      </w:r>
      <w:r>
        <w:rPr>
          <w:rFonts w:hint="eastAsia" w:cs="仿宋"/>
          <w:b w:val="0"/>
          <w:bCs w:val="0"/>
          <w:color w:val="auto"/>
          <w:sz w:val="24"/>
          <w:szCs w:val="24"/>
          <w:highlight w:val="none"/>
          <w:lang w:val="en-US" w:eastAsia="zh-CN"/>
        </w:rPr>
        <w:t>（不含80分）</w:t>
      </w:r>
      <w:r>
        <w:rPr>
          <w:rFonts w:hint="eastAsia" w:ascii="仿宋" w:hAnsi="仿宋" w:eastAsia="仿宋" w:cs="仿宋"/>
          <w:b w:val="0"/>
          <w:bCs w:val="0"/>
          <w:color w:val="auto"/>
          <w:sz w:val="24"/>
          <w:szCs w:val="24"/>
          <w:highlight w:val="none"/>
          <w:lang w:val="en-US" w:eastAsia="zh-CN"/>
        </w:rPr>
        <w:t>的，采购人有权终止合同</w:t>
      </w:r>
      <w:r>
        <w:rPr>
          <w:rFonts w:hint="eastAsia" w:ascii="仿宋" w:hAnsi="仿宋" w:eastAsia="仿宋" w:cs="仿宋"/>
          <w:b w:val="0"/>
          <w:bCs w:val="0"/>
          <w:color w:val="auto"/>
          <w:sz w:val="24"/>
          <w:szCs w:val="24"/>
          <w:highlight w:val="none"/>
          <w:lang w:eastAsia="zh-CN"/>
        </w:rPr>
        <w:t>。</w:t>
      </w:r>
      <w:r>
        <w:rPr>
          <w:rFonts w:hint="eastAsia" w:cs="仿宋"/>
          <w:b w:val="0"/>
          <w:bCs w:val="0"/>
          <w:strike w:val="0"/>
          <w:dstrike w:val="0"/>
          <w:color w:val="auto"/>
          <w:sz w:val="24"/>
          <w:szCs w:val="24"/>
          <w:highlight w:val="none"/>
          <w:lang w:val="en-US" w:eastAsia="zh-CN"/>
        </w:rPr>
        <w:t>考核得分在60分以下，采购人有权终止合同。</w:t>
      </w:r>
    </w:p>
    <w:p>
      <w:pPr>
        <w:snapToGrid w:val="0"/>
        <w:spacing w:line="42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如中标人发生下列事项，采购人有权解除合同，扣除履约保证金，且要求中标人赔偿相应损失。</w:t>
      </w:r>
    </w:p>
    <w:p>
      <w:pPr>
        <w:snapToGrid w:val="0"/>
        <w:spacing w:line="42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val="0"/>
          <w:bCs w:val="0"/>
          <w:color w:val="auto"/>
          <w:sz w:val="24"/>
          <w:szCs w:val="24"/>
          <w:highlight w:val="none"/>
          <w:lang w:eastAsia="zh-CN"/>
        </w:rPr>
        <w:t>中标人在一个考核周期内被投诉超</w:t>
      </w:r>
      <w:r>
        <w:rPr>
          <w:rFonts w:hint="eastAsia" w:cs="仿宋"/>
          <w:b w:val="0"/>
          <w:bCs w:val="0"/>
          <w:strike w:val="0"/>
          <w:dstrike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lang w:val="en-US" w:eastAsia="zh-CN"/>
        </w:rPr>
        <w:t>次且投诉事项成立的，采购人有权提前终止协议</w:t>
      </w:r>
      <w:r>
        <w:rPr>
          <w:rFonts w:hint="eastAsia" w:ascii="仿宋" w:hAnsi="仿宋" w:eastAsia="仿宋" w:cs="仿宋"/>
          <w:b w:val="0"/>
          <w:bCs w:val="0"/>
          <w:color w:val="auto"/>
          <w:sz w:val="24"/>
          <w:szCs w:val="24"/>
          <w:highlight w:val="none"/>
          <w:lang w:eastAsia="zh-CN"/>
        </w:rPr>
        <w:t>。</w:t>
      </w:r>
    </w:p>
    <w:p>
      <w:pPr>
        <w:snapToGrid w:val="0"/>
        <w:spacing w:line="42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b w:val="0"/>
          <w:bCs w:val="0"/>
          <w:color w:val="auto"/>
          <w:sz w:val="24"/>
          <w:szCs w:val="24"/>
          <w:highlight w:val="none"/>
          <w:lang w:eastAsia="zh-CN"/>
        </w:rPr>
        <w:t>在服务区域从事非法活动，或从事有损采购人利益的活动。</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十、保险</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b w:val="0"/>
          <w:bCs w:val="0"/>
          <w:strike w:val="0"/>
          <w:dstrike w:val="0"/>
          <w:color w:val="auto"/>
          <w:sz w:val="24"/>
          <w:szCs w:val="24"/>
          <w:highlight w:val="none"/>
          <w:lang w:eastAsia="zh-CN"/>
        </w:rPr>
        <w:t>第三者</w:t>
      </w:r>
      <w:r>
        <w:rPr>
          <w:rFonts w:hint="eastAsia" w:ascii="仿宋" w:hAnsi="仿宋" w:eastAsia="仿宋" w:cs="仿宋"/>
          <w:color w:val="auto"/>
          <w:sz w:val="24"/>
          <w:szCs w:val="24"/>
          <w:highlight w:val="none"/>
          <w:lang w:eastAsia="zh-CN"/>
        </w:rPr>
        <w:t>责任保险</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供应商应对</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供应商人员以及第三方</w:t>
      </w:r>
      <w:r>
        <w:rPr>
          <w:rFonts w:hint="eastAsia" w:ascii="仿宋" w:hAnsi="仿宋" w:eastAsia="仿宋" w:cs="仿宋"/>
          <w:b w:val="0"/>
          <w:bCs w:val="0"/>
          <w:strike w:val="0"/>
          <w:dstrike w:val="0"/>
          <w:color w:val="auto"/>
          <w:sz w:val="24"/>
          <w:szCs w:val="24"/>
          <w:highlight w:val="none"/>
          <w:lang w:eastAsia="zh-CN"/>
        </w:rPr>
        <w:t>全权</w:t>
      </w:r>
      <w:r>
        <w:rPr>
          <w:rFonts w:hint="eastAsia" w:ascii="仿宋" w:hAnsi="仿宋" w:eastAsia="仿宋" w:cs="仿宋"/>
          <w:color w:val="auto"/>
          <w:sz w:val="24"/>
          <w:szCs w:val="24"/>
          <w:highlight w:val="none"/>
          <w:lang w:eastAsia="zh-CN"/>
        </w:rPr>
        <w:t>负责（如</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供应商应投保</w:t>
      </w:r>
      <w:r>
        <w:rPr>
          <w:rFonts w:hint="eastAsia" w:ascii="仿宋" w:hAnsi="仿宋" w:eastAsia="仿宋" w:cs="仿宋"/>
          <w:b w:val="0"/>
          <w:bCs w:val="0"/>
          <w:strike w:val="0"/>
          <w:dstrike w:val="0"/>
          <w:color w:val="auto"/>
          <w:sz w:val="24"/>
          <w:szCs w:val="24"/>
          <w:highlight w:val="none"/>
          <w:lang w:eastAsia="zh-CN"/>
        </w:rPr>
        <w:t>第三</w:t>
      </w:r>
      <w:r>
        <w:rPr>
          <w:rFonts w:hint="eastAsia"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责任险），在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供应商的责任区内由于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供应商原因导致自己员工或第三方的事故由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供应商负责，采购人不承担任何责任。</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（2）员工人身意外</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在服务期内，</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供应商所有人员的事故由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供应商自行全权负责（如</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供应商应对其员工投保人身意外险），以保证采购人在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供应商工作人员索赔时不受任何责任的约束。</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（3）其他保险及费用</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供应商须按《劳动合同法》和政府有关各部门规定为全体服务人员缴纳所有相关的社会保险及其他相关费用。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供应商对此全权负责。</w:t>
      </w:r>
    </w:p>
    <w:p>
      <w:pPr>
        <w:widowControl/>
        <w:shd w:val="clear" w:color="auto" w:fill="FFFFFF"/>
        <w:spacing w:line="500" w:lineRule="exact"/>
        <w:ind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十一、履约保证金及付款方式</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（一）履约保证金</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1.拟签订的合同文本要求</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提交履约保证金的，供应商应当以支票、汇票、本票或者金融机构、担保机构出具的保函等非现金形式提交。签订合同时</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向采购人缴纳不超过采购合同总金额的1%作为履约保证金。鼓励和支持供应商以银行、保险公司出具的保函形式提供履约保证金。对合同金额400万元以上的项目，采购人应鼓励供应商以履约保函形式提交履约保证金。采购人不得拒收履约保函。履约期（验收合格）结束后5个工作日内，采购人无息退付履约保证金，延迟退还的，应当按照合同约定和法律规定承担相应的赔偿责任。</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货物和服务项目中，采购人可根据杭州市政府采购网公布的供应商履约评价情况减免履约保证金。鼓励采购人根据项目特点、供应商诚信等因素免收履约保证金或降低缴纳比例。供应商履约验收评价总分为100分的，采购单位应当免收履约保证金。</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（二）付款方式</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cs="仿宋"/>
          <w:b w:val="0"/>
          <w:bCs w:val="0"/>
          <w:i w:val="0"/>
          <w:iCs w:val="0"/>
          <w:color w:val="auto"/>
          <w:sz w:val="24"/>
          <w:szCs w:val="24"/>
          <w:highlight w:val="none"/>
          <w:lang w:val="en-US" w:eastAsia="zh-CN"/>
        </w:rPr>
        <w:t>具体以</w:t>
      </w:r>
      <w:r>
        <w:rPr>
          <w:rFonts w:hint="eastAsia" w:ascii="仿宋" w:hAnsi="仿宋" w:eastAsia="仿宋" w:cs="仿宋"/>
          <w:color w:val="auto"/>
          <w:sz w:val="24"/>
          <w:szCs w:val="24"/>
          <w:highlight w:val="none"/>
        </w:rPr>
        <w:t>合同约定内容进行货款的结算，结算时按财政结算要求办理资金结算手续。</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2.本项目预付款为合同金额的40％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strike w:val="0"/>
          <w:dstrike w:val="0"/>
          <w:color w:val="auto"/>
          <w:sz w:val="24"/>
          <w:szCs w:val="24"/>
          <w:highlight w:val="none"/>
        </w:rPr>
        <w:t>（人工投入可为20%），</w:t>
      </w:r>
      <w:r>
        <w:rPr>
          <w:rFonts w:hint="eastAsia" w:ascii="仿宋" w:hAnsi="仿宋" w:eastAsia="仿宋" w:cs="仿宋"/>
          <w:color w:val="auto"/>
          <w:sz w:val="24"/>
          <w:szCs w:val="24"/>
          <w:highlight w:val="none"/>
        </w:rPr>
        <w:t>采购人应在合同生效以及具备实施条件后7个工作日内，支付预付款。</w:t>
      </w:r>
    </w:p>
    <w:p>
      <w:pPr>
        <w:widowControl/>
        <w:shd w:val="clear" w:color="auto" w:fill="FFFFFF"/>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.采购项目实施以人工投入为主的，可按季度支付合同款。对于满足合同约定支付条件的，采购人应自收到发票后5个工作日内将资金支付到合同约定的供应商账户。</w:t>
      </w:r>
    </w:p>
    <w:p>
      <w:pPr>
        <w:rPr>
          <w:rFonts w:hint="default"/>
          <w:color w:val="auto"/>
          <w:highlight w:val="none"/>
          <w:lang w:val="en-US"/>
        </w:rPr>
      </w:pPr>
      <w:r>
        <w:rPr>
          <w:rFonts w:hint="eastAsia" w:cs="仿宋"/>
          <w:b/>
          <w:bCs/>
          <w:color w:val="auto"/>
          <w:highlight w:val="none"/>
          <w:u w:val="none"/>
          <w:lang w:val="en-US" w:eastAsia="zh-CN"/>
        </w:rPr>
        <w:t>注：</w:t>
      </w:r>
      <w:r>
        <w:rPr>
          <w:rFonts w:hint="eastAsia" w:ascii="仿宋" w:hAnsi="仿宋" w:cs="仿宋"/>
          <w:b/>
          <w:bCs/>
          <w:color w:val="auto"/>
          <w:highlight w:val="none"/>
          <w:u w:val="none"/>
          <w:lang w:val="en-US" w:eastAsia="zh-CN"/>
        </w:rPr>
        <w:t>在签订合同时，供应商明确表示无需预付款或者主动要求降低预付款比例的，采购单位可不适用前述规定</w:t>
      </w:r>
      <w:r>
        <w:rPr>
          <w:rFonts w:hint="eastAsia" w:cs="仿宋"/>
          <w:b/>
          <w:bCs/>
          <w:color w:val="auto"/>
          <w:highlight w:val="none"/>
          <w:u w:val="none"/>
          <w:lang w:val="en-US" w:eastAsia="zh-CN"/>
        </w:rPr>
        <w:t>。</w:t>
      </w:r>
    </w:p>
    <w:p>
      <w:pPr>
        <w:pageBreakBefore w:val="0"/>
        <w:kinsoku/>
        <w:wordWrap w:val="0"/>
        <w:topLinePunct/>
        <w:bidi w:val="0"/>
        <w:spacing w:beforeAutospacing="0" w:afterAutospacing="0" w:line="440" w:lineRule="exact"/>
        <w:rPr>
          <w:b/>
          <w:bCs/>
          <w:color w:val="auto"/>
          <w:kern w:val="2"/>
          <w:highlight w:val="none"/>
        </w:rPr>
      </w:pPr>
      <w:r>
        <w:rPr>
          <w:b/>
          <w:bCs/>
          <w:color w:val="auto"/>
          <w:kern w:val="2"/>
          <w:highlight w:val="none"/>
        </w:rPr>
        <w:br w:type="page"/>
      </w:r>
    </w:p>
    <w:p>
      <w:pPr>
        <w:pStyle w:val="5"/>
        <w:pageBreakBefore w:val="0"/>
        <w:kinsoku/>
        <w:bidi w:val="0"/>
        <w:spacing w:beforeAutospacing="0" w:afterAutospacing="0" w:line="440" w:lineRule="exact"/>
        <w:rPr>
          <w:color w:val="auto"/>
          <w:highlight w:val="none"/>
        </w:rPr>
      </w:pPr>
      <w:bookmarkStart w:id="5" w:name="_Toc1180707375"/>
      <w:r>
        <w:rPr>
          <w:rFonts w:hint="eastAsia"/>
          <w:color w:val="auto"/>
          <w:highlight w:val="none"/>
        </w:rPr>
        <w:t>第五章  杭州市富阳区政府采购合同主要条款</w:t>
      </w:r>
      <w:bookmarkEnd w:id="5"/>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highlight w:val="none"/>
        </w:rPr>
      </w:pPr>
      <w:r>
        <w:rPr>
          <w:rFonts w:hint="eastAsia" w:cs="仿宋_GB2312"/>
          <w:color w:val="auto"/>
          <w:kern w:val="0"/>
          <w:sz w:val="28"/>
          <w:szCs w:val="28"/>
          <w:highlight w:val="none"/>
        </w:rPr>
        <w:t>（本合同为合同样稿，最终稿由</w:t>
      </w:r>
      <w:r>
        <w:rPr>
          <w:rFonts w:hint="eastAsia" w:cs="仿宋_GB2312"/>
          <w:color w:val="auto"/>
          <w:kern w:val="0"/>
          <w:sz w:val="28"/>
          <w:szCs w:val="28"/>
          <w:highlight w:val="none"/>
          <w:lang w:eastAsia="zh-CN"/>
        </w:rPr>
        <w:t>双</w:t>
      </w:r>
      <w:r>
        <w:rPr>
          <w:rFonts w:hint="eastAsia" w:cs="仿宋_GB2312"/>
          <w:color w:val="auto"/>
          <w:kern w:val="0"/>
          <w:sz w:val="28"/>
          <w:szCs w:val="28"/>
          <w:highlight w:val="none"/>
        </w:rPr>
        <w:t>方协商后确定）</w:t>
      </w:r>
    </w:p>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bookmarkStart w:id="6" w:name="_Toc1399953345"/>
    </w:p>
    <w:p>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甲  方（采购人）：</w:t>
      </w:r>
    </w:p>
    <w:p>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乙  方（中标人）：</w:t>
      </w:r>
    </w:p>
    <w:p>
      <w:pPr>
        <w:pageBreakBefore w:val="0"/>
        <w:kinsoku/>
        <w:bidi w:val="0"/>
        <w:spacing w:beforeAutospacing="0" w:afterAutospacing="0" w:line="440" w:lineRule="exact"/>
        <w:ind w:firstLine="480" w:firstLineChars="200"/>
        <w:rPr>
          <w:rFonts w:ascii="仿宋" w:hAnsi="仿宋" w:eastAsia="仿宋"/>
          <w:color w:val="auto"/>
          <w:sz w:val="24"/>
          <w:highlight w:val="none"/>
        </w:rPr>
      </w:pPr>
      <w:r>
        <w:rPr>
          <w:rFonts w:hint="eastAsia" w:ascii="仿宋" w:hAnsi="仿宋"/>
          <w:color w:val="auto"/>
          <w:highlight w:val="none"/>
        </w:rPr>
        <w:t>经过公开招标采购（编号：      ），确定***********为中标人，</w:t>
      </w: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pPr>
        <w:pStyle w:val="50"/>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auto"/>
          <w:highlight w:val="none"/>
        </w:rPr>
      </w:pP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auto"/>
          <w:highlight w:val="none"/>
        </w:rPr>
      </w:pPr>
      <w:r>
        <w:rPr>
          <w:rFonts w:hint="eastAsia"/>
          <w:b/>
          <w:bCs/>
          <w:color w:val="auto"/>
          <w:highlight w:val="none"/>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w:t>
      </w:r>
      <w:r>
        <w:rPr>
          <w:rFonts w:hint="eastAsia"/>
          <w:bCs/>
          <w:color w:val="auto"/>
          <w:kern w:val="0"/>
          <w:highlight w:val="none"/>
          <w:lang w:val="en-US" w:eastAsia="zh-CN"/>
        </w:rPr>
        <w:t>式：</w:t>
      </w:r>
      <w:r>
        <w:rPr>
          <w:rFonts w:hint="eastAsia"/>
          <w:bCs/>
          <w:color w:val="auto"/>
          <w:kern w:val="0"/>
          <w:highlight w:val="none"/>
          <w:lang w:val="en-US" w:eastAsia="zh-CN"/>
        </w:rPr>
        <w:t>固定总价合同。</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第二条：质量保证</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乙方保证本合同中所</w:t>
      </w:r>
      <w:r>
        <w:rPr>
          <w:rFonts w:hint="eastAsia" w:cs="仿宋"/>
          <w:color w:val="auto"/>
          <w:sz w:val="24"/>
          <w:szCs w:val="24"/>
          <w:highlight w:val="none"/>
          <w:lang w:val="en-US" w:eastAsia="zh-CN"/>
        </w:rPr>
        <w:t>提供的服务</w:t>
      </w:r>
      <w:r>
        <w:rPr>
          <w:rFonts w:hint="eastAsia" w:ascii="仿宋" w:hAnsi="仿宋" w:eastAsia="仿宋" w:cs="仿宋"/>
          <w:color w:val="auto"/>
          <w:sz w:val="24"/>
          <w:szCs w:val="24"/>
          <w:highlight w:val="none"/>
          <w:lang w:val="en-US" w:eastAsia="zh-CN"/>
        </w:rPr>
        <w:t>符合国家技术规格和质量标准，并完全符合甲方的各项使用目的或在采购时提出的各项需要，在质量等方面与本合同规定的要求相符合，所</w:t>
      </w:r>
      <w:r>
        <w:rPr>
          <w:rFonts w:hint="eastAsia" w:cs="仿宋"/>
          <w:color w:val="auto"/>
          <w:sz w:val="24"/>
          <w:szCs w:val="24"/>
          <w:highlight w:val="none"/>
          <w:lang w:val="en-US" w:eastAsia="zh-CN"/>
        </w:rPr>
        <w:t>提供的服务</w:t>
      </w:r>
      <w:r>
        <w:rPr>
          <w:rFonts w:hint="eastAsia" w:ascii="仿宋" w:hAnsi="仿宋" w:eastAsia="仿宋" w:cs="仿宋"/>
          <w:color w:val="auto"/>
          <w:sz w:val="24"/>
          <w:szCs w:val="24"/>
          <w:highlight w:val="none"/>
          <w:lang w:val="en-US" w:eastAsia="zh-CN"/>
        </w:rPr>
        <w:t>须是合法</w:t>
      </w:r>
      <w:r>
        <w:rPr>
          <w:rFonts w:hint="eastAsia" w:cs="仿宋"/>
          <w:color w:val="auto"/>
          <w:sz w:val="24"/>
          <w:szCs w:val="24"/>
          <w:highlight w:val="none"/>
          <w:lang w:val="en-US" w:eastAsia="zh-CN"/>
        </w:rPr>
        <w:t>的</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b/>
          <w:bCs/>
          <w:color w:val="auto"/>
          <w:kern w:val="0"/>
          <w:highlight w:val="none"/>
        </w:rPr>
        <w:t>第三条：</w:t>
      </w:r>
      <w:r>
        <w:rPr>
          <w:rFonts w:hint="eastAsia" w:ascii="仿宋" w:hAnsi="仿宋" w:eastAsia="仿宋" w:cs="仿宋"/>
          <w:b/>
          <w:bCs/>
          <w:color w:val="auto"/>
          <w:sz w:val="24"/>
          <w:szCs w:val="24"/>
          <w:highlight w:val="none"/>
          <w:lang w:val="en-US" w:eastAsia="zh-CN"/>
        </w:rPr>
        <w:t>标的物交付期限、地点、方式</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交付期限：</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交付地点：</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交付方式：</w:t>
      </w:r>
      <w:r>
        <w:rPr>
          <w:rFonts w:hint="eastAsia" w:ascii="仿宋" w:hAnsi="仿宋" w:eastAsia="仿宋" w:cs="仿宋"/>
          <w:color w:val="auto"/>
          <w:sz w:val="24"/>
          <w:szCs w:val="24"/>
          <w:highlight w:val="none"/>
          <w:u w:val="single"/>
          <w:lang w:val="en-US" w:eastAsia="zh-CN"/>
        </w:rPr>
        <w:t xml:space="preserve">                                 </w:t>
      </w:r>
    </w:p>
    <w:p>
      <w:pPr>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第四条：</w:t>
      </w:r>
      <w:r>
        <w:rPr>
          <w:rFonts w:hint="eastAsia" w:ascii="仿宋" w:hAnsi="仿宋" w:eastAsia="仿宋" w:cs="仿宋"/>
          <w:b/>
          <w:bCs/>
          <w:color w:val="auto"/>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第五条：</w:t>
      </w:r>
      <w:r>
        <w:rPr>
          <w:rFonts w:hint="eastAsia" w:ascii="仿宋" w:hAnsi="仿宋" w:eastAsia="仿宋" w:cs="仿宋"/>
          <w:b/>
          <w:bCs/>
          <w:color w:val="auto"/>
          <w:sz w:val="24"/>
          <w:szCs w:val="24"/>
          <w:highlight w:val="none"/>
          <w:lang w:val="en-US" w:eastAsia="zh-CN"/>
        </w:rPr>
        <w:t>知识产权</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具有知识产权的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等标的物的知识产权归属，详见以下专用条款：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第六条：</w:t>
      </w:r>
      <w:r>
        <w:rPr>
          <w:rFonts w:hint="eastAsia" w:ascii="仿宋" w:hAnsi="仿宋" w:eastAsia="仿宋" w:cs="仿宋"/>
          <w:b/>
          <w:bCs/>
          <w:color w:val="auto"/>
          <w:sz w:val="24"/>
          <w:szCs w:val="24"/>
          <w:highlight w:val="none"/>
          <w:lang w:val="en-US" w:eastAsia="zh-CN"/>
        </w:rPr>
        <w:t>技术资料和保密义务</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b/>
          <w:bCs/>
          <w:color w:val="auto"/>
          <w:kern w:val="0"/>
          <w:highlight w:val="none"/>
        </w:rPr>
        <w:t>第</w:t>
      </w:r>
      <w:r>
        <w:rPr>
          <w:rFonts w:hint="eastAsia"/>
          <w:b/>
          <w:bCs/>
          <w:color w:val="auto"/>
          <w:kern w:val="0"/>
          <w:highlight w:val="none"/>
          <w:lang w:eastAsia="zh-CN"/>
        </w:rPr>
        <w:t>七</w:t>
      </w:r>
      <w:r>
        <w:rPr>
          <w:rFonts w:hint="eastAsia"/>
          <w:b/>
          <w:bCs/>
          <w:color w:val="auto"/>
          <w:kern w:val="0"/>
          <w:highlight w:val="none"/>
        </w:rPr>
        <w:t>条：</w:t>
      </w:r>
      <w:r>
        <w:rPr>
          <w:rFonts w:hint="eastAsia" w:ascii="仿宋" w:hAnsi="仿宋" w:eastAsia="仿宋" w:cs="仿宋"/>
          <w:b/>
          <w:bCs/>
          <w:color w:val="auto"/>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检验和验收</w:t>
      </w:r>
      <w:r>
        <w:rPr>
          <w:rFonts w:hint="eastAsia" w:ascii="仿宋" w:hAnsi="仿宋" w:eastAsia="仿宋" w:cs="仿宋"/>
          <w:color w:val="auto"/>
          <w:sz w:val="24"/>
          <w:szCs w:val="24"/>
          <w:highlight w:val="none"/>
          <w:lang w:eastAsia="zh-CN"/>
        </w:rPr>
        <w:t>的时间、方案及</w:t>
      </w:r>
      <w:r>
        <w:rPr>
          <w:rFonts w:hint="eastAsia" w:ascii="仿宋" w:hAnsi="仿宋" w:eastAsia="仿宋" w:cs="仿宋"/>
          <w:color w:val="auto"/>
          <w:sz w:val="24"/>
          <w:szCs w:val="24"/>
          <w:highlight w:val="none"/>
        </w:rPr>
        <w:t>标准、程序</w:t>
      </w:r>
      <w:r>
        <w:rPr>
          <w:rFonts w:hint="eastAsia" w:ascii="仿宋" w:hAnsi="仿宋" w:eastAsia="仿宋" w:cs="仿宋"/>
          <w:color w:val="auto"/>
          <w:sz w:val="24"/>
          <w:szCs w:val="24"/>
          <w:highlight w:val="none"/>
          <w:lang w:eastAsia="zh-CN"/>
        </w:rPr>
        <w:t>、费用</w:t>
      </w:r>
      <w:r>
        <w:rPr>
          <w:rFonts w:hint="eastAsia" w:ascii="仿宋" w:hAnsi="仿宋" w:eastAsia="仿宋" w:cs="仿宋"/>
          <w:color w:val="auto"/>
          <w:sz w:val="24"/>
          <w:szCs w:val="24"/>
          <w:highlight w:val="none"/>
        </w:rPr>
        <w:t>等具体内容以及前述</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的效力</w:t>
      </w:r>
      <w:r>
        <w:rPr>
          <w:rFonts w:hint="eastAsia" w:ascii="仿宋" w:hAnsi="仿宋" w:eastAsia="仿宋" w:cs="仿宋"/>
          <w:color w:val="auto"/>
          <w:sz w:val="24"/>
          <w:szCs w:val="24"/>
          <w:highlight w:val="none"/>
          <w:lang w:eastAsia="zh-CN"/>
        </w:rPr>
        <w:t>如下：</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八</w:t>
      </w:r>
      <w:r>
        <w:rPr>
          <w:rFonts w:hint="eastAsia"/>
          <w:b/>
          <w:bCs/>
          <w:color w:val="auto"/>
          <w:kern w:val="0"/>
          <w:highlight w:val="none"/>
        </w:rPr>
        <w:t>条：</w:t>
      </w:r>
      <w:r>
        <w:rPr>
          <w:rFonts w:hint="eastAsia"/>
          <w:b/>
          <w:bCs/>
          <w:color w:val="auto"/>
          <w:kern w:val="0"/>
          <w:highlight w:val="none"/>
          <w:lang w:val="en-US" w:eastAsia="zh-CN"/>
        </w:rPr>
        <w:t>合同</w:t>
      </w:r>
      <w:r>
        <w:rPr>
          <w:rFonts w:hint="eastAsia"/>
          <w:b/>
          <w:bCs/>
          <w:color w:val="auto"/>
          <w:kern w:val="0"/>
          <w:highlight w:val="none"/>
        </w:rPr>
        <w:t>款的支付</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kern w:val="0"/>
          <w:highlight w:val="none"/>
          <w:lang w:val="en-US" w:eastAsia="zh-CN"/>
        </w:rPr>
        <w:t>1.</w:t>
      </w:r>
      <w:r>
        <w:rPr>
          <w:rFonts w:hint="eastAsia"/>
          <w:color w:val="auto"/>
          <w:kern w:val="0"/>
          <w:highlight w:val="none"/>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pPr>
        <w:pageBreakBefore w:val="0"/>
        <w:kinsoku/>
        <w:wordWrap w:val="0"/>
        <w:topLinePunct/>
        <w:bidi w:val="0"/>
        <w:adjustRightInd w:val="0"/>
        <w:spacing w:beforeAutospacing="0" w:afterAutospacing="0" w:line="440" w:lineRule="exact"/>
        <w:ind w:firstLine="480" w:firstLineChars="200"/>
        <w:rPr>
          <w:rFonts w:hint="default" w:eastAsia="仿宋"/>
          <w:color w:val="auto"/>
          <w:kern w:val="0"/>
          <w:highlight w:val="none"/>
          <w:lang w:val="en-US" w:eastAsia="zh-CN"/>
        </w:rPr>
      </w:pPr>
      <w:r>
        <w:rPr>
          <w:rFonts w:hint="eastAsia"/>
          <w:color w:val="auto"/>
          <w:kern w:val="0"/>
          <w:highlight w:val="none"/>
          <w:lang w:val="en-US" w:eastAsia="zh-CN"/>
        </w:rPr>
        <w:t>2.乙方信息</w:t>
      </w:r>
    </w:p>
    <w:p>
      <w:pPr>
        <w:pageBreakBefore w:val="0"/>
        <w:kinsoku/>
        <w:wordWrap w:val="0"/>
        <w:topLinePunct/>
        <w:bidi w:val="0"/>
        <w:adjustRightInd w:val="0"/>
        <w:spacing w:beforeAutospacing="0" w:afterAutospacing="0" w:line="440" w:lineRule="exact"/>
        <w:ind w:firstLine="480" w:firstLineChars="200"/>
        <w:rPr>
          <w:color w:val="auto"/>
          <w:kern w:val="0"/>
          <w:highlight w:val="none"/>
        </w:rPr>
      </w:pPr>
      <w:r>
        <w:rPr>
          <w:rFonts w:hint="eastAsia"/>
          <w:color w:val="auto"/>
          <w:kern w:val="0"/>
          <w:highlight w:val="none"/>
        </w:rPr>
        <w:t>乙方开户行名称：_________________</w:t>
      </w:r>
    </w:p>
    <w:p>
      <w:pPr>
        <w:pageBreakBefore w:val="0"/>
        <w:kinsoku/>
        <w:wordWrap w:val="0"/>
        <w:topLinePunct/>
        <w:bidi w:val="0"/>
        <w:adjustRightInd w:val="0"/>
        <w:spacing w:beforeAutospacing="0" w:afterAutospacing="0" w:line="440" w:lineRule="exact"/>
        <w:ind w:firstLine="480" w:firstLineChars="200"/>
        <w:rPr>
          <w:rFonts w:hint="eastAsia"/>
          <w:color w:val="auto"/>
          <w:kern w:val="0"/>
          <w:highlight w:val="none"/>
        </w:rPr>
      </w:pPr>
      <w:r>
        <w:rPr>
          <w:rFonts w:hint="eastAsia"/>
          <w:color w:val="auto"/>
          <w:kern w:val="0"/>
          <w:highlight w:val="none"/>
        </w:rPr>
        <w:t>开户行账号：_____________________</w:t>
      </w:r>
    </w:p>
    <w:p>
      <w:pPr>
        <w:pageBreakBefore w:val="0"/>
        <w:numPr>
          <w:ilvl w:val="0"/>
          <w:numId w:val="14"/>
        </w:numPr>
        <w:kinsoku/>
        <w:wordWrap w:val="0"/>
        <w:topLinePunct/>
        <w:bidi w:val="0"/>
        <w:adjustRightInd w:val="0"/>
        <w:spacing w:beforeAutospacing="0" w:afterAutospacing="0" w:line="440" w:lineRule="exact"/>
        <w:ind w:left="0" w:leftChars="0" w:firstLine="480" w:firstLineChars="200"/>
        <w:rPr>
          <w:rFonts w:hint="eastAsia" w:ascii="仿宋" w:hAnsi="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val="en-US" w:eastAsia="zh-CN"/>
        </w:rPr>
        <w:t>（特别说明：</w:t>
      </w:r>
      <w:r>
        <w:rPr>
          <w:rFonts w:hint="eastAsia" w:ascii="仿宋" w:hAnsi="仿宋" w:eastAsia="仿宋" w:cs="仿宋"/>
          <w:color w:val="auto"/>
          <w:sz w:val="24"/>
          <w:szCs w:val="24"/>
          <w:highlight w:val="none"/>
          <w:lang w:val="en-US" w:eastAsia="zh-CN"/>
        </w:rPr>
        <w:t>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r>
        <w:rPr>
          <w:rFonts w:hint="eastAsia" w:ascii="仿宋" w:hAnsi="仿宋" w:cs="仿宋"/>
          <w:color w:val="auto"/>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尾款：本项目合同金额的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元。支付方式：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付款阶段</w:t>
            </w:r>
          </w:p>
        </w:tc>
        <w:tc>
          <w:tcPr>
            <w:tcW w:w="3827"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付款额度</w:t>
            </w:r>
          </w:p>
        </w:tc>
        <w:tc>
          <w:tcPr>
            <w:tcW w:w="3402" w:type="dxa"/>
            <w:vAlign w:val="center"/>
          </w:tcPr>
          <w:p>
            <w:pPr>
              <w:pageBreakBefore w:val="0"/>
              <w:kinsoku/>
              <w:wordWrap w:val="0"/>
              <w:topLinePunct/>
              <w:bidi w:val="0"/>
              <w:spacing w:beforeAutospacing="0" w:afterAutospacing="0" w:line="440" w:lineRule="exact"/>
              <w:jc w:val="center"/>
              <w:rPr>
                <w:b/>
                <w:color w:val="auto"/>
                <w:highlight w:val="none"/>
              </w:rPr>
            </w:pPr>
            <w:r>
              <w:rPr>
                <w:rFonts w:hint="eastAsia"/>
                <w:b/>
                <w:color w:val="auto"/>
                <w:highlight w:val="none"/>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预付款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二期款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lang w:val="en-US" w:eastAsia="zh-CN"/>
              </w:rPr>
              <w:t>收到发票后5</w:t>
            </w:r>
            <w:r>
              <w:rPr>
                <w:rFonts w:hint="eastAsia"/>
                <w:color w:val="auto"/>
                <w:highlight w:val="none"/>
              </w:rPr>
              <w:t>个工作日内，</w:t>
            </w:r>
          </w:p>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三期款</w:t>
            </w: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合同金额的____%,即____元。</w:t>
            </w:r>
          </w:p>
        </w:tc>
        <w:tc>
          <w:tcPr>
            <w:tcW w:w="3402" w:type="dxa"/>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lang w:val="en-US" w:eastAsia="zh-CN"/>
              </w:rPr>
              <w:t>收到发票后5</w:t>
            </w:r>
            <w:r>
              <w:rPr>
                <w:rFonts w:hint="eastAsia"/>
                <w:color w:val="auto"/>
                <w:highlight w:val="none"/>
              </w:rPr>
              <w:t>个工作日内，</w:t>
            </w:r>
          </w:p>
          <w:p>
            <w:pPr>
              <w:pageBreakBefore w:val="0"/>
              <w:kinsoku/>
              <w:wordWrap w:val="0"/>
              <w:topLinePunct/>
              <w:bidi w:val="0"/>
              <w:spacing w:beforeAutospacing="0" w:afterAutospacing="0" w:line="440" w:lineRule="exact"/>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color w:val="auto"/>
                <w:highlight w:val="none"/>
              </w:rPr>
            </w:pPr>
          </w:p>
        </w:tc>
        <w:tc>
          <w:tcPr>
            <w:tcW w:w="3827" w:type="dxa"/>
            <w:vAlign w:val="center"/>
          </w:tcPr>
          <w:p>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w:t>
            </w:r>
          </w:p>
        </w:tc>
        <w:tc>
          <w:tcPr>
            <w:tcW w:w="3402" w:type="dxa"/>
            <w:vAlign w:val="center"/>
          </w:tcPr>
          <w:p>
            <w:pPr>
              <w:pageBreakBefore w:val="0"/>
              <w:kinsoku/>
              <w:wordWrap w:val="0"/>
              <w:topLinePunct/>
              <w:bidi w:val="0"/>
              <w:spacing w:beforeAutospacing="0" w:afterAutospacing="0" w:line="440" w:lineRule="exact"/>
              <w:rPr>
                <w:color w:val="auto"/>
                <w:highlight w:val="none"/>
              </w:rPr>
            </w:pPr>
          </w:p>
        </w:tc>
      </w:tr>
    </w:tbl>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（特别说明：采购人应积极履行合同，及时组织验收，验收合格后应及时将合同款支付完毕</w:t>
      </w:r>
      <w:r>
        <w:rPr>
          <w:rFonts w:hint="eastAsia" w:ascii="仿宋" w:hAnsi="仿宋" w:eastAsia="仿宋" w:cs="仿宋"/>
          <w:color w:val="auto"/>
          <w:sz w:val="24"/>
          <w:szCs w:val="24"/>
          <w:highlight w:val="none"/>
          <w:lang w:val="en-US" w:eastAsia="zh-CN"/>
        </w:rPr>
        <w:t>，不得以政府部门审计作为支付供应商款项的条件。采购项目实施以人工投</w:t>
      </w:r>
      <w:r>
        <w:rPr>
          <w:rFonts w:hint="eastAsia" w:ascii="仿宋" w:hAnsi="仿宋" w:eastAsia="仿宋" w:cs="仿宋"/>
          <w:color w:val="auto"/>
          <w:sz w:val="24"/>
          <w:szCs w:val="24"/>
          <w:highlight w:val="none"/>
          <w:lang w:val="en-US" w:eastAsia="zh-CN"/>
        </w:rPr>
        <w:t>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w:t>
      </w:r>
      <w:r>
        <w:rPr>
          <w:rFonts w:hint="eastAsia" w:ascii="仿宋" w:hAnsi="仿宋" w:eastAsia="仿宋" w:cs="仿宋"/>
          <w:color w:val="auto"/>
          <w:sz w:val="24"/>
          <w:szCs w:val="24"/>
          <w:highlight w:val="none"/>
          <w:lang w:val="en-US" w:eastAsia="zh-CN"/>
        </w:rPr>
        <w:t>延迟付款。）</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九</w:t>
      </w:r>
      <w:r>
        <w:rPr>
          <w:rFonts w:hint="eastAsia"/>
          <w:b/>
          <w:bCs/>
          <w:color w:val="auto"/>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乙方需</w:t>
      </w:r>
      <w:r>
        <w:rPr>
          <w:rFonts w:hint="eastAsia" w:ascii="仿宋" w:hAnsi="仿宋" w:eastAsia="仿宋" w:cs="仿宋"/>
          <w:color w:val="auto"/>
          <w:sz w:val="24"/>
          <w:szCs w:val="24"/>
          <w:highlight w:val="none"/>
        </w:rPr>
        <w:t>提交合同价</w:t>
      </w:r>
      <w:r>
        <w:rPr>
          <w:rFonts w:hint="eastAsia" w:cs="仿宋"/>
          <w:color w:val="auto"/>
          <w:sz w:val="24"/>
          <w:szCs w:val="24"/>
          <w:highlight w:val="none"/>
          <w:u w:val="single"/>
          <w:lang w:val="en-US" w:eastAsia="zh-CN"/>
        </w:rPr>
        <w:t>1</w:t>
      </w:r>
      <w:r>
        <w:rPr>
          <w:rFonts w:hint="eastAsia" w:ascii="仿宋" w:hAnsi="仿宋" w:eastAsia="仿宋" w:cs="仿宋"/>
          <w:color w:val="auto"/>
          <w:sz w:val="24"/>
          <w:szCs w:val="24"/>
          <w:highlight w:val="none"/>
        </w:rPr>
        <w:t>%的履约保证金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应在合同签订后</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zh-CN"/>
        </w:rPr>
        <w:t>个工作日内</w:t>
      </w:r>
      <w:r>
        <w:rPr>
          <w:rFonts w:hint="eastAsia" w:ascii="仿宋" w:hAnsi="仿宋" w:eastAsia="仿宋" w:cs="仿宋"/>
          <w:color w:val="auto"/>
          <w:sz w:val="24"/>
          <w:szCs w:val="24"/>
          <w:highlight w:val="none"/>
        </w:rPr>
        <w:t>，以支票、汇票、本票或者金融机构、担保机构出具的保函等非现金形式</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u w:val="none"/>
        </w:rPr>
        <w:t>鼓励和支持供应商以银行、保险公司出具的保函形式提供履约保证金。</w:t>
      </w:r>
      <w:r>
        <w:rPr>
          <w:rFonts w:hint="eastAsia" w:ascii="仿宋" w:hAnsi="仿宋" w:eastAsia="仿宋" w:cs="仿宋"/>
          <w:color w:val="auto"/>
          <w:sz w:val="24"/>
          <w:szCs w:val="24"/>
          <w:highlight w:val="none"/>
          <w:lang w:eastAsia="zh-CN"/>
        </w:rPr>
        <w:t>采</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可根据杭州市政府采购网公布的供应商履约评价情况减免履约保证金。</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color w:val="auto"/>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个工作日内退还乙方履约保证金。甲方无故逾期退还的，按照每逾期一日支付履约保证金5‰的额度承担违约责任。</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第十条：</w:t>
      </w:r>
      <w:r>
        <w:rPr>
          <w:rFonts w:hint="eastAsia" w:ascii="仿宋" w:hAnsi="仿宋" w:eastAsia="仿宋" w:cs="仿宋"/>
          <w:b/>
          <w:bCs/>
          <w:color w:val="auto"/>
          <w:sz w:val="24"/>
          <w:szCs w:val="24"/>
          <w:highlight w:val="none"/>
          <w:lang w:val="en-US" w:eastAsia="zh-CN"/>
        </w:rPr>
        <w:t>售后服务</w:t>
      </w:r>
    </w:p>
    <w:p>
      <w:pPr>
        <w:pStyle w:val="477"/>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val="en-US" w:eastAsia="zh-CN"/>
        </w:rPr>
        <w:t>根据投标文件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售后服务承诺：</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本合同项下货物的</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为最终验收合格之日起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内应对提供的所有货物进行常规检查、调整等。</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乙方负责对甲方人员的全免（含交通食宿）集中技术培训（≥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人），及不少于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年的免费售后现场技术服务。</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满后，乙方仍提供维护服务，收取成本费。</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内或在应当由乙方负责的其他情况下，若由于乙方原因而造成货物不得不停止使用的情形，货物</w:t>
      </w:r>
      <w:r>
        <w:rPr>
          <w:rFonts w:hint="eastAsia" w:ascii="仿宋" w:hAnsi="仿宋" w:eastAsia="仿宋" w:cs="仿宋"/>
          <w:color w:val="auto"/>
          <w:sz w:val="24"/>
          <w:szCs w:val="24"/>
          <w:highlight w:val="none"/>
          <w:lang w:eastAsia="zh-CN"/>
        </w:rPr>
        <w:t>售后服务期及质保期</w:t>
      </w:r>
      <w:r>
        <w:rPr>
          <w:rFonts w:hint="eastAsia" w:ascii="仿宋" w:hAnsi="仿宋" w:eastAsia="仿宋" w:cs="仿宋"/>
          <w:color w:val="auto"/>
          <w:sz w:val="24"/>
          <w:szCs w:val="24"/>
          <w:highlight w:val="none"/>
        </w:rPr>
        <w:t>应依照停止使用的实际时间加以延长，由此给甲方造成的损失由乙方承担。</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小时内赶赴现场处理问题。一般故障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小时内解决，重大故障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w:t>
      </w:r>
    </w:p>
    <w:p>
      <w:pPr>
        <w:pStyle w:val="477"/>
        <w:keepNext w:val="0"/>
        <w:keepLines w:val="0"/>
        <w:pageBreakBefore w:val="0"/>
        <w:widowControl w:val="0"/>
        <w:numPr>
          <w:ilvl w:val="0"/>
          <w:numId w:val="15"/>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如投标文件中承诺优于本条规定或其他本条未涉及的承诺，按投标文件中承诺执行。</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十一</w:t>
      </w:r>
      <w:r>
        <w:rPr>
          <w:rFonts w:hint="eastAsia"/>
          <w:b/>
          <w:bCs/>
          <w:color w:val="auto"/>
          <w:kern w:val="0"/>
          <w:highlight w:val="none"/>
        </w:rPr>
        <w:t>条：违约责任</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十二</w:t>
      </w:r>
      <w:r>
        <w:rPr>
          <w:rFonts w:hint="eastAsia"/>
          <w:b/>
          <w:bCs/>
          <w:color w:val="auto"/>
          <w:highlight w:val="none"/>
        </w:rPr>
        <w:t>条：不可抗力事件处理</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第十三条：</w:t>
      </w:r>
      <w:r>
        <w:rPr>
          <w:rFonts w:hint="eastAsia" w:ascii="仿宋" w:hAnsi="仿宋" w:eastAsia="仿宋" w:cs="仿宋"/>
          <w:b/>
          <w:bCs/>
          <w:color w:val="auto"/>
          <w:sz w:val="24"/>
          <w:szCs w:val="24"/>
          <w:highlight w:val="none"/>
          <w:lang w:val="en-US" w:eastAsia="zh-CN"/>
        </w:rPr>
        <w:t>合同的变更、中止和终止</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双方当事人不得擅自中止或者终止合同；</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中止或者终止合同。有过错的一方应当承担赔偿责任，双方当事人都有过错的，各自承担相应的责任。</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color w:val="auto"/>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若乙方因破产或经营不善导致合同不能</w:t>
      </w:r>
      <w:r>
        <w:rPr>
          <w:rFonts w:hint="eastAsia" w:ascii="仿宋" w:hAnsi="仿宋" w:eastAsia="仿宋" w:cs="仿宋"/>
          <w:color w:val="auto"/>
          <w:sz w:val="24"/>
          <w:szCs w:val="24"/>
          <w:highlight w:val="none"/>
          <w:lang w:val="en-US" w:eastAsia="zh-CN"/>
        </w:rPr>
        <w:t>继续</w:t>
      </w:r>
      <w:r>
        <w:rPr>
          <w:rFonts w:hint="eastAsia" w:ascii="仿宋" w:hAnsi="仿宋" w:eastAsia="仿宋" w:cs="仿宋"/>
          <w:color w:val="auto"/>
          <w:sz w:val="24"/>
          <w:szCs w:val="24"/>
          <w:highlight w:val="none"/>
        </w:rPr>
        <w:t>履行，乙方应书面通知甲方终止合同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在甲方知情而未收到乙方终止合同书面通知时，甲方可在任何时候书面通知乙方终止合同。</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十四</w:t>
      </w:r>
      <w:r>
        <w:rPr>
          <w:rFonts w:hint="eastAsia"/>
          <w:b/>
          <w:bCs/>
          <w:color w:val="auto"/>
          <w:highlight w:val="none"/>
        </w:rPr>
        <w:t>条：争议的解决</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本合同为政府采购之合同，在发生</w:t>
      </w:r>
      <w:r>
        <w:rPr>
          <w:rFonts w:hint="eastAsia"/>
          <w:bCs/>
          <w:color w:val="auto"/>
          <w:highlight w:val="none"/>
          <w:lang w:eastAsia="zh-CN"/>
        </w:rPr>
        <w:t>产品</w:t>
      </w:r>
      <w:r>
        <w:rPr>
          <w:rFonts w:hint="eastAsia"/>
          <w:bCs/>
          <w:color w:val="auto"/>
          <w:highlight w:val="none"/>
          <w:lang w:val="en-US" w:eastAsia="zh-CN"/>
        </w:rPr>
        <w:t>/</w:t>
      </w:r>
      <w:r>
        <w:rPr>
          <w:rFonts w:hint="eastAsia"/>
          <w:bCs/>
          <w:color w:val="auto"/>
          <w:highlight w:val="none"/>
        </w:rPr>
        <w:t>服务</w:t>
      </w:r>
      <w:r>
        <w:rPr>
          <w:rFonts w:hint="eastAsia"/>
          <w:bCs/>
          <w:color w:val="auto"/>
          <w:highlight w:val="none"/>
          <w:lang w:val="en-US" w:eastAsia="zh-CN"/>
        </w:rPr>
        <w:t>质量</w:t>
      </w:r>
      <w:r>
        <w:rPr>
          <w:rFonts w:hint="eastAsia"/>
          <w:bCs/>
          <w:color w:val="auto"/>
          <w:highlight w:val="none"/>
        </w:rPr>
        <w:t>问题时，甲</w:t>
      </w:r>
      <w:r>
        <w:rPr>
          <w:rFonts w:hint="eastAsia"/>
          <w:bCs/>
          <w:color w:val="auto"/>
          <w:highlight w:val="none"/>
        </w:rPr>
        <w:t>方有权直接向</w:t>
      </w:r>
      <w:r>
        <w:rPr>
          <w:rFonts w:hint="eastAsia"/>
          <w:bCs/>
          <w:color w:val="auto"/>
          <w:highlight w:val="none"/>
          <w:lang w:eastAsia="zh-CN"/>
        </w:rPr>
        <w:t>乙</w:t>
      </w:r>
      <w:r>
        <w:rPr>
          <w:rFonts w:hint="eastAsia"/>
          <w:bCs/>
          <w:color w:val="auto"/>
          <w:highlight w:val="none"/>
        </w:rPr>
        <w:t>方索赔，签订必要的书面处理协议。如协商不成，任何一方有权在合同签约地选择</w:t>
      </w:r>
      <w:r>
        <w:rPr>
          <w:rFonts w:hint="eastAsia"/>
          <w:bCs/>
          <w:color w:val="auto"/>
          <w:highlight w:val="none"/>
        </w:rPr>
        <w:t>仲裁或诉讼的途径解决。</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color w:val="auto"/>
          <w:kern w:val="0"/>
          <w:highlight w:val="none"/>
        </w:rPr>
      </w:pPr>
      <w:r>
        <w:rPr>
          <w:rFonts w:hint="eastAsia"/>
          <w:b/>
          <w:bCs/>
          <w:color w:val="auto"/>
          <w:highlight w:val="none"/>
        </w:rPr>
        <w:t>第十</w:t>
      </w:r>
      <w:r>
        <w:rPr>
          <w:rFonts w:hint="eastAsia"/>
          <w:b/>
          <w:bCs/>
          <w:color w:val="auto"/>
          <w:highlight w:val="none"/>
          <w:lang w:eastAsia="zh-CN"/>
        </w:rPr>
        <w:t>五</w:t>
      </w:r>
      <w:r>
        <w:rPr>
          <w:rFonts w:hint="eastAsia"/>
          <w:b/>
          <w:bCs/>
          <w:color w:val="auto"/>
          <w:highlight w:val="none"/>
        </w:rPr>
        <w:t>条：</w:t>
      </w:r>
      <w:r>
        <w:rPr>
          <w:rFonts w:hint="eastAsia"/>
          <w:b/>
          <w:color w:val="auto"/>
          <w:kern w:val="0"/>
          <w:highlight w:val="none"/>
        </w:rPr>
        <w:t>合同的生效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color w:val="auto"/>
          <w:highlight w:val="none"/>
        </w:rPr>
        <w:t>本合同经甲方、乙方法定代表人或其委托人签字并加盖</w:t>
      </w:r>
      <w:r>
        <w:rPr>
          <w:rFonts w:hint="eastAsia"/>
          <w:bCs/>
          <w:color w:val="auto"/>
          <w:highlight w:val="none"/>
          <w:lang w:eastAsia="zh-CN"/>
        </w:rPr>
        <w:t>双</w:t>
      </w:r>
      <w:r>
        <w:rPr>
          <w:rFonts w:hint="eastAsia"/>
          <w:bCs/>
          <w:color w:val="auto"/>
          <w:highlight w:val="none"/>
        </w:rPr>
        <w:t>方公章后生效。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color w:val="auto"/>
          <w:kern w:val="0"/>
          <w:highlight w:val="none"/>
        </w:rPr>
      </w:pPr>
      <w:r>
        <w:rPr>
          <w:rFonts w:hint="eastAsia" w:cs="仿宋_GB2312"/>
          <w:color w:val="auto"/>
          <w:kern w:val="0"/>
          <w:highlight w:val="none"/>
        </w:rPr>
        <w:t>本合同壹式</w:t>
      </w:r>
      <w:r>
        <w:rPr>
          <w:rFonts w:hint="eastAsia" w:cs="仿宋_GB2312"/>
          <w:color w:val="auto"/>
          <w:kern w:val="0"/>
          <w:highlight w:val="none"/>
          <w:lang w:eastAsia="zh-CN"/>
        </w:rPr>
        <w:t>肆</w:t>
      </w:r>
      <w:r>
        <w:rPr>
          <w:rFonts w:hint="eastAsia" w:cs="仿宋_GB2312"/>
          <w:color w:val="auto"/>
          <w:kern w:val="0"/>
          <w:highlight w:val="none"/>
        </w:rPr>
        <w:t>份，甲乙双方各执贰份。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第十六条：</w:t>
      </w:r>
      <w:r>
        <w:rPr>
          <w:rFonts w:hint="eastAsia" w:ascii="仿宋" w:hAnsi="仿宋" w:eastAsia="仿宋" w:cs="仿宋"/>
          <w:b/>
          <w:bCs/>
          <w:color w:val="auto"/>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第十七条：</w:t>
      </w:r>
      <w:r>
        <w:rPr>
          <w:rFonts w:hint="eastAsia" w:ascii="仿宋" w:hAnsi="仿宋" w:eastAsia="仿宋" w:cs="仿宋"/>
          <w:b/>
          <w:bCs/>
          <w:color w:val="auto"/>
          <w:sz w:val="24"/>
          <w:szCs w:val="24"/>
          <w:highlight w:val="none"/>
          <w:lang w:val="en-US" w:eastAsia="zh-CN"/>
        </w:rPr>
        <w:t>特别说明</w:t>
      </w:r>
    </w:p>
    <w:p>
      <w:pPr>
        <w:keepNext w:val="0"/>
        <w:keepLines w:val="0"/>
        <w:pageBreakBefore w:val="0"/>
        <w:widowControl w:val="0"/>
        <w:numPr>
          <w:ilvl w:val="0"/>
          <w:numId w:val="1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第十八条：</w:t>
      </w:r>
      <w:r>
        <w:rPr>
          <w:rFonts w:hint="eastAsia" w:ascii="仿宋" w:hAnsi="仿宋" w:eastAsia="仿宋" w:cs="仿宋"/>
          <w:b/>
          <w:bCs/>
          <w:color w:val="auto"/>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本合同（□是  □否）为可融资合同，关于中小企业信用融资事项可登陆</w:t>
      </w:r>
      <w:r>
        <w:rPr>
          <w:rFonts w:hint="eastAsia" w:ascii="仿宋" w:hAnsi="仿宋" w:eastAsia="仿宋" w:cs="仿宋"/>
          <w:color w:val="auto"/>
          <w:sz w:val="24"/>
          <w:szCs w:val="24"/>
          <w:highlight w:val="none"/>
          <w:lang w:val="en-US" w:eastAsia="zh-CN"/>
        </w:rPr>
        <w:t>《富阳区“政采贷”办理指引》https://mp.weixin.qq.com/s/6tyZ8daXvRqkU-EEVarAlQ</w:t>
      </w:r>
      <w:r>
        <w:rPr>
          <w:rFonts w:hint="eastAsia" w:ascii="仿宋" w:hAnsi="仿宋" w:eastAsia="仿宋" w:cs="仿宋"/>
          <w:color w:val="auto"/>
          <w:sz w:val="24"/>
          <w:szCs w:val="24"/>
          <w:highlight w:val="none"/>
          <w:lang w:val="zh-CN"/>
        </w:rPr>
        <w:t>进行查询。</w:t>
      </w:r>
    </w:p>
    <w:p>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color w:val="auto"/>
          <w:highlight w:val="none"/>
          <w:lang w:val="en-US" w:eastAsia="zh-CN"/>
        </w:rPr>
      </w:pPr>
      <w:r>
        <w:rPr>
          <w:rFonts w:hint="eastAsia" w:ascii="仿宋" w:hAnsi="仿宋" w:eastAsia="仿宋" w:cs="仿宋"/>
          <w:color w:val="auto"/>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         法定代表人或受委托人（签字</w:t>
      </w:r>
      <w:r>
        <w:rPr>
          <w:rFonts w:hint="eastAsia" w:cs="仿宋_GB2312"/>
          <w:color w:val="auto"/>
          <w:kern w:val="0"/>
          <w:highlight w:val="none"/>
          <w:lang w:val="en-US" w:eastAsia="zh-CN"/>
        </w:rPr>
        <w:t>或盖章</w:t>
      </w:r>
      <w:r>
        <w:rPr>
          <w:rFonts w:hint="eastAsia" w:cs="仿宋_GB2312"/>
          <w:color w:val="auto"/>
          <w:kern w:val="0"/>
          <w:highlight w:val="none"/>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color w:val="auto"/>
          <w:kern w:val="0"/>
          <w:highlight w:val="none"/>
        </w:rPr>
      </w:pPr>
      <w:r>
        <w:rPr>
          <w:rFonts w:hint="eastAsia" w:cs="仿宋_GB2312"/>
          <w:color w:val="auto"/>
          <w:kern w:val="0"/>
          <w:highlight w:val="none"/>
        </w:rPr>
        <w:t>电话：                               电话：</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color w:val="auto"/>
          <w:kern w:val="0"/>
          <w:highlight w:val="none"/>
        </w:rPr>
      </w:pPr>
      <w:r>
        <w:rPr>
          <w:rFonts w:cs="仿宋_GB2312"/>
          <w:color w:val="auto"/>
          <w:kern w:val="0"/>
          <w:highlight w:val="none"/>
        </w:rPr>
        <w:t xml:space="preserve">                                 </w:t>
      </w:r>
      <w:r>
        <w:rPr>
          <w:rFonts w:hint="eastAsia" w:cs="仿宋_GB2312"/>
          <w:color w:val="auto"/>
          <w:kern w:val="0"/>
          <w:highlight w:val="none"/>
        </w:rPr>
        <w:t xml:space="preserve"> 　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5"/>
        <w:pageBreakBefore w:val="0"/>
        <w:kinsoku/>
        <w:bidi w:val="0"/>
        <w:spacing w:beforeAutospacing="0" w:afterAutospacing="0" w:line="440" w:lineRule="exact"/>
        <w:rPr>
          <w:rFonts w:hint="eastAsia"/>
          <w:color w:val="auto"/>
          <w:highlight w:val="none"/>
        </w:rPr>
      </w:pPr>
    </w:p>
    <w:p>
      <w:pPr>
        <w:pStyle w:val="5"/>
        <w:pageBreakBefore w:val="0"/>
        <w:kinsoku/>
        <w:bidi w:val="0"/>
        <w:spacing w:beforeAutospacing="0" w:afterAutospacing="0" w:line="440" w:lineRule="exact"/>
        <w:rPr>
          <w:rFonts w:hint="eastAsia"/>
          <w:color w:val="auto"/>
          <w:highlight w:val="none"/>
        </w:rPr>
      </w:pPr>
    </w:p>
    <w:p>
      <w:pPr>
        <w:pStyle w:val="5"/>
        <w:pageBreakBefore w:val="0"/>
        <w:kinsoku/>
        <w:bidi w:val="0"/>
        <w:spacing w:beforeAutospacing="0" w:afterAutospacing="0" w:line="440" w:lineRule="exact"/>
        <w:rPr>
          <w:rFonts w:hint="eastAsia"/>
          <w:color w:val="auto"/>
          <w:highlight w:val="none"/>
        </w:rPr>
      </w:pPr>
    </w:p>
    <w:p>
      <w:pPr>
        <w:pStyle w:val="5"/>
        <w:pageBreakBefore w:val="0"/>
        <w:kinsoku/>
        <w:bidi w:val="0"/>
        <w:spacing w:beforeAutospacing="0" w:afterAutospacing="0" w:line="440" w:lineRule="exact"/>
        <w:rPr>
          <w:rFonts w:hint="eastAsia"/>
          <w:color w:val="auto"/>
          <w:highlight w:val="none"/>
        </w:rPr>
      </w:pPr>
    </w:p>
    <w:p>
      <w:pPr>
        <w:pStyle w:val="5"/>
        <w:pageBreakBefore w:val="0"/>
        <w:kinsoku/>
        <w:bidi w:val="0"/>
        <w:spacing w:beforeAutospacing="0" w:afterAutospacing="0" w:line="440" w:lineRule="exact"/>
        <w:rPr>
          <w:color w:val="auto"/>
          <w:highlight w:val="none"/>
        </w:rPr>
      </w:pPr>
      <w:r>
        <w:rPr>
          <w:rFonts w:hint="eastAsia"/>
          <w:color w:val="auto"/>
          <w:highlight w:val="none"/>
        </w:rPr>
        <w:t>第六章 投标文件格式附件</w:t>
      </w:r>
      <w:bookmarkEnd w:id="6"/>
    </w:p>
    <w:p>
      <w:pPr>
        <w:pageBreakBefore w:val="0"/>
        <w:widowControl/>
        <w:kinsoku/>
        <w:wordWrap w:val="0"/>
        <w:topLinePunct/>
        <w:bidi w:val="0"/>
        <w:snapToGrid w:val="0"/>
        <w:spacing w:beforeAutospacing="0" w:afterAutospacing="0" w:line="440" w:lineRule="exact"/>
        <w:rPr>
          <w:b/>
          <w:color w:val="auto"/>
          <w:kern w:val="0"/>
          <w:sz w:val="28"/>
          <w:highlight w:val="none"/>
        </w:rPr>
      </w:pP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投标人提交投标文件须知：</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（二）所附表格中要求回答的全部问题、信息都必须正面回答。</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（三）投标函的签字人应保证全部声明和问题的回答是真实的和准确的。</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（四）评标委员会将应用投标人提交的资料作出自己的判断。</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（五）投标人提交的材料将在一定期限内被保密保存，但不退还。</w:t>
      </w:r>
    </w:p>
    <w:p>
      <w:pPr>
        <w:pageBreakBefore w:val="0"/>
        <w:kinsoku/>
        <w:wordWrap w:val="0"/>
        <w:topLinePunct/>
        <w:bidi w:val="0"/>
        <w:spacing w:beforeAutospacing="0" w:afterAutospacing="0" w:line="440" w:lineRule="exact"/>
        <w:ind w:firstLine="480" w:firstLineChars="200"/>
        <w:rPr>
          <w:b w:val="0"/>
          <w:bCs w:val="0"/>
          <w:color w:val="auto"/>
          <w:highlight w:val="none"/>
        </w:rPr>
      </w:pPr>
      <w:r>
        <w:rPr>
          <w:rFonts w:hint="eastAsia"/>
          <w:color w:val="auto"/>
          <w:highlight w:val="none"/>
        </w:rPr>
        <w:t>（六）</w:t>
      </w:r>
      <w:r>
        <w:rPr>
          <w:rFonts w:hint="eastAsia" w:ascii="仿宋" w:hAnsi="仿宋" w:cs="仿宋"/>
          <w:color w:val="auto"/>
          <w:highlight w:val="none"/>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color w:val="auto"/>
          <w:highlight w:val="none"/>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pPr>
        <w:pageBreakBefore w:val="0"/>
        <w:kinsoku/>
        <w:bidi w:val="0"/>
        <w:spacing w:beforeAutospacing="0" w:afterAutospacing="0" w:line="440" w:lineRule="exact"/>
        <w:rPr>
          <w:b w:val="0"/>
          <w:bCs w:val="0"/>
          <w:color w:val="auto"/>
          <w:sz w:val="36"/>
          <w:szCs w:val="36"/>
          <w:highlight w:val="none"/>
        </w:rPr>
      </w:pPr>
      <w:r>
        <w:rPr>
          <w:b w:val="0"/>
          <w:bCs w:val="0"/>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pPr>
        <w:pageBreakBefore w:val="0"/>
        <w:kinsoku/>
        <w:bidi w:val="0"/>
        <w:spacing w:beforeAutospacing="0" w:afterAutospacing="0" w:line="440" w:lineRule="exact"/>
        <w:jc w:val="left"/>
        <w:rPr>
          <w:color w:val="auto"/>
          <w:highlight w:val="none"/>
        </w:rPr>
      </w:pPr>
    </w:p>
    <w:p>
      <w:pPr>
        <w:pageBreakBefore w:val="0"/>
        <w:kinsoku/>
        <w:bidi w:val="0"/>
        <w:snapToGrid w:val="0"/>
        <w:spacing w:beforeAutospacing="0" w:afterAutospacing="0" w:line="440" w:lineRule="exact"/>
        <w:ind w:firstLine="630" w:firstLineChars="196"/>
        <w:rPr>
          <w:rFonts w:hint="eastAsia"/>
          <w:b/>
          <w:color w:val="auto"/>
          <w:sz w:val="32"/>
          <w:highlight w:val="none"/>
        </w:rPr>
      </w:pPr>
      <w:r>
        <w:rPr>
          <w:rFonts w:hint="eastAsia"/>
          <w:b/>
          <w:color w:val="auto"/>
          <w:sz w:val="32"/>
          <w:highlight w:val="none"/>
        </w:rPr>
        <w:br w:type="page"/>
      </w:r>
    </w:p>
    <w:p>
      <w:pPr>
        <w:pageBreakBefore w:val="0"/>
        <w:kinsoku/>
        <w:bidi w:val="0"/>
        <w:snapToGrid w:val="0"/>
        <w:spacing w:beforeAutospacing="0" w:afterAutospacing="0" w:line="440" w:lineRule="exact"/>
        <w:ind w:firstLine="630" w:firstLineChars="196"/>
        <w:rPr>
          <w:rFonts w:hint="eastAsia"/>
          <w:b/>
          <w:color w:val="auto"/>
          <w:sz w:val="32"/>
          <w:highlight w:val="none"/>
        </w:rPr>
      </w:pPr>
    </w:p>
    <w:p>
      <w:pPr>
        <w:pageBreakBefore w:val="0"/>
        <w:kinsoku/>
        <w:bidi w:val="0"/>
        <w:snapToGrid w:val="0"/>
        <w:spacing w:beforeAutospacing="0" w:afterAutospacing="0" w:line="440" w:lineRule="exact"/>
        <w:ind w:firstLine="630" w:firstLineChars="196"/>
        <w:rPr>
          <w:rFonts w:hint="eastAsia"/>
          <w:b/>
          <w:color w:val="auto"/>
          <w:sz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lang w:val="en-US" w:eastAsia="zh-CN"/>
        </w:rPr>
        <w:t>可不提供）</w:t>
      </w:r>
    </w:p>
    <w:p>
      <w:pPr>
        <w:pStyle w:val="50"/>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rPr>
          <w:color w:val="auto"/>
          <w:highlight w:val="none"/>
        </w:rPr>
      </w:pPr>
    </w:p>
    <w:p>
      <w:pPr>
        <w:pStyle w:val="6"/>
        <w:rPr>
          <w:color w:val="auto"/>
          <w:highlight w:val="none"/>
        </w:rPr>
      </w:pPr>
    </w:p>
    <w:p>
      <w:pPr>
        <w:rPr>
          <w:color w:val="auto"/>
          <w:highlight w:val="none"/>
        </w:rPr>
      </w:pPr>
    </w:p>
    <w:p>
      <w:pPr>
        <w:rPr>
          <w:color w:val="auto"/>
          <w:highlight w:val="none"/>
        </w:rPr>
      </w:pPr>
    </w:p>
    <w:p>
      <w:pPr>
        <w:pStyle w:val="106"/>
        <w:rPr>
          <w:color w:val="auto"/>
          <w:highlight w:val="none"/>
        </w:rPr>
      </w:pPr>
    </w:p>
    <w:p>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color w:val="auto"/>
          <w:szCs w:val="24"/>
          <w:highlight w:val="none"/>
        </w:rPr>
      </w:pPr>
    </w:p>
    <w:p>
      <w:pPr>
        <w:pStyle w:val="2"/>
        <w:pageBreakBefore w:val="0"/>
        <w:kinsoku/>
        <w:bidi w:val="0"/>
        <w:spacing w:before="0" w:beforeAutospacing="0" w:after="0" w:afterAutospacing="0" w:line="440" w:lineRule="exact"/>
        <w:rPr>
          <w:color w:val="auto"/>
          <w:highlight w:val="none"/>
          <w:u w:val="single"/>
        </w:rPr>
      </w:pPr>
    </w:p>
    <w:p>
      <w:pPr>
        <w:pageBreakBefore w:val="0"/>
        <w:kinsoku/>
        <w:bidi w:val="0"/>
        <w:spacing w:beforeAutospacing="0" w:afterAutospacing="0" w:line="440" w:lineRule="exact"/>
        <w:rPr>
          <w:color w:val="auto"/>
          <w:highlight w:val="none"/>
          <w:u w:val="single"/>
        </w:rPr>
      </w:pPr>
    </w:p>
    <w:p>
      <w:pPr>
        <w:pStyle w:val="2"/>
        <w:pageBreakBefore w:val="0"/>
        <w:kinsoku/>
        <w:bidi w:val="0"/>
        <w:spacing w:before="0" w:beforeAutospacing="0" w:after="0" w:afterAutospacing="0" w:line="440" w:lineRule="exact"/>
        <w:ind w:left="0" w:firstLine="0"/>
        <w:rPr>
          <w:color w:val="auto"/>
          <w:highlight w:val="none"/>
        </w:rPr>
      </w:pPr>
    </w:p>
    <w:p>
      <w:pPr>
        <w:pageBreakBefore w:val="0"/>
        <w:kinsoku/>
        <w:bidi w:val="0"/>
        <w:spacing w:beforeAutospacing="0" w:afterAutospacing="0" w:line="440" w:lineRule="exact"/>
        <w:rPr>
          <w:color w:val="auto"/>
          <w:highlight w:val="none"/>
        </w:rPr>
      </w:pPr>
    </w:p>
    <w:p>
      <w:pPr>
        <w:pStyle w:val="6"/>
        <w:pageBreakBefore w:val="0"/>
        <w:kinsoku/>
        <w:bidi w:val="0"/>
        <w:spacing w:before="0" w:beforeAutospacing="0" w:after="0" w:afterAutospacing="0" w:line="440" w:lineRule="exact"/>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spacing w:beforeAutospacing="0" w:afterAutospacing="0" w:line="440" w:lineRule="exact"/>
        <w:rPr>
          <w:color w:val="auto"/>
          <w:highlight w:val="none"/>
        </w:rPr>
      </w:pPr>
    </w:p>
    <w:p>
      <w:pPr>
        <w:pageBreakBefore w:val="0"/>
        <w:kinsoku/>
        <w:bidi w:val="0"/>
        <w:snapToGrid w:val="0"/>
        <w:spacing w:beforeAutospacing="0" w:afterAutospacing="0" w:line="440" w:lineRule="exact"/>
        <w:jc w:val="both"/>
        <w:rPr>
          <w:rFonts w:hint="eastAsia"/>
          <w:b/>
          <w:color w:val="auto"/>
          <w:sz w:val="32"/>
          <w:szCs w:val="32"/>
          <w:highlight w:val="none"/>
        </w:rPr>
      </w:pPr>
    </w:p>
    <w:p>
      <w:pPr>
        <w:pStyle w:val="106"/>
        <w:rPr>
          <w:rFonts w:hint="eastAsia"/>
          <w:b/>
          <w:color w:val="auto"/>
          <w:sz w:val="32"/>
          <w:szCs w:val="32"/>
          <w:highlight w:val="none"/>
        </w:rPr>
      </w:pPr>
    </w:p>
    <w:p>
      <w:pPr>
        <w:rPr>
          <w:rFonts w:hint="eastAsia"/>
          <w:b/>
          <w:color w:val="auto"/>
          <w:sz w:val="32"/>
          <w:szCs w:val="32"/>
          <w:highlight w:val="none"/>
        </w:rPr>
      </w:pPr>
    </w:p>
    <w:p>
      <w:pPr>
        <w:pageBreakBefore w:val="0"/>
        <w:kinsoku/>
        <w:bidi w:val="0"/>
        <w:snapToGrid w:val="0"/>
        <w:spacing w:beforeAutospacing="0" w:afterAutospacing="0" w:line="440" w:lineRule="exact"/>
        <w:jc w:val="center"/>
        <w:rPr>
          <w:rFonts w:hint="eastAsia"/>
          <w:b/>
          <w:color w:val="auto"/>
          <w:sz w:val="32"/>
          <w:szCs w:val="32"/>
          <w:highlight w:val="none"/>
        </w:rPr>
      </w:pPr>
    </w:p>
    <w:p>
      <w:pPr>
        <w:snapToGrid w:val="0"/>
        <w:spacing w:line="360" w:lineRule="auto"/>
        <w:ind w:right="480"/>
        <w:jc w:val="center"/>
        <w:rPr>
          <w:rFonts w:hint="eastAsia" w:ascii="仿宋_GB2312" w:hAnsi="宋体" w:eastAsia="仿宋_GB2312" w:cs="Times New Roman"/>
          <w:b/>
          <w:bCs w:val="0"/>
          <w:color w:val="auto"/>
          <w:kern w:val="2"/>
          <w:sz w:val="21"/>
          <w:szCs w:val="21"/>
          <w:highlight w:val="none"/>
          <w:lang w:val="en-US" w:eastAsia="zh-CN" w:bidi="ar-SA"/>
        </w:rPr>
      </w:pPr>
    </w:p>
    <w:p>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_GB2312" w:hAnsi="宋体" w:eastAsia="仿宋_GB2312" w:cs="Times New Roman"/>
          <w:b/>
          <w:bCs w:val="0"/>
          <w:color w:val="auto"/>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auto"/>
          <w:sz w:val="24"/>
          <w:szCs w:val="24"/>
          <w:highlight w:val="none"/>
          <w:u w:val="single"/>
        </w:rPr>
      </w:pPr>
      <w:r>
        <w:rPr>
          <w:rFonts w:hint="eastAsia" w:cs="仿宋"/>
          <w:bCs/>
          <w:color w:val="auto"/>
          <w:sz w:val="24"/>
          <w:szCs w:val="24"/>
          <w:highlight w:val="none"/>
          <w:u w:val="single"/>
          <w:lang w:eastAsia="zh-CN"/>
        </w:rPr>
        <w:t>（采购人）、华诚工程咨询集团有限公司</w:t>
      </w:r>
      <w:r>
        <w:rPr>
          <w:rFonts w:hint="eastAsia" w:ascii="仿宋" w:hAnsi="仿宋" w:eastAsia="仿宋" w:cs="仿宋"/>
          <w:bCs/>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eastAsia="zh-CN"/>
        </w:rPr>
        <w:t>富阳非物质文化遗产馆第三方运营服务采购项目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lang w:val="en-US" w:eastAsia="zh-CN"/>
        </w:rPr>
        <w:t xml:space="preserve">   项目</w:t>
      </w:r>
      <w:r>
        <w:rPr>
          <w:rFonts w:hint="eastAsia" w:ascii="仿宋" w:hAnsi="仿宋" w:eastAsia="仿宋" w:cs="仿宋"/>
          <w:color w:val="auto"/>
          <w:sz w:val="24"/>
          <w:szCs w:val="24"/>
          <w:highlight w:val="none"/>
          <w:u w:val="singl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】政府采购活动，郑重承诺：</w:t>
      </w:r>
    </w:p>
    <w:p>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w:t>
      </w:r>
      <w:r>
        <w:rPr>
          <w:rFonts w:hint="eastAsia" w:ascii="仿宋" w:hAnsi="仿宋" w:eastAsia="仿宋" w:cs="仿宋"/>
          <w:color w:val="auto"/>
          <w:sz w:val="24"/>
          <w:szCs w:val="24"/>
          <w:highlight w:val="none"/>
        </w:rPr>
        <w:t>执行人、</w:t>
      </w:r>
      <w:r>
        <w:rPr>
          <w:rFonts w:hint="eastAsia"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pStyle w:val="838"/>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color w:val="auto"/>
          <w:sz w:val="24"/>
          <w:szCs w:val="24"/>
          <w:highlight w:val="none"/>
        </w:rPr>
      </w:pPr>
    </w:p>
    <w:p>
      <w:pPr>
        <w:pStyle w:val="838"/>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color w:val="auto"/>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sz w:val="24"/>
          <w:szCs w:val="24"/>
          <w:highlight w:val="none"/>
          <w:u w:val="single"/>
          <w:lang w:eastAsia="zh-CN"/>
        </w:rPr>
        <w:t>可不对本承诺函第（一）款第</w:t>
      </w:r>
      <w:r>
        <w:rPr>
          <w:rFonts w:hint="eastAsia" w:ascii="仿宋" w:hAnsi="仿宋" w:eastAsia="仿宋" w:cs="仿宋"/>
          <w:b/>
          <w:bCs/>
          <w:color w:val="auto"/>
          <w:sz w:val="24"/>
          <w:szCs w:val="24"/>
          <w:highlight w:val="none"/>
          <w:u w:val="single"/>
          <w:lang w:val="en-US" w:eastAsia="zh-CN"/>
        </w:rPr>
        <w:t>4点进行承诺</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color w:val="auto"/>
          <w:sz w:val="24"/>
          <w:szCs w:val="24"/>
          <w:highlight w:val="none"/>
          <w:u w:val="none"/>
          <w:lang w:eastAsia="zh-CN"/>
        </w:rPr>
        <w:t>但须详细说明失信记录的情况，否则按无效标处理。</w:t>
      </w:r>
    </w:p>
    <w:p>
      <w:pPr>
        <w:spacing w:before="156"/>
        <w:jc w:val="center"/>
        <w:rPr>
          <w:rFonts w:hint="default" w:ascii="仿宋_GB2312" w:hAnsi="宋体" w:eastAsia="仿宋_GB2312" w:cs="Times New Roman"/>
          <w:b/>
          <w:color w:val="auto"/>
          <w:sz w:val="32"/>
          <w:szCs w:val="32"/>
          <w:highlight w:val="none"/>
          <w:lang w:val="en-US" w:eastAsia="zh-CN"/>
        </w:rPr>
      </w:pPr>
      <w:r>
        <w:rPr>
          <w:rFonts w:hint="eastAsia" w:ascii="仿宋_GB2312" w:hAnsi="宋体" w:eastAsia="仿宋_GB2312" w:cs="Times New Roman"/>
          <w:b/>
          <w:color w:val="auto"/>
          <w:sz w:val="32"/>
          <w:szCs w:val="32"/>
          <w:highlight w:val="none"/>
        </w:rPr>
        <w:t>联合协议</w:t>
      </w:r>
      <w:r>
        <w:rPr>
          <w:rFonts w:hint="eastAsia" w:ascii="仿宋_GB2312" w:hAnsi="宋体" w:eastAsia="仿宋_GB2312"/>
          <w:b/>
          <w:color w:val="auto"/>
          <w:sz w:val="32"/>
          <w:szCs w:val="32"/>
          <w:highlight w:val="none"/>
        </w:rPr>
        <w:t>（若有）</w:t>
      </w:r>
    </w:p>
    <w:p>
      <w:pPr>
        <w:widowControl/>
        <w:spacing w:line="240" w:lineRule="auto"/>
        <w:ind w:firstLine="482"/>
        <w:jc w:val="left"/>
        <w:rPr>
          <w:color w:val="auto"/>
          <w:highlight w:val="none"/>
        </w:rPr>
      </w:pPr>
      <w:r>
        <w:rPr>
          <w:rFonts w:hint="eastAsia" w:ascii="宋体" w:hAnsi="宋体" w:cs="宋体"/>
          <w:b/>
          <w:color w:val="auto"/>
          <w:highlight w:val="none"/>
        </w:rPr>
        <w:t>（以联合体形式投标的，提供联合协议；本项目不接受联合体投标或者投标人不以联合体形式投标的，则不需要提供）</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auto"/>
          <w:highlight w:val="none"/>
          <w:u w:val="single"/>
        </w:rPr>
      </w:pPr>
    </w:p>
    <w:p>
      <w:pPr>
        <w:pageBreakBefore w:val="0"/>
        <w:kinsoku/>
        <w:wordWrap/>
        <w:overflowPunct/>
        <w:topLinePunct w:val="0"/>
        <w:autoSpaceDE/>
        <w:autoSpaceDN/>
        <w:bidi w:val="0"/>
        <w:adjustRightInd/>
        <w:spacing w:line="400" w:lineRule="exact"/>
        <w:ind w:firstLine="480" w:firstLineChars="200"/>
        <w:textAlignment w:val="auto"/>
        <w:rPr>
          <w:rFonts w:hint="eastAsia"/>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w:t>
      </w:r>
      <w:r>
        <w:rPr>
          <w:rFonts w:hint="eastAsia"/>
          <w:color w:val="auto"/>
          <w:highlight w:val="none"/>
          <w:u w:val="single"/>
          <w:lang w:val="en-US" w:eastAsia="zh-CN"/>
        </w:rPr>
        <w:t xml:space="preserve">    </w:t>
      </w:r>
      <w:r>
        <w:rPr>
          <w:rFonts w:hint="eastAsia"/>
          <w:color w:val="auto"/>
          <w:highlight w:val="none"/>
          <w:u w:val="single"/>
          <w:lang w:eastAsia="zh-CN"/>
        </w:rPr>
        <w:t>富阳非物质文化遗产馆第三方运营服务采购项目</w:t>
      </w:r>
      <w:r>
        <w:rPr>
          <w:rFonts w:hint="eastAsia"/>
          <w:color w:val="auto"/>
          <w:highlight w:val="none"/>
          <w:u w:val="single"/>
          <w:lang w:val="en-US" w:eastAsia="zh-CN"/>
        </w:rPr>
        <w:t xml:space="preserve">     </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u w:val="single"/>
        </w:rPr>
        <w:t>（采购编号）</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val="zh-CN"/>
        </w:rPr>
        <w:t xml:space="preserve">投标。 </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olor w:val="auto"/>
          <w:highlight w:val="none"/>
        </w:rPr>
        <w:t>，代表所有联合体成员负责投标和合同实施阶段的主办、协调工作</w:t>
      </w:r>
      <w:r>
        <w:rPr>
          <w:rFonts w:hint="eastAsia"/>
          <w:color w:val="auto"/>
          <w:highlight w:val="none"/>
          <w:lang w:val="zh-CN"/>
        </w:rPr>
        <w:t>。</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auto"/>
          <w:highlight w:val="none"/>
          <w:lang w:val="zh-CN"/>
        </w:rPr>
      </w:pPr>
      <w:r>
        <w:rPr>
          <w:rFonts w:hint="eastAsia"/>
          <w:color w:val="auto"/>
          <w:highlight w:val="none"/>
          <w:lang w:val="zh-CN"/>
        </w:rPr>
        <w:t>二、</w:t>
      </w:r>
      <w:r>
        <w:rPr>
          <w:rFonts w:hint="eastAsia"/>
          <w:color w:val="auto"/>
          <w:highlight w:val="none"/>
        </w:rPr>
        <w:t>所有联合体成员各方签署授权书，授权书载明的</w:t>
      </w:r>
      <w:r>
        <w:rPr>
          <w:rFonts w:hint="eastAsia"/>
          <w:color w:val="auto"/>
          <w:highlight w:val="none"/>
          <w:lang w:val="zh-CN"/>
        </w:rPr>
        <w:t>授权代表根据招标文件规定及投标内容而对采购人、采购代理机构所做的任何合法承诺，包括书面澄清及相应等均对联合投标各方产生约束力。</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auto"/>
          <w:highlight w:val="none"/>
          <w:lang w:val="zh-CN"/>
        </w:rPr>
      </w:pPr>
      <w:r>
        <w:rPr>
          <w:rFonts w:hint="eastAsia"/>
          <w:color w:val="auto"/>
          <w:highlight w:val="none"/>
          <w:lang w:val="zh-CN"/>
        </w:rPr>
        <w:t>三、本次联合投标中，分工如下：</w:t>
      </w:r>
      <w:r>
        <w:rPr>
          <w:rFonts w:hint="eastAsia"/>
          <w:color w:val="auto"/>
          <w:highlight w:val="none"/>
          <w:u w:val="single"/>
        </w:rPr>
        <w:t>（联合体其中一方成员名称）</w:t>
      </w:r>
      <w:r>
        <w:rPr>
          <w:rFonts w:hint="eastAsia"/>
          <w:color w:val="auto"/>
          <w:highlight w:val="none"/>
          <w:lang w:val="zh-CN"/>
        </w:rPr>
        <w:t>承担的工作和义务为</w:t>
      </w:r>
      <w:r>
        <w:rPr>
          <w:rFonts w:hint="eastAsia"/>
          <w:color w:val="auto"/>
          <w:highlight w:val="none"/>
          <w:u w:val="single"/>
          <w:lang w:val="zh-CN"/>
        </w:rPr>
        <w:t>：</w:t>
      </w:r>
      <w:r>
        <w:rPr>
          <w:rFonts w:hint="eastAsia"/>
          <w:color w:val="auto"/>
          <w:highlight w:val="none"/>
          <w:u w:val="single"/>
        </w:rPr>
        <w:t xml:space="preserve">             </w:t>
      </w:r>
      <w:r>
        <w:rPr>
          <w:rFonts w:hint="eastAsia"/>
          <w:color w:val="auto"/>
          <w:highlight w:val="none"/>
          <w:lang w:val="zh-CN"/>
        </w:rPr>
        <w:t>；</w:t>
      </w:r>
      <w:r>
        <w:rPr>
          <w:rFonts w:hint="eastAsia"/>
          <w:color w:val="auto"/>
          <w:highlight w:val="none"/>
          <w:u w:val="single"/>
        </w:rPr>
        <w:t>（联合体其中一方成员名称）</w:t>
      </w:r>
      <w:r>
        <w:rPr>
          <w:rFonts w:hint="eastAsia"/>
          <w:color w:val="auto"/>
          <w:highlight w:val="none"/>
          <w:lang w:val="zh-CN"/>
        </w:rPr>
        <w:t>承担的工作和义务为：</w:t>
      </w:r>
      <w:r>
        <w:rPr>
          <w:rFonts w:hint="eastAsia"/>
          <w:color w:val="auto"/>
          <w:highlight w:val="none"/>
          <w:u w:val="single"/>
        </w:rPr>
        <w:t xml:space="preserve">            </w:t>
      </w:r>
      <w:r>
        <w:rPr>
          <w:rFonts w:hint="eastAsia"/>
          <w:color w:val="auto"/>
          <w:highlight w:val="none"/>
          <w:u w:val="single"/>
          <w:lang w:val="zh-CN"/>
        </w:rPr>
        <w:t xml:space="preserve"> </w:t>
      </w:r>
      <w:r>
        <w:rPr>
          <w:rFonts w:hint="eastAsia"/>
          <w:color w:val="auto"/>
          <w:highlight w:val="none"/>
          <w:lang w:val="zh-CN"/>
        </w:rPr>
        <w:t>；……。</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auto"/>
          <w:highlight w:val="none"/>
          <w:lang w:val="zh-CN"/>
        </w:rPr>
      </w:pPr>
      <w:r>
        <w:rPr>
          <w:rFonts w:hint="eastAsia"/>
          <w:color w:val="auto"/>
          <w:highlight w:val="none"/>
          <w:lang w:val="zh-CN"/>
        </w:rPr>
        <w:t>四、</w:t>
      </w:r>
      <w:r>
        <w:rPr>
          <w:rFonts w:hint="eastAsia"/>
          <w:color w:val="auto"/>
          <w:highlight w:val="none"/>
        </w:rPr>
        <w:t>中小企业合同金额达到</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w:t>
      </w:r>
      <w:r>
        <w:rPr>
          <w:rFonts w:hint="eastAsia"/>
          <w:color w:val="auto"/>
          <w:highlight w:val="none"/>
          <w:lang w:val="zh-CN"/>
        </w:rPr>
        <w:t>。</w:t>
      </w:r>
    </w:p>
    <w:p>
      <w:pPr>
        <w:pageBreakBefore w:val="0"/>
        <w:kinsoku/>
        <w:wordWrap/>
        <w:overflowPunct/>
        <w:topLinePunct w:val="0"/>
        <w:autoSpaceDE/>
        <w:autoSpaceDN/>
        <w:bidi w:val="0"/>
        <w:adjustRightInd/>
        <w:spacing w:line="400" w:lineRule="exact"/>
        <w:textAlignment w:val="auto"/>
        <w:rPr>
          <w:rFonts w:hint="eastAsia"/>
          <w:color w:val="auto"/>
          <w:highlight w:val="none"/>
          <w:lang w:val="zh-CN"/>
        </w:rPr>
      </w:pPr>
      <w:r>
        <w:rPr>
          <w:rFonts w:hint="eastAsia"/>
          <w:color w:val="auto"/>
          <w:highlight w:val="none"/>
          <w:lang w:val="zh-CN"/>
        </w:rPr>
        <w:t>（联合体其中一方成员名称）提供的全部货物由小微企业制造，其合同份额占到合同总金额</w:t>
      </w:r>
      <w:r>
        <w:rPr>
          <w:rFonts w:hint="eastAsia"/>
          <w:color w:val="auto"/>
          <w:highlight w:val="none"/>
          <w:u w:val="single"/>
          <w:lang w:val="zh-CN"/>
        </w:rPr>
        <w:t xml:space="preserve">     </w:t>
      </w:r>
      <w:r>
        <w:rPr>
          <w:rFonts w:hint="eastAsia"/>
          <w:color w:val="auto"/>
          <w:highlight w:val="none"/>
          <w:lang w:val="zh-CN"/>
        </w:rPr>
        <w:t>%以上；……。（未预留份额专门面向中小企业采购的采购项目，以及预留份额中的非预留部分采购包，接受联合体投标的，联合体其中一方提供的货物全部由小微企业制造，且其合同份额占到合同总金额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color w:val="auto"/>
          <w:highlight w:val="none"/>
          <w:lang w:val="en-US" w:eastAsia="zh-CN"/>
        </w:rPr>
        <w:t>6</w:t>
      </w:r>
      <w:r>
        <w:rPr>
          <w:rFonts w:hint="eastAsia"/>
          <w:color w:val="auto"/>
          <w:highlight w:val="none"/>
          <w:lang w:val="zh-CN"/>
        </w:rPr>
        <w:t>%（4%—6%）的扣除）</w:t>
      </w:r>
    </w:p>
    <w:p>
      <w:pPr>
        <w:pageBreakBefore w:val="0"/>
        <w:kinsoku/>
        <w:wordWrap/>
        <w:overflowPunct/>
        <w:topLinePunct w:val="0"/>
        <w:autoSpaceDE/>
        <w:autoSpaceDN/>
        <w:bidi w:val="0"/>
        <w:adjustRightInd/>
        <w:spacing w:line="400" w:lineRule="exact"/>
        <w:ind w:firstLine="480" w:firstLineChars="200"/>
        <w:textAlignment w:val="auto"/>
        <w:rPr>
          <w:rFonts w:hint="eastAsia"/>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kern w:val="0"/>
          <w:szCs w:val="24"/>
          <w:highlight w:val="none"/>
          <w:lang w:val="zh-CN"/>
        </w:rPr>
      </w:pPr>
      <w:r>
        <w:rPr>
          <w:rFonts w:hint="eastAsia"/>
          <w:color w:val="auto"/>
          <w:highlight w:val="none"/>
          <w:lang w:val="zh-CN"/>
        </w:rPr>
        <w:t>六、有关本次联合投标的其他事宜：</w:t>
      </w:r>
    </w:p>
    <w:p>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联合体各方不再单独参加或者与其他供应商另外组成联合体参加同一合同项下的政府采购活动。</w:t>
      </w:r>
    </w:p>
    <w:p>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联合体中有同类资质的各方按照联合体分工承担相同工作的，按照资质等级较低的供应商确定资质等级。</w:t>
      </w:r>
    </w:p>
    <w:p>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color w:val="auto"/>
          <w:kern w:val="0"/>
          <w:sz w:val="24"/>
          <w:szCs w:val="24"/>
          <w:highlight w:val="none"/>
          <w:lang w:val="zh-CN"/>
        </w:rPr>
      </w:pPr>
      <w:r>
        <w:rPr>
          <w:rFonts w:hint="eastAsia" w:ascii="Times New Roman" w:hAnsi="Times New Roman" w:cs="Times New Roman"/>
          <w:color w:val="auto"/>
          <w:highlight w:val="none"/>
          <w:lang w:val="zh-CN" w:eastAsia="zh-CN"/>
        </w:rPr>
        <w:t>本协议提交采购人、采购代理机构后，联合体各方不得以任何形式对上述内容进行修改或撤销。</w:t>
      </w:r>
    </w:p>
    <w:p>
      <w:pPr>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电子签名/公章</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电子签名/公章</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pageBreakBefore w:val="0"/>
        <w:kinsoku/>
        <w:wordWrap/>
        <w:overflowPunct/>
        <w:topLinePunct w:val="0"/>
        <w:autoSpaceDE/>
        <w:autoSpaceDN/>
        <w:bidi w:val="0"/>
        <w:adjustRightInd/>
        <w:snapToGrid w:val="0"/>
        <w:spacing w:line="400" w:lineRule="exact"/>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pPr>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val="zh-CN"/>
        </w:rPr>
        <w:t xml:space="preserve">                                               日期：  年  月   日</w:t>
      </w:r>
    </w:p>
    <w:p>
      <w:pPr>
        <w:rPr>
          <w:color w:val="auto"/>
          <w:highlight w:val="none"/>
        </w:rPr>
      </w:pPr>
    </w:p>
    <w:p>
      <w:pPr>
        <w:spacing w:before="156"/>
        <w:ind w:firstLine="0" w:firstLineChars="0"/>
        <w:jc w:val="center"/>
        <w:rPr>
          <w:rFonts w:hint="eastAsia" w:ascii="仿宋_GB2312" w:hAnsi="宋体" w:eastAsia="仿宋_GB2312"/>
          <w:b/>
          <w:color w:val="auto"/>
          <w:sz w:val="32"/>
          <w:szCs w:val="32"/>
          <w:highlight w:val="none"/>
        </w:rPr>
      </w:pPr>
    </w:p>
    <w:p>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特定资格条件要求的资质文件（若有）（复印件）</w:t>
      </w:r>
    </w:p>
    <w:p>
      <w:pPr>
        <w:snapToGrid w:val="0"/>
        <w:spacing w:before="156" w:line="360" w:lineRule="auto"/>
        <w:ind w:firstLine="480"/>
        <w:rPr>
          <w:rFonts w:hint="eastAsia" w:ascii="仿宋" w:hAnsi="仿宋" w:cs="仿宋"/>
          <w:color w:val="auto"/>
          <w:szCs w:val="22"/>
          <w:highlight w:val="none"/>
        </w:rPr>
      </w:pPr>
    </w:p>
    <w:p>
      <w:pPr>
        <w:pStyle w:val="6"/>
        <w:rPr>
          <w:rFonts w:hint="eastAsia"/>
          <w:color w:val="auto"/>
          <w:highlight w:val="none"/>
        </w:rPr>
      </w:pPr>
    </w:p>
    <w:p>
      <w:pPr>
        <w:ind w:firstLine="480"/>
        <w:rPr>
          <w:rFonts w:hint="eastAsia"/>
          <w:color w:val="auto"/>
          <w:highlight w:val="none"/>
        </w:rPr>
      </w:pPr>
      <w:r>
        <w:rPr>
          <w:rFonts w:hint="eastAsia"/>
          <w:color w:val="auto"/>
          <w:highlight w:val="none"/>
        </w:rPr>
        <w:t>（由投标人根据招标文件中合格的投标人应具备的特定资格要求编制；如果本项目没有设置特定资格条件，则不需要提供）</w:t>
      </w:r>
    </w:p>
    <w:p>
      <w:pPr>
        <w:ind w:left="480" w:leftChars="200" w:firstLine="0" w:firstLineChars="0"/>
        <w:rPr>
          <w:rFonts w:hint="eastAsia"/>
          <w:color w:val="auto"/>
          <w:highlight w:val="none"/>
        </w:rPr>
      </w:pPr>
    </w:p>
    <w:p>
      <w:pPr>
        <w:ind w:firstLine="480"/>
        <w:rPr>
          <w:rFonts w:hint="eastAsia"/>
          <w:color w:val="auto"/>
          <w:highlight w:val="none"/>
        </w:rPr>
      </w:pPr>
    </w:p>
    <w:p>
      <w:pPr>
        <w:pStyle w:val="6"/>
        <w:rPr>
          <w:rFonts w:hint="eastAsia"/>
          <w:color w:val="auto"/>
          <w:highlight w:val="none"/>
        </w:rPr>
      </w:pPr>
    </w:p>
    <w:p>
      <w:pPr>
        <w:rPr>
          <w:rFonts w:hint="eastAsia"/>
          <w:color w:val="auto"/>
          <w:highlight w:val="none"/>
        </w:rPr>
      </w:pPr>
    </w:p>
    <w:p>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pStyle w:val="6"/>
        <w:rPr>
          <w:rFonts w:hint="eastAsia" w:ascii="仿宋" w:hAnsi="仿宋" w:cs="仿宋"/>
          <w:color w:val="auto"/>
          <w:szCs w:val="24"/>
          <w:highlight w:val="none"/>
          <w:u w:val="single"/>
        </w:rPr>
      </w:pPr>
    </w:p>
    <w:p>
      <w:pPr>
        <w:rPr>
          <w:rFonts w:hint="eastAsia" w:ascii="仿宋" w:hAnsi="仿宋" w:cs="仿宋"/>
          <w:color w:val="auto"/>
          <w:szCs w:val="24"/>
          <w:highlight w:val="none"/>
          <w:u w:val="single"/>
        </w:rPr>
      </w:pPr>
    </w:p>
    <w:p>
      <w:pPr>
        <w:pStyle w:val="6"/>
        <w:rPr>
          <w:rFonts w:hint="eastAsia" w:ascii="仿宋" w:hAnsi="仿宋" w:cs="仿宋"/>
          <w:color w:val="auto"/>
          <w:szCs w:val="24"/>
          <w:highlight w:val="none"/>
          <w:u w:val="single"/>
        </w:rPr>
      </w:pPr>
    </w:p>
    <w:p>
      <w:pPr>
        <w:rPr>
          <w:rFonts w:hint="eastAsia" w:ascii="仿宋" w:hAnsi="仿宋" w:cs="仿宋"/>
          <w:color w:val="auto"/>
          <w:szCs w:val="24"/>
          <w:highlight w:val="none"/>
          <w:u w:val="single"/>
        </w:rPr>
      </w:pPr>
    </w:p>
    <w:p>
      <w:pPr>
        <w:pStyle w:val="6"/>
        <w:rPr>
          <w:rFonts w:hint="eastAsia" w:ascii="仿宋" w:hAnsi="仿宋" w:cs="仿宋"/>
          <w:color w:val="auto"/>
          <w:szCs w:val="24"/>
          <w:highlight w:val="none"/>
          <w:u w:val="single"/>
        </w:rPr>
      </w:pPr>
    </w:p>
    <w:p>
      <w:pPr>
        <w:rPr>
          <w:rFonts w:hint="eastAsia" w:ascii="仿宋" w:hAnsi="仿宋" w:cs="仿宋"/>
          <w:color w:val="auto"/>
          <w:szCs w:val="24"/>
          <w:highlight w:val="none"/>
          <w:u w:val="single"/>
        </w:rPr>
      </w:pPr>
    </w:p>
    <w:p>
      <w:pPr>
        <w:pStyle w:val="6"/>
        <w:rPr>
          <w:rFonts w:hint="eastAsia"/>
          <w:color w:val="auto"/>
          <w:highlight w:val="none"/>
        </w:rPr>
      </w:pPr>
    </w:p>
    <w:p>
      <w:pPr>
        <w:pStyle w:val="6"/>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pPr>
        <w:rPr>
          <w:rFonts w:hint="eastAsia"/>
          <w:color w:val="auto"/>
          <w:highlight w:val="none"/>
        </w:rPr>
      </w:pPr>
    </w:p>
    <w:p>
      <w:pPr>
        <w:pStyle w:val="6"/>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before="156" w:line="360" w:lineRule="auto"/>
        <w:ind w:firstLine="480"/>
        <w:rPr>
          <w:rFonts w:hint="eastAsia" w:ascii="仿宋" w:hAnsi="仿宋" w:cs="仿宋"/>
          <w:color w:val="auto"/>
          <w:szCs w:val="24"/>
          <w:highlight w:val="none"/>
        </w:rPr>
      </w:pPr>
    </w:p>
    <w:p>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right="480" w:firstLine="480"/>
        <w:jc w:val="center"/>
        <w:rPr>
          <w:rFonts w:ascii="仿宋_GB2312" w:hAnsi="仿宋" w:eastAsia="仿宋_GB2312"/>
          <w:color w:val="auto"/>
          <w:szCs w:val="24"/>
          <w:highlight w:val="none"/>
        </w:rPr>
      </w:pPr>
    </w:p>
    <w:p>
      <w:pPr>
        <w:pStyle w:val="2"/>
        <w:rPr>
          <w:rFonts w:ascii="仿宋_GB2312" w:hAnsi="仿宋" w:eastAsia="仿宋_GB2312"/>
          <w:color w:val="auto"/>
          <w:szCs w:val="24"/>
          <w:highlight w:val="none"/>
        </w:rPr>
      </w:pPr>
    </w:p>
    <w:p>
      <w:pPr>
        <w:rPr>
          <w:rFonts w:ascii="仿宋_GB2312" w:hAnsi="仿宋" w:eastAsia="仿宋_GB2312"/>
          <w:color w:val="auto"/>
          <w:szCs w:val="24"/>
          <w:highlight w:val="none"/>
        </w:rPr>
      </w:pPr>
    </w:p>
    <w:p>
      <w:pPr>
        <w:pStyle w:val="2"/>
        <w:rPr>
          <w:rFonts w:ascii="仿宋_GB2312" w:hAnsi="仿宋" w:eastAsia="仿宋_GB2312"/>
          <w:color w:val="auto"/>
          <w:szCs w:val="24"/>
          <w:highlight w:val="none"/>
        </w:rPr>
      </w:pPr>
    </w:p>
    <w:p>
      <w:pPr>
        <w:rPr>
          <w:rFonts w:ascii="仿宋_GB2312" w:hAnsi="仿宋" w:eastAsia="仿宋_GB2312"/>
          <w:color w:val="auto"/>
          <w:szCs w:val="24"/>
          <w:highlight w:val="none"/>
        </w:rPr>
      </w:pPr>
    </w:p>
    <w:p>
      <w:pPr>
        <w:keepNext w:val="0"/>
        <w:keepLines w:val="0"/>
        <w:pageBreakBefore w:val="0"/>
        <w:widowControl w:val="0"/>
        <w:kinsoku/>
        <w:wordWrap/>
        <w:overflowPunct/>
        <w:topLinePunct w:val="0"/>
        <w:autoSpaceDE/>
        <w:autoSpaceDN/>
        <w:bidi w:val="0"/>
        <w:adjustRightInd/>
        <w:snapToGrid/>
        <w:spacing w:before="156" w:after="157" w:afterLines="50"/>
        <w:ind w:firstLine="0" w:firstLineChars="0"/>
        <w:jc w:val="both"/>
        <w:textAlignment w:val="auto"/>
        <w:rPr>
          <w:rFonts w:hint="eastAsia" w:ascii="Times New Roman" w:hAnsi="Times New Roman" w:eastAsia="仿宋" w:cs="Times New Roman"/>
          <w:b/>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56" w:after="157" w:afterLines="50"/>
        <w:ind w:firstLine="0" w:firstLineChars="0"/>
        <w:jc w:val="center"/>
        <w:textAlignment w:val="auto"/>
        <w:rPr>
          <w:rFonts w:hint="eastAsia" w:ascii="Times New Roman" w:hAnsi="Times New Roman" w:eastAsia="仿宋" w:cs="Times New Roman"/>
          <w:b/>
          <w:bCs/>
          <w:color w:val="auto"/>
          <w:kern w:val="2"/>
          <w:sz w:val="32"/>
          <w:szCs w:val="32"/>
          <w:highlight w:val="none"/>
          <w:lang w:val="en-US" w:eastAsia="zh-CN" w:bidi="ar-SA"/>
        </w:rPr>
      </w:pPr>
      <w:r>
        <w:rPr>
          <w:rFonts w:hint="eastAsia" w:ascii="Times New Roman" w:hAnsi="Times New Roman" w:eastAsia="仿宋" w:cs="Times New Roman"/>
          <w:b/>
          <w:bCs/>
          <w:color w:val="auto"/>
          <w:kern w:val="2"/>
          <w:sz w:val="32"/>
          <w:szCs w:val="32"/>
          <w:highlight w:val="none"/>
          <w:lang w:val="en-US" w:eastAsia="zh-CN" w:bidi="ar-SA"/>
        </w:rPr>
        <w:t>中小企业声明函（服务）</w:t>
      </w:r>
    </w:p>
    <w:p>
      <w:pPr>
        <w:bidi w:val="0"/>
        <w:ind w:firstLine="480" w:firstLineChars="200"/>
        <w:rPr>
          <w:rFonts w:hint="eastAsia"/>
          <w:color w:val="auto"/>
          <w:highlight w:val="none"/>
        </w:rPr>
      </w:pPr>
      <w:r>
        <w:rPr>
          <w:rFonts w:hint="eastAsia"/>
          <w:color w:val="auto"/>
          <w:highlight w:val="none"/>
          <w:lang w:val="en-US" w:eastAsia="zh-CN"/>
        </w:rPr>
        <w:t>本公司（联合体）郑重声明，根据《政府采购促进中小企业发展管理办法》（财库﹝2020﹞46 号）的规定，本公司（联合体）参加</w:t>
      </w:r>
      <w:r>
        <w:rPr>
          <w:rFonts w:hint="eastAsia"/>
          <w:color w:val="auto"/>
          <w:highlight w:val="none"/>
          <w:u w:val="single"/>
          <w:lang w:val="en-US" w:eastAsia="zh-CN"/>
        </w:rPr>
        <w:t>（        单位名称      ）</w:t>
      </w:r>
      <w:r>
        <w:rPr>
          <w:rFonts w:hint="eastAsia"/>
          <w:color w:val="auto"/>
          <w:highlight w:val="none"/>
          <w:lang w:val="en-US" w:eastAsia="zh-CN"/>
        </w:rPr>
        <w:t>的</w:t>
      </w:r>
      <w:r>
        <w:rPr>
          <w:rFonts w:hint="eastAsia"/>
          <w:color w:val="auto"/>
          <w:highlight w:val="none"/>
          <w:u w:val="single"/>
          <w:lang w:val="en-US" w:eastAsia="zh-CN"/>
        </w:rPr>
        <w:t>（      项目名称      ）</w:t>
      </w:r>
      <w:r>
        <w:rPr>
          <w:rFonts w:hint="eastAsia"/>
          <w:color w:val="auto"/>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9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0"/>
        <w:gridCol w:w="1640"/>
        <w:gridCol w:w="1240"/>
        <w:gridCol w:w="1210"/>
        <w:gridCol w:w="128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标的</w:t>
            </w:r>
          </w:p>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名称</w:t>
            </w:r>
          </w:p>
        </w:tc>
        <w:tc>
          <w:tcPr>
            <w:tcW w:w="1260"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采购文件中明确的所属行业</w:t>
            </w:r>
          </w:p>
        </w:tc>
        <w:tc>
          <w:tcPr>
            <w:tcW w:w="1640"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承建（承接）企业</w:t>
            </w:r>
          </w:p>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（企业名称）</w:t>
            </w:r>
          </w:p>
        </w:tc>
        <w:tc>
          <w:tcPr>
            <w:tcW w:w="1240"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从业人员（人）</w:t>
            </w:r>
          </w:p>
        </w:tc>
        <w:tc>
          <w:tcPr>
            <w:tcW w:w="1210"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营业收入（万元）</w:t>
            </w:r>
          </w:p>
        </w:tc>
        <w:tc>
          <w:tcPr>
            <w:tcW w:w="1280"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资产总额（万元）</w:t>
            </w:r>
          </w:p>
        </w:tc>
        <w:tc>
          <w:tcPr>
            <w:tcW w:w="1612" w:type="dxa"/>
            <w:noWrap w:val="0"/>
            <w:vAlign w:val="center"/>
          </w:tcPr>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属于</w:t>
            </w:r>
          </w:p>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eastAsia="宋体"/>
                <w:color w:val="auto"/>
                <w:highlight w:val="none"/>
                <w:vertAlign w:val="baseline"/>
                <w:lang w:val="en-US" w:eastAsia="zh-CN"/>
              </w:rPr>
            </w:pP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4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4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1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8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12"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126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4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4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1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80"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12" w:type="dxa"/>
            <w:noWrap w:val="0"/>
            <w:vAlign w:val="top"/>
          </w:tcPr>
          <w:p>
            <w:pPr>
              <w:pStyle w:val="10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r>
    </w:tbl>
    <w:p>
      <w:pPr>
        <w:bidi w:val="0"/>
        <w:ind w:firstLine="48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80" w:firstLineChars="200"/>
        <w:rPr>
          <w:rFonts w:hint="eastAsia"/>
          <w:color w:val="auto"/>
          <w:highlight w:val="none"/>
        </w:rPr>
      </w:pPr>
      <w:r>
        <w:rPr>
          <w:rFonts w:hint="eastAsia"/>
          <w:color w:val="auto"/>
          <w:highlight w:val="none"/>
          <w:lang w:val="en-US" w:eastAsia="zh-CN"/>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
        </w:rPr>
      </w:pPr>
    </w:p>
    <w:p>
      <w:pPr>
        <w:bidi w:val="0"/>
        <w:ind w:firstLine="480" w:firstLineChars="200"/>
        <w:rPr>
          <w:rFonts w:hint="eastAsia"/>
          <w:color w:val="auto"/>
          <w:highlight w:val="none"/>
        </w:rPr>
      </w:pPr>
      <w:r>
        <w:rPr>
          <w:rFonts w:hint="eastAsia"/>
          <w:color w:val="auto"/>
          <w:highlight w:val="none"/>
        </w:rPr>
        <w:t>投标人全称（</w:t>
      </w:r>
      <w:r>
        <w:rPr>
          <w:rFonts w:hint="eastAsia"/>
          <w:color w:val="auto"/>
          <w:highlight w:val="none"/>
          <w:lang w:val="zh-CN"/>
        </w:rPr>
        <w:t>电子签</w:t>
      </w:r>
      <w:r>
        <w:rPr>
          <w:rFonts w:hint="eastAsia"/>
          <w:color w:val="auto"/>
          <w:highlight w:val="none"/>
          <w:lang w:val="en-US" w:eastAsia="zh-CN"/>
        </w:rPr>
        <w:t>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pPr>
        <w:bidi w:val="0"/>
        <w:ind w:firstLine="480" w:firstLineChars="200"/>
        <w:rPr>
          <w:rFonts w:hint="eastAsia"/>
          <w:color w:val="auto"/>
          <w:highlight w:val="none"/>
          <w:u w:val="singl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年   </w:t>
      </w:r>
      <w:r>
        <w:rPr>
          <w:rFonts w:hint="eastAsia"/>
          <w:color w:val="auto"/>
          <w:highlight w:val="none"/>
          <w:u w:val="single"/>
          <w:lang w:val="en-US" w:eastAsia="zh-CN"/>
        </w:rPr>
        <w:t xml:space="preserve"> </w:t>
      </w:r>
      <w:r>
        <w:rPr>
          <w:rFonts w:hint="eastAsia"/>
          <w:color w:val="auto"/>
          <w:highlight w:val="none"/>
          <w:u w:val="single"/>
        </w:rPr>
        <w:t xml:space="preserve"> 月   </w:t>
      </w:r>
      <w:r>
        <w:rPr>
          <w:rFonts w:hint="eastAsia"/>
          <w:color w:val="auto"/>
          <w:highlight w:val="none"/>
          <w:u w:val="single"/>
          <w:lang w:val="en-US" w:eastAsia="zh-CN"/>
        </w:rPr>
        <w:t xml:space="preserve"> </w:t>
      </w:r>
      <w:r>
        <w:rPr>
          <w:rFonts w:hint="eastAsia"/>
          <w:color w:val="auto"/>
          <w:highlight w:val="none"/>
          <w:u w:val="single"/>
        </w:rPr>
        <w:t xml:space="preserve"> 日</w:t>
      </w:r>
    </w:p>
    <w:p>
      <w:pPr>
        <w:bidi w:val="0"/>
        <w:rPr>
          <w:rFonts w:hint="eastAsia"/>
          <w:color w:val="auto"/>
          <w:highlight w:val="none"/>
          <w:lang w:val="en-US" w:eastAsia="zh-CN"/>
        </w:rPr>
      </w:pPr>
    </w:p>
    <w:p>
      <w:pPr>
        <w:bidi w:val="0"/>
        <w:ind w:firstLine="482" w:firstLineChars="200"/>
        <w:rPr>
          <w:rFonts w:hint="eastAsia"/>
          <w:b/>
          <w:bCs/>
          <w:color w:val="auto"/>
          <w:highlight w:val="none"/>
        </w:rPr>
      </w:pPr>
      <w:r>
        <w:rPr>
          <w:rFonts w:hint="eastAsia"/>
          <w:b/>
          <w:bCs/>
          <w:color w:val="auto"/>
          <w:highlight w:val="none"/>
          <w:lang w:val="en-US" w:eastAsia="zh-CN"/>
        </w:rPr>
        <w:t>从业人员、营业收入、资产总额填报上一年度数据，无上一年度数据的新成立企业可不填报。</w:t>
      </w:r>
    </w:p>
    <w:p>
      <w:pPr>
        <w:pStyle w:val="27"/>
        <w:pageBreakBefore w:val="0"/>
        <w:kinsoku/>
        <w:bidi w:val="0"/>
        <w:spacing w:beforeAutospacing="0" w:afterAutospacing="0" w:line="440" w:lineRule="exact"/>
        <w:ind w:right="482" w:firstLine="0"/>
        <w:rPr>
          <w:b/>
          <w:color w:val="auto"/>
          <w:szCs w:val="24"/>
          <w:highlight w:val="none"/>
        </w:rPr>
      </w:pPr>
    </w:p>
    <w:p>
      <w:pPr>
        <w:pageBreakBefore w:val="0"/>
        <w:kinsoku/>
        <w:bidi w:val="0"/>
        <w:snapToGrid w:val="0"/>
        <w:spacing w:beforeAutospacing="0" w:afterAutospacing="0" w:line="440" w:lineRule="exact"/>
        <w:ind w:firstLine="472" w:firstLineChars="196"/>
        <w:rPr>
          <w:b/>
          <w:color w:val="auto"/>
          <w:szCs w:val="24"/>
          <w:highlight w:val="none"/>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highlight w:val="none"/>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highlight w:val="none"/>
        </w:rPr>
        <w:t>《中小企业声明函》、监狱企业</w:t>
      </w:r>
      <w:r>
        <w:rPr>
          <w:rFonts w:hint="eastAsia"/>
          <w:b/>
          <w:color w:val="auto"/>
          <w:szCs w:val="24"/>
          <w:highlight w:val="none"/>
          <w:lang w:eastAsia="zh-CN"/>
        </w:rPr>
        <w:t>证明文件</w:t>
      </w:r>
      <w:r>
        <w:rPr>
          <w:rFonts w:hint="eastAsia"/>
          <w:b/>
          <w:color w:val="auto"/>
          <w:szCs w:val="24"/>
          <w:highlight w:val="none"/>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napToGrid w:val="0"/>
        <w:spacing w:before="156" w:after="50" w:line="460" w:lineRule="exact"/>
        <w:jc w:val="center"/>
        <w:rPr>
          <w:rFonts w:hint="eastAsia" w:ascii="仿宋_GB2312" w:eastAsia="仿宋_GB2312"/>
          <w:b/>
          <w:color w:val="auto"/>
          <w:sz w:val="32"/>
          <w:szCs w:val="32"/>
          <w:highlight w:val="none"/>
          <w:lang w:eastAsia="zh-CN"/>
        </w:rPr>
      </w:pPr>
    </w:p>
    <w:p>
      <w:pPr>
        <w:pStyle w:val="2"/>
        <w:ind w:left="0" w:leftChars="0" w:firstLine="0" w:firstLineChars="0"/>
        <w:rPr>
          <w:rFonts w:ascii="仿宋_GB2312" w:hAnsi="仿宋" w:eastAsia="仿宋_GB2312"/>
          <w:color w:val="auto"/>
          <w:szCs w:val="24"/>
          <w:highlight w:val="none"/>
        </w:rPr>
      </w:pPr>
    </w:p>
    <w:p>
      <w:pPr>
        <w:rPr>
          <w:color w:val="auto"/>
          <w:highlight w:val="none"/>
        </w:rPr>
      </w:pPr>
    </w:p>
    <w:p>
      <w:pPr>
        <w:pStyle w:val="27"/>
        <w:pageBreakBefore w:val="0"/>
        <w:kinsoku/>
        <w:bidi w:val="0"/>
        <w:spacing w:beforeAutospacing="0" w:afterAutospacing="0" w:line="440" w:lineRule="exact"/>
        <w:ind w:right="480" w:firstLine="0"/>
        <w:jc w:val="center"/>
        <w:rPr>
          <w:color w:val="auto"/>
          <w:szCs w:val="24"/>
          <w:highlight w:val="none"/>
        </w:rPr>
      </w:pPr>
      <w:r>
        <w:rPr>
          <w:rFonts w:hint="eastAsia"/>
          <w:b/>
          <w:color w:val="auto"/>
          <w:sz w:val="32"/>
          <w:szCs w:val="32"/>
          <w:highlight w:val="none"/>
        </w:rPr>
        <w:t>残疾人福利性单位声明函</w:t>
      </w:r>
    </w:p>
    <w:p>
      <w:pPr>
        <w:pStyle w:val="27"/>
        <w:pageBreakBefore w:val="0"/>
        <w:kinsoku/>
        <w:bidi w:val="0"/>
        <w:spacing w:beforeAutospacing="0" w:afterAutospacing="0" w:line="440" w:lineRule="exact"/>
        <w:ind w:right="482" w:firstLine="480" w:firstLineChars="200"/>
        <w:jc w:val="left"/>
        <w:rPr>
          <w:rFonts w:hint="eastAsia"/>
          <w:color w:val="auto"/>
          <w:szCs w:val="24"/>
          <w:highlight w:val="none"/>
        </w:rPr>
      </w:pPr>
    </w:p>
    <w:p>
      <w:pPr>
        <w:pStyle w:val="27"/>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pPr>
        <w:pStyle w:val="838"/>
        <w:pageBreakBefore w:val="0"/>
        <w:kinsoku/>
        <w:bidi w:val="0"/>
        <w:snapToGrid w:val="0"/>
        <w:spacing w:beforeAutospacing="0" w:afterAutospacing="0" w:line="440" w:lineRule="exact"/>
        <w:rPr>
          <w:rFonts w:ascii="仿宋" w:hAnsi="仿宋"/>
          <w:color w:val="auto"/>
          <w:szCs w:val="24"/>
          <w:highlight w:val="none"/>
        </w:rPr>
      </w:pPr>
      <w:r>
        <w:rPr>
          <w:rFonts w:hint="eastAsia"/>
          <w:color w:val="auto"/>
          <w:szCs w:val="24"/>
          <w:highlight w:val="none"/>
        </w:rPr>
        <w:br w:type="textWrapping"/>
      </w: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color w:val="auto"/>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ind w:firstLine="482" w:firstLineChars="200"/>
        <w:jc w:val="center"/>
        <w:rPr>
          <w:b/>
          <w:color w:val="auto"/>
          <w:highlight w:val="none"/>
        </w:rPr>
      </w:pPr>
    </w:p>
    <w:p>
      <w:pPr>
        <w:pageBreakBefore w:val="0"/>
        <w:widowControl/>
        <w:kinsoku/>
        <w:bidi w:val="0"/>
        <w:spacing w:beforeAutospacing="0" w:afterAutospacing="0" w:line="440" w:lineRule="exact"/>
        <w:ind w:firstLine="480" w:firstLineChars="200"/>
        <w:jc w:val="left"/>
        <w:rPr>
          <w:color w:val="auto"/>
          <w:kern w:val="0"/>
          <w:highlight w:val="none"/>
        </w:rPr>
      </w:pPr>
    </w:p>
    <w:p>
      <w:pPr>
        <w:pStyle w:val="2"/>
        <w:pageBreakBefore w:val="0"/>
        <w:kinsoku/>
        <w:bidi w:val="0"/>
        <w:spacing w:before="0" w:beforeAutospacing="0" w:after="0" w:afterAutospacing="0" w:line="440" w:lineRule="exact"/>
        <w:rPr>
          <w:color w:val="auto"/>
          <w:kern w:val="0"/>
          <w:highlight w:val="none"/>
        </w:rPr>
      </w:pPr>
    </w:p>
    <w:p>
      <w:pPr>
        <w:pageBreakBefore w:val="0"/>
        <w:kinsoku/>
        <w:bidi w:val="0"/>
        <w:spacing w:beforeAutospacing="0" w:afterAutospacing="0" w:line="440" w:lineRule="exact"/>
        <w:rPr>
          <w:color w:val="auto"/>
          <w:kern w:val="0"/>
          <w:highlight w:val="none"/>
        </w:rPr>
      </w:pPr>
    </w:p>
    <w:p>
      <w:pPr>
        <w:pageBreakBefore w:val="0"/>
        <w:kinsoku/>
        <w:bidi w:val="0"/>
        <w:spacing w:beforeAutospacing="0" w:afterAutospacing="0" w:line="440" w:lineRule="exact"/>
        <w:rPr>
          <w:color w:val="auto"/>
          <w:kern w:val="0"/>
          <w:highlight w:val="none"/>
        </w:rPr>
      </w:pPr>
    </w:p>
    <w:p>
      <w:pPr>
        <w:pStyle w:val="106"/>
        <w:rPr>
          <w:color w:val="auto"/>
          <w:kern w:val="0"/>
          <w:highlight w:val="none"/>
        </w:rPr>
      </w:pPr>
    </w:p>
    <w:p>
      <w:pPr>
        <w:rPr>
          <w:color w:val="auto"/>
          <w:kern w:val="0"/>
          <w:highlight w:val="none"/>
        </w:rPr>
      </w:pPr>
    </w:p>
    <w:p>
      <w:pPr>
        <w:pStyle w:val="106"/>
        <w:rPr>
          <w:color w:val="auto"/>
          <w:kern w:val="0"/>
          <w:highlight w:val="none"/>
        </w:rPr>
      </w:pPr>
    </w:p>
    <w:p>
      <w:pPr>
        <w:rPr>
          <w:color w:val="auto"/>
          <w:kern w:val="0"/>
          <w:highlight w:val="none"/>
        </w:rPr>
      </w:pPr>
    </w:p>
    <w:p>
      <w:pPr>
        <w:pStyle w:val="106"/>
        <w:rPr>
          <w:color w:val="auto"/>
          <w:kern w:val="0"/>
          <w:highlight w:val="none"/>
        </w:rPr>
      </w:pPr>
    </w:p>
    <w:p>
      <w:pPr>
        <w:rPr>
          <w:color w:val="auto"/>
          <w:kern w:val="0"/>
          <w:highlight w:val="none"/>
        </w:rPr>
      </w:pPr>
    </w:p>
    <w:p>
      <w:pPr>
        <w:pStyle w:val="2"/>
        <w:rPr>
          <w:color w:val="auto"/>
          <w:kern w:val="0"/>
          <w:highlight w:val="none"/>
        </w:rPr>
      </w:pPr>
    </w:p>
    <w:p>
      <w:pPr>
        <w:pStyle w:val="6"/>
        <w:spacing w:before="156" w:after="156"/>
        <w:ind w:left="0" w:leftChars="0" w:firstLine="0" w:firstLineChars="0"/>
        <w:jc w:val="both"/>
        <w:rPr>
          <w:rFonts w:hint="eastAsia"/>
          <w:color w:val="auto"/>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color w:val="auto"/>
          <w:sz w:val="30"/>
          <w:szCs w:val="30"/>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color w:val="auto"/>
          <w:sz w:val="32"/>
          <w:szCs w:val="32"/>
          <w:highlight w:val="none"/>
        </w:rPr>
      </w:pPr>
      <w:r>
        <w:rPr>
          <w:b/>
          <w:color w:val="auto"/>
          <w:sz w:val="32"/>
          <w:szCs w:val="32"/>
          <w:highlight w:val="none"/>
        </w:rPr>
        <w:br w:type="page"/>
      </w:r>
    </w:p>
    <w:p>
      <w:pPr>
        <w:pageBreakBefore w:val="0"/>
        <w:kinsoku/>
        <w:bidi w:val="0"/>
        <w:spacing w:beforeAutospacing="0" w:afterAutospacing="0" w:line="440" w:lineRule="exact"/>
        <w:jc w:val="center"/>
        <w:rPr>
          <w:rFonts w:hint="eastAsia"/>
          <w:b/>
          <w:bCs/>
          <w:color w:val="auto"/>
          <w:sz w:val="30"/>
          <w:szCs w:val="30"/>
          <w:highlight w:val="none"/>
        </w:rPr>
      </w:pPr>
    </w:p>
    <w:p>
      <w:pPr>
        <w:pageBreakBefore w:val="0"/>
        <w:kinsoku/>
        <w:bidi w:val="0"/>
        <w:spacing w:beforeAutospacing="0" w:afterAutospacing="0" w:line="440" w:lineRule="exact"/>
        <w:jc w:val="center"/>
        <w:rPr>
          <w:b/>
          <w:bCs/>
          <w:color w:val="auto"/>
          <w:sz w:val="30"/>
          <w:szCs w:val="30"/>
          <w:highlight w:val="none"/>
        </w:rPr>
      </w:pPr>
      <w:r>
        <w:rPr>
          <w:rFonts w:hint="eastAsia"/>
          <w:b/>
          <w:bCs/>
          <w:color w:val="auto"/>
          <w:sz w:val="30"/>
          <w:szCs w:val="30"/>
          <w:highlight w:val="none"/>
        </w:rPr>
        <w:t>商务技术评分索引</w:t>
      </w:r>
    </w:p>
    <w:p>
      <w:pPr>
        <w:pageBreakBefore w:val="0"/>
        <w:kinsoku/>
        <w:bidi w:val="0"/>
        <w:spacing w:beforeAutospacing="0" w:afterAutospacing="0" w:line="440" w:lineRule="exact"/>
        <w:jc w:val="center"/>
        <w:rPr>
          <w:color w:val="auto"/>
          <w:highlight w:val="none"/>
        </w:rPr>
      </w:pPr>
      <w:r>
        <w:rPr>
          <w:rFonts w:hint="eastAsia"/>
          <w:color w:val="auto"/>
          <w:highlight w:val="none"/>
        </w:rPr>
        <w:t>（此表请放于商务技术投标文件正文首页）</w:t>
      </w:r>
    </w:p>
    <w:p>
      <w:pPr>
        <w:pageBreakBefore w:val="0"/>
        <w:kinsoku/>
        <w:bidi w:val="0"/>
        <w:spacing w:beforeAutospacing="0" w:afterAutospacing="0" w:line="440" w:lineRule="exact"/>
        <w:ind w:firstLine="240" w:firstLineChars="100"/>
        <w:jc w:val="both"/>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富阳非物质文化遗产馆第三方运营服务采购项目</w:t>
      </w:r>
    </w:p>
    <w:tbl>
      <w:tblPr>
        <w:tblStyle w:val="90"/>
        <w:tblW w:w="0" w:type="auto"/>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09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 xml:space="preserve">投标文件内容 </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授权委托书（格式见附件）</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c>
          <w:tcPr>
            <w:tcW w:w="6090"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lang w:eastAsia="zh-CN"/>
              </w:rPr>
              <w:t>投标函</w:t>
            </w:r>
            <w:r>
              <w:rPr>
                <w:rFonts w:hint="eastAsia"/>
                <w:color w:val="auto"/>
                <w:highlight w:val="none"/>
              </w:rPr>
              <w:t>（格式见附件）；</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6090"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政府采购供应商廉洁自律承诺书 （格式见附件）；</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6090"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rPr>
              <w:t>廉政承诺书</w:t>
            </w:r>
            <w:r>
              <w:rPr>
                <w:rFonts w:hint="eastAsia"/>
                <w:color w:val="auto"/>
                <w:highlight w:val="none"/>
              </w:rPr>
              <w:t>（格式见附件）；</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tc>
        <w:tc>
          <w:tcPr>
            <w:tcW w:w="6090"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分包意向协议（若有）</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6</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color w:val="auto"/>
                <w:kern w:val="3"/>
                <w:sz w:val="24"/>
                <w:szCs w:val="24"/>
                <w:highlight w:val="none"/>
                <w:lang w:val="en-US" w:eastAsia="zh-CN" w:bidi="ar-SA"/>
              </w:rPr>
              <w:t>投标人情况介绍(格式见附件)；</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7</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8</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9</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10</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90"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395" w:type="dxa"/>
            <w:vAlign w:val="top"/>
          </w:tcPr>
          <w:p>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r>
    </w:tbl>
    <w:p>
      <w:pPr>
        <w:pageBreakBefore w:val="0"/>
        <w:kinsoku/>
        <w:bidi w:val="0"/>
        <w:spacing w:beforeAutospacing="0" w:afterAutospacing="0" w:line="440" w:lineRule="exact"/>
        <w:rPr>
          <w:b/>
          <w:color w:val="auto"/>
          <w:sz w:val="32"/>
          <w:szCs w:val="32"/>
          <w:highlight w:val="none"/>
        </w:rPr>
      </w:pPr>
    </w:p>
    <w:p>
      <w:pPr>
        <w:pStyle w:val="2"/>
        <w:pageBreakBefore w:val="0"/>
        <w:kinsoku/>
        <w:bidi w:val="0"/>
        <w:spacing w:before="0" w:beforeAutospacing="0" w:after="0" w:afterAutospacing="0" w:line="440" w:lineRule="exact"/>
        <w:rPr>
          <w:b/>
          <w:color w:val="auto"/>
          <w:sz w:val="32"/>
          <w:szCs w:val="32"/>
          <w:highlight w:val="none"/>
        </w:rPr>
      </w:pPr>
    </w:p>
    <w:p>
      <w:pPr>
        <w:pageBreakBefore w:val="0"/>
        <w:kinsoku/>
        <w:bidi w:val="0"/>
        <w:spacing w:beforeAutospacing="0" w:afterAutospacing="0" w:line="440" w:lineRule="exact"/>
        <w:rPr>
          <w:b/>
          <w:color w:val="auto"/>
          <w:sz w:val="32"/>
          <w:szCs w:val="32"/>
          <w:highlight w:val="none"/>
        </w:rPr>
      </w:pPr>
    </w:p>
    <w:p>
      <w:pPr>
        <w:pStyle w:val="106"/>
        <w:rPr>
          <w:color w:val="auto"/>
          <w:highlight w:val="none"/>
        </w:rPr>
      </w:pPr>
    </w:p>
    <w:p>
      <w:pPr>
        <w:pageBreakBefore w:val="0"/>
        <w:kinsoku/>
        <w:bidi w:val="0"/>
        <w:spacing w:beforeAutospacing="0" w:afterAutospacing="0" w:line="440" w:lineRule="exact"/>
        <w:rPr>
          <w:color w:val="auto"/>
          <w:highlight w:val="none"/>
        </w:rPr>
      </w:pPr>
    </w:p>
    <w:p>
      <w:pPr>
        <w:pStyle w:val="50"/>
        <w:rPr>
          <w:color w:val="auto"/>
          <w:highlight w:val="none"/>
        </w:rPr>
      </w:pPr>
    </w:p>
    <w:p>
      <w:pPr>
        <w:pageBreakBefore w:val="0"/>
        <w:kinsoku/>
        <w:bidi w:val="0"/>
        <w:snapToGrid w:val="0"/>
        <w:spacing w:beforeAutospacing="0" w:afterAutospacing="0" w:line="440" w:lineRule="exact"/>
        <w:jc w:val="center"/>
        <w:rPr>
          <w:rFonts w:hint="eastAsia"/>
          <w:b/>
          <w:color w:val="auto"/>
          <w:sz w:val="32"/>
          <w:szCs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pStyle w:val="50"/>
        <w:rPr>
          <w:rFonts w:hint="eastAsia"/>
          <w:color w:val="auto"/>
          <w:highlight w:val="none"/>
        </w:rPr>
      </w:pPr>
    </w:p>
    <w:p>
      <w:pPr>
        <w:pStyle w:val="54"/>
        <w:rPr>
          <w:rFonts w:hint="eastAsia"/>
          <w:color w:val="auto"/>
          <w:highlight w:val="none"/>
        </w:rPr>
      </w:pPr>
    </w:p>
    <w:p>
      <w:pPr>
        <w:rPr>
          <w:rFonts w:hint="eastAsia"/>
          <w:color w:val="auto"/>
          <w:highlight w:val="none"/>
        </w:rPr>
      </w:pPr>
    </w:p>
    <w:p>
      <w:pPr>
        <w:pStyle w:val="50"/>
        <w:rPr>
          <w:rFonts w:hint="eastAsia"/>
          <w:color w:val="auto"/>
          <w:highlight w:val="none"/>
        </w:rPr>
      </w:pPr>
    </w:p>
    <w:p>
      <w:pPr>
        <w:pStyle w:val="54"/>
        <w:rPr>
          <w:rFonts w:hint="eastAsia"/>
          <w:color w:val="auto"/>
          <w:highlight w:val="none"/>
        </w:rPr>
      </w:pPr>
    </w:p>
    <w:p>
      <w:pPr>
        <w:rPr>
          <w:rFonts w:hint="eastAsia"/>
          <w:color w:val="auto"/>
          <w:highlight w:val="none"/>
        </w:rPr>
      </w:pPr>
    </w:p>
    <w:p>
      <w:pPr>
        <w:pStyle w:val="50"/>
        <w:rPr>
          <w:rFonts w:hint="eastAsia"/>
          <w:color w:val="auto"/>
          <w:highlight w:val="none"/>
        </w:rPr>
      </w:pPr>
    </w:p>
    <w:p>
      <w:pPr>
        <w:pStyle w:val="54"/>
        <w:rPr>
          <w:rFonts w:hint="eastAsia"/>
          <w:color w:val="auto"/>
          <w:highlight w:val="none"/>
        </w:rPr>
      </w:pPr>
    </w:p>
    <w:p>
      <w:pPr>
        <w:rPr>
          <w:rFonts w:hint="eastAsia"/>
          <w:color w:val="auto"/>
          <w:highlight w:val="none"/>
        </w:rPr>
      </w:pPr>
    </w:p>
    <w:p>
      <w:pPr>
        <w:pStyle w:val="50"/>
        <w:rPr>
          <w:rFonts w:hint="eastAsia"/>
          <w:color w:val="auto"/>
          <w:highlight w:val="none"/>
        </w:rPr>
      </w:pPr>
    </w:p>
    <w:p>
      <w:pPr>
        <w:pStyle w:val="54"/>
        <w:rPr>
          <w:rFonts w:hint="eastAsia"/>
          <w:color w:val="auto"/>
          <w:highlight w:val="none"/>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pPr>
        <w:snapToGrid w:val="0"/>
        <w:spacing w:line="360" w:lineRule="auto"/>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pPr>
        <w:snapToGrid w:val="0"/>
        <w:spacing w:line="360" w:lineRule="auto"/>
        <w:rPr>
          <w:rFonts w:ascii="宋体" w:hAnsi="宋体" w:cs="宋体"/>
          <w:color w:val="auto"/>
          <w:kern w:val="0"/>
          <w:highlight w:val="none"/>
          <w:u w:val="single"/>
        </w:rPr>
      </w:pP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b/>
          <w:color w:val="auto"/>
          <w:kern w:val="0"/>
          <w:sz w:val="32"/>
          <w:szCs w:val="32"/>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ind w:firstLine="480"/>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ind w:firstLine="5760" w:firstLineChars="2400"/>
        <w:textAlignment w:val="auto"/>
        <w:rPr>
          <w:rFonts w:ascii="宋体" w:hAnsi="宋体" w:cs="宋体"/>
          <w:color w:val="auto"/>
          <w:highlight w:val="none"/>
        </w:rPr>
      </w:pPr>
      <w:r>
        <w:rPr>
          <w:rFonts w:hint="eastAsia" w:ascii="宋体" w:hAnsi="宋体" w:cs="宋体"/>
          <w:color w:val="auto"/>
          <w:kern w:val="0"/>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pPr>
        <w:snapToGrid w:val="0"/>
        <w:spacing w:line="360" w:lineRule="auto"/>
        <w:ind w:right="480" w:firstLine="0" w:firstLineChars="0"/>
        <w:jc w:val="both"/>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025"/>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pacing w:line="360" w:lineRule="auto"/>
        <w:ind w:firstLine="480"/>
        <w:jc w:val="center"/>
        <w:rPr>
          <w:rFonts w:ascii="宋体" w:hAnsi="宋体" w:cs="宋体"/>
          <w:color w:val="auto"/>
          <w:kern w:val="0"/>
          <w:highlight w:val="none"/>
          <w:lang w:val="zh-CN"/>
        </w:rPr>
      </w:pPr>
    </w:p>
    <w:p>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pPr>
        <w:snapToGrid w:val="0"/>
        <w:spacing w:line="360" w:lineRule="auto"/>
        <w:ind w:right="48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pPr>
        <w:spacing w:before="156" w:beforeLines="50" w:after="156" w:afterLines="50"/>
        <w:ind w:firstLine="480"/>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rPr>
        <w:t xml:space="preserve">         </w:t>
      </w:r>
      <w:r>
        <w:rPr>
          <w:rFonts w:hint="eastAsia"/>
          <w:color w:val="auto"/>
          <w:highlight w:val="none"/>
          <w:u w:val="single"/>
          <w:lang w:eastAsia="zh-CN"/>
        </w:rPr>
        <w:t>富阳非物质文化遗产馆第三方运营服务采购项目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（1）符合参加政府采购活动应当具备的一般条件的承诺函（格式见附件）；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）联合协议（若有）（格式见附件）；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）落实政府采购政策需满足的资格要求（若</w:t>
      </w:r>
      <w:r>
        <w:rPr>
          <w:rFonts w:hint="eastAsia" w:cs="仿宋"/>
          <w:color w:val="auto"/>
          <w:szCs w:val="24"/>
          <w:highlight w:val="none"/>
          <w:lang w:val="en-US" w:eastAsia="zh-CN"/>
        </w:rPr>
        <w:t>适用</w:t>
      </w:r>
      <w:r>
        <w:rPr>
          <w:rFonts w:hint="eastAsia" w:ascii="仿宋" w:hAnsi="仿宋" w:cs="仿宋"/>
          <w:color w:val="auto"/>
          <w:szCs w:val="24"/>
          <w:highlight w:val="none"/>
        </w:rPr>
        <w:t>）（格式见附件）；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）特定资格条件要求的资质文件（若有）；</w:t>
      </w:r>
    </w:p>
    <w:p>
      <w:pPr>
        <w:ind w:firstLine="480"/>
        <w:rPr>
          <w:rFonts w:hint="eastAsia" w:ascii="仿宋" w:hAnsi="仿宋" w:cs="仿宋"/>
          <w:color w:val="auto"/>
          <w:szCs w:val="24"/>
          <w:highlight w:val="none"/>
          <w:lang w:eastAsia="zh-CN"/>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lang w:eastAsia="zh-CN"/>
        </w:rPr>
        <w:t>）</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pPr>
        <w:ind w:firstLine="480"/>
        <w:rPr>
          <w:rFonts w:hint="eastAsia"/>
          <w:color w:val="auto"/>
          <w:highlight w:val="none"/>
          <w:lang w:eastAsia="zh-CN"/>
        </w:rPr>
      </w:pPr>
      <w:r>
        <w:rPr>
          <w:rFonts w:hint="eastAsia" w:ascii="仿宋" w:hAnsi="仿宋" w:cs="仿宋"/>
          <w:color w:val="auto"/>
          <w:szCs w:val="24"/>
          <w:highlight w:val="none"/>
        </w:rPr>
        <w:t>（</w:t>
      </w:r>
      <w:r>
        <w:rPr>
          <w:rFonts w:hint="eastAsia" w:cs="仿宋"/>
          <w:color w:val="auto"/>
          <w:szCs w:val="24"/>
          <w:highlight w:val="none"/>
          <w:lang w:val="en-US" w:eastAsia="zh-CN"/>
        </w:rPr>
        <w:t>6</w:t>
      </w:r>
      <w:r>
        <w:rPr>
          <w:rFonts w:hint="eastAsia" w:ascii="仿宋" w:hAnsi="仿宋" w:cs="仿宋"/>
          <w:color w:val="auto"/>
          <w:szCs w:val="24"/>
          <w:highlight w:val="none"/>
        </w:rPr>
        <w:t>）中小企业声明函（视情况提供，格式见附件）、残疾人福利性单位声明函（视情况提供，格式见附件）、监狱企业证明文件（视情况提供，格式自拟）</w:t>
      </w:r>
      <w:r>
        <w:rPr>
          <w:rFonts w:hint="eastAsia" w:ascii="仿宋" w:hAnsi="仿宋" w:cs="仿宋"/>
          <w:color w:val="auto"/>
          <w:szCs w:val="24"/>
          <w:highlight w:val="none"/>
          <w:lang w:eastAsia="zh-CN"/>
        </w:rPr>
        <w:t>。</w:t>
      </w:r>
    </w:p>
    <w:p>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（3）符合性审查资料（格式见附件）；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（4）评标标准相应的商务技术资料（格式见附件）；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（5）投标标的清单（格式见附件）；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（6）商务技术偏离表（格式见附件）；</w:t>
      </w:r>
    </w:p>
    <w:p>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rPr>
        <w:t>7</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（1）开标一览表（报价表）（格式见附件）；</w:t>
      </w:r>
    </w:p>
    <w:p>
      <w:pPr>
        <w:ind w:firstLine="480"/>
        <w:rPr>
          <w:rFonts w:hint="eastAsia" w:ascii="仿宋" w:hAnsi="仿宋" w:cs="仿宋"/>
          <w:color w:val="auto"/>
          <w:szCs w:val="24"/>
          <w:highlight w:val="none"/>
        </w:rPr>
      </w:pPr>
      <w:r>
        <w:rPr>
          <w:rFonts w:hint="eastAsia" w:ascii="仿宋" w:hAnsi="仿宋" w:cs="仿宋"/>
          <w:color w:val="auto"/>
          <w:szCs w:val="24"/>
          <w:highlight w:val="none"/>
        </w:rPr>
        <w:t>（2）投标报价明细表（格式自拟）；</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3600" w:firstLineChars="1500"/>
        <w:rPr>
          <w:rFonts w:hint="eastAsia" w:ascii="宋体" w:hAnsi="宋体" w:cs="宋体"/>
          <w:color w:val="auto"/>
          <w:highlight w:val="none"/>
        </w:rPr>
      </w:pPr>
    </w:p>
    <w:p>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left="480" w:leftChars="200" w:firstLine="4200" w:firstLineChars="1750"/>
        <w:rPr>
          <w:rFonts w:ascii="宋体" w:hAnsi="宋体" w:cs="宋体"/>
          <w:color w:val="auto"/>
          <w:kern w:val="0"/>
          <w:highlight w:val="none"/>
          <w:u w:val="single"/>
        </w:rPr>
      </w:pPr>
    </w:p>
    <w:p>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pPr>
        <w:pStyle w:val="6"/>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Style w:val="50"/>
        <w:rPr>
          <w:rFonts w:hint="eastAsia" w:ascii="仿宋_GB2312" w:hAnsi="宋体" w:eastAsia="仿宋_GB2312" w:cs="Times New Roman"/>
          <w:b/>
          <w:color w:val="auto"/>
          <w:kern w:val="2"/>
          <w:sz w:val="32"/>
          <w:szCs w:val="32"/>
          <w:highlight w:val="none"/>
          <w:lang w:val="en-US" w:eastAsia="zh-CN" w:bidi="ar-SA"/>
        </w:rPr>
      </w:pPr>
    </w:p>
    <w:p>
      <w:pPr>
        <w:pStyle w:val="54"/>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Style w:val="50"/>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Style w:val="2"/>
        <w:rPr>
          <w:rFonts w:hint="eastAsia"/>
          <w:color w:val="auto"/>
          <w:highlight w:val="none"/>
          <w:lang w:val="en-US" w:eastAsia="zh-CN"/>
        </w:rPr>
      </w:pPr>
    </w:p>
    <w:p>
      <w:pPr>
        <w:pStyle w:val="54"/>
        <w:rPr>
          <w:rFonts w:hint="eastAsia"/>
          <w:color w:val="auto"/>
          <w:highlight w:val="none"/>
          <w:lang w:val="en-US" w:eastAsia="zh-CN"/>
        </w:rPr>
      </w:pPr>
    </w:p>
    <w:p>
      <w:pPr>
        <w:pStyle w:val="6"/>
        <w:rPr>
          <w:rFonts w:hint="eastAsia" w:ascii="仿宋_GB2312" w:hAnsi="宋体" w:eastAsia="仿宋_GB2312" w:cs="Times New Roman"/>
          <w:b/>
          <w:color w:val="auto"/>
          <w:kern w:val="2"/>
          <w:sz w:val="32"/>
          <w:szCs w:val="32"/>
          <w:highlight w:val="none"/>
          <w:lang w:val="en-US" w:eastAsia="zh-CN" w:bidi="ar-SA"/>
        </w:rPr>
      </w:pPr>
    </w:p>
    <w:p>
      <w:pPr>
        <w:rPr>
          <w:rFonts w:hint="eastAsia"/>
          <w:color w:val="auto"/>
          <w:highlight w:val="none"/>
          <w:lang w:val="en-US" w:eastAsia="zh-CN"/>
        </w:rPr>
      </w:pPr>
    </w:p>
    <w:p>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政府采购供应商廉洁自律承诺书</w:t>
      </w:r>
      <w:r>
        <w:rPr>
          <w:rFonts w:hint="eastAsia" w:ascii="宋体" w:hAnsi="宋体" w:cs="宋体"/>
          <w:color w:val="auto"/>
          <w:sz w:val="24"/>
          <w:highlight w:val="none"/>
        </w:rPr>
        <w:t> </w:t>
      </w:r>
    </w:p>
    <w:p>
      <w:pPr>
        <w:pageBreakBefore w:val="0"/>
        <w:kinsoku/>
        <w:bidi w:val="0"/>
        <w:spacing w:beforeAutospacing="0" w:afterAutospacing="0" w:line="440" w:lineRule="exact"/>
        <w:rPr>
          <w:rFonts w:hint="eastAsia" w:ascii="仿宋_GB2312" w:eastAsia="仿宋_GB2312" w:cs="仿宋_GB2312"/>
          <w:color w:val="auto"/>
          <w:sz w:val="28"/>
          <w:szCs w:val="28"/>
          <w:highlight w:val="none"/>
          <w:lang w:eastAsia="zh-CN"/>
        </w:rPr>
      </w:pPr>
    </w:p>
    <w:p>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lang w:eastAsia="zh-CN"/>
        </w:rPr>
        <w:t>华诚工程咨询集团有限公司</w:t>
      </w:r>
      <w:r>
        <w:rPr>
          <w:rFonts w:hint="eastAsia" w:ascii="仿宋" w:hAnsi="仿宋" w:eastAsia="仿宋" w:cs="仿宋"/>
          <w:color w:val="auto"/>
          <w:sz w:val="24"/>
          <w:szCs w:val="24"/>
          <w:highlight w:val="none"/>
          <w:u w:val="singl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Style w:val="6"/>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color w:val="auto"/>
          <w:sz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lang w:val="zh-CN"/>
        </w:rPr>
        <w:t xml:space="preserve">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color w:val="auto"/>
          <w:sz w:val="24"/>
          <w:highlight w:val="none"/>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pPr>
        <w:pStyle w:val="106"/>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Style w:val="106"/>
        <w:rPr>
          <w:rFonts w:hint="eastAsia" w:ascii="仿宋_GB2312" w:hAnsi="宋体" w:eastAsia="仿宋_GB2312" w:cs="Times New Roman"/>
          <w:b/>
          <w:color w:val="auto"/>
          <w:kern w:val="2"/>
          <w:sz w:val="32"/>
          <w:szCs w:val="32"/>
          <w:highlight w:val="none"/>
          <w:lang w:val="en-US" w:eastAsia="zh-CN" w:bidi="ar-SA"/>
        </w:rPr>
      </w:pPr>
    </w:p>
    <w:p>
      <w:pPr>
        <w:rPr>
          <w:rFonts w:hint="eastAsia" w:ascii="仿宋_GB2312" w:hAnsi="宋体" w:eastAsia="仿宋_GB2312" w:cs="Times New Roman"/>
          <w:b/>
          <w:color w:val="auto"/>
          <w:kern w:val="2"/>
          <w:sz w:val="32"/>
          <w:szCs w:val="32"/>
          <w:highlight w:val="none"/>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pPr>
        <w:pStyle w:val="6"/>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6"/>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6"/>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2"/>
        <w:rPr>
          <w:rFonts w:hint="eastAsia"/>
          <w:color w:val="auto"/>
          <w:highlight w:val="none"/>
        </w:rPr>
      </w:pPr>
    </w:p>
    <w:p>
      <w:pPr>
        <w:rPr>
          <w:rFonts w:hint="eastAsia" w:ascii="仿宋" w:hAnsi="仿宋" w:eastAsia="仿宋" w:cs="仿宋"/>
          <w:b/>
          <w:bCs/>
          <w:color w:val="auto"/>
          <w:sz w:val="24"/>
          <w:szCs w:val="24"/>
          <w:highlight w:val="none"/>
        </w:rPr>
      </w:pPr>
    </w:p>
    <w:p>
      <w:pPr>
        <w:spacing w:before="156"/>
        <w:ind w:firstLine="0" w:firstLineChars="0"/>
        <w:jc w:val="center"/>
        <w:rPr>
          <w:rFonts w:hint="eastAsia" w:ascii="仿宋_GB2312" w:hAnsi="宋体" w:eastAsia="仿宋_GB2312"/>
          <w:b/>
          <w:color w:val="auto"/>
          <w:sz w:val="32"/>
          <w:szCs w:val="32"/>
          <w:highlight w:val="none"/>
        </w:rPr>
      </w:pPr>
    </w:p>
    <w:p>
      <w:pPr>
        <w:pageBreakBefore w:val="0"/>
        <w:kinsoku/>
        <w:bidi w:val="0"/>
        <w:spacing w:beforeAutospacing="0" w:afterAutospacing="0" w:line="440" w:lineRule="exact"/>
        <w:jc w:val="center"/>
        <w:rPr>
          <w:b/>
          <w:color w:val="auto"/>
          <w:sz w:val="32"/>
          <w:szCs w:val="32"/>
          <w:highlight w:val="none"/>
        </w:rPr>
      </w:pPr>
      <w:r>
        <w:rPr>
          <w:rFonts w:hint="eastAsia"/>
          <w:b/>
          <w:color w:val="auto"/>
          <w:sz w:val="32"/>
          <w:szCs w:val="32"/>
          <w:highlight w:val="none"/>
        </w:rPr>
        <w:t>投标人情况介绍</w:t>
      </w:r>
    </w:p>
    <w:p>
      <w:pPr>
        <w:pageBreakBefore w:val="0"/>
        <w:kinsoku/>
        <w:bidi w:val="0"/>
        <w:spacing w:beforeAutospacing="0" w:afterAutospacing="0" w:line="440" w:lineRule="exact"/>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投标人名称</w:t>
            </w:r>
          </w:p>
        </w:tc>
        <w:tc>
          <w:tcPr>
            <w:tcW w:w="6339" w:type="dxa"/>
            <w:gridSpan w:val="5"/>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地址</w:t>
            </w:r>
          </w:p>
        </w:tc>
        <w:tc>
          <w:tcPr>
            <w:tcW w:w="6339" w:type="dxa"/>
            <w:gridSpan w:val="5"/>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经营范围</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企业类型</w:t>
            </w:r>
          </w:p>
        </w:tc>
        <w:tc>
          <w:tcPr>
            <w:tcW w:w="2241" w:type="dxa"/>
            <w:gridSpan w:val="3"/>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成立时间</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经济性质</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法定代表人</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联系电话</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注册资本</w:t>
            </w:r>
          </w:p>
        </w:tc>
        <w:tc>
          <w:tcPr>
            <w:tcW w:w="2118" w:type="dxa"/>
            <w:vMerge w:val="restart"/>
            <w:vAlign w:val="center"/>
          </w:tcPr>
          <w:p>
            <w:pPr>
              <w:pageBreakBefore w:val="0"/>
              <w:kinsoku/>
              <w:bidi w:val="0"/>
              <w:spacing w:beforeAutospacing="0" w:afterAutospacing="0" w:line="440" w:lineRule="exact"/>
              <w:jc w:val="center"/>
              <w:rPr>
                <w:color w:val="auto"/>
                <w:highlight w:val="none"/>
              </w:rPr>
            </w:pPr>
          </w:p>
        </w:tc>
        <w:tc>
          <w:tcPr>
            <w:tcW w:w="1980" w:type="dxa"/>
            <w:vMerge w:val="restart"/>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技术人员数</w:t>
            </w:r>
          </w:p>
        </w:tc>
        <w:tc>
          <w:tcPr>
            <w:tcW w:w="72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高级</w:t>
            </w:r>
          </w:p>
        </w:tc>
        <w:tc>
          <w:tcPr>
            <w:tcW w:w="72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中级</w:t>
            </w:r>
          </w:p>
        </w:tc>
        <w:tc>
          <w:tcPr>
            <w:tcW w:w="801"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rPr>
                <w:color w:val="auto"/>
                <w:highlight w:val="none"/>
              </w:rPr>
            </w:pPr>
          </w:p>
        </w:tc>
        <w:tc>
          <w:tcPr>
            <w:tcW w:w="2118" w:type="dxa"/>
            <w:vMerge w:val="continue"/>
            <w:vAlign w:val="center"/>
          </w:tcPr>
          <w:p>
            <w:pPr>
              <w:pageBreakBefore w:val="0"/>
              <w:kinsoku/>
              <w:bidi w:val="0"/>
              <w:spacing w:beforeAutospacing="0" w:afterAutospacing="0" w:line="440" w:lineRule="exact"/>
              <w:jc w:val="center"/>
              <w:rPr>
                <w:color w:val="auto"/>
                <w:highlight w:val="none"/>
              </w:rPr>
            </w:pPr>
          </w:p>
        </w:tc>
        <w:tc>
          <w:tcPr>
            <w:tcW w:w="1980" w:type="dxa"/>
            <w:vMerge w:val="continue"/>
            <w:vAlign w:val="center"/>
          </w:tcPr>
          <w:p>
            <w:pPr>
              <w:pageBreakBefore w:val="0"/>
              <w:kinsoku/>
              <w:bidi w:val="0"/>
              <w:spacing w:beforeAutospacing="0" w:afterAutospacing="0" w:line="440" w:lineRule="exact"/>
              <w:jc w:val="center"/>
              <w:rPr>
                <w:color w:val="auto"/>
                <w:highlight w:val="none"/>
              </w:rPr>
            </w:pPr>
          </w:p>
        </w:tc>
        <w:tc>
          <w:tcPr>
            <w:tcW w:w="720" w:type="dxa"/>
            <w:vAlign w:val="center"/>
          </w:tcPr>
          <w:p>
            <w:pPr>
              <w:pageBreakBefore w:val="0"/>
              <w:kinsoku/>
              <w:bidi w:val="0"/>
              <w:spacing w:beforeAutospacing="0" w:afterAutospacing="0" w:line="440" w:lineRule="exact"/>
              <w:jc w:val="center"/>
              <w:rPr>
                <w:color w:val="auto"/>
                <w:highlight w:val="none"/>
              </w:rPr>
            </w:pPr>
          </w:p>
        </w:tc>
        <w:tc>
          <w:tcPr>
            <w:tcW w:w="720" w:type="dxa"/>
            <w:vAlign w:val="center"/>
          </w:tcPr>
          <w:p>
            <w:pPr>
              <w:pageBreakBefore w:val="0"/>
              <w:kinsoku/>
              <w:bidi w:val="0"/>
              <w:spacing w:beforeAutospacing="0" w:afterAutospacing="0" w:line="440" w:lineRule="exact"/>
              <w:jc w:val="center"/>
              <w:rPr>
                <w:color w:val="auto"/>
                <w:highlight w:val="none"/>
              </w:rPr>
            </w:pPr>
          </w:p>
        </w:tc>
        <w:tc>
          <w:tcPr>
            <w:tcW w:w="801" w:type="dxa"/>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资产总额</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所有者权益</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工商登记号</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税务登记号</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是否依法纳税</w:t>
            </w:r>
          </w:p>
        </w:tc>
        <w:tc>
          <w:tcPr>
            <w:tcW w:w="2118" w:type="dxa"/>
            <w:vAlign w:val="center"/>
          </w:tcPr>
          <w:p>
            <w:pPr>
              <w:pageBreakBefore w:val="0"/>
              <w:kinsoku/>
              <w:bidi w:val="0"/>
              <w:spacing w:beforeAutospacing="0" w:afterAutospacing="0" w:line="440" w:lineRule="exact"/>
              <w:jc w:val="center"/>
              <w:rPr>
                <w:color w:val="auto"/>
                <w:highlight w:val="none"/>
              </w:rPr>
            </w:pPr>
          </w:p>
        </w:tc>
        <w:tc>
          <w:tcPr>
            <w:tcW w:w="1980"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是否参加社保</w:t>
            </w:r>
          </w:p>
        </w:tc>
        <w:tc>
          <w:tcPr>
            <w:tcW w:w="2241" w:type="dxa"/>
            <w:gridSpan w:val="3"/>
            <w:vAlign w:val="center"/>
          </w:tcPr>
          <w:p>
            <w:pPr>
              <w:pageBreakBefore w:val="0"/>
              <w:kinsoku/>
              <w:bidi w:val="0"/>
              <w:spacing w:beforeAutospacing="0" w:afterAutospacing="0"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pageBreakBefore w:val="0"/>
              <w:kinsoku/>
              <w:bidi w:val="0"/>
              <w:spacing w:beforeAutospacing="0" w:afterAutospacing="0" w:line="440" w:lineRule="exact"/>
              <w:jc w:val="center"/>
              <w:rPr>
                <w:color w:val="auto"/>
                <w:highlight w:val="none"/>
              </w:rPr>
            </w:pPr>
            <w:r>
              <w:rPr>
                <w:rFonts w:hint="eastAsia"/>
                <w:color w:val="auto"/>
                <w:highlight w:val="none"/>
              </w:rPr>
              <w:t>售后服务机构情况</w:t>
            </w:r>
          </w:p>
        </w:tc>
        <w:tc>
          <w:tcPr>
            <w:tcW w:w="6339" w:type="dxa"/>
            <w:gridSpan w:val="5"/>
            <w:vAlign w:val="center"/>
          </w:tcPr>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名称：</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地址：</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人员状况：</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联系方式：</w:t>
            </w:r>
          </w:p>
          <w:p>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（可另附纸说明）</w:t>
            </w:r>
          </w:p>
        </w:tc>
      </w:tr>
    </w:tbl>
    <w:p>
      <w:pPr>
        <w:pageBreakBefore w:val="0"/>
        <w:kinsoku/>
        <w:bidi w:val="0"/>
        <w:spacing w:beforeAutospacing="0" w:afterAutospacing="0" w:line="440" w:lineRule="exact"/>
        <w:ind w:firstLine="480" w:firstLineChars="200"/>
        <w:rPr>
          <w:color w:val="auto"/>
          <w:highlight w:val="none"/>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right="600"/>
        <w:rPr>
          <w:color w:val="auto"/>
          <w:highlight w:val="none"/>
          <w:u w:val="single"/>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pPr>
        <w:rPr>
          <w:color w:val="auto"/>
          <w:highlight w:val="none"/>
        </w:rPr>
      </w:pPr>
    </w:p>
    <w:p>
      <w:pPr>
        <w:pStyle w:val="6"/>
        <w:pageBreakBefore w:val="0"/>
        <w:kinsoku/>
        <w:bidi w:val="0"/>
        <w:spacing w:before="0" w:beforeAutospacing="0" w:after="0" w:afterAutospacing="0" w:line="440" w:lineRule="exact"/>
        <w:ind w:left="0" w:leftChars="0" w:firstLine="0" w:firstLineChars="0"/>
        <w:jc w:val="both"/>
        <w:rPr>
          <w:color w:val="auto"/>
          <w:highlight w:val="none"/>
        </w:rPr>
      </w:pPr>
    </w:p>
    <w:p>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p>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类似项目业绩表</w:t>
      </w:r>
    </w:p>
    <w:p>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项目类型</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简要描述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项目投资（万元）</w:t>
            </w:r>
          </w:p>
        </w:tc>
        <w:tc>
          <w:tcPr>
            <w:tcW w:w="1218" w:type="dxa"/>
          </w:tcPr>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起止日期</w:t>
            </w:r>
          </w:p>
        </w:tc>
        <w:tc>
          <w:tcPr>
            <w:tcW w:w="1417"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项目地址与建设单位联系电话</w:t>
            </w:r>
          </w:p>
        </w:tc>
        <w:tc>
          <w:tcPr>
            <w:tcW w:w="1253"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bl>
    <w:p>
      <w:pPr>
        <w:pStyle w:val="838"/>
        <w:pageBreakBefore w:val="0"/>
        <w:kinsoku/>
        <w:bidi w:val="0"/>
        <w:snapToGrid w:val="0"/>
        <w:spacing w:beforeAutospacing="0" w:afterAutospacing="0" w:line="440" w:lineRule="exact"/>
        <w:rPr>
          <w:rFonts w:hint="default"/>
          <w:b/>
          <w:color w:val="auto"/>
          <w:sz w:val="24"/>
          <w:szCs w:val="24"/>
          <w:highlight w:val="none"/>
          <w:lang w:val="en-US" w:eastAsia="zh-CN"/>
        </w:rPr>
      </w:pPr>
      <w:r>
        <w:rPr>
          <w:rFonts w:hint="eastAsia"/>
          <w:b/>
          <w:color w:val="auto"/>
          <w:sz w:val="24"/>
          <w:szCs w:val="24"/>
          <w:highlight w:val="none"/>
          <w:lang w:val="en-US" w:eastAsia="zh-CN"/>
        </w:rPr>
        <w:t>注：响应人可按上述的格式自行编制，须随表提交相应的证明材料复印件，并加盖投标单位公章。</w:t>
      </w:r>
    </w:p>
    <w:p>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right="600"/>
        <w:rPr>
          <w:color w:val="auto"/>
          <w:highlight w:val="none"/>
          <w:u w:val="single"/>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106"/>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pStyle w:val="106"/>
        <w:rPr>
          <w:rFonts w:ascii="仿宋_GB2312" w:hAnsi="仿宋" w:eastAsia="仿宋_GB2312"/>
          <w:b/>
          <w:color w:val="auto"/>
          <w:sz w:val="32"/>
          <w:highlight w:val="none"/>
        </w:rPr>
      </w:pPr>
    </w:p>
    <w:p>
      <w:pPr>
        <w:rPr>
          <w:rFonts w:ascii="仿宋_GB2312" w:hAnsi="仿宋" w:eastAsia="仿宋_GB2312"/>
          <w:b/>
          <w:color w:val="auto"/>
          <w:sz w:val="32"/>
          <w:highlight w:val="none"/>
        </w:rPr>
      </w:pPr>
    </w:p>
    <w:p>
      <w:pPr>
        <w:spacing w:before="120"/>
        <w:jc w:val="center"/>
        <w:rPr>
          <w:rFonts w:hint="eastAsia" w:ascii="仿宋_GB2312" w:eastAsia="仿宋_GB2312"/>
          <w:b/>
          <w:color w:val="auto"/>
          <w:sz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184" w:type="dxa"/>
            <w:noWrap w:val="0"/>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16" w:type="dxa"/>
            <w:noWrap w:val="0"/>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2105" w:type="dxa"/>
            <w:noWrap w:val="0"/>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184" w:type="dxa"/>
            <w:noWrap w:val="0"/>
            <w:vAlign w:val="center"/>
          </w:tcPr>
          <w:p>
            <w:pPr>
              <w:ind w:firstLine="643"/>
              <w:jc w:val="center"/>
              <w:rPr>
                <w:rFonts w:ascii="宋体" w:hAnsi="宋体" w:cs="宋体"/>
                <w:b/>
                <w:color w:val="auto"/>
                <w:kern w:val="0"/>
                <w:sz w:val="32"/>
                <w:szCs w:val="32"/>
                <w:highlight w:val="none"/>
              </w:rPr>
            </w:pPr>
          </w:p>
        </w:tc>
        <w:tc>
          <w:tcPr>
            <w:tcW w:w="3216" w:type="dxa"/>
            <w:noWrap w:val="0"/>
            <w:vAlign w:val="center"/>
          </w:tcPr>
          <w:p>
            <w:pPr>
              <w:ind w:firstLine="643"/>
              <w:jc w:val="center"/>
              <w:rPr>
                <w:rFonts w:ascii="宋体" w:hAnsi="宋体" w:cs="宋体"/>
                <w:b/>
                <w:color w:val="auto"/>
                <w:kern w:val="0"/>
                <w:sz w:val="32"/>
                <w:szCs w:val="32"/>
                <w:highlight w:val="none"/>
              </w:rPr>
            </w:pPr>
          </w:p>
        </w:tc>
        <w:tc>
          <w:tcPr>
            <w:tcW w:w="2105" w:type="dxa"/>
            <w:noWrap w:val="0"/>
            <w:vAlign w:val="center"/>
          </w:tcPr>
          <w:p>
            <w:pPr>
              <w:ind w:firstLine="643"/>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184" w:type="dxa"/>
            <w:noWrap w:val="0"/>
            <w:vAlign w:val="center"/>
          </w:tcPr>
          <w:p>
            <w:pPr>
              <w:ind w:firstLine="643"/>
              <w:jc w:val="center"/>
              <w:rPr>
                <w:rFonts w:ascii="宋体" w:hAnsi="宋体" w:cs="宋体"/>
                <w:b/>
                <w:color w:val="auto"/>
                <w:kern w:val="0"/>
                <w:sz w:val="32"/>
                <w:szCs w:val="32"/>
                <w:highlight w:val="none"/>
              </w:rPr>
            </w:pPr>
          </w:p>
        </w:tc>
        <w:tc>
          <w:tcPr>
            <w:tcW w:w="3216" w:type="dxa"/>
            <w:noWrap w:val="0"/>
            <w:vAlign w:val="center"/>
          </w:tcPr>
          <w:p>
            <w:pPr>
              <w:ind w:firstLine="643"/>
              <w:jc w:val="center"/>
              <w:rPr>
                <w:rFonts w:ascii="宋体" w:hAnsi="宋体" w:cs="宋体"/>
                <w:b/>
                <w:color w:val="auto"/>
                <w:kern w:val="0"/>
                <w:sz w:val="32"/>
                <w:szCs w:val="32"/>
                <w:highlight w:val="none"/>
              </w:rPr>
            </w:pPr>
          </w:p>
        </w:tc>
        <w:tc>
          <w:tcPr>
            <w:tcW w:w="2105" w:type="dxa"/>
            <w:noWrap w:val="0"/>
            <w:vAlign w:val="center"/>
          </w:tcPr>
          <w:p>
            <w:pPr>
              <w:ind w:firstLine="643"/>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184" w:type="dxa"/>
            <w:noWrap w:val="0"/>
            <w:vAlign w:val="center"/>
          </w:tcPr>
          <w:p>
            <w:pPr>
              <w:ind w:firstLine="643"/>
              <w:jc w:val="center"/>
              <w:rPr>
                <w:rFonts w:ascii="宋体" w:hAnsi="宋体" w:cs="宋体"/>
                <w:b/>
                <w:color w:val="auto"/>
                <w:kern w:val="0"/>
                <w:sz w:val="32"/>
                <w:szCs w:val="32"/>
                <w:highlight w:val="none"/>
              </w:rPr>
            </w:pPr>
          </w:p>
        </w:tc>
        <w:tc>
          <w:tcPr>
            <w:tcW w:w="3216" w:type="dxa"/>
            <w:noWrap w:val="0"/>
            <w:vAlign w:val="center"/>
          </w:tcPr>
          <w:p>
            <w:pPr>
              <w:ind w:firstLine="643"/>
              <w:jc w:val="center"/>
              <w:rPr>
                <w:rFonts w:ascii="宋体" w:hAnsi="宋体" w:cs="宋体"/>
                <w:b/>
                <w:color w:val="auto"/>
                <w:kern w:val="0"/>
                <w:sz w:val="32"/>
                <w:szCs w:val="32"/>
                <w:highlight w:val="none"/>
              </w:rPr>
            </w:pPr>
          </w:p>
        </w:tc>
        <w:tc>
          <w:tcPr>
            <w:tcW w:w="2105" w:type="dxa"/>
            <w:noWrap w:val="0"/>
            <w:vAlign w:val="center"/>
          </w:tcPr>
          <w:p>
            <w:pPr>
              <w:ind w:firstLine="643"/>
              <w:jc w:val="center"/>
              <w:rPr>
                <w:rFonts w:ascii="宋体" w:hAnsi="宋体" w:cs="宋体"/>
                <w:b/>
                <w:color w:val="auto"/>
                <w:kern w:val="0"/>
                <w:sz w:val="32"/>
                <w:szCs w:val="32"/>
                <w:highlight w:val="none"/>
              </w:rPr>
            </w:pPr>
          </w:p>
        </w:tc>
      </w:tr>
    </w:tbl>
    <w:p>
      <w:pPr>
        <w:ind w:firstLine="480"/>
        <w:jc w:val="left"/>
        <w:rPr>
          <w:rFonts w:hint="eastAsia" w:ascii="宋体" w:hAnsi="宋体" w:cs="宋体"/>
          <w:color w:val="auto"/>
          <w:kern w:val="0"/>
          <w:highlight w:val="none"/>
        </w:rPr>
      </w:pPr>
      <w:r>
        <w:rPr>
          <w:rFonts w:hint="eastAsia" w:ascii="宋体" w:hAnsi="宋体" w:cs="宋体"/>
          <w:color w:val="auto"/>
          <w:kern w:val="0"/>
          <w:highlight w:val="none"/>
        </w:rPr>
        <w:t>投标人保证：除商务技术偏离表列出的偏离外，投标人响应招标文件的全部要求。</w:t>
      </w:r>
    </w:p>
    <w:p>
      <w:pPr>
        <w:ind w:firstLine="643"/>
        <w:jc w:val="center"/>
        <w:rPr>
          <w:rFonts w:ascii="宋体" w:hAnsi="宋体" w:cs="宋体"/>
          <w:b/>
          <w:color w:val="auto"/>
          <w:kern w:val="0"/>
          <w:sz w:val="32"/>
          <w:szCs w:val="32"/>
          <w:highlight w:val="none"/>
        </w:rPr>
      </w:pPr>
    </w:p>
    <w:p>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pStyle w:val="88"/>
        <w:spacing w:after="0" w:line="480" w:lineRule="auto"/>
        <w:ind w:left="480"/>
        <w:rPr>
          <w:color w:val="auto"/>
          <w:highlight w:val="none"/>
        </w:rPr>
      </w:pPr>
    </w:p>
    <w:p>
      <w:pPr>
        <w:rPr>
          <w:color w:val="auto"/>
          <w:highlight w:val="none"/>
        </w:rPr>
      </w:pPr>
    </w:p>
    <w:p>
      <w:pPr>
        <w:pStyle w:val="838"/>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80" w:lineRule="auto"/>
        <w:rPr>
          <w:b/>
          <w:color w:val="auto"/>
          <w:sz w:val="32"/>
          <w:szCs w:val="32"/>
          <w:highlight w:val="non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年     月     日</w:t>
      </w:r>
    </w:p>
    <w:p>
      <w:pPr>
        <w:pStyle w:val="6"/>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pPr>
        <w:pageBreakBefore w:val="0"/>
        <w:kinsoku/>
        <w:bidi w:val="0"/>
        <w:snapToGrid w:val="0"/>
        <w:spacing w:beforeAutospacing="0" w:afterAutospacing="0" w:line="440" w:lineRule="exact"/>
        <w:ind w:right="600"/>
        <w:jc w:val="center"/>
        <w:rPr>
          <w:rFonts w:hint="eastAsia"/>
          <w:b/>
          <w:color w:val="auto"/>
          <w:sz w:val="30"/>
          <w:szCs w:val="30"/>
          <w:highlight w:val="none"/>
        </w:rPr>
      </w:pPr>
    </w:p>
    <w:p>
      <w:pPr>
        <w:pageBreakBefore w:val="0"/>
        <w:kinsoku/>
        <w:bidi w:val="0"/>
        <w:snapToGrid w:val="0"/>
        <w:spacing w:beforeAutospacing="0" w:afterAutospacing="0" w:line="440" w:lineRule="exact"/>
        <w:ind w:right="600"/>
        <w:jc w:val="center"/>
        <w:rPr>
          <w:rFonts w:hint="eastAsia"/>
          <w:b/>
          <w:color w:val="auto"/>
          <w:sz w:val="30"/>
          <w:szCs w:val="30"/>
          <w:highlight w:val="none"/>
        </w:rPr>
      </w:pPr>
    </w:p>
    <w:p>
      <w:pPr>
        <w:pageBreakBefore w:val="0"/>
        <w:kinsoku/>
        <w:bidi w:val="0"/>
        <w:snapToGrid w:val="0"/>
        <w:spacing w:beforeAutospacing="0" w:afterAutospacing="0"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pPr>
        <w:pStyle w:val="28"/>
        <w:pageBreakBefore w:val="0"/>
        <w:kinsoku/>
        <w:bidi w:val="0"/>
        <w:snapToGrid w:val="0"/>
        <w:spacing w:before="0" w:beforeAutospacing="0" w:after="0" w:afterAutospacing="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参加本单位</w:t>
            </w:r>
          </w:p>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劳动合</w:t>
            </w:r>
          </w:p>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54"/>
              <w:pageBreakBefore w:val="0"/>
              <w:kinsoku/>
              <w:bidi w:val="0"/>
              <w:snapToGrid w:val="0"/>
              <w:spacing w:beforeAutospacing="0" w:afterAutospacing="0"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highlight w:val="none"/>
              </w:rPr>
            </w:pPr>
          </w:p>
        </w:tc>
      </w:tr>
    </w:tbl>
    <w:p>
      <w:pPr>
        <w:pageBreakBefore w:val="0"/>
        <w:kinsoku/>
        <w:bidi w:val="0"/>
        <w:snapToGrid w:val="0"/>
        <w:spacing w:beforeAutospacing="0" w:afterAutospacing="0" w:line="440" w:lineRule="exact"/>
        <w:jc w:val="left"/>
        <w:rPr>
          <w:color w:val="auto"/>
          <w:highlight w:val="none"/>
        </w:rPr>
      </w:pPr>
      <w:r>
        <w:rPr>
          <w:rFonts w:hint="eastAsia"/>
          <w:color w:val="auto"/>
          <w:highlight w:val="none"/>
        </w:rPr>
        <w:t xml:space="preserve">注：1、在填写时，如本表格不适合投标人的实际情况，可根据本表格式自行划表填写。 </w:t>
      </w:r>
    </w:p>
    <w:p>
      <w:pPr>
        <w:pageBreakBefore w:val="0"/>
        <w:kinsoku/>
        <w:bidi w:val="0"/>
        <w:snapToGrid w:val="0"/>
        <w:spacing w:beforeAutospacing="0" w:afterAutospacing="0" w:line="440" w:lineRule="exact"/>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pPr>
        <w:pStyle w:val="838"/>
        <w:pageBreakBefore w:val="0"/>
        <w:kinsoku/>
        <w:bidi w:val="0"/>
        <w:snapToGrid w:val="0"/>
        <w:spacing w:beforeAutospacing="0" w:afterAutospacing="0" w:line="440" w:lineRule="exact"/>
        <w:rPr>
          <w:rFonts w:hint="eastAsia" w:ascii="仿宋" w:hAnsi="仿宋"/>
          <w:color w:val="auto"/>
          <w:szCs w:val="24"/>
          <w:highlight w:val="none"/>
        </w:rPr>
      </w:pPr>
    </w:p>
    <w:p>
      <w:pPr>
        <w:pStyle w:val="838"/>
        <w:pageBreakBefore w:val="0"/>
        <w:kinsoku/>
        <w:bidi w:val="0"/>
        <w:snapToGrid w:val="0"/>
        <w:spacing w:beforeAutospacing="0" w:afterAutospacing="0" w:line="440" w:lineRule="exact"/>
        <w:ind w:firstLine="480" w:firstLineChars="200"/>
        <w:rPr>
          <w:rFonts w:ascii="仿宋" w:hAnsi="仿宋"/>
          <w:color w:val="auto"/>
          <w:szCs w:val="24"/>
          <w:highlight w:val="none"/>
        </w:rPr>
      </w:pPr>
      <w:r>
        <w:rPr>
          <w:rFonts w:hint="eastAsia" w:ascii="仿宋" w:hAnsi="仿宋"/>
          <w:color w:val="auto"/>
          <w:szCs w:val="24"/>
          <w:highlight w:val="none"/>
        </w:rPr>
        <w:t>投标人全称（电子签</w:t>
      </w:r>
      <w:r>
        <w:rPr>
          <w:rFonts w:hint="eastAsia" w:ascii="仿宋" w:hAnsi="仿宋"/>
          <w:color w:val="auto"/>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pageBreakBefore w:val="0"/>
        <w:kinsoku/>
        <w:bidi w:val="0"/>
        <w:snapToGrid w:val="0"/>
        <w:spacing w:beforeAutospacing="0" w:afterAutospacing="0" w:line="440" w:lineRule="exact"/>
        <w:ind w:right="600"/>
        <w:rPr>
          <w:rFonts w:hint="eastAsia"/>
          <w:color w:val="auto"/>
          <w:highlight w:val="none"/>
        </w:rPr>
      </w:pPr>
    </w:p>
    <w:p>
      <w:pPr>
        <w:pageBreakBefore w:val="0"/>
        <w:kinsoku/>
        <w:bidi w:val="0"/>
        <w:snapToGrid w:val="0"/>
        <w:spacing w:beforeAutospacing="0" w:afterAutospacing="0" w:line="440" w:lineRule="exact"/>
        <w:ind w:right="600" w:firstLine="480" w:firstLineChars="200"/>
        <w:rPr>
          <w:rFonts w:hint="eastAsia"/>
          <w:color w:val="auto"/>
          <w:highlight w:val="none"/>
          <w:u w:val="singl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pageBreakBefore w:val="0"/>
        <w:kinsoku/>
        <w:bidi w:val="0"/>
        <w:spacing w:beforeAutospacing="0" w:afterAutospacing="0" w:line="440" w:lineRule="exact"/>
        <w:jc w:val="center"/>
        <w:rPr>
          <w:rFonts w:hint="eastAsia"/>
          <w:b/>
          <w:color w:val="auto"/>
          <w:sz w:val="30"/>
          <w:szCs w:val="30"/>
          <w:highlight w:val="none"/>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color w:val="auto"/>
          <w:sz w:val="28"/>
          <w:szCs w:val="28"/>
          <w:highlight w:val="none"/>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auto"/>
          <w:highlight w:val="none"/>
        </w:rPr>
      </w:pPr>
    </w:p>
    <w:p>
      <w:pPr>
        <w:pStyle w:val="6"/>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none"/>
        </w:rPr>
      </w:pPr>
      <w:r>
        <w:rPr>
          <w:rFonts w:hint="eastAsia"/>
          <w:color w:val="auto"/>
          <w:highlight w:val="none"/>
          <w:u w:val="single"/>
        </w:rPr>
        <w:br w:type="page"/>
      </w:r>
    </w:p>
    <w:p>
      <w:pPr>
        <w:snapToGrid w:val="0"/>
        <w:spacing w:before="156" w:after="50" w:line="460" w:lineRule="exact"/>
        <w:jc w:val="both"/>
        <w:rPr>
          <w:rFonts w:hint="eastAsia" w:ascii="仿宋" w:hAnsi="仿宋" w:eastAsia="仿宋" w:cs="仿宋"/>
          <w:b/>
          <w:bCs/>
          <w:color w:val="auto"/>
          <w:sz w:val="32"/>
          <w:szCs w:val="32"/>
          <w:highlight w:val="none"/>
          <w:lang w:val="en-US" w:eastAsia="zh-CN"/>
        </w:rPr>
      </w:pPr>
    </w:p>
    <w:p>
      <w:pPr>
        <w:snapToGrid w:val="0"/>
        <w:spacing w:before="156" w:after="50" w:line="460" w:lineRule="exact"/>
        <w:jc w:val="center"/>
        <w:rPr>
          <w:rFonts w:ascii="仿宋_GB2312" w:hAnsi="仿宋" w:eastAsia="仿宋_GB2312"/>
          <w:b/>
          <w:color w:val="auto"/>
          <w:sz w:val="32"/>
          <w:highlight w:val="none"/>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p>
    <w:p>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563"/>
        <w:gridCol w:w="2243"/>
        <w:gridCol w:w="708"/>
        <w:gridCol w:w="1737"/>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cs="仿宋"/>
                <w:b/>
                <w:color w:val="auto"/>
                <w:sz w:val="24"/>
                <w:szCs w:val="24"/>
                <w:highlight w:val="none"/>
                <w:lang w:eastAsia="zh-CN"/>
              </w:rPr>
              <w:t>项目</w:t>
            </w:r>
            <w:r>
              <w:rPr>
                <w:rFonts w:hint="eastAsia" w:ascii="仿宋" w:hAnsi="仿宋" w:eastAsia="仿宋" w:cs="仿宋"/>
                <w:b/>
                <w:color w:val="auto"/>
                <w:sz w:val="24"/>
                <w:szCs w:val="24"/>
                <w:highlight w:val="none"/>
              </w:rPr>
              <w:t>名称</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cs="仿宋"/>
                <w:b/>
                <w:color w:val="auto"/>
                <w:sz w:val="24"/>
                <w:szCs w:val="24"/>
                <w:highlight w:val="none"/>
                <w:lang w:eastAsia="zh-CN"/>
              </w:rPr>
              <w:t>单位</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r>
              <w:rPr>
                <w:rFonts w:hint="eastAsia" w:cs="仿宋"/>
                <w:b/>
                <w:color w:val="auto"/>
                <w:sz w:val="24"/>
                <w:szCs w:val="24"/>
                <w:highlight w:val="none"/>
                <w:lang w:val="en-US" w:eastAsia="zh-CN"/>
              </w:rPr>
              <w:t>/年</w:t>
            </w:r>
            <w:r>
              <w:rPr>
                <w:rFonts w:hint="eastAsia" w:ascii="仿宋" w:hAnsi="仿宋" w:eastAsia="仿宋" w:cs="仿宋"/>
                <w:b/>
                <w:color w:val="auto"/>
                <w:sz w:val="24"/>
                <w:szCs w:val="24"/>
                <w:highlight w:val="none"/>
              </w:rPr>
              <w:t>）</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cs="仿宋"/>
                <w:b/>
                <w:color w:val="auto"/>
                <w:sz w:val="24"/>
                <w:szCs w:val="24"/>
                <w:highlight w:val="none"/>
                <w:lang w:eastAsia="zh-CN"/>
              </w:rPr>
              <w:t>合</w:t>
            </w:r>
            <w:r>
              <w:rPr>
                <w:rFonts w:hint="eastAsia" w:ascii="仿宋" w:hAnsi="仿宋" w:eastAsia="仿宋" w:cs="仿宋"/>
                <w:b/>
                <w:color w:val="auto"/>
                <w:sz w:val="24"/>
                <w:szCs w:val="24"/>
                <w:highlight w:val="none"/>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年</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528" w:type="dxa"/>
            <w:gridSpan w:val="5"/>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spacing w:before="156"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bl>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lang w:val="zh-CN"/>
        </w:rPr>
      </w:pPr>
    </w:p>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3、特别提示：采购代理机构将对项目名称和项目编号，中标人名称、地址和中标金额，主要中标标的的名称、规格型号、数量、单价、服务要求等予以公示。</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lang w:val="zh-CN"/>
        </w:rPr>
      </w:pP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仿宋" w:hAnsi="仿宋" w:eastAsia="仿宋" w:cs="仿宋_GB2312"/>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各项明细费用请按实填写（不得出现“0元”“免费赠送”等形式的无偿报价），否则投标无效。</w:t>
      </w:r>
    </w:p>
    <w:p>
      <w:pPr>
        <w:pStyle w:val="838"/>
        <w:keepNext w:val="0"/>
        <w:keepLines w:val="0"/>
        <w:pageBreakBefore w:val="0"/>
        <w:widowControl w:val="0"/>
        <w:kinsoku/>
        <w:wordWrap/>
        <w:overflowPunct/>
        <w:topLinePunct w:val="0"/>
        <w:autoSpaceDE/>
        <w:autoSpaceDN/>
        <w:bidi w:val="0"/>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pPr>
        <w:pStyle w:val="838"/>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napToGrid w:val="0"/>
        <w:spacing w:before="156" w:after="50" w:line="460" w:lineRule="exact"/>
        <w:jc w:val="center"/>
        <w:rPr>
          <w:rFonts w:hint="eastAsia" w:ascii="仿宋" w:hAnsi="仿宋" w:eastAsia="仿宋" w:cs="仿宋"/>
          <w:b/>
          <w:bCs/>
          <w:color w:val="auto"/>
          <w:sz w:val="32"/>
          <w:szCs w:val="32"/>
          <w:highlight w:val="none"/>
          <w:lang w:val="en-US" w:eastAsia="zh-CN"/>
        </w:rPr>
      </w:pPr>
    </w:p>
    <w:p>
      <w:pPr>
        <w:snapToGrid w:val="0"/>
        <w:spacing w:before="156" w:after="50" w:line="460" w:lineRule="exact"/>
        <w:jc w:val="center"/>
        <w:rPr>
          <w:rFonts w:hint="eastAsia" w:ascii="仿宋" w:hAnsi="仿宋" w:eastAsia="仿宋" w:cs="仿宋"/>
          <w:b/>
          <w:bCs/>
          <w:color w:val="auto"/>
          <w:sz w:val="32"/>
          <w:szCs w:val="32"/>
          <w:highlight w:val="none"/>
          <w:lang w:val="en-US" w:eastAsia="zh-CN"/>
        </w:rPr>
      </w:pPr>
    </w:p>
    <w:p>
      <w:pPr>
        <w:snapToGrid w:val="0"/>
        <w:spacing w:before="156" w:after="50" w:line="460" w:lineRule="exact"/>
        <w:jc w:val="center"/>
        <w:rPr>
          <w:rFonts w:hint="eastAsia" w:ascii="仿宋" w:hAnsi="仿宋" w:eastAsia="仿宋" w:cs="仿宋"/>
          <w:b/>
          <w:bCs/>
          <w:color w:val="auto"/>
          <w:sz w:val="32"/>
          <w:szCs w:val="32"/>
          <w:highlight w:val="none"/>
          <w:lang w:val="en-US" w:eastAsia="zh-CN"/>
        </w:rPr>
      </w:pPr>
    </w:p>
    <w:p>
      <w:pPr>
        <w:snapToGrid w:val="0"/>
        <w:spacing w:before="156" w:after="50" w:line="460" w:lineRule="exact"/>
        <w:jc w:val="center"/>
        <w:rPr>
          <w:rFonts w:hint="eastAsia" w:ascii="仿宋" w:hAnsi="仿宋" w:eastAsia="仿宋" w:cs="仿宋"/>
          <w:b/>
          <w:bCs/>
          <w:color w:val="auto"/>
          <w:sz w:val="32"/>
          <w:szCs w:val="32"/>
          <w:highlight w:val="none"/>
          <w:lang w:val="en-US" w:eastAsia="zh-CN"/>
        </w:rPr>
      </w:pPr>
    </w:p>
    <w:p>
      <w:pPr>
        <w:snapToGrid w:val="0"/>
        <w:spacing w:before="156" w:after="50" w:line="460" w:lineRule="exact"/>
        <w:jc w:val="center"/>
        <w:rPr>
          <w:rFonts w:hint="eastAsia" w:ascii="仿宋" w:hAnsi="仿宋" w:eastAsia="仿宋" w:cs="仿宋"/>
          <w:b/>
          <w:bCs/>
          <w:color w:val="auto"/>
          <w:sz w:val="32"/>
          <w:szCs w:val="32"/>
          <w:highlight w:val="none"/>
          <w:lang w:val="en-US" w:eastAsia="zh-CN"/>
        </w:rPr>
      </w:pPr>
    </w:p>
    <w:p>
      <w:pPr>
        <w:snapToGrid w:val="0"/>
        <w:spacing w:before="156" w:after="50" w:line="460" w:lineRule="exact"/>
        <w:jc w:val="center"/>
        <w:rPr>
          <w:rFonts w:hint="eastAsia" w:ascii="仿宋" w:hAnsi="仿宋" w:eastAsia="仿宋" w:cs="仿宋"/>
          <w:b/>
          <w:bCs/>
          <w:color w:val="auto"/>
          <w:sz w:val="32"/>
          <w:szCs w:val="32"/>
          <w:highlight w:val="none"/>
          <w:lang w:val="en-US" w:eastAsia="zh-CN"/>
        </w:rPr>
      </w:pPr>
    </w:p>
    <w:p>
      <w:pPr>
        <w:snapToGrid w:val="0"/>
        <w:spacing w:before="156" w:after="50" w:line="460" w:lineRule="exact"/>
        <w:jc w:val="center"/>
        <w:rPr>
          <w:rFonts w:hint="eastAsia" w:ascii="仿宋" w:hAnsi="仿宋" w:eastAsia="仿宋" w:cs="仿宋"/>
          <w:b/>
          <w:bCs/>
          <w:color w:val="auto"/>
          <w:sz w:val="32"/>
          <w:szCs w:val="32"/>
          <w:highlight w:val="none"/>
          <w:lang w:val="en-US" w:eastAsia="zh-CN"/>
        </w:rPr>
      </w:pPr>
    </w:p>
    <w:p>
      <w:pPr>
        <w:snapToGrid w:val="0"/>
        <w:spacing w:before="156" w:after="50" w:line="460" w:lineRule="exact"/>
        <w:jc w:val="center"/>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lang w:val="en-US" w:eastAsia="zh-CN"/>
        </w:rPr>
        <w:t>投标报价明细表（格式供参考）</w:t>
      </w:r>
    </w:p>
    <w:p>
      <w:pPr>
        <w:pStyle w:val="50"/>
        <w:spacing w:before="0" w:beforeLines="0" w:afterLines="0" w:line="360" w:lineRule="auto"/>
        <w:jc w:val="center"/>
        <w:rPr>
          <w:rFonts w:hint="eastAsia" w:ascii="仿宋" w:hAnsi="仿宋" w:eastAsia="仿宋" w:cs="仿宋"/>
          <w:b/>
          <w:color w:val="auto"/>
          <w:spacing w:val="-6"/>
          <w:sz w:val="24"/>
          <w:szCs w:val="24"/>
          <w:highlight w:val="none"/>
        </w:rPr>
      </w:pPr>
    </w:p>
    <w:p>
      <w:pPr>
        <w:bidi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服务类项目：</w:t>
      </w:r>
      <w:r>
        <w:rPr>
          <w:rFonts w:hint="eastAsia" w:ascii="仿宋" w:hAnsi="仿宋" w:eastAsia="仿宋" w:cs="仿宋"/>
          <w:color w:val="auto"/>
          <w:sz w:val="24"/>
          <w:szCs w:val="24"/>
          <w:highlight w:val="none"/>
        </w:rPr>
        <w:t>投标人应详细列出</w:t>
      </w:r>
      <w:r>
        <w:rPr>
          <w:rFonts w:hint="eastAsia" w:ascii="仿宋" w:hAnsi="仿宋" w:eastAsia="仿宋" w:cs="仿宋"/>
          <w:bCs/>
          <w:color w:val="auto"/>
          <w:sz w:val="24"/>
          <w:szCs w:val="24"/>
          <w:highlight w:val="none"/>
        </w:rPr>
        <w:t>人员工资、保险、服装、个人装备、</w:t>
      </w:r>
      <w:r>
        <w:rPr>
          <w:rFonts w:hint="eastAsia" w:ascii="仿宋" w:hAnsi="仿宋" w:eastAsia="仿宋" w:cs="仿宋"/>
          <w:bCs/>
          <w:color w:val="auto"/>
          <w:sz w:val="24"/>
          <w:szCs w:val="24"/>
          <w:highlight w:val="none"/>
          <w:lang w:val="en-US" w:eastAsia="zh-CN"/>
        </w:rPr>
        <w:t>交通费、</w:t>
      </w:r>
      <w:r>
        <w:rPr>
          <w:rFonts w:hint="eastAsia" w:ascii="仿宋" w:hAnsi="仿宋" w:eastAsia="仿宋" w:cs="仿宋"/>
          <w:bCs/>
          <w:color w:val="auto"/>
          <w:sz w:val="24"/>
          <w:szCs w:val="24"/>
          <w:highlight w:val="none"/>
        </w:rPr>
        <w:t>餐费、</w:t>
      </w:r>
      <w:r>
        <w:rPr>
          <w:rFonts w:hint="eastAsia" w:ascii="仿宋" w:hAnsi="仿宋" w:eastAsia="仿宋" w:cs="仿宋"/>
          <w:bCs/>
          <w:color w:val="auto"/>
          <w:sz w:val="24"/>
          <w:szCs w:val="24"/>
          <w:highlight w:val="none"/>
          <w:lang w:val="en-US" w:eastAsia="zh-CN"/>
        </w:rPr>
        <w:t>住宿费</w:t>
      </w:r>
      <w:r>
        <w:rPr>
          <w:rFonts w:hint="eastAsia" w:ascii="仿宋" w:hAnsi="仿宋" w:eastAsia="仿宋" w:cs="仿宋"/>
          <w:color w:val="auto"/>
          <w:sz w:val="24"/>
          <w:szCs w:val="24"/>
          <w:highlight w:val="none"/>
        </w:rPr>
        <w:t>、人员培训费、其他费用等</w:t>
      </w:r>
      <w:r>
        <w:rPr>
          <w:rFonts w:hint="eastAsia" w:ascii="仿宋" w:hAnsi="仿宋" w:eastAsia="仿宋" w:cs="仿宋"/>
          <w:color w:val="auto"/>
          <w:sz w:val="24"/>
          <w:szCs w:val="24"/>
          <w:highlight w:val="none"/>
          <w:lang w:val="en-US" w:eastAsia="zh-CN"/>
        </w:rPr>
        <w:t>与项目相关的</w:t>
      </w:r>
      <w:r>
        <w:rPr>
          <w:rFonts w:hint="eastAsia" w:ascii="仿宋" w:hAnsi="仿宋" w:eastAsia="仿宋" w:cs="仿宋"/>
          <w:color w:val="auto"/>
          <w:sz w:val="24"/>
          <w:szCs w:val="24"/>
          <w:highlight w:val="none"/>
        </w:rPr>
        <w:t>报价明细表，表格可自行制作。</w:t>
      </w:r>
    </w:p>
    <w:p>
      <w:pPr>
        <w:pStyle w:val="2"/>
        <w:numPr>
          <w:ilvl w:val="0"/>
          <w:numId w:val="0"/>
        </w:numPr>
        <w:tabs>
          <w:tab w:val="clear" w:pos="1008"/>
        </w:tabs>
        <w:ind w:leftChars="0"/>
        <w:rPr>
          <w:rFonts w:hint="eastAsia" w:ascii="仿宋" w:hAnsi="仿宋" w:eastAsia="仿宋" w:cs="仿宋"/>
          <w:color w:val="auto"/>
          <w:sz w:val="24"/>
          <w:szCs w:val="24"/>
          <w:highlight w:val="none"/>
          <w:lang w:eastAsia="zh-CN"/>
        </w:rPr>
      </w:pPr>
    </w:p>
    <w:p>
      <w:pPr>
        <w:bidi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r>
        <w:rPr>
          <w:rFonts w:hint="eastAsia" w:ascii="仿宋" w:hAnsi="仿宋" w:eastAsia="仿宋" w:cs="仿宋"/>
          <w:b/>
          <w:bCs/>
          <w:color w:val="auto"/>
          <w:sz w:val="24"/>
          <w:szCs w:val="24"/>
          <w:highlight w:val="none"/>
          <w:u w:val="single"/>
          <w:lang w:val="zh-CN"/>
        </w:rPr>
        <w:t>▲</w:t>
      </w:r>
      <w:r>
        <w:rPr>
          <w:rFonts w:hint="eastAsia" w:ascii="仿宋" w:hAnsi="仿宋" w:eastAsia="仿宋" w:cs="仿宋"/>
          <w:color w:val="auto"/>
          <w:sz w:val="24"/>
          <w:szCs w:val="24"/>
          <w:highlight w:val="none"/>
        </w:rPr>
        <w:t>不提供详细投标分项报价表将视为没有实质性响应采购文件。</w:t>
      </w:r>
    </w:p>
    <w:p>
      <w:pPr>
        <w:spacing w:before="156" w:line="360" w:lineRule="auto"/>
        <w:ind w:right="-934" w:rightChars="-389"/>
        <w:rPr>
          <w:rFonts w:hint="eastAsia" w:ascii="仿宋" w:hAnsi="仿宋" w:eastAsia="仿宋" w:cs="仿宋"/>
          <w:color w:val="auto"/>
          <w:spacing w:val="-6"/>
          <w:sz w:val="24"/>
          <w:szCs w:val="24"/>
          <w:highlight w:val="none"/>
        </w:rPr>
      </w:pPr>
    </w:p>
    <w:p>
      <w:pPr>
        <w:snapToGrid w:val="0"/>
        <w:spacing w:before="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eastAsia="仿宋" w:cs="仿宋"/>
          <w:color w:val="auto"/>
          <w:kern w:val="0"/>
          <w:sz w:val="24"/>
          <w:szCs w:val="24"/>
          <w:highlight w:val="none"/>
          <w:u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before="156" w:after="50" w:line="4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before="156" w:line="360" w:lineRule="auto"/>
        <w:jc w:val="center"/>
        <w:rPr>
          <w:rFonts w:hint="eastAsia" w:ascii="仿宋_GB2312" w:hAnsi="宋体" w:eastAsia="仿宋_GB2312"/>
          <w:b/>
          <w:color w:val="auto"/>
          <w:sz w:val="30"/>
          <w:szCs w:val="30"/>
          <w:highlight w:val="none"/>
        </w:rPr>
      </w:pPr>
    </w:p>
    <w:p>
      <w:pPr>
        <w:spacing w:before="156" w:line="360" w:lineRule="auto"/>
        <w:jc w:val="center"/>
        <w:rPr>
          <w:rFonts w:hint="eastAsia" w:ascii="仿宋_GB2312" w:hAnsi="宋体" w:eastAsia="仿宋_GB2312"/>
          <w:b/>
          <w:color w:val="auto"/>
          <w:sz w:val="30"/>
          <w:szCs w:val="30"/>
          <w:highlight w:val="none"/>
        </w:rPr>
        <w:sectPr>
          <w:headerReference r:id="rId17" w:type="default"/>
          <w:footerReference r:id="rId18" w:type="default"/>
          <w:pgSz w:w="11906" w:h="16838"/>
          <w:pgMar w:top="1418" w:right="1418" w:bottom="1418" w:left="1588" w:header="851" w:footer="992" w:gutter="0"/>
          <w:pgNumType w:fmt="decimal"/>
          <w:cols w:space="720" w:num="1"/>
          <w:docGrid w:type="lines" w:linePitch="312" w:charSpace="0"/>
        </w:sectPr>
      </w:pPr>
    </w:p>
    <w:p>
      <w:pPr>
        <w:pageBreakBefore w:val="0"/>
        <w:kinsoku/>
        <w:bidi w:val="0"/>
        <w:adjustRightInd w:val="0"/>
        <w:snapToGrid w:val="0"/>
        <w:spacing w:beforeAutospacing="0" w:afterAutospacing="0" w:line="440" w:lineRule="exact"/>
        <w:jc w:val="both"/>
        <w:rPr>
          <w:rFonts w:hint="eastAsia"/>
          <w:b/>
          <w:color w:val="auto"/>
          <w:sz w:val="32"/>
          <w:szCs w:val="32"/>
          <w:highlight w:val="none"/>
          <w:lang w:eastAsia="zh-CN"/>
        </w:rPr>
      </w:pP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附件</w:t>
      </w:r>
      <w:r>
        <w:rPr>
          <w:rFonts w:hint="eastAsia"/>
          <w:b/>
          <w:color w:val="auto"/>
          <w:sz w:val="32"/>
          <w:szCs w:val="32"/>
          <w:highlight w:val="none"/>
          <w:lang w:val="en-US" w:eastAsia="zh-CN"/>
        </w:rPr>
        <w:t>1</w:t>
      </w:r>
    </w:p>
    <w:p>
      <w:pPr>
        <w:pStyle w:val="40"/>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pPr>
        <w:pStyle w:val="40"/>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pPr>
        <w:pStyle w:val="40"/>
        <w:pageBreakBefore w:val="0"/>
        <w:kinsoku/>
        <w:bidi w:val="0"/>
        <w:spacing w:beforeAutospacing="0" w:afterAutospacing="0"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pPr>
        <w:pageBreakBefore w:val="0"/>
        <w:kinsoku/>
        <w:bidi w:val="0"/>
        <w:spacing w:beforeAutospacing="0" w:afterAutospacing="0" w:line="440" w:lineRule="exact"/>
        <w:rPr>
          <w:color w:val="auto"/>
          <w:highlight w:val="none"/>
        </w:rPr>
      </w:pPr>
    </w:p>
    <w:p>
      <w:pPr>
        <w:pStyle w:val="107"/>
        <w:pageBreakBefore w:val="0"/>
        <w:kinsoku/>
        <w:bidi w:val="0"/>
        <w:spacing w:before="0" w:beforeAutospacing="0" w:after="0" w:afterAutospacing="0" w:line="440" w:lineRule="exact"/>
        <w:rPr>
          <w:color w:val="auto"/>
          <w:highlight w:val="none"/>
        </w:rPr>
      </w:pPr>
    </w:p>
    <w:p>
      <w:pPr>
        <w:pageBreakBefore w:val="0"/>
        <w:kinsoku/>
        <w:bidi w:val="0"/>
        <w:spacing w:beforeAutospacing="0" w:afterAutospacing="0" w:line="440" w:lineRule="exact"/>
        <w:jc w:val="center"/>
        <w:rPr>
          <w:color w:val="auto"/>
          <w:highlight w:val="none"/>
        </w:rPr>
      </w:pPr>
      <w:r>
        <w:rPr>
          <w:rFonts w:hint="eastAsia"/>
          <w:color w:val="auto"/>
          <w:highlight w:val="none"/>
        </w:rPr>
        <w:t>关于XXX项目公开招标的询问函</w:t>
      </w:r>
    </w:p>
    <w:p>
      <w:pPr>
        <w:pageBreakBefore w:val="0"/>
        <w:kinsoku/>
        <w:bidi w:val="0"/>
        <w:snapToGrid w:val="0"/>
        <w:spacing w:beforeAutospacing="0" w:afterAutospacing="0" w:line="440" w:lineRule="exact"/>
        <w:ind w:firstLine="480" w:firstLineChars="200"/>
        <w:rPr>
          <w:color w:val="auto"/>
          <w:highlight w:val="none"/>
        </w:rPr>
      </w:pPr>
    </w:p>
    <w:p>
      <w:pPr>
        <w:pageBreakBefore w:val="0"/>
        <w:kinsoku/>
        <w:bidi w:val="0"/>
        <w:snapToGrid w:val="0"/>
        <w:spacing w:beforeAutospacing="0" w:afterAutospacing="0" w:line="440" w:lineRule="exact"/>
        <w:ind w:firstLine="480" w:firstLineChars="200"/>
        <w:rPr>
          <w:rFonts w:hint="eastAsia"/>
          <w:color w:val="auto"/>
          <w:highlight w:val="none"/>
        </w:rPr>
      </w:pP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关于</w:t>
      </w:r>
      <w:r>
        <w:rPr>
          <w:rFonts w:hint="eastAsia"/>
          <w:color w:val="auto"/>
          <w:highlight w:val="none"/>
          <w:lang w:eastAsia="zh-CN"/>
        </w:rPr>
        <w:t>富阳非物质文化遗产馆第三方运营服务采购项目</w:t>
      </w:r>
      <w:r>
        <w:rPr>
          <w:rFonts w:hint="eastAsia"/>
          <w:color w:val="auto"/>
          <w:highlight w:val="none"/>
        </w:rPr>
        <w:t>（项目编号）（项目标项）我公司有以下几点疑问：</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询问事项二：  ...</w:t>
      </w:r>
    </w:p>
    <w:p>
      <w:pPr>
        <w:pageBreakBefore w:val="0"/>
        <w:kinsoku/>
        <w:bidi w:val="0"/>
        <w:spacing w:beforeAutospacing="0" w:afterAutospacing="0" w:line="440" w:lineRule="exact"/>
        <w:rPr>
          <w:color w:val="auto"/>
          <w:highlight w:val="none"/>
        </w:rPr>
      </w:pPr>
    </w:p>
    <w:p>
      <w:pPr>
        <w:pStyle w:val="6"/>
        <w:pageBreakBefore w:val="0"/>
        <w:kinsoku/>
        <w:bidi w:val="0"/>
        <w:spacing w:before="0" w:beforeAutospacing="0" w:after="0" w:afterAutospacing="0" w:line="440" w:lineRule="exact"/>
        <w:rPr>
          <w:color w:val="auto"/>
          <w:highlight w:val="none"/>
        </w:rPr>
      </w:pPr>
    </w:p>
    <w:p>
      <w:pPr>
        <w:pStyle w:val="40"/>
        <w:pageBreakBefore w:val="0"/>
        <w:kinsoku/>
        <w:bidi w:val="0"/>
        <w:spacing w:beforeAutospacing="0" w:afterAutospacing="0" w:line="440" w:lineRule="exact"/>
        <w:rPr>
          <w:rFonts w:ascii="仿宋" w:hAnsi="仿宋"/>
          <w:color w:val="auto"/>
          <w:sz w:val="24"/>
          <w:highlight w:val="none"/>
        </w:rPr>
      </w:pP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供应商全称（盖章）：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法定代表人（签名或签章）：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授权代表（签名）：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联系电话（手机）：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电子邮箱：                        </w:t>
      </w:r>
    </w:p>
    <w:p>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询问日期：                        </w:t>
      </w:r>
    </w:p>
    <w:p>
      <w:pPr>
        <w:pageBreakBefore w:val="0"/>
        <w:kinsoku/>
        <w:bidi w:val="0"/>
        <w:spacing w:beforeAutospacing="0" w:afterAutospacing="0" w:line="440" w:lineRule="exact"/>
        <w:rPr>
          <w:color w:val="auto"/>
          <w:highlight w:val="none"/>
        </w:rPr>
      </w:pPr>
      <w:r>
        <w:rPr>
          <w:rFonts w:hint="eastAsia"/>
          <w:color w:val="auto"/>
          <w:highlight w:val="none"/>
        </w:rPr>
        <w:t xml:space="preserve"> </w:t>
      </w:r>
    </w:p>
    <w:p>
      <w:pPr>
        <w:pageBreakBefore w:val="0"/>
        <w:kinsoku/>
        <w:bidi w:val="0"/>
        <w:spacing w:beforeAutospacing="0" w:afterAutospacing="0" w:line="440" w:lineRule="exact"/>
        <w:rPr>
          <w:color w:val="auto"/>
          <w:highlight w:val="none"/>
        </w:rPr>
      </w:pPr>
    </w:p>
    <w:p>
      <w:pPr>
        <w:pageBreakBefore w:val="0"/>
        <w:kinsoku/>
        <w:bidi w:val="0"/>
        <w:adjustRightInd w:val="0"/>
        <w:snapToGrid w:val="0"/>
        <w:spacing w:beforeAutospacing="0" w:afterAutospacing="0" w:line="440" w:lineRule="exact"/>
        <w:jc w:val="center"/>
        <w:rPr>
          <w:color w:val="auto"/>
          <w:highlight w:val="none"/>
        </w:rPr>
      </w:pPr>
    </w:p>
    <w:p>
      <w:pPr>
        <w:pStyle w:val="107"/>
        <w:pageBreakBefore w:val="0"/>
        <w:kinsoku/>
        <w:bidi w:val="0"/>
        <w:spacing w:before="0" w:beforeAutospacing="0" w:after="0" w:afterAutospacing="0" w:line="440" w:lineRule="exact"/>
        <w:rPr>
          <w:rFonts w:ascii="仿宋" w:hAnsi="仿宋"/>
          <w:color w:val="auto"/>
          <w:highlight w:val="none"/>
        </w:rPr>
      </w:pPr>
    </w:p>
    <w:p>
      <w:pPr>
        <w:pageBreakBefore w:val="0"/>
        <w:kinsoku/>
        <w:bidi w:val="0"/>
        <w:spacing w:beforeAutospacing="0" w:afterAutospacing="0" w:line="440" w:lineRule="exact"/>
        <w:rPr>
          <w:color w:val="auto"/>
          <w:highlight w:val="none"/>
        </w:rPr>
      </w:pPr>
    </w:p>
    <w:p>
      <w:pPr>
        <w:pStyle w:val="106"/>
        <w:rPr>
          <w:color w:val="auto"/>
          <w:highlight w:val="none"/>
        </w:rPr>
      </w:pPr>
    </w:p>
    <w:p>
      <w:pPr>
        <w:rPr>
          <w:color w:val="auto"/>
          <w:highlight w:val="none"/>
        </w:rPr>
      </w:pPr>
    </w:p>
    <w:p>
      <w:pPr>
        <w:pageBreakBefore w:val="0"/>
        <w:kinsoku/>
        <w:bidi w:val="0"/>
        <w:adjustRightInd w:val="0"/>
        <w:snapToGrid w:val="0"/>
        <w:spacing w:beforeAutospacing="0" w:afterAutospacing="0" w:line="440" w:lineRule="exact"/>
        <w:jc w:val="both"/>
        <w:rPr>
          <w:rFonts w:hint="eastAsia"/>
          <w:b/>
          <w:color w:val="auto"/>
          <w:sz w:val="32"/>
          <w:szCs w:val="32"/>
          <w:highlight w:val="none"/>
          <w:lang w:eastAsia="zh-CN"/>
        </w:rPr>
      </w:pP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件2</w:t>
      </w:r>
    </w:p>
    <w:p>
      <w:pPr>
        <w:pStyle w:val="88"/>
        <w:pageBreakBefore w:val="0"/>
        <w:kinsoku/>
        <w:bidi w:val="0"/>
        <w:spacing w:beforeAutospacing="0" w:after="0" w:afterAutospacing="0" w:line="440" w:lineRule="exact"/>
        <w:ind w:left="480"/>
        <w:rPr>
          <w:color w:val="auto"/>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质疑供应商：</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地址：</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联系人：</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授权代表：</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地址： </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质疑项目的名称：</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质疑项目的编号：</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包号：</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采购人名称：</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采购文件获取日期：</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质疑事项1：</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事实依据：</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法律依据：</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质疑事项2</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请求：</w:t>
      </w:r>
      <w:r>
        <w:rPr>
          <w:rFonts w:hint="eastAsia" w:ascii="仿宋_GB2312" w:hAnsi="仿宋" w:eastAsia="仿宋_GB2312" w:cs="仿宋"/>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color w:val="auto"/>
          <w:sz w:val="24"/>
          <w:szCs w:val="24"/>
          <w:highlight w:val="none"/>
        </w:rPr>
      </w:pPr>
      <w:r>
        <w:rPr>
          <w:rFonts w:ascii="仿宋_GB2312" w:hAnsi="仿宋" w:eastAsia="仿宋_GB2312" w:cs="Times New Roman"/>
          <w:b/>
          <w:color w:val="auto"/>
          <w:sz w:val="24"/>
          <w:szCs w:val="24"/>
          <w:highlight w:val="none"/>
        </w:rPr>
        <w:br w:type="page"/>
      </w: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szCs w:val="24"/>
          <w:highlight w:val="none"/>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color w:val="auto"/>
          <w:sz w:val="30"/>
          <w:szCs w:val="30"/>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pPr>
        <w:pageBreakBefore w:val="0"/>
        <w:widowControl/>
        <w:kinsoku/>
        <w:bidi w:val="0"/>
        <w:spacing w:beforeAutospacing="0" w:afterAutospacing="0" w:line="440" w:lineRule="exact"/>
        <w:jc w:val="left"/>
        <w:rPr>
          <w:rFonts w:ascii="仿宋_GB2312" w:hAnsi="仿宋" w:eastAsia="仿宋_GB2312" w:cs="Times New Roman"/>
          <w:b/>
          <w:color w:val="auto"/>
          <w:spacing w:val="6"/>
          <w:sz w:val="32"/>
          <w:szCs w:val="32"/>
          <w:highlight w:val="none"/>
        </w:rPr>
      </w:pPr>
      <w:r>
        <w:rPr>
          <w:rFonts w:ascii="仿宋_GB2312" w:hAnsi="仿宋" w:eastAsia="仿宋_GB2312" w:cs="Times New Roman"/>
          <w:b/>
          <w:color w:val="auto"/>
          <w:spacing w:val="6"/>
          <w:sz w:val="32"/>
          <w:szCs w:val="32"/>
          <w:highlight w:val="none"/>
        </w:rPr>
        <w:br w:type="page"/>
      </w:r>
    </w:p>
    <w:p>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件3</w:t>
      </w:r>
    </w:p>
    <w:p>
      <w:pPr>
        <w:pageBreakBefore w:val="0"/>
        <w:kinsoku/>
        <w:bidi w:val="0"/>
        <w:adjustRightInd w:val="0"/>
        <w:spacing w:beforeAutospacing="0" w:afterAutospacing="0" w:line="440" w:lineRule="exact"/>
        <w:jc w:val="center"/>
        <w:rPr>
          <w:rFonts w:hint="eastAsia" w:ascii="仿宋_GB2312" w:hAnsi="仿宋" w:eastAsia="仿宋_GB2312" w:cs="Times New Roman"/>
          <w:b/>
          <w:color w:val="auto"/>
          <w:spacing w:val="6"/>
          <w:sz w:val="32"/>
          <w:szCs w:val="32"/>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法定代表人/主要负责人：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授权代表：</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被投诉人1：</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被投诉人2</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相关供应商：</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二、投诉项目基本情况</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采购项目名称：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采购项目编号：</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包号：</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采购人名称：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代理机构名称：</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采购文件公告: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采购结果公告: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日,向</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提出质疑，质疑事项为：</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u w:val="dotted"/>
        </w:rPr>
        <w:t>采购人/代理机构</w:t>
      </w:r>
      <w:r>
        <w:rPr>
          <w:rFonts w:hint="eastAsia" w:ascii="仿宋_GB2312" w:hAnsi="仿宋" w:eastAsia="仿宋_GB2312" w:cs="Times New Roman"/>
          <w:color w:val="auto"/>
          <w:sz w:val="24"/>
          <w:szCs w:val="24"/>
          <w:highlight w:val="none"/>
        </w:rPr>
        <w:t>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四、投诉事项具体内容</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投诉事项 1：</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事实依据：</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法律依据：</w:t>
      </w: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投诉事项2</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请求：</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szCs w:val="24"/>
          <w:highlight w:val="none"/>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w:rPr>
        <w:sz w:val="18"/>
      </w:rPr>
      <w:pict>
        <v:shape id="文本框 1034"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outside" w:y="1"/>
      <w:rPr>
        <w:rStyle w:val="97"/>
      </w:rPr>
    </w:pPr>
    <w:r>
      <w:fldChar w:fldCharType="begin"/>
    </w:r>
    <w:r>
      <w:rPr>
        <w:rStyle w:val="97"/>
      </w:rPr>
      <w:instrText xml:space="preserve">PAGE  </w:instrText>
    </w:r>
    <w:r>
      <w:fldChar w:fldCharType="end"/>
    </w:r>
  </w:p>
  <w:p>
    <w:pPr>
      <w:pStyle w:val="5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1">
    <w:nsid w:val="8AC316BA"/>
    <w:multiLevelType w:val="singleLevel"/>
    <w:tmpl w:val="8AC316BA"/>
    <w:lvl w:ilvl="0" w:tentative="0">
      <w:start w:val="1"/>
      <w:numFmt w:val="decimal"/>
      <w:lvlText w:val="%1."/>
      <w:lvlJc w:val="left"/>
      <w:pPr>
        <w:ind w:left="425" w:hanging="425"/>
      </w:pPr>
      <w:rPr>
        <w:rFonts w:hint="default"/>
      </w:rPr>
    </w:lvl>
  </w:abstractNum>
  <w:abstractNum w:abstractNumId="2">
    <w:nsid w:val="8E63AEDD"/>
    <w:multiLevelType w:val="singleLevel"/>
    <w:tmpl w:val="8E63AEDD"/>
    <w:lvl w:ilvl="0" w:tentative="0">
      <w:start w:val="1"/>
      <w:numFmt w:val="decimal"/>
      <w:lvlText w:val="%1."/>
      <w:lvlJc w:val="left"/>
      <w:pPr>
        <w:ind w:left="425" w:hanging="425"/>
      </w:pPr>
      <w:rPr>
        <w:rFonts w:hint="default"/>
      </w:rPr>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DA749441"/>
    <w:multiLevelType w:val="singleLevel"/>
    <w:tmpl w:val="DA749441"/>
    <w:lvl w:ilvl="0" w:tentative="0">
      <w:start w:val="1"/>
      <w:numFmt w:val="decimal"/>
      <w:lvlText w:val="%1."/>
      <w:lvlJc w:val="left"/>
      <w:pPr>
        <w:ind w:left="425" w:hanging="425"/>
      </w:pPr>
      <w:rPr>
        <w:rFonts w:hint="default"/>
      </w:rPr>
    </w:lvl>
  </w:abstractNum>
  <w:abstractNum w:abstractNumId="7">
    <w:nsid w:val="F71FEBA3"/>
    <w:multiLevelType w:val="singleLevel"/>
    <w:tmpl w:val="F71FEBA3"/>
    <w:lvl w:ilvl="0" w:tentative="0">
      <w:start w:val="8"/>
      <w:numFmt w:val="chineseCounting"/>
      <w:suff w:val="nothing"/>
      <w:lvlText w:val="%1、"/>
      <w:lvlJc w:val="left"/>
      <w:rPr>
        <w:rFonts w:hint="eastAsia"/>
      </w:rPr>
    </w:lvl>
  </w:abstractNum>
  <w:abstractNum w:abstractNumId="8">
    <w:nsid w:val="F88C279E"/>
    <w:multiLevelType w:val="singleLevel"/>
    <w:tmpl w:val="F88C279E"/>
    <w:lvl w:ilvl="0" w:tentative="0">
      <w:start w:val="6"/>
      <w:numFmt w:val="decimal"/>
      <w:suff w:val="nothing"/>
      <w:lvlText w:val="%1、"/>
      <w:lvlJc w:val="left"/>
    </w:lvl>
  </w:abstractNum>
  <w:abstractNum w:abstractNumId="9">
    <w:nsid w:val="069A03DF"/>
    <w:multiLevelType w:val="singleLevel"/>
    <w:tmpl w:val="069A03DF"/>
    <w:lvl w:ilvl="0" w:tentative="0">
      <w:start w:val="1"/>
      <w:numFmt w:val="decimal"/>
      <w:lvlText w:val="%1."/>
      <w:lvlJc w:val="left"/>
      <w:pPr>
        <w:ind w:left="425" w:hanging="425"/>
      </w:pPr>
      <w:rPr>
        <w:rFonts w:hint="default"/>
      </w:rPr>
    </w:lvl>
  </w:abstractNum>
  <w:abstractNum w:abstractNumId="10">
    <w:nsid w:val="15D71B39"/>
    <w:multiLevelType w:val="singleLevel"/>
    <w:tmpl w:val="15D71B39"/>
    <w:lvl w:ilvl="0" w:tentative="0">
      <w:start w:val="4"/>
      <w:numFmt w:val="decimal"/>
      <w:lvlText w:val="%1."/>
      <w:lvlJc w:val="left"/>
      <w:pPr>
        <w:tabs>
          <w:tab w:val="left" w:pos="312"/>
        </w:tabs>
      </w:pPr>
    </w:lvl>
  </w:abstractNum>
  <w:abstractNum w:abstractNumId="11">
    <w:nsid w:val="249AC866"/>
    <w:multiLevelType w:val="singleLevel"/>
    <w:tmpl w:val="249AC866"/>
    <w:lvl w:ilvl="0" w:tentative="0">
      <w:start w:val="1"/>
      <w:numFmt w:val="decimal"/>
      <w:suff w:val="nothing"/>
      <w:lvlText w:val="%1、"/>
      <w:lvlJc w:val="left"/>
    </w:lvl>
  </w:abstractNum>
  <w:abstractNum w:abstractNumId="12">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13">
    <w:nsid w:val="33ECF4CF"/>
    <w:multiLevelType w:val="singleLevel"/>
    <w:tmpl w:val="33ECF4CF"/>
    <w:lvl w:ilvl="0" w:tentative="0">
      <w:start w:val="1"/>
      <w:numFmt w:val="decimal"/>
      <w:lvlText w:val="%1."/>
      <w:lvlJc w:val="left"/>
      <w:pPr>
        <w:ind w:left="425" w:hanging="425"/>
      </w:pPr>
      <w:rPr>
        <w:rFonts w:hint="default"/>
      </w:rPr>
    </w:lvl>
  </w:abstractNum>
  <w:abstractNum w:abstractNumId="14">
    <w:nsid w:val="47D356A2"/>
    <w:multiLevelType w:val="singleLevel"/>
    <w:tmpl w:val="47D356A2"/>
    <w:lvl w:ilvl="0" w:tentative="0">
      <w:start w:val="1"/>
      <w:numFmt w:val="decimal"/>
      <w:suff w:val="nothing"/>
      <w:lvlText w:val="%1、"/>
      <w:lvlJc w:val="left"/>
    </w:lvl>
  </w:abstractNum>
  <w:abstractNum w:abstractNumId="15">
    <w:nsid w:val="4A450E61"/>
    <w:multiLevelType w:val="singleLevel"/>
    <w:tmpl w:val="4A450E61"/>
    <w:lvl w:ilvl="0" w:tentative="0">
      <w:start w:val="1"/>
      <w:numFmt w:val="decimal"/>
      <w:lvlText w:val="%1."/>
      <w:lvlJc w:val="left"/>
      <w:pPr>
        <w:ind w:left="425" w:hanging="425"/>
      </w:pPr>
      <w:rPr>
        <w:rFonts w:hint="default"/>
      </w:rPr>
    </w:lvl>
  </w:abstractNum>
  <w:abstractNum w:abstractNumId="16">
    <w:nsid w:val="5825D439"/>
    <w:multiLevelType w:val="singleLevel"/>
    <w:tmpl w:val="5825D439"/>
    <w:lvl w:ilvl="0" w:tentative="0">
      <w:start w:val="1"/>
      <w:numFmt w:val="decimal"/>
      <w:suff w:val="nothing"/>
      <w:lvlText w:val="（%1）"/>
      <w:lvlJc w:val="left"/>
    </w:lvl>
  </w:abstractNum>
  <w:abstractNum w:abstractNumId="17">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18">
    <w:nsid w:val="6C1608D0"/>
    <w:multiLevelType w:val="singleLevel"/>
    <w:tmpl w:val="6C1608D0"/>
    <w:lvl w:ilvl="0" w:tentative="0">
      <w:start w:val="1"/>
      <w:numFmt w:val="decimal"/>
      <w:lvlText w:val="%1."/>
      <w:lvlJc w:val="left"/>
      <w:pPr>
        <w:ind w:left="425" w:hanging="425"/>
      </w:pPr>
      <w:rPr>
        <w:rFonts w:hint="default"/>
      </w:rPr>
    </w:lvl>
  </w:abstractNum>
  <w:num w:numId="1">
    <w:abstractNumId w:val="10"/>
  </w:num>
  <w:num w:numId="2">
    <w:abstractNumId w:val="16"/>
  </w:num>
  <w:num w:numId="3">
    <w:abstractNumId w:val="12"/>
  </w:num>
  <w:num w:numId="4">
    <w:abstractNumId w:val="13"/>
  </w:num>
  <w:num w:numId="5">
    <w:abstractNumId w:val="3"/>
  </w:num>
  <w:num w:numId="6">
    <w:abstractNumId w:val="17"/>
  </w:num>
  <w:num w:numId="7">
    <w:abstractNumId w:val="11"/>
  </w:num>
  <w:num w:numId="8">
    <w:abstractNumId w:val="14"/>
  </w:num>
  <w:num w:numId="9">
    <w:abstractNumId w:val="4"/>
  </w:num>
  <w:num w:numId="10">
    <w:abstractNumId w:val="8"/>
  </w:num>
  <w:num w:numId="11">
    <w:abstractNumId w:val="7"/>
  </w:num>
  <w:num w:numId="12">
    <w:abstractNumId w:val="9"/>
  </w:num>
  <w:num w:numId="13">
    <w:abstractNumId w:val="18"/>
  </w:num>
  <w:num w:numId="14">
    <w:abstractNumId w:val="2"/>
  </w:num>
  <w:num w:numId="15">
    <w:abstractNumId w:val="6"/>
  </w:num>
  <w:num w:numId="16">
    <w:abstractNumId w:val="15"/>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ZkOTU1ODJkODBlOGI3NjM4NGQwZGEyMWI4MGQwZDc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1CA3"/>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86C64"/>
    <w:rsid w:val="010C3768"/>
    <w:rsid w:val="01222467"/>
    <w:rsid w:val="012A6BDB"/>
    <w:rsid w:val="014C3862"/>
    <w:rsid w:val="015772A4"/>
    <w:rsid w:val="017478D4"/>
    <w:rsid w:val="019333B7"/>
    <w:rsid w:val="01AC1E82"/>
    <w:rsid w:val="01AD122F"/>
    <w:rsid w:val="01B06C60"/>
    <w:rsid w:val="01B44C12"/>
    <w:rsid w:val="01BB6A00"/>
    <w:rsid w:val="01CB1ADF"/>
    <w:rsid w:val="02056D00"/>
    <w:rsid w:val="022D1BC3"/>
    <w:rsid w:val="0236353C"/>
    <w:rsid w:val="024A09EC"/>
    <w:rsid w:val="026D739D"/>
    <w:rsid w:val="0282299F"/>
    <w:rsid w:val="02975DCF"/>
    <w:rsid w:val="02BC38D2"/>
    <w:rsid w:val="02C37AC6"/>
    <w:rsid w:val="02C86BF7"/>
    <w:rsid w:val="02E77227"/>
    <w:rsid w:val="02EB08BF"/>
    <w:rsid w:val="02ED2E83"/>
    <w:rsid w:val="03316FCB"/>
    <w:rsid w:val="03373980"/>
    <w:rsid w:val="036E19E4"/>
    <w:rsid w:val="038A6195"/>
    <w:rsid w:val="03925809"/>
    <w:rsid w:val="03C25CCE"/>
    <w:rsid w:val="03CA6453"/>
    <w:rsid w:val="04075304"/>
    <w:rsid w:val="04280D0C"/>
    <w:rsid w:val="044A4D37"/>
    <w:rsid w:val="045955B0"/>
    <w:rsid w:val="04644DB3"/>
    <w:rsid w:val="0468245D"/>
    <w:rsid w:val="04925926"/>
    <w:rsid w:val="049306BE"/>
    <w:rsid w:val="04EF19AA"/>
    <w:rsid w:val="050866B0"/>
    <w:rsid w:val="050E0405"/>
    <w:rsid w:val="051A6F66"/>
    <w:rsid w:val="052C3426"/>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F699E"/>
    <w:rsid w:val="06DC2725"/>
    <w:rsid w:val="070412B5"/>
    <w:rsid w:val="070729D4"/>
    <w:rsid w:val="07184CB5"/>
    <w:rsid w:val="07386C6B"/>
    <w:rsid w:val="076C6F78"/>
    <w:rsid w:val="07A969DE"/>
    <w:rsid w:val="07B72BCD"/>
    <w:rsid w:val="07DF3928"/>
    <w:rsid w:val="07F77F32"/>
    <w:rsid w:val="0817314E"/>
    <w:rsid w:val="08225BFA"/>
    <w:rsid w:val="082A6DEC"/>
    <w:rsid w:val="086026F5"/>
    <w:rsid w:val="087D1CE6"/>
    <w:rsid w:val="08977063"/>
    <w:rsid w:val="08AB2FDA"/>
    <w:rsid w:val="08C51D33"/>
    <w:rsid w:val="08F540F1"/>
    <w:rsid w:val="0920642C"/>
    <w:rsid w:val="092B4E76"/>
    <w:rsid w:val="09380C46"/>
    <w:rsid w:val="095433F9"/>
    <w:rsid w:val="09727371"/>
    <w:rsid w:val="09A20E16"/>
    <w:rsid w:val="09B23D32"/>
    <w:rsid w:val="09B951D7"/>
    <w:rsid w:val="09F07FF9"/>
    <w:rsid w:val="0A0156A7"/>
    <w:rsid w:val="0A092218"/>
    <w:rsid w:val="0AB61297"/>
    <w:rsid w:val="0AF72FE3"/>
    <w:rsid w:val="0B0424C1"/>
    <w:rsid w:val="0B4D3B6E"/>
    <w:rsid w:val="0B640F3B"/>
    <w:rsid w:val="0B650CF4"/>
    <w:rsid w:val="0B6940EA"/>
    <w:rsid w:val="0B971310"/>
    <w:rsid w:val="0C216DFD"/>
    <w:rsid w:val="0C587987"/>
    <w:rsid w:val="0C7E214D"/>
    <w:rsid w:val="0C865E84"/>
    <w:rsid w:val="0C8C32F3"/>
    <w:rsid w:val="0C9E222B"/>
    <w:rsid w:val="0CAE3F07"/>
    <w:rsid w:val="0CB6050B"/>
    <w:rsid w:val="0CC61495"/>
    <w:rsid w:val="0CDC732C"/>
    <w:rsid w:val="0CE47A72"/>
    <w:rsid w:val="0CFB0B17"/>
    <w:rsid w:val="0D0C5A0C"/>
    <w:rsid w:val="0D531FED"/>
    <w:rsid w:val="0D6D2BE9"/>
    <w:rsid w:val="0DC47BD4"/>
    <w:rsid w:val="0DD2058B"/>
    <w:rsid w:val="0DD70BBE"/>
    <w:rsid w:val="0DF63C8E"/>
    <w:rsid w:val="0E007287"/>
    <w:rsid w:val="0E2A4EBB"/>
    <w:rsid w:val="0E2E4511"/>
    <w:rsid w:val="0E470192"/>
    <w:rsid w:val="0E71212C"/>
    <w:rsid w:val="0E725829"/>
    <w:rsid w:val="0E786D01"/>
    <w:rsid w:val="0E792B8A"/>
    <w:rsid w:val="0EB45CE0"/>
    <w:rsid w:val="0EDC3095"/>
    <w:rsid w:val="0EF95FD9"/>
    <w:rsid w:val="0F237467"/>
    <w:rsid w:val="0F424644"/>
    <w:rsid w:val="0F5F63AE"/>
    <w:rsid w:val="0F9022FF"/>
    <w:rsid w:val="0F952D09"/>
    <w:rsid w:val="0FA936AF"/>
    <w:rsid w:val="0FBF1235"/>
    <w:rsid w:val="0FC47870"/>
    <w:rsid w:val="0FC86C70"/>
    <w:rsid w:val="0FD032B4"/>
    <w:rsid w:val="103055A6"/>
    <w:rsid w:val="103435D2"/>
    <w:rsid w:val="10591833"/>
    <w:rsid w:val="10863CAA"/>
    <w:rsid w:val="10926863"/>
    <w:rsid w:val="10B15F38"/>
    <w:rsid w:val="10BE4C49"/>
    <w:rsid w:val="10F35875"/>
    <w:rsid w:val="111666F6"/>
    <w:rsid w:val="111C017B"/>
    <w:rsid w:val="11423ACC"/>
    <w:rsid w:val="114F2E95"/>
    <w:rsid w:val="11525130"/>
    <w:rsid w:val="11561F57"/>
    <w:rsid w:val="116A40D1"/>
    <w:rsid w:val="116F4AFA"/>
    <w:rsid w:val="117071F7"/>
    <w:rsid w:val="118A59F2"/>
    <w:rsid w:val="11984A56"/>
    <w:rsid w:val="11B03394"/>
    <w:rsid w:val="11CD69F4"/>
    <w:rsid w:val="11DA5AB3"/>
    <w:rsid w:val="12000975"/>
    <w:rsid w:val="122114BC"/>
    <w:rsid w:val="122E093D"/>
    <w:rsid w:val="124A2743"/>
    <w:rsid w:val="125E6BD9"/>
    <w:rsid w:val="12834A7D"/>
    <w:rsid w:val="128778F5"/>
    <w:rsid w:val="12B86A79"/>
    <w:rsid w:val="12D3585D"/>
    <w:rsid w:val="12D559C7"/>
    <w:rsid w:val="12D80A40"/>
    <w:rsid w:val="12DB66FD"/>
    <w:rsid w:val="12DE0A65"/>
    <w:rsid w:val="12E3504E"/>
    <w:rsid w:val="13021765"/>
    <w:rsid w:val="13023655"/>
    <w:rsid w:val="13213D92"/>
    <w:rsid w:val="13397FAD"/>
    <w:rsid w:val="135703C9"/>
    <w:rsid w:val="13631A10"/>
    <w:rsid w:val="13652F65"/>
    <w:rsid w:val="137D2B9A"/>
    <w:rsid w:val="139C2569"/>
    <w:rsid w:val="139D0602"/>
    <w:rsid w:val="13A30D27"/>
    <w:rsid w:val="13D608C4"/>
    <w:rsid w:val="13E1642A"/>
    <w:rsid w:val="13E37517"/>
    <w:rsid w:val="13E76BAD"/>
    <w:rsid w:val="13ED7281"/>
    <w:rsid w:val="14101C60"/>
    <w:rsid w:val="14301D37"/>
    <w:rsid w:val="14393AD1"/>
    <w:rsid w:val="143C1D1B"/>
    <w:rsid w:val="143F1944"/>
    <w:rsid w:val="14813A64"/>
    <w:rsid w:val="14B54B01"/>
    <w:rsid w:val="14C52FE6"/>
    <w:rsid w:val="14F77BF1"/>
    <w:rsid w:val="14FF642C"/>
    <w:rsid w:val="152A55D4"/>
    <w:rsid w:val="153B2D0D"/>
    <w:rsid w:val="15734D76"/>
    <w:rsid w:val="15FE54DC"/>
    <w:rsid w:val="16207125"/>
    <w:rsid w:val="16281D9C"/>
    <w:rsid w:val="16650B45"/>
    <w:rsid w:val="168144CE"/>
    <w:rsid w:val="16971E47"/>
    <w:rsid w:val="16A1400D"/>
    <w:rsid w:val="16B667DA"/>
    <w:rsid w:val="16BA0E4A"/>
    <w:rsid w:val="16C371C2"/>
    <w:rsid w:val="16E77900"/>
    <w:rsid w:val="170D40E3"/>
    <w:rsid w:val="1712073F"/>
    <w:rsid w:val="171809E0"/>
    <w:rsid w:val="1727550D"/>
    <w:rsid w:val="17801A73"/>
    <w:rsid w:val="17D55010"/>
    <w:rsid w:val="181152FA"/>
    <w:rsid w:val="18323011"/>
    <w:rsid w:val="186D4557"/>
    <w:rsid w:val="18DE19FF"/>
    <w:rsid w:val="18E17B6B"/>
    <w:rsid w:val="1900084C"/>
    <w:rsid w:val="19492DFC"/>
    <w:rsid w:val="195403E0"/>
    <w:rsid w:val="1957007D"/>
    <w:rsid w:val="195E269E"/>
    <w:rsid w:val="19665217"/>
    <w:rsid w:val="19680820"/>
    <w:rsid w:val="19765E94"/>
    <w:rsid w:val="197919D7"/>
    <w:rsid w:val="19873627"/>
    <w:rsid w:val="199B4DE8"/>
    <w:rsid w:val="19A21112"/>
    <w:rsid w:val="19AA0086"/>
    <w:rsid w:val="19AF5431"/>
    <w:rsid w:val="19C7547D"/>
    <w:rsid w:val="19F31E08"/>
    <w:rsid w:val="1A082948"/>
    <w:rsid w:val="1A0E305F"/>
    <w:rsid w:val="1A61198C"/>
    <w:rsid w:val="1A642D06"/>
    <w:rsid w:val="1A706293"/>
    <w:rsid w:val="1A82331E"/>
    <w:rsid w:val="1A8847B8"/>
    <w:rsid w:val="1A9026A6"/>
    <w:rsid w:val="1A941212"/>
    <w:rsid w:val="1AC32548"/>
    <w:rsid w:val="1ACB51FD"/>
    <w:rsid w:val="1ACC0364"/>
    <w:rsid w:val="1AE03B14"/>
    <w:rsid w:val="1AE46980"/>
    <w:rsid w:val="1AFB0015"/>
    <w:rsid w:val="1B0B6BC0"/>
    <w:rsid w:val="1B125895"/>
    <w:rsid w:val="1B17268B"/>
    <w:rsid w:val="1B42628A"/>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EF6D8A"/>
    <w:rsid w:val="1DF35654"/>
    <w:rsid w:val="1E0026D8"/>
    <w:rsid w:val="1E042BDD"/>
    <w:rsid w:val="1E284B2B"/>
    <w:rsid w:val="1E3C4F71"/>
    <w:rsid w:val="1E535274"/>
    <w:rsid w:val="1E650DFA"/>
    <w:rsid w:val="1E6A3E74"/>
    <w:rsid w:val="1E7D7EF2"/>
    <w:rsid w:val="1E8312AA"/>
    <w:rsid w:val="1EAA1138"/>
    <w:rsid w:val="1EAE09F3"/>
    <w:rsid w:val="1EB008AA"/>
    <w:rsid w:val="1EB07A6C"/>
    <w:rsid w:val="1ECF4C15"/>
    <w:rsid w:val="1EDA3BD8"/>
    <w:rsid w:val="1EED583E"/>
    <w:rsid w:val="1EED6B26"/>
    <w:rsid w:val="1F430143"/>
    <w:rsid w:val="1F480C97"/>
    <w:rsid w:val="1F492724"/>
    <w:rsid w:val="202B3AD6"/>
    <w:rsid w:val="20467B64"/>
    <w:rsid w:val="204834A0"/>
    <w:rsid w:val="206D7B53"/>
    <w:rsid w:val="208062D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07222B"/>
    <w:rsid w:val="22465640"/>
    <w:rsid w:val="224C7D46"/>
    <w:rsid w:val="228F7F35"/>
    <w:rsid w:val="22984F2B"/>
    <w:rsid w:val="229A4D72"/>
    <w:rsid w:val="22BA6D16"/>
    <w:rsid w:val="22D731FA"/>
    <w:rsid w:val="22EF2871"/>
    <w:rsid w:val="22F31289"/>
    <w:rsid w:val="22F37347"/>
    <w:rsid w:val="232708E7"/>
    <w:rsid w:val="23515DF1"/>
    <w:rsid w:val="235B1AEC"/>
    <w:rsid w:val="236C2F23"/>
    <w:rsid w:val="23786F7A"/>
    <w:rsid w:val="23A228E2"/>
    <w:rsid w:val="23A3699F"/>
    <w:rsid w:val="23E01126"/>
    <w:rsid w:val="23E01397"/>
    <w:rsid w:val="24013373"/>
    <w:rsid w:val="241C4982"/>
    <w:rsid w:val="242C2446"/>
    <w:rsid w:val="243A5A22"/>
    <w:rsid w:val="24570100"/>
    <w:rsid w:val="248912CB"/>
    <w:rsid w:val="24A42751"/>
    <w:rsid w:val="24D12E80"/>
    <w:rsid w:val="24D3778F"/>
    <w:rsid w:val="24DD7BD6"/>
    <w:rsid w:val="24F627AC"/>
    <w:rsid w:val="25024973"/>
    <w:rsid w:val="25066ECE"/>
    <w:rsid w:val="250714C1"/>
    <w:rsid w:val="251B63F4"/>
    <w:rsid w:val="251E4616"/>
    <w:rsid w:val="253C1180"/>
    <w:rsid w:val="25440B25"/>
    <w:rsid w:val="2556466D"/>
    <w:rsid w:val="25713C7F"/>
    <w:rsid w:val="259B31B3"/>
    <w:rsid w:val="259C6355"/>
    <w:rsid w:val="25A05850"/>
    <w:rsid w:val="25C873AC"/>
    <w:rsid w:val="25CD0E58"/>
    <w:rsid w:val="25D56614"/>
    <w:rsid w:val="26057CCD"/>
    <w:rsid w:val="263A0DBE"/>
    <w:rsid w:val="263D2CA0"/>
    <w:rsid w:val="264766C6"/>
    <w:rsid w:val="2649167A"/>
    <w:rsid w:val="265E166E"/>
    <w:rsid w:val="26810DF2"/>
    <w:rsid w:val="26866302"/>
    <w:rsid w:val="26924F43"/>
    <w:rsid w:val="26BA68FB"/>
    <w:rsid w:val="26C027E4"/>
    <w:rsid w:val="26D93C9C"/>
    <w:rsid w:val="26EA00EF"/>
    <w:rsid w:val="26EB48FC"/>
    <w:rsid w:val="27151DCB"/>
    <w:rsid w:val="2716695B"/>
    <w:rsid w:val="271A5747"/>
    <w:rsid w:val="271D439F"/>
    <w:rsid w:val="271F29A7"/>
    <w:rsid w:val="272B62E8"/>
    <w:rsid w:val="27385564"/>
    <w:rsid w:val="273A5FED"/>
    <w:rsid w:val="273C5AE9"/>
    <w:rsid w:val="274E0517"/>
    <w:rsid w:val="27617DF2"/>
    <w:rsid w:val="27675BE3"/>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625CF0"/>
    <w:rsid w:val="2C9104A3"/>
    <w:rsid w:val="2CAE6752"/>
    <w:rsid w:val="2CD91BE2"/>
    <w:rsid w:val="2D01620B"/>
    <w:rsid w:val="2D0637A8"/>
    <w:rsid w:val="2D16195F"/>
    <w:rsid w:val="2D1E0AF2"/>
    <w:rsid w:val="2D4E142C"/>
    <w:rsid w:val="2D636E9F"/>
    <w:rsid w:val="2D8E0752"/>
    <w:rsid w:val="2DB94CBF"/>
    <w:rsid w:val="2DC62F01"/>
    <w:rsid w:val="2DE52237"/>
    <w:rsid w:val="2DE846A1"/>
    <w:rsid w:val="2E097E07"/>
    <w:rsid w:val="2E421BC1"/>
    <w:rsid w:val="2E693FEF"/>
    <w:rsid w:val="2E6D1303"/>
    <w:rsid w:val="2E87783F"/>
    <w:rsid w:val="2E9A7AE7"/>
    <w:rsid w:val="2EB02FB3"/>
    <w:rsid w:val="2EBF49DB"/>
    <w:rsid w:val="2EE463B9"/>
    <w:rsid w:val="2EF04EC3"/>
    <w:rsid w:val="2F226C62"/>
    <w:rsid w:val="2F2D4FF3"/>
    <w:rsid w:val="2F384D18"/>
    <w:rsid w:val="2F3A6DCF"/>
    <w:rsid w:val="2F4C3F51"/>
    <w:rsid w:val="2F4E2935"/>
    <w:rsid w:val="2F776026"/>
    <w:rsid w:val="2F792957"/>
    <w:rsid w:val="2F827762"/>
    <w:rsid w:val="2F880DEC"/>
    <w:rsid w:val="2FBA6CFA"/>
    <w:rsid w:val="2FEC6BC4"/>
    <w:rsid w:val="2FEE1054"/>
    <w:rsid w:val="2FFC27E2"/>
    <w:rsid w:val="30064604"/>
    <w:rsid w:val="30182EF1"/>
    <w:rsid w:val="30693876"/>
    <w:rsid w:val="308A649E"/>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6448E"/>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973B37"/>
    <w:rsid w:val="35A60906"/>
    <w:rsid w:val="35BC0844"/>
    <w:rsid w:val="35C90051"/>
    <w:rsid w:val="35D179D8"/>
    <w:rsid w:val="35D457D9"/>
    <w:rsid w:val="35E533FD"/>
    <w:rsid w:val="363475D8"/>
    <w:rsid w:val="36387B7A"/>
    <w:rsid w:val="36584736"/>
    <w:rsid w:val="36673764"/>
    <w:rsid w:val="36924A46"/>
    <w:rsid w:val="36A60D74"/>
    <w:rsid w:val="36AF6640"/>
    <w:rsid w:val="36B16D54"/>
    <w:rsid w:val="36C344B8"/>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3B5F"/>
    <w:rsid w:val="38634F5B"/>
    <w:rsid w:val="388C1B7E"/>
    <w:rsid w:val="38A40429"/>
    <w:rsid w:val="38B80E59"/>
    <w:rsid w:val="38BC39AE"/>
    <w:rsid w:val="38D343A6"/>
    <w:rsid w:val="38EC419A"/>
    <w:rsid w:val="38FC52CA"/>
    <w:rsid w:val="39210769"/>
    <w:rsid w:val="392B0449"/>
    <w:rsid w:val="39380D2F"/>
    <w:rsid w:val="393C7183"/>
    <w:rsid w:val="39521B20"/>
    <w:rsid w:val="3953748C"/>
    <w:rsid w:val="39566218"/>
    <w:rsid w:val="39773E35"/>
    <w:rsid w:val="39A2115A"/>
    <w:rsid w:val="39B2168C"/>
    <w:rsid w:val="39DF73EC"/>
    <w:rsid w:val="39E52624"/>
    <w:rsid w:val="39F50E2C"/>
    <w:rsid w:val="39F94DC1"/>
    <w:rsid w:val="3A026AFB"/>
    <w:rsid w:val="3A1408AF"/>
    <w:rsid w:val="3A140FF4"/>
    <w:rsid w:val="3A15072E"/>
    <w:rsid w:val="3A285E70"/>
    <w:rsid w:val="3A2D246A"/>
    <w:rsid w:val="3A376124"/>
    <w:rsid w:val="3A40479E"/>
    <w:rsid w:val="3A641E70"/>
    <w:rsid w:val="3A863661"/>
    <w:rsid w:val="3AAA4C5C"/>
    <w:rsid w:val="3AEB0F20"/>
    <w:rsid w:val="3B08311F"/>
    <w:rsid w:val="3B0E6055"/>
    <w:rsid w:val="3B1A3241"/>
    <w:rsid w:val="3B6C15C2"/>
    <w:rsid w:val="3B7E03CD"/>
    <w:rsid w:val="3B8E6CFB"/>
    <w:rsid w:val="3B9C7F8B"/>
    <w:rsid w:val="3B9E66EB"/>
    <w:rsid w:val="3BDB2700"/>
    <w:rsid w:val="3BF54015"/>
    <w:rsid w:val="3C415BC1"/>
    <w:rsid w:val="3C4F1540"/>
    <w:rsid w:val="3C7C0284"/>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04879"/>
    <w:rsid w:val="3E3654C6"/>
    <w:rsid w:val="3E425E9E"/>
    <w:rsid w:val="3E622B56"/>
    <w:rsid w:val="3E7D27A9"/>
    <w:rsid w:val="3EB4528A"/>
    <w:rsid w:val="3EB83E8C"/>
    <w:rsid w:val="3EE65813"/>
    <w:rsid w:val="3EF6531B"/>
    <w:rsid w:val="3F281C8B"/>
    <w:rsid w:val="3F490E2C"/>
    <w:rsid w:val="3F566811"/>
    <w:rsid w:val="3F8A11C4"/>
    <w:rsid w:val="3FA21E68"/>
    <w:rsid w:val="3FA51E2D"/>
    <w:rsid w:val="3FC21B60"/>
    <w:rsid w:val="3FEC7045"/>
    <w:rsid w:val="400C0C7E"/>
    <w:rsid w:val="40176E56"/>
    <w:rsid w:val="40267F92"/>
    <w:rsid w:val="402B24D9"/>
    <w:rsid w:val="4037219F"/>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062AD"/>
    <w:rsid w:val="43AC149A"/>
    <w:rsid w:val="43B43389"/>
    <w:rsid w:val="43CE758C"/>
    <w:rsid w:val="43ED2A01"/>
    <w:rsid w:val="43ED41F8"/>
    <w:rsid w:val="4415186B"/>
    <w:rsid w:val="44205379"/>
    <w:rsid w:val="442B21C2"/>
    <w:rsid w:val="4487082B"/>
    <w:rsid w:val="44930D95"/>
    <w:rsid w:val="44A75419"/>
    <w:rsid w:val="44D644A6"/>
    <w:rsid w:val="44FA6FBA"/>
    <w:rsid w:val="45251A0E"/>
    <w:rsid w:val="457D0EE3"/>
    <w:rsid w:val="45940C6E"/>
    <w:rsid w:val="45965BB9"/>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845973"/>
    <w:rsid w:val="479A729D"/>
    <w:rsid w:val="47CC3A50"/>
    <w:rsid w:val="480B64F6"/>
    <w:rsid w:val="481D43A9"/>
    <w:rsid w:val="48341101"/>
    <w:rsid w:val="48450FFC"/>
    <w:rsid w:val="48527770"/>
    <w:rsid w:val="486B4979"/>
    <w:rsid w:val="4880599F"/>
    <w:rsid w:val="489F0998"/>
    <w:rsid w:val="48C0308B"/>
    <w:rsid w:val="48FC68D1"/>
    <w:rsid w:val="48FE2934"/>
    <w:rsid w:val="490F4A1B"/>
    <w:rsid w:val="49166B02"/>
    <w:rsid w:val="49234B7F"/>
    <w:rsid w:val="49351245"/>
    <w:rsid w:val="493A060A"/>
    <w:rsid w:val="49690EEF"/>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840262"/>
    <w:rsid w:val="4B9261F2"/>
    <w:rsid w:val="4BBA3F83"/>
    <w:rsid w:val="4BBE1D9B"/>
    <w:rsid w:val="4BDE56B2"/>
    <w:rsid w:val="4BE8259F"/>
    <w:rsid w:val="4C691265"/>
    <w:rsid w:val="4C6B6F86"/>
    <w:rsid w:val="4C82218F"/>
    <w:rsid w:val="4CBD27F7"/>
    <w:rsid w:val="4CC8576A"/>
    <w:rsid w:val="4CE731CB"/>
    <w:rsid w:val="4D140AFF"/>
    <w:rsid w:val="4D4F4080"/>
    <w:rsid w:val="4D524A2E"/>
    <w:rsid w:val="4D550108"/>
    <w:rsid w:val="4D7C6465"/>
    <w:rsid w:val="4D8B4016"/>
    <w:rsid w:val="4D9878E4"/>
    <w:rsid w:val="4DC95FEB"/>
    <w:rsid w:val="4DFF0074"/>
    <w:rsid w:val="4E0833CC"/>
    <w:rsid w:val="4E121B55"/>
    <w:rsid w:val="4E2D4B0B"/>
    <w:rsid w:val="4E5F48B6"/>
    <w:rsid w:val="4EA54FF4"/>
    <w:rsid w:val="4EAD70C9"/>
    <w:rsid w:val="4EF0521B"/>
    <w:rsid w:val="4F0C7728"/>
    <w:rsid w:val="4F32649A"/>
    <w:rsid w:val="4F3460FE"/>
    <w:rsid w:val="4F3D38F4"/>
    <w:rsid w:val="4F534DF8"/>
    <w:rsid w:val="4F776F22"/>
    <w:rsid w:val="4F9111A0"/>
    <w:rsid w:val="4FCC3F86"/>
    <w:rsid w:val="4FFC5272"/>
    <w:rsid w:val="501E4A7F"/>
    <w:rsid w:val="5020585D"/>
    <w:rsid w:val="50275690"/>
    <w:rsid w:val="506802DF"/>
    <w:rsid w:val="5080057E"/>
    <w:rsid w:val="509D67B6"/>
    <w:rsid w:val="50A73956"/>
    <w:rsid w:val="50AE73B1"/>
    <w:rsid w:val="50C418BE"/>
    <w:rsid w:val="512A18AC"/>
    <w:rsid w:val="51332C9A"/>
    <w:rsid w:val="515D42F8"/>
    <w:rsid w:val="51800E1F"/>
    <w:rsid w:val="518A3749"/>
    <w:rsid w:val="518C4FEB"/>
    <w:rsid w:val="519A7B89"/>
    <w:rsid w:val="51A97CBF"/>
    <w:rsid w:val="51B7614C"/>
    <w:rsid w:val="51D94D95"/>
    <w:rsid w:val="51F25B66"/>
    <w:rsid w:val="51F31543"/>
    <w:rsid w:val="52020133"/>
    <w:rsid w:val="52127A77"/>
    <w:rsid w:val="52192AB0"/>
    <w:rsid w:val="521C0E43"/>
    <w:rsid w:val="522349CD"/>
    <w:rsid w:val="5265735D"/>
    <w:rsid w:val="5269105C"/>
    <w:rsid w:val="5276494B"/>
    <w:rsid w:val="52A00F79"/>
    <w:rsid w:val="52A36DB1"/>
    <w:rsid w:val="52A83907"/>
    <w:rsid w:val="52C67A35"/>
    <w:rsid w:val="52D61478"/>
    <w:rsid w:val="530A3C63"/>
    <w:rsid w:val="530E2DF9"/>
    <w:rsid w:val="53203FDF"/>
    <w:rsid w:val="532F4F57"/>
    <w:rsid w:val="53413510"/>
    <w:rsid w:val="537961D3"/>
    <w:rsid w:val="539B1968"/>
    <w:rsid w:val="53B97671"/>
    <w:rsid w:val="53E25011"/>
    <w:rsid w:val="54033236"/>
    <w:rsid w:val="542F18EE"/>
    <w:rsid w:val="544832CE"/>
    <w:rsid w:val="54516233"/>
    <w:rsid w:val="54516A3D"/>
    <w:rsid w:val="54531EE2"/>
    <w:rsid w:val="546834BD"/>
    <w:rsid w:val="549F7EBB"/>
    <w:rsid w:val="54A87CBF"/>
    <w:rsid w:val="54E13A1D"/>
    <w:rsid w:val="54ED5120"/>
    <w:rsid w:val="55002C50"/>
    <w:rsid w:val="5505279E"/>
    <w:rsid w:val="55460217"/>
    <w:rsid w:val="55541FE5"/>
    <w:rsid w:val="556E7AEA"/>
    <w:rsid w:val="5573623D"/>
    <w:rsid w:val="55B76E8B"/>
    <w:rsid w:val="55F53646"/>
    <w:rsid w:val="56040FDB"/>
    <w:rsid w:val="560F57AD"/>
    <w:rsid w:val="561E36D2"/>
    <w:rsid w:val="565159BE"/>
    <w:rsid w:val="56786C15"/>
    <w:rsid w:val="56843F56"/>
    <w:rsid w:val="56A24FEE"/>
    <w:rsid w:val="56B72191"/>
    <w:rsid w:val="56D2298E"/>
    <w:rsid w:val="56FA587C"/>
    <w:rsid w:val="571476B3"/>
    <w:rsid w:val="571E156B"/>
    <w:rsid w:val="57315742"/>
    <w:rsid w:val="573503FB"/>
    <w:rsid w:val="574A7D73"/>
    <w:rsid w:val="57664CC0"/>
    <w:rsid w:val="57760FF6"/>
    <w:rsid w:val="5778511F"/>
    <w:rsid w:val="577A40F1"/>
    <w:rsid w:val="57825340"/>
    <w:rsid w:val="578265ED"/>
    <w:rsid w:val="578831DF"/>
    <w:rsid w:val="5842443E"/>
    <w:rsid w:val="5846633A"/>
    <w:rsid w:val="58786777"/>
    <w:rsid w:val="587A4EC7"/>
    <w:rsid w:val="58983F2C"/>
    <w:rsid w:val="58997962"/>
    <w:rsid w:val="58BF0B2C"/>
    <w:rsid w:val="59000F93"/>
    <w:rsid w:val="591A2257"/>
    <w:rsid w:val="591E2E5A"/>
    <w:rsid w:val="592940E3"/>
    <w:rsid w:val="593A010E"/>
    <w:rsid w:val="596F1D6D"/>
    <w:rsid w:val="59861D78"/>
    <w:rsid w:val="5989006F"/>
    <w:rsid w:val="59907946"/>
    <w:rsid w:val="59972F13"/>
    <w:rsid w:val="59A010F4"/>
    <w:rsid w:val="59C43A48"/>
    <w:rsid w:val="59C52172"/>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8747C8"/>
    <w:rsid w:val="5CE01400"/>
    <w:rsid w:val="5D064BB6"/>
    <w:rsid w:val="5D201D45"/>
    <w:rsid w:val="5D230805"/>
    <w:rsid w:val="5D243F74"/>
    <w:rsid w:val="5D2C556F"/>
    <w:rsid w:val="5D6210FF"/>
    <w:rsid w:val="5D6736A1"/>
    <w:rsid w:val="5D6879E4"/>
    <w:rsid w:val="5D6C57C7"/>
    <w:rsid w:val="5DA4012C"/>
    <w:rsid w:val="5DBF61E0"/>
    <w:rsid w:val="5DC714A4"/>
    <w:rsid w:val="5DDD3161"/>
    <w:rsid w:val="5DEE7EF0"/>
    <w:rsid w:val="5DF5171A"/>
    <w:rsid w:val="5E0F4E23"/>
    <w:rsid w:val="5E45593F"/>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5D4BFA"/>
    <w:rsid w:val="5F6138D2"/>
    <w:rsid w:val="5F833A67"/>
    <w:rsid w:val="5F945CAA"/>
    <w:rsid w:val="5FA144ED"/>
    <w:rsid w:val="5FC03B6F"/>
    <w:rsid w:val="5FE445EE"/>
    <w:rsid w:val="603806E6"/>
    <w:rsid w:val="604A14D9"/>
    <w:rsid w:val="606074F0"/>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54566"/>
    <w:rsid w:val="63594A26"/>
    <w:rsid w:val="63827325"/>
    <w:rsid w:val="6392012A"/>
    <w:rsid w:val="63A90BE4"/>
    <w:rsid w:val="63AE5BC7"/>
    <w:rsid w:val="63C14E26"/>
    <w:rsid w:val="63F23619"/>
    <w:rsid w:val="64026B3F"/>
    <w:rsid w:val="640351D3"/>
    <w:rsid w:val="640E6D7E"/>
    <w:rsid w:val="64371836"/>
    <w:rsid w:val="64416899"/>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3F7A07"/>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8DF627C"/>
    <w:rsid w:val="68E82783"/>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663EC"/>
    <w:rsid w:val="6AE9375D"/>
    <w:rsid w:val="6AFA20DD"/>
    <w:rsid w:val="6B2660F3"/>
    <w:rsid w:val="6B415C47"/>
    <w:rsid w:val="6B4C6148"/>
    <w:rsid w:val="6B600D2D"/>
    <w:rsid w:val="6B6C4B43"/>
    <w:rsid w:val="6B7D0E3F"/>
    <w:rsid w:val="6B820818"/>
    <w:rsid w:val="6BA666A4"/>
    <w:rsid w:val="6BAD1029"/>
    <w:rsid w:val="6BD44496"/>
    <w:rsid w:val="6C0905E4"/>
    <w:rsid w:val="6C2458E5"/>
    <w:rsid w:val="6C3A2120"/>
    <w:rsid w:val="6C5D448C"/>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970129"/>
    <w:rsid w:val="6EA27EEE"/>
    <w:rsid w:val="6EB1286D"/>
    <w:rsid w:val="6ECA14A5"/>
    <w:rsid w:val="6EF84EB7"/>
    <w:rsid w:val="6EFA159E"/>
    <w:rsid w:val="6F053BD8"/>
    <w:rsid w:val="6F48373C"/>
    <w:rsid w:val="6F68729A"/>
    <w:rsid w:val="6F6B7A12"/>
    <w:rsid w:val="6F9F715B"/>
    <w:rsid w:val="6FB67A04"/>
    <w:rsid w:val="6FBE0AF8"/>
    <w:rsid w:val="6FC2500E"/>
    <w:rsid w:val="6FCF03C8"/>
    <w:rsid w:val="6FE64CCD"/>
    <w:rsid w:val="6FEB00C8"/>
    <w:rsid w:val="6FEC0E60"/>
    <w:rsid w:val="6FF98DB1"/>
    <w:rsid w:val="7000157C"/>
    <w:rsid w:val="700E26F1"/>
    <w:rsid w:val="70221706"/>
    <w:rsid w:val="702A0B29"/>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1750DD"/>
    <w:rsid w:val="723C0660"/>
    <w:rsid w:val="724539F8"/>
    <w:rsid w:val="72543AEC"/>
    <w:rsid w:val="72785B7B"/>
    <w:rsid w:val="72AF7142"/>
    <w:rsid w:val="72D22FDD"/>
    <w:rsid w:val="72E0464A"/>
    <w:rsid w:val="730126FE"/>
    <w:rsid w:val="73060B04"/>
    <w:rsid w:val="730944EC"/>
    <w:rsid w:val="73095DD8"/>
    <w:rsid w:val="730A35E7"/>
    <w:rsid w:val="731E7C07"/>
    <w:rsid w:val="731F2ADD"/>
    <w:rsid w:val="73371579"/>
    <w:rsid w:val="7380726A"/>
    <w:rsid w:val="739444AA"/>
    <w:rsid w:val="73CB1EA3"/>
    <w:rsid w:val="73EE3133"/>
    <w:rsid w:val="73F531FC"/>
    <w:rsid w:val="73FC31D8"/>
    <w:rsid w:val="73FC5DA2"/>
    <w:rsid w:val="74542522"/>
    <w:rsid w:val="74597D1C"/>
    <w:rsid w:val="749307B9"/>
    <w:rsid w:val="74BE21E6"/>
    <w:rsid w:val="74CD114F"/>
    <w:rsid w:val="74D53759"/>
    <w:rsid w:val="75132CB2"/>
    <w:rsid w:val="755525CB"/>
    <w:rsid w:val="755C6749"/>
    <w:rsid w:val="757B534A"/>
    <w:rsid w:val="758A423F"/>
    <w:rsid w:val="75C4089A"/>
    <w:rsid w:val="75D43E4C"/>
    <w:rsid w:val="75EE584D"/>
    <w:rsid w:val="75FC051E"/>
    <w:rsid w:val="760E4653"/>
    <w:rsid w:val="76745657"/>
    <w:rsid w:val="769374F5"/>
    <w:rsid w:val="76A63920"/>
    <w:rsid w:val="76D66A0B"/>
    <w:rsid w:val="76E17369"/>
    <w:rsid w:val="76E61C4D"/>
    <w:rsid w:val="76F43195"/>
    <w:rsid w:val="770D6993"/>
    <w:rsid w:val="770E2FDD"/>
    <w:rsid w:val="774615E8"/>
    <w:rsid w:val="774F05B4"/>
    <w:rsid w:val="77795FC5"/>
    <w:rsid w:val="778C339B"/>
    <w:rsid w:val="77B0693E"/>
    <w:rsid w:val="77D5581E"/>
    <w:rsid w:val="77DB4976"/>
    <w:rsid w:val="77E01900"/>
    <w:rsid w:val="77EB042B"/>
    <w:rsid w:val="77F66378"/>
    <w:rsid w:val="78105FE1"/>
    <w:rsid w:val="781D1021"/>
    <w:rsid w:val="78294EC6"/>
    <w:rsid w:val="78296451"/>
    <w:rsid w:val="784B788E"/>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37513E"/>
    <w:rsid w:val="7A455228"/>
    <w:rsid w:val="7A682979"/>
    <w:rsid w:val="7A7A6DE0"/>
    <w:rsid w:val="7AAD58D6"/>
    <w:rsid w:val="7AEA5035"/>
    <w:rsid w:val="7AF20636"/>
    <w:rsid w:val="7B033E9B"/>
    <w:rsid w:val="7B0B7EA2"/>
    <w:rsid w:val="7B183D1A"/>
    <w:rsid w:val="7B30045D"/>
    <w:rsid w:val="7B4D0CE7"/>
    <w:rsid w:val="7B5E08D0"/>
    <w:rsid w:val="7BB5399C"/>
    <w:rsid w:val="7BC77B4C"/>
    <w:rsid w:val="7BF36259"/>
    <w:rsid w:val="7BF92AE3"/>
    <w:rsid w:val="7C022754"/>
    <w:rsid w:val="7C442F72"/>
    <w:rsid w:val="7C452FFC"/>
    <w:rsid w:val="7C79211D"/>
    <w:rsid w:val="7C7D7793"/>
    <w:rsid w:val="7C9F79C8"/>
    <w:rsid w:val="7CA20363"/>
    <w:rsid w:val="7CA95B7D"/>
    <w:rsid w:val="7CB66269"/>
    <w:rsid w:val="7CBC13FC"/>
    <w:rsid w:val="7CBC3B1C"/>
    <w:rsid w:val="7CBF58F7"/>
    <w:rsid w:val="7CC1243A"/>
    <w:rsid w:val="7CE427EA"/>
    <w:rsid w:val="7D1144BC"/>
    <w:rsid w:val="7D4A1795"/>
    <w:rsid w:val="7D636E1C"/>
    <w:rsid w:val="7D6A0D4C"/>
    <w:rsid w:val="7D6F58E0"/>
    <w:rsid w:val="7D7B6AC6"/>
    <w:rsid w:val="7D80192E"/>
    <w:rsid w:val="7DD11A81"/>
    <w:rsid w:val="7DDA2E72"/>
    <w:rsid w:val="7DDE256E"/>
    <w:rsid w:val="7DE41CF5"/>
    <w:rsid w:val="7DE73D20"/>
    <w:rsid w:val="7DF30880"/>
    <w:rsid w:val="7DFD5DC0"/>
    <w:rsid w:val="7E0D4703"/>
    <w:rsid w:val="7E1075B0"/>
    <w:rsid w:val="7E1D2446"/>
    <w:rsid w:val="7E1EF14A"/>
    <w:rsid w:val="7E3D61A6"/>
    <w:rsid w:val="7E5E6CA7"/>
    <w:rsid w:val="7E705B4A"/>
    <w:rsid w:val="7E7F57D1"/>
    <w:rsid w:val="7E8C0B61"/>
    <w:rsid w:val="7E8E1840"/>
    <w:rsid w:val="7EA34E4A"/>
    <w:rsid w:val="7ED32079"/>
    <w:rsid w:val="7F082BC8"/>
    <w:rsid w:val="7F1C1F84"/>
    <w:rsid w:val="7F280929"/>
    <w:rsid w:val="7F295DA0"/>
    <w:rsid w:val="7F3E5B3F"/>
    <w:rsid w:val="7F47036D"/>
    <w:rsid w:val="7F7431CA"/>
    <w:rsid w:val="7F930548"/>
    <w:rsid w:val="7FA06127"/>
    <w:rsid w:val="7FA906E9"/>
    <w:rsid w:val="7FAB79E7"/>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7"/>
    <w:next w:val="1"/>
    <w:link w:val="249"/>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10">
    <w:name w:val="heading 3"/>
    <w:basedOn w:val="1"/>
    <w:next w:val="1"/>
    <w:link w:val="241"/>
    <w:autoRedefine/>
    <w:qFormat/>
    <w:uiPriority w:val="0"/>
    <w:pPr>
      <w:keepNext/>
      <w:keepLines/>
      <w:tabs>
        <w:tab w:val="left" w:pos="720"/>
      </w:tabs>
      <w:snapToGrid w:val="0"/>
      <w:ind w:left="567" w:hanging="567"/>
      <w:outlineLvl w:val="2"/>
    </w:pPr>
    <w:rPr>
      <w:b/>
      <w:bCs/>
      <w:sz w:val="30"/>
      <w:szCs w:val="32"/>
    </w:rPr>
  </w:style>
  <w:style w:type="paragraph" w:styleId="11">
    <w:name w:val="heading 4"/>
    <w:basedOn w:val="1"/>
    <w:next w:val="1"/>
    <w:link w:val="273"/>
    <w:autoRedefine/>
    <w:qFormat/>
    <w:uiPriority w:val="0"/>
    <w:pPr>
      <w:keepNext/>
      <w:keepLines/>
      <w:tabs>
        <w:tab w:val="left" w:pos="864"/>
      </w:tabs>
      <w:ind w:left="862" w:hanging="862"/>
      <w:outlineLvl w:val="3"/>
    </w:pPr>
    <w:rPr>
      <w:b/>
      <w:bCs/>
      <w:sz w:val="28"/>
      <w:szCs w:val="28"/>
    </w:rPr>
  </w:style>
  <w:style w:type="paragraph" w:styleId="2">
    <w:name w:val="heading 5"/>
    <w:basedOn w:val="1"/>
    <w:next w:val="1"/>
    <w:link w:val="101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355"/>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3">
    <w:name w:val="heading 7"/>
    <w:basedOn w:val="1"/>
    <w:next w:val="1"/>
    <w:link w:val="173"/>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4">
    <w:name w:val="heading 8"/>
    <w:basedOn w:val="1"/>
    <w:next w:val="1"/>
    <w:link w:val="111"/>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5">
    <w:name w:val="heading 9"/>
    <w:basedOn w:val="1"/>
    <w:next w:val="1"/>
    <w:link w:val="27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autoRedefine/>
    <w:qFormat/>
    <w:uiPriority w:val="0"/>
    <w:pPr>
      <w:spacing w:beforeLines="40" w:afterLines="40"/>
    </w:pPr>
    <w:rPr>
      <w:sz w:val="28"/>
    </w:rPr>
  </w:style>
  <w:style w:type="paragraph" w:styleId="7">
    <w:name w:val="Body Text"/>
    <w:basedOn w:val="1"/>
    <w:next w:val="8"/>
    <w:link w:val="290"/>
    <w:autoRedefine/>
    <w:qFormat/>
    <w:uiPriority w:val="0"/>
    <w:pPr>
      <w:spacing w:after="120"/>
    </w:pPr>
    <w:rPr>
      <w:sz w:val="28"/>
    </w:rPr>
  </w:style>
  <w:style w:type="paragraph" w:styleId="8">
    <w:name w:val="Body Text First Indent"/>
    <w:basedOn w:val="7"/>
    <w:next w:val="9"/>
    <w:link w:val="144"/>
    <w:autoRedefine/>
    <w:qFormat/>
    <w:uiPriority w:val="0"/>
    <w:pPr>
      <w:ind w:firstLine="420" w:firstLineChars="100"/>
    </w:pPr>
    <w:rPr>
      <w:rFonts w:ascii="Calibri" w:hAnsi="Calibri"/>
      <w:sz w:val="21"/>
      <w:szCs w:val="22"/>
    </w:rPr>
  </w:style>
  <w:style w:type="paragraph" w:styleId="9">
    <w:name w:val="toc 6"/>
    <w:basedOn w:val="1"/>
    <w:next w:val="1"/>
    <w:autoRedefine/>
    <w:qFormat/>
    <w:uiPriority w:val="0"/>
    <w:pPr>
      <w:ind w:left="1200"/>
      <w:jc w:val="left"/>
    </w:pPr>
    <w:rPr>
      <w:sz w:val="18"/>
      <w:szCs w:val="18"/>
    </w:rPr>
  </w:style>
  <w:style w:type="paragraph" w:styleId="16">
    <w:name w:val="List 3"/>
    <w:basedOn w:val="1"/>
    <w:autoRedefine/>
    <w:qFormat/>
    <w:uiPriority w:val="0"/>
    <w:pPr>
      <w:spacing w:beforeLines="40" w:afterLines="40" w:line="300" w:lineRule="auto"/>
      <w:ind w:left="100" w:leftChars="400" w:hanging="200" w:hangingChars="200"/>
    </w:pPr>
  </w:style>
  <w:style w:type="paragraph" w:styleId="17">
    <w:name w:val="toc 7"/>
    <w:basedOn w:val="1"/>
    <w:next w:val="1"/>
    <w:autoRedefine/>
    <w:qFormat/>
    <w:uiPriority w:val="0"/>
    <w:pPr>
      <w:ind w:left="1440"/>
      <w:jc w:val="left"/>
    </w:pPr>
    <w:rPr>
      <w:sz w:val="18"/>
      <w:szCs w:val="18"/>
    </w:rPr>
  </w:style>
  <w:style w:type="paragraph" w:styleId="18">
    <w:name w:val="List Number 2"/>
    <w:basedOn w:val="1"/>
    <w:autoRedefine/>
    <w:qFormat/>
    <w:uiPriority w:val="0"/>
    <w:pPr>
      <w:tabs>
        <w:tab w:val="left" w:pos="780"/>
      </w:tabs>
      <w:ind w:left="780" w:leftChars="200" w:hanging="360" w:hangingChars="200"/>
    </w:pPr>
  </w:style>
  <w:style w:type="paragraph" w:styleId="19">
    <w:name w:val="table of authorities"/>
    <w:basedOn w:val="1"/>
    <w:next w:val="1"/>
    <w:autoRedefine/>
    <w:semiHidden/>
    <w:qFormat/>
    <w:uiPriority w:val="0"/>
    <w:pPr>
      <w:ind w:left="420" w:leftChars="200"/>
    </w:pPr>
  </w:style>
  <w:style w:type="paragraph" w:styleId="20">
    <w:name w:val="Note Heading"/>
    <w:basedOn w:val="1"/>
    <w:next w:val="1"/>
    <w:autoRedefine/>
    <w:qFormat/>
    <w:uiPriority w:val="0"/>
    <w:pPr>
      <w:spacing w:beforeLines="40" w:afterLines="40" w:line="300" w:lineRule="auto"/>
      <w:ind w:firstLine="420"/>
      <w:jc w:val="center"/>
    </w:pPr>
  </w:style>
  <w:style w:type="paragraph" w:styleId="21">
    <w:name w:val="List Bullet 4"/>
    <w:basedOn w:val="1"/>
    <w:autoRedefine/>
    <w:qFormat/>
    <w:uiPriority w:val="0"/>
    <w:pPr>
      <w:tabs>
        <w:tab w:val="left" w:pos="1620"/>
      </w:tabs>
      <w:ind w:left="1620" w:hanging="360"/>
    </w:pPr>
  </w:style>
  <w:style w:type="paragraph" w:styleId="22">
    <w:name w:val="index 8"/>
    <w:basedOn w:val="1"/>
    <w:next w:val="1"/>
    <w:autoRedefine/>
    <w:semiHidden/>
    <w:qFormat/>
    <w:uiPriority w:val="0"/>
    <w:pPr>
      <w:ind w:left="1400" w:leftChars="1400"/>
    </w:pPr>
  </w:style>
  <w:style w:type="paragraph" w:styleId="23">
    <w:name w:val="E-mail Signature"/>
    <w:basedOn w:val="1"/>
    <w:autoRedefine/>
    <w:qFormat/>
    <w:uiPriority w:val="0"/>
  </w:style>
  <w:style w:type="paragraph" w:styleId="24">
    <w:name w:val="List Number"/>
    <w:basedOn w:val="1"/>
    <w:next w:val="25"/>
    <w:autoRedefine/>
    <w:qFormat/>
    <w:uiPriority w:val="0"/>
    <w:pPr>
      <w:widowControl/>
      <w:tabs>
        <w:tab w:val="left" w:pos="454"/>
        <w:tab w:val="left" w:pos="720"/>
      </w:tabs>
      <w:spacing w:afterLines="50"/>
      <w:ind w:left="454" w:hanging="284"/>
      <w:jc w:val="left"/>
    </w:pPr>
    <w:rPr>
      <w:kern w:val="0"/>
      <w:szCs w:val="20"/>
    </w:rPr>
  </w:style>
  <w:style w:type="paragraph" w:styleId="25">
    <w:name w:val="Balloon Text"/>
    <w:basedOn w:val="1"/>
    <w:next w:val="26"/>
    <w:link w:val="334"/>
    <w:autoRedefine/>
    <w:qFormat/>
    <w:uiPriority w:val="0"/>
    <w:rPr>
      <w:rFonts w:ascii="Calibri" w:hAnsi="Calibri"/>
      <w:sz w:val="18"/>
      <w:szCs w:val="18"/>
    </w:rPr>
  </w:style>
  <w:style w:type="paragraph" w:styleId="26">
    <w:name w:val="toc 8"/>
    <w:basedOn w:val="1"/>
    <w:next w:val="1"/>
    <w:autoRedefine/>
    <w:semiHidden/>
    <w:qFormat/>
    <w:uiPriority w:val="0"/>
    <w:pPr>
      <w:spacing w:afterLines="50"/>
      <w:ind w:left="1470"/>
      <w:jc w:val="left"/>
    </w:pPr>
    <w:rPr>
      <w:snapToGrid w:val="0"/>
      <w:kern w:val="0"/>
      <w:sz w:val="18"/>
      <w:szCs w:val="18"/>
    </w:rPr>
  </w:style>
  <w:style w:type="paragraph" w:styleId="27">
    <w:name w:val="Normal Indent"/>
    <w:basedOn w:val="1"/>
    <w:link w:val="197"/>
    <w:autoRedefine/>
    <w:qFormat/>
    <w:uiPriority w:val="0"/>
    <w:pPr>
      <w:ind w:firstLine="420"/>
    </w:pPr>
    <w:rPr>
      <w:szCs w:val="20"/>
    </w:rPr>
  </w:style>
  <w:style w:type="paragraph" w:styleId="28">
    <w:name w:val="caption"/>
    <w:basedOn w:val="1"/>
    <w:next w:val="1"/>
    <w:link w:val="189"/>
    <w:autoRedefine/>
    <w:qFormat/>
    <w:uiPriority w:val="0"/>
    <w:pPr>
      <w:spacing w:before="152" w:after="160"/>
    </w:pPr>
    <w:rPr>
      <w:rFonts w:ascii="Arial" w:hAnsi="Arial" w:eastAsia="黑体"/>
      <w:sz w:val="20"/>
      <w:szCs w:val="20"/>
    </w:rPr>
  </w:style>
  <w:style w:type="paragraph" w:styleId="29">
    <w:name w:val="index 5"/>
    <w:basedOn w:val="1"/>
    <w:next w:val="1"/>
    <w:autoRedefine/>
    <w:semiHidden/>
    <w:qFormat/>
    <w:uiPriority w:val="0"/>
    <w:pPr>
      <w:ind w:left="800" w:leftChars="800"/>
    </w:pPr>
  </w:style>
  <w:style w:type="paragraph" w:styleId="30">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31">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2">
    <w:name w:val="Document Map"/>
    <w:basedOn w:val="1"/>
    <w:link w:val="156"/>
    <w:autoRedefine/>
    <w:unhideWhenUsed/>
    <w:qFormat/>
    <w:uiPriority w:val="0"/>
    <w:rPr>
      <w:rFonts w:ascii="宋体" w:hAnsi="Courier New"/>
      <w:kern w:val="0"/>
      <w:szCs w:val="20"/>
    </w:rPr>
  </w:style>
  <w:style w:type="paragraph" w:styleId="33">
    <w:name w:val="toa heading"/>
    <w:basedOn w:val="1"/>
    <w:next w:val="1"/>
    <w:autoRedefine/>
    <w:semiHidden/>
    <w:qFormat/>
    <w:uiPriority w:val="0"/>
    <w:pPr>
      <w:spacing w:before="120"/>
    </w:pPr>
    <w:rPr>
      <w:rFonts w:ascii="Arial" w:hAnsi="Arial" w:cs="Arial"/>
    </w:rPr>
  </w:style>
  <w:style w:type="paragraph" w:styleId="34">
    <w:name w:val="annotation text"/>
    <w:basedOn w:val="1"/>
    <w:link w:val="125"/>
    <w:autoRedefine/>
    <w:qFormat/>
    <w:uiPriority w:val="0"/>
    <w:pPr>
      <w:jc w:val="left"/>
    </w:pPr>
    <w:rPr>
      <w:rFonts w:ascii="Calibri" w:hAnsi="Calibri"/>
    </w:rPr>
  </w:style>
  <w:style w:type="paragraph" w:styleId="35">
    <w:name w:val="index 6"/>
    <w:basedOn w:val="1"/>
    <w:next w:val="1"/>
    <w:autoRedefine/>
    <w:semiHidden/>
    <w:qFormat/>
    <w:uiPriority w:val="0"/>
    <w:pPr>
      <w:ind w:left="1000" w:leftChars="1000"/>
    </w:pPr>
  </w:style>
  <w:style w:type="paragraph" w:styleId="36">
    <w:name w:val="Salutation"/>
    <w:basedOn w:val="1"/>
    <w:next w:val="1"/>
    <w:link w:val="1016"/>
    <w:autoRedefine/>
    <w:qFormat/>
    <w:uiPriority w:val="0"/>
  </w:style>
  <w:style w:type="paragraph" w:styleId="37">
    <w:name w:val="Body Text 3"/>
    <w:basedOn w:val="1"/>
    <w:autoRedefine/>
    <w:qFormat/>
    <w:uiPriority w:val="0"/>
    <w:pPr>
      <w:snapToGrid w:val="0"/>
      <w:spacing w:before="50" w:after="50"/>
    </w:pPr>
  </w:style>
  <w:style w:type="paragraph" w:styleId="38">
    <w:name w:val="Closing"/>
    <w:basedOn w:val="1"/>
    <w:autoRedefine/>
    <w:qFormat/>
    <w:uiPriority w:val="0"/>
    <w:pPr>
      <w:spacing w:beforeLines="40" w:afterLines="40" w:line="300" w:lineRule="auto"/>
      <w:ind w:left="100" w:leftChars="2100" w:firstLine="420"/>
    </w:pPr>
  </w:style>
  <w:style w:type="paragraph" w:styleId="39">
    <w:name w:val="List Bullet 3"/>
    <w:basedOn w:val="1"/>
    <w:autoRedefine/>
    <w:qFormat/>
    <w:uiPriority w:val="0"/>
    <w:pPr>
      <w:tabs>
        <w:tab w:val="left" w:pos="1200"/>
      </w:tabs>
      <w:ind w:left="1200" w:leftChars="400" w:hanging="360" w:hangingChars="200"/>
    </w:pPr>
  </w:style>
  <w:style w:type="paragraph" w:styleId="40">
    <w:name w:val="Body Text Indent"/>
    <w:basedOn w:val="1"/>
    <w:next w:val="24"/>
    <w:link w:val="151"/>
    <w:autoRedefine/>
    <w:qFormat/>
    <w:uiPriority w:val="0"/>
    <w:pPr>
      <w:spacing w:line="200" w:lineRule="exact"/>
      <w:ind w:firstLine="301"/>
    </w:pPr>
    <w:rPr>
      <w:rFonts w:ascii="宋体" w:hAnsi="Courier New"/>
      <w:spacing w:val="-4"/>
      <w:sz w:val="18"/>
      <w:szCs w:val="20"/>
    </w:rPr>
  </w:style>
  <w:style w:type="paragraph" w:styleId="41">
    <w:name w:val="List Number 3"/>
    <w:basedOn w:val="1"/>
    <w:autoRedefine/>
    <w:qFormat/>
    <w:uiPriority w:val="0"/>
    <w:pPr>
      <w:tabs>
        <w:tab w:val="left" w:pos="1200"/>
      </w:tabs>
      <w:ind w:left="1200" w:hanging="360"/>
    </w:pPr>
  </w:style>
  <w:style w:type="paragraph" w:styleId="42">
    <w:name w:val="List 2"/>
    <w:basedOn w:val="1"/>
    <w:autoRedefine/>
    <w:qFormat/>
    <w:uiPriority w:val="0"/>
    <w:pPr>
      <w:ind w:left="100" w:leftChars="200" w:hanging="200" w:hangingChars="200"/>
    </w:pPr>
    <w:rPr>
      <w:sz w:val="28"/>
    </w:rPr>
  </w:style>
  <w:style w:type="paragraph" w:styleId="43">
    <w:name w:val="List Continue"/>
    <w:basedOn w:val="1"/>
    <w:autoRedefine/>
    <w:qFormat/>
    <w:uiPriority w:val="0"/>
    <w:pPr>
      <w:spacing w:after="120"/>
      <w:ind w:left="420" w:leftChars="200"/>
    </w:pPr>
  </w:style>
  <w:style w:type="paragraph" w:styleId="44">
    <w:name w:val="Block Text"/>
    <w:basedOn w:val="1"/>
    <w:autoRedefine/>
    <w:qFormat/>
    <w:uiPriority w:val="0"/>
    <w:pPr>
      <w:spacing w:after="120"/>
      <w:ind w:left="1440" w:leftChars="700" w:right="1440" w:rightChars="700"/>
    </w:pPr>
    <w:rPr>
      <w:szCs w:val="20"/>
    </w:rPr>
  </w:style>
  <w:style w:type="paragraph" w:styleId="45">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6">
    <w:name w:val="HTML Address"/>
    <w:basedOn w:val="1"/>
    <w:autoRedefine/>
    <w:qFormat/>
    <w:uiPriority w:val="0"/>
    <w:pPr>
      <w:spacing w:beforeLines="40" w:afterLines="40" w:line="300" w:lineRule="auto"/>
      <w:ind w:firstLine="420"/>
    </w:pPr>
    <w:rPr>
      <w:i/>
      <w:iCs/>
    </w:rPr>
  </w:style>
  <w:style w:type="paragraph" w:styleId="47">
    <w:name w:val="index 4"/>
    <w:basedOn w:val="1"/>
    <w:next w:val="1"/>
    <w:autoRedefine/>
    <w:semiHidden/>
    <w:qFormat/>
    <w:uiPriority w:val="0"/>
    <w:pPr>
      <w:ind w:left="600" w:leftChars="600"/>
    </w:pPr>
  </w:style>
  <w:style w:type="paragraph" w:styleId="48">
    <w:name w:val="toc 5"/>
    <w:basedOn w:val="1"/>
    <w:next w:val="1"/>
    <w:autoRedefine/>
    <w:semiHidden/>
    <w:qFormat/>
    <w:uiPriority w:val="0"/>
    <w:pPr>
      <w:spacing w:afterLines="50"/>
      <w:ind w:left="840"/>
      <w:jc w:val="left"/>
    </w:pPr>
    <w:rPr>
      <w:snapToGrid w:val="0"/>
      <w:kern w:val="0"/>
      <w:sz w:val="18"/>
      <w:szCs w:val="18"/>
    </w:rPr>
  </w:style>
  <w:style w:type="paragraph" w:styleId="49">
    <w:name w:val="toc 3"/>
    <w:basedOn w:val="1"/>
    <w:next w:val="1"/>
    <w:autoRedefine/>
    <w:qFormat/>
    <w:uiPriority w:val="0"/>
    <w:pPr>
      <w:tabs>
        <w:tab w:val="right" w:leader="dot" w:pos="8296"/>
      </w:tabs>
      <w:jc w:val="left"/>
    </w:pPr>
    <w:rPr>
      <w:b/>
      <w:bCs/>
      <w:iCs/>
    </w:rPr>
  </w:style>
  <w:style w:type="paragraph" w:styleId="50">
    <w:name w:val="Plain Text"/>
    <w:basedOn w:val="1"/>
    <w:next w:val="1"/>
    <w:link w:val="329"/>
    <w:autoRedefine/>
    <w:qFormat/>
    <w:uiPriority w:val="0"/>
    <w:pPr>
      <w:spacing w:beforeLines="50" w:afterLines="50" w:line="400" w:lineRule="exact"/>
    </w:pPr>
    <w:rPr>
      <w:rFonts w:ascii="宋体" w:hAnsi="Courier New"/>
    </w:rPr>
  </w:style>
  <w:style w:type="paragraph" w:styleId="51">
    <w:name w:val="List Bullet 5"/>
    <w:basedOn w:val="1"/>
    <w:autoRedefine/>
    <w:qFormat/>
    <w:uiPriority w:val="0"/>
    <w:pPr>
      <w:tabs>
        <w:tab w:val="left" w:pos="2182"/>
      </w:tabs>
      <w:ind w:left="2182" w:hanging="360"/>
    </w:pPr>
  </w:style>
  <w:style w:type="paragraph" w:styleId="52">
    <w:name w:val="List Number 4"/>
    <w:basedOn w:val="1"/>
    <w:autoRedefine/>
    <w:qFormat/>
    <w:uiPriority w:val="0"/>
    <w:pPr>
      <w:tabs>
        <w:tab w:val="left" w:pos="1620"/>
      </w:tabs>
      <w:ind w:left="1620" w:leftChars="600" w:hanging="360" w:hangingChars="200"/>
    </w:pPr>
  </w:style>
  <w:style w:type="paragraph" w:styleId="53">
    <w:name w:val="index 3"/>
    <w:basedOn w:val="1"/>
    <w:next w:val="1"/>
    <w:autoRedefine/>
    <w:semiHidden/>
    <w:qFormat/>
    <w:uiPriority w:val="0"/>
    <w:pPr>
      <w:ind w:left="400" w:leftChars="400"/>
    </w:pPr>
  </w:style>
  <w:style w:type="paragraph" w:styleId="54">
    <w:name w:val="Date"/>
    <w:basedOn w:val="1"/>
    <w:next w:val="1"/>
    <w:link w:val="228"/>
    <w:autoRedefine/>
    <w:qFormat/>
    <w:uiPriority w:val="0"/>
    <w:pPr>
      <w:ind w:left="2500" w:leftChars="2500"/>
    </w:pPr>
    <w:rPr>
      <w:rFonts w:eastAsia="楷体_GB2312"/>
      <w:sz w:val="32"/>
      <w:szCs w:val="20"/>
    </w:rPr>
  </w:style>
  <w:style w:type="paragraph" w:styleId="55">
    <w:name w:val="Body Text Indent 2"/>
    <w:basedOn w:val="1"/>
    <w:autoRedefine/>
    <w:qFormat/>
    <w:uiPriority w:val="0"/>
    <w:pPr>
      <w:snapToGrid w:val="0"/>
      <w:ind w:firstLine="542" w:firstLineChars="225"/>
    </w:pPr>
    <w:rPr>
      <w:rFonts w:ascii="仿宋_GB2312" w:hAnsi="宋体" w:cs="Arial"/>
      <w:b/>
      <w:bCs/>
      <w:color w:val="000000"/>
    </w:rPr>
  </w:style>
  <w:style w:type="paragraph" w:styleId="56">
    <w:name w:val="endnote text"/>
    <w:basedOn w:val="1"/>
    <w:autoRedefine/>
    <w:semiHidden/>
    <w:qFormat/>
    <w:uiPriority w:val="0"/>
    <w:pPr>
      <w:snapToGrid w:val="0"/>
      <w:spacing w:afterLines="50"/>
      <w:jc w:val="left"/>
    </w:pPr>
    <w:rPr>
      <w:rFonts w:ascii="宋体"/>
      <w:snapToGrid w:val="0"/>
      <w:kern w:val="0"/>
      <w:szCs w:val="20"/>
    </w:rPr>
  </w:style>
  <w:style w:type="paragraph" w:styleId="57">
    <w:name w:val="List Continue 5"/>
    <w:basedOn w:val="1"/>
    <w:autoRedefine/>
    <w:qFormat/>
    <w:uiPriority w:val="0"/>
    <w:pPr>
      <w:spacing w:after="120"/>
      <w:ind w:left="2100" w:leftChars="1000"/>
    </w:pPr>
  </w:style>
  <w:style w:type="paragraph" w:styleId="58">
    <w:name w:val="footer"/>
    <w:basedOn w:val="1"/>
    <w:link w:val="357"/>
    <w:autoRedefine/>
    <w:unhideWhenUsed/>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snapToGrid w:val="0"/>
      <w:spacing w:beforeLines="40" w:afterLines="40" w:line="300" w:lineRule="auto"/>
      <w:ind w:firstLine="420"/>
    </w:pPr>
    <w:rPr>
      <w:rFonts w:ascii="Arial" w:hAnsi="Arial" w:cs="Arial"/>
    </w:rPr>
  </w:style>
  <w:style w:type="paragraph" w:styleId="60">
    <w:name w:val="header"/>
    <w:basedOn w:val="1"/>
    <w:link w:val="2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autoRedefine/>
    <w:qFormat/>
    <w:uiPriority w:val="0"/>
    <w:pPr>
      <w:ind w:left="100" w:leftChars="2100"/>
    </w:pPr>
  </w:style>
  <w:style w:type="paragraph" w:styleId="62">
    <w:name w:val="toc 1"/>
    <w:basedOn w:val="1"/>
    <w:next w:val="1"/>
    <w:autoRedefine/>
    <w:qFormat/>
    <w:uiPriority w:val="0"/>
    <w:rPr>
      <w:sz w:val="30"/>
    </w:rPr>
  </w:style>
  <w:style w:type="paragraph" w:styleId="63">
    <w:name w:val="List Continue 4"/>
    <w:basedOn w:val="1"/>
    <w:autoRedefine/>
    <w:qFormat/>
    <w:uiPriority w:val="0"/>
    <w:pPr>
      <w:spacing w:after="120"/>
      <w:ind w:left="1680" w:leftChars="800"/>
    </w:pPr>
  </w:style>
  <w:style w:type="paragraph" w:styleId="64">
    <w:name w:val="toc 4"/>
    <w:basedOn w:val="1"/>
    <w:next w:val="1"/>
    <w:autoRedefine/>
    <w:semiHidden/>
    <w:qFormat/>
    <w:uiPriority w:val="0"/>
    <w:pPr>
      <w:ind w:left="629"/>
      <w:jc w:val="left"/>
    </w:pPr>
    <w:rPr>
      <w:snapToGrid w:val="0"/>
      <w:kern w:val="0"/>
      <w:szCs w:val="18"/>
    </w:rPr>
  </w:style>
  <w:style w:type="paragraph" w:styleId="65">
    <w:name w:val="index heading"/>
    <w:basedOn w:val="1"/>
    <w:next w:val="66"/>
    <w:autoRedefine/>
    <w:semiHidden/>
    <w:qFormat/>
    <w:uiPriority w:val="0"/>
    <w:rPr>
      <w:rFonts w:ascii="Arial" w:hAnsi="Arial" w:cs="Arial"/>
      <w:b/>
      <w:bCs/>
    </w:rPr>
  </w:style>
  <w:style w:type="paragraph" w:styleId="66">
    <w:name w:val="index 1"/>
    <w:basedOn w:val="1"/>
    <w:next w:val="1"/>
    <w:autoRedefine/>
    <w:qFormat/>
    <w:uiPriority w:val="0"/>
    <w:rPr>
      <w:szCs w:val="20"/>
    </w:rPr>
  </w:style>
  <w:style w:type="paragraph" w:styleId="67">
    <w:name w:val="Subtitle"/>
    <w:basedOn w:val="1"/>
    <w:autoRedefine/>
    <w:qFormat/>
    <w:uiPriority w:val="0"/>
    <w:pPr>
      <w:spacing w:afterLines="50"/>
      <w:jc w:val="center"/>
    </w:pPr>
    <w:rPr>
      <w:rFonts w:eastAsia="Times New Roman"/>
      <w:sz w:val="18"/>
      <w:szCs w:val="18"/>
    </w:rPr>
  </w:style>
  <w:style w:type="paragraph" w:styleId="68">
    <w:name w:val="List Number 5"/>
    <w:basedOn w:val="1"/>
    <w:autoRedefine/>
    <w:qFormat/>
    <w:uiPriority w:val="0"/>
    <w:pPr>
      <w:tabs>
        <w:tab w:val="left" w:pos="2040"/>
      </w:tabs>
      <w:ind w:left="2040" w:leftChars="800" w:hanging="360" w:hangingChars="200"/>
    </w:pPr>
  </w:style>
  <w:style w:type="paragraph" w:styleId="69">
    <w:name w:val="List"/>
    <w:basedOn w:val="1"/>
    <w:autoRedefine/>
    <w:qFormat/>
    <w:uiPriority w:val="0"/>
    <w:pPr>
      <w:ind w:left="200" w:hanging="200" w:hangingChars="200"/>
    </w:pPr>
    <w:rPr>
      <w:sz w:val="28"/>
    </w:rPr>
  </w:style>
  <w:style w:type="paragraph" w:styleId="70">
    <w:name w:val="footnote text"/>
    <w:basedOn w:val="1"/>
    <w:autoRedefine/>
    <w:semiHidden/>
    <w:qFormat/>
    <w:uiPriority w:val="0"/>
    <w:pPr>
      <w:snapToGrid w:val="0"/>
      <w:jc w:val="left"/>
    </w:pPr>
    <w:rPr>
      <w:sz w:val="18"/>
      <w:szCs w:val="18"/>
    </w:rPr>
  </w:style>
  <w:style w:type="paragraph" w:styleId="71">
    <w:name w:val="List 5"/>
    <w:basedOn w:val="1"/>
    <w:autoRedefine/>
    <w:qFormat/>
    <w:uiPriority w:val="0"/>
    <w:pPr>
      <w:ind w:left="100" w:leftChars="800" w:hanging="200" w:hangingChars="200"/>
    </w:pPr>
  </w:style>
  <w:style w:type="paragraph" w:styleId="72">
    <w:name w:val="Body Text Indent 3"/>
    <w:basedOn w:val="1"/>
    <w:link w:val="281"/>
    <w:autoRedefine/>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autoRedefine/>
    <w:semiHidden/>
    <w:qFormat/>
    <w:uiPriority w:val="0"/>
    <w:pPr>
      <w:ind w:left="1200" w:leftChars="1200"/>
    </w:pPr>
  </w:style>
  <w:style w:type="paragraph" w:styleId="74">
    <w:name w:val="index 9"/>
    <w:basedOn w:val="1"/>
    <w:next w:val="1"/>
    <w:autoRedefine/>
    <w:semiHidden/>
    <w:qFormat/>
    <w:uiPriority w:val="0"/>
    <w:pPr>
      <w:ind w:left="1600" w:leftChars="1600"/>
    </w:pPr>
  </w:style>
  <w:style w:type="paragraph" w:styleId="75">
    <w:name w:val="table of figures"/>
    <w:basedOn w:val="1"/>
    <w:next w:val="1"/>
    <w:autoRedefine/>
    <w:semiHidden/>
    <w:qFormat/>
    <w:uiPriority w:val="0"/>
    <w:pPr>
      <w:tabs>
        <w:tab w:val="left" w:pos="1270"/>
      </w:tabs>
      <w:ind w:left="1270" w:hanging="420"/>
      <w:jc w:val="left"/>
    </w:pPr>
    <w:rPr>
      <w:smallCaps/>
      <w:sz w:val="20"/>
      <w:szCs w:val="20"/>
    </w:rPr>
  </w:style>
  <w:style w:type="paragraph" w:styleId="76">
    <w:name w:val="toc 2"/>
    <w:basedOn w:val="1"/>
    <w:next w:val="1"/>
    <w:autoRedefine/>
    <w:qFormat/>
    <w:uiPriority w:val="0"/>
    <w:pPr>
      <w:tabs>
        <w:tab w:val="right" w:leader="dot" w:pos="8296"/>
      </w:tabs>
      <w:ind w:left="210"/>
      <w:jc w:val="left"/>
    </w:pPr>
    <w:rPr>
      <w:b/>
      <w:smallCaps/>
    </w:rPr>
  </w:style>
  <w:style w:type="paragraph" w:styleId="77">
    <w:name w:val="toc 9"/>
    <w:basedOn w:val="1"/>
    <w:next w:val="1"/>
    <w:autoRedefine/>
    <w:qFormat/>
    <w:uiPriority w:val="0"/>
    <w:pPr>
      <w:ind w:left="1920"/>
      <w:jc w:val="left"/>
    </w:pPr>
    <w:rPr>
      <w:sz w:val="18"/>
      <w:szCs w:val="18"/>
    </w:rPr>
  </w:style>
  <w:style w:type="paragraph" w:styleId="78">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9">
    <w:name w:val="List 4"/>
    <w:basedOn w:val="1"/>
    <w:autoRedefine/>
    <w:qFormat/>
    <w:uiPriority w:val="0"/>
    <w:pPr>
      <w:ind w:left="100" w:leftChars="600" w:hanging="200" w:hangingChars="200"/>
    </w:pPr>
  </w:style>
  <w:style w:type="paragraph" w:styleId="80">
    <w:name w:val="List Continue 2"/>
    <w:basedOn w:val="1"/>
    <w:autoRedefine/>
    <w:qFormat/>
    <w:uiPriority w:val="0"/>
    <w:pPr>
      <w:spacing w:after="120"/>
      <w:ind w:left="840" w:leftChars="400"/>
    </w:pPr>
  </w:style>
  <w:style w:type="paragraph" w:styleId="8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autoRedefine/>
    <w:qFormat/>
    <w:uiPriority w:val="0"/>
    <w:rPr>
      <w:rFonts w:ascii="Courier New" w:hAnsi="Courier New" w:cs="Courier New"/>
      <w:sz w:val="20"/>
      <w:szCs w:val="20"/>
    </w:rPr>
  </w:style>
  <w:style w:type="paragraph" w:styleId="83">
    <w:name w:val="Normal (Web)"/>
    <w:basedOn w:val="1"/>
    <w:link w:val="1018"/>
    <w:autoRedefine/>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autoRedefine/>
    <w:qFormat/>
    <w:uiPriority w:val="0"/>
    <w:pPr>
      <w:spacing w:beforeLines="40" w:afterLines="40" w:line="300" w:lineRule="auto"/>
      <w:ind w:left="1260" w:leftChars="600" w:firstLine="420"/>
    </w:pPr>
  </w:style>
  <w:style w:type="paragraph" w:styleId="85">
    <w:name w:val="index 2"/>
    <w:basedOn w:val="1"/>
    <w:next w:val="1"/>
    <w:autoRedefine/>
    <w:semiHidden/>
    <w:qFormat/>
    <w:uiPriority w:val="0"/>
    <w:pPr>
      <w:ind w:left="200" w:leftChars="200"/>
    </w:pPr>
  </w:style>
  <w:style w:type="paragraph" w:styleId="86">
    <w:name w:val="Title"/>
    <w:basedOn w:val="1"/>
    <w:link w:val="130"/>
    <w:autoRedefine/>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4"/>
    <w:next w:val="34"/>
    <w:autoRedefine/>
    <w:semiHidden/>
    <w:qFormat/>
    <w:uiPriority w:val="0"/>
    <w:rPr>
      <w:b/>
      <w:bCs/>
    </w:rPr>
  </w:style>
  <w:style w:type="paragraph" w:styleId="88">
    <w:name w:val="Body Text First Indent 2"/>
    <w:basedOn w:val="40"/>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Heading5"/>
    <w:basedOn w:val="1"/>
    <w:next w:val="1"/>
    <w:autoRedefine/>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5"/>
    <w:autoRedefine/>
    <w:qFormat/>
    <w:uiPriority w:val="0"/>
    <w:rPr>
      <w:rFonts w:eastAsia="仿宋"/>
      <w:b/>
      <w:bCs/>
      <w:sz w:val="36"/>
      <w:szCs w:val="36"/>
    </w:rPr>
  </w:style>
  <w:style w:type="character" w:customStyle="1" w:styleId="109">
    <w:name w:val="h105-2"/>
    <w:autoRedefine/>
    <w:qFormat/>
    <w:uiPriority w:val="0"/>
    <w:rPr>
      <w:rFonts w:hint="default" w:ascii="Tahoma" w:hAnsi="Tahoma" w:eastAsia="宋体" w:cs="Tahoma"/>
      <w:kern w:val="2"/>
      <w:sz w:val="36"/>
      <w:szCs w:val="36"/>
      <w:lang w:val="en-US" w:eastAsia="zh-CN" w:bidi="ar-SA"/>
    </w:rPr>
  </w:style>
  <w:style w:type="character" w:customStyle="1" w:styleId="110">
    <w:name w:val="maywed421"/>
    <w:autoRedefine/>
    <w:qFormat/>
    <w:uiPriority w:val="0"/>
    <w:rPr>
      <w:color w:val="366FB6"/>
      <w:u w:val="none"/>
    </w:rPr>
  </w:style>
  <w:style w:type="character" w:customStyle="1" w:styleId="111">
    <w:name w:val="标题 8 Char"/>
    <w:link w:val="14"/>
    <w:autoRedefine/>
    <w:qFormat/>
    <w:uiPriority w:val="0"/>
    <w:rPr>
      <w:rFonts w:ascii="Arial" w:hAnsi="Arial" w:eastAsia="黑体"/>
      <w:sz w:val="24"/>
    </w:rPr>
  </w:style>
  <w:style w:type="character" w:customStyle="1" w:styleId="112">
    <w:name w:val="tw4winInternal"/>
    <w:autoRedefine/>
    <w:qFormat/>
    <w:uiPriority w:val="0"/>
    <w:rPr>
      <w:rFonts w:ascii="Courier New" w:hAnsi="Courier New"/>
      <w:color w:val="FF0000"/>
    </w:rPr>
  </w:style>
  <w:style w:type="character" w:customStyle="1" w:styleId="113">
    <w:name w:val="H1 Char1"/>
    <w:autoRedefine/>
    <w:qFormat/>
    <w:uiPriority w:val="0"/>
    <w:rPr>
      <w:rFonts w:eastAsia="隶书"/>
      <w:b/>
      <w:bCs/>
      <w:sz w:val="36"/>
      <w:szCs w:val="36"/>
      <w:lang w:val="en-US" w:eastAsia="zh-CN" w:bidi="ar-SA"/>
    </w:rPr>
  </w:style>
  <w:style w:type="character" w:customStyle="1" w:styleId="114">
    <w:name w:val="普通文字 Char1 Char"/>
    <w:autoRedefine/>
    <w:qFormat/>
    <w:uiPriority w:val="0"/>
    <w:rPr>
      <w:rFonts w:ascii="宋体" w:hAnsi="Courier New" w:eastAsia="宋体"/>
      <w:kern w:val="2"/>
      <w:sz w:val="21"/>
      <w:szCs w:val="24"/>
      <w:lang w:val="en-US" w:eastAsia="zh-CN" w:bidi="ar-SA"/>
    </w:rPr>
  </w:style>
  <w:style w:type="character" w:customStyle="1" w:styleId="115">
    <w:name w:val="标题 2 Char"/>
    <w:autoRedefine/>
    <w:semiHidden/>
    <w:qFormat/>
    <w:uiPriority w:val="0"/>
    <w:rPr>
      <w:rFonts w:ascii="Cambria" w:hAnsi="Cambria" w:eastAsia="宋体" w:cs="Times New Roman"/>
      <w:b/>
      <w:bCs/>
      <w:sz w:val="32"/>
      <w:szCs w:val="32"/>
    </w:rPr>
  </w:style>
  <w:style w:type="character" w:customStyle="1" w:styleId="116">
    <w:name w:val="Table Heading Char Char"/>
    <w:link w:val="117"/>
    <w:autoRedefine/>
    <w:qFormat/>
    <w:uiPriority w:val="0"/>
    <w:rPr>
      <w:rFonts w:eastAsia="宋体"/>
      <w:b/>
      <w:kern w:val="2"/>
      <w:sz w:val="16"/>
      <w:szCs w:val="24"/>
      <w:lang w:val="en-US" w:eastAsia="zh-CN" w:bidi="ar-SA"/>
    </w:rPr>
  </w:style>
  <w:style w:type="paragraph" w:customStyle="1" w:styleId="117">
    <w:name w:val="Table Heading"/>
    <w:basedOn w:val="118"/>
    <w:link w:val="116"/>
    <w:autoRedefine/>
    <w:qFormat/>
    <w:uiPriority w:val="0"/>
    <w:rPr>
      <w:b/>
    </w:rPr>
  </w:style>
  <w:style w:type="paragraph" w:customStyle="1" w:styleId="118">
    <w:name w:val="Table Text"/>
    <w:basedOn w:val="1"/>
    <w:link w:val="239"/>
    <w:autoRedefine/>
    <w:qFormat/>
    <w:uiPriority w:val="0"/>
    <w:pPr>
      <w:keepLines/>
      <w:spacing w:beforeLines="40" w:afterLines="40"/>
    </w:pPr>
    <w:rPr>
      <w:sz w:val="16"/>
    </w:rPr>
  </w:style>
  <w:style w:type="character" w:customStyle="1" w:styleId="119">
    <w:name w:val="tw4winExternal"/>
    <w:autoRedefine/>
    <w:qFormat/>
    <w:uiPriority w:val="0"/>
    <w:rPr>
      <w:rFonts w:ascii="Courier New" w:hAnsi="Courier New"/>
      <w:color w:val="808080"/>
    </w:rPr>
  </w:style>
  <w:style w:type="character" w:customStyle="1" w:styleId="120">
    <w:name w:val="style81"/>
    <w:autoRedefine/>
    <w:qFormat/>
    <w:uiPriority w:val="0"/>
    <w:rPr>
      <w:color w:val="003366"/>
    </w:rPr>
  </w:style>
  <w:style w:type="character" w:customStyle="1" w:styleId="121">
    <w:name w:val="样式 小四"/>
    <w:autoRedefine/>
    <w:qFormat/>
    <w:uiPriority w:val="0"/>
    <w:rPr>
      <w:sz w:val="21"/>
    </w:rPr>
  </w:style>
  <w:style w:type="character" w:customStyle="1" w:styleId="122">
    <w:name w:val="ziti1"/>
    <w:autoRedefine/>
    <w:qFormat/>
    <w:uiPriority w:val="0"/>
    <w:rPr>
      <w:rFonts w:hint="default"/>
      <w:color w:val="282726"/>
      <w:spacing w:val="360"/>
      <w:sz w:val="21"/>
      <w:szCs w:val="21"/>
      <w:u w:val="none"/>
    </w:rPr>
  </w:style>
  <w:style w:type="character" w:customStyle="1" w:styleId="123">
    <w:name w:val="标准 Char Char Char Char"/>
    <w:link w:val="124"/>
    <w:autoRedefine/>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4"/>
    <w:autoRedefine/>
    <w:qFormat/>
    <w:uiPriority w:val="0"/>
    <w:rPr>
      <w:rFonts w:ascii="Calibri" w:hAnsi="Calibri" w:eastAsia="宋体"/>
      <w:kern w:val="2"/>
      <w:sz w:val="21"/>
      <w:szCs w:val="22"/>
      <w:lang w:val="en-US" w:eastAsia="zh-CN" w:bidi="ar-SA"/>
    </w:rPr>
  </w:style>
  <w:style w:type="character" w:customStyle="1" w:styleId="126">
    <w:name w:val="tw4winTerm"/>
    <w:autoRedefine/>
    <w:qFormat/>
    <w:uiPriority w:val="0"/>
    <w:rPr>
      <w:color w:val="0000FF"/>
    </w:rPr>
  </w:style>
  <w:style w:type="character" w:customStyle="1" w:styleId="127">
    <w:name w:val="图注 Char"/>
    <w:link w:val="128"/>
    <w:autoRedefine/>
    <w:qFormat/>
    <w:uiPriority w:val="0"/>
    <w:rPr>
      <w:rFonts w:eastAsia="宋体"/>
      <w:sz w:val="18"/>
      <w:lang w:val="en-US" w:eastAsia="zh-CN" w:bidi="ar-SA"/>
    </w:rPr>
  </w:style>
  <w:style w:type="paragraph" w:customStyle="1" w:styleId="128">
    <w:name w:val="图注"/>
    <w:basedOn w:val="1"/>
    <w:next w:val="27"/>
    <w:link w:val="127"/>
    <w:autoRedefine/>
    <w:qFormat/>
    <w:uiPriority w:val="0"/>
    <w:pPr>
      <w:spacing w:beforeLines="40" w:afterLines="40"/>
      <w:jc w:val="center"/>
    </w:pPr>
    <w:rPr>
      <w:kern w:val="0"/>
      <w:sz w:val="18"/>
      <w:szCs w:val="20"/>
    </w:rPr>
  </w:style>
  <w:style w:type="character" w:customStyle="1" w:styleId="129">
    <w:name w:val="个人撰写风格"/>
    <w:autoRedefine/>
    <w:qFormat/>
    <w:uiPriority w:val="0"/>
    <w:rPr>
      <w:rFonts w:ascii="Arial" w:hAnsi="Arial" w:eastAsia="宋体" w:cs="Arial"/>
      <w:color w:val="auto"/>
      <w:sz w:val="20"/>
    </w:rPr>
  </w:style>
  <w:style w:type="character" w:customStyle="1" w:styleId="130">
    <w:name w:val="标题 Char"/>
    <w:link w:val="86"/>
    <w:autoRedefine/>
    <w:qFormat/>
    <w:uiPriority w:val="0"/>
    <w:rPr>
      <w:kern w:val="2"/>
      <w:sz w:val="18"/>
      <w:szCs w:val="18"/>
    </w:rPr>
  </w:style>
  <w:style w:type="character" w:customStyle="1" w:styleId="131">
    <w:name w:val="浅色列表 - 强调文字颜色 5 Char"/>
    <w:link w:val="132"/>
    <w:autoRedefine/>
    <w:qFormat/>
    <w:locked/>
    <w:uiPriority w:val="0"/>
    <w:rPr>
      <w:rFonts w:ascii="Calibri" w:hAnsi="Calibri" w:eastAsia="宋体"/>
      <w:lang w:bidi="ar-SA"/>
    </w:rPr>
  </w:style>
  <w:style w:type="paragraph" w:customStyle="1" w:styleId="132">
    <w:name w:val="浅色列表 - 强调文字颜色 52"/>
    <w:basedOn w:val="1"/>
    <w:link w:val="131"/>
    <w:autoRedefine/>
    <w:qFormat/>
    <w:uiPriority w:val="0"/>
    <w:pPr>
      <w:ind w:firstLine="420" w:firstLineChars="200"/>
    </w:pPr>
    <w:rPr>
      <w:rFonts w:ascii="Calibri" w:hAnsi="Calibri"/>
      <w:kern w:val="0"/>
      <w:sz w:val="20"/>
      <w:szCs w:val="20"/>
    </w:rPr>
  </w:style>
  <w:style w:type="character" w:customStyle="1" w:styleId="133">
    <w:name w:val="标准文本 Char"/>
    <w:link w:val="134"/>
    <w:autoRedefine/>
    <w:qFormat/>
    <w:locked/>
    <w:uiPriority w:val="0"/>
    <w:rPr>
      <w:rFonts w:eastAsia="宋体"/>
      <w:kern w:val="2"/>
      <w:sz w:val="24"/>
      <w:szCs w:val="24"/>
      <w:lang w:val="en-US" w:eastAsia="zh-CN" w:bidi="ar-SA"/>
    </w:rPr>
  </w:style>
  <w:style w:type="paragraph" w:customStyle="1" w:styleId="134">
    <w:name w:val="标准文本"/>
    <w:basedOn w:val="1"/>
    <w:link w:val="133"/>
    <w:autoRedefine/>
    <w:qFormat/>
    <w:uiPriority w:val="0"/>
    <w:pPr>
      <w:ind w:firstLine="480" w:firstLineChars="200"/>
    </w:pPr>
  </w:style>
  <w:style w:type="character" w:customStyle="1" w:styleId="135">
    <w:name w:val="正 文 1 Char Char"/>
    <w:autoRedefine/>
    <w:qFormat/>
    <w:uiPriority w:val="0"/>
    <w:rPr>
      <w:rFonts w:ascii="宋体" w:hAnsi="Courier New" w:eastAsia="宋体"/>
      <w:kern w:val="2"/>
      <w:sz w:val="21"/>
      <w:lang w:val="en-US" w:eastAsia="zh-CN" w:bidi="ar-SA"/>
    </w:rPr>
  </w:style>
  <w:style w:type="character" w:customStyle="1" w:styleId="136">
    <w:name w:val="插图说明 Char"/>
    <w:link w:val="137"/>
    <w:autoRedefine/>
    <w:qFormat/>
    <w:uiPriority w:val="0"/>
    <w:rPr>
      <w:rFonts w:eastAsia="黑体"/>
      <w:sz w:val="24"/>
      <w:lang w:val="en-US" w:eastAsia="zh-CN" w:bidi="ar-SA"/>
    </w:rPr>
  </w:style>
  <w:style w:type="paragraph" w:customStyle="1" w:styleId="137">
    <w:name w:val="插图说明"/>
    <w:basedOn w:val="1"/>
    <w:link w:val="136"/>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autoRedefine/>
    <w:qFormat/>
    <w:uiPriority w:val="0"/>
    <w:rPr>
      <w:rFonts w:ascii="宋体" w:eastAsia="仿宋_GB2312"/>
      <w:color w:val="000000"/>
      <w:sz w:val="24"/>
      <w:lang w:bidi="ar-SA"/>
    </w:rPr>
  </w:style>
  <w:style w:type="paragraph" w:customStyle="1" w:styleId="139">
    <w:name w:val="标准正文格式"/>
    <w:basedOn w:val="1"/>
    <w:link w:val="138"/>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autoRedefine/>
    <w:qFormat/>
    <w:uiPriority w:val="0"/>
    <w:rPr>
      <w:rFonts w:ascii="Arial" w:hAnsi="Arial" w:eastAsia="黑体"/>
      <w:b/>
      <w:bCs/>
      <w:kern w:val="2"/>
      <w:sz w:val="28"/>
      <w:szCs w:val="28"/>
      <w:lang w:val="en-US" w:eastAsia="zh-CN" w:bidi="ar-SA"/>
    </w:rPr>
  </w:style>
  <w:style w:type="character" w:customStyle="1" w:styleId="141">
    <w:name w:val="font_e1"/>
    <w:autoRedefine/>
    <w:qFormat/>
    <w:uiPriority w:val="0"/>
    <w:rPr>
      <w:rFonts w:hint="default" w:ascii="Arial" w:hAnsi="Arial" w:cs="Arial"/>
      <w:sz w:val="18"/>
      <w:szCs w:val="18"/>
      <w:u w:val="none"/>
    </w:rPr>
  </w:style>
  <w:style w:type="character" w:customStyle="1" w:styleId="142">
    <w:name w:val="H2 Char"/>
    <w:autoRedefine/>
    <w:qFormat/>
    <w:uiPriority w:val="0"/>
    <w:rPr>
      <w:rFonts w:ascii="Arial" w:hAnsi="Arial" w:eastAsia="黑体" w:cs="Times New Roman"/>
      <w:b/>
      <w:bCs/>
      <w:sz w:val="32"/>
      <w:szCs w:val="32"/>
    </w:rPr>
  </w:style>
  <w:style w:type="character" w:customStyle="1" w:styleId="143">
    <w:name w:val="标题 2 Char Char"/>
    <w:autoRedefine/>
    <w:qFormat/>
    <w:uiPriority w:val="0"/>
    <w:rPr>
      <w:rFonts w:eastAsia="黑体"/>
      <w:kern w:val="2"/>
      <w:sz w:val="30"/>
      <w:szCs w:val="30"/>
      <w:lang w:val="en-US" w:eastAsia="zh-CN" w:bidi="ar-SA"/>
    </w:rPr>
  </w:style>
  <w:style w:type="character" w:customStyle="1" w:styleId="144">
    <w:name w:val="正文首行缩进 Char1"/>
    <w:link w:val="8"/>
    <w:autoRedefine/>
    <w:qFormat/>
    <w:uiPriority w:val="0"/>
    <w:rPr>
      <w:rFonts w:ascii="Calibri" w:hAnsi="Calibri" w:eastAsia="宋体"/>
      <w:kern w:val="2"/>
      <w:sz w:val="21"/>
      <w:szCs w:val="22"/>
      <w:lang w:val="en-US" w:eastAsia="zh-CN" w:bidi="ar-SA"/>
    </w:rPr>
  </w:style>
  <w:style w:type="character" w:customStyle="1" w:styleId="145">
    <w:name w:val="Item List Char"/>
    <w:link w:val="146"/>
    <w:autoRedefine/>
    <w:qFormat/>
    <w:uiPriority w:val="0"/>
    <w:rPr>
      <w:rFonts w:ascii="Arial" w:hAnsi="Arial"/>
      <w:sz w:val="21"/>
      <w:lang w:val="en-US" w:eastAsia="en-US" w:bidi="ar-SA"/>
    </w:rPr>
  </w:style>
  <w:style w:type="paragraph" w:customStyle="1" w:styleId="146">
    <w:name w:val="Item List"/>
    <w:link w:val="145"/>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autoRedefine/>
    <w:qFormat/>
    <w:uiPriority w:val="0"/>
    <w:rPr>
      <w:rFonts w:hint="default" w:ascii="Tahoma" w:hAnsi="Tahoma" w:eastAsia="宋体" w:cs="Tahoma"/>
      <w:kern w:val="2"/>
      <w:sz w:val="36"/>
      <w:szCs w:val="36"/>
      <w:lang w:val="en-US" w:eastAsia="zh-CN" w:bidi="ar-SA"/>
    </w:rPr>
  </w:style>
  <w:style w:type="character" w:customStyle="1" w:styleId="148">
    <w:name w:val="md"/>
    <w:basedOn w:val="95"/>
    <w:autoRedefine/>
    <w:qFormat/>
    <w:uiPriority w:val="0"/>
  </w:style>
  <w:style w:type="character" w:customStyle="1" w:styleId="149">
    <w:name w:val="large1"/>
    <w:autoRedefine/>
    <w:qFormat/>
    <w:uiPriority w:val="0"/>
    <w:rPr>
      <w:rFonts w:hint="eastAsia" w:ascii="宋体" w:hAnsi="宋体" w:eastAsia="宋体"/>
      <w:sz w:val="21"/>
      <w:szCs w:val="21"/>
    </w:rPr>
  </w:style>
  <w:style w:type="character" w:customStyle="1" w:styleId="150">
    <w:name w:val="标题 51 Char"/>
    <w:autoRedefine/>
    <w:qFormat/>
    <w:uiPriority w:val="0"/>
    <w:rPr>
      <w:rFonts w:eastAsia="宋体"/>
      <w:kern w:val="2"/>
      <w:sz w:val="24"/>
      <w:szCs w:val="24"/>
      <w:lang w:val="en-US" w:eastAsia="zh-CN" w:bidi="ar-SA"/>
    </w:rPr>
  </w:style>
  <w:style w:type="character" w:customStyle="1" w:styleId="151">
    <w:name w:val="正文文本缩进 Char"/>
    <w:link w:val="40"/>
    <w:autoRedefine/>
    <w:qFormat/>
    <w:locked/>
    <w:uiPriority w:val="0"/>
    <w:rPr>
      <w:rFonts w:ascii="宋体" w:hAnsi="Courier New"/>
      <w:spacing w:val="-4"/>
      <w:kern w:val="2"/>
      <w:sz w:val="18"/>
    </w:rPr>
  </w:style>
  <w:style w:type="character" w:customStyle="1" w:styleId="152">
    <w:name w:val="段 Char Char Char"/>
    <w:autoRedefine/>
    <w:qFormat/>
    <w:uiPriority w:val="0"/>
    <w:rPr>
      <w:rFonts w:hint="eastAsia" w:ascii="宋体" w:hAnsi="宋体" w:eastAsia="宋体"/>
      <w:sz w:val="21"/>
      <w:lang w:val="en-US" w:eastAsia="zh-CN" w:bidi="ar-SA"/>
    </w:rPr>
  </w:style>
  <w:style w:type="character" w:customStyle="1" w:styleId="153">
    <w:name w:val="个人答复风格"/>
    <w:autoRedefine/>
    <w:qFormat/>
    <w:uiPriority w:val="0"/>
    <w:rPr>
      <w:rFonts w:ascii="Arial" w:hAnsi="Arial" w:eastAsia="宋体" w:cs="Arial"/>
      <w:color w:val="auto"/>
      <w:sz w:val="20"/>
    </w:rPr>
  </w:style>
  <w:style w:type="character" w:customStyle="1" w:styleId="154">
    <w:name w:val="hui"/>
    <w:basedOn w:val="95"/>
    <w:autoRedefine/>
    <w:qFormat/>
    <w:uiPriority w:val="0"/>
  </w:style>
  <w:style w:type="character" w:customStyle="1" w:styleId="155">
    <w:name w:val="H1 Char3"/>
    <w:autoRedefine/>
    <w:qFormat/>
    <w:uiPriority w:val="0"/>
    <w:rPr>
      <w:rFonts w:eastAsia="隶书"/>
      <w:b/>
      <w:bCs/>
      <w:sz w:val="36"/>
      <w:szCs w:val="36"/>
      <w:lang w:val="en-US" w:eastAsia="zh-CN" w:bidi="ar-SA"/>
    </w:rPr>
  </w:style>
  <w:style w:type="character" w:customStyle="1" w:styleId="156">
    <w:name w:val="文档结构图 Char"/>
    <w:link w:val="32"/>
    <w:autoRedefine/>
    <w:qFormat/>
    <w:uiPriority w:val="0"/>
    <w:rPr>
      <w:rFonts w:ascii="宋体" w:hAnsi="Courier New" w:eastAsia="宋体"/>
      <w:sz w:val="21"/>
      <w:lang w:val="en-US" w:eastAsia="zh-CN" w:bidi="ar-SA"/>
    </w:rPr>
  </w:style>
  <w:style w:type="character" w:customStyle="1" w:styleId="157">
    <w:name w:val="技术指标项"/>
    <w:autoRedefine/>
    <w:qFormat/>
    <w:uiPriority w:val="0"/>
    <w:rPr>
      <w:rFonts w:ascii="仿宋_GB2312" w:hAnsi="仿宋_GB2312" w:eastAsia="仿宋_GB2312"/>
      <w:sz w:val="24"/>
    </w:rPr>
  </w:style>
  <w:style w:type="character" w:customStyle="1" w:styleId="158">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autoRedefine/>
    <w:qFormat/>
    <w:locked/>
    <w:uiPriority w:val="0"/>
    <w:rPr>
      <w:rFonts w:eastAsia="宋体" w:cs="宋体"/>
      <w:kern w:val="2"/>
      <w:sz w:val="24"/>
      <w:lang w:val="en-US" w:eastAsia="zh-CN" w:bidi="ar-SA"/>
    </w:rPr>
  </w:style>
  <w:style w:type="paragraph" w:customStyle="1" w:styleId="160">
    <w:name w:val="正文 居中"/>
    <w:basedOn w:val="1"/>
    <w:link w:val="159"/>
    <w:autoRedefine/>
    <w:qFormat/>
    <w:uiPriority w:val="0"/>
    <w:pPr>
      <w:jc w:val="center"/>
    </w:pPr>
    <w:rPr>
      <w:rFonts w:cs="宋体"/>
      <w:szCs w:val="20"/>
    </w:rPr>
  </w:style>
  <w:style w:type="character" w:customStyle="1" w:styleId="161">
    <w:name w:val="样式 黑体 二号 加粗"/>
    <w:autoRedefine/>
    <w:qFormat/>
    <w:uiPriority w:val="0"/>
    <w:rPr>
      <w:rFonts w:hint="eastAsia" w:ascii="黑体" w:hAnsi="黑体" w:eastAsia="黑体"/>
      <w:b/>
      <w:bCs/>
      <w:sz w:val="44"/>
    </w:rPr>
  </w:style>
  <w:style w:type="character" w:customStyle="1" w:styleId="162">
    <w:name w:val="tw4winPopup"/>
    <w:autoRedefine/>
    <w:qFormat/>
    <w:uiPriority w:val="0"/>
    <w:rPr>
      <w:rFonts w:ascii="Courier New" w:hAnsi="Courier New"/>
      <w:color w:val="008000"/>
    </w:rPr>
  </w:style>
  <w:style w:type="character" w:customStyle="1" w:styleId="163">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4">
    <w:name w:val="p1"/>
    <w:autoRedefine/>
    <w:qFormat/>
    <w:uiPriority w:val="0"/>
    <w:rPr>
      <w:color w:val="000000"/>
    </w:rPr>
  </w:style>
  <w:style w:type="character" w:customStyle="1" w:styleId="165">
    <w:name w:val="H1 Char4"/>
    <w:autoRedefine/>
    <w:qFormat/>
    <w:uiPriority w:val="0"/>
    <w:rPr>
      <w:rFonts w:eastAsia="隶书"/>
      <w:b/>
      <w:bCs/>
      <w:sz w:val="36"/>
      <w:szCs w:val="36"/>
      <w:lang w:val="en-US" w:eastAsia="zh-CN" w:bidi="ar-SA"/>
    </w:rPr>
  </w:style>
  <w:style w:type="character" w:customStyle="1" w:styleId="166">
    <w:name w:val="样式 题注 + 黑体1 Char"/>
    <w:link w:val="167"/>
    <w:autoRedefine/>
    <w:qFormat/>
    <w:locked/>
    <w:uiPriority w:val="0"/>
    <w:rPr>
      <w:rFonts w:ascii="黑体" w:hAnsi="黑体" w:eastAsia="黑体" w:cs="Arial"/>
      <w:kern w:val="2"/>
      <w:lang w:val="en-US" w:eastAsia="zh-CN" w:bidi="ar-SA"/>
    </w:rPr>
  </w:style>
  <w:style w:type="paragraph" w:customStyle="1" w:styleId="167">
    <w:name w:val="样式 题注 + 黑体1"/>
    <w:basedOn w:val="28"/>
    <w:link w:val="166"/>
    <w:autoRedefine/>
    <w:qFormat/>
    <w:uiPriority w:val="0"/>
    <w:pPr>
      <w:spacing w:beforeLines="40" w:afterLines="40"/>
      <w:jc w:val="center"/>
    </w:pPr>
    <w:rPr>
      <w:rFonts w:ascii="黑体" w:hAnsi="黑体" w:cs="Arial"/>
    </w:rPr>
  </w:style>
  <w:style w:type="character" w:customStyle="1" w:styleId="168">
    <w:name w:val="List Paragraph Char"/>
    <w:link w:val="169"/>
    <w:autoRedefine/>
    <w:qFormat/>
    <w:locked/>
    <w:uiPriority w:val="0"/>
    <w:rPr>
      <w:rFonts w:eastAsia="宋体"/>
      <w:kern w:val="2"/>
      <w:sz w:val="21"/>
      <w:szCs w:val="24"/>
      <w:lang w:val="en-US" w:eastAsia="zh-CN" w:bidi="ar-SA"/>
    </w:rPr>
  </w:style>
  <w:style w:type="paragraph" w:customStyle="1" w:styleId="169">
    <w:name w:val="列出段落1"/>
    <w:basedOn w:val="1"/>
    <w:link w:val="168"/>
    <w:autoRedefine/>
    <w:qFormat/>
    <w:uiPriority w:val="0"/>
    <w:pPr>
      <w:ind w:firstLine="420" w:firstLineChars="200"/>
    </w:pPr>
  </w:style>
  <w:style w:type="character" w:customStyle="1" w:styleId="170">
    <w:name w:val="hui3"/>
    <w:autoRedefine/>
    <w:qFormat/>
    <w:uiPriority w:val="0"/>
    <w:rPr>
      <w:color w:val="333333"/>
    </w:rPr>
  </w:style>
  <w:style w:type="character" w:customStyle="1" w:styleId="171">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2">
    <w:name w:val="h4 Char3"/>
    <w:autoRedefine/>
    <w:qFormat/>
    <w:uiPriority w:val="0"/>
    <w:rPr>
      <w:rFonts w:ascii="Arial" w:hAnsi="Arial" w:eastAsia="黑体"/>
      <w:b/>
      <w:bCs/>
      <w:kern w:val="2"/>
      <w:sz w:val="28"/>
      <w:szCs w:val="28"/>
      <w:lang w:val="en-US" w:eastAsia="zh-CN" w:bidi="ar-SA"/>
    </w:rPr>
  </w:style>
  <w:style w:type="character" w:customStyle="1" w:styleId="173">
    <w:name w:val="标题 7 Char"/>
    <w:link w:val="13"/>
    <w:autoRedefine/>
    <w:qFormat/>
    <w:uiPriority w:val="0"/>
    <w:rPr>
      <w:rFonts w:ascii="宋体" w:eastAsia="仿宋_GB2312"/>
      <w:b/>
      <w:sz w:val="24"/>
    </w:rPr>
  </w:style>
  <w:style w:type="character" w:customStyle="1" w:styleId="174">
    <w:name w:val="样式  + 首行缩进:  2 字符 Char"/>
    <w:link w:val="175"/>
    <w:autoRedefine/>
    <w:qFormat/>
    <w:uiPriority w:val="0"/>
    <w:rPr>
      <w:rFonts w:eastAsia="宋体" w:cs="宋体"/>
      <w:kern w:val="2"/>
      <w:sz w:val="24"/>
      <w:lang w:val="en-US" w:eastAsia="zh-CN" w:bidi="ar-SA"/>
    </w:rPr>
  </w:style>
  <w:style w:type="paragraph" w:customStyle="1" w:styleId="175">
    <w:name w:val="样式  + 首行缩进:  2 字符"/>
    <w:basedOn w:val="1"/>
    <w:link w:val="174"/>
    <w:autoRedefine/>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autoRedefine/>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2"/>
    <w:link w:val="176"/>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autoRedefine/>
    <w:qFormat/>
    <w:uiPriority w:val="0"/>
    <w:rPr>
      <w:rFonts w:ascii="宋体" w:hAnsi="宋体" w:eastAsia="宋体"/>
      <w:sz w:val="24"/>
      <w:szCs w:val="24"/>
      <w:lang w:bidi="ar-SA"/>
    </w:rPr>
  </w:style>
  <w:style w:type="paragraph" w:customStyle="1" w:styleId="180">
    <w:name w:val="gf正文1"/>
    <w:basedOn w:val="1"/>
    <w:link w:val="179"/>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autoRedefine/>
    <w:qFormat/>
    <w:uiPriority w:val="34"/>
    <w:rPr>
      <w:rFonts w:ascii="Calibri" w:hAnsi="Calibri" w:eastAsia="宋体" w:cs="Times New Roman"/>
    </w:rPr>
  </w:style>
  <w:style w:type="character" w:customStyle="1" w:styleId="182">
    <w:name w:val="Char Char5"/>
    <w:autoRedefine/>
    <w:qFormat/>
    <w:uiPriority w:val="0"/>
    <w:rPr>
      <w:rFonts w:eastAsia="隶书"/>
      <w:b/>
      <w:bCs/>
      <w:sz w:val="36"/>
      <w:szCs w:val="36"/>
      <w:lang w:val="en-US" w:eastAsia="zh-CN" w:bidi="ar-SA"/>
    </w:rPr>
  </w:style>
  <w:style w:type="character" w:customStyle="1" w:styleId="183">
    <w:name w:val="书籍标题1"/>
    <w:autoRedefine/>
    <w:qFormat/>
    <w:uiPriority w:val="0"/>
    <w:rPr>
      <w:b/>
      <w:bCs/>
      <w:smallCaps/>
      <w:spacing w:val="5"/>
    </w:rPr>
  </w:style>
  <w:style w:type="character" w:customStyle="1" w:styleId="184">
    <w:name w:val="样式 题注 + 黑体2 Char"/>
    <w:link w:val="185"/>
    <w:autoRedefine/>
    <w:qFormat/>
    <w:locked/>
    <w:uiPriority w:val="0"/>
    <w:rPr>
      <w:rFonts w:ascii="黑体" w:hAnsi="黑体" w:eastAsia="黑体" w:cs="Arial"/>
      <w:kern w:val="2"/>
      <w:sz w:val="21"/>
      <w:lang w:val="en-US" w:eastAsia="zh-CN" w:bidi="ar-SA"/>
    </w:rPr>
  </w:style>
  <w:style w:type="paragraph" w:customStyle="1" w:styleId="185">
    <w:name w:val="样式 题注 + 黑体2"/>
    <w:basedOn w:val="28"/>
    <w:link w:val="184"/>
    <w:autoRedefine/>
    <w:qFormat/>
    <w:uiPriority w:val="0"/>
    <w:pPr>
      <w:spacing w:beforeLines="40" w:afterLines="40"/>
      <w:jc w:val="center"/>
    </w:pPr>
    <w:rPr>
      <w:rFonts w:ascii="黑体" w:hAnsi="黑体" w:cs="Arial"/>
      <w:sz w:val="21"/>
    </w:rPr>
  </w:style>
  <w:style w:type="character" w:customStyle="1" w:styleId="186">
    <w:name w:val="title14"/>
    <w:basedOn w:val="95"/>
    <w:autoRedefine/>
    <w:qFormat/>
    <w:uiPriority w:val="0"/>
  </w:style>
  <w:style w:type="character" w:customStyle="1" w:styleId="187">
    <w:name w:val="ptt1"/>
    <w:autoRedefine/>
    <w:qFormat/>
    <w:uiPriority w:val="0"/>
    <w:rPr>
      <w:rFonts w:hint="eastAsia" w:ascii="宋体" w:hAnsi="宋体" w:eastAsia="宋体"/>
      <w:spacing w:val="375"/>
      <w:kern w:val="2"/>
      <w:sz w:val="18"/>
      <w:szCs w:val="18"/>
      <w:lang w:val="en-US" w:eastAsia="zh-CN" w:bidi="ar-SA"/>
    </w:rPr>
  </w:style>
  <w:style w:type="character" w:customStyle="1" w:styleId="188">
    <w:name w:val="H2 Char4"/>
    <w:autoRedefine/>
    <w:qFormat/>
    <w:uiPriority w:val="0"/>
    <w:rPr>
      <w:rFonts w:ascii="Arial" w:hAnsi="Arial" w:eastAsia="黑体"/>
      <w:b/>
      <w:bCs/>
      <w:kern w:val="2"/>
      <w:sz w:val="32"/>
      <w:szCs w:val="32"/>
      <w:lang w:val="en-US" w:eastAsia="zh-CN" w:bidi="ar-SA"/>
    </w:rPr>
  </w:style>
  <w:style w:type="character" w:customStyle="1" w:styleId="189">
    <w:name w:val="题注 Char1"/>
    <w:link w:val="28"/>
    <w:autoRedefine/>
    <w:qFormat/>
    <w:uiPriority w:val="0"/>
    <w:rPr>
      <w:rFonts w:ascii="Arial" w:hAnsi="Arial" w:eastAsia="黑体" w:cs="Arial"/>
      <w:kern w:val="2"/>
    </w:rPr>
  </w:style>
  <w:style w:type="character" w:customStyle="1" w:styleId="190">
    <w:name w:val="正文2 Char"/>
    <w:link w:val="191"/>
    <w:autoRedefine/>
    <w:qFormat/>
    <w:uiPriority w:val="0"/>
    <w:rPr>
      <w:rFonts w:ascii="宋体" w:hAnsi="宋体" w:eastAsia="仿宋_GB2312" w:cs="Arial"/>
      <w:kern w:val="2"/>
      <w:sz w:val="24"/>
      <w:lang w:val="en-US" w:eastAsia="zh-CN" w:bidi="ar-SA"/>
    </w:rPr>
  </w:style>
  <w:style w:type="paragraph" w:customStyle="1" w:styleId="191">
    <w:name w:val="正文2"/>
    <w:basedOn w:val="1"/>
    <w:link w:val="190"/>
    <w:autoRedefine/>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autoRedefine/>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autoRedefine/>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autoRedefine/>
    <w:qFormat/>
    <w:locked/>
    <w:uiPriority w:val="0"/>
    <w:rPr>
      <w:rFonts w:ascii="Arial" w:hAnsi="Arial" w:eastAsia="黑体" w:cs="Arial"/>
      <w:kern w:val="2"/>
      <w:sz w:val="21"/>
      <w:lang w:val="en-US" w:eastAsia="zh-CN" w:bidi="ar-SA"/>
    </w:rPr>
  </w:style>
  <w:style w:type="paragraph" w:customStyle="1" w:styleId="196">
    <w:name w:val="样式 题注 + (符号) 宋体"/>
    <w:basedOn w:val="28"/>
    <w:link w:val="195"/>
    <w:autoRedefine/>
    <w:qFormat/>
    <w:uiPriority w:val="0"/>
    <w:pPr>
      <w:spacing w:beforeLines="40" w:afterLines="40"/>
      <w:jc w:val="center"/>
    </w:pPr>
    <w:rPr>
      <w:rFonts w:cs="Arial"/>
      <w:sz w:val="21"/>
    </w:rPr>
  </w:style>
  <w:style w:type="character" w:customStyle="1" w:styleId="197">
    <w:name w:val="正文缩进 Char2"/>
    <w:link w:val="27"/>
    <w:autoRedefine/>
    <w:qFormat/>
    <w:uiPriority w:val="0"/>
    <w:rPr>
      <w:rFonts w:eastAsia="宋体"/>
      <w:kern w:val="2"/>
      <w:sz w:val="21"/>
      <w:lang w:val="en-US" w:eastAsia="zh-CN" w:bidi="ar-SA"/>
    </w:rPr>
  </w:style>
  <w:style w:type="character" w:customStyle="1" w:styleId="198">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9">
    <w:name w:val="font01"/>
    <w:basedOn w:val="95"/>
    <w:autoRedefine/>
    <w:qFormat/>
    <w:uiPriority w:val="0"/>
    <w:rPr>
      <w:rFonts w:hint="eastAsia" w:ascii="宋体" w:hAnsi="宋体" w:eastAsia="宋体" w:cs="宋体"/>
      <w:color w:val="000000"/>
      <w:sz w:val="20"/>
      <w:szCs w:val="20"/>
      <w:u w:val="none"/>
    </w:rPr>
  </w:style>
  <w:style w:type="character" w:customStyle="1" w:styleId="200">
    <w:name w:val="样式 标题 2 + Arial Char"/>
    <w:link w:val="201"/>
    <w:autoRedefine/>
    <w:qFormat/>
    <w:uiPriority w:val="0"/>
    <w:rPr>
      <w:rFonts w:ascii="Arial" w:hAnsi="Arial" w:eastAsia="黑体"/>
      <w:kern w:val="2"/>
      <w:sz w:val="30"/>
      <w:szCs w:val="30"/>
      <w:lang w:val="en-US" w:eastAsia="zh-CN" w:bidi="ar-SA"/>
    </w:rPr>
  </w:style>
  <w:style w:type="paragraph" w:customStyle="1" w:styleId="201">
    <w:name w:val="样式 标题 2 + Arial"/>
    <w:basedOn w:val="6"/>
    <w:link w:val="200"/>
    <w:autoRedefine/>
    <w:qFormat/>
    <w:uiPriority w:val="0"/>
    <w:pPr>
      <w:spacing w:before="0" w:after="0" w:line="360" w:lineRule="auto"/>
      <w:ind w:left="0" w:firstLine="0"/>
    </w:pPr>
    <w:rPr>
      <w:b w:val="0"/>
      <w:bCs w:val="0"/>
      <w:sz w:val="30"/>
      <w:szCs w:val="30"/>
    </w:rPr>
  </w:style>
  <w:style w:type="character" w:customStyle="1" w:styleId="202">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autoRedefine/>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8"/>
    <w:link w:val="203"/>
    <w:autoRedefine/>
    <w:qFormat/>
    <w:uiPriority w:val="0"/>
    <w:pPr>
      <w:spacing w:beforeLines="40" w:afterLines="40"/>
      <w:jc w:val="center"/>
    </w:pPr>
    <w:rPr>
      <w:rFonts w:ascii="黑体" w:hAnsi="仿宋_GB2312" w:cs="Arial"/>
      <w:szCs w:val="24"/>
    </w:rPr>
  </w:style>
  <w:style w:type="character" w:customStyle="1" w:styleId="205">
    <w:name w:val="paramname3"/>
    <w:autoRedefine/>
    <w:qFormat/>
    <w:uiPriority w:val="0"/>
    <w:rPr>
      <w:color w:val="999999"/>
    </w:rPr>
  </w:style>
  <w:style w:type="character" w:customStyle="1" w:styleId="206">
    <w:name w:val="mark"/>
    <w:basedOn w:val="95"/>
    <w:autoRedefine/>
    <w:qFormat/>
    <w:uiPriority w:val="0"/>
  </w:style>
  <w:style w:type="character" w:customStyle="1" w:styleId="207">
    <w:name w:val="无间隔 Char"/>
    <w:link w:val="208"/>
    <w:autoRedefine/>
    <w:qFormat/>
    <w:locked/>
    <w:uiPriority w:val="0"/>
    <w:rPr>
      <w:kern w:val="2"/>
      <w:sz w:val="21"/>
      <w:szCs w:val="24"/>
      <w:lang w:val="en-US" w:eastAsia="zh-CN" w:bidi="ar-SA"/>
    </w:rPr>
  </w:style>
  <w:style w:type="paragraph" w:customStyle="1" w:styleId="208">
    <w:name w:val="无间隔1"/>
    <w:link w:val="20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autoRedefine/>
    <w:qFormat/>
    <w:uiPriority w:val="0"/>
    <w:rPr>
      <w:rFonts w:eastAsia="隶书"/>
      <w:b/>
      <w:bCs/>
      <w:sz w:val="36"/>
      <w:szCs w:val="36"/>
      <w:lang w:val="en-US" w:eastAsia="zh-CN" w:bidi="ar-SA"/>
    </w:rPr>
  </w:style>
  <w:style w:type="character" w:customStyle="1" w:styleId="210">
    <w:name w:val="Char Char9"/>
    <w:autoRedefine/>
    <w:qFormat/>
    <w:uiPriority w:val="0"/>
    <w:rPr>
      <w:rFonts w:eastAsia="宋体"/>
      <w:kern w:val="2"/>
      <w:sz w:val="18"/>
      <w:szCs w:val="18"/>
      <w:lang w:val="en-US" w:eastAsia="zh-CN" w:bidi="ar-SA"/>
    </w:rPr>
  </w:style>
  <w:style w:type="character" w:customStyle="1" w:styleId="211">
    <w:name w:val="shadow11"/>
    <w:autoRedefine/>
    <w:qFormat/>
    <w:uiPriority w:val="0"/>
    <w:rPr>
      <w:color w:val="000000"/>
      <w:sz w:val="21"/>
    </w:rPr>
  </w:style>
  <w:style w:type="character" w:customStyle="1" w:styleId="212">
    <w:name w:val="msonormal"/>
    <w:autoRedefine/>
    <w:qFormat/>
    <w:uiPriority w:val="0"/>
    <w:rPr>
      <w:rFonts w:hint="default" w:ascii="Tahoma" w:hAnsi="Tahoma" w:eastAsia="宋体" w:cs="Tahoma"/>
      <w:kern w:val="2"/>
      <w:sz w:val="36"/>
      <w:szCs w:val="36"/>
      <w:lang w:val="en-US" w:eastAsia="zh-CN" w:bidi="ar-SA"/>
    </w:rPr>
  </w:style>
  <w:style w:type="character" w:customStyle="1" w:styleId="213">
    <w:name w:val="style101"/>
    <w:autoRedefine/>
    <w:qFormat/>
    <w:uiPriority w:val="0"/>
    <w:rPr>
      <w:color w:val="000000"/>
    </w:rPr>
  </w:style>
  <w:style w:type="character" w:customStyle="1" w:styleId="21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autoRedefine/>
    <w:qFormat/>
    <w:uiPriority w:val="0"/>
    <w:rPr>
      <w:rFonts w:hint="eastAsia" w:ascii="宋体" w:hAnsi="宋体" w:eastAsia="宋体"/>
      <w:kern w:val="2"/>
      <w:sz w:val="21"/>
      <w:lang w:val="en-US" w:eastAsia="zh-CN" w:bidi="ar-SA"/>
    </w:rPr>
  </w:style>
  <w:style w:type="character" w:customStyle="1" w:styleId="216">
    <w:name w:val="Footer Char"/>
    <w:autoRedefine/>
    <w:qFormat/>
    <w:locked/>
    <w:uiPriority w:val="0"/>
    <w:rPr>
      <w:rFonts w:ascii="Calibri" w:hAnsi="Calibri" w:eastAsia="宋体" w:cs="Calibri"/>
      <w:sz w:val="18"/>
      <w:szCs w:val="18"/>
    </w:rPr>
  </w:style>
  <w:style w:type="character" w:customStyle="1" w:styleId="217">
    <w:name w:val="常规 Char"/>
    <w:link w:val="218"/>
    <w:autoRedefine/>
    <w:qFormat/>
    <w:uiPriority w:val="0"/>
    <w:rPr>
      <w:rFonts w:eastAsia="宋体"/>
      <w:kern w:val="2"/>
      <w:sz w:val="21"/>
      <w:szCs w:val="21"/>
      <w:lang w:val="en-US" w:eastAsia="zh-CN" w:bidi="ar-SA"/>
    </w:rPr>
  </w:style>
  <w:style w:type="paragraph" w:customStyle="1" w:styleId="218">
    <w:name w:val="常规"/>
    <w:basedOn w:val="1"/>
    <w:link w:val="217"/>
    <w:autoRedefine/>
    <w:qFormat/>
    <w:uiPriority w:val="0"/>
    <w:pPr>
      <w:spacing w:beforeLines="100" w:afterLines="100"/>
      <w:ind w:left="1134"/>
    </w:pPr>
    <w:rPr>
      <w:szCs w:val="21"/>
    </w:rPr>
  </w:style>
  <w:style w:type="character" w:customStyle="1" w:styleId="219">
    <w:name w:val="point_normal1"/>
    <w:autoRedefine/>
    <w:qFormat/>
    <w:uiPriority w:val="0"/>
    <w:rPr>
      <w:rFonts w:hint="default" w:ascii="Arial" w:hAnsi="Arial" w:cs="Arial"/>
      <w:sz w:val="18"/>
      <w:szCs w:val="18"/>
    </w:rPr>
  </w:style>
  <w:style w:type="character" w:customStyle="1" w:styleId="220">
    <w:name w:val="text03"/>
    <w:autoRedefine/>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autoRedefine/>
    <w:qFormat/>
    <w:uiPriority w:val="0"/>
    <w:rPr>
      <w:rFonts w:eastAsia="宋体"/>
      <w:kern w:val="2"/>
      <w:sz w:val="24"/>
      <w:szCs w:val="24"/>
      <w:lang w:bidi="ar-SA"/>
    </w:rPr>
  </w:style>
  <w:style w:type="paragraph" w:customStyle="1" w:styleId="222">
    <w:name w:val="正文（缩进）"/>
    <w:basedOn w:val="1"/>
    <w:link w:val="221"/>
    <w:autoRedefine/>
    <w:qFormat/>
    <w:uiPriority w:val="0"/>
    <w:pPr>
      <w:spacing w:beforeLines="50" w:afterLines="50"/>
      <w:ind w:firstLine="480" w:firstLineChars="200"/>
    </w:pPr>
  </w:style>
  <w:style w:type="character" w:customStyle="1" w:styleId="223">
    <w:name w:val="页眉 Char"/>
    <w:link w:val="60"/>
    <w:autoRedefine/>
    <w:qFormat/>
    <w:uiPriority w:val="99"/>
    <w:rPr>
      <w:kern w:val="2"/>
      <w:sz w:val="18"/>
      <w:szCs w:val="18"/>
    </w:rPr>
  </w:style>
  <w:style w:type="character" w:customStyle="1" w:styleId="224">
    <w:name w:val="text1"/>
    <w:basedOn w:val="95"/>
    <w:autoRedefine/>
    <w:qFormat/>
    <w:uiPriority w:val="0"/>
  </w:style>
  <w:style w:type="character" w:customStyle="1" w:styleId="22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6">
    <w:name w:val="招标正文 Char"/>
    <w:link w:val="227"/>
    <w:autoRedefine/>
    <w:qFormat/>
    <w:uiPriority w:val="0"/>
    <w:rPr>
      <w:rFonts w:ascii="仿宋_GB2312" w:eastAsia="仿宋_GB2312" w:cs="宋体"/>
      <w:kern w:val="1"/>
      <w:sz w:val="30"/>
      <w:lang w:eastAsia="ar-SA"/>
    </w:rPr>
  </w:style>
  <w:style w:type="paragraph" w:customStyle="1" w:styleId="227">
    <w:name w:val="招标正文"/>
    <w:basedOn w:val="1"/>
    <w:link w:val="226"/>
    <w:autoRedefine/>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4"/>
    <w:autoRedefine/>
    <w:semiHidden/>
    <w:qFormat/>
    <w:uiPriority w:val="0"/>
    <w:rPr>
      <w:rFonts w:eastAsia="楷体_GB2312"/>
      <w:kern w:val="2"/>
      <w:sz w:val="32"/>
      <w:lang w:val="en-US" w:eastAsia="zh-CN" w:bidi="ar-SA"/>
    </w:rPr>
  </w:style>
  <w:style w:type="character" w:customStyle="1" w:styleId="229">
    <w:name w:val="标题 8 Char Char"/>
    <w:autoRedefine/>
    <w:qFormat/>
    <w:uiPriority w:val="0"/>
    <w:rPr>
      <w:rFonts w:ascii="Cambria" w:hAnsi="Cambria" w:eastAsia="宋体" w:cs="Times New Roman"/>
      <w:sz w:val="24"/>
      <w:szCs w:val="24"/>
    </w:rPr>
  </w:style>
  <w:style w:type="character" w:customStyle="1" w:styleId="230">
    <w:name w:val="style91"/>
    <w:autoRedefine/>
    <w:qFormat/>
    <w:uiPriority w:val="0"/>
    <w:rPr>
      <w:color w:val="666666"/>
    </w:rPr>
  </w:style>
  <w:style w:type="character" w:customStyle="1" w:styleId="231">
    <w:name w:val="标题 3 Char"/>
    <w:autoRedefine/>
    <w:qFormat/>
    <w:uiPriority w:val="0"/>
    <w:rPr>
      <w:rFonts w:ascii="Times New Roman" w:hAnsi="Times New Roman" w:eastAsia="宋体" w:cs="Times New Roman"/>
      <w:b/>
      <w:bCs/>
      <w:sz w:val="32"/>
      <w:szCs w:val="32"/>
    </w:rPr>
  </w:style>
  <w:style w:type="character" w:customStyle="1" w:styleId="232">
    <w:name w:val="正文格式 Char1"/>
    <w:link w:val="233"/>
    <w:autoRedefine/>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页眉 Char1"/>
    <w:autoRedefine/>
    <w:semiHidden/>
    <w:qFormat/>
    <w:uiPriority w:val="0"/>
    <w:rPr>
      <w:sz w:val="18"/>
      <w:szCs w:val="18"/>
    </w:rPr>
  </w:style>
  <w:style w:type="character" w:customStyle="1" w:styleId="236">
    <w:name w:val="Char Char34"/>
    <w:autoRedefine/>
    <w:qFormat/>
    <w:uiPriority w:val="0"/>
    <w:rPr>
      <w:rFonts w:ascii="宋体" w:hAnsi="Courier New" w:eastAsia="宋体"/>
      <w:kern w:val="2"/>
      <w:sz w:val="24"/>
      <w:szCs w:val="24"/>
      <w:lang w:val="en-US" w:eastAsia="zh-CN" w:bidi="ar-SA"/>
    </w:rPr>
  </w:style>
  <w:style w:type="character" w:customStyle="1" w:styleId="237">
    <w:name w:val="表正文 Char1"/>
    <w:autoRedefine/>
    <w:qFormat/>
    <w:uiPriority w:val="0"/>
    <w:rPr>
      <w:rFonts w:eastAsia="宋体"/>
      <w:kern w:val="2"/>
      <w:sz w:val="21"/>
      <w:lang w:val="en-US" w:eastAsia="zh-CN"/>
    </w:rPr>
  </w:style>
  <w:style w:type="character" w:customStyle="1" w:styleId="238">
    <w:name w:val="nr"/>
    <w:basedOn w:val="95"/>
    <w:autoRedefine/>
    <w:qFormat/>
    <w:uiPriority w:val="0"/>
  </w:style>
  <w:style w:type="character" w:customStyle="1" w:styleId="239">
    <w:name w:val="Table Text Char1"/>
    <w:link w:val="118"/>
    <w:autoRedefine/>
    <w:qFormat/>
    <w:uiPriority w:val="0"/>
    <w:rPr>
      <w:rFonts w:eastAsia="宋体"/>
      <w:kern w:val="2"/>
      <w:sz w:val="16"/>
      <w:szCs w:val="24"/>
      <w:lang w:val="en-US" w:eastAsia="zh-CN" w:bidi="ar-SA"/>
    </w:rPr>
  </w:style>
  <w:style w:type="character" w:customStyle="1" w:styleId="240">
    <w:name w:val="H1 Char5"/>
    <w:autoRedefine/>
    <w:qFormat/>
    <w:uiPriority w:val="0"/>
    <w:rPr>
      <w:rFonts w:eastAsia="隶书"/>
      <w:b/>
      <w:bCs/>
      <w:sz w:val="36"/>
      <w:szCs w:val="36"/>
      <w:lang w:val="en-US" w:eastAsia="zh-CN" w:bidi="ar-SA"/>
    </w:rPr>
  </w:style>
  <w:style w:type="character" w:customStyle="1" w:styleId="241">
    <w:name w:val="标题 3 Char1"/>
    <w:link w:val="10"/>
    <w:autoRedefine/>
    <w:qFormat/>
    <w:uiPriority w:val="0"/>
    <w:rPr>
      <w:rFonts w:eastAsia="仿宋"/>
      <w:b/>
      <w:bCs/>
      <w:kern w:val="2"/>
      <w:sz w:val="30"/>
      <w:szCs w:val="32"/>
    </w:rPr>
  </w:style>
  <w:style w:type="character" w:customStyle="1" w:styleId="242">
    <w:name w:val="dectext1"/>
    <w:autoRedefine/>
    <w:qFormat/>
    <w:uiPriority w:val="0"/>
    <w:rPr>
      <w:rFonts w:ascii="宋体" w:hAnsi="宋体" w:eastAsia="宋体"/>
      <w:color w:val="333333"/>
      <w:sz w:val="21"/>
      <w:szCs w:val="21"/>
      <w:u w:val="none"/>
    </w:rPr>
  </w:style>
  <w:style w:type="character" w:customStyle="1" w:styleId="243">
    <w:name w:val="基础框架 Char Char"/>
    <w:link w:val="244"/>
    <w:autoRedefine/>
    <w:qFormat/>
    <w:uiPriority w:val="0"/>
    <w:rPr>
      <w:rFonts w:ascii="宋体" w:hAnsi="宋体" w:eastAsia="宋体"/>
      <w:kern w:val="2"/>
      <w:sz w:val="18"/>
      <w:szCs w:val="21"/>
      <w:lang w:val="en-US" w:eastAsia="zh-CN" w:bidi="ar-SA"/>
    </w:rPr>
  </w:style>
  <w:style w:type="paragraph" w:customStyle="1" w:styleId="244">
    <w:name w:val="基础框架"/>
    <w:basedOn w:val="1"/>
    <w:link w:val="243"/>
    <w:autoRedefine/>
    <w:qFormat/>
    <w:uiPriority w:val="0"/>
    <w:pPr>
      <w:ind w:firstLine="198" w:firstLineChars="198"/>
    </w:pPr>
    <w:rPr>
      <w:rFonts w:ascii="宋体" w:hAnsi="宋体"/>
      <w:sz w:val="18"/>
      <w:szCs w:val="21"/>
    </w:rPr>
  </w:style>
  <w:style w:type="character" w:customStyle="1" w:styleId="245">
    <w:name w:val="Normal Indent Char Char"/>
    <w:autoRedefine/>
    <w:qFormat/>
    <w:uiPriority w:val="0"/>
    <w:rPr>
      <w:rFonts w:eastAsia="宋体"/>
      <w:kern w:val="2"/>
      <w:sz w:val="21"/>
      <w:lang w:val="en-US" w:eastAsia="zh-CN" w:bidi="ar-SA"/>
    </w:rPr>
  </w:style>
  <w:style w:type="character" w:customStyle="1" w:styleId="246">
    <w:name w:val="tw4winMark"/>
    <w:autoRedefine/>
    <w:qFormat/>
    <w:uiPriority w:val="0"/>
    <w:rPr>
      <w:rFonts w:ascii="Courier New" w:hAnsi="Courier New"/>
      <w:vanish/>
      <w:color w:val="800080"/>
      <w:vertAlign w:val="subscript"/>
    </w:rPr>
  </w:style>
  <w:style w:type="character" w:customStyle="1" w:styleId="247">
    <w:name w:val="文档正文 Char"/>
    <w:link w:val="248"/>
    <w:autoRedefine/>
    <w:qFormat/>
    <w:locked/>
    <w:uiPriority w:val="0"/>
    <w:rPr>
      <w:rFonts w:ascii="Arial Narrow" w:hAnsi="Arial Narrow" w:eastAsia="宋体"/>
      <w:sz w:val="24"/>
      <w:szCs w:val="24"/>
      <w:lang w:val="en-US" w:eastAsia="zh-CN" w:bidi="ar-SA"/>
    </w:rPr>
  </w:style>
  <w:style w:type="paragraph" w:customStyle="1" w:styleId="248">
    <w:name w:val="文档正文"/>
    <w:basedOn w:val="1"/>
    <w:link w:val="247"/>
    <w:autoRedefine/>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6"/>
    <w:autoRedefine/>
    <w:qFormat/>
    <w:uiPriority w:val="0"/>
    <w:rPr>
      <w:rFonts w:ascii="仿宋" w:hAnsi="仿宋" w:eastAsia="仿宋"/>
      <w:b/>
      <w:bCs/>
      <w:kern w:val="2"/>
      <w:sz w:val="32"/>
      <w:szCs w:val="32"/>
    </w:rPr>
  </w:style>
  <w:style w:type="character" w:customStyle="1" w:styleId="250">
    <w:name w:val="样式9 Char"/>
    <w:link w:val="251"/>
    <w:autoRedefine/>
    <w:qFormat/>
    <w:uiPriority w:val="0"/>
    <w:rPr>
      <w:b/>
      <w:kern w:val="2"/>
      <w:sz w:val="24"/>
      <w:szCs w:val="24"/>
    </w:rPr>
  </w:style>
  <w:style w:type="paragraph" w:customStyle="1" w:styleId="251">
    <w:name w:val="样式9"/>
    <w:basedOn w:val="1"/>
    <w:link w:val="250"/>
    <w:autoRedefine/>
    <w:qFormat/>
    <w:uiPriority w:val="0"/>
    <w:pPr>
      <w:keepNext/>
      <w:ind w:left="1151" w:hanging="1009"/>
    </w:pPr>
    <w:rPr>
      <w:b/>
    </w:rPr>
  </w:style>
  <w:style w:type="character" w:customStyle="1" w:styleId="252">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3">
    <w:name w:val="fbt"/>
    <w:basedOn w:val="95"/>
    <w:autoRedefine/>
    <w:qFormat/>
    <w:uiPriority w:val="0"/>
  </w:style>
  <w:style w:type="character" w:customStyle="1" w:styleId="254">
    <w:name w:val="tw4winError"/>
    <w:autoRedefine/>
    <w:qFormat/>
    <w:uiPriority w:val="0"/>
    <w:rPr>
      <w:rFonts w:ascii="Courier New" w:hAnsi="Courier New"/>
      <w:color w:val="00FF00"/>
      <w:sz w:val="40"/>
    </w:rPr>
  </w:style>
  <w:style w:type="character" w:customStyle="1" w:styleId="255">
    <w:name w:val="pfont11"/>
    <w:autoRedefine/>
    <w:qFormat/>
    <w:uiPriority w:val="0"/>
    <w:rPr>
      <w:rFonts w:hint="default" w:ascii="Tahoma" w:hAnsi="Tahoma" w:eastAsia="宋体" w:cs="Tahoma"/>
      <w:kern w:val="2"/>
      <w:sz w:val="18"/>
      <w:szCs w:val="18"/>
      <w:lang w:val="en-US" w:eastAsia="zh-CN" w:bidi="ar-SA"/>
    </w:rPr>
  </w:style>
  <w:style w:type="character" w:customStyle="1" w:styleId="256">
    <w:name w:val="p121"/>
    <w:autoRedefine/>
    <w:qFormat/>
    <w:uiPriority w:val="0"/>
    <w:rPr>
      <w:color w:val="000000"/>
      <w:sz w:val="21"/>
      <w:szCs w:val="21"/>
      <w:u w:val="none"/>
    </w:rPr>
  </w:style>
  <w:style w:type="character" w:customStyle="1" w:styleId="257">
    <w:name w:val="表格 Char Char"/>
    <w:link w:val="4"/>
    <w:autoRedefine/>
    <w:qFormat/>
    <w:uiPriority w:val="0"/>
    <w:rPr>
      <w:rFonts w:eastAsia="宋体"/>
      <w:kern w:val="2"/>
      <w:sz w:val="28"/>
      <w:szCs w:val="24"/>
      <w:lang w:val="en-US" w:eastAsia="zh-CN" w:bidi="ar-SA"/>
    </w:rPr>
  </w:style>
  <w:style w:type="character" w:customStyle="1" w:styleId="258">
    <w:name w:val="H1 Char2"/>
    <w:autoRedefine/>
    <w:qFormat/>
    <w:uiPriority w:val="0"/>
    <w:rPr>
      <w:rFonts w:eastAsia="隶书"/>
      <w:b/>
      <w:bCs/>
      <w:sz w:val="36"/>
      <w:szCs w:val="36"/>
      <w:lang w:val="en-US" w:eastAsia="zh-CN" w:bidi="ar-SA"/>
    </w:rPr>
  </w:style>
  <w:style w:type="character" w:customStyle="1" w:styleId="259">
    <w:name w:val="样式 题注 + 黑体 Char"/>
    <w:link w:val="260"/>
    <w:autoRedefine/>
    <w:qFormat/>
    <w:locked/>
    <w:uiPriority w:val="0"/>
    <w:rPr>
      <w:rFonts w:ascii="黑体" w:hAnsi="黑体" w:eastAsia="黑体" w:cs="Arial"/>
      <w:kern w:val="2"/>
      <w:sz w:val="21"/>
      <w:lang w:val="en-US" w:eastAsia="zh-CN" w:bidi="ar-SA"/>
    </w:rPr>
  </w:style>
  <w:style w:type="paragraph" w:customStyle="1" w:styleId="260">
    <w:name w:val="样式 题注 + 黑体"/>
    <w:basedOn w:val="28"/>
    <w:link w:val="259"/>
    <w:autoRedefine/>
    <w:qFormat/>
    <w:uiPriority w:val="0"/>
    <w:pPr>
      <w:spacing w:beforeLines="40" w:afterLines="40"/>
      <w:jc w:val="center"/>
    </w:pPr>
    <w:rPr>
      <w:rFonts w:ascii="黑体" w:hAnsi="黑体" w:cs="Arial"/>
      <w:sz w:val="21"/>
    </w:rPr>
  </w:style>
  <w:style w:type="character" w:customStyle="1" w:styleId="261">
    <w:name w:val="Header Char"/>
    <w:autoRedefine/>
    <w:qFormat/>
    <w:locked/>
    <w:uiPriority w:val="0"/>
    <w:rPr>
      <w:rFonts w:ascii="Calibri" w:hAnsi="Calibri" w:eastAsia="宋体" w:cs="Calibri"/>
      <w:sz w:val="18"/>
      <w:szCs w:val="18"/>
    </w:rPr>
  </w:style>
  <w:style w:type="character" w:customStyle="1" w:styleId="262">
    <w:name w:val="公司一级标题"/>
    <w:autoRedefine/>
    <w:qFormat/>
    <w:uiPriority w:val="0"/>
    <w:rPr>
      <w:rFonts w:ascii="黑体" w:hAnsi="黑体" w:eastAsia="黑体"/>
      <w:color w:val="333300"/>
      <w:sz w:val="30"/>
    </w:rPr>
  </w:style>
  <w:style w:type="character" w:customStyle="1" w:styleId="263">
    <w:name w:val="ca-8"/>
    <w:basedOn w:val="95"/>
    <w:autoRedefine/>
    <w:qFormat/>
    <w:uiPriority w:val="0"/>
  </w:style>
  <w:style w:type="character" w:customStyle="1" w:styleId="264">
    <w:name w:val="para"/>
    <w:basedOn w:val="95"/>
    <w:autoRedefine/>
    <w:qFormat/>
    <w:uiPriority w:val="0"/>
  </w:style>
  <w:style w:type="character" w:customStyle="1" w:styleId="265">
    <w:name w:val="p3"/>
    <w:basedOn w:val="95"/>
    <w:autoRedefine/>
    <w:qFormat/>
    <w:uiPriority w:val="0"/>
  </w:style>
  <w:style w:type="character" w:customStyle="1" w:styleId="266">
    <w:name w:val="unnamed1"/>
    <w:autoRedefine/>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autoRedefine/>
    <w:qFormat/>
    <w:uiPriority w:val="0"/>
    <w:rPr>
      <w:rFonts w:eastAsia="文鼎CS仿宋体"/>
      <w:kern w:val="2"/>
      <w:sz w:val="24"/>
      <w:szCs w:val="24"/>
      <w:lang w:val="en-US" w:eastAsia="zh-CN" w:bidi="ar-SA"/>
    </w:rPr>
  </w:style>
  <w:style w:type="paragraph" w:customStyle="1" w:styleId="268">
    <w:name w:val="图文字"/>
    <w:link w:val="26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autoRedefine/>
    <w:qFormat/>
    <w:uiPriority w:val="0"/>
    <w:rPr>
      <w:rFonts w:eastAsia="宋体"/>
      <w:kern w:val="2"/>
      <w:sz w:val="24"/>
      <w:lang w:val="en-US" w:eastAsia="zh-CN" w:bidi="ar-SA"/>
    </w:rPr>
  </w:style>
  <w:style w:type="character" w:customStyle="1" w:styleId="270">
    <w:name w:val="Legal Level 1.1.1. Char"/>
    <w:autoRedefine/>
    <w:qFormat/>
    <w:uiPriority w:val="0"/>
    <w:rPr>
      <w:rFonts w:ascii="Arial" w:hAnsi="Arial" w:eastAsia="黑体"/>
      <w:sz w:val="24"/>
      <w:lang w:val="en-US" w:eastAsia="zh-CN" w:bidi="ar-SA"/>
    </w:rPr>
  </w:style>
  <w:style w:type="character" w:customStyle="1" w:styleId="271">
    <w:name w:val="flname7"/>
    <w:basedOn w:val="95"/>
    <w:autoRedefine/>
    <w:qFormat/>
    <w:uiPriority w:val="0"/>
  </w:style>
  <w:style w:type="character" w:customStyle="1" w:styleId="272">
    <w:name w:val="标题 9 Char"/>
    <w:link w:val="15"/>
    <w:autoRedefine/>
    <w:qFormat/>
    <w:uiPriority w:val="0"/>
    <w:rPr>
      <w:rFonts w:ascii="Arial" w:hAnsi="Arial" w:eastAsia="黑体"/>
      <w:sz w:val="28"/>
    </w:rPr>
  </w:style>
  <w:style w:type="character" w:customStyle="1" w:styleId="273">
    <w:name w:val="标题 4 Char"/>
    <w:link w:val="11"/>
    <w:autoRedefine/>
    <w:qFormat/>
    <w:uiPriority w:val="0"/>
    <w:rPr>
      <w:rFonts w:ascii="仿宋" w:hAnsi="仿宋" w:eastAsia="仿宋"/>
      <w:b/>
      <w:bCs/>
      <w:kern w:val="2"/>
      <w:sz w:val="28"/>
      <w:szCs w:val="28"/>
    </w:rPr>
  </w:style>
  <w:style w:type="character" w:customStyle="1" w:styleId="274">
    <w:name w:val="标题 1 Char Char"/>
    <w:autoRedefine/>
    <w:qFormat/>
    <w:uiPriority w:val="0"/>
    <w:rPr>
      <w:rFonts w:eastAsia="宋体"/>
      <w:b/>
      <w:spacing w:val="-2"/>
      <w:sz w:val="24"/>
      <w:lang w:val="en-US" w:eastAsia="zh-CN" w:bidi="ar-SA"/>
    </w:rPr>
  </w:style>
  <w:style w:type="character" w:customStyle="1" w:styleId="275">
    <w:name w:val="H1 Char"/>
    <w:autoRedefine/>
    <w:qFormat/>
    <w:locked/>
    <w:uiPriority w:val="0"/>
    <w:rPr>
      <w:rFonts w:eastAsia="隶书"/>
      <w:b/>
      <w:bCs/>
      <w:sz w:val="36"/>
      <w:szCs w:val="36"/>
      <w:lang w:val="en-US" w:eastAsia="zh-CN" w:bidi="ar-SA"/>
    </w:rPr>
  </w:style>
  <w:style w:type="character" w:customStyle="1" w:styleId="276">
    <w:name w:val="text_main1"/>
    <w:autoRedefine/>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autoRedefine/>
    <w:qFormat/>
    <w:uiPriority w:val="0"/>
    <w:rPr>
      <w:rFonts w:eastAsia="仿宋_GB2312"/>
      <w:kern w:val="24"/>
      <w:sz w:val="24"/>
      <w:lang w:val="en-US" w:eastAsia="zh-CN" w:bidi="ar-SA"/>
    </w:rPr>
  </w:style>
  <w:style w:type="paragraph" w:customStyle="1" w:styleId="278">
    <w:name w:val="样式 首行缩进:  2 字符"/>
    <w:basedOn w:val="1"/>
    <w:link w:val="277"/>
    <w:autoRedefine/>
    <w:qFormat/>
    <w:uiPriority w:val="0"/>
    <w:pPr>
      <w:ind w:firstLine="200" w:firstLineChars="200"/>
    </w:pPr>
    <w:rPr>
      <w:rFonts w:eastAsia="仿宋_GB2312"/>
      <w:kern w:val="24"/>
      <w:szCs w:val="20"/>
    </w:rPr>
  </w:style>
  <w:style w:type="character" w:customStyle="1" w:styleId="279">
    <w:name w:val="样式 题注 + 黑体3 Char"/>
    <w:link w:val="280"/>
    <w:autoRedefine/>
    <w:qFormat/>
    <w:locked/>
    <w:uiPriority w:val="0"/>
    <w:rPr>
      <w:rFonts w:ascii="黑体" w:hAnsi="黑体" w:eastAsia="黑体" w:cs="Arial"/>
      <w:kern w:val="2"/>
      <w:sz w:val="21"/>
      <w:lang w:val="en-US" w:eastAsia="zh-CN" w:bidi="ar-SA"/>
    </w:rPr>
  </w:style>
  <w:style w:type="paragraph" w:customStyle="1" w:styleId="280">
    <w:name w:val="样式 题注 + 黑体3"/>
    <w:basedOn w:val="28"/>
    <w:link w:val="279"/>
    <w:autoRedefine/>
    <w:qFormat/>
    <w:uiPriority w:val="0"/>
    <w:pPr>
      <w:spacing w:beforeLines="40" w:afterLines="40"/>
      <w:jc w:val="center"/>
    </w:pPr>
    <w:rPr>
      <w:rFonts w:ascii="黑体" w:hAnsi="黑体" w:cs="Arial"/>
      <w:sz w:val="21"/>
    </w:rPr>
  </w:style>
  <w:style w:type="character" w:customStyle="1" w:styleId="281">
    <w:name w:val="正文文本缩进 3 Char"/>
    <w:link w:val="72"/>
    <w:autoRedefine/>
    <w:qFormat/>
    <w:uiPriority w:val="0"/>
    <w:rPr>
      <w:rFonts w:ascii="仿宋_GB2312" w:hAnsi="宋体" w:eastAsia="仿宋_GB2312"/>
      <w:color w:val="000000"/>
      <w:kern w:val="2"/>
      <w:sz w:val="24"/>
      <w:szCs w:val="24"/>
    </w:rPr>
  </w:style>
  <w:style w:type="character" w:customStyle="1" w:styleId="282">
    <w:name w:val="font11"/>
    <w:autoRedefine/>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autoRedefine/>
    <w:qFormat/>
    <w:uiPriority w:val="0"/>
    <w:rPr>
      <w:kern w:val="2"/>
      <w:sz w:val="21"/>
      <w:lang w:bidi="ar-SA"/>
    </w:rPr>
  </w:style>
  <w:style w:type="paragraph" w:customStyle="1" w:styleId="284">
    <w:name w:val="Indent Normal"/>
    <w:basedOn w:val="1"/>
    <w:link w:val="283"/>
    <w:autoRedefine/>
    <w:qFormat/>
    <w:uiPriority w:val="0"/>
    <w:pPr>
      <w:ind w:firstLine="420"/>
    </w:pPr>
    <w:rPr>
      <w:szCs w:val="20"/>
    </w:rPr>
  </w:style>
  <w:style w:type="character" w:customStyle="1" w:styleId="285">
    <w:name w:val="mark8"/>
    <w:autoRedefine/>
    <w:qFormat/>
    <w:uiPriority w:val="0"/>
    <w:rPr>
      <w:b/>
      <w:bCs/>
      <w:sz w:val="21"/>
      <w:szCs w:val="21"/>
    </w:rPr>
  </w:style>
  <w:style w:type="character" w:customStyle="1" w:styleId="286">
    <w:name w:val="textcontents1"/>
    <w:autoRedefine/>
    <w:qFormat/>
    <w:uiPriority w:val="0"/>
    <w:rPr>
      <w:color w:val="000000"/>
      <w:sz w:val="30"/>
      <w:szCs w:val="30"/>
    </w:rPr>
  </w:style>
  <w:style w:type="character" w:customStyle="1" w:styleId="287">
    <w:name w:val="最新正文 Char"/>
    <w:link w:val="288"/>
    <w:autoRedefine/>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autoRedefine/>
    <w:qFormat/>
    <w:uiPriority w:val="0"/>
    <w:rPr>
      <w:rFonts w:ascii="Arial" w:hAnsi="Arial" w:eastAsia="黑体"/>
      <w:b/>
      <w:bCs/>
      <w:kern w:val="2"/>
      <w:sz w:val="28"/>
      <w:szCs w:val="28"/>
      <w:lang w:val="en-US" w:eastAsia="zh-CN" w:bidi="ar-SA"/>
    </w:rPr>
  </w:style>
  <w:style w:type="character" w:customStyle="1" w:styleId="290">
    <w:name w:val="正文文本 Char"/>
    <w:link w:val="7"/>
    <w:autoRedefine/>
    <w:qFormat/>
    <w:uiPriority w:val="0"/>
    <w:rPr>
      <w:rFonts w:eastAsia="宋体"/>
      <w:kern w:val="2"/>
      <w:sz w:val="28"/>
      <w:szCs w:val="24"/>
      <w:lang w:val="en-US" w:eastAsia="zh-CN" w:bidi="ar-SA"/>
    </w:rPr>
  </w:style>
  <w:style w:type="character" w:customStyle="1" w:styleId="29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2">
    <w:name w:val="tx1"/>
    <w:autoRedefine/>
    <w:qFormat/>
    <w:uiPriority w:val="0"/>
    <w:rPr>
      <w:rFonts w:hint="default" w:ascii="Tahoma" w:hAnsi="Tahoma" w:eastAsia="宋体" w:cs="Tahoma"/>
      <w:b/>
      <w:bCs/>
      <w:kern w:val="2"/>
      <w:sz w:val="36"/>
      <w:szCs w:val="36"/>
      <w:lang w:val="en-US" w:eastAsia="zh-CN" w:bidi="ar-SA"/>
    </w:rPr>
  </w:style>
  <w:style w:type="character" w:customStyle="1" w:styleId="293">
    <w:name w:val="发布"/>
    <w:autoRedefine/>
    <w:qFormat/>
    <w:uiPriority w:val="0"/>
    <w:rPr>
      <w:rFonts w:ascii="黑体" w:eastAsia="黑体"/>
      <w:spacing w:val="22"/>
      <w:w w:val="100"/>
      <w:position w:val="3"/>
      <w:sz w:val="28"/>
    </w:rPr>
  </w:style>
  <w:style w:type="character" w:customStyle="1" w:styleId="294">
    <w:name w:val="加重文字 Char"/>
    <w:link w:val="295"/>
    <w:autoRedefine/>
    <w:qFormat/>
    <w:locked/>
    <w:uiPriority w:val="0"/>
    <w:rPr>
      <w:rFonts w:eastAsia="宋体"/>
      <w:b/>
      <w:bCs/>
      <w:kern w:val="2"/>
      <w:sz w:val="24"/>
      <w:szCs w:val="24"/>
      <w:u w:val="thick"/>
      <w:lang w:val="en-US" w:eastAsia="zh-CN" w:bidi="ar-SA"/>
    </w:rPr>
  </w:style>
  <w:style w:type="paragraph" w:customStyle="1" w:styleId="295">
    <w:name w:val="加重文字"/>
    <w:basedOn w:val="134"/>
    <w:link w:val="294"/>
    <w:autoRedefine/>
    <w:qFormat/>
    <w:uiPriority w:val="0"/>
    <w:pPr>
      <w:ind w:firstLine="0" w:firstLineChars="0"/>
    </w:pPr>
    <w:rPr>
      <w:b/>
      <w:bCs/>
      <w:u w:val="thick"/>
    </w:rPr>
  </w:style>
  <w:style w:type="character" w:customStyle="1" w:styleId="29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7">
    <w:name w:val="Char Char7"/>
    <w:autoRedefine/>
    <w:qFormat/>
    <w:uiPriority w:val="0"/>
    <w:rPr>
      <w:kern w:val="2"/>
      <w:sz w:val="18"/>
      <w:szCs w:val="18"/>
    </w:rPr>
  </w:style>
  <w:style w:type="character" w:customStyle="1" w:styleId="298">
    <w:name w:val="point_small1"/>
    <w:autoRedefine/>
    <w:qFormat/>
    <w:uiPriority w:val="0"/>
    <w:rPr>
      <w:rFonts w:hint="default" w:ascii="Arial" w:hAnsi="Arial" w:cs="Arial"/>
      <w:sz w:val="18"/>
      <w:szCs w:val="18"/>
    </w:rPr>
  </w:style>
  <w:style w:type="character" w:customStyle="1" w:styleId="299">
    <w:name w:val="title_emph1"/>
    <w:autoRedefine/>
    <w:qFormat/>
    <w:uiPriority w:val="0"/>
    <w:rPr>
      <w:rFonts w:hint="default" w:ascii="Arial" w:hAnsi="Arial" w:cs="Arial"/>
      <w:b/>
      <w:bCs/>
      <w:sz w:val="18"/>
      <w:szCs w:val="18"/>
    </w:rPr>
  </w:style>
  <w:style w:type="character" w:customStyle="1" w:styleId="300">
    <w:name w:val="memo"/>
    <w:autoRedefine/>
    <w:qFormat/>
    <w:uiPriority w:val="0"/>
  </w:style>
  <w:style w:type="character" w:customStyle="1" w:styleId="301">
    <w:name w:val="tw4winJump"/>
    <w:autoRedefine/>
    <w:qFormat/>
    <w:uiPriority w:val="0"/>
    <w:rPr>
      <w:rFonts w:ascii="Courier New" w:hAnsi="Courier New"/>
      <w:color w:val="008080"/>
    </w:rPr>
  </w:style>
  <w:style w:type="character" w:customStyle="1" w:styleId="302">
    <w:name w:val="tpc_content1"/>
    <w:autoRedefine/>
    <w:qFormat/>
    <w:uiPriority w:val="0"/>
    <w:rPr>
      <w:sz w:val="20"/>
    </w:rPr>
  </w:style>
  <w:style w:type="character" w:customStyle="1" w:styleId="303">
    <w:name w:val="it1"/>
    <w:autoRedefine/>
    <w:qFormat/>
    <w:uiPriority w:val="0"/>
    <w:rPr>
      <w:rFonts w:hint="eastAsia" w:ascii="宋体" w:hAnsi="宋体" w:eastAsia="宋体"/>
      <w:color w:val="000000"/>
      <w:sz w:val="18"/>
      <w:szCs w:val="18"/>
    </w:rPr>
  </w:style>
  <w:style w:type="character" w:customStyle="1" w:styleId="304">
    <w:name w:val="页脚 Char1"/>
    <w:autoRedefine/>
    <w:semiHidden/>
    <w:qFormat/>
    <w:uiPriority w:val="0"/>
    <w:rPr>
      <w:sz w:val="18"/>
      <w:szCs w:val="18"/>
    </w:rPr>
  </w:style>
  <w:style w:type="character" w:customStyle="1" w:styleId="305">
    <w:name w:val="red1"/>
    <w:autoRedefine/>
    <w:qFormat/>
    <w:uiPriority w:val="0"/>
    <w:rPr>
      <w:rFonts w:hint="default" w:ascii="ˎ̥" w:hAnsi="ˎ̥"/>
      <w:color w:val="CC0001"/>
      <w:sz w:val="18"/>
      <w:szCs w:val="18"/>
    </w:rPr>
  </w:style>
  <w:style w:type="character" w:customStyle="1" w:styleId="306">
    <w:name w:val="line"/>
    <w:basedOn w:val="95"/>
    <w:autoRedefine/>
    <w:qFormat/>
    <w:uiPriority w:val="0"/>
  </w:style>
  <w:style w:type="character" w:customStyle="1" w:styleId="307">
    <w:name w:val="unnamed11"/>
    <w:autoRedefine/>
    <w:qFormat/>
    <w:uiPriority w:val="0"/>
    <w:rPr>
      <w:spacing w:val="360"/>
      <w:sz w:val="20"/>
      <w:szCs w:val="20"/>
    </w:rPr>
  </w:style>
  <w:style w:type="character" w:customStyle="1" w:styleId="308">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9">
    <w:name w:val="huide001"/>
    <w:autoRedefine/>
    <w:qFormat/>
    <w:uiPriority w:val="0"/>
    <w:rPr>
      <w:rFonts w:hint="default" w:ascii="Arial" w:hAnsi="Arial" w:cs="Arial"/>
      <w:color w:val="666666"/>
      <w:sz w:val="18"/>
      <w:szCs w:val="18"/>
    </w:rPr>
  </w:style>
  <w:style w:type="character" w:customStyle="1" w:styleId="310">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autoRedefine/>
    <w:qFormat/>
    <w:uiPriority w:val="0"/>
    <w:rPr>
      <w:i/>
      <w:color w:val="0000FF"/>
      <w:kern w:val="2"/>
      <w:sz w:val="21"/>
      <w:szCs w:val="24"/>
      <w:lang w:bidi="ar-SA"/>
    </w:rPr>
  </w:style>
  <w:style w:type="paragraph" w:customStyle="1" w:styleId="312">
    <w:name w:val="编写说明"/>
    <w:basedOn w:val="1"/>
    <w:link w:val="311"/>
    <w:autoRedefine/>
    <w:qFormat/>
    <w:uiPriority w:val="0"/>
    <w:rPr>
      <w:i/>
      <w:color w:val="0000FF"/>
    </w:rPr>
  </w:style>
  <w:style w:type="character" w:customStyle="1" w:styleId="313">
    <w:name w:val="Char Char81"/>
    <w:autoRedefine/>
    <w:qFormat/>
    <w:uiPriority w:val="0"/>
    <w:rPr>
      <w:rFonts w:eastAsia="宋体"/>
      <w:b/>
      <w:sz w:val="24"/>
      <w:lang w:val="en-GB" w:eastAsia="zh-CN"/>
    </w:rPr>
  </w:style>
  <w:style w:type="character" w:customStyle="1" w:styleId="31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5">
    <w:name w:val="自定义正文 Char"/>
    <w:link w:val="316"/>
    <w:autoRedefine/>
    <w:qFormat/>
    <w:uiPriority w:val="0"/>
    <w:rPr>
      <w:rFonts w:ascii="仿宋_GB2312" w:eastAsia="仿宋_GB2312"/>
      <w:kern w:val="2"/>
      <w:sz w:val="28"/>
      <w:szCs w:val="24"/>
      <w:lang w:val="en-US" w:eastAsia="zh-CN" w:bidi="ar-SA"/>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autoRedefine/>
    <w:qFormat/>
    <w:uiPriority w:val="0"/>
    <w:rPr>
      <w:rFonts w:eastAsia="宋体"/>
      <w:kern w:val="2"/>
      <w:sz w:val="18"/>
      <w:szCs w:val="18"/>
      <w:lang w:val="en-US" w:eastAsia="zh-CN" w:bidi="ar-SA"/>
    </w:rPr>
  </w:style>
  <w:style w:type="character" w:customStyle="1" w:styleId="318">
    <w:name w:val="H2 Char3"/>
    <w:autoRedefine/>
    <w:qFormat/>
    <w:uiPriority w:val="0"/>
    <w:rPr>
      <w:rFonts w:ascii="Arial" w:hAnsi="Arial" w:eastAsia="黑体"/>
      <w:b/>
      <w:bCs/>
      <w:kern w:val="2"/>
      <w:sz w:val="32"/>
      <w:szCs w:val="32"/>
      <w:lang w:val="en-US" w:eastAsia="zh-CN" w:bidi="ar-SA"/>
    </w:rPr>
  </w:style>
  <w:style w:type="character" w:customStyle="1" w:styleId="319">
    <w:name w:val="txt"/>
    <w:basedOn w:val="95"/>
    <w:autoRedefine/>
    <w:qFormat/>
    <w:uiPriority w:val="0"/>
  </w:style>
  <w:style w:type="character" w:customStyle="1" w:styleId="320">
    <w:name w:val="Ò³Ã¼ Char"/>
    <w:autoRedefine/>
    <w:qFormat/>
    <w:uiPriority w:val="0"/>
    <w:rPr>
      <w:rFonts w:eastAsia="宋体"/>
      <w:kern w:val="2"/>
      <w:sz w:val="18"/>
      <w:szCs w:val="18"/>
      <w:lang w:val="en-US" w:eastAsia="zh-CN" w:bidi="ar-SA"/>
    </w:rPr>
  </w:style>
  <w:style w:type="character" w:customStyle="1" w:styleId="321">
    <w:name w:val="二级条标题 Char1"/>
    <w:link w:val="322"/>
    <w:autoRedefine/>
    <w:qFormat/>
    <w:locked/>
    <w:uiPriority w:val="0"/>
    <w:rPr>
      <w:rFonts w:ascii="黑体" w:eastAsia="黑体"/>
      <w:sz w:val="21"/>
      <w:lang w:val="en-US" w:eastAsia="zh-CN" w:bidi="ar-SA"/>
    </w:rPr>
  </w:style>
  <w:style w:type="paragraph" w:customStyle="1" w:styleId="322">
    <w:name w:val="二级条标题"/>
    <w:basedOn w:val="323"/>
    <w:next w:val="324"/>
    <w:link w:val="321"/>
    <w:autoRedefine/>
    <w:qFormat/>
    <w:uiPriority w:val="0"/>
    <w:pPr>
      <w:ind w:left="630" w:hanging="630"/>
      <w:outlineLvl w:val="3"/>
    </w:pPr>
  </w:style>
  <w:style w:type="paragraph" w:customStyle="1" w:styleId="323">
    <w:name w:val="一级条标题"/>
    <w:basedOn w:val="1"/>
    <w:next w:val="324"/>
    <w:autoRedefine/>
    <w:qFormat/>
    <w:uiPriority w:val="0"/>
    <w:pPr>
      <w:widowControl/>
      <w:spacing w:beforeLines="40" w:afterLines="40"/>
      <w:outlineLvl w:val="2"/>
    </w:pPr>
    <w:rPr>
      <w:rFonts w:ascii="黑体" w:eastAsia="黑体"/>
      <w:kern w:val="0"/>
      <w:szCs w:val="20"/>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autoRedefine/>
    <w:qFormat/>
    <w:uiPriority w:val="0"/>
  </w:style>
  <w:style w:type="character" w:customStyle="1" w:styleId="326">
    <w:name w:val="FtrF Char"/>
    <w:autoRedefine/>
    <w:qFormat/>
    <w:uiPriority w:val="0"/>
    <w:rPr>
      <w:rFonts w:eastAsia="宋体"/>
      <w:kern w:val="2"/>
      <w:sz w:val="18"/>
      <w:szCs w:val="18"/>
      <w:lang w:val="en-US" w:eastAsia="zh-CN" w:bidi="ar-SA"/>
    </w:rPr>
  </w:style>
  <w:style w:type="character" w:customStyle="1" w:styleId="327">
    <w:name w:val="H2 Char2"/>
    <w:autoRedefine/>
    <w:qFormat/>
    <w:uiPriority w:val="0"/>
    <w:rPr>
      <w:rFonts w:ascii="Arial" w:hAnsi="Arial" w:eastAsia="黑体"/>
      <w:b/>
      <w:bCs/>
      <w:kern w:val="2"/>
      <w:sz w:val="32"/>
      <w:szCs w:val="32"/>
      <w:lang w:val="en-US" w:eastAsia="zh-CN" w:bidi="ar-SA"/>
    </w:rPr>
  </w:style>
  <w:style w:type="character" w:customStyle="1" w:styleId="328">
    <w:name w:val="line1"/>
    <w:autoRedefine/>
    <w:qFormat/>
    <w:uiPriority w:val="0"/>
    <w:rPr>
      <w:spacing w:val="360"/>
      <w:u w:val="none"/>
    </w:rPr>
  </w:style>
  <w:style w:type="character" w:customStyle="1" w:styleId="329">
    <w:name w:val="纯文本 Char"/>
    <w:link w:val="50"/>
    <w:autoRedefine/>
    <w:qFormat/>
    <w:uiPriority w:val="0"/>
    <w:rPr>
      <w:rFonts w:ascii="宋体" w:hAnsi="Courier New"/>
      <w:kern w:val="2"/>
      <w:sz w:val="24"/>
      <w:szCs w:val="24"/>
    </w:rPr>
  </w:style>
  <w:style w:type="character" w:customStyle="1" w:styleId="330">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autoRedefine/>
    <w:qFormat/>
    <w:uiPriority w:val="0"/>
    <w:rPr>
      <w:rFonts w:eastAsia="仿宋_GB2312" w:cs="宋体"/>
      <w:kern w:val="2"/>
      <w:sz w:val="24"/>
      <w:lang w:val="en-US" w:eastAsia="zh-CN" w:bidi="ar-SA"/>
    </w:rPr>
  </w:style>
  <w:style w:type="paragraph" w:customStyle="1" w:styleId="332">
    <w:name w:val="我的正文"/>
    <w:basedOn w:val="1"/>
    <w:link w:val="331"/>
    <w:autoRedefine/>
    <w:qFormat/>
    <w:uiPriority w:val="0"/>
    <w:pPr>
      <w:spacing w:afterLines="100"/>
      <w:ind w:firstLine="480" w:firstLineChars="200"/>
    </w:pPr>
    <w:rPr>
      <w:rFonts w:eastAsia="仿宋_GB2312" w:cs="宋体"/>
      <w:szCs w:val="20"/>
    </w:rPr>
  </w:style>
  <w:style w:type="character" w:customStyle="1" w:styleId="333">
    <w:name w:val="正文缩进 Char"/>
    <w:autoRedefine/>
    <w:qFormat/>
    <w:uiPriority w:val="0"/>
    <w:rPr>
      <w:rFonts w:eastAsia="宋体"/>
      <w:kern w:val="2"/>
      <w:sz w:val="21"/>
      <w:lang w:val="en-US" w:eastAsia="zh-CN" w:bidi="ar-SA"/>
    </w:rPr>
  </w:style>
  <w:style w:type="character" w:customStyle="1" w:styleId="334">
    <w:name w:val="批注框文本 Char"/>
    <w:link w:val="25"/>
    <w:autoRedefine/>
    <w:qFormat/>
    <w:locked/>
    <w:uiPriority w:val="0"/>
    <w:rPr>
      <w:rFonts w:ascii="Calibri" w:hAnsi="Calibri" w:eastAsia="宋体"/>
      <w:kern w:val="2"/>
      <w:sz w:val="18"/>
      <w:szCs w:val="18"/>
      <w:lang w:val="en-US" w:eastAsia="zh-CN" w:bidi="ar-SA"/>
    </w:rPr>
  </w:style>
  <w:style w:type="character" w:customStyle="1" w:styleId="335">
    <w:name w:val="h4 Char2"/>
    <w:autoRedefine/>
    <w:qFormat/>
    <w:uiPriority w:val="0"/>
    <w:rPr>
      <w:rFonts w:ascii="Arial" w:hAnsi="Arial" w:eastAsia="黑体"/>
      <w:b/>
      <w:bCs/>
      <w:kern w:val="2"/>
      <w:sz w:val="28"/>
      <w:szCs w:val="28"/>
      <w:lang w:val="en-US" w:eastAsia="zh-CN" w:bidi="ar-SA"/>
    </w:rPr>
  </w:style>
  <w:style w:type="character" w:customStyle="1" w:styleId="336">
    <w:name w:val="正文缩进 Char1"/>
    <w:link w:val="337"/>
    <w:autoRedefine/>
    <w:qFormat/>
    <w:uiPriority w:val="0"/>
    <w:rPr>
      <w:rFonts w:eastAsia="宋体"/>
      <w:lang w:bidi="ar-SA"/>
    </w:rPr>
  </w:style>
  <w:style w:type="paragraph" w:customStyle="1" w:styleId="337">
    <w:name w:val="正文缩进2"/>
    <w:basedOn w:val="1"/>
    <w:link w:val="336"/>
    <w:autoRedefine/>
    <w:qFormat/>
    <w:uiPriority w:val="0"/>
    <w:pPr>
      <w:widowControl/>
      <w:ind w:firstLine="420"/>
      <w:jc w:val="left"/>
    </w:pPr>
    <w:rPr>
      <w:kern w:val="0"/>
      <w:sz w:val="20"/>
      <w:szCs w:val="20"/>
    </w:rPr>
  </w:style>
  <w:style w:type="character" w:customStyle="1" w:styleId="338">
    <w:name w:val="样式 宋体"/>
    <w:autoRedefine/>
    <w:qFormat/>
    <w:uiPriority w:val="0"/>
    <w:rPr>
      <w:rFonts w:ascii="宋体" w:hAnsi="宋体" w:eastAsia="宋体"/>
      <w:sz w:val="24"/>
      <w:szCs w:val="24"/>
    </w:rPr>
  </w:style>
  <w:style w:type="character" w:customStyle="1" w:styleId="339">
    <w:name w:val="哈哈正文 Char"/>
    <w:link w:val="340"/>
    <w:autoRedefine/>
    <w:qFormat/>
    <w:uiPriority w:val="0"/>
    <w:rPr>
      <w:rFonts w:ascii="宋体" w:hAnsi="宋体" w:eastAsia="宋体" w:cs="宋体"/>
      <w:kern w:val="2"/>
      <w:sz w:val="24"/>
      <w:lang w:val="en-US" w:eastAsia="zh-CN" w:bidi="ar-SA"/>
    </w:rPr>
  </w:style>
  <w:style w:type="paragraph" w:customStyle="1" w:styleId="340">
    <w:name w:val="哈哈正文"/>
    <w:basedOn w:val="1"/>
    <w:link w:val="339"/>
    <w:autoRedefine/>
    <w:qFormat/>
    <w:uiPriority w:val="0"/>
    <w:pPr>
      <w:ind w:firstLine="200" w:firstLineChars="200"/>
    </w:pPr>
    <w:rPr>
      <w:rFonts w:ascii="宋体" w:hAnsi="宋体" w:cs="宋体"/>
      <w:szCs w:val="20"/>
    </w:rPr>
  </w:style>
  <w:style w:type="character" w:customStyle="1" w:styleId="341">
    <w:name w:val="表格标题(居中) Char"/>
    <w:link w:val="342"/>
    <w:autoRedefine/>
    <w:qFormat/>
    <w:uiPriority w:val="0"/>
    <w:rPr>
      <w:rFonts w:eastAsia="黑体"/>
      <w:kern w:val="2"/>
      <w:sz w:val="24"/>
      <w:lang w:val="en-US" w:eastAsia="zh-CN" w:bidi="ar-SA"/>
    </w:rPr>
  </w:style>
  <w:style w:type="paragraph" w:customStyle="1" w:styleId="342">
    <w:name w:val="表格标题(居中)"/>
    <w:basedOn w:val="1"/>
    <w:link w:val="341"/>
    <w:autoRedefine/>
    <w:qFormat/>
    <w:uiPriority w:val="0"/>
    <w:pPr>
      <w:snapToGrid w:val="0"/>
      <w:spacing w:line="300" w:lineRule="auto"/>
      <w:jc w:val="center"/>
    </w:pPr>
    <w:rPr>
      <w:rFonts w:eastAsia="黑体"/>
      <w:szCs w:val="20"/>
    </w:rPr>
  </w:style>
  <w:style w:type="character" w:customStyle="1" w:styleId="343">
    <w:name w:val="H2 Char1"/>
    <w:autoRedefine/>
    <w:qFormat/>
    <w:uiPriority w:val="0"/>
    <w:rPr>
      <w:rFonts w:ascii="Arial" w:hAnsi="Arial" w:eastAsia="黑体"/>
      <w:b/>
      <w:bCs/>
      <w:kern w:val="2"/>
      <w:sz w:val="32"/>
      <w:szCs w:val="32"/>
      <w:lang w:val="en-US" w:eastAsia="zh-CN" w:bidi="ar-SA"/>
    </w:rPr>
  </w:style>
  <w:style w:type="character" w:customStyle="1" w:styleId="344">
    <w:name w:val="H2 Char5"/>
    <w:autoRedefine/>
    <w:qFormat/>
    <w:uiPriority w:val="0"/>
    <w:rPr>
      <w:rFonts w:ascii="Arial" w:hAnsi="Arial" w:eastAsia="黑体"/>
      <w:b/>
      <w:bCs/>
      <w:kern w:val="2"/>
      <w:sz w:val="32"/>
      <w:szCs w:val="32"/>
      <w:lang w:val="en-US" w:eastAsia="zh-CN" w:bidi="ar-SA"/>
    </w:rPr>
  </w:style>
  <w:style w:type="character" w:customStyle="1" w:styleId="345">
    <w:name w:val="title_black_141"/>
    <w:autoRedefine/>
    <w:qFormat/>
    <w:uiPriority w:val="0"/>
    <w:rPr>
      <w:color w:val="000000"/>
      <w:sz w:val="21"/>
      <w:szCs w:val="21"/>
      <w:u w:val="none"/>
    </w:rPr>
  </w:style>
  <w:style w:type="character" w:customStyle="1" w:styleId="346">
    <w:name w:val="备注说明 Char Char"/>
    <w:link w:val="347"/>
    <w:autoRedefine/>
    <w:qFormat/>
    <w:locked/>
    <w:uiPriority w:val="0"/>
    <w:rPr>
      <w:rFonts w:ascii="宋体" w:hAnsi="宋体" w:eastAsia="宋体"/>
      <w:sz w:val="21"/>
      <w:lang w:val="en-US" w:eastAsia="zh-CN" w:bidi="ar-SA"/>
    </w:rPr>
  </w:style>
  <w:style w:type="paragraph" w:customStyle="1" w:styleId="347">
    <w:name w:val="备注说明 Char"/>
    <w:basedOn w:val="69"/>
    <w:link w:val="346"/>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autoRedefine/>
    <w:qFormat/>
    <w:uiPriority w:val="0"/>
    <w:rPr>
      <w:rFonts w:hint="default" w:ascii="Verdana" w:hAnsi="Verdana"/>
      <w:color w:val="FF6600"/>
      <w:sz w:val="20"/>
      <w:szCs w:val="20"/>
    </w:rPr>
  </w:style>
  <w:style w:type="character" w:customStyle="1" w:styleId="349">
    <w:name w:val="表格文字 Char"/>
    <w:autoRedefine/>
    <w:qFormat/>
    <w:uiPriority w:val="0"/>
    <w:rPr>
      <w:rFonts w:ascii="宋体" w:hAnsi="Courier New" w:eastAsia="宋体"/>
      <w:kern w:val="2"/>
      <w:sz w:val="21"/>
      <w:lang w:val="en-US" w:eastAsia="zh-CN" w:bidi="ar-SA"/>
    </w:rPr>
  </w:style>
  <w:style w:type="character" w:customStyle="1" w:styleId="350">
    <w:name w:val="样式 题注 + 黑色 Char"/>
    <w:link w:val="351"/>
    <w:autoRedefine/>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8"/>
    <w:link w:val="350"/>
    <w:autoRedefine/>
    <w:qFormat/>
    <w:uiPriority w:val="0"/>
    <w:pPr>
      <w:spacing w:beforeLines="40" w:afterLines="40"/>
      <w:jc w:val="center"/>
    </w:pPr>
    <w:rPr>
      <w:rFonts w:cs="Arial"/>
      <w:color w:val="000000"/>
      <w:sz w:val="24"/>
    </w:rPr>
  </w:style>
  <w:style w:type="character" w:customStyle="1" w:styleId="352">
    <w:name w:val="公文正文 Char"/>
    <w:link w:val="353"/>
    <w:autoRedefine/>
    <w:qFormat/>
    <w:uiPriority w:val="0"/>
    <w:rPr>
      <w:rFonts w:ascii="仿宋_GB2312" w:hAnsi="宋体" w:eastAsia="仿宋_GB2312"/>
      <w:kern w:val="28"/>
      <w:sz w:val="28"/>
      <w:szCs w:val="24"/>
      <w:lang w:val="en-US" w:eastAsia="zh-CN" w:bidi="ar-SA"/>
    </w:rPr>
  </w:style>
  <w:style w:type="paragraph" w:customStyle="1" w:styleId="353">
    <w:name w:val="公文正文"/>
    <w:basedOn w:val="40"/>
    <w:link w:val="352"/>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autoRedefine/>
    <w:semiHidden/>
    <w:qFormat/>
    <w:uiPriority w:val="0"/>
    <w:rPr>
      <w:kern w:val="2"/>
      <w:sz w:val="18"/>
      <w:szCs w:val="18"/>
    </w:rPr>
  </w:style>
  <w:style w:type="character" w:customStyle="1" w:styleId="355">
    <w:name w:val="标题 6 Char1"/>
    <w:link w:val="12"/>
    <w:autoRedefine/>
    <w:qFormat/>
    <w:uiPriority w:val="0"/>
    <w:rPr>
      <w:rFonts w:ascii="Arial" w:hAnsi="Arial" w:eastAsia="黑体"/>
      <w:b/>
      <w:bCs/>
      <w:kern w:val="2"/>
      <w:sz w:val="24"/>
    </w:rPr>
  </w:style>
  <w:style w:type="character" w:customStyle="1" w:styleId="356">
    <w:name w:val="纯文本 Char2"/>
    <w:autoRedefine/>
    <w:qFormat/>
    <w:uiPriority w:val="0"/>
    <w:rPr>
      <w:rFonts w:ascii="宋体" w:hAnsi="Courier New"/>
      <w:kern w:val="2"/>
      <w:sz w:val="24"/>
      <w:szCs w:val="24"/>
    </w:rPr>
  </w:style>
  <w:style w:type="character" w:customStyle="1" w:styleId="357">
    <w:name w:val="页脚 Char"/>
    <w:link w:val="58"/>
    <w:autoRedefine/>
    <w:qFormat/>
    <w:uiPriority w:val="99"/>
    <w:rPr>
      <w:kern w:val="2"/>
      <w:sz w:val="18"/>
      <w:szCs w:val="18"/>
    </w:rPr>
  </w:style>
  <w:style w:type="character" w:customStyle="1" w:styleId="358">
    <w:name w:val="My标题1 Char"/>
    <w:link w:val="359"/>
    <w:autoRedefine/>
    <w:qFormat/>
    <w:uiPriority w:val="0"/>
    <w:rPr>
      <w:rFonts w:ascii="Arial" w:hAnsi="Arial"/>
      <w:b/>
      <w:kern w:val="44"/>
      <w:sz w:val="32"/>
    </w:rPr>
  </w:style>
  <w:style w:type="paragraph" w:customStyle="1" w:styleId="359">
    <w:name w:val="My标题1"/>
    <w:basedOn w:val="5"/>
    <w:next w:val="1"/>
    <w:link w:val="358"/>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autoRedefine/>
    <w:qFormat/>
    <w:uiPriority w:val="0"/>
    <w:rPr>
      <w:rFonts w:hAnsi="宋体"/>
      <w:sz w:val="24"/>
      <w:lang w:bidi="ar-SA"/>
    </w:rPr>
  </w:style>
  <w:style w:type="paragraph" w:customStyle="1" w:styleId="361">
    <w:name w:val="FA正文"/>
    <w:basedOn w:val="1"/>
    <w:link w:val="360"/>
    <w:autoRedefine/>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3">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autoRedefine/>
    <w:qFormat/>
    <w:uiPriority w:val="0"/>
    <w:pPr>
      <w:ind w:firstLine="480" w:firstLineChars="200"/>
    </w:pPr>
    <w:rPr>
      <w:rFonts w:cs="宋体"/>
      <w:szCs w:val="20"/>
    </w:rPr>
  </w:style>
  <w:style w:type="paragraph" w:customStyle="1" w:styleId="365">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7">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7"/>
    <w:autoRedefine/>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autoRedefine/>
    <w:qFormat/>
    <w:uiPriority w:val="0"/>
    <w:pPr>
      <w:spacing w:beforeLines="40" w:afterLines="40"/>
    </w:pPr>
  </w:style>
  <w:style w:type="paragraph" w:customStyle="1" w:styleId="370">
    <w:name w:val="标题 37"/>
    <w:basedOn w:val="1"/>
    <w:autoRedefine/>
    <w:qFormat/>
    <w:uiPriority w:val="0"/>
    <w:pPr>
      <w:adjustRightInd w:val="0"/>
      <w:snapToGrid w:val="0"/>
      <w:ind w:left="-2" w:leftChars="-1"/>
    </w:pPr>
    <w:rPr>
      <w:rFonts w:ascii="Arial" w:hAnsi="Arial" w:cs="Arial"/>
    </w:rPr>
  </w:style>
  <w:style w:type="paragraph" w:customStyle="1" w:styleId="371">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autoRedefine/>
    <w:qFormat/>
    <w:uiPriority w:val="0"/>
    <w:pPr>
      <w:widowControl/>
      <w:spacing w:before="150" w:after="150"/>
      <w:jc w:val="left"/>
    </w:pPr>
    <w:rPr>
      <w:rFonts w:ascii="宋体" w:hAnsi="宋体" w:cs="宋体"/>
      <w:kern w:val="0"/>
    </w:rPr>
  </w:style>
  <w:style w:type="paragraph" w:customStyle="1" w:styleId="373">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50"/>
    <w:autoRedefine/>
    <w:qFormat/>
    <w:uiPriority w:val="0"/>
    <w:pPr>
      <w:spacing w:beforeLines="0" w:afterLines="0" w:line="360" w:lineRule="auto"/>
      <w:jc w:val="left"/>
    </w:pPr>
    <w:rPr>
      <w:rFonts w:eastAsia="仿宋_GB2312" w:cs="Arial"/>
      <w:sz w:val="28"/>
      <w:szCs w:val="20"/>
    </w:rPr>
  </w:style>
  <w:style w:type="paragraph" w:customStyle="1" w:styleId="376">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autoRedefine/>
    <w:qFormat/>
    <w:uiPriority w:val="0"/>
    <w:pPr>
      <w:spacing w:after="120"/>
      <w:jc w:val="center"/>
    </w:pPr>
    <w:rPr>
      <w:szCs w:val="21"/>
    </w:rPr>
  </w:style>
  <w:style w:type="paragraph" w:customStyle="1" w:styleId="380">
    <w:name w:val="标题 01"/>
    <w:basedOn w:val="6"/>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3">
    <w:name w:val="此正文"/>
    <w:basedOn w:val="1"/>
    <w:autoRedefine/>
    <w:qFormat/>
    <w:uiPriority w:val="0"/>
    <w:pPr>
      <w:ind w:firstLine="200" w:firstLineChars="200"/>
    </w:pPr>
    <w:rPr>
      <w:szCs w:val="20"/>
    </w:rPr>
  </w:style>
  <w:style w:type="paragraph" w:customStyle="1" w:styleId="384">
    <w:name w:val="编号 2"/>
    <w:basedOn w:val="385"/>
    <w:autoRedefine/>
    <w:qFormat/>
    <w:uiPriority w:val="0"/>
    <w:pPr>
      <w:tabs>
        <w:tab w:val="left" w:pos="432"/>
      </w:tabs>
    </w:pPr>
    <w:rPr>
      <w:szCs w:val="20"/>
    </w:rPr>
  </w:style>
  <w:style w:type="paragraph" w:customStyle="1" w:styleId="385">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7">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autoRedefine/>
    <w:qFormat/>
    <w:uiPriority w:val="0"/>
    <w:pPr>
      <w:widowControl/>
      <w:spacing w:after="160" w:line="240" w:lineRule="exact"/>
      <w:jc w:val="left"/>
    </w:pPr>
    <w:rPr>
      <w:szCs w:val="20"/>
    </w:rPr>
  </w:style>
  <w:style w:type="paragraph" w:customStyle="1" w:styleId="389">
    <w:name w:val="Char Char5 Char Char Char Char"/>
    <w:basedOn w:val="1"/>
    <w:autoRedefine/>
    <w:qFormat/>
    <w:uiPriority w:val="0"/>
    <w:pPr>
      <w:spacing w:beforeLines="40" w:afterLines="40"/>
    </w:pPr>
    <w:rPr>
      <w:rFonts w:ascii="Tahoma" w:hAnsi="Tahoma"/>
      <w:sz w:val="36"/>
      <w:szCs w:val="36"/>
    </w:rPr>
  </w:style>
  <w:style w:type="paragraph" w:customStyle="1" w:styleId="390">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7"/>
    <w:autoRedefine/>
    <w:qFormat/>
    <w:uiPriority w:val="0"/>
    <w:pPr>
      <w:suppressLineNumbers/>
      <w:suppressAutoHyphens/>
    </w:pPr>
    <w:rPr>
      <w:kern w:val="1"/>
      <w:sz w:val="21"/>
      <w:lang w:eastAsia="ar-SA"/>
    </w:rPr>
  </w:style>
  <w:style w:type="paragraph" w:customStyle="1" w:styleId="396">
    <w:name w:val="中文标题 1"/>
    <w:basedOn w:val="40"/>
    <w:next w:val="40"/>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autoRedefine/>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11"/>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autoRedefine/>
    <w:qFormat/>
    <w:uiPriority w:val="0"/>
    <w:rPr>
      <w:rFonts w:ascii="Tahoma" w:hAnsi="Tahoma"/>
      <w:sz w:val="36"/>
      <w:szCs w:val="36"/>
    </w:rPr>
  </w:style>
  <w:style w:type="paragraph" w:customStyle="1" w:styleId="402">
    <w:name w:val="普通 (Web)"/>
    <w:basedOn w:val="1"/>
    <w:autoRedefine/>
    <w:qFormat/>
    <w:uiPriority w:val="0"/>
    <w:pPr>
      <w:widowControl/>
      <w:spacing w:beforeLines="40" w:afterLines="40"/>
      <w:jc w:val="left"/>
    </w:pPr>
    <w:rPr>
      <w:rFonts w:ascii="宋体" w:hAnsi="宋体"/>
      <w:kern w:val="0"/>
    </w:rPr>
  </w:style>
  <w:style w:type="paragraph" w:customStyle="1" w:styleId="403">
    <w:name w:val="标题5，章节第五层"/>
    <w:basedOn w:val="1"/>
    <w:next w:val="233"/>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autoRedefine/>
    <w:qFormat/>
    <w:uiPriority w:val="0"/>
    <w:rPr>
      <w:rFonts w:ascii="仿宋_GB2312" w:eastAsia="仿宋_GB2312"/>
      <w:b/>
      <w:sz w:val="32"/>
      <w:szCs w:val="32"/>
    </w:rPr>
  </w:style>
  <w:style w:type="paragraph" w:customStyle="1" w:styleId="405">
    <w:name w:val="标题2，章节第二层"/>
    <w:basedOn w:val="1"/>
    <w:next w:val="233"/>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autoRedefine/>
    <w:qFormat/>
    <w:uiPriority w:val="0"/>
    <w:pPr>
      <w:spacing w:beforeLines="50" w:afterLines="50"/>
      <w:ind w:firstLine="420" w:firstLineChars="200"/>
    </w:pPr>
  </w:style>
  <w:style w:type="paragraph" w:customStyle="1" w:styleId="407">
    <w:name w:val="样式 标题 2 + (中文) 黑体 四号 黑色"/>
    <w:basedOn w:val="6"/>
    <w:autoRedefine/>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9">
    <w:name w:val="图"/>
    <w:basedOn w:val="1"/>
    <w:autoRedefine/>
    <w:qFormat/>
    <w:uiPriority w:val="0"/>
    <w:pPr>
      <w:spacing w:beforeLines="40" w:afterLines="40"/>
      <w:jc w:val="center"/>
    </w:pPr>
    <w:rPr>
      <w:sz w:val="28"/>
    </w:rPr>
  </w:style>
  <w:style w:type="paragraph" w:customStyle="1" w:styleId="410">
    <w:name w:val="段 1"/>
    <w:basedOn w:val="1"/>
    <w:autoRedefine/>
    <w:qFormat/>
    <w:uiPriority w:val="0"/>
    <w:rPr>
      <w:b/>
      <w:bCs/>
    </w:rPr>
  </w:style>
  <w:style w:type="paragraph" w:customStyle="1" w:styleId="411">
    <w:name w:val="样式 文档正文 + 首行缩进:  2 字符2"/>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autoRedefine/>
    <w:qFormat/>
    <w:uiPriority w:val="0"/>
    <w:pPr>
      <w:spacing w:line="360" w:lineRule="atLeast"/>
    </w:pPr>
    <w:rPr>
      <w:szCs w:val="20"/>
    </w:rPr>
  </w:style>
  <w:style w:type="paragraph" w:customStyle="1" w:styleId="413">
    <w:name w:val="My标题4"/>
    <w:basedOn w:val="10"/>
    <w:next w:val="1"/>
    <w:autoRedefine/>
    <w:qFormat/>
    <w:uiPriority w:val="0"/>
    <w:pPr>
      <w:tabs>
        <w:tab w:val="left" w:pos="851"/>
        <w:tab w:val="clear" w:pos="720"/>
      </w:tabs>
      <w:ind w:left="851" w:hanging="851"/>
    </w:pPr>
    <w:rPr>
      <w:b w:val="0"/>
      <w:bCs w:val="0"/>
      <w:kern w:val="0"/>
      <w:sz w:val="24"/>
    </w:rPr>
  </w:style>
  <w:style w:type="paragraph" w:customStyle="1" w:styleId="414">
    <w:name w:val="方案正文"/>
    <w:basedOn w:val="1"/>
    <w:autoRedefine/>
    <w:qFormat/>
    <w:uiPriority w:val="0"/>
    <w:pPr>
      <w:spacing w:beforeLines="50" w:line="300" w:lineRule="auto"/>
      <w:ind w:left="210" w:leftChars="100" w:firstLine="480" w:firstLineChars="200"/>
    </w:pPr>
    <w:rPr>
      <w:color w:val="000000"/>
    </w:rPr>
  </w:style>
  <w:style w:type="paragraph" w:customStyle="1" w:styleId="415">
    <w:name w:val="附录图标题"/>
    <w:next w:val="324"/>
    <w:autoRedefine/>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autoRedefine/>
    <w:qFormat/>
    <w:uiPriority w:val="0"/>
    <w:pPr>
      <w:spacing w:beforeLines="40" w:afterLines="40"/>
      <w:ind w:firstLine="420"/>
    </w:p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autoRedefine/>
    <w:qFormat/>
    <w:uiPriority w:val="0"/>
    <w:pPr>
      <w:ind w:firstLine="480" w:firstLineChars="200"/>
    </w:pPr>
    <w:rPr>
      <w:rFonts w:ascii="Arial" w:hAnsi="Arial"/>
      <w:szCs w:val="21"/>
    </w:rPr>
  </w:style>
  <w:style w:type="paragraph" w:customStyle="1" w:styleId="420">
    <w:name w:val="标题1，章节第一层"/>
    <w:basedOn w:val="1"/>
    <w:next w:val="233"/>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3">
    <w:name w:val="数标题1"/>
    <w:basedOn w:val="1"/>
    <w:autoRedefine/>
    <w:qFormat/>
    <w:uiPriority w:val="0"/>
    <w:pPr>
      <w:tabs>
        <w:tab w:val="left" w:pos="1440"/>
      </w:tabs>
      <w:adjustRightInd w:val="0"/>
      <w:spacing w:beforeLines="40" w:afterLines="40"/>
    </w:pPr>
    <w:rPr>
      <w:b/>
      <w:kern w:val="0"/>
      <w:szCs w:val="20"/>
    </w:rPr>
  </w:style>
  <w:style w:type="paragraph" w:customStyle="1" w:styleId="424">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autoRedefine/>
    <w:qFormat/>
    <w:uiPriority w:val="0"/>
    <w:pPr>
      <w:spacing w:beforeLines="40" w:afterLines="40"/>
    </w:pPr>
    <w:rPr>
      <w:sz w:val="18"/>
      <w:szCs w:val="18"/>
    </w:rPr>
  </w:style>
  <w:style w:type="paragraph" w:customStyle="1" w:styleId="426">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2"/>
    <w:autoRedefine/>
    <w:qFormat/>
    <w:uiPriority w:val="0"/>
    <w:pPr>
      <w:tabs>
        <w:tab w:val="clear" w:pos="1008"/>
      </w:tabs>
      <w:ind w:left="0" w:firstLine="0"/>
    </w:pPr>
    <w:rPr>
      <w:b w:val="0"/>
      <w:sz w:val="24"/>
    </w:rPr>
  </w:style>
  <w:style w:type="paragraph" w:customStyle="1" w:styleId="428">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autoRedefine/>
    <w:qFormat/>
    <w:uiPriority w:val="0"/>
    <w:pPr>
      <w:tabs>
        <w:tab w:val="left" w:pos="900"/>
      </w:tabs>
      <w:ind w:left="309" w:firstLine="0" w:firstLineChars="0"/>
    </w:pPr>
  </w:style>
  <w:style w:type="paragraph" w:customStyle="1" w:styleId="433">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autoRedefine/>
    <w:qFormat/>
    <w:uiPriority w:val="0"/>
    <w:pPr>
      <w:spacing w:beforeLines="40" w:afterLines="40"/>
      <w:ind w:left="945"/>
    </w:pPr>
  </w:style>
  <w:style w:type="paragraph" w:customStyle="1" w:styleId="436">
    <w:name w:val="标记1"/>
    <w:basedOn w:val="1"/>
    <w:autoRedefine/>
    <w:qFormat/>
    <w:uiPriority w:val="0"/>
    <w:pPr>
      <w:spacing w:beforeLines="40" w:afterLines="40"/>
    </w:pPr>
    <w:rPr>
      <w:rFonts w:eastAsia="楷体_GB2312"/>
      <w:b/>
      <w:bCs/>
      <w:sz w:val="28"/>
      <w:szCs w:val="20"/>
    </w:rPr>
  </w:style>
  <w:style w:type="paragraph" w:customStyle="1" w:styleId="437">
    <w:name w:val="注："/>
    <w:next w:val="324"/>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autoRedefine/>
    <w:qFormat/>
    <w:uiPriority w:val="0"/>
    <w:pPr>
      <w:ind w:firstLine="200" w:firstLineChars="200"/>
      <w:jc w:val="both"/>
    </w:pPr>
  </w:style>
  <w:style w:type="paragraph" w:customStyle="1" w:styleId="443">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4">
    <w:name w:val="编号小标题"/>
    <w:basedOn w:val="445"/>
    <w:autoRedefine/>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autoRedefine/>
    <w:qFormat/>
    <w:uiPriority w:val="0"/>
    <w:pPr>
      <w:tabs>
        <w:tab w:val="left" w:pos="900"/>
        <w:tab w:val="left" w:pos="1320"/>
      </w:tabs>
      <w:spacing w:beforeLines="40" w:afterLines="40"/>
      <w:ind w:left="1320"/>
    </w:pPr>
  </w:style>
  <w:style w:type="paragraph" w:customStyle="1" w:styleId="448">
    <w:name w:val="符号 1"/>
    <w:basedOn w:val="40"/>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autoRedefine/>
    <w:qFormat/>
    <w:uiPriority w:val="0"/>
  </w:style>
  <w:style w:type="paragraph" w:customStyle="1" w:styleId="450">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1">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autoRedefine/>
    <w:qFormat/>
    <w:uiPriority w:val="0"/>
    <w:pPr>
      <w:spacing w:line="312" w:lineRule="auto"/>
      <w:ind w:firstLine="202" w:firstLineChars="202"/>
    </w:pPr>
    <w:rPr>
      <w:rFonts w:cs="宋体"/>
      <w:szCs w:val="20"/>
    </w:rPr>
  </w:style>
  <w:style w:type="paragraph" w:customStyle="1" w:styleId="454">
    <w:name w:val="Style-正文"/>
    <w:basedOn w:val="1"/>
    <w:autoRedefine/>
    <w:qFormat/>
    <w:uiPriority w:val="0"/>
    <w:pPr>
      <w:ind w:firstLine="420"/>
    </w:pPr>
    <w:rPr>
      <w:rFonts w:ascii="宋体" w:hAnsi="宋体"/>
    </w:rPr>
  </w:style>
  <w:style w:type="paragraph" w:customStyle="1" w:styleId="455">
    <w:name w:val="_"/>
    <w:basedOn w:val="1"/>
    <w:autoRedefine/>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10"/>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autoRedefine/>
    <w:qFormat/>
    <w:uiPriority w:val="0"/>
    <w:pPr>
      <w:ind w:firstLine="0" w:firstLineChars="0"/>
      <w:jc w:val="center"/>
    </w:pPr>
    <w:rPr>
      <w:b/>
      <w:bCs/>
      <w:sz w:val="44"/>
    </w:rPr>
  </w:style>
  <w:style w:type="paragraph" w:customStyle="1" w:styleId="458">
    <w:name w:val="正文（首行缩进2字符）"/>
    <w:basedOn w:val="1"/>
    <w:autoRedefine/>
    <w:qFormat/>
    <w:uiPriority w:val="0"/>
    <w:pPr>
      <w:ind w:firstLine="480" w:firstLineChars="200"/>
    </w:pPr>
    <w:rPr>
      <w:szCs w:val="20"/>
    </w:rPr>
  </w:style>
  <w:style w:type="paragraph" w:customStyle="1" w:styleId="459">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1">
    <w:name w:val="数字标题2"/>
    <w:basedOn w:val="6"/>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5">
    <w:name w:val="标题 0（绿盟科技）"/>
    <w:basedOn w:val="86"/>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10"/>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autoRedefine/>
    <w:qFormat/>
    <w:uiPriority w:val="0"/>
    <w:rPr>
      <w:rFonts w:ascii="Tahoma" w:hAnsi="Tahoma"/>
      <w:sz w:val="36"/>
      <w:szCs w:val="36"/>
    </w:rPr>
  </w:style>
  <w:style w:type="paragraph" w:customStyle="1" w:styleId="474">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autoRedefine/>
    <w:qFormat/>
    <w:uiPriority w:val="0"/>
    <w:pPr>
      <w:tabs>
        <w:tab w:val="left" w:pos="420"/>
      </w:tabs>
      <w:spacing w:beforeLines="40" w:afterLines="40"/>
    </w:pPr>
  </w:style>
  <w:style w:type="paragraph" w:customStyle="1" w:styleId="478">
    <w:name w:val="样式 文档正文 + 首行缩进:  2 字符"/>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autoRedefine/>
    <w:qFormat/>
    <w:uiPriority w:val="0"/>
    <w:pPr>
      <w:spacing w:beforeLines="40" w:afterLines="40"/>
    </w:pPr>
  </w:style>
  <w:style w:type="paragraph" w:customStyle="1" w:styleId="4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autoRedefine/>
    <w:qFormat/>
    <w:uiPriority w:val="0"/>
    <w:pPr>
      <w:tabs>
        <w:tab w:val="left" w:pos="1260"/>
      </w:tabs>
      <w:ind w:left="1260" w:hanging="420"/>
    </w:pPr>
  </w:style>
  <w:style w:type="paragraph" w:customStyle="1" w:styleId="484">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autoRedefine/>
    <w:qFormat/>
    <w:uiPriority w:val="0"/>
    <w:pPr>
      <w:spacing w:beforeLines="40" w:afterLines="40"/>
    </w:pPr>
    <w:rPr>
      <w:rFonts w:ascii="仿宋_GB2312"/>
      <w:b/>
      <w:sz w:val="30"/>
      <w:szCs w:val="32"/>
    </w:rPr>
  </w:style>
  <w:style w:type="paragraph" w:customStyle="1" w:styleId="487">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6"/>
    <w:autoRedefine/>
    <w:qFormat/>
    <w:uiPriority w:val="0"/>
    <w:pPr>
      <w:spacing w:line="360" w:lineRule="auto"/>
    </w:pPr>
    <w:rPr>
      <w:rFonts w:eastAsia="仿宋_GB2312"/>
      <w:bCs w:val="0"/>
      <w:sz w:val="28"/>
    </w:rPr>
  </w:style>
  <w:style w:type="paragraph" w:customStyle="1" w:styleId="489">
    <w:name w:val="贷方"/>
    <w:basedOn w:val="1"/>
    <w:autoRedefine/>
    <w:qFormat/>
    <w:uiPriority w:val="0"/>
    <w:pPr>
      <w:ind w:left="1890" w:leftChars="900"/>
    </w:pPr>
  </w:style>
  <w:style w:type="paragraph" w:customStyle="1" w:styleId="490">
    <w:name w:val="数字标题3"/>
    <w:basedOn w:val="10"/>
    <w:next w:val="1"/>
    <w:autoRedefine/>
    <w:qFormat/>
    <w:uiPriority w:val="0"/>
    <w:pPr>
      <w:spacing w:line="240" w:lineRule="auto"/>
      <w:ind w:left="0" w:firstLine="0"/>
    </w:pPr>
    <w:rPr>
      <w:kern w:val="0"/>
      <w:sz w:val="28"/>
      <w:szCs w:val="28"/>
    </w:rPr>
  </w:style>
  <w:style w:type="paragraph" w:customStyle="1" w:styleId="491">
    <w:name w:val="文本框内文字"/>
    <w:basedOn w:val="1"/>
    <w:autoRedefine/>
    <w:qFormat/>
    <w:uiPriority w:val="0"/>
    <w:pPr>
      <w:spacing w:line="0" w:lineRule="atLeast"/>
    </w:pPr>
    <w:rPr>
      <w:rFonts w:eastAsia="仿宋_GB2312"/>
      <w:sz w:val="22"/>
    </w:rPr>
  </w:style>
  <w:style w:type="paragraph" w:customStyle="1" w:styleId="492">
    <w:name w:val="文本框文字"/>
    <w:basedOn w:val="1"/>
    <w:autoRedefine/>
    <w:qFormat/>
    <w:uiPriority w:val="0"/>
    <w:pPr>
      <w:adjustRightInd w:val="0"/>
      <w:snapToGrid w:val="0"/>
      <w:spacing w:beforeLines="40" w:afterLines="40"/>
    </w:pPr>
    <w:rPr>
      <w:rFonts w:cs="Angsana New"/>
    </w:rPr>
  </w:style>
  <w:style w:type="paragraph" w:customStyle="1" w:styleId="493">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5">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autoRedefine/>
    <w:qFormat/>
    <w:uiPriority w:val="0"/>
    <w:pPr>
      <w:tabs>
        <w:tab w:val="left" w:pos="1542"/>
      </w:tabs>
      <w:ind w:left="500" w:firstLine="0" w:firstLineChars="0"/>
    </w:pPr>
    <w:rPr>
      <w:szCs w:val="28"/>
    </w:rPr>
  </w:style>
  <w:style w:type="paragraph" w:customStyle="1" w:styleId="49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0">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autoRedefine/>
    <w:qFormat/>
    <w:uiPriority w:val="0"/>
    <w:pPr>
      <w:adjustRightInd w:val="0"/>
    </w:pPr>
    <w:rPr>
      <w:szCs w:val="20"/>
    </w:rPr>
  </w:style>
  <w:style w:type="paragraph" w:customStyle="1" w:styleId="503">
    <w:name w:val="正文1"/>
    <w:basedOn w:val="1"/>
    <w:autoRedefine/>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2"/>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6"/>
    <w:autoRedefine/>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autoRedefine/>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6"/>
    <w:autoRedefine/>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autoRedefine/>
    <w:qFormat/>
    <w:uiPriority w:val="0"/>
    <w:pPr>
      <w:jc w:val="center"/>
    </w:pPr>
    <w:rPr>
      <w:b/>
      <w:bCs/>
      <w:i/>
      <w:iCs/>
    </w:rPr>
  </w:style>
  <w:style w:type="paragraph" w:customStyle="1" w:styleId="510">
    <w:name w:val="Char1"/>
    <w:basedOn w:val="1"/>
    <w:autoRedefine/>
    <w:qFormat/>
    <w:uiPriority w:val="0"/>
    <w:rPr>
      <w:rFonts w:ascii="Tahoma" w:hAnsi="Tahoma"/>
      <w:szCs w:val="20"/>
    </w:rPr>
  </w:style>
  <w:style w:type="paragraph" w:customStyle="1" w:styleId="511">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50"/>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autoRedefine/>
    <w:qFormat/>
    <w:uiPriority w:val="0"/>
    <w:pPr>
      <w:spacing w:afterLines="50"/>
      <w:ind w:firstLine="560" w:firstLineChars="200"/>
    </w:pPr>
    <w:rPr>
      <w:rFonts w:cs="宋体"/>
      <w:sz w:val="28"/>
      <w:szCs w:val="20"/>
    </w:rPr>
  </w:style>
  <w:style w:type="paragraph" w:customStyle="1" w:styleId="5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10"/>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autoRedefine/>
    <w:qFormat/>
    <w:uiPriority w:val="0"/>
    <w:rPr>
      <w:rFonts w:ascii="仿宋_GB2312"/>
      <w:b/>
      <w:sz w:val="30"/>
      <w:szCs w:val="32"/>
    </w:rPr>
  </w:style>
  <w:style w:type="paragraph" w:customStyle="1" w:styleId="52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autoRedefine/>
    <w:qFormat/>
    <w:uiPriority w:val="0"/>
    <w:rPr>
      <w:rFonts w:ascii="Tahoma" w:hAnsi="Tahoma"/>
      <w:sz w:val="36"/>
      <w:szCs w:val="36"/>
    </w:rPr>
  </w:style>
  <w:style w:type="paragraph" w:customStyle="1" w:styleId="525">
    <w:name w:val="附图居中"/>
    <w:basedOn w:val="1"/>
    <w:next w:val="526"/>
    <w:autoRedefine/>
    <w:qFormat/>
    <w:uiPriority w:val="0"/>
    <w:pPr>
      <w:keepNext/>
      <w:jc w:val="center"/>
    </w:pPr>
  </w:style>
  <w:style w:type="paragraph" w:customStyle="1" w:styleId="526">
    <w:name w:val="附图标题"/>
    <w:basedOn w:val="1"/>
    <w:next w:val="27"/>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autoRedefine/>
    <w:qFormat/>
    <w:uiPriority w:val="0"/>
    <w:pPr>
      <w:spacing w:beforeLines="40" w:afterLines="40"/>
      <w:jc w:val="center"/>
    </w:pPr>
    <w:rPr>
      <w:szCs w:val="20"/>
    </w:rPr>
  </w:style>
  <w:style w:type="paragraph" w:customStyle="1" w:styleId="528">
    <w:name w:val="Char Char31"/>
    <w:basedOn w:val="1"/>
    <w:autoRedefine/>
    <w:qFormat/>
    <w:uiPriority w:val="0"/>
    <w:pPr>
      <w:spacing w:beforeLines="40" w:afterLines="40"/>
    </w:pPr>
    <w:rPr>
      <w:rFonts w:ascii="Tahoma" w:hAnsi="Tahoma"/>
      <w:sz w:val="36"/>
      <w:szCs w:val="36"/>
    </w:rPr>
  </w:style>
  <w:style w:type="paragraph" w:customStyle="1" w:styleId="529">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1">
    <w:name w:val="Tabletext"/>
    <w:basedOn w:val="1"/>
    <w:autoRedefine/>
    <w:qFormat/>
    <w:uiPriority w:val="0"/>
    <w:pPr>
      <w:keepLines/>
      <w:spacing w:afterLines="50"/>
      <w:jc w:val="left"/>
    </w:pPr>
    <w:rPr>
      <w:rFonts w:ascii="宋体"/>
      <w:snapToGrid w:val="0"/>
      <w:kern w:val="0"/>
      <w:szCs w:val="20"/>
    </w:rPr>
  </w:style>
  <w:style w:type="paragraph" w:customStyle="1" w:styleId="532">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3">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5"/>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10"/>
    <w:autoRedefine/>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autoRedefine/>
    <w:qFormat/>
    <w:uiPriority w:val="0"/>
    <w:pPr>
      <w:spacing w:line="312" w:lineRule="auto"/>
    </w:pPr>
  </w:style>
  <w:style w:type="paragraph" w:customStyle="1" w:styleId="540">
    <w:name w:val="无标题条"/>
    <w:next w:val="324"/>
    <w:autoRedefine/>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autoRedefine/>
    <w:qFormat/>
    <w:uiPriority w:val="0"/>
    <w:pPr>
      <w:spacing w:line="312" w:lineRule="auto"/>
    </w:pPr>
  </w:style>
  <w:style w:type="paragraph" w:customStyle="1" w:styleId="545">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7">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autoRedefine/>
    <w:qFormat/>
    <w:uiPriority w:val="0"/>
    <w:pPr>
      <w:spacing w:beforeLines="40" w:afterLines="40"/>
    </w:pPr>
    <w:rPr>
      <w:rFonts w:ascii="Tahoma" w:hAnsi="Tahoma"/>
      <w:szCs w:val="20"/>
    </w:rPr>
  </w:style>
  <w:style w:type="paragraph" w:customStyle="1" w:styleId="5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autoRedefine/>
    <w:qFormat/>
    <w:uiPriority w:val="0"/>
    <w:pPr>
      <w:tabs>
        <w:tab w:val="left" w:pos="992"/>
      </w:tabs>
      <w:ind w:left="992" w:hanging="992"/>
    </w:pPr>
  </w:style>
  <w:style w:type="paragraph" w:customStyle="1" w:styleId="552">
    <w:name w:val="样式 标题 3Chapter X.X.X. + 段后: 0.5 行"/>
    <w:basedOn w:val="1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autoRedefine/>
    <w:qFormat/>
    <w:uiPriority w:val="0"/>
    <w:rPr>
      <w:rFonts w:ascii="Tahoma" w:hAnsi="Tahoma"/>
      <w:sz w:val="36"/>
      <w:szCs w:val="36"/>
    </w:rPr>
  </w:style>
  <w:style w:type="paragraph" w:customStyle="1" w:styleId="555">
    <w:name w:val="pa-17"/>
    <w:basedOn w:val="1"/>
    <w:autoRedefine/>
    <w:qFormat/>
    <w:uiPriority w:val="0"/>
    <w:pPr>
      <w:widowControl/>
      <w:spacing w:before="150" w:after="150"/>
      <w:jc w:val="left"/>
    </w:pPr>
    <w:rPr>
      <w:rFonts w:ascii="宋体" w:hAnsi="宋体" w:cs="宋体"/>
      <w:kern w:val="0"/>
    </w:rPr>
  </w:style>
  <w:style w:type="paragraph" w:customStyle="1" w:styleId="556">
    <w:name w:val="Paragraph4"/>
    <w:basedOn w:val="1"/>
    <w:autoRedefine/>
    <w:qFormat/>
    <w:uiPriority w:val="0"/>
    <w:pPr>
      <w:spacing w:before="80" w:afterLines="50"/>
      <w:ind w:left="2250"/>
    </w:pPr>
    <w:rPr>
      <w:rFonts w:ascii="宋体"/>
      <w:snapToGrid w:val="0"/>
      <w:kern w:val="0"/>
      <w:szCs w:val="20"/>
    </w:rPr>
  </w:style>
  <w:style w:type="paragraph" w:customStyle="1" w:styleId="55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autoRedefine/>
    <w:qFormat/>
    <w:uiPriority w:val="0"/>
    <w:pPr>
      <w:spacing w:beforeLines="40" w:afterLines="40"/>
      <w:ind w:firstLine="480"/>
    </w:pPr>
    <w:rPr>
      <w:szCs w:val="20"/>
    </w:rPr>
  </w:style>
  <w:style w:type="paragraph" w:customStyle="1" w:styleId="559">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autoRedefine/>
    <w:qFormat/>
    <w:uiPriority w:val="0"/>
    <w:pPr>
      <w:jc w:val="center"/>
    </w:pPr>
    <w:rPr>
      <w:rFonts w:ascii="宋体" w:hAnsi="宋体" w:cs="宋体"/>
      <w:sz w:val="30"/>
      <w:szCs w:val="20"/>
    </w:rPr>
  </w:style>
  <w:style w:type="paragraph" w:customStyle="1" w:styleId="563">
    <w:name w:val="正文--表格内正文"/>
    <w:basedOn w:val="1"/>
    <w:autoRedefine/>
    <w:qFormat/>
    <w:uiPriority w:val="0"/>
    <w:pPr>
      <w:spacing w:beforeLines="50" w:line="0" w:lineRule="atLeast"/>
      <w:jc w:val="center"/>
    </w:pPr>
    <w:rPr>
      <w:rFonts w:ascii="宋体" w:hAnsi="宋体"/>
    </w:rPr>
  </w:style>
  <w:style w:type="paragraph" w:customStyle="1" w:styleId="564">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autoRedefine/>
    <w:qFormat/>
    <w:uiPriority w:val="0"/>
    <w:pPr>
      <w:tabs>
        <w:tab w:val="left" w:pos="576"/>
      </w:tabs>
      <w:spacing w:after="120"/>
    </w:pPr>
  </w:style>
  <w:style w:type="paragraph" w:customStyle="1" w:styleId="567">
    <w:name w:val="样式 标题 2"/>
    <w:basedOn w:val="6"/>
    <w:next w:val="568"/>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autoRedefine/>
    <w:qFormat/>
    <w:uiPriority w:val="0"/>
    <w:pPr>
      <w:tabs>
        <w:tab w:val="left" w:pos="720"/>
      </w:tabs>
      <w:spacing w:after="120"/>
    </w:pPr>
  </w:style>
  <w:style w:type="paragraph" w:customStyle="1" w:styleId="569">
    <w:name w:val="样式 标题 3"/>
    <w:basedOn w:val="10"/>
    <w:next w:val="57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autoRedefine/>
    <w:qFormat/>
    <w:uiPriority w:val="0"/>
    <w:pPr>
      <w:tabs>
        <w:tab w:val="left" w:pos="864"/>
        <w:tab w:val="left" w:pos="2100"/>
      </w:tabs>
      <w:spacing w:after="120"/>
      <w:ind w:left="0" w:firstLine="0"/>
    </w:pPr>
  </w:style>
  <w:style w:type="paragraph" w:customStyle="1" w:styleId="571">
    <w:name w:val="样式 标题 4"/>
    <w:basedOn w:val="572"/>
    <w:next w:val="573"/>
    <w:autoRedefine/>
    <w:qFormat/>
    <w:uiPriority w:val="0"/>
    <w:pPr>
      <w:tabs>
        <w:tab w:val="left" w:pos="864"/>
        <w:tab w:val="left" w:pos="2100"/>
      </w:tabs>
      <w:spacing w:after="50"/>
      <w:ind w:left="2100" w:hanging="420"/>
    </w:pPr>
  </w:style>
  <w:style w:type="paragraph" w:customStyle="1" w:styleId="572">
    <w:name w:val="样式 标题 4Chapter X.X.X.X. + 段后: 0.5 行1"/>
    <w:basedOn w:val="399"/>
    <w:autoRedefine/>
    <w:qFormat/>
    <w:uiPriority w:val="0"/>
    <w:pPr>
      <w:spacing w:after="120"/>
    </w:pPr>
  </w:style>
  <w:style w:type="paragraph" w:customStyle="1" w:styleId="573">
    <w:name w:val="样式 正文"/>
    <w:basedOn w:val="1"/>
    <w:next w:val="1"/>
    <w:autoRedefine/>
    <w:qFormat/>
    <w:uiPriority w:val="0"/>
    <w:pPr>
      <w:spacing w:afterLines="50"/>
      <w:jc w:val="left"/>
    </w:pPr>
    <w:rPr>
      <w:rFonts w:ascii="宋体" w:cs="宋体"/>
      <w:snapToGrid w:val="0"/>
      <w:kern w:val="0"/>
      <w:szCs w:val="20"/>
    </w:rPr>
  </w:style>
  <w:style w:type="paragraph" w:customStyle="1" w:styleId="574">
    <w:name w:val="Date1"/>
    <w:basedOn w:val="1"/>
    <w:next w:val="1"/>
    <w:autoRedefine/>
    <w:qFormat/>
    <w:uiPriority w:val="0"/>
    <w:pPr>
      <w:adjustRightInd w:val="0"/>
      <w:spacing w:beforeLines="40" w:afterLines="40" w:line="312" w:lineRule="atLeast"/>
    </w:pPr>
    <w:rPr>
      <w:kern w:val="0"/>
      <w:szCs w:val="20"/>
    </w:rPr>
  </w:style>
  <w:style w:type="paragraph" w:customStyle="1" w:styleId="575">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autoRedefine/>
    <w:semiHidden/>
    <w:qFormat/>
    <w:uiPriority w:val="0"/>
  </w:style>
  <w:style w:type="paragraph" w:customStyle="1" w:styleId="578">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autoRedefine/>
    <w:qFormat/>
    <w:uiPriority w:val="0"/>
    <w:pPr>
      <w:adjustRightInd w:val="0"/>
      <w:snapToGrid w:val="0"/>
      <w:ind w:left="-2" w:leftChars="-1"/>
    </w:pPr>
    <w:rPr>
      <w:rFonts w:ascii="Arial" w:hAnsi="Arial" w:cs="Arial"/>
    </w:rPr>
  </w:style>
  <w:style w:type="paragraph" w:customStyle="1" w:styleId="582">
    <w:name w:val="样式　标题4"/>
    <w:basedOn w:val="583"/>
    <w:next w:val="1"/>
    <w:autoRedefine/>
    <w:qFormat/>
    <w:uiPriority w:val="0"/>
    <w:pPr>
      <w:tabs>
        <w:tab w:val="left" w:pos="864"/>
      </w:tabs>
    </w:pPr>
  </w:style>
  <w:style w:type="paragraph" w:customStyle="1" w:styleId="583">
    <w:name w:val="样式 标题 4Chapter X.X.X. + 段后: 0.5 行1"/>
    <w:basedOn w:val="11"/>
    <w:next w:val="11"/>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autoRedefine/>
    <w:qFormat/>
    <w:uiPriority w:val="0"/>
    <w:pPr>
      <w:widowControl/>
    </w:pPr>
    <w:rPr>
      <w:kern w:val="0"/>
      <w:szCs w:val="20"/>
    </w:rPr>
  </w:style>
  <w:style w:type="paragraph" w:customStyle="1" w:styleId="58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6"/>
    <w:autoRedefine/>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autoRedefine/>
    <w:qFormat/>
    <w:uiPriority w:val="0"/>
    <w:pPr>
      <w:spacing w:beforeLines="40" w:afterLines="40"/>
    </w:pPr>
  </w:style>
  <w:style w:type="paragraph" w:customStyle="1" w:styleId="592">
    <w:name w:val="List Paragraph1"/>
    <w:basedOn w:val="1"/>
    <w:autoRedefine/>
    <w:qFormat/>
    <w:uiPriority w:val="0"/>
    <w:pPr>
      <w:ind w:firstLine="420" w:firstLineChars="200"/>
    </w:pPr>
  </w:style>
  <w:style w:type="paragraph" w:customStyle="1" w:styleId="593">
    <w:name w:val="样式 标题 7标题 7 Char2标题 7 Char Char1标题 7 Char1 Char Char1标题 7 Ch..."/>
    <w:basedOn w:val="13"/>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8"/>
    <w:autoRedefine/>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autoRedefine/>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7">
    <w:name w:val="正文段"/>
    <w:basedOn w:val="1"/>
    <w:autoRedefine/>
    <w:qFormat/>
    <w:uiPriority w:val="0"/>
    <w:pPr>
      <w:widowControl/>
      <w:snapToGrid w:val="0"/>
      <w:spacing w:afterLines="50"/>
      <w:ind w:firstLine="200" w:firstLineChars="200"/>
    </w:pPr>
    <w:rPr>
      <w:kern w:val="0"/>
      <w:szCs w:val="20"/>
    </w:rPr>
  </w:style>
  <w:style w:type="paragraph" w:customStyle="1" w:styleId="598">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autoRedefine/>
    <w:qFormat/>
    <w:uiPriority w:val="0"/>
    <w:pPr>
      <w:ind w:firstLine="561"/>
      <w:outlineLvl w:val="1"/>
    </w:pPr>
  </w:style>
  <w:style w:type="paragraph" w:customStyle="1" w:styleId="602">
    <w:name w:val="公文标题 1"/>
    <w:basedOn w:val="353"/>
    <w:next w:val="353"/>
    <w:autoRedefine/>
    <w:qFormat/>
    <w:uiPriority w:val="0"/>
    <w:pPr>
      <w:ind w:firstLine="0" w:firstLineChars="0"/>
      <w:outlineLvl w:val="0"/>
    </w:pPr>
  </w:style>
  <w:style w:type="paragraph" w:customStyle="1" w:styleId="603">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autoRedefine/>
    <w:qFormat/>
    <w:uiPriority w:val="0"/>
    <w:pPr>
      <w:spacing w:line="240" w:lineRule="atLeast"/>
      <w:ind w:left="420" w:firstLine="420"/>
    </w:pPr>
  </w:style>
  <w:style w:type="paragraph" w:customStyle="1" w:styleId="605">
    <w:name w:val="需求正文"/>
    <w:basedOn w:val="1"/>
    <w:autoRedefine/>
    <w:qFormat/>
    <w:uiPriority w:val="0"/>
    <w:pPr>
      <w:spacing w:line="300" w:lineRule="auto"/>
      <w:ind w:firstLine="420" w:firstLineChars="200"/>
    </w:pPr>
    <w:rPr>
      <w:szCs w:val="20"/>
    </w:rPr>
  </w:style>
  <w:style w:type="paragraph" w:customStyle="1" w:styleId="606">
    <w:name w:val="列表段落1"/>
    <w:basedOn w:val="1"/>
    <w:autoRedefine/>
    <w:qFormat/>
    <w:uiPriority w:val="34"/>
    <w:pPr>
      <w:ind w:firstLine="420" w:firstLineChars="200"/>
    </w:pPr>
  </w:style>
  <w:style w:type="paragraph" w:customStyle="1" w:styleId="607">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8">
    <w:name w:val="S4-B-L15"/>
    <w:basedOn w:val="1"/>
    <w:autoRedefine/>
    <w:qFormat/>
    <w:uiPriority w:val="0"/>
    <w:rPr>
      <w:b/>
      <w:bCs/>
    </w:rPr>
  </w:style>
  <w:style w:type="paragraph" w:customStyle="1" w:styleId="609">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autoRedefine/>
    <w:qFormat/>
    <w:uiPriority w:val="0"/>
    <w:pPr>
      <w:spacing w:beforeLines="40" w:afterLines="40"/>
    </w:pPr>
    <w:rPr>
      <w:szCs w:val="20"/>
    </w:rPr>
  </w:style>
  <w:style w:type="paragraph" w:customStyle="1" w:styleId="611">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autoRedefine/>
    <w:qFormat/>
    <w:uiPriority w:val="0"/>
    <w:pPr>
      <w:spacing w:beforeLines="40" w:afterLines="40"/>
      <w:jc w:val="center"/>
    </w:pPr>
    <w:rPr>
      <w:rFonts w:cs="Angsana New"/>
    </w:rPr>
  </w:style>
  <w:style w:type="paragraph" w:customStyle="1" w:styleId="613">
    <w:name w:val="文章正文"/>
    <w:basedOn w:val="1"/>
    <w:autoRedefine/>
    <w:qFormat/>
    <w:uiPriority w:val="0"/>
    <w:pPr>
      <w:spacing w:beforeLines="40" w:afterLines="40"/>
      <w:ind w:firstLine="420"/>
    </w:pPr>
  </w:style>
  <w:style w:type="paragraph" w:customStyle="1" w:styleId="614">
    <w:name w:val="样式 标题 2h2Level 2 Topic HeadingHD2Heading 2 HiddenHeading 2 ...1"/>
    <w:basedOn w:val="12"/>
    <w:next w:val="615"/>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2"/>
    <w:autoRedefine/>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10"/>
    <w:autoRedefine/>
    <w:qFormat/>
    <w:uiPriority w:val="0"/>
    <w:pPr>
      <w:ind w:left="0" w:firstLine="0"/>
    </w:pPr>
    <w:rPr>
      <w:rFonts w:ascii="Arial" w:hAnsi="Arial"/>
    </w:rPr>
  </w:style>
  <w:style w:type="paragraph" w:customStyle="1" w:styleId="61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10"/>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autoRedefine/>
    <w:qFormat/>
    <w:uiPriority w:val="0"/>
    <w:pPr>
      <w:adjustRightInd w:val="0"/>
      <w:snapToGrid w:val="0"/>
      <w:ind w:left="-2" w:leftChars="-1"/>
    </w:pPr>
    <w:rPr>
      <w:rFonts w:ascii="Arial" w:hAnsi="Arial" w:cs="Arial"/>
    </w:rPr>
  </w:style>
  <w:style w:type="paragraph" w:customStyle="1" w:styleId="624">
    <w:name w:val="我的标题5"/>
    <w:next w:val="332"/>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autoRedefine/>
    <w:qFormat/>
    <w:uiPriority w:val="0"/>
    <w:pPr>
      <w:spacing w:beforeLines="40" w:afterLines="40" w:line="300" w:lineRule="auto"/>
    </w:pPr>
    <w:rPr>
      <w:rFonts w:ascii="宋体" w:hAnsi="宋体" w:cs="宋体"/>
      <w:szCs w:val="20"/>
    </w:rPr>
  </w:style>
  <w:style w:type="paragraph" w:customStyle="1" w:styleId="632">
    <w:name w:val="linyang-正文"/>
    <w:basedOn w:val="1"/>
    <w:autoRedefine/>
    <w:qFormat/>
    <w:uiPriority w:val="0"/>
    <w:pPr>
      <w:spacing w:before="120" w:after="120" w:line="400" w:lineRule="exact"/>
      <w:ind w:firstLine="200" w:firstLineChars="200"/>
    </w:pPr>
  </w:style>
  <w:style w:type="paragraph" w:customStyle="1" w:styleId="633">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4"/>
    <w:autoRedefine/>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8">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6"/>
    <w:next w:val="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8"/>
    <w:autoRedefine/>
    <w:qFormat/>
    <w:uiPriority w:val="0"/>
    <w:pPr>
      <w:spacing w:beforeLines="40" w:afterLines="40"/>
    </w:pPr>
    <w:rPr>
      <w:rFonts w:ascii="宋体" w:hAnsi="宋体"/>
      <w:bCs/>
    </w:rPr>
  </w:style>
  <w:style w:type="paragraph" w:customStyle="1" w:styleId="641">
    <w:name w:val="附录章标题"/>
    <w:next w:val="324"/>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autoRedefine/>
    <w:qFormat/>
    <w:uiPriority w:val="0"/>
    <w:pPr>
      <w:spacing w:line="312" w:lineRule="auto"/>
    </w:pPr>
  </w:style>
  <w:style w:type="paragraph" w:customStyle="1" w:styleId="643">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3"/>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2">
    <w:name w:val="图表"/>
    <w:basedOn w:val="28"/>
    <w:next w:val="7"/>
    <w:autoRedefine/>
    <w:qFormat/>
    <w:uiPriority w:val="0"/>
    <w:pPr>
      <w:spacing w:beforeLines="40" w:afterLines="40"/>
      <w:ind w:firstLine="420"/>
      <w:jc w:val="center"/>
    </w:pPr>
    <w:rPr>
      <w:sz w:val="21"/>
      <w:szCs w:val="24"/>
    </w:rPr>
  </w:style>
  <w:style w:type="paragraph" w:customStyle="1" w:styleId="653">
    <w:name w:val="版本控制标题"/>
    <w:basedOn w:val="1"/>
    <w:autoRedefine/>
    <w:qFormat/>
    <w:uiPriority w:val="0"/>
    <w:pPr>
      <w:spacing w:before="156" w:after="156"/>
    </w:pPr>
    <w:rPr>
      <w:rFonts w:cs="宋体"/>
      <w:b/>
      <w:bCs/>
      <w:szCs w:val="20"/>
    </w:rPr>
  </w:style>
  <w:style w:type="paragraph" w:customStyle="1" w:styleId="65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autoRedefine/>
    <w:qFormat/>
    <w:uiPriority w:val="0"/>
    <w:pPr>
      <w:jc w:val="center"/>
    </w:pPr>
    <w:rPr>
      <w:rFonts w:cs="宋体"/>
      <w:b/>
      <w:bCs/>
      <w:szCs w:val="20"/>
    </w:rPr>
  </w:style>
  <w:style w:type="paragraph" w:customStyle="1" w:styleId="656">
    <w:name w:val="公文标题 4"/>
    <w:basedOn w:val="657"/>
    <w:next w:val="353"/>
    <w:autoRedefine/>
    <w:qFormat/>
    <w:uiPriority w:val="0"/>
    <w:pPr>
      <w:outlineLvl w:val="9"/>
    </w:pPr>
  </w:style>
  <w:style w:type="paragraph" w:customStyle="1" w:styleId="657">
    <w:name w:val="公文标题 3"/>
    <w:basedOn w:val="601"/>
    <w:next w:val="353"/>
    <w:autoRedefine/>
    <w:qFormat/>
    <w:uiPriority w:val="0"/>
    <w:pPr>
      <w:outlineLvl w:val="2"/>
    </w:pPr>
  </w:style>
  <w:style w:type="paragraph" w:customStyle="1" w:styleId="658">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autoRedefine/>
    <w:qFormat/>
    <w:uiPriority w:val="0"/>
  </w:style>
  <w:style w:type="paragraph" w:customStyle="1" w:styleId="661">
    <w:name w:val="表格1-1"/>
    <w:basedOn w:val="1"/>
    <w:autoRedefine/>
    <w:qFormat/>
    <w:uiPriority w:val="0"/>
    <w:pPr>
      <w:spacing w:beforeLines="40" w:afterLines="40"/>
    </w:pPr>
    <w:rPr>
      <w:szCs w:val="20"/>
    </w:rPr>
  </w:style>
  <w:style w:type="paragraph" w:customStyle="1" w:styleId="662">
    <w:name w:val="Proposals body"/>
    <w:basedOn w:val="1"/>
    <w:next w:val="1"/>
    <w:autoRedefine/>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autoRedefine/>
    <w:qFormat/>
    <w:uiPriority w:val="0"/>
    <w:rPr>
      <w:rFonts w:ascii="Tahoma" w:hAnsi="Tahoma"/>
      <w:szCs w:val="20"/>
    </w:rPr>
  </w:style>
  <w:style w:type="paragraph" w:customStyle="1" w:styleId="664">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6"/>
    <w:autoRedefine/>
    <w:qFormat/>
    <w:uiPriority w:val="0"/>
    <w:pPr>
      <w:spacing w:before="0" w:after="0" w:line="415" w:lineRule="auto"/>
    </w:pPr>
    <w:rPr>
      <w:rFonts w:ascii="宋体" w:hAnsi="宋体" w:eastAsia="仿宋_GB2312"/>
      <w:bCs w:val="0"/>
      <w:szCs w:val="20"/>
    </w:rPr>
  </w:style>
  <w:style w:type="paragraph" w:customStyle="1" w:styleId="668">
    <w:name w:val="正文（标题三）"/>
    <w:basedOn w:val="1"/>
    <w:autoRedefine/>
    <w:qFormat/>
    <w:uiPriority w:val="0"/>
    <w:pPr>
      <w:ind w:firstLine="200" w:firstLineChars="200"/>
    </w:pPr>
  </w:style>
  <w:style w:type="paragraph" w:customStyle="1" w:styleId="669">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autoRedefine/>
    <w:qFormat/>
    <w:uiPriority w:val="0"/>
    <w:pPr>
      <w:suppressAutoHyphens/>
      <w:spacing w:beforeLines="40" w:afterLines="40"/>
    </w:pPr>
    <w:rPr>
      <w:rFonts w:ascii="宋体" w:hAnsi="宋体"/>
      <w:szCs w:val="20"/>
    </w:rPr>
  </w:style>
  <w:style w:type="paragraph" w:customStyle="1" w:styleId="671">
    <w:name w:val="其他发布部门"/>
    <w:basedOn w:val="599"/>
    <w:autoRedefine/>
    <w:qFormat/>
    <w:uiPriority w:val="0"/>
    <w:pPr>
      <w:framePr w:wrap="around"/>
      <w:spacing w:line="0" w:lineRule="atLeast"/>
    </w:pPr>
    <w:rPr>
      <w:rFonts w:ascii="黑体" w:eastAsia="黑体"/>
      <w:b w:val="0"/>
    </w:rPr>
  </w:style>
  <w:style w:type="paragraph" w:customStyle="1" w:styleId="672">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7">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autoRedefine/>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autoRedefine/>
    <w:qFormat/>
    <w:uiPriority w:val="0"/>
    <w:pPr>
      <w:widowControl/>
      <w:spacing w:before="240" w:line="240" w:lineRule="atLeast"/>
      <w:jc w:val="left"/>
    </w:pPr>
    <w:rPr>
      <w:b/>
      <w:kern w:val="0"/>
      <w:szCs w:val="21"/>
      <w:lang w:val="en-AU" w:eastAsia="en-US"/>
    </w:rPr>
  </w:style>
  <w:style w:type="paragraph" w:customStyle="1" w:styleId="683">
    <w:name w:val="标题3"/>
    <w:basedOn w:val="10"/>
    <w:autoRedefine/>
    <w:qFormat/>
    <w:uiPriority w:val="0"/>
    <w:pPr>
      <w:ind w:left="0" w:firstLine="0"/>
    </w:pPr>
    <w:rPr>
      <w:rFonts w:ascii="宋体" w:hAnsi="宋体"/>
      <w:sz w:val="28"/>
      <w:szCs w:val="28"/>
    </w:rPr>
  </w:style>
  <w:style w:type="paragraph" w:customStyle="1" w:styleId="684">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8"/>
    <w:autoRedefine/>
    <w:qFormat/>
    <w:uiPriority w:val="0"/>
    <w:pPr>
      <w:spacing w:beforeLines="40" w:afterLines="40"/>
      <w:jc w:val="center"/>
    </w:pPr>
    <w:rPr>
      <w:rFonts w:ascii="宋体" w:hAnsi="宋体" w:eastAsia="宋体"/>
      <w:sz w:val="24"/>
    </w:rPr>
  </w:style>
  <w:style w:type="paragraph" w:customStyle="1" w:styleId="686">
    <w:name w:val="标题 34"/>
    <w:basedOn w:val="1"/>
    <w:autoRedefine/>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8">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10"/>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5"/>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autoRedefine/>
    <w:qFormat/>
    <w:uiPriority w:val="0"/>
    <w:pPr>
      <w:outlineLvl w:val="6"/>
    </w:pPr>
  </w:style>
  <w:style w:type="paragraph" w:customStyle="1" w:styleId="697">
    <w:name w:val="四级条标题"/>
    <w:basedOn w:val="698"/>
    <w:next w:val="324"/>
    <w:autoRedefine/>
    <w:qFormat/>
    <w:uiPriority w:val="0"/>
    <w:pPr>
      <w:outlineLvl w:val="5"/>
    </w:pPr>
    <w:rPr>
      <w:rFonts w:ascii="Times New Roman"/>
    </w:rPr>
  </w:style>
  <w:style w:type="paragraph" w:customStyle="1" w:styleId="698">
    <w:name w:val="三级条标题"/>
    <w:basedOn w:val="322"/>
    <w:next w:val="324"/>
    <w:autoRedefine/>
    <w:qFormat/>
    <w:uiPriority w:val="0"/>
    <w:pPr>
      <w:ind w:left="0" w:firstLine="0"/>
      <w:outlineLvl w:val="4"/>
    </w:pPr>
  </w:style>
  <w:style w:type="paragraph" w:customStyle="1" w:styleId="699">
    <w:name w:val="段落文字"/>
    <w:basedOn w:val="8"/>
    <w:autoRedefine/>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11"/>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autoRedefine/>
    <w:qFormat/>
    <w:uiPriority w:val="0"/>
    <w:pPr>
      <w:ind w:firstLine="420" w:firstLineChars="200"/>
    </w:pPr>
    <w:rPr>
      <w:kern w:val="0"/>
      <w:sz w:val="20"/>
      <w:szCs w:val="20"/>
    </w:rPr>
  </w:style>
  <w:style w:type="paragraph" w:customStyle="1" w:styleId="706">
    <w:name w:val="列表内容"/>
    <w:basedOn w:val="1"/>
    <w:next w:val="1"/>
    <w:autoRedefine/>
    <w:qFormat/>
    <w:uiPriority w:val="0"/>
    <w:pPr>
      <w:widowControl/>
      <w:tabs>
        <w:tab w:val="left" w:pos="840"/>
      </w:tabs>
      <w:ind w:left="840" w:hanging="420"/>
      <w:jc w:val="left"/>
    </w:pPr>
    <w:rPr>
      <w:kern w:val="0"/>
      <w:sz w:val="18"/>
    </w:rPr>
  </w:style>
  <w:style w:type="paragraph" w:customStyle="1" w:styleId="707">
    <w:name w:val="附图标注"/>
    <w:basedOn w:val="27"/>
    <w:autoRedefine/>
    <w:qFormat/>
    <w:uiPriority w:val="0"/>
    <w:pPr>
      <w:tabs>
        <w:tab w:val="left" w:pos="420"/>
      </w:tabs>
      <w:ind w:left="420" w:hanging="420"/>
    </w:pPr>
    <w:rPr>
      <w:szCs w:val="24"/>
    </w:rPr>
  </w:style>
  <w:style w:type="paragraph" w:customStyle="1" w:styleId="70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3"/>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autoRedefine/>
    <w:qFormat/>
    <w:uiPriority w:val="0"/>
    <w:rPr>
      <w:szCs w:val="21"/>
    </w:rPr>
  </w:style>
  <w:style w:type="paragraph" w:customStyle="1" w:styleId="720">
    <w:name w:val="小标题"/>
    <w:basedOn w:val="1"/>
    <w:next w:val="27"/>
    <w:autoRedefine/>
    <w:qFormat/>
    <w:uiPriority w:val="0"/>
    <w:pPr>
      <w:tabs>
        <w:tab w:val="left" w:pos="1440"/>
      </w:tabs>
      <w:spacing w:afterLines="50"/>
    </w:pPr>
    <w:rPr>
      <w:b/>
    </w:rPr>
  </w:style>
  <w:style w:type="paragraph" w:customStyle="1" w:styleId="721">
    <w:name w:val="样式 标题 2h2Level 2 Topic HeadingHD2Heading 2 HiddenHeading 2 ..."/>
    <w:basedOn w:val="5"/>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autoRedefine/>
    <w:qFormat/>
    <w:uiPriority w:val="0"/>
    <w:pPr>
      <w:tabs>
        <w:tab w:val="left" w:pos="1140"/>
      </w:tabs>
      <w:spacing w:after="120"/>
    </w:pPr>
    <w:rPr>
      <w:bCs/>
    </w:rPr>
  </w:style>
  <w:style w:type="paragraph" w:customStyle="1" w:styleId="724">
    <w:name w:val="样式 标题1"/>
    <w:basedOn w:val="679"/>
    <w:next w:val="566"/>
    <w:autoRedefine/>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autoRedefine/>
    <w:qFormat/>
    <w:uiPriority w:val="0"/>
    <w:pPr>
      <w:shd w:val="clear" w:color="FFFFFF" w:fill="FFFFFF"/>
      <w:spacing w:beforeLines="0" w:afterLines="0" w:line="460" w:lineRule="exact"/>
    </w:pPr>
  </w:style>
  <w:style w:type="paragraph" w:customStyle="1" w:styleId="726">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autoRedefine/>
    <w:qFormat/>
    <w:uiPriority w:val="0"/>
    <w:pPr>
      <w:ind w:firstLine="420" w:firstLineChars="200"/>
    </w:pPr>
  </w:style>
  <w:style w:type="paragraph" w:customStyle="1" w:styleId="72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1">
    <w:name w:val="项目符号：二级"/>
    <w:basedOn w:val="233"/>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autoRedefine/>
    <w:qFormat/>
    <w:uiPriority w:val="0"/>
    <w:rPr>
      <w:rFonts w:ascii="仿宋_GB2312" w:eastAsia="仿宋_GB2312"/>
      <w:b/>
      <w:sz w:val="32"/>
      <w:szCs w:val="32"/>
    </w:rPr>
  </w:style>
  <w:style w:type="paragraph" w:customStyle="1" w:styleId="738">
    <w:name w:val="My标题3"/>
    <w:basedOn w:val="10"/>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autoRedefine/>
    <w:qFormat/>
    <w:uiPriority w:val="0"/>
    <w:pPr>
      <w:spacing w:beforeLines="40" w:afterLines="40"/>
    </w:pPr>
    <w:rPr>
      <w:rFonts w:ascii="Tahoma" w:hAnsi="Tahoma"/>
      <w:sz w:val="36"/>
      <w:szCs w:val="36"/>
    </w:rPr>
  </w:style>
  <w:style w:type="paragraph" w:customStyle="1" w:styleId="740">
    <w:name w:val="样式4"/>
    <w:basedOn w:val="11"/>
    <w:next w:val="52"/>
    <w:autoRedefine/>
    <w:qFormat/>
    <w:uiPriority w:val="0"/>
    <w:pPr>
      <w:spacing w:beforeLines="40" w:afterLines="40" w:line="374" w:lineRule="auto"/>
      <w:ind w:left="0" w:firstLine="0"/>
    </w:pPr>
    <w:rPr>
      <w:sz w:val="30"/>
    </w:rPr>
  </w:style>
  <w:style w:type="paragraph" w:customStyle="1" w:styleId="741">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3">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autoRedefine/>
    <w:qFormat/>
    <w:uiPriority w:val="0"/>
    <w:pPr>
      <w:tabs>
        <w:tab w:val="left" w:pos="420"/>
      </w:tabs>
      <w:spacing w:beforeLines="40" w:afterLines="40"/>
      <w:ind w:right="-154"/>
    </w:pPr>
  </w:style>
  <w:style w:type="paragraph" w:customStyle="1" w:styleId="746">
    <w:name w:val="枚举项"/>
    <w:basedOn w:val="1"/>
    <w:autoRedefine/>
    <w:qFormat/>
    <w:uiPriority w:val="0"/>
    <w:pPr>
      <w:widowControl/>
      <w:tabs>
        <w:tab w:val="left" w:pos="1440"/>
      </w:tabs>
      <w:spacing w:beforeLines="40" w:afterLines="40"/>
      <w:jc w:val="left"/>
    </w:pPr>
    <w:rPr>
      <w:kern w:val="0"/>
    </w:rPr>
  </w:style>
  <w:style w:type="paragraph" w:customStyle="1" w:styleId="747">
    <w:name w:val="正文lzq"/>
    <w:basedOn w:val="1"/>
    <w:autoRedefine/>
    <w:qFormat/>
    <w:uiPriority w:val="0"/>
    <w:pPr>
      <w:adjustRightInd w:val="0"/>
      <w:spacing w:beforeLines="40" w:afterLines="40"/>
      <w:ind w:firstLine="480"/>
    </w:pPr>
    <w:rPr>
      <w:kern w:val="0"/>
      <w:szCs w:val="20"/>
    </w:rPr>
  </w:style>
  <w:style w:type="paragraph" w:customStyle="1" w:styleId="748">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autoRedefine/>
    <w:qFormat/>
    <w:uiPriority w:val="0"/>
    <w:pPr>
      <w:ind w:firstLine="480" w:firstLineChars="200"/>
      <w:jc w:val="left"/>
    </w:pPr>
    <w:rPr>
      <w:bCs/>
    </w:rPr>
  </w:style>
  <w:style w:type="paragraph" w:customStyle="1" w:styleId="750">
    <w:name w:val="封面正文"/>
    <w:autoRedefine/>
    <w:qFormat/>
    <w:uiPriority w:val="0"/>
    <w:pPr>
      <w:jc w:val="both"/>
    </w:pPr>
    <w:rPr>
      <w:rFonts w:ascii="Times New Roman" w:hAnsi="Times New Roman" w:eastAsia="宋体" w:cs="Times New Roman"/>
      <w:lang w:val="en-US" w:eastAsia="zh-CN" w:bidi="ar-SA"/>
    </w:rPr>
  </w:style>
  <w:style w:type="paragraph" w:customStyle="1" w:styleId="751">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autoRedefine/>
    <w:qFormat/>
    <w:uiPriority w:val="0"/>
    <w:pPr>
      <w:ind w:firstLine="480"/>
    </w:pPr>
    <w:rPr>
      <w:rFonts w:cs="宋体"/>
      <w:szCs w:val="20"/>
    </w:rPr>
  </w:style>
  <w:style w:type="paragraph" w:customStyle="1" w:styleId="753">
    <w:name w:val="Char4"/>
    <w:basedOn w:val="1"/>
    <w:autoRedefine/>
    <w:qFormat/>
    <w:uiPriority w:val="0"/>
    <w:rPr>
      <w:rFonts w:ascii="Tahoma" w:hAnsi="Tahoma"/>
      <w:szCs w:val="20"/>
    </w:rPr>
  </w:style>
  <w:style w:type="paragraph" w:customStyle="1" w:styleId="754">
    <w:name w:val="图样式"/>
    <w:basedOn w:val="1"/>
    <w:autoRedefine/>
    <w:qFormat/>
    <w:uiPriority w:val="0"/>
    <w:pPr>
      <w:keepNext/>
      <w:widowControl/>
      <w:spacing w:before="80" w:after="80"/>
      <w:jc w:val="center"/>
    </w:pPr>
    <w:rPr>
      <w:szCs w:val="20"/>
    </w:rPr>
  </w:style>
  <w:style w:type="paragraph" w:customStyle="1" w:styleId="755">
    <w:name w:val="附录三级条标题"/>
    <w:basedOn w:val="1"/>
    <w:autoRedefine/>
    <w:qFormat/>
    <w:uiPriority w:val="0"/>
    <w:pPr>
      <w:spacing w:line="312" w:lineRule="auto"/>
    </w:pPr>
  </w:style>
  <w:style w:type="paragraph" w:customStyle="1" w:styleId="75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autoRedefine/>
    <w:qFormat/>
    <w:uiPriority w:val="0"/>
    <w:pPr>
      <w:jc w:val="center"/>
    </w:pPr>
    <w:rPr>
      <w:rFonts w:ascii="宋体" w:hAnsi="宋体"/>
      <w:color w:val="000000"/>
      <w:sz w:val="44"/>
      <w:szCs w:val="20"/>
    </w:rPr>
  </w:style>
  <w:style w:type="paragraph" w:customStyle="1" w:styleId="75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10"/>
    <w:autoRedefine/>
    <w:qFormat/>
    <w:uiPriority w:val="0"/>
    <w:pPr>
      <w:tabs>
        <w:tab w:val="left" w:pos="1418"/>
        <w:tab w:val="clear" w:pos="720"/>
      </w:tabs>
      <w:spacing w:beforeLines="40" w:afterLines="40" w:line="415" w:lineRule="auto"/>
      <w:ind w:left="0" w:firstLine="0"/>
    </w:pPr>
  </w:style>
  <w:style w:type="paragraph" w:customStyle="1" w:styleId="761">
    <w:name w:val="Char3"/>
    <w:basedOn w:val="1"/>
    <w:autoRedefine/>
    <w:qFormat/>
    <w:uiPriority w:val="0"/>
    <w:rPr>
      <w:rFonts w:ascii="仿宋_GB2312" w:eastAsia="仿宋_GB2312"/>
      <w:b/>
      <w:sz w:val="32"/>
      <w:szCs w:val="32"/>
    </w:rPr>
  </w:style>
  <w:style w:type="paragraph" w:customStyle="1" w:styleId="762">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autoRedefine/>
    <w:qFormat/>
    <w:uiPriority w:val="0"/>
    <w:pPr>
      <w:spacing w:before="80" w:afterLines="50"/>
      <w:ind w:left="1530"/>
    </w:pPr>
    <w:rPr>
      <w:rFonts w:ascii="宋体"/>
      <w:snapToGrid w:val="0"/>
      <w:kern w:val="0"/>
      <w:szCs w:val="20"/>
    </w:rPr>
  </w:style>
  <w:style w:type="paragraph" w:customStyle="1" w:styleId="764">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autoRedefine/>
    <w:qFormat/>
    <w:uiPriority w:val="0"/>
    <w:rPr>
      <w:rFonts w:ascii="仿宋_GB2312" w:eastAsia="仿宋_GB2312"/>
      <w:b/>
      <w:sz w:val="32"/>
      <w:szCs w:val="32"/>
    </w:rPr>
  </w:style>
  <w:style w:type="paragraph" w:customStyle="1" w:styleId="76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6"/>
    <w:autoRedefine/>
    <w:qFormat/>
    <w:uiPriority w:val="0"/>
    <w:pPr>
      <w:spacing w:before="0" w:after="0" w:line="240" w:lineRule="auto"/>
    </w:pPr>
    <w:rPr>
      <w:rFonts w:ascii="宋体" w:hAnsi="宋体" w:eastAsia="宋体"/>
      <w:sz w:val="21"/>
    </w:rPr>
  </w:style>
  <w:style w:type="paragraph" w:customStyle="1" w:styleId="773">
    <w:name w:val="样式 模板描述"/>
    <w:basedOn w:val="1"/>
    <w:next w:val="573"/>
    <w:autoRedefine/>
    <w:qFormat/>
    <w:uiPriority w:val="0"/>
    <w:pPr>
      <w:spacing w:afterLines="50"/>
      <w:jc w:val="left"/>
    </w:pPr>
    <w:rPr>
      <w:rFonts w:ascii="宋体" w:cs="宋体"/>
      <w:i/>
      <w:iCs/>
      <w:snapToGrid w:val="0"/>
      <w:color w:val="0000FF"/>
      <w:kern w:val="0"/>
      <w:szCs w:val="21"/>
    </w:rPr>
  </w:style>
  <w:style w:type="paragraph" w:customStyle="1" w:styleId="774">
    <w:name w:val="标准标题3"/>
    <w:basedOn w:val="10"/>
    <w:autoRedefine/>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6"/>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0">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autoRedefine/>
    <w:qFormat/>
    <w:uiPriority w:val="0"/>
    <w:pPr>
      <w:adjustRightInd w:val="0"/>
      <w:spacing w:beforeLines="40" w:afterLines="40" w:line="312" w:lineRule="atLeast"/>
    </w:pPr>
    <w:rPr>
      <w:kern w:val="0"/>
      <w:szCs w:val="20"/>
    </w:rPr>
  </w:style>
  <w:style w:type="paragraph" w:customStyle="1" w:styleId="783">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2"/>
    <w:autoRedefine/>
    <w:qFormat/>
    <w:uiPriority w:val="0"/>
    <w:pPr>
      <w:shd w:val="clear" w:color="auto" w:fill="000080"/>
    </w:pPr>
    <w:rPr>
      <w:rFonts w:ascii="Times New Roman" w:hAnsi="Times New Roman"/>
      <w:kern w:val="2"/>
      <w:szCs w:val="24"/>
    </w:rPr>
  </w:style>
  <w:style w:type="paragraph" w:customStyle="1" w:styleId="786">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autoRedefine/>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2"/>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2"/>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50"/>
    <w:autoRedefine/>
    <w:qFormat/>
    <w:uiPriority w:val="0"/>
    <w:pPr>
      <w:spacing w:beforeLines="0" w:afterLines="0" w:line="360" w:lineRule="auto"/>
    </w:pPr>
    <w:rPr>
      <w:b/>
      <w:sz w:val="30"/>
      <w:szCs w:val="20"/>
    </w:rPr>
  </w:style>
  <w:style w:type="paragraph" w:customStyle="1" w:styleId="795">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autoRedefine/>
    <w:qFormat/>
    <w:uiPriority w:val="0"/>
    <w:pPr>
      <w:widowControl/>
      <w:jc w:val="left"/>
    </w:pPr>
    <w:rPr>
      <w:rFonts w:ascii="宋体" w:hAnsi="宋体" w:cs="宋体"/>
      <w:kern w:val="0"/>
      <w:szCs w:val="21"/>
    </w:rPr>
  </w:style>
  <w:style w:type="paragraph" w:customStyle="1" w:styleId="799">
    <w:name w:val="xl23"/>
    <w:basedOn w:val="1"/>
    <w:autoRedefine/>
    <w:qFormat/>
    <w:uiPriority w:val="0"/>
    <w:pPr>
      <w:widowControl/>
      <w:spacing w:beforeLines="40" w:afterLines="40"/>
    </w:pPr>
    <w:rPr>
      <w:kern w:val="0"/>
    </w:rPr>
  </w:style>
  <w:style w:type="paragraph" w:customStyle="1" w:styleId="80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9"/>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10"/>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autoRedefine/>
    <w:qFormat/>
    <w:uiPriority w:val="0"/>
    <w:rPr>
      <w:rFonts w:ascii="Tahoma" w:hAnsi="Tahoma"/>
      <w:sz w:val="36"/>
      <w:szCs w:val="36"/>
    </w:rPr>
  </w:style>
  <w:style w:type="paragraph" w:customStyle="1" w:styleId="809">
    <w:name w:val="标准标题1"/>
    <w:basedOn w:val="5"/>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autoRedefine/>
    <w:qFormat/>
    <w:uiPriority w:val="0"/>
    <w:pPr>
      <w:spacing w:beforeLines="40" w:afterLines="40"/>
    </w:pPr>
  </w:style>
  <w:style w:type="paragraph" w:customStyle="1" w:styleId="812">
    <w:name w:val="正文文字表格居中"/>
    <w:basedOn w:val="1"/>
    <w:next w:val="78"/>
    <w:autoRedefine/>
    <w:qFormat/>
    <w:uiPriority w:val="0"/>
    <w:pPr>
      <w:spacing w:beforeLines="100" w:afterLines="50"/>
    </w:pPr>
    <w:rPr>
      <w:szCs w:val="18"/>
    </w:rPr>
  </w:style>
  <w:style w:type="paragraph" w:customStyle="1" w:styleId="813">
    <w:name w:val="附录五级条标题"/>
    <w:basedOn w:val="1"/>
    <w:autoRedefine/>
    <w:qFormat/>
    <w:uiPriority w:val="0"/>
    <w:pPr>
      <w:spacing w:line="312" w:lineRule="auto"/>
    </w:pPr>
  </w:style>
  <w:style w:type="paragraph" w:customStyle="1" w:styleId="814">
    <w:name w:val="标准正文"/>
    <w:basedOn w:val="1"/>
    <w:autoRedefine/>
    <w:qFormat/>
    <w:uiPriority w:val="0"/>
    <w:pPr>
      <w:adjustRightInd w:val="0"/>
      <w:spacing w:beforeLines="40" w:afterLines="40"/>
      <w:jc w:val="center"/>
    </w:pPr>
    <w:rPr>
      <w:kern w:val="0"/>
      <w:szCs w:val="20"/>
    </w:rPr>
  </w:style>
  <w:style w:type="paragraph" w:customStyle="1" w:styleId="815">
    <w:name w:val="MM Topic 5"/>
    <w:basedOn w:val="2"/>
    <w:autoRedefine/>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7">
    <w:name w:val="Paragraph1"/>
    <w:basedOn w:val="1"/>
    <w:autoRedefine/>
    <w:qFormat/>
    <w:uiPriority w:val="0"/>
    <w:pPr>
      <w:spacing w:before="80" w:afterLines="50"/>
    </w:pPr>
    <w:rPr>
      <w:rFonts w:ascii="宋体"/>
      <w:snapToGrid w:val="0"/>
      <w:kern w:val="0"/>
      <w:szCs w:val="20"/>
    </w:rPr>
  </w:style>
  <w:style w:type="paragraph" w:customStyle="1" w:styleId="81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autoRedefine/>
    <w:qFormat/>
    <w:uiPriority w:val="0"/>
    <w:rPr>
      <w:rFonts w:ascii="Tahoma" w:hAnsi="Tahoma"/>
      <w:szCs w:val="20"/>
    </w:rPr>
  </w:style>
  <w:style w:type="paragraph" w:customStyle="1" w:styleId="820">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autoRedefine/>
    <w:qFormat/>
    <w:uiPriority w:val="0"/>
    <w:pPr>
      <w:widowControl/>
      <w:spacing w:beforeLines="40" w:afterLines="40"/>
      <w:jc w:val="left"/>
    </w:pPr>
    <w:rPr>
      <w:i/>
      <w:kern w:val="0"/>
    </w:rPr>
  </w:style>
  <w:style w:type="paragraph" w:customStyle="1" w:styleId="826">
    <w:name w:val="数字标题6"/>
    <w:basedOn w:val="12"/>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11"/>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6"/>
    <w:autoRedefine/>
    <w:qFormat/>
    <w:uiPriority w:val="0"/>
    <w:pPr>
      <w:tabs>
        <w:tab w:val="left" w:pos="992"/>
        <w:tab w:val="clear" w:pos="576"/>
      </w:tabs>
      <w:spacing w:beforeLines="40" w:afterLines="40" w:line="415" w:lineRule="auto"/>
      <w:ind w:left="0" w:firstLine="0"/>
    </w:pPr>
  </w:style>
  <w:style w:type="paragraph" w:customStyle="1" w:styleId="830">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8"/>
    <w:autoRedefine/>
    <w:qFormat/>
    <w:uiPriority w:val="0"/>
    <w:pPr>
      <w:spacing w:beforeLines="40" w:afterLines="40"/>
      <w:jc w:val="center"/>
    </w:pPr>
    <w:rPr>
      <w:rFonts w:cs="宋体"/>
      <w:sz w:val="24"/>
    </w:rPr>
  </w:style>
  <w:style w:type="paragraph" w:customStyle="1" w:styleId="835">
    <w:name w:val="Char2 Char Char Char1"/>
    <w:basedOn w:val="1"/>
    <w:autoRedefine/>
    <w:qFormat/>
    <w:uiPriority w:val="0"/>
    <w:rPr>
      <w:rFonts w:ascii="仿宋_GB2312"/>
      <w:b/>
      <w:sz w:val="30"/>
      <w:szCs w:val="32"/>
    </w:rPr>
  </w:style>
  <w:style w:type="paragraph" w:customStyle="1" w:styleId="836">
    <w:name w:val="Char41"/>
    <w:basedOn w:val="1"/>
    <w:autoRedefine/>
    <w:qFormat/>
    <w:uiPriority w:val="0"/>
    <w:rPr>
      <w:rFonts w:ascii="仿宋_GB2312" w:eastAsia="仿宋_GB2312"/>
      <w:b/>
      <w:sz w:val="32"/>
      <w:szCs w:val="32"/>
    </w:rPr>
  </w:style>
  <w:style w:type="paragraph" w:customStyle="1" w:styleId="837">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autoRedefine/>
    <w:qFormat/>
    <w:uiPriority w:val="0"/>
    <w:rPr>
      <w:rFonts w:ascii="Tahoma" w:hAnsi="Tahoma"/>
      <w:szCs w:val="20"/>
    </w:rPr>
  </w:style>
  <w:style w:type="paragraph" w:customStyle="1" w:styleId="839">
    <w:name w:val="章正文"/>
    <w:basedOn w:val="1"/>
    <w:autoRedefine/>
    <w:qFormat/>
    <w:uiPriority w:val="0"/>
    <w:pPr>
      <w:spacing w:beforeLines="50" w:after="120" w:line="300" w:lineRule="auto"/>
      <w:ind w:firstLine="480"/>
    </w:pPr>
    <w:rPr>
      <w:rFonts w:ascii="Helvetica" w:hAnsi="Helvetica"/>
      <w:kern w:val="0"/>
    </w:rPr>
  </w:style>
  <w:style w:type="paragraph" w:customStyle="1" w:styleId="840">
    <w:name w:val="图1"/>
    <w:basedOn w:val="75"/>
    <w:autoRedefine/>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6"/>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9">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autoRedefine/>
    <w:qFormat/>
    <w:uiPriority w:val="0"/>
    <w:rPr>
      <w:rFonts w:ascii="Tahoma" w:hAnsi="Tahoma"/>
      <w:szCs w:val="20"/>
    </w:rPr>
  </w:style>
  <w:style w:type="paragraph" w:customStyle="1" w:styleId="855">
    <w:name w:val="标准有序列表（L1）"/>
    <w:basedOn w:val="27"/>
    <w:autoRedefine/>
    <w:qFormat/>
    <w:uiPriority w:val="0"/>
    <w:pPr>
      <w:tabs>
        <w:tab w:val="left" w:pos="0"/>
      </w:tabs>
      <w:ind w:firstLine="0"/>
    </w:pPr>
    <w:rPr>
      <w:rFonts w:ascii="黑体" w:eastAsia="黑体"/>
      <w:color w:val="000000"/>
    </w:rPr>
  </w:style>
  <w:style w:type="paragraph" w:customStyle="1" w:styleId="856">
    <w:name w:val="样式 宋体 小四 行距: 1.5 倍行距1"/>
    <w:basedOn w:val="1"/>
    <w:autoRedefine/>
    <w:qFormat/>
    <w:uiPriority w:val="0"/>
    <w:pPr>
      <w:spacing w:beforeLines="40" w:afterLines="40"/>
    </w:pPr>
    <w:rPr>
      <w:rFonts w:ascii="宋体" w:hAnsi="宋体"/>
      <w:szCs w:val="20"/>
    </w:rPr>
  </w:style>
  <w:style w:type="paragraph" w:customStyle="1" w:styleId="857">
    <w:name w:val="二级项目符号"/>
    <w:basedOn w:val="1"/>
    <w:autoRedefine/>
    <w:qFormat/>
    <w:uiPriority w:val="0"/>
    <w:pPr>
      <w:widowControl/>
      <w:tabs>
        <w:tab w:val="left" w:pos="964"/>
      </w:tabs>
      <w:ind w:left="964" w:hanging="482"/>
    </w:pPr>
    <w:rPr>
      <w:kern w:val="0"/>
      <w:szCs w:val="20"/>
    </w:rPr>
  </w:style>
  <w:style w:type="paragraph" w:customStyle="1" w:styleId="858">
    <w:name w:val="Char2"/>
    <w:basedOn w:val="1"/>
    <w:autoRedefine/>
    <w:qFormat/>
    <w:uiPriority w:val="0"/>
    <w:rPr>
      <w:rFonts w:ascii="Tahoma" w:hAnsi="Tahoma"/>
      <w:szCs w:val="20"/>
    </w:rPr>
  </w:style>
  <w:style w:type="paragraph" w:customStyle="1" w:styleId="859">
    <w:name w:val="Char Char41"/>
    <w:basedOn w:val="1"/>
    <w:autoRedefine/>
    <w:qFormat/>
    <w:uiPriority w:val="0"/>
    <w:pPr>
      <w:spacing w:beforeLines="40" w:afterLines="40"/>
    </w:pPr>
    <w:rPr>
      <w:rFonts w:ascii="Tahoma" w:hAnsi="Tahoma"/>
      <w:sz w:val="36"/>
      <w:szCs w:val="36"/>
    </w:rPr>
  </w:style>
  <w:style w:type="paragraph" w:customStyle="1" w:styleId="860">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autoRedefine/>
    <w:qFormat/>
    <w:uiPriority w:val="0"/>
    <w:pPr>
      <w:widowControl/>
      <w:spacing w:after="160" w:line="240" w:lineRule="exact"/>
      <w:jc w:val="left"/>
    </w:pPr>
    <w:rPr>
      <w:szCs w:val="20"/>
    </w:rPr>
  </w:style>
  <w:style w:type="paragraph" w:customStyle="1" w:styleId="864">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11"/>
    <w:autoRedefine/>
    <w:qFormat/>
    <w:uiPriority w:val="0"/>
    <w:pPr>
      <w:tabs>
        <w:tab w:val="left" w:pos="1984"/>
        <w:tab w:val="clear" w:pos="864"/>
      </w:tabs>
      <w:spacing w:beforeLines="40" w:afterLines="40" w:line="374" w:lineRule="auto"/>
      <w:ind w:left="0" w:firstLine="0"/>
    </w:pPr>
  </w:style>
  <w:style w:type="paragraph" w:customStyle="1" w:styleId="870">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autoRedefine/>
    <w:qFormat/>
    <w:uiPriority w:val="0"/>
    <w:rPr>
      <w:rFonts w:eastAsia="黑体"/>
    </w:rPr>
  </w:style>
  <w:style w:type="paragraph" w:customStyle="1" w:styleId="872">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autoRedefine/>
    <w:qFormat/>
    <w:uiPriority w:val="0"/>
    <w:rPr>
      <w:rFonts w:ascii="Tahoma" w:hAnsi="Tahoma"/>
      <w:szCs w:val="20"/>
    </w:rPr>
  </w:style>
  <w:style w:type="paragraph" w:customStyle="1" w:styleId="875">
    <w:name w:val="标题 38"/>
    <w:basedOn w:val="1"/>
    <w:autoRedefine/>
    <w:qFormat/>
    <w:uiPriority w:val="0"/>
    <w:pPr>
      <w:adjustRightInd w:val="0"/>
      <w:snapToGrid w:val="0"/>
      <w:ind w:left="-2" w:leftChars="-1"/>
    </w:pPr>
    <w:rPr>
      <w:rFonts w:ascii="Arial" w:hAnsi="Arial" w:cs="Arial"/>
    </w:rPr>
  </w:style>
  <w:style w:type="paragraph" w:customStyle="1" w:styleId="876">
    <w:name w:val="Date2"/>
    <w:basedOn w:val="1"/>
    <w:next w:val="1"/>
    <w:autoRedefine/>
    <w:qFormat/>
    <w:uiPriority w:val="0"/>
    <w:pPr>
      <w:adjustRightInd w:val="0"/>
      <w:spacing w:beforeLines="40" w:afterLines="40" w:line="312" w:lineRule="atLeast"/>
    </w:pPr>
    <w:rPr>
      <w:kern w:val="0"/>
      <w:szCs w:val="20"/>
    </w:rPr>
  </w:style>
  <w:style w:type="paragraph" w:customStyle="1" w:styleId="877">
    <w:name w:val="项目符2"/>
    <w:basedOn w:val="1"/>
    <w:autoRedefine/>
    <w:qFormat/>
    <w:uiPriority w:val="0"/>
    <w:pPr>
      <w:tabs>
        <w:tab w:val="left" w:pos="840"/>
      </w:tabs>
      <w:spacing w:afterLines="50"/>
      <w:ind w:left="1260" w:hanging="420"/>
    </w:pPr>
    <w:rPr>
      <w:szCs w:val="21"/>
    </w:rPr>
  </w:style>
  <w:style w:type="paragraph" w:customStyle="1" w:styleId="878">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9">
    <w:name w:val="示例"/>
    <w:next w:val="324"/>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11"/>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40"/>
    <w:next w:val="40"/>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11"/>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2"/>
    <w:next w:val="1"/>
    <w:autoRedefine/>
    <w:qFormat/>
    <w:uiPriority w:val="0"/>
    <w:pPr>
      <w:tabs>
        <w:tab w:val="left" w:pos="1080"/>
        <w:tab w:val="clear" w:pos="1008"/>
      </w:tabs>
      <w:ind w:left="1080" w:hanging="1080"/>
    </w:pPr>
    <w:rPr>
      <w:kern w:val="0"/>
    </w:rPr>
  </w:style>
  <w:style w:type="paragraph" w:customStyle="1" w:styleId="885">
    <w:name w:val="标准书眉_偶数页"/>
    <w:basedOn w:val="675"/>
    <w:next w:val="1"/>
    <w:autoRedefine/>
    <w:qFormat/>
    <w:uiPriority w:val="0"/>
    <w:pPr>
      <w:jc w:val="left"/>
    </w:pPr>
  </w:style>
  <w:style w:type="paragraph" w:customStyle="1" w:styleId="88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autoRedefine/>
    <w:qFormat/>
    <w:uiPriority w:val="0"/>
    <w:pPr>
      <w:adjustRightInd w:val="0"/>
      <w:ind w:firstLine="480"/>
    </w:pPr>
    <w:rPr>
      <w:rFonts w:ascii="宋体" w:hAnsi="宋体"/>
      <w:kern w:val="0"/>
      <w:szCs w:val="20"/>
    </w:rPr>
  </w:style>
  <w:style w:type="paragraph" w:customStyle="1" w:styleId="88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11"/>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5">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autoRedefine/>
    <w:qFormat/>
    <w:uiPriority w:val="0"/>
    <w:pPr>
      <w:widowControl/>
      <w:tabs>
        <w:tab w:val="left" w:pos="510"/>
      </w:tabs>
      <w:adjustRightInd w:val="0"/>
    </w:pPr>
    <w:rPr>
      <w:kern w:val="0"/>
      <w:szCs w:val="20"/>
    </w:rPr>
  </w:style>
  <w:style w:type="paragraph" w:customStyle="1" w:styleId="89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9">
    <w:name w:val="Char5"/>
    <w:basedOn w:val="1"/>
    <w:autoRedefine/>
    <w:qFormat/>
    <w:uiPriority w:val="0"/>
    <w:rPr>
      <w:szCs w:val="20"/>
    </w:rPr>
  </w:style>
  <w:style w:type="paragraph" w:customStyle="1" w:styleId="90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autoRedefine/>
    <w:qFormat/>
    <w:uiPriority w:val="0"/>
    <w:rPr>
      <w:rFonts w:ascii="仿宋_GB2312" w:eastAsia="仿宋_GB2312"/>
      <w:b/>
      <w:sz w:val="32"/>
      <w:szCs w:val="32"/>
    </w:rPr>
  </w:style>
  <w:style w:type="paragraph" w:customStyle="1" w:styleId="902">
    <w:name w:val="msolistparagraph"/>
    <w:basedOn w:val="1"/>
    <w:autoRedefine/>
    <w:qFormat/>
    <w:uiPriority w:val="0"/>
    <w:pPr>
      <w:ind w:firstLine="420" w:firstLineChars="200"/>
    </w:pPr>
  </w:style>
  <w:style w:type="paragraph" w:customStyle="1" w:styleId="903">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autoRedefine/>
    <w:qFormat/>
    <w:uiPriority w:val="0"/>
    <w:pPr>
      <w:adjustRightInd w:val="0"/>
      <w:snapToGrid w:val="0"/>
      <w:ind w:left="-2" w:leftChars="-1"/>
    </w:pPr>
    <w:rPr>
      <w:rFonts w:ascii="Arial" w:hAnsi="Arial" w:cs="Arial"/>
    </w:rPr>
  </w:style>
  <w:style w:type="paragraph" w:customStyle="1" w:styleId="906">
    <w:name w:val="封面标准代替信息"/>
    <w:basedOn w:val="678"/>
    <w:autoRedefine/>
    <w:qFormat/>
    <w:uiPriority w:val="0"/>
    <w:pPr>
      <w:framePr w:wrap="around"/>
      <w:spacing w:before="57"/>
    </w:pPr>
    <w:rPr>
      <w:rFonts w:ascii="宋体"/>
      <w:sz w:val="21"/>
    </w:rPr>
  </w:style>
  <w:style w:type="paragraph" w:customStyle="1" w:styleId="907">
    <w:name w:val="参考文献、索引标题"/>
    <w:basedOn w:val="726"/>
    <w:next w:val="1"/>
    <w:autoRedefine/>
    <w:qFormat/>
    <w:uiPriority w:val="0"/>
    <w:pPr>
      <w:shd w:val="clear" w:color="FFFFFF" w:fill="FFFFFF"/>
      <w:spacing w:beforeLines="0" w:afterLines="0"/>
    </w:pPr>
    <w:rPr>
      <w:sz w:val="21"/>
    </w:rPr>
  </w:style>
  <w:style w:type="paragraph" w:customStyle="1" w:styleId="908">
    <w:name w:val="模板普通正文"/>
    <w:basedOn w:val="40"/>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11"/>
    <w:next w:val="227"/>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autoRedefine/>
    <w:qFormat/>
    <w:uiPriority w:val="0"/>
    <w:rPr>
      <w:rFonts w:eastAsia="仿宋_GB2312" w:cs="宋体"/>
      <w:szCs w:val="20"/>
    </w:rPr>
  </w:style>
  <w:style w:type="paragraph" w:customStyle="1" w:styleId="9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autoRedefine/>
    <w:qFormat/>
    <w:uiPriority w:val="0"/>
    <w:pPr>
      <w:spacing w:beforeLines="40" w:afterLines="40"/>
    </w:pPr>
    <w:rPr>
      <w:rFonts w:ascii="Tahoma" w:hAnsi="Tahoma"/>
      <w:szCs w:val="20"/>
    </w:rPr>
  </w:style>
  <w:style w:type="paragraph" w:customStyle="1" w:styleId="915">
    <w:name w:val="paragraph1"/>
    <w:basedOn w:val="1"/>
    <w:autoRedefine/>
    <w:qFormat/>
    <w:uiPriority w:val="0"/>
    <w:pPr>
      <w:spacing w:afterLines="30"/>
      <w:ind w:firstLine="420" w:firstLineChars="200"/>
    </w:pPr>
    <w:rPr>
      <w:rFonts w:eastAsia="楷体_GB2312"/>
      <w:szCs w:val="20"/>
    </w:rPr>
  </w:style>
  <w:style w:type="paragraph" w:customStyle="1" w:styleId="916">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autoRedefine/>
    <w:qFormat/>
    <w:uiPriority w:val="0"/>
    <w:pPr>
      <w:spacing w:before="156" w:after="156"/>
    </w:pPr>
    <w:rPr>
      <w:rFonts w:ascii="Arial" w:hAnsi="Arial" w:eastAsia="仿宋_GB2312"/>
      <w:szCs w:val="20"/>
    </w:rPr>
  </w:style>
  <w:style w:type="paragraph" w:customStyle="1" w:styleId="921">
    <w:name w:val="备注说明 Char Char Char"/>
    <w:basedOn w:val="69"/>
    <w:autoRedefine/>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1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autoRedefine/>
    <w:qFormat/>
    <w:uiPriority w:val="0"/>
    <w:pPr>
      <w:spacing w:beforeLines="40" w:afterLines="40"/>
    </w:pPr>
    <w:rPr>
      <w:rFonts w:eastAsia="幼圆"/>
      <w:szCs w:val="20"/>
    </w:rPr>
  </w:style>
  <w:style w:type="paragraph" w:customStyle="1" w:styleId="924">
    <w:name w:val="附录一级条标题"/>
    <w:basedOn w:val="1"/>
    <w:autoRedefine/>
    <w:qFormat/>
    <w:uiPriority w:val="0"/>
    <w:pPr>
      <w:spacing w:line="312" w:lineRule="auto"/>
    </w:pPr>
  </w:style>
  <w:style w:type="paragraph" w:customStyle="1" w:styleId="925">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3"/>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2"/>
    <w:autoRedefine/>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autoRedefine/>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autoRedefine/>
    <w:qFormat/>
    <w:uiPriority w:val="0"/>
    <w:rPr>
      <w:rFonts w:ascii="Tahoma" w:hAnsi="Tahoma"/>
      <w:sz w:val="36"/>
      <w:szCs w:val="36"/>
    </w:rPr>
  </w:style>
  <w:style w:type="paragraph" w:customStyle="1" w:styleId="934">
    <w:name w:val="样式1"/>
    <w:basedOn w:val="1"/>
    <w:autoRedefine/>
    <w:qFormat/>
    <w:uiPriority w:val="0"/>
    <w:pPr>
      <w:spacing w:beforeLines="40" w:afterLines="40" w:line="300" w:lineRule="auto"/>
      <w:ind w:firstLine="480" w:firstLineChars="200"/>
    </w:pPr>
  </w:style>
  <w:style w:type="paragraph" w:customStyle="1" w:styleId="935">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autoRedefine/>
    <w:qFormat/>
    <w:uiPriority w:val="0"/>
    <w:pPr>
      <w:tabs>
        <w:tab w:val="left" w:pos="720"/>
      </w:tabs>
      <w:ind w:hanging="720"/>
    </w:pPr>
  </w:style>
  <w:style w:type="paragraph" w:customStyle="1" w:styleId="938">
    <w:name w:val="S4-L15"/>
    <w:basedOn w:val="1"/>
    <w:autoRedefine/>
    <w:qFormat/>
    <w:uiPriority w:val="0"/>
    <w:pPr>
      <w:spacing w:after="120"/>
      <w:ind w:left="720" w:firstLine="392"/>
    </w:pPr>
    <w:rPr>
      <w:szCs w:val="21"/>
      <w:lang w:val="fr-FR"/>
    </w:rPr>
  </w:style>
  <w:style w:type="paragraph" w:customStyle="1" w:styleId="939">
    <w:name w:val="列表（编号二级）（绿盟科技）"/>
    <w:basedOn w:val="940"/>
    <w:autoRedefine/>
    <w:qFormat/>
    <w:uiPriority w:val="0"/>
    <w:pPr>
      <w:spacing w:beforeLines="0"/>
      <w:ind w:left="1260"/>
    </w:pPr>
  </w:style>
  <w:style w:type="paragraph" w:customStyle="1" w:styleId="940">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7"/>
    <w:next w:val="1"/>
    <w:autoRedefine/>
    <w:qFormat/>
    <w:uiPriority w:val="0"/>
    <w:pPr>
      <w:spacing w:beforeLines="50" w:after="0"/>
      <w:jc w:val="center"/>
    </w:pPr>
    <w:rPr>
      <w:rFonts w:ascii="Century" w:hAnsi="Century" w:eastAsia="MS PMincho"/>
      <w:sz w:val="21"/>
      <w:lang w:eastAsia="ja-JP"/>
    </w:rPr>
  </w:style>
  <w:style w:type="paragraph" w:customStyle="1" w:styleId="943">
    <w:name w:val="表格文字"/>
    <w:basedOn w:val="1"/>
    <w:autoRedefine/>
    <w:qFormat/>
    <w:uiPriority w:val="0"/>
    <w:pPr>
      <w:jc w:val="left"/>
      <w:textAlignment w:val="top"/>
    </w:pPr>
    <w:rPr>
      <w:sz w:val="18"/>
    </w:rPr>
  </w:style>
  <w:style w:type="paragraph" w:customStyle="1" w:styleId="944">
    <w:name w:val="样式 标题 4H4bulletblbbh4First Subheadingsect 1.2.3.4Ref Hea..."/>
    <w:basedOn w:val="11"/>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6">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autoRedefine/>
    <w:qFormat/>
    <w:uiPriority w:val="0"/>
  </w:style>
  <w:style w:type="paragraph" w:customStyle="1" w:styleId="951">
    <w:name w:val="S4-I-U-L15-No-dot"/>
    <w:basedOn w:val="1"/>
    <w:autoRedefine/>
    <w:qFormat/>
    <w:uiPriority w:val="0"/>
    <w:pPr>
      <w:tabs>
        <w:tab w:val="left" w:pos="1112"/>
      </w:tabs>
      <w:spacing w:after="120"/>
      <w:ind w:left="1112" w:hanging="420"/>
    </w:pPr>
    <w:rPr>
      <w:i/>
      <w:u w:val="single"/>
    </w:rPr>
  </w:style>
  <w:style w:type="paragraph" w:customStyle="1" w:styleId="952">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autoRedefine/>
    <w:qFormat/>
    <w:uiPriority w:val="0"/>
    <w:rPr>
      <w:b/>
      <w:i/>
      <w:u w:val="single"/>
    </w:rPr>
  </w:style>
  <w:style w:type="paragraph" w:customStyle="1" w:styleId="95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7">
    <w:name w:val="图5"/>
    <w:basedOn w:val="1"/>
    <w:autoRedefine/>
    <w:qFormat/>
    <w:uiPriority w:val="0"/>
    <w:pPr>
      <w:spacing w:beforeLines="40" w:afterLines="40" w:line="240" w:lineRule="exact"/>
      <w:jc w:val="center"/>
    </w:pPr>
    <w:rPr>
      <w:szCs w:val="20"/>
    </w:rPr>
  </w:style>
  <w:style w:type="paragraph" w:customStyle="1" w:styleId="958">
    <w:name w:val="正文样式1"/>
    <w:basedOn w:val="1"/>
    <w:autoRedefine/>
    <w:qFormat/>
    <w:uiPriority w:val="0"/>
    <w:pPr>
      <w:spacing w:beforeLines="40" w:afterLines="40"/>
      <w:ind w:firstLine="510"/>
    </w:pPr>
    <w:rPr>
      <w:rFonts w:ascii="Arial" w:hAnsi="Arial"/>
      <w:szCs w:val="20"/>
    </w:rPr>
  </w:style>
  <w:style w:type="paragraph" w:customStyle="1" w:styleId="959">
    <w:name w:val="正文（首行缩进）"/>
    <w:basedOn w:val="1"/>
    <w:autoRedefine/>
    <w:qFormat/>
    <w:uiPriority w:val="0"/>
    <w:pPr>
      <w:spacing w:beforeLines="40" w:afterLines="40"/>
      <w:ind w:firstLine="420"/>
    </w:pPr>
    <w:rPr>
      <w:rFonts w:cs="宋体"/>
      <w:szCs w:val="20"/>
    </w:rPr>
  </w:style>
  <w:style w:type="paragraph" w:customStyle="1" w:styleId="960">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autoRedefine/>
    <w:qFormat/>
    <w:uiPriority w:val="0"/>
    <w:pPr>
      <w:widowControl/>
      <w:spacing w:before="60" w:afterLines="50"/>
      <w:jc w:val="left"/>
    </w:pPr>
    <w:rPr>
      <w:kern w:val="0"/>
      <w:szCs w:val="20"/>
      <w:lang w:eastAsia="en-US"/>
    </w:rPr>
  </w:style>
  <w:style w:type="paragraph" w:customStyle="1" w:styleId="962">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autoRedefine/>
    <w:qFormat/>
    <w:uiPriority w:val="0"/>
    <w:pPr>
      <w:spacing w:line="300" w:lineRule="auto"/>
      <w:ind w:firstLine="510"/>
    </w:pPr>
    <w:rPr>
      <w:szCs w:val="20"/>
    </w:rPr>
  </w:style>
  <w:style w:type="paragraph" w:customStyle="1" w:styleId="964">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2"/>
    <w:autoRedefine/>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10"/>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10"/>
    <w:autoRedefine/>
    <w:qFormat/>
    <w:uiPriority w:val="0"/>
    <w:rPr>
      <w:rFonts w:eastAsia="黑体"/>
      <w:b w:val="0"/>
      <w:sz w:val="28"/>
    </w:rPr>
  </w:style>
  <w:style w:type="paragraph" w:customStyle="1" w:styleId="970">
    <w:name w:val="我的标题3"/>
    <w:next w:val="332"/>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autoRedefine/>
    <w:qFormat/>
    <w:uiPriority w:val="0"/>
    <w:pPr>
      <w:adjustRightInd w:val="0"/>
      <w:snapToGrid w:val="0"/>
      <w:ind w:left="-2" w:leftChars="-1"/>
    </w:pPr>
    <w:rPr>
      <w:rFonts w:ascii="Arial" w:hAnsi="Arial" w:cs="Arial"/>
    </w:rPr>
  </w:style>
  <w:style w:type="paragraph" w:customStyle="1" w:styleId="974">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7">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9">
    <w:name w:val="实施日期"/>
    <w:basedOn w:val="736"/>
    <w:autoRedefine/>
    <w:qFormat/>
    <w:uiPriority w:val="0"/>
    <w:pPr>
      <w:framePr w:hSpace="0" w:wrap="around" w:xAlign="right"/>
      <w:jc w:val="right"/>
    </w:pPr>
  </w:style>
  <w:style w:type="paragraph" w:customStyle="1" w:styleId="980">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autoRedefine/>
    <w:qFormat/>
    <w:uiPriority w:val="0"/>
    <w:pPr>
      <w:spacing w:beforeLines="40" w:afterLines="40"/>
    </w:pPr>
  </w:style>
  <w:style w:type="paragraph" w:customStyle="1" w:styleId="982">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3">
    <w:name w:val="pa-30"/>
    <w:basedOn w:val="1"/>
    <w:autoRedefine/>
    <w:qFormat/>
    <w:uiPriority w:val="0"/>
    <w:pPr>
      <w:widowControl/>
      <w:spacing w:before="150" w:after="150"/>
      <w:jc w:val="left"/>
    </w:pPr>
    <w:rPr>
      <w:rFonts w:ascii="宋体" w:hAnsi="宋体" w:cs="宋体"/>
      <w:kern w:val="0"/>
    </w:rPr>
  </w:style>
  <w:style w:type="paragraph" w:customStyle="1" w:styleId="984">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70"/>
    <w:autoRedefine/>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11"/>
    <w:autoRedefine/>
    <w:qFormat/>
    <w:uiPriority w:val="0"/>
    <w:pPr>
      <w:spacing w:before="312" w:after="312"/>
      <w:ind w:left="0" w:firstLine="482"/>
      <w:jc w:val="left"/>
    </w:pPr>
    <w:rPr>
      <w:rFonts w:cs="宋体"/>
      <w:b w:val="0"/>
      <w:sz w:val="24"/>
      <w:szCs w:val="20"/>
    </w:rPr>
  </w:style>
  <w:style w:type="paragraph" w:customStyle="1" w:styleId="987">
    <w:name w:val="正文首行缩进1"/>
    <w:basedOn w:val="7"/>
    <w:autoRedefine/>
    <w:qFormat/>
    <w:uiPriority w:val="0"/>
    <w:pPr>
      <w:suppressAutoHyphens/>
      <w:ind w:firstLine="420"/>
      <w:jc w:val="left"/>
    </w:pPr>
    <w:rPr>
      <w:kern w:val="1"/>
      <w:lang w:eastAsia="ar-SA"/>
    </w:rPr>
  </w:style>
  <w:style w:type="paragraph" w:customStyle="1" w:styleId="988">
    <w:name w:val="样式 仿宋_GB2312 小三 左侧:  1.06 厘米"/>
    <w:basedOn w:val="1"/>
    <w:autoRedefine/>
    <w:qFormat/>
    <w:uiPriority w:val="0"/>
    <w:pPr>
      <w:ind w:left="601"/>
    </w:pPr>
    <w:rPr>
      <w:rFonts w:ascii="仿宋_GB2312" w:eastAsia="仿宋_GB2312"/>
      <w:szCs w:val="20"/>
    </w:rPr>
  </w:style>
  <w:style w:type="paragraph" w:customStyle="1" w:styleId="989">
    <w:name w:val="样式 标题 5 + 段前: 0.5 行 段后: 0.5 行"/>
    <w:basedOn w:val="2"/>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autoRedefine/>
    <w:qFormat/>
    <w:uiPriority w:val="0"/>
    <w:pPr>
      <w:spacing w:after="120"/>
    </w:pPr>
  </w:style>
  <w:style w:type="paragraph" w:customStyle="1" w:styleId="992">
    <w:name w:val="4"/>
    <w:basedOn w:val="1"/>
    <w:next w:val="55"/>
    <w:autoRedefine/>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4">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5">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autoRedefine/>
    <w:qFormat/>
    <w:uiPriority w:val="0"/>
    <w:pPr>
      <w:autoSpaceDE w:val="0"/>
      <w:autoSpaceDN w:val="0"/>
      <w:adjustRightInd w:val="0"/>
      <w:jc w:val="left"/>
    </w:pPr>
    <w:rPr>
      <w:kern w:val="0"/>
      <w:szCs w:val="20"/>
    </w:rPr>
  </w:style>
  <w:style w:type="paragraph" w:customStyle="1" w:styleId="997">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autoRedefine/>
    <w:qFormat/>
    <w:uiPriority w:val="0"/>
    <w:pPr>
      <w:spacing w:beforeLines="40" w:afterLines="40"/>
      <w:ind w:firstLine="200" w:firstLineChars="200"/>
    </w:pPr>
    <w:rPr>
      <w:rFonts w:cs="宋体"/>
      <w:szCs w:val="20"/>
    </w:rPr>
  </w:style>
  <w:style w:type="paragraph" w:customStyle="1" w:styleId="999">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6"/>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5">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autoRedefine/>
    <w:qFormat/>
    <w:uiPriority w:val="0"/>
    <w:rPr>
      <w:rFonts w:ascii="Tahoma" w:hAnsi="Tahoma"/>
      <w:sz w:val="36"/>
      <w:szCs w:val="36"/>
    </w:rPr>
  </w:style>
  <w:style w:type="paragraph" w:customStyle="1" w:styleId="10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7"/>
    <w:autoRedefine/>
    <w:qFormat/>
    <w:uiPriority w:val="0"/>
    <w:pPr>
      <w:spacing w:afterLines="50"/>
      <w:ind w:left="720"/>
      <w:jc w:val="left"/>
    </w:pPr>
    <w:rPr>
      <w:rFonts w:ascii="宋体"/>
      <w:i/>
      <w:snapToGrid w:val="0"/>
      <w:color w:val="0000FF"/>
      <w:kern w:val="0"/>
      <w:szCs w:val="20"/>
    </w:rPr>
  </w:style>
  <w:style w:type="paragraph" w:customStyle="1" w:styleId="101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autoRedefine/>
    <w:qFormat/>
    <w:uiPriority w:val="0"/>
    <w:rPr>
      <w:rFonts w:ascii="Arial" w:hAnsi="Arial" w:eastAsia="黑体" w:cs="Arial"/>
      <w:kern w:val="2"/>
    </w:rPr>
  </w:style>
  <w:style w:type="paragraph" w:customStyle="1" w:styleId="1014">
    <w:name w:val="Char6"/>
    <w:basedOn w:val="1"/>
    <w:autoRedefine/>
    <w:qFormat/>
    <w:uiPriority w:val="0"/>
    <w:rPr>
      <w:szCs w:val="20"/>
    </w:rPr>
  </w:style>
  <w:style w:type="paragraph" w:customStyle="1" w:styleId="1015">
    <w:name w:val="Char7"/>
    <w:basedOn w:val="1"/>
    <w:autoRedefine/>
    <w:qFormat/>
    <w:uiPriority w:val="0"/>
    <w:rPr>
      <w:rFonts w:ascii="Calibri" w:hAnsi="Calibri"/>
      <w:szCs w:val="20"/>
    </w:rPr>
  </w:style>
  <w:style w:type="character" w:customStyle="1" w:styleId="1016">
    <w:name w:val="称呼 Char"/>
    <w:link w:val="36"/>
    <w:autoRedefine/>
    <w:qFormat/>
    <w:uiPriority w:val="0"/>
    <w:rPr>
      <w:kern w:val="2"/>
      <w:sz w:val="24"/>
      <w:szCs w:val="24"/>
    </w:rPr>
  </w:style>
  <w:style w:type="character" w:customStyle="1" w:styleId="1017">
    <w:name w:val="标题 5 Char"/>
    <w:basedOn w:val="95"/>
    <w:link w:val="2"/>
    <w:autoRedefine/>
    <w:qFormat/>
    <w:uiPriority w:val="9"/>
    <w:rPr>
      <w:b/>
      <w:bCs/>
      <w:kern w:val="2"/>
      <w:sz w:val="28"/>
      <w:szCs w:val="28"/>
    </w:rPr>
  </w:style>
  <w:style w:type="character" w:customStyle="1" w:styleId="1018">
    <w:name w:val="普通(网站) Char"/>
    <w:link w:val="83"/>
    <w:autoRedefine/>
    <w:qFormat/>
    <w:uiPriority w:val="0"/>
    <w:rPr>
      <w:rFonts w:ascii="宋体" w:hAnsi="宋体" w:cs="宋体"/>
      <w:sz w:val="24"/>
      <w:szCs w:val="24"/>
    </w:rPr>
  </w:style>
  <w:style w:type="paragraph" w:customStyle="1" w:styleId="1019">
    <w:name w:val="WPSOffice手动目录 1"/>
    <w:autoRedefine/>
    <w:qFormat/>
    <w:uiPriority w:val="0"/>
    <w:rPr>
      <w:rFonts w:asciiTheme="minorHAnsi" w:hAnsiTheme="minorHAnsi" w:eastAsiaTheme="minorEastAsia" w:cstheme="minorBidi"/>
      <w:lang w:val="en-US" w:eastAsia="zh-CN" w:bidi="ar-SA"/>
    </w:rPr>
  </w:style>
  <w:style w:type="paragraph" w:customStyle="1" w:styleId="1020">
    <w:name w:val="[Normal]"/>
    <w:autoRedefine/>
    <w:qFormat/>
    <w:uiPriority w:val="0"/>
    <w:rPr>
      <w:rFonts w:ascii="宋体" w:hAnsi="宋体" w:eastAsia="宋体" w:cs="Times New Roman"/>
      <w:sz w:val="24"/>
      <w:szCs w:val="22"/>
      <w:lang w:val="zh-CN" w:eastAsia="zh-CN" w:bidi="ar-SA"/>
    </w:rPr>
  </w:style>
  <w:style w:type="character" w:customStyle="1" w:styleId="1021">
    <w:name w:val="font21"/>
    <w:basedOn w:val="95"/>
    <w:autoRedefine/>
    <w:qFormat/>
    <w:uiPriority w:val="0"/>
    <w:rPr>
      <w:rFonts w:hint="eastAsia" w:ascii="宋体" w:hAnsi="宋体" w:eastAsia="宋体" w:cs="宋体"/>
      <w:b/>
      <w:color w:val="000000"/>
      <w:sz w:val="21"/>
      <w:szCs w:val="21"/>
      <w:u w:val="none"/>
    </w:rPr>
  </w:style>
  <w:style w:type="character" w:customStyle="1" w:styleId="1022">
    <w:name w:val="font31"/>
    <w:basedOn w:val="95"/>
    <w:autoRedefine/>
    <w:qFormat/>
    <w:uiPriority w:val="0"/>
    <w:rPr>
      <w:rFonts w:hint="eastAsia" w:ascii="宋体" w:hAnsi="宋体" w:eastAsia="宋体" w:cs="宋体"/>
      <w:color w:val="000000"/>
      <w:sz w:val="21"/>
      <w:szCs w:val="21"/>
      <w:u w:val="none"/>
    </w:rPr>
  </w:style>
  <w:style w:type="character" w:customStyle="1" w:styleId="1023">
    <w:name w:val="font91"/>
    <w:basedOn w:val="95"/>
    <w:autoRedefine/>
    <w:qFormat/>
    <w:uiPriority w:val="0"/>
    <w:rPr>
      <w:rFonts w:hint="eastAsia" w:ascii="宋体" w:hAnsi="宋体" w:eastAsia="宋体" w:cs="宋体"/>
      <w:color w:val="000000"/>
      <w:sz w:val="20"/>
      <w:szCs w:val="20"/>
      <w:u w:val="none"/>
    </w:rPr>
  </w:style>
  <w:style w:type="paragraph" w:styleId="1024">
    <w:name w:val="List Paragraph"/>
    <w:basedOn w:val="1"/>
    <w:autoRedefine/>
    <w:qFormat/>
    <w:uiPriority w:val="99"/>
    <w:pPr>
      <w:ind w:firstLine="420" w:firstLineChars="200"/>
    </w:p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spacing w:line="360" w:lineRule="auto"/>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textRotate="1"/>
    <customShpInfo spid="_x0000_s3078" textRotate="1"/>
    <customShpInfo spid="_x0000_s3079"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85</Pages>
  <Words>46641</Words>
  <Characters>48658</Characters>
  <Lines>280</Lines>
  <Paragraphs>78</Paragraphs>
  <TotalTime>83</TotalTime>
  <ScaleCrop>false</ScaleCrop>
  <LinksUpToDate>false</LinksUpToDate>
  <CharactersWithSpaces>56769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冰洁</cp:lastModifiedBy>
  <cp:lastPrinted>2024-04-09T01:52:00Z</cp:lastPrinted>
  <dcterms:modified xsi:type="dcterms:W3CDTF">2024-04-09T04:46:06Z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E38830965A5A478FAC473EF8D723D37E</vt:lpwstr>
  </property>
  <property fmtid="{D5CDD505-2E9C-101B-9397-08002B2CF9AE}" pid="4" name="commondata">
    <vt:lpwstr>eyJoZGlkIjoiOWJiOGJlZmQ4Y2I5Mzg4ZmQ1MDU4OWVlOGY5Y2E4MTcifQ==</vt:lpwstr>
  </property>
</Properties>
</file>