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sz w:val="44"/>
          <w:szCs w:val="44"/>
          <w:lang w:eastAsia="zh-CN"/>
        </w:rPr>
        <w:t>规划和自然资源数据治理技术支持（2024年度）（重新招标）</w:t>
      </w: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sz w:val="30"/>
          <w:szCs w:val="30"/>
          <w:lang w:val="en-US" w:eastAsia="zh-CN"/>
        </w:rPr>
      </w:pPr>
      <w:r>
        <w:rPr>
          <w:rFonts w:hint="eastAsia" w:ascii="宋体" w:hAnsi="宋体" w:cs="宋体"/>
          <w:sz w:val="30"/>
          <w:szCs w:val="30"/>
        </w:rPr>
        <w:t>编号:</w:t>
      </w:r>
      <w:r>
        <w:rPr>
          <w:rFonts w:hint="eastAsia" w:ascii="宋体" w:hAnsi="宋体" w:cs="宋体"/>
          <w:sz w:val="30"/>
          <w:szCs w:val="30"/>
          <w:lang w:eastAsia="zh-CN"/>
        </w:rPr>
        <w:t>HCZX-24167-1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杭州市规划和自然资源局</w:t>
      </w:r>
    </w:p>
    <w:p>
      <w:pPr>
        <w:spacing w:line="360" w:lineRule="auto"/>
        <w:jc w:val="center"/>
        <w:rPr>
          <w:rFonts w:ascii="宋体" w:hAnsi="宋体" w:cs="宋体"/>
          <w:bCs/>
          <w:sz w:val="32"/>
          <w:szCs w:val="32"/>
        </w:rPr>
      </w:pPr>
      <w:r>
        <w:rPr>
          <w:rFonts w:hint="eastAsia" w:ascii="宋体" w:hAnsi="宋体" w:cs="宋体"/>
          <w:bCs/>
          <w:sz w:val="32"/>
          <w:szCs w:val="32"/>
        </w:rPr>
        <w:t>华诚工程咨询集团有限公司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二〇二四年</w:t>
      </w:r>
      <w:r>
        <w:rPr>
          <w:rFonts w:hint="eastAsia" w:ascii="宋体" w:hAnsi="宋体" w:cs="宋体"/>
          <w:bCs/>
          <w:sz w:val="32"/>
          <w:szCs w:val="32"/>
          <w:lang w:val="en-US" w:eastAsia="zh-CN"/>
        </w:rPr>
        <w:t>四</w:t>
      </w:r>
      <w:r>
        <w:rPr>
          <w:rFonts w:hint="eastAsia" w:ascii="宋体" w:hAnsi="宋体" w:cs="宋体"/>
          <w:bCs/>
          <w:sz w:val="32"/>
          <w:szCs w:val="32"/>
        </w:rPr>
        <w:t>月</w:t>
      </w:r>
      <w:r>
        <w:rPr>
          <w:rFonts w:hint="eastAsia" w:ascii="宋体" w:hAnsi="宋体" w:cs="宋体"/>
          <w:bCs/>
          <w:sz w:val="32"/>
          <w:szCs w:val="32"/>
          <w:lang w:val="en-US" w:eastAsia="zh-CN"/>
        </w:rPr>
        <w:t>二十四</w:t>
      </w:r>
      <w:r>
        <w:rPr>
          <w:rFonts w:hint="eastAsia" w:ascii="宋体" w:hAnsi="宋体" w:cs="宋体"/>
          <w:bCs/>
          <w:sz w:val="32"/>
          <w:szCs w:val="32"/>
        </w:rPr>
        <w:t>日</w:t>
      </w:r>
    </w:p>
    <w:p>
      <w:pPr>
        <w:pStyle w:val="638"/>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638"/>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bookmarkEnd w:id="1"/>
    <w:p>
      <w:pPr>
        <w:adjustRightInd/>
        <w:spacing w:line="360" w:lineRule="auto"/>
        <w:jc w:val="center"/>
        <w:outlineLvl w:val="0"/>
        <w:rPr>
          <w:rFonts w:ascii="宋体" w:hAnsi="宋体" w:cs="宋体"/>
          <w:b/>
          <w:sz w:val="36"/>
          <w:szCs w:val="20"/>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2" w:name="_Hlt74728647"/>
      <w:bookmarkEnd w:id="2"/>
      <w:bookmarkStart w:id="3" w:name="_Hlt74707423"/>
      <w:bookmarkEnd w:id="3"/>
      <w:bookmarkStart w:id="4" w:name="_Hlt74729822"/>
      <w:bookmarkEnd w:id="4"/>
      <w:bookmarkStart w:id="5" w:name="_Hlt74649545"/>
      <w:bookmarkEnd w:id="5"/>
      <w:bookmarkStart w:id="6" w:name="第二部分"/>
      <w:bookmarkStart w:id="7" w:name="_Toc91899870"/>
      <w:bookmarkStart w:id="8" w:name="_Toc91899871"/>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规划和自然资源数据治理技术支持（2024年度）（重新招标）</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4"/>
          <w:szCs w:val="24"/>
        </w:rPr>
        <w:t>https://www.zcygov.cn/）获取（下载）招标文件，并于202</w:t>
      </w:r>
      <w:r>
        <w:rPr>
          <w:rStyle w:val="78"/>
          <w:rFonts w:hint="eastAsia" w:ascii="宋体" w:hAnsi="宋体" w:cs="宋体"/>
          <w:snapToGrid/>
          <w:color w:val="auto"/>
          <w:kern w:val="2"/>
          <w:sz w:val="24"/>
          <w:szCs w:val="24"/>
        </w:rPr>
        <w:t>4</w:t>
      </w:r>
      <w:r>
        <w:rPr>
          <w:rStyle w:val="78"/>
          <w:rFonts w:hint="eastAsia" w:ascii="宋体" w:hAnsi="宋体" w:eastAsia="宋体" w:cs="宋体"/>
          <w:snapToGrid/>
          <w:color w:val="auto"/>
          <w:kern w:val="2"/>
          <w:sz w:val="24"/>
          <w:szCs w:val="24"/>
        </w:rPr>
        <w:t>年</w:t>
      </w:r>
      <w:r>
        <w:rPr>
          <w:rStyle w:val="78"/>
          <w:rFonts w:hint="eastAsia" w:ascii="宋体" w:hAnsi="宋体" w:cs="宋体"/>
          <w:snapToGrid/>
          <w:color w:val="auto"/>
          <w:kern w:val="2"/>
          <w:sz w:val="24"/>
          <w:szCs w:val="24"/>
          <w:lang w:val="en-US" w:eastAsia="zh-CN"/>
        </w:rPr>
        <w:t>5</w:t>
      </w:r>
      <w:r>
        <w:rPr>
          <w:rStyle w:val="78"/>
          <w:rFonts w:hint="eastAsia" w:ascii="宋体" w:hAnsi="宋体" w:eastAsia="宋体" w:cs="宋体"/>
          <w:snapToGrid/>
          <w:color w:val="auto"/>
          <w:kern w:val="2"/>
          <w:sz w:val="24"/>
          <w:szCs w:val="24"/>
        </w:rPr>
        <w:t>月</w:t>
      </w:r>
      <w:r>
        <w:rPr>
          <w:rStyle w:val="78"/>
          <w:rFonts w:hint="eastAsia" w:ascii="宋体" w:hAnsi="宋体" w:cs="宋体"/>
          <w:snapToGrid/>
          <w:color w:val="auto"/>
          <w:kern w:val="2"/>
          <w:sz w:val="24"/>
          <w:szCs w:val="24"/>
          <w:lang w:val="en-US" w:eastAsia="zh-CN"/>
        </w:rPr>
        <w:t>14</w:t>
      </w:r>
      <w:r>
        <w:rPr>
          <w:rStyle w:val="78"/>
          <w:rFonts w:hint="eastAsia" w:ascii="宋体" w:hAnsi="宋体" w:eastAsia="宋体" w:cs="宋体"/>
          <w:snapToGrid/>
          <w:color w:val="auto"/>
          <w:kern w:val="2"/>
          <w:sz w:val="24"/>
          <w:szCs w:val="24"/>
        </w:rPr>
        <w:t>日</w:t>
      </w:r>
      <w:r>
        <w:rPr>
          <w:rStyle w:val="78"/>
          <w:rFonts w:hint="eastAsia" w:ascii="宋体" w:hAnsi="宋体" w:cs="宋体"/>
          <w:snapToGrid/>
          <w:color w:val="auto"/>
          <w:kern w:val="2"/>
          <w:sz w:val="24"/>
          <w:szCs w:val="24"/>
          <w:lang w:val="en-US" w:eastAsia="zh-CN"/>
        </w:rPr>
        <w:t>14</w:t>
      </w:r>
      <w:r>
        <w:rPr>
          <w:rStyle w:val="78"/>
          <w:rFonts w:hint="eastAsia" w:ascii="宋体" w:hAnsi="宋体" w:eastAsia="宋体" w:cs="宋体"/>
          <w:snapToGrid/>
          <w:color w:val="auto"/>
          <w:kern w:val="2"/>
          <w:sz w:val="24"/>
          <w:szCs w:val="24"/>
        </w:rPr>
        <w:t>点</w:t>
      </w:r>
      <w:r>
        <w:rPr>
          <w:rStyle w:val="78"/>
          <w:rFonts w:hint="eastAsia" w:ascii="宋体" w:hAnsi="宋体" w:cs="宋体"/>
          <w:snapToGrid/>
          <w:color w:val="auto"/>
          <w:kern w:val="2"/>
          <w:sz w:val="24"/>
          <w:szCs w:val="24"/>
          <w:lang w:val="en-US" w:eastAsia="zh-CN"/>
        </w:rPr>
        <w:t>30</w:t>
      </w:r>
      <w:r>
        <w:rPr>
          <w:rStyle w:val="78"/>
          <w:rFonts w:hint="eastAsia" w:ascii="宋体" w:hAnsi="宋体" w:eastAsia="宋体" w:cs="宋体"/>
          <w:snapToGrid/>
          <w:color w:val="auto"/>
          <w:kern w:val="2"/>
          <w:sz w:val="24"/>
          <w:szCs w:val="24"/>
        </w:rPr>
        <w:t>分</w:t>
      </w:r>
      <w:r>
        <w:rPr>
          <w:rStyle w:val="78"/>
          <w:rFonts w:hint="eastAsia" w:ascii="宋体" w:hAnsi="宋体" w:eastAsia="宋体" w:cs="宋体"/>
          <w:bCs/>
          <w:snapToGrid/>
          <w:color w:val="auto"/>
          <w:kern w:val="2"/>
          <w:sz w:val="24"/>
          <w:szCs w:val="24"/>
        </w:rPr>
        <w:t>00秒</w:t>
      </w:r>
      <w:r>
        <w:rPr>
          <w:rStyle w:val="78"/>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lang w:eastAsia="zh-CN"/>
        </w:rPr>
        <w:t>HCZX-24167-1</w:t>
      </w:r>
    </w:p>
    <w:p>
      <w:pPr>
        <w:spacing w:line="360" w:lineRule="auto"/>
        <w:ind w:firstLine="480"/>
        <w:rPr>
          <w:rFonts w:hint="eastAsia" w:ascii="宋体" w:hAnsi="宋体" w:cs="宋体"/>
          <w:b/>
          <w:sz w:val="24"/>
        </w:rPr>
      </w:pPr>
      <w:r>
        <w:rPr>
          <w:rFonts w:hint="eastAsia" w:ascii="宋体" w:hAnsi="宋体" w:cs="宋体"/>
          <w:b/>
          <w:sz w:val="24"/>
        </w:rPr>
        <w:t>项目名称：</w:t>
      </w:r>
      <w:r>
        <w:rPr>
          <w:rFonts w:hint="eastAsia" w:ascii="宋体" w:hAnsi="宋体" w:cs="宋体"/>
          <w:bCs/>
          <w:sz w:val="24"/>
          <w:lang w:eastAsia="zh-CN"/>
        </w:rPr>
        <w:t>规划和自然资源数据治理技术支持（2024年度）（重新招标）</w:t>
      </w:r>
      <w:r>
        <w:rPr>
          <w:rFonts w:hint="eastAsia" w:ascii="宋体" w:hAnsi="宋体" w:cs="宋体"/>
          <w:sz w:val="24"/>
        </w:rPr>
        <w:t xml:space="preserve">   </w:t>
      </w:r>
      <w:r>
        <w:rPr>
          <w:rFonts w:hint="eastAsia" w:ascii="宋体" w:hAnsi="宋体" w:cs="宋体"/>
          <w:b/>
          <w:sz w:val="24"/>
        </w:rPr>
        <w:t xml:space="preserve"> </w:t>
      </w:r>
    </w:p>
    <w:p>
      <w:pPr>
        <w:spacing w:line="360" w:lineRule="auto"/>
        <w:ind w:firstLine="480"/>
        <w:rPr>
          <w:rFonts w:ascii="宋体" w:hAnsi="宋体" w:cs="宋体"/>
          <w:sz w:val="24"/>
        </w:rPr>
      </w:pPr>
      <w:r>
        <w:rPr>
          <w:rFonts w:hint="eastAsia" w:ascii="宋体" w:hAnsi="宋体" w:cs="宋体"/>
          <w:b/>
          <w:sz w:val="24"/>
        </w:rPr>
        <w:t>预算金额（元）：</w:t>
      </w:r>
      <w:r>
        <w:rPr>
          <w:rFonts w:hint="eastAsia" w:ascii="宋体" w:hAnsi="宋体" w:cs="宋体"/>
          <w:sz w:val="24"/>
        </w:rPr>
        <w:t>1200000</w:t>
      </w:r>
    </w:p>
    <w:p>
      <w:pPr>
        <w:spacing w:line="360" w:lineRule="auto"/>
        <w:ind w:firstLine="480"/>
        <w:rPr>
          <w:rFonts w:hAnsi="宋体" w:cs="宋体"/>
          <w:b/>
          <w:sz w:val="24"/>
        </w:rPr>
      </w:pPr>
      <w:r>
        <w:rPr>
          <w:rFonts w:hint="eastAsia" w:ascii="宋体" w:hAnsi="宋体" w:cs="宋体"/>
          <w:b/>
          <w:sz w:val="24"/>
        </w:rPr>
        <w:t>最高限价（元）：</w:t>
      </w:r>
      <w:r>
        <w:rPr>
          <w:rFonts w:hint="eastAsia" w:ascii="宋体" w:hAnsi="宋体" w:cs="宋体"/>
          <w:bCs/>
          <w:sz w:val="24"/>
        </w:rPr>
        <w:t>1200000</w:t>
      </w:r>
    </w:p>
    <w:p>
      <w:pPr>
        <w:spacing w:line="360" w:lineRule="auto"/>
        <w:ind w:firstLine="480"/>
        <w:rPr>
          <w:rFonts w:hAnsi="宋体" w:cs="宋体"/>
          <w:bCs/>
          <w:sz w:val="24"/>
        </w:rPr>
      </w:pPr>
      <w:r>
        <w:rPr>
          <w:rFonts w:hint="eastAsia" w:hAnsi="宋体" w:cs="宋体"/>
          <w:b/>
          <w:sz w:val="24"/>
        </w:rPr>
        <w:t>采购需求：</w:t>
      </w:r>
      <w:r>
        <w:rPr>
          <w:rFonts w:hint="eastAsia" w:hAnsi="宋体" w:cs="宋体"/>
          <w:bCs/>
          <w:sz w:val="24"/>
        </w:rPr>
        <w:t>一是进一步完善数据治理清单、标准及数据库。二是数据归集机制和归集工具开发维护更新。三是</w:t>
      </w:r>
      <w:r>
        <w:rPr>
          <w:rFonts w:hint="eastAsia" w:hAnsi="宋体" w:cs="宋体"/>
          <w:bCs/>
          <w:sz w:val="24"/>
          <w:highlight w:val="none"/>
        </w:rPr>
        <w:t>省级系统回流业务数据、</w:t>
      </w:r>
      <w:r>
        <w:rPr>
          <w:rFonts w:hAnsi="宋体" w:cs="宋体"/>
          <w:bCs/>
          <w:sz w:val="24"/>
          <w:highlight w:val="none"/>
        </w:rPr>
        <w:t>市级系统产生数据的</w:t>
      </w:r>
      <w:r>
        <w:rPr>
          <w:rFonts w:hint="eastAsia" w:hAnsi="宋体" w:cs="宋体"/>
          <w:bCs/>
          <w:sz w:val="24"/>
          <w:highlight w:val="none"/>
        </w:rPr>
        <w:t>归集融合。</w:t>
      </w:r>
      <w:r>
        <w:rPr>
          <w:rFonts w:hint="eastAsia" w:hAnsi="宋体" w:cs="宋体"/>
          <w:bCs/>
          <w:sz w:val="24"/>
        </w:rPr>
        <w:t>四是常态化数据质量监控及数据完善。五是开展土地码关联检查及调整。</w:t>
      </w:r>
      <w:r>
        <w:rPr>
          <w:rFonts w:hint="eastAsia" w:asciiTheme="minorEastAsia" w:hAnsiTheme="minorEastAsia" w:eastAsiaTheme="minorEastAsia"/>
          <w:sz w:val="24"/>
        </w:rPr>
        <w:t>具体以招标文件第三部分采购需求为准，供应商可点击本公告下方“浏览采购文件”查看采购需求。</w:t>
      </w:r>
    </w:p>
    <w:p>
      <w:pPr>
        <w:pStyle w:val="132"/>
        <w:ind w:firstLine="482"/>
        <w:outlineLvl w:val="2"/>
        <w:rPr>
          <w:rFonts w:ascii="宋体" w:hAnsi="宋体" w:cs="宋体"/>
        </w:rPr>
      </w:pPr>
      <w:r>
        <w:rPr>
          <w:rFonts w:hint="eastAsia" w:ascii="宋体" w:hAnsi="宋体" w:cs="宋体"/>
          <w:b/>
        </w:rPr>
        <w:t>合同履约期限：</w:t>
      </w:r>
      <w:r>
        <w:rPr>
          <w:rFonts w:hint="eastAsia" w:ascii="宋体" w:hAnsi="宋体" w:cs="宋体"/>
          <w:b/>
          <w:highlight w:val="none"/>
        </w:rPr>
        <w:t>2024年度</w:t>
      </w:r>
      <w:r>
        <w:rPr>
          <w:rFonts w:ascii="宋体" w:hAnsi="宋体" w:cs="宋体"/>
          <w:highlight w:val="none"/>
        </w:rPr>
        <w:t xml:space="preserve">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1"/>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852677806"/>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65352124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120120383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36328916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26306084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%，其中小微企业合同金额应当达到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w:t>
      </w:r>
      <w:r>
        <w:rPr>
          <w:rFonts w:hint="eastAsia" w:ascii="宋体" w:hAnsi="宋体" w:cs="宋体"/>
          <w:sz w:val="24"/>
          <w:u w:val="single"/>
        </w:rPr>
        <w:t>0分00秒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05</w:t>
      </w:r>
      <w:r>
        <w:rPr>
          <w:rFonts w:hint="eastAsia" w:ascii="宋体" w:hAnsi="宋体" w:cs="宋体"/>
          <w:sz w:val="24"/>
          <w:u w:val="single"/>
        </w:rPr>
        <w:t>月</w:t>
      </w:r>
      <w:r>
        <w:rPr>
          <w:rFonts w:hint="eastAsia" w:ascii="宋体" w:hAnsi="宋体" w:cs="宋体"/>
          <w:sz w:val="24"/>
          <w:u w:val="single"/>
          <w:lang w:val="en-US" w:eastAsia="zh-CN"/>
        </w:rPr>
        <w:t>14</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w:t>
      </w:r>
      <w:r>
        <w:rPr>
          <w:rFonts w:hint="eastAsia" w:ascii="宋体" w:hAnsi="宋体" w:cs="宋体"/>
          <w:sz w:val="24"/>
          <w:u w:val="single"/>
        </w:rPr>
        <w:t>0分00秒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称：杭州市规划和自然资源局 </w:t>
      </w:r>
    </w:p>
    <w:p>
      <w:pPr>
        <w:spacing w:line="360" w:lineRule="auto"/>
        <w:rPr>
          <w:rFonts w:ascii="宋体" w:hAnsi="宋体" w:cs="宋体"/>
          <w:sz w:val="24"/>
        </w:rPr>
      </w:pPr>
      <w:r>
        <w:rPr>
          <w:rFonts w:hint="eastAsia" w:ascii="宋体" w:hAnsi="宋体" w:cs="宋体"/>
          <w:sz w:val="24"/>
        </w:rPr>
        <w:t xml:space="preserve">    地    址：浙江省杭州市上城区解放东路18号市民中心       </w:t>
      </w:r>
    </w:p>
    <w:p>
      <w:pPr>
        <w:spacing w:line="360" w:lineRule="auto"/>
        <w:ind w:firstLine="480"/>
        <w:rPr>
          <w:rFonts w:ascii="宋体" w:hAnsi="宋体" w:cs="宋体"/>
          <w:sz w:val="24"/>
        </w:rPr>
      </w:pPr>
      <w:r>
        <w:rPr>
          <w:rFonts w:hint="eastAsia" w:ascii="宋体" w:hAnsi="宋体" w:cs="宋体"/>
          <w:sz w:val="24"/>
        </w:rPr>
        <w:t>传    真： /</w:t>
      </w:r>
    </w:p>
    <w:p>
      <w:pPr>
        <w:spacing w:line="360" w:lineRule="auto"/>
        <w:ind w:firstLine="480"/>
        <w:rPr>
          <w:rFonts w:ascii="宋体" w:hAnsi="宋体" w:cs="宋体"/>
          <w:sz w:val="24"/>
        </w:rPr>
      </w:pPr>
      <w:r>
        <w:rPr>
          <w:rFonts w:hint="eastAsia" w:ascii="宋体" w:hAnsi="宋体" w:cs="宋体"/>
          <w:sz w:val="24"/>
        </w:rPr>
        <w:t xml:space="preserve">项目联系人（询问）：金志清  </w:t>
      </w:r>
    </w:p>
    <w:p>
      <w:pPr>
        <w:spacing w:line="360" w:lineRule="auto"/>
        <w:rPr>
          <w:rFonts w:ascii="宋体" w:hAnsi="宋体" w:cs="宋体"/>
          <w:sz w:val="24"/>
        </w:rPr>
      </w:pPr>
      <w:r>
        <w:rPr>
          <w:rFonts w:hint="eastAsia" w:ascii="宋体" w:hAnsi="宋体" w:cs="宋体"/>
          <w:sz w:val="24"/>
        </w:rPr>
        <w:t xml:space="preserve">    项目联系方式（询问）：15158888210 </w:t>
      </w:r>
    </w:p>
    <w:p>
      <w:pPr>
        <w:spacing w:line="360" w:lineRule="auto"/>
        <w:rPr>
          <w:rFonts w:ascii="宋体" w:hAnsi="宋体" w:cs="宋体"/>
          <w:sz w:val="24"/>
        </w:rPr>
      </w:pPr>
      <w:r>
        <w:rPr>
          <w:rFonts w:hint="eastAsia" w:ascii="宋体" w:hAnsi="宋体" w:cs="宋体"/>
          <w:sz w:val="24"/>
        </w:rPr>
        <w:t xml:space="preserve">    质疑联系人：黄玮玮 </w:t>
      </w:r>
    </w:p>
    <w:p>
      <w:pPr>
        <w:spacing w:line="360" w:lineRule="auto"/>
        <w:rPr>
          <w:rFonts w:ascii="宋体" w:hAnsi="宋体" w:cs="宋体"/>
          <w:sz w:val="24"/>
        </w:rPr>
      </w:pPr>
      <w:r>
        <w:rPr>
          <w:rFonts w:hint="eastAsia" w:ascii="宋体" w:hAnsi="宋体" w:cs="宋体"/>
          <w:sz w:val="24"/>
        </w:rPr>
        <w:t xml:space="preserve">    质疑联系方式：0571-85254832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称：华诚工程咨询集团有限公司</w:t>
      </w:r>
    </w:p>
    <w:p>
      <w:pPr>
        <w:spacing w:line="360" w:lineRule="auto"/>
        <w:ind w:firstLine="480"/>
        <w:rPr>
          <w:rFonts w:ascii="宋体" w:hAnsi="宋体" w:cs="宋体"/>
          <w:sz w:val="24"/>
        </w:rPr>
      </w:pPr>
      <w:r>
        <w:rPr>
          <w:rFonts w:hint="eastAsia" w:ascii="宋体" w:hAnsi="宋体" w:cs="宋体"/>
          <w:sz w:val="24"/>
        </w:rPr>
        <w:t>地    址：杭州市拱墅区彩云路105号锦盛大楼8楼</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林特、赵佳阳</w:t>
      </w:r>
    </w:p>
    <w:p>
      <w:pPr>
        <w:spacing w:line="360" w:lineRule="auto"/>
        <w:rPr>
          <w:rFonts w:ascii="宋体" w:hAnsi="宋体" w:cs="宋体"/>
          <w:sz w:val="24"/>
        </w:rPr>
      </w:pPr>
      <w:r>
        <w:rPr>
          <w:rFonts w:hint="eastAsia" w:ascii="宋体" w:hAnsi="宋体" w:cs="宋体"/>
          <w:sz w:val="24"/>
        </w:rPr>
        <w:t xml:space="preserve">    项目联系方式（询问）：13736703125、15868898744</w:t>
      </w:r>
    </w:p>
    <w:p>
      <w:pPr>
        <w:spacing w:line="360" w:lineRule="auto"/>
        <w:rPr>
          <w:rFonts w:ascii="宋体" w:hAnsi="宋体" w:cs="宋体"/>
          <w:sz w:val="24"/>
        </w:rPr>
      </w:pPr>
      <w:r>
        <w:rPr>
          <w:rFonts w:hint="eastAsia" w:ascii="宋体" w:hAnsi="宋体" w:cs="宋体"/>
          <w:sz w:val="24"/>
        </w:rPr>
        <w:t xml:space="preserve">    质疑联系人：孙杏花</w:t>
      </w:r>
    </w:p>
    <w:p>
      <w:pPr>
        <w:spacing w:line="360" w:lineRule="auto"/>
        <w:rPr>
          <w:rFonts w:ascii="宋体" w:hAnsi="宋体" w:cs="宋体"/>
          <w:sz w:val="24"/>
        </w:rPr>
      </w:pPr>
      <w:r>
        <w:rPr>
          <w:rFonts w:hint="eastAsia" w:ascii="宋体" w:hAnsi="宋体" w:cs="宋体"/>
          <w:sz w:val="24"/>
        </w:rPr>
        <w:t xml:space="preserve">    质疑联系方式：</w:t>
      </w:r>
      <w:r>
        <w:rPr>
          <w:rFonts w:ascii="宋体" w:hAnsi="宋体" w:cs="宋体"/>
          <w:sz w:val="24"/>
        </w:rPr>
        <w:t>0571-87032325</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ascii="宋体" w:hAnsi="宋体" w:cs="宋体"/>
          <w:sz w:val="24"/>
        </w:rPr>
      </w:pPr>
      <w:r>
        <w:rPr>
          <w:rFonts w:hint="eastAsia" w:ascii="宋体" w:hAnsi="宋体" w:cs="宋体"/>
          <w:sz w:val="24"/>
        </w:rPr>
        <w:t xml:space="preserve">监督投诉电话：电话：0571-85252453   </w:t>
      </w:r>
    </w:p>
    <w:p>
      <w:pPr>
        <w:spacing w:line="360" w:lineRule="auto"/>
        <w:ind w:firstLine="480"/>
        <w:rPr>
          <w:rFonts w:ascii="宋体" w:hAnsi="宋体" w:cs="宋体"/>
          <w:sz w:val="24"/>
        </w:rPr>
      </w:pPr>
      <w:r>
        <w:rPr>
          <w:rFonts w:hint="eastAsia" w:ascii="宋体" w:hAnsi="宋体" w:cs="宋体"/>
          <w:sz w:val="24"/>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6"/>
      <w:r>
        <w:rPr>
          <w:rFonts w:hint="eastAsia" w:ascii="宋体" w:hAnsi="宋体" w:cs="宋体"/>
          <w:b/>
          <w:sz w:val="36"/>
          <w:szCs w:val="20"/>
        </w:rPr>
        <w:t xml:space="preserve"> 投标人须知</w:t>
      </w:r>
      <w:bookmarkEnd w:id="7"/>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（1）标的：</w:t>
            </w:r>
            <w:r>
              <w:rPr>
                <w:rFonts w:hint="eastAsia" w:ascii="宋体" w:hAnsi="宋体" w:cs="宋体"/>
                <w:kern w:val="0"/>
                <w:sz w:val="24"/>
                <w:u w:val="single"/>
              </w:rPr>
              <w:t xml:space="preserve"> </w:t>
            </w:r>
            <w:r>
              <w:rPr>
                <w:rFonts w:hint="eastAsia" w:ascii="宋体" w:hAnsi="宋体" w:cs="宋体"/>
                <w:kern w:val="0"/>
                <w:sz w:val="24"/>
                <w:u w:val="single"/>
                <w:lang w:eastAsia="zh-CN"/>
              </w:rPr>
              <w:t>规划和自然资源数据治理技术支持（2024年度）（重新招标）</w:t>
            </w:r>
            <w:r>
              <w:rPr>
                <w:rFonts w:hint="eastAsia" w:ascii="宋体" w:hAnsi="宋体" w:cs="宋体"/>
                <w:kern w:val="0"/>
                <w:sz w:val="24"/>
                <w:u w:val="single"/>
              </w:rPr>
              <w:t xml:space="preserve"> </w:t>
            </w:r>
            <w:r>
              <w:rPr>
                <w:rFonts w:hint="eastAsia" w:ascii="宋体" w:hAnsi="宋体" w:cs="宋体"/>
                <w:kern w:val="0"/>
                <w:sz w:val="24"/>
              </w:rPr>
              <w:t>，属</w:t>
            </w:r>
            <w:r>
              <w:rPr>
                <w:rFonts w:hint="eastAsia" w:ascii="宋体" w:hAnsi="宋体" w:cs="宋体"/>
                <w:kern w:val="0"/>
                <w:sz w:val="24"/>
                <w:highlight w:val="none"/>
              </w:rPr>
              <w:t>于</w:t>
            </w:r>
            <w:r>
              <w:rPr>
                <w:rFonts w:hint="eastAsia" w:ascii="宋体" w:hAnsi="宋体" w:cs="宋体"/>
                <w:kern w:val="0"/>
                <w:sz w:val="24"/>
                <w:highlight w:val="none"/>
                <w:u w:val="single"/>
              </w:rPr>
              <w:t xml:space="preserve"> 软件和信息技术服务业 </w:t>
            </w:r>
            <w:r>
              <w:rPr>
                <w:rFonts w:hint="eastAsia" w:ascii="宋体" w:hAnsi="宋体" w:cs="宋体"/>
                <w:kern w:val="0"/>
                <w:sz w:val="24"/>
                <w:highlight w:val="none"/>
              </w:rPr>
              <w:t>行业</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23701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13990200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39065330"/>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w:t>
            </w:r>
            <w:r>
              <w:rPr>
                <w:rFonts w:hint="eastAsia" w:ascii="宋体" w:hAnsi="宋体" w:cs="宋体"/>
                <w:kern w:val="0"/>
                <w:sz w:val="24"/>
                <w:highlight w:val="none"/>
              </w:rPr>
              <w:t>A</w:t>
            </w:r>
            <w:r>
              <w:rPr>
                <w:rFonts w:hint="eastAsia" w:ascii="宋体" w:hAnsi="宋体" w:cs="宋体"/>
                <w:sz w:val="24"/>
                <w:highlight w:val="none"/>
              </w:rPr>
              <w:t>同意将非主体、非关键性的</w:t>
            </w:r>
            <w:r>
              <w:rPr>
                <w:rFonts w:hint="eastAsia" w:ascii="宋体" w:hAnsi="宋体" w:cs="宋体"/>
                <w:sz w:val="24"/>
                <w:highlight w:val="none"/>
                <w:u w:val="single"/>
              </w:rPr>
              <w:t xml:space="preserve">       </w:t>
            </w:r>
            <w:r>
              <w:rPr>
                <w:rFonts w:hint="eastAsia" w:ascii="宋体" w:hAnsi="宋体" w:cs="宋体"/>
                <w:sz w:val="24"/>
                <w:highlight w:val="none"/>
              </w:rPr>
              <w:t>工作分包</w:t>
            </w:r>
          </w:p>
          <w:p>
            <w:pPr>
              <w:spacing w:line="360" w:lineRule="auto"/>
              <w:rPr>
                <w:rFonts w:ascii="宋体" w:hAnsi="宋体" w:cs="宋体"/>
                <w:sz w:val="24"/>
              </w:rPr>
            </w:pPr>
            <w:sdt>
              <w:sdtPr>
                <w:rPr>
                  <w:rFonts w:hint="eastAsia" w:ascii="宋体" w:hAnsi="宋体" w:cs="宋体"/>
                  <w:kern w:val="0"/>
                  <w:sz w:val="24"/>
                  <w:highlight w:val="yellow"/>
                </w:rPr>
                <w:id w:val="70853494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cs="宋体"/>
                    <w:kern w:val="0"/>
                    <w:sz w:val="24"/>
                    <w:highlight w:val="none"/>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037931132"/>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121731777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0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52714662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08310116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20（编制时可根据项目情况进行调整）</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3（编制时可根据项目情况进行调整）</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auto" w:sz="4" w:space="0"/>
              <w:left w:val="single" w:color="000000" w:sz="8" w:space="0"/>
              <w:bottom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 xml:space="preserve"> 杭州市拱墅区彩云路105号锦盛大楼8楼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hAnsi="宋体" w:cs="宋体"/>
                <w:kern w:val="28"/>
                <w:sz w:val="24"/>
                <w:szCs w:val="24"/>
                <w:u w:val="single"/>
              </w:rPr>
              <w:t>林特</w:t>
            </w:r>
            <w:r>
              <w:rPr>
                <w:rFonts w:hint="eastAsia" w:hAnsi="宋体" w:cs="宋体"/>
                <w:sz w:val="24"/>
                <w:szCs w:val="24"/>
                <w:u w:val="single"/>
              </w:rPr>
              <w:t xml:space="preserve"> 13736703125</w:t>
            </w:r>
            <w:r>
              <w:rPr>
                <w:rFonts w:hint="eastAsia" w:hAnsi="宋体" w:cs="宋体"/>
                <w:sz w:val="24"/>
                <w:u w:val="single"/>
              </w:rPr>
              <w:t xml:space="preserve"> </w:t>
            </w:r>
            <w:r>
              <w:rPr>
                <w:rFonts w:hint="eastAsia" w:hAnsi="宋体" w:cs="宋体"/>
                <w:sz w:val="24"/>
                <w:szCs w:val="24"/>
              </w:rPr>
              <w:t>。</w:t>
            </w:r>
            <w:r>
              <w:rPr>
                <w:rFonts w:hint="eastAsia" w:hAnsi="宋体" w:cs="宋体"/>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vMerge w:val="continue"/>
            <w:tcBorders>
              <w:top w:val="single" w:color="000000" w:sz="8" w:space="0"/>
              <w:left w:val="single" w:color="000000" w:sz="8" w:space="0"/>
              <w:bottom w:val="single" w:color="000000" w:sz="8" w:space="0"/>
              <w:right w:val="single" w:color="000000" w:sz="8" w:space="0"/>
            </w:tcBorders>
          </w:tcPr>
          <w:p>
            <w:pPr>
              <w:snapToGrid w:val="0"/>
              <w:spacing w:line="360" w:lineRule="auto"/>
              <w:jc w:val="center"/>
              <w:rPr>
                <w:rFonts w:ascii="宋体" w:hAnsi="宋体" w:cs="宋体"/>
                <w:sz w:val="24"/>
              </w:rPr>
            </w:pPr>
          </w:p>
        </w:tc>
        <w:tc>
          <w:tcPr>
            <w:tcW w:w="1843" w:type="dxa"/>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049408065"/>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78724294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trPr>
        <w:tc>
          <w:tcPr>
            <w:tcW w:w="629" w:type="dxa"/>
            <w:tcBorders>
              <w:top w:val="single" w:color="000000" w:sz="8"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ind w:firstLine="480" w:firstLineChars="200"/>
              <w:rPr>
                <w:rFonts w:hAnsi="宋体"/>
                <w:kern w:val="0"/>
                <w:sz w:val="24"/>
              </w:rPr>
            </w:pPr>
            <w:r>
              <w:rPr>
                <w:rFonts w:hint="eastAsia" w:hAnsi="宋体" w:cs="宋体"/>
                <w:kern w:val="0"/>
                <w:sz w:val="24"/>
              </w:rPr>
              <w:t>本项目的采购代理服务费由中标人支付，服务费</w:t>
            </w:r>
            <w:r>
              <w:rPr>
                <w:rFonts w:hint="eastAsia" w:hAnsi="宋体"/>
                <w:kern w:val="0"/>
                <w:sz w:val="24"/>
              </w:rPr>
              <w:t>以成交金额为基数按以下标准70%计取，不足5000元按5000元计取。具体标准详见下表：</w:t>
            </w:r>
          </w:p>
          <w:tbl>
            <w:tblPr>
              <w:tblStyle w:val="64"/>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金额（万元）</w:t>
                  </w:r>
                </w:p>
              </w:tc>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100以下部分</w:t>
                  </w:r>
                </w:p>
              </w:tc>
              <w:tc>
                <w:tcPr>
                  <w:tcW w:w="2943" w:type="dxa"/>
                  <w:vAlign w:val="center"/>
                </w:tcPr>
                <w:p>
                  <w:pPr>
                    <w:snapToGrid w:val="0"/>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100~500之间部分</w:t>
                  </w:r>
                </w:p>
              </w:tc>
              <w:tc>
                <w:tcPr>
                  <w:tcW w:w="2943" w:type="dxa"/>
                  <w:vAlign w:val="center"/>
                </w:tcPr>
                <w:p>
                  <w:pPr>
                    <w:snapToGrid w:val="0"/>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500~1000之间部分</w:t>
                  </w:r>
                </w:p>
              </w:tc>
              <w:tc>
                <w:tcPr>
                  <w:tcW w:w="2943" w:type="dxa"/>
                  <w:vAlign w:val="center"/>
                </w:tcPr>
                <w:p>
                  <w:pPr>
                    <w:snapToGrid w:val="0"/>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725"/>
                    <w:spacing w:after="120" w:line="300" w:lineRule="auto"/>
                    <w:ind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1000-5000之间部分</w:t>
                  </w:r>
                </w:p>
              </w:tc>
              <w:tc>
                <w:tcPr>
                  <w:tcW w:w="2943" w:type="dxa"/>
                  <w:vAlign w:val="center"/>
                </w:tcPr>
                <w:p>
                  <w:pPr>
                    <w:snapToGrid w:val="0"/>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0.25%</w:t>
                  </w:r>
                </w:p>
              </w:tc>
            </w:tr>
          </w:tbl>
          <w:p>
            <w:pPr>
              <w:pStyle w:val="34"/>
              <w:spacing w:line="360" w:lineRule="auto"/>
              <w:ind w:firstLine="480" w:firstLineChars="200"/>
              <w:rPr>
                <w:rFonts w:hAnsi="宋体" w:cs="宋体"/>
                <w:kern w:val="0"/>
                <w:sz w:val="24"/>
              </w:rPr>
            </w:pPr>
            <w:r>
              <w:rPr>
                <w:rFonts w:hint="eastAsia" w:hAnsi="宋体" w:cs="宋体"/>
                <w:kern w:val="0"/>
                <w:sz w:val="24"/>
              </w:rPr>
              <w:t>在接到中标通知书后两个工作日内由中标人一次性向采购代理机构付清。采购代理服务费须包含在投标报价中，并以人民币方式支付。服务费汇入以下账号：</w:t>
            </w:r>
          </w:p>
          <w:p>
            <w:pPr>
              <w:pStyle w:val="34"/>
              <w:spacing w:line="360" w:lineRule="auto"/>
              <w:ind w:firstLine="480" w:firstLineChars="200"/>
              <w:rPr>
                <w:rFonts w:hAnsi="宋体" w:cs="宋体"/>
                <w:kern w:val="0"/>
                <w:sz w:val="24"/>
              </w:rPr>
            </w:pPr>
            <w:r>
              <w:rPr>
                <w:rFonts w:hint="eastAsia" w:hAnsi="宋体" w:cs="宋体"/>
                <w:kern w:val="0"/>
                <w:sz w:val="24"/>
              </w:rPr>
              <w:t>户 名：华诚工程咨询集团有限公司</w:t>
            </w:r>
          </w:p>
          <w:p>
            <w:pPr>
              <w:pStyle w:val="34"/>
              <w:spacing w:line="360" w:lineRule="auto"/>
              <w:ind w:firstLine="480" w:firstLineChars="200"/>
              <w:rPr>
                <w:rFonts w:hAnsi="宋体"/>
                <w:kern w:val="0"/>
                <w:sz w:val="24"/>
              </w:rPr>
            </w:pPr>
            <w:r>
              <w:rPr>
                <w:rFonts w:hint="eastAsia" w:hAnsi="宋体" w:cs="宋体"/>
                <w:kern w:val="0"/>
                <w:sz w:val="24"/>
              </w:rPr>
              <w:t>开 户：</w:t>
            </w:r>
            <w:r>
              <w:rPr>
                <w:rFonts w:hint="eastAsia" w:hAnsi="宋体"/>
                <w:kern w:val="0"/>
                <w:sz w:val="24"/>
              </w:rPr>
              <w:t>上海浦东发展银行股份有限公司杭州和睦支行</w:t>
            </w:r>
          </w:p>
          <w:p>
            <w:pPr>
              <w:spacing w:line="360" w:lineRule="auto"/>
              <w:ind w:firstLine="480" w:firstLineChars="200"/>
              <w:rPr>
                <w:rFonts w:cs="Arial" w:asciiTheme="minorEastAsia" w:hAnsiTheme="minorEastAsia" w:eastAsiaTheme="minorEastAsia"/>
                <w:kern w:val="0"/>
                <w:sz w:val="24"/>
              </w:rPr>
            </w:pPr>
            <w:r>
              <w:rPr>
                <w:rFonts w:hint="eastAsia" w:hAnsi="宋体" w:cs="宋体"/>
                <w:kern w:val="0"/>
                <w:sz w:val="24"/>
              </w:rPr>
              <w:t>账 号：</w:t>
            </w:r>
            <w:r>
              <w:rPr>
                <w:rFonts w:hAnsi="宋体" w:cs="宋体"/>
                <w:kern w:val="0"/>
                <w:sz w:val="24"/>
              </w:rPr>
              <w:t>95220078801100000315</w:t>
            </w:r>
          </w:p>
        </w:tc>
      </w:tr>
    </w:tbl>
    <w:p>
      <w:pPr>
        <w:snapToGrid w:val="0"/>
        <w:spacing w:line="360" w:lineRule="auto"/>
        <w:jc w:val="center"/>
        <w:rPr>
          <w:rFonts w:ascii="宋体" w:hAnsi="宋体" w:cs="宋体"/>
          <w:b/>
          <w:sz w:val="32"/>
          <w:szCs w:val="20"/>
        </w:rPr>
      </w:pPr>
    </w:p>
    <w:bookmarkEnd w:id="8"/>
    <w:p>
      <w:pPr>
        <w:adjustRightInd/>
        <w:spacing w:line="360" w:lineRule="auto"/>
        <w:ind w:firstLine="3845" w:firstLineChars="1197"/>
        <w:outlineLvl w:val="0"/>
        <w:rPr>
          <w:rFonts w:ascii="宋体" w:hAnsi="宋体" w:cs="宋体"/>
          <w:b/>
          <w:sz w:val="32"/>
          <w:szCs w:val="20"/>
        </w:rPr>
      </w:pPr>
      <w:bookmarkStart w:id="9" w:name="第三部分"/>
      <w:bookmarkStart w:id="10"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pStyle w:val="4"/>
        <w:adjustRightInd w:val="0"/>
        <w:ind w:left="0" w:firstLine="480" w:firstLineChars="200"/>
      </w:pPr>
      <w:r>
        <w:rPr>
          <w:rFonts w:hint="eastAsia" w:ascii="宋体" w:hAnsi="宋体" w:eastAsia="宋体" w:cs="仿宋"/>
          <w:b w:val="0"/>
          <w:bCs w:val="0"/>
          <w:sz w:val="24"/>
          <w:szCs w:val="24"/>
          <w:lang w:val="en-US"/>
        </w:rPr>
        <w:t>3.4.3 采购人应当贯彻落实知识产权保护相关法律法规，应当采购使用正版软件。</w:t>
      </w:r>
    </w:p>
    <w:p>
      <w:pPr>
        <w:spacing w:line="360" w:lineRule="auto"/>
        <w:ind w:firstLine="480" w:firstLineChars="2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r>
        <w:rPr>
          <w:rFonts w:hint="eastAsia" w:ascii="宋体" w:hAnsi="宋体" w:cs="仿宋"/>
          <w:sz w:val="24"/>
        </w:rPr>
        <w:t>、补偿救济</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0"/>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pPr>
      <w:r>
        <w:rPr>
          <w:rFonts w:hint="eastAsia"/>
        </w:rPr>
        <w:t>质疑函范本及制作说明详见附件2。</w:t>
      </w:r>
    </w:p>
    <w:p>
      <w:pPr>
        <w:pStyle w:val="890"/>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0"/>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0"/>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napToGrid w:val="0"/>
        <w:spacing w:line="360" w:lineRule="auto"/>
        <w:ind w:firstLine="480" w:firstLineChars="200"/>
        <w:rPr>
          <w:rFonts w:ascii="宋体" w:hAnsi="宋体" w:cs="仿宋"/>
          <w:sz w:val="24"/>
        </w:rPr>
      </w:pPr>
      <w:r>
        <w:rPr>
          <w:rFonts w:hint="eastAsia" w:ascii="宋体" w:hAnsi="宋体" w:cs="仿宋"/>
          <w:sz w:val="24"/>
        </w:rPr>
        <w:t>4.5 补偿救济</w:t>
      </w:r>
    </w:p>
    <w:p>
      <w:pPr>
        <w:snapToGrid w:val="0"/>
        <w:spacing w:line="360" w:lineRule="auto"/>
        <w:ind w:firstLine="480" w:firstLineChars="200"/>
        <w:rPr>
          <w:rFonts w:ascii="宋体" w:hAnsi="宋体" w:cs="仿宋"/>
          <w:sz w:val="24"/>
        </w:rPr>
      </w:pPr>
      <w:r>
        <w:rPr>
          <w:rFonts w:hint="eastAsia" w:ascii="宋体" w:hAnsi="宋体" w:cs="仿宋"/>
          <w:sz w:val="24"/>
        </w:rPr>
        <w:t>采购人（行政机关）因政策变化、规划调整而不履行政府采购合同的，供应商可依据《杭州市涉企补偿救济实施办法（试行）》向采购人（行政机关）提起补偿申请。</w:t>
      </w:r>
    </w:p>
    <w:p>
      <w:pPr>
        <w:pStyle w:val="890"/>
        <w:shd w:val="clear" w:color="auto" w:fill="FFFFFF"/>
        <w:snapToGrid w:val="0"/>
        <w:spacing w:after="240" w:afterAutospacing="0" w:line="360" w:lineRule="auto"/>
        <w:ind w:firstLine="400"/>
        <w:contextualSpacing/>
      </w:pPr>
    </w:p>
    <w:p>
      <w:pPr>
        <w:pStyle w:val="890"/>
        <w:shd w:val="clear" w:color="auto" w:fill="FFFFFF"/>
        <w:snapToGrid w:val="0"/>
        <w:spacing w:after="240" w:afterAutospacing="0" w:line="360" w:lineRule="auto"/>
        <w:ind w:firstLine="400"/>
        <w:contextualSpacing/>
      </w:pPr>
      <w:r>
        <w:rPr>
          <w:rFonts w:hint="eastAsia"/>
        </w:rPr>
        <w:t>投诉书范本及制作说明详见附件3。</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pStyle w:val="4"/>
        <w:adjustRightInd w:val="0"/>
        <w:ind w:left="0" w:firstLine="960" w:firstLineChars="400"/>
      </w:pPr>
      <w:r>
        <w:rPr>
          <w:rFonts w:hint="eastAsia" w:ascii="宋体" w:hAnsi="宋体" w:eastAsia="宋体" w:cs="宋体"/>
          <w:b w:val="0"/>
          <w:bCs w:val="0"/>
          <w:sz w:val="24"/>
          <w:szCs w:val="24"/>
          <w:lang w:val="en-US"/>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sz w:val="24"/>
        </w:rPr>
      </w:pPr>
      <w:r>
        <w:rPr>
          <w:rFonts w:hint="eastAsia" w:ascii="宋体" w:hAnsi="宋体" w:cs="宋体"/>
          <w:sz w:val="24"/>
        </w:rPr>
        <w:t>11.3.3中小企业声明函。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rPr>
      </w:pPr>
      <w:r>
        <w:rPr>
          <w:rFonts w:hint="eastAsia" w:ascii="宋体" w:hAnsi="宋体" w:cs="宋体"/>
          <w:b/>
          <w:sz w:val="24"/>
        </w:rPr>
        <w:t>投标人提供虚假材料投标的，投标无效。</w:t>
      </w:r>
    </w:p>
    <w:p>
      <w:pPr>
        <w:spacing w:line="360" w:lineRule="auto"/>
        <w:ind w:firstLine="720" w:firstLineChars="300"/>
      </w:pPr>
      <w:r>
        <w:rPr>
          <w:rFonts w:hint="eastAsia"/>
          <w:sz w:val="24"/>
          <w:shd w:val="clear" w:color="auto" w:fill="FFFFFF"/>
        </w:rPr>
        <w:t>投标人应对投标文件中材料的真实性、合法性负责。</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2"/>
        <w:snapToGrid w:val="0"/>
        <w:spacing w:before="0"/>
        <w:ind w:firstLine="480"/>
        <w:rPr>
          <w:rFonts w:ascii="宋体" w:hAnsi="宋体" w:cs="宋体"/>
        </w:rPr>
      </w:pPr>
      <w:r>
        <w:rPr>
          <w:rFonts w:hint="eastAsia" w:ascii="宋体" w:hAnsi="宋体" w:cs="宋体"/>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1"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2" w:name="_Hlk101184471"/>
      <w:r>
        <w:rPr>
          <w:rFonts w:hint="eastAsia" w:ascii="宋体" w:hAnsi="宋体" w:cs="宋体"/>
          <w:sz w:val="24"/>
        </w:rPr>
        <w:t>资格审查情况、评审专家抽取规则、符合性审查情况、</w:t>
      </w:r>
      <w:bookmarkEnd w:id="12"/>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pStyle w:val="132"/>
        <w:snapToGrid w:val="0"/>
        <w:spacing w:before="0"/>
        <w:ind w:firstLine="482"/>
        <w:rPr>
          <w:rStyle w:val="80"/>
        </w:rPr>
      </w:pPr>
      <w:r>
        <w:rPr>
          <w:rFonts w:hint="eastAsia" w:ascii="宋体" w:hAnsi="宋体" w:cs="宋体"/>
          <w:b/>
          <w:szCs w:val="24"/>
        </w:rPr>
        <w:t xml:space="preserve">23.4 </w:t>
      </w:r>
      <w:r>
        <w:rPr>
          <w:rFonts w:hint="eastAsia" w:ascii="宋体" w:hAnsi="宋体" w:cs="宋体"/>
          <w:bCs/>
          <w:szCs w:val="24"/>
        </w:rPr>
        <w:t>由于中标、成交供应商原因导致重新采购的，应当承担支付代理费和专家评审费等费用在内的赔偿责任。</w:t>
      </w:r>
    </w:p>
    <w:p>
      <w:pPr>
        <w:pStyle w:val="81"/>
      </w:pP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4"/>
        <w:adjustRightInd w:val="0"/>
        <w:snapToGrid w:val="0"/>
        <w:ind w:left="0" w:firstLine="480" w:firstLineChars="20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81"/>
      </w:pPr>
    </w:p>
    <w:bookmarkEnd w:id="11"/>
    <w:p>
      <w:pPr>
        <w:tabs>
          <w:tab w:val="left" w:pos="0"/>
        </w:tabs>
        <w:spacing w:line="360" w:lineRule="auto"/>
        <w:ind w:firstLine="480"/>
        <w:rPr>
          <w:rFonts w:ascii="宋体" w:hAnsi="宋体" w:cs="宋体"/>
          <w:kern w:val="0"/>
          <w:sz w:val="24"/>
        </w:rPr>
        <w:sectPr>
          <w:footerReference r:id="rId8" w:type="default"/>
          <w:pgSz w:w="11906" w:h="16838"/>
          <w:pgMar w:top="680" w:right="1418" w:bottom="468" w:left="1418" w:header="851" w:footer="992" w:gutter="0"/>
          <w:pgNumType w:start="1"/>
          <w:cols w:space="720" w:num="1"/>
          <w:docGrid w:linePitch="312" w:charSpace="0"/>
        </w:sectPr>
      </w:pPr>
      <w:bookmarkStart w:id="13" w:name="_Hlt75236101"/>
      <w:bookmarkEnd w:id="13"/>
      <w:bookmarkStart w:id="14" w:name="_Hlt75236011"/>
      <w:bookmarkEnd w:id="14"/>
      <w:bookmarkStart w:id="15" w:name="_Hlt68072990"/>
      <w:bookmarkEnd w:id="15"/>
      <w:bookmarkStart w:id="16" w:name="_Hlt74714665"/>
      <w:bookmarkEnd w:id="16"/>
      <w:bookmarkStart w:id="17" w:name="_Hlt74707468"/>
      <w:bookmarkEnd w:id="17"/>
      <w:bookmarkStart w:id="18" w:name="_Hlt68403820"/>
      <w:bookmarkEnd w:id="18"/>
      <w:bookmarkStart w:id="19" w:name="_Hlt75236290"/>
      <w:bookmarkEnd w:id="19"/>
      <w:bookmarkStart w:id="20" w:name="_Hlt68073093"/>
      <w:bookmarkEnd w:id="20"/>
      <w:bookmarkStart w:id="21" w:name="_Hlt74730295"/>
      <w:bookmarkEnd w:id="21"/>
      <w:bookmarkStart w:id="22" w:name="_Hlt68057669"/>
      <w:bookmarkEnd w:id="22"/>
      <w:bookmarkStart w:id="23" w:name="_Hlt68072998"/>
      <w:bookmarkEnd w:id="23"/>
      <w:bookmarkStart w:id="24" w:name="_Hlt74729768"/>
      <w:bookmarkEnd w:id="24"/>
    </w:p>
    <w:bookmarkEnd w:id="9"/>
    <w:bookmarkEnd w:id="10"/>
    <w:p>
      <w:pPr>
        <w:spacing w:line="360" w:lineRule="auto"/>
        <w:jc w:val="center"/>
        <w:outlineLvl w:val="0"/>
        <w:rPr>
          <w:rFonts w:ascii="宋体" w:hAnsi="宋体" w:cs="宋体"/>
          <w:b/>
          <w:sz w:val="36"/>
          <w:szCs w:val="36"/>
        </w:rPr>
      </w:pPr>
      <w:bookmarkStart w:id="25" w:name="第四部分"/>
      <w:r>
        <w:rPr>
          <w:rFonts w:hint="eastAsia" w:ascii="宋体" w:hAnsi="宋体" w:cs="宋体"/>
          <w:b/>
          <w:sz w:val="36"/>
          <w:szCs w:val="36"/>
        </w:rPr>
        <w:t>第三部分   采购需求</w:t>
      </w:r>
    </w:p>
    <w:p>
      <w:pPr>
        <w:snapToGrid w:val="0"/>
        <w:spacing w:line="360" w:lineRule="auto"/>
        <w:rPr>
          <w:rFonts w:ascii="宋体" w:hAnsi="宋体" w:cs="宋体"/>
          <w:b/>
          <w:bCs/>
          <w:sz w:val="24"/>
        </w:rPr>
      </w:pPr>
      <w:bookmarkStart w:id="26" w:name="_Toc19077"/>
      <w:r>
        <w:rPr>
          <w:rFonts w:hint="eastAsia" w:ascii="宋体" w:hAnsi="宋体" w:cs="宋体"/>
          <w:b/>
          <w:bCs/>
          <w:sz w:val="24"/>
        </w:rPr>
        <w:t>一、背景</w:t>
      </w:r>
    </w:p>
    <w:p>
      <w:pPr>
        <w:snapToGrid w:val="0"/>
        <w:spacing w:line="360" w:lineRule="auto"/>
        <w:ind w:firstLine="480" w:firstLineChars="200"/>
        <w:rPr>
          <w:rFonts w:ascii="宋体" w:hAnsi="宋体" w:cs="宋体"/>
          <w:sz w:val="24"/>
        </w:rPr>
      </w:pPr>
      <w:r>
        <w:rPr>
          <w:rFonts w:hint="eastAsia" w:ascii="宋体" w:hAnsi="宋体" w:cs="宋体"/>
          <w:sz w:val="24"/>
        </w:rPr>
        <w:t>根据空间智治数字化改革、数字国土空间建设、国土空间基础平台迭代升级等工作要求，持续推进数据治理和共享工作，促进业务协同、系统融合、数据贯通，加强创新技术应用，支持重要业务数据的底图化建设。</w:t>
      </w:r>
    </w:p>
    <w:p>
      <w:pPr>
        <w:snapToGrid w:val="0"/>
        <w:spacing w:line="360" w:lineRule="auto"/>
        <w:ind w:firstLine="480" w:firstLineChars="200"/>
        <w:rPr>
          <w:rFonts w:ascii="宋体" w:hAnsi="宋体" w:cs="宋体"/>
          <w:sz w:val="24"/>
        </w:rPr>
      </w:pPr>
      <w:r>
        <w:rPr>
          <w:rFonts w:hint="eastAsia" w:ascii="宋体" w:hAnsi="宋体" w:cs="宋体"/>
          <w:sz w:val="24"/>
        </w:rPr>
        <w:t>按照部、省、市有关要求和我局实际，加强数据标准化，全面开展数据归集，持续开展数据质检与共享利用，通过存量治理与增量管控达到提升数据资产质量和价值，实现“图生数、数生图”的数据治理和应用赋能良性循环。</w:t>
      </w:r>
    </w:p>
    <w:p>
      <w:pPr>
        <w:snapToGrid w:val="0"/>
        <w:spacing w:line="360" w:lineRule="auto"/>
        <w:rPr>
          <w:rFonts w:ascii="宋体" w:hAnsi="宋体" w:cs="宋体"/>
          <w:b/>
          <w:bCs/>
          <w:sz w:val="24"/>
        </w:rPr>
      </w:pPr>
      <w:r>
        <w:rPr>
          <w:rFonts w:hint="eastAsia" w:ascii="宋体" w:hAnsi="宋体" w:cs="宋体"/>
          <w:b/>
          <w:bCs/>
          <w:sz w:val="24"/>
        </w:rPr>
        <w:t>二、项目目标</w:t>
      </w:r>
    </w:p>
    <w:p>
      <w:pPr>
        <w:snapToGrid w:val="0"/>
        <w:spacing w:line="360" w:lineRule="auto"/>
        <w:ind w:firstLine="480" w:firstLineChars="200"/>
        <w:rPr>
          <w:rFonts w:ascii="宋体" w:hAnsi="宋体" w:cs="宋体"/>
          <w:sz w:val="24"/>
        </w:rPr>
      </w:pPr>
      <w:r>
        <w:rPr>
          <w:rFonts w:hint="eastAsia" w:ascii="宋体" w:hAnsi="宋体" w:cs="宋体"/>
          <w:sz w:val="24"/>
        </w:rPr>
        <w:t>本期项目主要聚焦规划和自然资源核心业务，立足“一块地”全周期管理，补充数据归集清单，完善数据归集标准，优化数据更新机制；通过业务协同、系统融合、数据贯通，进一步丰富覆盖规划编制、项目策划、用地报批、土地储备、土地供应、行政审批、确权登记、批后监管等核心业务的“一码汇集”数据库；通过统一数据标准、多源数据融合、规范化质检、图数一致关联、动态监测归集等方式对杭州市区范围20</w:t>
      </w:r>
      <w:r>
        <w:rPr>
          <w:rFonts w:ascii="宋体" w:hAnsi="宋体" w:cs="宋体"/>
          <w:sz w:val="24"/>
        </w:rPr>
        <w:t>09</w:t>
      </w:r>
      <w:r>
        <w:rPr>
          <w:rFonts w:hint="eastAsia" w:ascii="宋体" w:hAnsi="宋体" w:cs="宋体"/>
          <w:sz w:val="24"/>
        </w:rPr>
        <w:t>年至201</w:t>
      </w:r>
      <w:r>
        <w:rPr>
          <w:rFonts w:ascii="宋体" w:hAnsi="宋体" w:cs="宋体"/>
          <w:sz w:val="24"/>
        </w:rPr>
        <w:t>3</w:t>
      </w:r>
      <w:r>
        <w:rPr>
          <w:rFonts w:hint="eastAsia" w:ascii="宋体" w:hAnsi="宋体" w:cs="宋体"/>
          <w:sz w:val="24"/>
        </w:rPr>
        <w:t>年及202</w:t>
      </w:r>
      <w:r>
        <w:rPr>
          <w:rFonts w:ascii="宋体" w:hAnsi="宋体" w:cs="宋体"/>
          <w:sz w:val="24"/>
        </w:rPr>
        <w:t>4</w:t>
      </w:r>
      <w:r>
        <w:rPr>
          <w:rFonts w:hint="eastAsia" w:ascii="宋体" w:hAnsi="宋体" w:cs="宋体"/>
          <w:sz w:val="24"/>
        </w:rPr>
        <w:t>年度产生的各类规划和自然资源管理业务数据进行归集治理关联。</w:t>
      </w:r>
    </w:p>
    <w:p>
      <w:pPr>
        <w:snapToGrid w:val="0"/>
        <w:spacing w:line="360" w:lineRule="auto"/>
        <w:rPr>
          <w:rFonts w:ascii="宋体" w:hAnsi="宋体" w:cs="宋体"/>
          <w:b/>
          <w:bCs/>
          <w:kern w:val="0"/>
          <w:sz w:val="24"/>
        </w:rPr>
      </w:pPr>
      <w:r>
        <w:rPr>
          <w:rFonts w:hint="eastAsia" w:ascii="宋体" w:hAnsi="宋体" w:cs="宋体"/>
          <w:b/>
          <w:bCs/>
          <w:kern w:val="0"/>
          <w:sz w:val="24"/>
        </w:rPr>
        <w:t>三、服务内容</w:t>
      </w:r>
    </w:p>
    <w:p>
      <w:pPr>
        <w:snapToGrid w:val="0"/>
        <w:spacing w:line="360" w:lineRule="auto"/>
        <w:ind w:firstLine="480" w:firstLineChars="200"/>
        <w:rPr>
          <w:rFonts w:ascii="宋体" w:hAnsi="宋体" w:cs="宋体"/>
          <w:sz w:val="24"/>
        </w:rPr>
      </w:pPr>
      <w:r>
        <w:rPr>
          <w:rFonts w:hint="eastAsia" w:ascii="宋体" w:hAnsi="宋体" w:cs="宋体"/>
          <w:sz w:val="24"/>
        </w:rPr>
        <w:t>具体项目内容主要包括：</w:t>
      </w:r>
    </w:p>
    <w:p>
      <w:pPr>
        <w:snapToGrid w:val="0"/>
        <w:spacing w:line="360" w:lineRule="auto"/>
        <w:ind w:firstLine="482" w:firstLineChars="200"/>
        <w:rPr>
          <w:rFonts w:ascii="宋体" w:hAnsi="宋体" w:cs="宋体"/>
          <w:sz w:val="24"/>
        </w:rPr>
      </w:pPr>
      <w:r>
        <w:rPr>
          <w:rFonts w:hint="eastAsia" w:ascii="宋体" w:hAnsi="宋体" w:cs="宋体"/>
          <w:b/>
          <w:bCs/>
          <w:sz w:val="24"/>
        </w:rPr>
        <w:t>一是进一步完善清单、标准及数据库。</w:t>
      </w:r>
      <w:r>
        <w:rPr>
          <w:rFonts w:hint="eastAsia" w:ascii="宋体" w:hAnsi="宋体" w:cs="宋体"/>
          <w:sz w:val="24"/>
        </w:rPr>
        <w:t>在原有基础上，根据空间治理各大应用场景建设相关核心业务对多跨协同的新数据共享需求，迭代完善《“一码汇集”数据清单》，更新业务环节核心数据涉及的数据表、数据字典、证照数据、空间数据等各类数据的数据格式、数据结构、数据图层等数据标准，升级一码汇集数据库，优化</w:t>
      </w:r>
      <w:r>
        <w:rPr>
          <w:rFonts w:ascii="宋体" w:hAnsi="宋体" w:cs="宋体"/>
          <w:sz w:val="24"/>
        </w:rPr>
        <w:t>调整</w:t>
      </w:r>
      <w:r>
        <w:rPr>
          <w:rFonts w:hint="eastAsia" w:ascii="宋体" w:hAnsi="宋体" w:cs="宋体"/>
          <w:sz w:val="24"/>
        </w:rPr>
        <w:t>数据动态更新机制，保障数据及时、准确、全面更新。</w:t>
      </w:r>
    </w:p>
    <w:p>
      <w:pPr>
        <w:snapToGrid w:val="0"/>
        <w:spacing w:line="360" w:lineRule="auto"/>
        <w:ind w:firstLine="482" w:firstLineChars="200"/>
        <w:rPr>
          <w:rFonts w:ascii="宋体" w:hAnsi="宋体" w:cs="宋体"/>
          <w:sz w:val="24"/>
        </w:rPr>
      </w:pPr>
      <w:r>
        <w:rPr>
          <w:rFonts w:hint="eastAsia" w:ascii="宋体" w:hAnsi="宋体" w:cs="宋体"/>
          <w:b/>
          <w:bCs/>
          <w:sz w:val="24"/>
        </w:rPr>
        <w:t>二是数据归集机制和归集工具开发维护更新。</w:t>
      </w:r>
      <w:r>
        <w:rPr>
          <w:rFonts w:hint="eastAsia" w:ascii="宋体" w:hAnsi="宋体" w:cs="宋体"/>
          <w:sz w:val="24"/>
        </w:rPr>
        <w:t>继续开展市级系统数据归集融合。优化数据归集机制、升级核心业务的ETL数据归集工具、持续开展归集任务监控，及时发现归集问题。完成市级业务系统2009-2013年及2024年度有关储备计划、用地、工程、竣工等事项数据的属性和图形数据归集、清洗。</w:t>
      </w:r>
    </w:p>
    <w:p>
      <w:pPr>
        <w:snapToGrid w:val="0"/>
        <w:spacing w:line="360" w:lineRule="auto"/>
        <w:ind w:firstLine="482" w:firstLineChars="200"/>
        <w:rPr>
          <w:rFonts w:ascii="宋体" w:hAnsi="宋体" w:cs="宋体"/>
          <w:sz w:val="24"/>
        </w:rPr>
      </w:pPr>
      <w:r>
        <w:rPr>
          <w:rFonts w:hint="eastAsia" w:ascii="宋体" w:hAnsi="宋体" w:cs="宋体"/>
          <w:b/>
          <w:bCs/>
          <w:sz w:val="24"/>
        </w:rPr>
        <w:t>三是省级系统回流业务数据归集融合。</w:t>
      </w:r>
      <w:r>
        <w:rPr>
          <w:rFonts w:hint="eastAsia" w:ascii="宋体" w:hAnsi="宋体" w:cs="宋体"/>
          <w:sz w:val="24"/>
        </w:rPr>
        <w:t>完成省级业务系统2009-2013年及2024年度出让土地、批次用地报批、农转用项目、土地供应项目的属性和图形数据归集、清洗。</w:t>
      </w:r>
    </w:p>
    <w:p>
      <w:pPr>
        <w:snapToGrid w:val="0"/>
        <w:spacing w:line="360" w:lineRule="auto"/>
        <w:ind w:firstLine="482" w:firstLineChars="200"/>
        <w:rPr>
          <w:rFonts w:ascii="宋体" w:hAnsi="宋体" w:cs="宋体"/>
          <w:sz w:val="24"/>
        </w:rPr>
      </w:pPr>
      <w:r>
        <w:rPr>
          <w:rFonts w:hint="eastAsia" w:ascii="宋体" w:hAnsi="宋体" w:cs="宋体"/>
          <w:b/>
          <w:bCs/>
          <w:sz w:val="24"/>
        </w:rPr>
        <w:t>四是常态化数据质量监控及数据完善。</w:t>
      </w:r>
      <w:r>
        <w:rPr>
          <w:rFonts w:hint="eastAsia" w:ascii="宋体" w:hAnsi="宋体" w:cs="宋体"/>
          <w:sz w:val="24"/>
        </w:rPr>
        <w:tab/>
      </w:r>
      <w:r>
        <w:rPr>
          <w:rFonts w:hint="eastAsia" w:ascii="宋体" w:hAnsi="宋体" w:cs="宋体"/>
          <w:sz w:val="24"/>
        </w:rPr>
        <w:t>完成2009-2013年及2024年度出让和划拨用地项目，年度内办理的用地、工程、竣工等行政审批事项的带图审批项目红线、出让土地合同信息等开展常态化数据监控，按季度出具数据监控报告，并根据报告补充完善数据。</w:t>
      </w:r>
    </w:p>
    <w:p>
      <w:pPr>
        <w:snapToGrid w:val="0"/>
        <w:spacing w:line="360" w:lineRule="auto"/>
        <w:ind w:firstLine="482" w:firstLineChars="200"/>
        <w:rPr>
          <w:rFonts w:ascii="宋体" w:hAnsi="宋体" w:cs="宋体"/>
          <w:sz w:val="24"/>
        </w:rPr>
      </w:pPr>
      <w:r>
        <w:rPr>
          <w:rFonts w:hint="eastAsia" w:ascii="宋体" w:hAnsi="宋体" w:cs="宋体"/>
          <w:b/>
          <w:bCs/>
          <w:sz w:val="24"/>
        </w:rPr>
        <w:t>五是开展土地码关联检查及调整。</w:t>
      </w:r>
      <w:r>
        <w:rPr>
          <w:rFonts w:hint="eastAsia" w:ascii="宋体" w:hAnsi="宋体" w:cs="宋体"/>
          <w:sz w:val="24"/>
        </w:rPr>
        <w:t>对2024年度出让、</w:t>
      </w:r>
      <w:r>
        <w:rPr>
          <w:rFonts w:ascii="宋体" w:hAnsi="宋体" w:cs="宋体"/>
          <w:sz w:val="24"/>
        </w:rPr>
        <w:t>房建类</w:t>
      </w:r>
      <w:r>
        <w:rPr>
          <w:rFonts w:hint="eastAsia" w:ascii="宋体" w:hAnsi="宋体" w:cs="宋体"/>
          <w:sz w:val="24"/>
        </w:rPr>
        <w:t>划拨项目各业务环节带码运行情况、土地码数据关联情况进行动态监控并根据监控结果调整完</w:t>
      </w:r>
      <w:r>
        <w:rPr>
          <w:rFonts w:hint="eastAsia" w:ascii="宋体" w:hAnsi="宋体" w:cs="宋体"/>
          <w:sz w:val="24"/>
          <w:highlight w:val="none"/>
        </w:rPr>
        <w:t>善。对2009年</w:t>
      </w:r>
      <w:r>
        <w:rPr>
          <w:rFonts w:ascii="宋体" w:hAnsi="宋体" w:cs="宋体"/>
          <w:sz w:val="24"/>
          <w:highlight w:val="none"/>
        </w:rPr>
        <w:t>以来出让</w:t>
      </w:r>
      <w:r>
        <w:rPr>
          <w:rFonts w:hint="eastAsia" w:ascii="宋体" w:hAnsi="宋体" w:cs="宋体"/>
          <w:sz w:val="24"/>
          <w:highlight w:val="none"/>
        </w:rPr>
        <w:t>或划拨</w:t>
      </w:r>
      <w:r>
        <w:rPr>
          <w:rFonts w:ascii="宋体" w:hAnsi="宋体" w:cs="宋体"/>
          <w:sz w:val="24"/>
          <w:highlight w:val="none"/>
        </w:rPr>
        <w:t>项目</w:t>
      </w:r>
      <w:r>
        <w:rPr>
          <w:rFonts w:hint="eastAsia" w:ascii="宋体" w:hAnsi="宋体" w:cs="宋体"/>
          <w:sz w:val="24"/>
          <w:highlight w:val="none"/>
        </w:rPr>
        <w:t>的</w:t>
      </w:r>
      <w:r>
        <w:rPr>
          <w:rFonts w:ascii="宋体" w:hAnsi="宋体" w:cs="宋体"/>
          <w:sz w:val="24"/>
          <w:highlight w:val="none"/>
        </w:rPr>
        <w:t>后续各业务环节</w:t>
      </w:r>
      <w:r>
        <w:rPr>
          <w:rFonts w:hint="eastAsia" w:ascii="宋体" w:hAnsi="宋体" w:cs="宋体"/>
          <w:sz w:val="24"/>
          <w:highlight w:val="none"/>
        </w:rPr>
        <w:t>产生</w:t>
      </w:r>
      <w:r>
        <w:rPr>
          <w:rFonts w:ascii="宋体" w:hAnsi="宋体" w:cs="宋体"/>
          <w:sz w:val="24"/>
          <w:highlight w:val="none"/>
        </w:rPr>
        <w:t>的</w:t>
      </w:r>
      <w:r>
        <w:rPr>
          <w:rFonts w:hint="eastAsia" w:ascii="宋体" w:hAnsi="宋体" w:cs="宋体"/>
          <w:sz w:val="24"/>
          <w:highlight w:val="none"/>
        </w:rPr>
        <w:t>管理数据，</w:t>
      </w:r>
      <w:r>
        <w:rPr>
          <w:rFonts w:ascii="宋体" w:hAnsi="宋体" w:cs="宋体"/>
          <w:sz w:val="24"/>
          <w:highlight w:val="none"/>
        </w:rPr>
        <w:t>开展土地码关联挂接。</w:t>
      </w:r>
    </w:p>
    <w:p>
      <w:pPr>
        <w:pStyle w:val="2"/>
        <w:ind w:firstLine="560"/>
      </w:pPr>
    </w:p>
    <w:p>
      <w:pPr>
        <w:snapToGrid w:val="0"/>
        <w:spacing w:line="360" w:lineRule="auto"/>
        <w:rPr>
          <w:rFonts w:ascii="宋体" w:hAnsi="宋体" w:cs="宋体"/>
          <w:b/>
          <w:bCs/>
          <w:sz w:val="24"/>
        </w:rPr>
      </w:pPr>
      <w:r>
        <w:rPr>
          <w:rFonts w:hint="eastAsia" w:ascii="宋体" w:hAnsi="宋体" w:cs="宋体"/>
          <w:b/>
          <w:bCs/>
          <w:sz w:val="24"/>
        </w:rPr>
        <w:t>四、服务要求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4.1管理要求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4.1.1服务人员</w:t>
      </w:r>
    </w:p>
    <w:p>
      <w:pPr>
        <w:snapToGrid w:val="0"/>
        <w:spacing w:line="360" w:lineRule="auto"/>
        <w:ind w:firstLine="480" w:firstLineChars="200"/>
        <w:rPr>
          <w:rFonts w:ascii="宋体" w:hAnsi="宋体" w:cs="宋体"/>
          <w:sz w:val="24"/>
        </w:rPr>
      </w:pPr>
      <w:r>
        <w:rPr>
          <w:rFonts w:hint="eastAsia" w:ascii="宋体" w:hAnsi="宋体" w:cs="宋体"/>
          <w:sz w:val="24"/>
        </w:rPr>
        <w:t>投标人须书面承诺，如在项目实际执行过程中发生项目负责人不能按采购文件要求胜任相关工作的，采购人有权要求更换项目负责人，投标人必须在两周内调整为符合采购文件要求且能胜任相关工作的项目负责人并到位开展工作，否则采购人有权终止合同并报相关管理部门进行处理。</w:t>
      </w:r>
    </w:p>
    <w:p>
      <w:pPr>
        <w:snapToGrid w:val="0"/>
        <w:spacing w:line="360" w:lineRule="auto"/>
        <w:ind w:firstLine="480" w:firstLineChars="200"/>
        <w:rPr>
          <w:rFonts w:ascii="宋体" w:hAnsi="宋体" w:cs="宋体"/>
          <w:sz w:val="24"/>
        </w:rPr>
      </w:pPr>
      <w:r>
        <w:rPr>
          <w:rFonts w:hint="eastAsia" w:ascii="宋体" w:hAnsi="宋体" w:cs="宋体"/>
          <w:sz w:val="24"/>
        </w:rPr>
        <w:t>投标人承诺的项目负责人和开发实施的主要人员未经采购人同意不得调整；投标人如中途更换项目负责人和主要开发技术人员，应征得采购人同意，否则采购人有权终止合同。</w:t>
      </w:r>
    </w:p>
    <w:p>
      <w:pPr>
        <w:snapToGrid w:val="0"/>
        <w:spacing w:line="360" w:lineRule="auto"/>
        <w:ind w:firstLine="480" w:firstLineChars="200"/>
        <w:rPr>
          <w:rFonts w:ascii="宋体" w:hAnsi="宋体" w:cs="宋体"/>
          <w:sz w:val="24"/>
        </w:rPr>
      </w:pPr>
      <w:r>
        <w:rPr>
          <w:rFonts w:hint="eastAsia" w:ascii="宋体" w:hAnsi="宋体" w:cs="宋体"/>
          <w:sz w:val="24"/>
        </w:rPr>
        <w:t>服务商应指派固定的团队为本项目提供专业服务。项目负责人应具备 3 年以上经验。</w:t>
      </w:r>
    </w:p>
    <w:p>
      <w:pPr>
        <w:snapToGrid w:val="0"/>
        <w:spacing w:line="360" w:lineRule="auto"/>
        <w:ind w:firstLine="480" w:firstLineChars="200"/>
        <w:rPr>
          <w:rFonts w:ascii="宋体" w:hAnsi="宋体" w:cs="宋体"/>
          <w:sz w:val="24"/>
        </w:rPr>
      </w:pPr>
      <w:r>
        <w:rPr>
          <w:rFonts w:hint="eastAsia" w:ascii="宋体" w:hAnsi="宋体" w:cs="宋体"/>
          <w:sz w:val="24"/>
        </w:rPr>
        <w:t>如须调整服务团队成员，须书面向采购人提出申请，说明申请理由，经采购人书面同意方可调整团队人员，调入人员的资历和从业经验不低于调出人员，否则视为违约行为，采购人有权终止服务合同。</w:t>
      </w:r>
    </w:p>
    <w:p>
      <w:pPr>
        <w:snapToGrid w:val="0"/>
        <w:spacing w:line="360" w:lineRule="auto"/>
        <w:ind w:firstLine="482" w:firstLineChars="200"/>
        <w:rPr>
          <w:rFonts w:ascii="宋体" w:hAnsi="宋体" w:cs="宋体"/>
          <w:b/>
          <w:bCs/>
          <w:sz w:val="24"/>
        </w:rPr>
      </w:pPr>
      <w:r>
        <w:rPr>
          <w:rFonts w:hint="eastAsia" w:ascii="宋体" w:hAnsi="宋体" w:cs="宋体"/>
          <w:b/>
          <w:bCs/>
          <w:sz w:val="24"/>
        </w:rPr>
        <w:t>4.1.2组织实施要求</w:t>
      </w:r>
    </w:p>
    <w:p>
      <w:pPr>
        <w:snapToGrid w:val="0"/>
        <w:spacing w:line="360" w:lineRule="auto"/>
        <w:ind w:firstLine="480" w:firstLineChars="200"/>
        <w:rPr>
          <w:rFonts w:ascii="宋体" w:hAnsi="宋体" w:cs="宋体"/>
          <w:sz w:val="24"/>
        </w:rPr>
      </w:pPr>
      <w:r>
        <w:rPr>
          <w:rFonts w:hint="eastAsia" w:ascii="宋体" w:hAnsi="宋体" w:cs="宋体"/>
          <w:sz w:val="24"/>
        </w:rPr>
        <w:t>为使项目按质、按量、按时及有序实施，投标人应建立完善、稳定的项目团队、内部组织管理方式及管理机构、协调机制、技术基础，支撑保障要求及其他相关要求。在机制保障方面，成立组织实施小组和项目专家组的双轨制的组织模式。在项目日常管理和条件保障方面，从行政组织、后勤保障和支撑条件各方面创造良好的服务环境，确保项目的顺利实施。</w:t>
      </w:r>
    </w:p>
    <w:p>
      <w:pPr>
        <w:snapToGrid w:val="0"/>
        <w:spacing w:line="360" w:lineRule="auto"/>
        <w:ind w:firstLine="482" w:firstLineChars="200"/>
        <w:rPr>
          <w:rFonts w:ascii="宋体" w:hAnsi="宋体" w:cs="宋体"/>
          <w:b/>
          <w:bCs/>
          <w:sz w:val="24"/>
        </w:rPr>
      </w:pPr>
      <w:r>
        <w:rPr>
          <w:rFonts w:hint="eastAsia" w:ascii="宋体" w:hAnsi="宋体" w:cs="宋体"/>
          <w:b/>
          <w:bCs/>
          <w:sz w:val="24"/>
        </w:rPr>
        <w:t>4.1.3文档管理要求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项目完成时，将本项目所有文档、资料汇集成册交付给采购人，所有文件要求用中文书写或有完整的中文注释。验收后，投标人按国家、省以及采购人档案管理要求，向采购人提供装订成册的纸质文档至少 1 套，电子文档 1 套。</w:t>
      </w:r>
    </w:p>
    <w:p>
      <w:pPr>
        <w:snapToGrid w:val="0"/>
        <w:spacing w:line="360" w:lineRule="auto"/>
        <w:ind w:firstLine="482" w:firstLineChars="200"/>
        <w:rPr>
          <w:rFonts w:ascii="宋体" w:hAnsi="宋体" w:cs="宋体"/>
          <w:b/>
          <w:bCs/>
          <w:sz w:val="24"/>
        </w:rPr>
      </w:pPr>
      <w:r>
        <w:rPr>
          <w:rFonts w:hint="eastAsia" w:ascii="宋体" w:hAnsi="宋体" w:cs="宋体"/>
          <w:b/>
          <w:bCs/>
          <w:sz w:val="24"/>
        </w:rPr>
        <w:t>4.1.4质量保证要求</w:t>
      </w:r>
    </w:p>
    <w:p>
      <w:pPr>
        <w:snapToGrid w:val="0"/>
        <w:spacing w:line="360" w:lineRule="auto"/>
        <w:ind w:firstLine="480" w:firstLineChars="200"/>
        <w:rPr>
          <w:rFonts w:ascii="宋体" w:hAnsi="宋体" w:cs="宋体"/>
          <w:sz w:val="24"/>
        </w:rPr>
      </w:pPr>
      <w:r>
        <w:rPr>
          <w:rFonts w:hint="eastAsia" w:ascii="宋体" w:hAnsi="宋体" w:cs="宋体"/>
          <w:sz w:val="24"/>
        </w:rPr>
        <w:t>为保证本项目能按时高质的顺利完成，规避项目风险或将风险降至最低程度，投标人应建立项目质量管理体系，包括但不限于质量目标、质量指标、岗位责任、问题处理计划、质量评价、整改完善等内容，并建立奖惩制度。</w:t>
      </w:r>
    </w:p>
    <w:p>
      <w:pPr>
        <w:snapToGrid w:val="0"/>
        <w:spacing w:line="360" w:lineRule="auto"/>
        <w:ind w:firstLine="482" w:firstLineChars="200"/>
        <w:rPr>
          <w:rFonts w:ascii="宋体" w:hAnsi="宋体" w:cs="宋体"/>
          <w:b/>
          <w:bCs/>
          <w:sz w:val="24"/>
        </w:rPr>
      </w:pPr>
      <w:r>
        <w:rPr>
          <w:rFonts w:hint="eastAsia" w:ascii="宋体" w:hAnsi="宋体" w:cs="宋体"/>
          <w:b/>
          <w:bCs/>
          <w:sz w:val="24"/>
        </w:rPr>
        <w:t>4.1.5验收标准</w:t>
      </w:r>
    </w:p>
    <w:p>
      <w:pPr>
        <w:snapToGrid w:val="0"/>
        <w:spacing w:line="360" w:lineRule="auto"/>
        <w:ind w:firstLine="480" w:firstLineChars="200"/>
        <w:rPr>
          <w:rFonts w:ascii="宋体" w:hAnsi="宋体" w:cs="宋体"/>
          <w:sz w:val="24"/>
        </w:rPr>
      </w:pPr>
      <w:r>
        <w:rPr>
          <w:rFonts w:hint="eastAsia" w:ascii="宋体" w:hAnsi="宋体" w:cs="宋体"/>
          <w:sz w:val="24"/>
        </w:rPr>
        <w:t>要求数据治理服务人员提供数据治理服务交付物，同时做好服务过程的文档管理工作。</w:t>
      </w:r>
    </w:p>
    <w:p>
      <w:pPr>
        <w:snapToGrid w:val="0"/>
        <w:spacing w:line="360" w:lineRule="auto"/>
        <w:ind w:firstLine="480" w:firstLineChars="200"/>
        <w:rPr>
          <w:rFonts w:ascii="宋体" w:hAnsi="宋体" w:cs="宋体"/>
          <w:sz w:val="24"/>
        </w:rPr>
      </w:pPr>
      <w:r>
        <w:rPr>
          <w:rFonts w:hint="eastAsia" w:ascii="宋体" w:hAnsi="宋体" w:cs="宋体"/>
          <w:sz w:val="24"/>
        </w:rPr>
        <w:t>数据治理服务人员需定期对治理技术服务工作进行汇报，相关的服务交付物应包括服务过程文档及服务总结文档，例如数据归集报告、质量分析报告、数据监控报告、服务总结报告等。</w:t>
      </w:r>
    </w:p>
    <w:p>
      <w:pPr>
        <w:snapToGrid w:val="0"/>
        <w:spacing w:line="360" w:lineRule="auto"/>
        <w:ind w:firstLine="482" w:firstLineChars="200"/>
        <w:rPr>
          <w:rFonts w:ascii="宋体" w:hAnsi="宋体" w:cs="宋体"/>
          <w:b/>
          <w:bCs/>
          <w:sz w:val="24"/>
        </w:rPr>
      </w:pPr>
      <w:r>
        <w:rPr>
          <w:rFonts w:hint="eastAsia" w:ascii="宋体" w:hAnsi="宋体" w:cs="宋体"/>
          <w:b/>
          <w:bCs/>
          <w:sz w:val="24"/>
        </w:rPr>
        <w:t>4.2其他要求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4.2.1服务响应要求</w:t>
      </w:r>
    </w:p>
    <w:p>
      <w:pPr>
        <w:snapToGrid w:val="0"/>
        <w:spacing w:line="360" w:lineRule="auto"/>
        <w:ind w:firstLine="480" w:firstLineChars="200"/>
        <w:rPr>
          <w:rFonts w:ascii="宋体" w:hAnsi="宋体" w:cs="宋体"/>
          <w:sz w:val="24"/>
        </w:rPr>
      </w:pPr>
      <w:r>
        <w:rPr>
          <w:rFonts w:hint="eastAsia" w:ascii="宋体" w:hAnsi="宋体" w:cs="宋体"/>
          <w:sz w:val="24"/>
        </w:rPr>
        <w:t>4.2.1.1服务响应可通过现场、远程等方式提供，由此产生的一切费用均由投标人承担。</w:t>
      </w:r>
    </w:p>
    <w:p>
      <w:pPr>
        <w:snapToGrid w:val="0"/>
        <w:spacing w:line="360" w:lineRule="auto"/>
        <w:ind w:firstLine="480" w:firstLineChars="200"/>
        <w:rPr>
          <w:rFonts w:ascii="宋体" w:hAnsi="宋体" w:cs="宋体"/>
          <w:sz w:val="24"/>
        </w:rPr>
      </w:pPr>
      <w:r>
        <w:rPr>
          <w:rFonts w:hint="eastAsia" w:ascii="宋体" w:hAnsi="宋体" w:cs="宋体"/>
          <w:sz w:val="24"/>
        </w:rPr>
        <w:t>4.2.1.2服务过程中，如采购人在服务范围内有需要，投标人需2小时内服务响应，技术人员应在接到通知后4个小时内到现场响应。</w:t>
      </w:r>
    </w:p>
    <w:p>
      <w:pPr>
        <w:snapToGrid w:val="0"/>
        <w:spacing w:line="360" w:lineRule="auto"/>
        <w:ind w:firstLine="482" w:firstLineChars="200"/>
        <w:rPr>
          <w:rFonts w:ascii="宋体" w:hAnsi="宋体" w:cs="宋体"/>
          <w:b/>
          <w:bCs/>
          <w:sz w:val="24"/>
        </w:rPr>
      </w:pPr>
      <w:r>
        <w:rPr>
          <w:rFonts w:hint="eastAsia" w:ascii="宋体" w:hAnsi="宋体" w:cs="宋体"/>
          <w:b/>
          <w:bCs/>
          <w:sz w:val="24"/>
        </w:rPr>
        <w:t>4.2.2知识产权</w:t>
      </w:r>
    </w:p>
    <w:p>
      <w:pPr>
        <w:snapToGrid w:val="0"/>
        <w:spacing w:line="360" w:lineRule="auto"/>
        <w:ind w:firstLine="480" w:firstLineChars="200"/>
        <w:rPr>
          <w:rFonts w:ascii="宋体" w:hAnsi="宋体" w:cs="宋体"/>
          <w:sz w:val="24"/>
        </w:rPr>
      </w:pPr>
      <w:r>
        <w:rPr>
          <w:rFonts w:hint="eastAsia" w:ascii="宋体" w:hAnsi="宋体" w:cs="宋体"/>
          <w:sz w:val="24"/>
        </w:rPr>
        <w:t>4.2.2.1投标人为履行本合同义务所形成的服务成果的知识产权归采购人所有。</w:t>
      </w:r>
    </w:p>
    <w:p>
      <w:pPr>
        <w:snapToGrid w:val="0"/>
        <w:spacing w:line="360" w:lineRule="auto"/>
        <w:ind w:firstLine="480" w:firstLineChars="200"/>
        <w:rPr>
          <w:rFonts w:ascii="宋体" w:hAnsi="宋体" w:cs="宋体"/>
          <w:sz w:val="24"/>
        </w:rPr>
      </w:pPr>
      <w:r>
        <w:rPr>
          <w:rFonts w:hint="eastAsia" w:ascii="宋体" w:hAnsi="宋体" w:cs="宋体"/>
          <w:sz w:val="24"/>
        </w:rPr>
        <w:t>4.2.2.2本合同所涉及的数据所有权归政府所有。投标人只能用于履行本合同之义务。</w:t>
      </w:r>
    </w:p>
    <w:p>
      <w:pPr>
        <w:snapToGrid w:val="0"/>
        <w:spacing w:line="360" w:lineRule="auto"/>
        <w:ind w:firstLine="480" w:firstLineChars="200"/>
        <w:rPr>
          <w:rFonts w:ascii="宋体" w:hAnsi="宋体" w:cs="宋体"/>
          <w:sz w:val="24"/>
        </w:rPr>
      </w:pPr>
      <w:r>
        <w:rPr>
          <w:rFonts w:hint="eastAsia" w:ascii="宋体" w:hAnsi="宋体" w:cs="宋体"/>
          <w:sz w:val="24"/>
        </w:rPr>
        <w:t>4.2.2.3投标人保证向采购人提供的服务成果是其独立实施完成，不存在任何侵犯第三方专利权、商标权、著作权等合法权益。如因投标人提供的服务成果侵犯任何第三方的合法权益，导致该第三方追究采购人责任的，投标人应负责解决并赔偿因此给采购人造成的全部损失。</w:t>
      </w:r>
    </w:p>
    <w:p>
      <w:pPr>
        <w:snapToGrid w:val="0"/>
        <w:spacing w:line="360" w:lineRule="auto"/>
        <w:ind w:firstLine="482" w:firstLineChars="200"/>
        <w:rPr>
          <w:rFonts w:ascii="宋体" w:hAnsi="宋体" w:cs="宋体"/>
          <w:b/>
          <w:bCs/>
          <w:sz w:val="24"/>
        </w:rPr>
      </w:pPr>
      <w:r>
        <w:rPr>
          <w:rFonts w:hint="eastAsia" w:ascii="宋体" w:hAnsi="宋体" w:cs="宋体"/>
          <w:b/>
          <w:bCs/>
          <w:sz w:val="24"/>
        </w:rPr>
        <w:t>4.2.3保密要求</w:t>
      </w:r>
    </w:p>
    <w:p>
      <w:pPr>
        <w:snapToGrid w:val="0"/>
        <w:spacing w:line="360" w:lineRule="auto"/>
        <w:ind w:firstLine="480" w:firstLineChars="200"/>
        <w:rPr>
          <w:rFonts w:ascii="宋体" w:hAnsi="宋体" w:cs="宋体"/>
          <w:sz w:val="24"/>
        </w:rPr>
      </w:pPr>
      <w:r>
        <w:rPr>
          <w:rFonts w:hint="eastAsia" w:ascii="宋体" w:hAnsi="宋体" w:cs="宋体"/>
          <w:sz w:val="24"/>
        </w:rPr>
        <w:t>4.2.3.1投标人应签订保密协议，对其因身份、职务、职业或技术关系而知悉的采购人商业秘密和党政机关保密信息应严格保守，保证不被披露或使用，包括意外或过失。</w:t>
      </w:r>
    </w:p>
    <w:p>
      <w:pPr>
        <w:snapToGrid w:val="0"/>
        <w:spacing w:line="360" w:lineRule="auto"/>
        <w:ind w:firstLine="480" w:firstLineChars="200"/>
        <w:rPr>
          <w:rFonts w:ascii="宋体" w:hAnsi="宋体" w:cs="宋体"/>
          <w:sz w:val="24"/>
        </w:rPr>
      </w:pPr>
      <w:r>
        <w:rPr>
          <w:rFonts w:hint="eastAsia" w:ascii="宋体" w:hAnsi="宋体" w:cs="宋体"/>
          <w:sz w:val="24"/>
        </w:rPr>
        <w:t xml:space="preserve">4.2.3.2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 </w:t>
      </w:r>
    </w:p>
    <w:p>
      <w:pPr>
        <w:snapToGrid w:val="0"/>
        <w:spacing w:line="360" w:lineRule="auto"/>
        <w:ind w:firstLine="480" w:firstLineChars="200"/>
        <w:rPr>
          <w:rFonts w:ascii="宋体" w:hAnsi="宋体" w:cs="宋体"/>
          <w:sz w:val="24"/>
        </w:rPr>
      </w:pPr>
      <w:r>
        <w:rPr>
          <w:rFonts w:hint="eastAsia" w:ascii="宋体" w:hAnsi="宋体" w:cs="宋体"/>
          <w:sz w:val="24"/>
        </w:rPr>
        <w:t xml:space="preserve">4.2.3.3投标人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snapToGrid w:val="0"/>
        <w:spacing w:line="360" w:lineRule="auto"/>
        <w:ind w:firstLine="480" w:firstLineChars="200"/>
        <w:rPr>
          <w:rFonts w:ascii="宋体" w:hAnsi="宋体" w:cs="宋体"/>
          <w:sz w:val="24"/>
        </w:rPr>
      </w:pPr>
      <w:r>
        <w:rPr>
          <w:rFonts w:hint="eastAsia" w:ascii="宋体" w:hAnsi="宋体" w:cs="宋体"/>
          <w:sz w:val="24"/>
        </w:rPr>
        <w:t>4.2.3.4.严禁泄露在工作中接触到的政府机关科技研究、发明、装备器材及其技术资料和政府工作信息。</w:t>
      </w:r>
    </w:p>
    <w:p>
      <w:pPr>
        <w:pStyle w:val="25"/>
        <w:ind w:firstLine="482"/>
        <w:rPr>
          <w:rFonts w:cs="宋体"/>
          <w:b/>
          <w:bCs/>
          <w:highlight w:val="none"/>
        </w:rPr>
      </w:pPr>
      <w:r>
        <w:rPr>
          <w:rFonts w:hint="eastAsia" w:cs="宋体"/>
          <w:b/>
          <w:bCs/>
          <w:highlight w:val="none"/>
        </w:rPr>
        <w:t>4.2.4安全生产</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投标人应落实安全生产各项要求。如涉及分包、转包的，要做好外包项目的安全管理。</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应签订网络安全与数据安全责任书（详见本合同附件），重点保障网络数据安全。签署、解释、执行该责任书有关的一切争议，双方应首先友好协商解决。如经协商不能解决的，则按本合同约定的争议解决方式解决。</w:t>
      </w:r>
    </w:p>
    <w:p>
      <w:pPr>
        <w:pStyle w:val="26"/>
        <w:ind w:firstLine="344"/>
      </w:pPr>
    </w:p>
    <w:p>
      <w:pPr>
        <w:pStyle w:val="63"/>
        <w:adjustRightInd w:val="0"/>
        <w:snapToGrid w:val="0"/>
        <w:spacing w:after="0" w:line="360" w:lineRule="auto"/>
        <w:ind w:left="0" w:leftChars="0" w:firstLine="482"/>
        <w:rPr>
          <w:rFonts w:cs="宋体"/>
          <w:kern w:val="0"/>
          <w:sz w:val="24"/>
        </w:rPr>
      </w:pPr>
      <w:r>
        <w:rPr>
          <w:rFonts w:hint="eastAsia" w:cs="宋体"/>
          <w:b/>
          <w:bCs/>
          <w:kern w:val="0"/>
          <w:sz w:val="24"/>
        </w:rPr>
        <w:t>五、服务时间：</w:t>
      </w:r>
      <w:r>
        <w:rPr>
          <w:rFonts w:hint="eastAsia" w:cs="宋体"/>
          <w:kern w:val="0"/>
          <w:sz w:val="24"/>
          <w:highlight w:val="none"/>
        </w:rPr>
        <w:t>2024年度</w:t>
      </w:r>
      <w:r>
        <w:rPr>
          <w:rFonts w:cs="宋体"/>
          <w:kern w:val="0"/>
          <w:sz w:val="24"/>
          <w:highlight w:val="none"/>
        </w:rPr>
        <w:t xml:space="preserve"> </w:t>
      </w:r>
    </w:p>
    <w:p>
      <w:pPr>
        <w:tabs>
          <w:tab w:val="left" w:pos="0"/>
        </w:tabs>
        <w:spacing w:line="360" w:lineRule="auto"/>
        <w:ind w:firstLine="480"/>
        <w:rPr>
          <w:rFonts w:ascii="宋体" w:hAnsi="宋体" w:cs="宋体"/>
          <w:sz w:val="24"/>
        </w:rPr>
      </w:pPr>
      <w:r>
        <w:rPr>
          <w:rFonts w:hint="eastAsia" w:ascii="宋体" w:hAnsi="宋体" w:cs="宋体"/>
          <w:b/>
          <w:bCs/>
          <w:sz w:val="24"/>
        </w:rPr>
        <w:t>六、履约保证金：</w:t>
      </w:r>
      <w:r>
        <w:rPr>
          <w:rFonts w:hint="eastAsia" w:ascii="宋体" w:hAnsi="宋体" w:cs="宋体"/>
          <w:sz w:val="24"/>
        </w:rPr>
        <w:t>本项目须缴纳合同金额1%的履约保证金。</w:t>
      </w:r>
    </w:p>
    <w:p>
      <w:pPr>
        <w:pStyle w:val="63"/>
        <w:adjustRightInd w:val="0"/>
        <w:snapToGrid w:val="0"/>
        <w:spacing w:after="0" w:line="360" w:lineRule="auto"/>
        <w:ind w:left="0" w:leftChars="0" w:firstLine="482"/>
        <w:rPr>
          <w:rFonts w:cs="宋体"/>
          <w:b/>
          <w:bCs/>
          <w:kern w:val="0"/>
          <w:sz w:val="24"/>
        </w:rPr>
      </w:pPr>
      <w:r>
        <w:rPr>
          <w:rFonts w:hint="eastAsia" w:cs="宋体"/>
          <w:b/>
          <w:bCs/>
          <w:kern w:val="0"/>
          <w:sz w:val="24"/>
        </w:rPr>
        <w:t>七、付款方式：</w:t>
      </w:r>
    </w:p>
    <w:p>
      <w:pPr>
        <w:pStyle w:val="63"/>
        <w:adjustRightInd w:val="0"/>
        <w:snapToGrid w:val="0"/>
        <w:spacing w:after="0" w:line="360" w:lineRule="auto"/>
        <w:ind w:left="0" w:leftChars="0" w:firstLine="480"/>
        <w:rPr>
          <w:rFonts w:cs="宋体"/>
          <w:kern w:val="0"/>
          <w:sz w:val="24"/>
        </w:rPr>
      </w:pPr>
      <w:r>
        <w:rPr>
          <w:rFonts w:hint="eastAsia" w:cs="宋体"/>
          <w:kern w:val="0"/>
          <w:sz w:val="24"/>
        </w:rPr>
        <w:t>（1）合同签订后7个工作日内支付50%合同金额；</w:t>
      </w:r>
    </w:p>
    <w:p>
      <w:pPr>
        <w:pStyle w:val="63"/>
        <w:adjustRightInd w:val="0"/>
        <w:snapToGrid w:val="0"/>
        <w:spacing w:after="0" w:line="360" w:lineRule="auto"/>
        <w:ind w:left="0" w:leftChars="0" w:firstLine="480"/>
        <w:rPr>
          <w:rFonts w:cs="宋体"/>
          <w:kern w:val="0"/>
          <w:sz w:val="24"/>
        </w:rPr>
      </w:pPr>
      <w:r>
        <w:rPr>
          <w:rFonts w:hint="eastAsia" w:cs="宋体"/>
          <w:kern w:val="0"/>
          <w:sz w:val="24"/>
        </w:rPr>
        <w:t>（2）9月底前，完成数据治理80%工作量支付30%合同金额；</w:t>
      </w:r>
    </w:p>
    <w:p>
      <w:pPr>
        <w:pStyle w:val="63"/>
        <w:adjustRightInd w:val="0"/>
        <w:snapToGrid w:val="0"/>
        <w:spacing w:after="0" w:line="360" w:lineRule="auto"/>
        <w:ind w:left="0" w:leftChars="0" w:firstLine="480"/>
        <w:rPr>
          <w:rFonts w:cs="宋体"/>
          <w:kern w:val="0"/>
          <w:sz w:val="24"/>
        </w:rPr>
      </w:pPr>
      <w:r>
        <w:rPr>
          <w:rFonts w:hint="eastAsia" w:cs="宋体"/>
          <w:kern w:val="0"/>
          <w:sz w:val="24"/>
        </w:rPr>
        <w:t>（3）12月15日前，通过甲方组织的验收后支付20%合同金额。</w:t>
      </w:r>
    </w:p>
    <w:p>
      <w:pPr>
        <w:snapToGrid w:val="0"/>
        <w:spacing w:line="360" w:lineRule="auto"/>
        <w:ind w:firstLine="482" w:firstLineChars="200"/>
        <w:rPr>
          <w:rFonts w:ascii="宋体" w:hAnsi="宋体" w:cs="宋体"/>
        </w:rPr>
      </w:pPr>
      <w:r>
        <w:rPr>
          <w:rFonts w:hint="eastAsia" w:ascii="宋体" w:hAnsi="宋体" w:cs="宋体"/>
          <w:b/>
          <w:bCs/>
          <w:kern w:val="0"/>
          <w:sz w:val="24"/>
        </w:rPr>
        <w:t>八、项目成果：</w:t>
      </w:r>
      <w:r>
        <w:rPr>
          <w:rFonts w:hint="eastAsia" w:ascii="宋体" w:hAnsi="宋体" w:cs="宋体"/>
          <w:kern w:val="0"/>
          <w:sz w:val="24"/>
        </w:rPr>
        <w:t>包括但不限于一码汇集核心数据清单、数据标准规范等成果文本，归集机制、质量检查等技术支持方案，核心业务治理成果数据库，“土地码”一码贯通等治理数据成果。</w:t>
      </w:r>
      <w:bookmarkEnd w:id="26"/>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7" w:name="_Toc184308102"/>
      <w:bookmarkEnd w:id="27"/>
      <w:bookmarkStart w:id="28" w:name="_Toc184308078"/>
      <w:bookmarkEnd w:id="28"/>
      <w:bookmarkStart w:id="29" w:name="_Toc184312119"/>
      <w:bookmarkEnd w:id="29"/>
      <w:bookmarkStart w:id="30" w:name="_Toc184313293"/>
      <w:bookmarkEnd w:id="30"/>
      <w:bookmarkStart w:id="31" w:name="_Toc184308038"/>
      <w:bookmarkEnd w:id="31"/>
      <w:bookmarkStart w:id="32" w:name="_Toc184308049"/>
      <w:bookmarkEnd w:id="32"/>
      <w:bookmarkStart w:id="33" w:name="_Toc184312118"/>
      <w:bookmarkEnd w:id="33"/>
      <w:bookmarkStart w:id="34" w:name="_Toc184314423"/>
      <w:bookmarkEnd w:id="34"/>
      <w:bookmarkStart w:id="35" w:name="_Toc184308063"/>
      <w:bookmarkEnd w:id="35"/>
      <w:bookmarkStart w:id="36" w:name="_Toc184314471"/>
      <w:bookmarkEnd w:id="36"/>
      <w:bookmarkStart w:id="37" w:name="_Toc184310278"/>
      <w:bookmarkEnd w:id="37"/>
      <w:bookmarkStart w:id="38" w:name="_Toc184308103"/>
      <w:bookmarkEnd w:id="38"/>
      <w:bookmarkStart w:id="39" w:name="_Toc184313266"/>
      <w:bookmarkEnd w:id="39"/>
      <w:bookmarkStart w:id="40" w:name="_Toc184312115"/>
      <w:bookmarkEnd w:id="40"/>
      <w:bookmarkStart w:id="41" w:name="_Toc184314470"/>
      <w:bookmarkEnd w:id="41"/>
      <w:bookmarkStart w:id="42" w:name="_Toc184314418"/>
      <w:bookmarkEnd w:id="42"/>
      <w:bookmarkStart w:id="43" w:name="_Toc184312090"/>
      <w:bookmarkEnd w:id="43"/>
      <w:bookmarkStart w:id="44" w:name="_Toc184308048"/>
      <w:bookmarkEnd w:id="44"/>
      <w:bookmarkStart w:id="45" w:name="_Toc184314439"/>
      <w:bookmarkEnd w:id="45"/>
      <w:bookmarkStart w:id="46" w:name="_Toc184314455"/>
      <w:bookmarkEnd w:id="46"/>
      <w:bookmarkStart w:id="47" w:name="_Toc184313307"/>
      <w:bookmarkEnd w:id="47"/>
      <w:bookmarkStart w:id="48" w:name="_Toc184314451"/>
      <w:bookmarkEnd w:id="48"/>
      <w:bookmarkStart w:id="49" w:name="_Toc184310286"/>
      <w:bookmarkEnd w:id="49"/>
      <w:bookmarkStart w:id="50" w:name="_Toc184308098"/>
      <w:bookmarkEnd w:id="50"/>
      <w:bookmarkStart w:id="51" w:name="_Toc184308059"/>
      <w:bookmarkEnd w:id="51"/>
      <w:bookmarkStart w:id="52" w:name="_Toc184308064"/>
      <w:bookmarkEnd w:id="52"/>
      <w:bookmarkStart w:id="53" w:name="_Toc184308065"/>
      <w:bookmarkEnd w:id="53"/>
      <w:bookmarkStart w:id="54" w:name="_Toc184313252"/>
      <w:bookmarkEnd w:id="54"/>
      <w:bookmarkStart w:id="55" w:name="_Toc184314427"/>
      <w:bookmarkEnd w:id="55"/>
      <w:bookmarkStart w:id="56" w:name="_Toc184310343"/>
      <w:bookmarkEnd w:id="56"/>
      <w:bookmarkStart w:id="57" w:name="_Toc184310274"/>
      <w:bookmarkEnd w:id="57"/>
      <w:bookmarkStart w:id="58" w:name="_Toc184312129"/>
      <w:bookmarkEnd w:id="58"/>
      <w:bookmarkStart w:id="59" w:name="_Toc184308097"/>
      <w:bookmarkEnd w:id="59"/>
      <w:bookmarkStart w:id="60" w:name="_Toc184310294"/>
      <w:bookmarkEnd w:id="60"/>
      <w:bookmarkStart w:id="61" w:name="_Toc184313288"/>
      <w:bookmarkEnd w:id="61"/>
      <w:bookmarkStart w:id="62" w:name="_Toc184310298"/>
      <w:bookmarkEnd w:id="62"/>
      <w:bookmarkStart w:id="63" w:name="_Toc184314433"/>
      <w:bookmarkEnd w:id="63"/>
      <w:bookmarkStart w:id="64" w:name="_Toc184310325"/>
      <w:bookmarkEnd w:id="64"/>
      <w:bookmarkStart w:id="65" w:name="_Toc184310299"/>
      <w:bookmarkEnd w:id="65"/>
      <w:bookmarkStart w:id="66" w:name="_Toc184312097"/>
      <w:bookmarkEnd w:id="66"/>
      <w:bookmarkStart w:id="67" w:name="_Toc184308095"/>
      <w:bookmarkEnd w:id="67"/>
      <w:bookmarkStart w:id="68" w:name="_Toc184313280"/>
      <w:bookmarkEnd w:id="68"/>
      <w:bookmarkStart w:id="69" w:name="_Toc184313284"/>
      <w:bookmarkEnd w:id="69"/>
      <w:bookmarkStart w:id="70" w:name="_Toc184314467"/>
      <w:bookmarkEnd w:id="70"/>
      <w:bookmarkStart w:id="71" w:name="_Toc184313264"/>
      <w:bookmarkEnd w:id="71"/>
      <w:bookmarkStart w:id="72" w:name="_Toc184310305"/>
      <w:bookmarkEnd w:id="72"/>
      <w:bookmarkStart w:id="73" w:name="_Toc184313300"/>
      <w:bookmarkEnd w:id="73"/>
      <w:bookmarkStart w:id="74" w:name="_Toc184313298"/>
      <w:bookmarkEnd w:id="74"/>
      <w:bookmarkStart w:id="75" w:name="_Toc184312116"/>
      <w:bookmarkEnd w:id="75"/>
      <w:bookmarkStart w:id="76" w:name="_Toc184312081"/>
      <w:bookmarkEnd w:id="76"/>
      <w:bookmarkStart w:id="77" w:name="_Toc184314481"/>
      <w:bookmarkEnd w:id="77"/>
      <w:bookmarkStart w:id="78" w:name="_Toc184313263"/>
      <w:bookmarkEnd w:id="78"/>
      <w:bookmarkStart w:id="79" w:name="_Toc184308083"/>
      <w:bookmarkEnd w:id="79"/>
      <w:bookmarkStart w:id="80" w:name="_Toc184313238"/>
      <w:bookmarkEnd w:id="80"/>
      <w:bookmarkStart w:id="81" w:name="_Toc184308070"/>
      <w:bookmarkEnd w:id="81"/>
      <w:bookmarkStart w:id="82" w:name="_Toc184308087"/>
      <w:bookmarkEnd w:id="82"/>
      <w:bookmarkStart w:id="83" w:name="_Toc184312111"/>
      <w:bookmarkEnd w:id="83"/>
      <w:bookmarkStart w:id="84" w:name="_Toc184312068"/>
      <w:bookmarkEnd w:id="84"/>
      <w:bookmarkStart w:id="85" w:name="_Toc184314441"/>
      <w:bookmarkEnd w:id="85"/>
      <w:bookmarkStart w:id="86" w:name="_Toc184308056"/>
      <w:bookmarkEnd w:id="86"/>
      <w:bookmarkStart w:id="87" w:name="_Toc184313270"/>
      <w:bookmarkEnd w:id="87"/>
      <w:bookmarkStart w:id="88" w:name="_Toc184308107"/>
      <w:bookmarkEnd w:id="88"/>
      <w:bookmarkStart w:id="89" w:name="_Toc184314464"/>
      <w:bookmarkEnd w:id="89"/>
      <w:bookmarkStart w:id="90" w:name="_Toc184308094"/>
      <w:bookmarkEnd w:id="90"/>
      <w:bookmarkStart w:id="91" w:name="_Toc184314482"/>
      <w:bookmarkEnd w:id="91"/>
      <w:bookmarkStart w:id="92" w:name="_Toc184310330"/>
      <w:bookmarkEnd w:id="92"/>
      <w:bookmarkStart w:id="93" w:name="_Toc184310340"/>
      <w:bookmarkEnd w:id="93"/>
      <w:bookmarkStart w:id="94" w:name="_Toc184310289"/>
      <w:bookmarkEnd w:id="94"/>
      <w:bookmarkStart w:id="95" w:name="_Toc184310319"/>
      <w:bookmarkEnd w:id="95"/>
      <w:bookmarkStart w:id="96" w:name="_Toc184314461"/>
      <w:bookmarkEnd w:id="96"/>
      <w:bookmarkStart w:id="97" w:name="_Toc184312126"/>
      <w:bookmarkEnd w:id="97"/>
      <w:bookmarkStart w:id="98" w:name="_Toc184312106"/>
      <w:bookmarkEnd w:id="98"/>
      <w:bookmarkStart w:id="99" w:name="_Toc184313310"/>
      <w:bookmarkEnd w:id="99"/>
      <w:bookmarkStart w:id="100" w:name="_Toc184312104"/>
      <w:bookmarkEnd w:id="100"/>
      <w:bookmarkStart w:id="101" w:name="_Toc184313255"/>
      <w:bookmarkEnd w:id="101"/>
      <w:bookmarkStart w:id="102" w:name="_Toc184314415"/>
      <w:bookmarkEnd w:id="102"/>
      <w:bookmarkStart w:id="103" w:name="_Toc184313243"/>
      <w:bookmarkEnd w:id="103"/>
      <w:bookmarkStart w:id="104" w:name="_Toc184310310"/>
      <w:bookmarkEnd w:id="104"/>
      <w:bookmarkStart w:id="105" w:name="_Toc184312069"/>
      <w:bookmarkEnd w:id="105"/>
      <w:bookmarkStart w:id="106" w:name="_Toc184314435"/>
      <w:bookmarkEnd w:id="106"/>
      <w:bookmarkStart w:id="107" w:name="_Toc184308051"/>
      <w:bookmarkEnd w:id="107"/>
      <w:bookmarkStart w:id="108" w:name="_Toc184312077"/>
      <w:bookmarkEnd w:id="108"/>
      <w:bookmarkStart w:id="109" w:name="_Toc184310307"/>
      <w:bookmarkEnd w:id="109"/>
      <w:bookmarkStart w:id="110" w:name="_Toc184314449"/>
      <w:bookmarkEnd w:id="110"/>
      <w:bookmarkStart w:id="111" w:name="_Toc184314466"/>
      <w:bookmarkEnd w:id="111"/>
      <w:bookmarkStart w:id="112" w:name="_Toc184308079"/>
      <w:bookmarkEnd w:id="112"/>
      <w:bookmarkStart w:id="113" w:name="_Toc184308101"/>
      <w:bookmarkEnd w:id="113"/>
      <w:bookmarkStart w:id="114" w:name="_Toc184313268"/>
      <w:bookmarkEnd w:id="114"/>
      <w:bookmarkStart w:id="115" w:name="_Toc184313305"/>
      <w:bookmarkEnd w:id="115"/>
      <w:bookmarkStart w:id="116" w:name="_Toc184314462"/>
      <w:bookmarkEnd w:id="116"/>
      <w:bookmarkStart w:id="117" w:name="_Toc184310272"/>
      <w:bookmarkEnd w:id="117"/>
      <w:bookmarkStart w:id="118" w:name="_Toc184308047"/>
      <w:bookmarkEnd w:id="118"/>
      <w:bookmarkStart w:id="119" w:name="_Toc184312099"/>
      <w:bookmarkEnd w:id="119"/>
      <w:bookmarkStart w:id="120" w:name="_Toc184308066"/>
      <w:bookmarkEnd w:id="120"/>
      <w:bookmarkStart w:id="121" w:name="_Toc184310275"/>
      <w:bookmarkEnd w:id="121"/>
      <w:bookmarkStart w:id="122" w:name="_Toc184313244"/>
      <w:bookmarkEnd w:id="122"/>
      <w:bookmarkStart w:id="123" w:name="_Toc184314453"/>
      <w:bookmarkEnd w:id="123"/>
      <w:bookmarkStart w:id="124" w:name="_Toc184310292"/>
      <w:bookmarkEnd w:id="124"/>
      <w:bookmarkStart w:id="125" w:name="_Toc184312093"/>
      <w:bookmarkEnd w:id="125"/>
      <w:bookmarkStart w:id="126" w:name="_Toc184312088"/>
      <w:bookmarkEnd w:id="126"/>
      <w:bookmarkStart w:id="127" w:name="_Toc184314459"/>
      <w:bookmarkEnd w:id="127"/>
      <w:bookmarkStart w:id="128" w:name="_Toc184310302"/>
      <w:bookmarkEnd w:id="128"/>
      <w:bookmarkStart w:id="129" w:name="_Toc184312083"/>
      <w:bookmarkEnd w:id="129"/>
      <w:bookmarkStart w:id="130" w:name="_Toc184314465"/>
      <w:bookmarkEnd w:id="130"/>
      <w:bookmarkStart w:id="131" w:name="_Toc184308093"/>
      <w:bookmarkEnd w:id="131"/>
      <w:bookmarkStart w:id="132" w:name="_Toc184310333"/>
      <w:bookmarkEnd w:id="132"/>
      <w:bookmarkStart w:id="133" w:name="_Toc184312117"/>
      <w:bookmarkEnd w:id="133"/>
      <w:bookmarkStart w:id="134" w:name="_Toc184312130"/>
      <w:bookmarkEnd w:id="134"/>
      <w:bookmarkStart w:id="135" w:name="_Toc184313286"/>
      <w:bookmarkEnd w:id="135"/>
      <w:bookmarkStart w:id="136" w:name="_Toc184312128"/>
      <w:bookmarkEnd w:id="136"/>
      <w:bookmarkStart w:id="137" w:name="_Toc184312094"/>
      <w:bookmarkEnd w:id="137"/>
      <w:bookmarkStart w:id="138" w:name="_Toc184314468"/>
      <w:bookmarkEnd w:id="138"/>
      <w:bookmarkStart w:id="139" w:name="_Toc184308108"/>
      <w:bookmarkEnd w:id="139"/>
      <w:bookmarkStart w:id="140" w:name="_Toc184308053"/>
      <w:bookmarkEnd w:id="140"/>
      <w:bookmarkStart w:id="141" w:name="_Toc184308044"/>
      <w:bookmarkEnd w:id="141"/>
      <w:bookmarkStart w:id="142" w:name="_Toc184313304"/>
      <w:bookmarkEnd w:id="142"/>
      <w:bookmarkStart w:id="143" w:name="_Toc184313294"/>
      <w:bookmarkEnd w:id="143"/>
      <w:bookmarkStart w:id="144" w:name="_Toc184313247"/>
      <w:bookmarkEnd w:id="144"/>
      <w:bookmarkStart w:id="145" w:name="_Toc184314430"/>
      <w:bookmarkEnd w:id="145"/>
      <w:bookmarkStart w:id="146" w:name="_Toc184313299"/>
      <w:bookmarkEnd w:id="146"/>
      <w:bookmarkStart w:id="147" w:name="_Toc184313257"/>
      <w:bookmarkEnd w:id="147"/>
      <w:bookmarkStart w:id="148" w:name="_Toc184308091"/>
      <w:bookmarkEnd w:id="148"/>
      <w:bookmarkStart w:id="149" w:name="_Toc184313302"/>
      <w:bookmarkEnd w:id="149"/>
      <w:bookmarkStart w:id="150" w:name="_Toc184312138"/>
      <w:bookmarkEnd w:id="150"/>
      <w:bookmarkStart w:id="151" w:name="_Toc184312120"/>
      <w:bookmarkEnd w:id="151"/>
      <w:bookmarkStart w:id="152" w:name="_Toc184313246"/>
      <w:bookmarkEnd w:id="152"/>
      <w:bookmarkStart w:id="153" w:name="_Toc184313283"/>
      <w:bookmarkEnd w:id="153"/>
      <w:bookmarkStart w:id="154" w:name="_Toc184314420"/>
      <w:bookmarkEnd w:id="154"/>
      <w:bookmarkStart w:id="155" w:name="_Toc184310336"/>
      <w:bookmarkEnd w:id="155"/>
      <w:bookmarkStart w:id="156" w:name="_Toc184310297"/>
      <w:bookmarkEnd w:id="156"/>
      <w:bookmarkStart w:id="157" w:name="_Toc184312122"/>
      <w:bookmarkEnd w:id="157"/>
      <w:bookmarkStart w:id="158" w:name="_Toc184314421"/>
      <w:bookmarkEnd w:id="158"/>
      <w:bookmarkStart w:id="159" w:name="_Toc184313306"/>
      <w:bookmarkEnd w:id="159"/>
      <w:bookmarkStart w:id="160" w:name="_Toc184310317"/>
      <w:bookmarkEnd w:id="160"/>
      <w:bookmarkStart w:id="161" w:name="_Toc184314438"/>
      <w:bookmarkEnd w:id="161"/>
      <w:bookmarkStart w:id="162" w:name="_Toc184313308"/>
      <w:bookmarkEnd w:id="162"/>
      <w:bookmarkStart w:id="163" w:name="_Toc184313248"/>
      <w:bookmarkEnd w:id="163"/>
      <w:bookmarkStart w:id="164" w:name="_Toc184313261"/>
      <w:bookmarkEnd w:id="164"/>
      <w:bookmarkStart w:id="165" w:name="_Toc184312085"/>
      <w:bookmarkEnd w:id="165"/>
      <w:bookmarkStart w:id="166" w:name="_Toc184310285"/>
      <w:bookmarkEnd w:id="166"/>
      <w:bookmarkStart w:id="167" w:name="_Toc184314429"/>
      <w:bookmarkEnd w:id="167"/>
      <w:bookmarkStart w:id="168" w:name="_Toc184310334"/>
      <w:bookmarkEnd w:id="168"/>
      <w:bookmarkStart w:id="169" w:name="_Toc184314469"/>
      <w:bookmarkEnd w:id="169"/>
      <w:bookmarkStart w:id="170" w:name="_Toc184308075"/>
      <w:bookmarkEnd w:id="170"/>
      <w:bookmarkStart w:id="171" w:name="_Toc184313250"/>
      <w:bookmarkEnd w:id="171"/>
      <w:bookmarkStart w:id="172" w:name="_Toc184310273"/>
      <w:bookmarkEnd w:id="172"/>
      <w:bookmarkStart w:id="173" w:name="_Toc184314448"/>
      <w:bookmarkEnd w:id="173"/>
      <w:bookmarkStart w:id="174" w:name="_Toc184308106"/>
      <w:bookmarkEnd w:id="174"/>
      <w:bookmarkStart w:id="175" w:name="_Toc184312123"/>
      <w:bookmarkEnd w:id="175"/>
      <w:bookmarkStart w:id="176" w:name="_Toc184313269"/>
      <w:bookmarkEnd w:id="176"/>
      <w:bookmarkStart w:id="177" w:name="_Toc184310312"/>
      <w:bookmarkEnd w:id="177"/>
      <w:bookmarkStart w:id="178" w:name="_Toc184308058"/>
      <w:bookmarkEnd w:id="178"/>
      <w:bookmarkStart w:id="179" w:name="_Toc184312114"/>
      <w:bookmarkEnd w:id="179"/>
      <w:bookmarkStart w:id="180" w:name="_Toc184310306"/>
      <w:bookmarkEnd w:id="180"/>
      <w:bookmarkStart w:id="181" w:name="_Toc184312072"/>
      <w:bookmarkEnd w:id="181"/>
      <w:bookmarkStart w:id="182" w:name="_Toc184308057"/>
      <w:bookmarkEnd w:id="182"/>
      <w:bookmarkStart w:id="183" w:name="_Toc184312098"/>
      <w:bookmarkEnd w:id="183"/>
      <w:bookmarkStart w:id="184" w:name="_Toc184313265"/>
      <w:bookmarkEnd w:id="184"/>
      <w:bookmarkStart w:id="185" w:name="_Toc184310280"/>
      <w:bookmarkEnd w:id="185"/>
      <w:bookmarkStart w:id="186" w:name="_Toc184312095"/>
      <w:bookmarkEnd w:id="186"/>
      <w:bookmarkStart w:id="187" w:name="_Toc184313277"/>
      <w:bookmarkEnd w:id="187"/>
      <w:bookmarkStart w:id="188" w:name="_Toc184312102"/>
      <w:bookmarkEnd w:id="188"/>
      <w:bookmarkStart w:id="189" w:name="_Toc184314480"/>
      <w:bookmarkEnd w:id="189"/>
      <w:bookmarkStart w:id="190" w:name="_Toc184314446"/>
      <w:bookmarkEnd w:id="190"/>
      <w:bookmarkStart w:id="191" w:name="_Toc184313262"/>
      <w:bookmarkEnd w:id="191"/>
      <w:bookmarkStart w:id="192" w:name="_Toc184312082"/>
      <w:bookmarkEnd w:id="192"/>
      <w:bookmarkStart w:id="193" w:name="_Toc184308080"/>
      <w:bookmarkEnd w:id="193"/>
      <w:bookmarkStart w:id="194" w:name="_Toc184314460"/>
      <w:bookmarkEnd w:id="194"/>
      <w:bookmarkStart w:id="195" w:name="_Toc184308100"/>
      <w:bookmarkEnd w:id="195"/>
      <w:bookmarkStart w:id="196" w:name="_Toc184308068"/>
      <w:bookmarkEnd w:id="196"/>
      <w:bookmarkStart w:id="197" w:name="_Toc184312127"/>
      <w:bookmarkEnd w:id="197"/>
      <w:bookmarkStart w:id="198" w:name="_Toc184314478"/>
      <w:bookmarkEnd w:id="198"/>
      <w:bookmarkStart w:id="199" w:name="_Toc184313240"/>
      <w:bookmarkEnd w:id="199"/>
      <w:bookmarkStart w:id="200" w:name="_Toc184314410"/>
      <w:bookmarkEnd w:id="200"/>
      <w:bookmarkStart w:id="201" w:name="_Toc184310338"/>
      <w:bookmarkEnd w:id="201"/>
      <w:bookmarkStart w:id="202" w:name="_Toc184314426"/>
      <w:bookmarkEnd w:id="202"/>
      <w:bookmarkStart w:id="203" w:name="_Toc184310326"/>
      <w:bookmarkEnd w:id="203"/>
      <w:bookmarkStart w:id="204" w:name="_Toc184312100"/>
      <w:bookmarkEnd w:id="204"/>
      <w:bookmarkStart w:id="205" w:name="_Toc184314431"/>
      <w:bookmarkEnd w:id="205"/>
      <w:bookmarkStart w:id="206" w:name="_Toc184310320"/>
      <w:bookmarkEnd w:id="206"/>
      <w:bookmarkStart w:id="207" w:name="_Toc184312070"/>
      <w:bookmarkEnd w:id="207"/>
      <w:bookmarkStart w:id="208" w:name="_Toc184314458"/>
      <w:bookmarkEnd w:id="208"/>
      <w:bookmarkStart w:id="209" w:name="_Toc184314432"/>
      <w:bookmarkEnd w:id="209"/>
      <w:bookmarkStart w:id="210" w:name="_Toc184312078"/>
      <w:bookmarkEnd w:id="210"/>
      <w:bookmarkStart w:id="211" w:name="_Toc184313289"/>
      <w:bookmarkEnd w:id="211"/>
      <w:bookmarkStart w:id="212" w:name="_Toc184310279"/>
      <w:bookmarkEnd w:id="212"/>
      <w:bookmarkStart w:id="213" w:name="_Toc184314450"/>
      <w:bookmarkEnd w:id="213"/>
      <w:bookmarkStart w:id="214" w:name="_Toc184308054"/>
      <w:bookmarkEnd w:id="214"/>
      <w:bookmarkStart w:id="215" w:name="_Toc184313295"/>
      <w:bookmarkEnd w:id="215"/>
      <w:bookmarkStart w:id="216" w:name="_Toc184308104"/>
      <w:bookmarkEnd w:id="216"/>
      <w:bookmarkStart w:id="217" w:name="_Toc184313239"/>
      <w:bookmarkEnd w:id="217"/>
      <w:bookmarkStart w:id="218" w:name="_Toc184308092"/>
      <w:bookmarkEnd w:id="218"/>
      <w:bookmarkStart w:id="219" w:name="_Toc184313290"/>
      <w:bookmarkEnd w:id="219"/>
      <w:bookmarkStart w:id="220" w:name="_Toc184308041"/>
      <w:bookmarkEnd w:id="220"/>
      <w:bookmarkStart w:id="221" w:name="_Toc184310337"/>
      <w:bookmarkEnd w:id="221"/>
      <w:bookmarkStart w:id="222" w:name="_Toc184310324"/>
      <w:bookmarkEnd w:id="222"/>
      <w:bookmarkStart w:id="223" w:name="_Toc184308086"/>
      <w:bookmarkEnd w:id="223"/>
      <w:bookmarkStart w:id="224" w:name="_Toc184310283"/>
      <w:bookmarkEnd w:id="224"/>
      <w:bookmarkStart w:id="225" w:name="_Toc184313251"/>
      <w:bookmarkEnd w:id="225"/>
      <w:bookmarkStart w:id="226" w:name="_Toc184314416"/>
      <w:bookmarkEnd w:id="226"/>
      <w:bookmarkStart w:id="227" w:name="_Toc184312071"/>
      <w:bookmarkEnd w:id="227"/>
      <w:bookmarkStart w:id="228" w:name="_Toc184310304"/>
      <w:bookmarkEnd w:id="228"/>
      <w:bookmarkStart w:id="229" w:name="_Toc184314456"/>
      <w:bookmarkEnd w:id="229"/>
      <w:bookmarkStart w:id="230" w:name="_Toc184314454"/>
      <w:bookmarkEnd w:id="230"/>
      <w:bookmarkStart w:id="231" w:name="_Toc184313291"/>
      <w:bookmarkEnd w:id="231"/>
      <w:bookmarkStart w:id="232" w:name="_Toc184313267"/>
      <w:bookmarkEnd w:id="232"/>
      <w:bookmarkStart w:id="233" w:name="_Toc184310287"/>
      <w:bookmarkEnd w:id="233"/>
      <w:bookmarkStart w:id="234" w:name="_Toc184308084"/>
      <w:bookmarkEnd w:id="234"/>
      <w:bookmarkStart w:id="235" w:name="_Toc184310316"/>
      <w:bookmarkEnd w:id="235"/>
      <w:bookmarkStart w:id="236" w:name="_Toc184308096"/>
      <w:bookmarkEnd w:id="236"/>
      <w:bookmarkStart w:id="237" w:name="_Toc184308105"/>
      <w:bookmarkEnd w:id="237"/>
      <w:bookmarkStart w:id="238" w:name="_Toc184312075"/>
      <w:bookmarkEnd w:id="238"/>
      <w:bookmarkStart w:id="239" w:name="_Toc184308039"/>
      <w:bookmarkEnd w:id="239"/>
      <w:bookmarkStart w:id="240" w:name="_Toc184312067"/>
      <w:bookmarkEnd w:id="240"/>
      <w:bookmarkStart w:id="241" w:name="_Toc184310329"/>
      <w:bookmarkEnd w:id="241"/>
      <w:bookmarkStart w:id="242" w:name="_Toc184312091"/>
      <w:bookmarkEnd w:id="242"/>
      <w:bookmarkStart w:id="243" w:name="_Toc184313278"/>
      <w:bookmarkEnd w:id="243"/>
      <w:bookmarkStart w:id="244" w:name="_Toc184312079"/>
      <w:bookmarkEnd w:id="244"/>
      <w:bookmarkStart w:id="245" w:name="_Toc184314422"/>
      <w:bookmarkEnd w:id="245"/>
      <w:bookmarkStart w:id="246" w:name="_Toc184312092"/>
      <w:bookmarkEnd w:id="246"/>
      <w:bookmarkStart w:id="247" w:name="_Toc184308081"/>
      <w:bookmarkEnd w:id="247"/>
      <w:bookmarkStart w:id="248" w:name="_Toc184313273"/>
      <w:bookmarkEnd w:id="248"/>
      <w:bookmarkStart w:id="249" w:name="_Toc184314417"/>
      <w:bookmarkEnd w:id="249"/>
      <w:bookmarkStart w:id="250" w:name="_Toc184312101"/>
      <w:bookmarkEnd w:id="250"/>
      <w:bookmarkStart w:id="251" w:name="_Toc184308076"/>
      <w:bookmarkEnd w:id="251"/>
      <w:bookmarkStart w:id="252" w:name="_Toc184310277"/>
      <w:bookmarkEnd w:id="252"/>
      <w:bookmarkStart w:id="253" w:name="_Toc184310342"/>
      <w:bookmarkEnd w:id="253"/>
      <w:bookmarkStart w:id="254" w:name="_Toc184312113"/>
      <w:bookmarkEnd w:id="254"/>
      <w:bookmarkStart w:id="255" w:name="_Toc184308052"/>
      <w:bookmarkEnd w:id="255"/>
      <w:bookmarkStart w:id="256" w:name="_Toc184308062"/>
      <w:bookmarkEnd w:id="256"/>
      <w:bookmarkStart w:id="257" w:name="_Toc184312121"/>
      <w:bookmarkEnd w:id="257"/>
      <w:bookmarkStart w:id="258" w:name="_Toc184313260"/>
      <w:bookmarkEnd w:id="258"/>
      <w:bookmarkStart w:id="259" w:name="_Toc184308067"/>
      <w:bookmarkEnd w:id="259"/>
      <w:bookmarkStart w:id="260" w:name="_Toc184310288"/>
      <w:bookmarkEnd w:id="260"/>
      <w:bookmarkStart w:id="261" w:name="_Toc184314475"/>
      <w:bookmarkEnd w:id="261"/>
      <w:bookmarkStart w:id="262" w:name="_Toc184308085"/>
      <w:bookmarkEnd w:id="262"/>
      <w:bookmarkStart w:id="263" w:name="_Toc184312124"/>
      <w:bookmarkEnd w:id="263"/>
      <w:bookmarkStart w:id="264" w:name="_Toc184310321"/>
      <w:bookmarkEnd w:id="264"/>
      <w:bookmarkStart w:id="265" w:name="_Toc184310291"/>
      <w:bookmarkEnd w:id="265"/>
      <w:bookmarkStart w:id="266" w:name="_Toc184314477"/>
      <w:bookmarkEnd w:id="266"/>
      <w:bookmarkStart w:id="267" w:name="_Toc184310300"/>
      <w:bookmarkEnd w:id="267"/>
      <w:bookmarkStart w:id="268" w:name="_Toc184313274"/>
      <w:bookmarkEnd w:id="268"/>
      <w:bookmarkStart w:id="269" w:name="_Toc184310295"/>
      <w:bookmarkEnd w:id="269"/>
      <w:bookmarkStart w:id="270" w:name="_Toc184310290"/>
      <w:bookmarkEnd w:id="270"/>
      <w:bookmarkStart w:id="271" w:name="_Toc184310296"/>
      <w:bookmarkEnd w:id="271"/>
      <w:bookmarkStart w:id="272" w:name="_Toc184310323"/>
      <w:bookmarkEnd w:id="272"/>
      <w:bookmarkStart w:id="273" w:name="_Toc184313253"/>
      <w:bookmarkEnd w:id="273"/>
      <w:bookmarkStart w:id="274" w:name="_Toc184312112"/>
      <w:bookmarkEnd w:id="274"/>
      <w:bookmarkStart w:id="275" w:name="_Toc184312107"/>
      <w:bookmarkEnd w:id="275"/>
      <w:bookmarkStart w:id="276" w:name="_Toc184314443"/>
      <w:bookmarkEnd w:id="276"/>
      <w:bookmarkStart w:id="277" w:name="_Toc184312087"/>
      <w:bookmarkEnd w:id="277"/>
      <w:bookmarkStart w:id="278" w:name="_Toc184313275"/>
      <w:bookmarkEnd w:id="278"/>
      <w:bookmarkStart w:id="279" w:name="_Toc184312105"/>
      <w:bookmarkEnd w:id="279"/>
      <w:bookmarkStart w:id="280" w:name="_Toc184314452"/>
      <w:bookmarkEnd w:id="280"/>
      <w:bookmarkStart w:id="281" w:name="_Toc184314444"/>
      <w:bookmarkEnd w:id="281"/>
      <w:bookmarkStart w:id="282" w:name="_Toc184313256"/>
      <w:bookmarkEnd w:id="282"/>
      <w:bookmarkStart w:id="283" w:name="_Toc184314437"/>
      <w:bookmarkEnd w:id="283"/>
      <w:bookmarkStart w:id="284" w:name="_Toc184308074"/>
      <w:bookmarkEnd w:id="284"/>
      <w:bookmarkStart w:id="285" w:name="_Toc184310311"/>
      <w:bookmarkEnd w:id="285"/>
      <w:bookmarkStart w:id="286" w:name="_Toc184310301"/>
      <w:bookmarkEnd w:id="286"/>
      <w:bookmarkStart w:id="287" w:name="_Toc184308040"/>
      <w:bookmarkEnd w:id="287"/>
      <w:bookmarkStart w:id="288" w:name="_Toc184313245"/>
      <w:bookmarkEnd w:id="288"/>
      <w:bookmarkStart w:id="289" w:name="_Toc184308077"/>
      <w:bookmarkEnd w:id="289"/>
      <w:bookmarkStart w:id="290" w:name="_Toc184312132"/>
      <w:bookmarkEnd w:id="290"/>
      <w:bookmarkStart w:id="291" w:name="_Toc184314473"/>
      <w:bookmarkEnd w:id="291"/>
      <w:bookmarkStart w:id="292" w:name="_Toc184308071"/>
      <w:bookmarkEnd w:id="292"/>
      <w:bookmarkStart w:id="293" w:name="_Toc184313259"/>
      <w:bookmarkEnd w:id="293"/>
      <w:bookmarkStart w:id="294" w:name="_Toc184312073"/>
      <w:bookmarkEnd w:id="294"/>
      <w:bookmarkStart w:id="295" w:name="_Toc184308061"/>
      <w:bookmarkEnd w:id="295"/>
      <w:bookmarkStart w:id="296" w:name="_Toc184312074"/>
      <w:bookmarkEnd w:id="296"/>
      <w:bookmarkStart w:id="297" w:name="_Toc184314428"/>
      <w:bookmarkEnd w:id="297"/>
      <w:bookmarkStart w:id="298" w:name="_Toc184310344"/>
      <w:bookmarkEnd w:id="298"/>
      <w:bookmarkStart w:id="299" w:name="_Toc184314463"/>
      <w:bookmarkEnd w:id="299"/>
      <w:bookmarkStart w:id="300" w:name="_Toc184313296"/>
      <w:bookmarkEnd w:id="300"/>
      <w:bookmarkStart w:id="301" w:name="_Toc184310284"/>
      <w:bookmarkEnd w:id="301"/>
      <w:bookmarkStart w:id="302" w:name="_Toc184310309"/>
      <w:bookmarkEnd w:id="302"/>
      <w:bookmarkStart w:id="303" w:name="_Toc184314445"/>
      <w:bookmarkEnd w:id="303"/>
      <w:bookmarkStart w:id="304" w:name="_Toc184314476"/>
      <w:bookmarkEnd w:id="304"/>
      <w:bookmarkStart w:id="305" w:name="_Toc184314457"/>
      <w:bookmarkEnd w:id="305"/>
      <w:bookmarkStart w:id="306" w:name="_Toc184312103"/>
      <w:bookmarkEnd w:id="306"/>
      <w:bookmarkStart w:id="307" w:name="_Toc184310282"/>
      <w:bookmarkEnd w:id="307"/>
      <w:bookmarkStart w:id="308" w:name="_Toc184313292"/>
      <w:bookmarkEnd w:id="308"/>
      <w:bookmarkStart w:id="309" w:name="_Toc184308042"/>
      <w:bookmarkEnd w:id="309"/>
      <w:bookmarkStart w:id="310" w:name="_Toc184308072"/>
      <w:bookmarkEnd w:id="310"/>
      <w:bookmarkStart w:id="311" w:name="_Toc184312076"/>
      <w:bookmarkEnd w:id="311"/>
      <w:bookmarkStart w:id="312" w:name="_Toc184314436"/>
      <w:bookmarkEnd w:id="312"/>
      <w:bookmarkStart w:id="313" w:name="_Toc184310339"/>
      <w:bookmarkEnd w:id="313"/>
      <w:bookmarkStart w:id="314" w:name="_Toc184310331"/>
      <w:bookmarkEnd w:id="314"/>
      <w:bookmarkStart w:id="315" w:name="_Toc184313254"/>
      <w:bookmarkEnd w:id="315"/>
      <w:bookmarkStart w:id="316" w:name="_Toc184312133"/>
      <w:bookmarkEnd w:id="316"/>
      <w:bookmarkStart w:id="317" w:name="_Toc184312137"/>
      <w:bookmarkEnd w:id="317"/>
      <w:bookmarkStart w:id="318" w:name="_Toc184310328"/>
      <w:bookmarkEnd w:id="318"/>
      <w:bookmarkStart w:id="319" w:name="_Toc184308045"/>
      <w:bookmarkEnd w:id="319"/>
      <w:bookmarkStart w:id="320" w:name="_Toc184310308"/>
      <w:bookmarkEnd w:id="320"/>
      <w:bookmarkStart w:id="321" w:name="_Toc184313297"/>
      <w:bookmarkEnd w:id="321"/>
      <w:bookmarkStart w:id="322" w:name="_Toc184312096"/>
      <w:bookmarkEnd w:id="322"/>
      <w:bookmarkStart w:id="323" w:name="_Toc184313279"/>
      <w:bookmarkEnd w:id="323"/>
      <w:bookmarkStart w:id="324" w:name="_Toc184314440"/>
      <w:bookmarkEnd w:id="324"/>
      <w:bookmarkStart w:id="325" w:name="_Toc184313276"/>
      <w:bookmarkEnd w:id="325"/>
      <w:bookmarkStart w:id="326" w:name="_Toc184310313"/>
      <w:bookmarkEnd w:id="326"/>
      <w:bookmarkStart w:id="327" w:name="_Toc184310303"/>
      <w:bookmarkEnd w:id="327"/>
      <w:bookmarkStart w:id="328" w:name="_Toc184310318"/>
      <w:bookmarkEnd w:id="328"/>
      <w:bookmarkStart w:id="329" w:name="_Toc184312086"/>
      <w:bookmarkEnd w:id="329"/>
      <w:bookmarkStart w:id="330" w:name="_Toc184313271"/>
      <w:bookmarkEnd w:id="330"/>
      <w:bookmarkStart w:id="331" w:name="_Toc184310322"/>
      <w:bookmarkEnd w:id="331"/>
      <w:bookmarkStart w:id="332" w:name="_Toc184312089"/>
      <w:bookmarkEnd w:id="332"/>
      <w:bookmarkStart w:id="333" w:name="_Toc184308046"/>
      <w:bookmarkEnd w:id="333"/>
      <w:bookmarkStart w:id="334" w:name="_Toc184308099"/>
      <w:bookmarkEnd w:id="334"/>
      <w:bookmarkStart w:id="335" w:name="_Toc184308090"/>
      <w:bookmarkEnd w:id="335"/>
      <w:bookmarkStart w:id="336" w:name="_Toc184312080"/>
      <w:bookmarkEnd w:id="336"/>
      <w:bookmarkStart w:id="337" w:name="_Toc184314447"/>
      <w:bookmarkEnd w:id="337"/>
      <w:bookmarkStart w:id="338" w:name="_Toc184314411"/>
      <w:bookmarkEnd w:id="338"/>
      <w:bookmarkStart w:id="339" w:name="_Toc184314434"/>
      <w:bookmarkEnd w:id="339"/>
      <w:bookmarkStart w:id="340" w:name="_Toc184313287"/>
      <w:bookmarkEnd w:id="340"/>
      <w:bookmarkStart w:id="341" w:name="_Toc184314479"/>
      <w:bookmarkEnd w:id="341"/>
      <w:bookmarkStart w:id="342" w:name="_Toc184312131"/>
      <w:bookmarkEnd w:id="342"/>
      <w:bookmarkStart w:id="343" w:name="_Toc184312136"/>
      <w:bookmarkEnd w:id="343"/>
      <w:bookmarkStart w:id="344" w:name="_Toc184314472"/>
      <w:bookmarkEnd w:id="344"/>
      <w:bookmarkStart w:id="345" w:name="_Toc184310332"/>
      <w:bookmarkEnd w:id="345"/>
      <w:bookmarkStart w:id="346" w:name="_Toc184308069"/>
      <w:bookmarkEnd w:id="346"/>
      <w:bookmarkStart w:id="347" w:name="_Toc184310281"/>
      <w:bookmarkEnd w:id="347"/>
      <w:bookmarkStart w:id="348" w:name="_Toc184308043"/>
      <w:bookmarkEnd w:id="348"/>
      <w:bookmarkStart w:id="349" w:name="_Toc184308037"/>
      <w:bookmarkEnd w:id="349"/>
      <w:bookmarkStart w:id="350" w:name="_Toc184308089"/>
      <w:bookmarkEnd w:id="350"/>
      <w:bookmarkStart w:id="351" w:name="_Toc184312134"/>
      <w:bookmarkEnd w:id="351"/>
      <w:bookmarkStart w:id="352" w:name="_Toc184310293"/>
      <w:bookmarkEnd w:id="352"/>
      <w:bookmarkStart w:id="353" w:name="_Toc184310341"/>
      <w:bookmarkEnd w:id="353"/>
      <w:bookmarkStart w:id="354" w:name="_Toc184313249"/>
      <w:bookmarkEnd w:id="354"/>
      <w:bookmarkStart w:id="355" w:name="_Toc184314474"/>
      <w:bookmarkEnd w:id="355"/>
      <w:bookmarkStart w:id="356" w:name="_Toc184313301"/>
      <w:bookmarkEnd w:id="356"/>
      <w:bookmarkStart w:id="357" w:name="_Toc184308073"/>
      <w:bookmarkEnd w:id="357"/>
      <w:bookmarkStart w:id="358" w:name="_Toc184308036"/>
      <w:bookmarkEnd w:id="358"/>
      <w:bookmarkStart w:id="359" w:name="_Toc184312084"/>
      <w:bookmarkEnd w:id="359"/>
      <w:bookmarkStart w:id="360" w:name="_Toc184313241"/>
      <w:bookmarkEnd w:id="360"/>
      <w:bookmarkStart w:id="361" w:name="_Toc184308082"/>
      <w:bookmarkEnd w:id="361"/>
      <w:bookmarkStart w:id="362" w:name="_Toc184313282"/>
      <w:bookmarkEnd w:id="362"/>
      <w:bookmarkStart w:id="363" w:name="_Toc184312108"/>
      <w:bookmarkEnd w:id="363"/>
      <w:bookmarkStart w:id="364" w:name="_Toc184313272"/>
      <w:bookmarkEnd w:id="364"/>
      <w:bookmarkStart w:id="365" w:name="_Toc184308050"/>
      <w:bookmarkEnd w:id="365"/>
      <w:bookmarkStart w:id="366" w:name="_Toc184313281"/>
      <w:bookmarkEnd w:id="366"/>
      <w:bookmarkStart w:id="367" w:name="_Toc184313242"/>
      <w:bookmarkEnd w:id="367"/>
      <w:bookmarkStart w:id="368" w:name="_Toc184310327"/>
      <w:bookmarkEnd w:id="368"/>
      <w:bookmarkStart w:id="369" w:name="_Toc184310276"/>
      <w:bookmarkEnd w:id="369"/>
      <w:bookmarkStart w:id="370" w:name="_Toc184314425"/>
      <w:bookmarkEnd w:id="370"/>
      <w:bookmarkStart w:id="371" w:name="_Toc184308055"/>
      <w:bookmarkEnd w:id="371"/>
      <w:bookmarkStart w:id="372" w:name="_Toc184310314"/>
      <w:bookmarkEnd w:id="372"/>
      <w:bookmarkStart w:id="373" w:name="_Toc184314442"/>
      <w:bookmarkEnd w:id="373"/>
      <w:bookmarkStart w:id="374" w:name="_Toc184313303"/>
      <w:bookmarkEnd w:id="374"/>
      <w:bookmarkStart w:id="375" w:name="_Toc184312139"/>
      <w:bookmarkEnd w:id="375"/>
      <w:bookmarkStart w:id="376" w:name="_Toc184312125"/>
      <w:bookmarkEnd w:id="376"/>
      <w:bookmarkStart w:id="377" w:name="_Toc184310335"/>
      <w:bookmarkEnd w:id="377"/>
      <w:bookmarkStart w:id="378" w:name="_Toc184312109"/>
      <w:bookmarkEnd w:id="378"/>
      <w:bookmarkStart w:id="379" w:name="_Toc184313309"/>
      <w:bookmarkEnd w:id="379"/>
      <w:bookmarkStart w:id="380" w:name="_Toc184314414"/>
      <w:bookmarkEnd w:id="380"/>
      <w:bookmarkStart w:id="381" w:name="_Toc184313285"/>
      <w:bookmarkEnd w:id="381"/>
      <w:bookmarkStart w:id="382" w:name="_Toc184308060"/>
      <w:bookmarkEnd w:id="382"/>
      <w:bookmarkStart w:id="383" w:name="_Toc184314424"/>
      <w:bookmarkEnd w:id="383"/>
      <w:bookmarkStart w:id="384" w:name="_Toc184314412"/>
      <w:bookmarkEnd w:id="384"/>
      <w:bookmarkStart w:id="385" w:name="_Toc184314413"/>
      <w:bookmarkEnd w:id="385"/>
      <w:bookmarkStart w:id="386" w:name="_Toc184308088"/>
      <w:bookmarkEnd w:id="386"/>
      <w:bookmarkStart w:id="387" w:name="_Toc184314419"/>
      <w:bookmarkEnd w:id="387"/>
      <w:bookmarkStart w:id="388" w:name="_Toc184312135"/>
      <w:bookmarkEnd w:id="388"/>
      <w:bookmarkStart w:id="389" w:name="_Toc184310315"/>
      <w:bookmarkEnd w:id="389"/>
      <w:bookmarkStart w:id="390" w:name="_Toc184312110"/>
      <w:bookmarkEnd w:id="390"/>
      <w:bookmarkStart w:id="391" w:name="_Toc184313258"/>
      <w:bookmarkEnd w:id="391"/>
      <w:r>
        <w:rPr>
          <w:rFonts w:hint="eastAsia" w:ascii="宋体" w:hAnsi="宋体" w:cs="宋体"/>
          <w:b/>
          <w:sz w:val="36"/>
          <w:szCs w:val="36"/>
        </w:rPr>
        <w:t>评标办法</w:t>
      </w:r>
    </w:p>
    <w:p>
      <w:pPr>
        <w:snapToGrid w:val="0"/>
        <w:spacing w:line="360" w:lineRule="auto"/>
        <w:jc w:val="center"/>
        <w:rPr>
          <w:b/>
          <w:bCs/>
          <w:sz w:val="32"/>
          <w:szCs w:val="32"/>
        </w:rPr>
      </w:pPr>
      <w:r>
        <w:rPr>
          <w:rFonts w:hint="eastAsia" w:ascii="宋体" w:hAnsi="宋体" w:cs="宋体"/>
          <w:b/>
          <w:sz w:val="32"/>
          <w:szCs w:val="20"/>
        </w:rPr>
        <w:t>评标办法前附表</w:t>
      </w:r>
    </w:p>
    <w:tbl>
      <w:tblPr>
        <w:tblStyle w:val="6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5882"/>
        <w:gridCol w:w="59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序号</w:t>
            </w:r>
          </w:p>
        </w:tc>
        <w:tc>
          <w:tcPr>
            <w:tcW w:w="5882"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评标标准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权重</w:t>
            </w:r>
          </w:p>
        </w:tc>
        <w:tc>
          <w:tcPr>
            <w:tcW w:w="1673" w:type="dxa"/>
          </w:tcPr>
          <w:p>
            <w:pPr>
              <w:snapToGrid w:val="0"/>
              <w:spacing w:line="360" w:lineRule="auto"/>
              <w:jc w:val="center"/>
              <w:rPr>
                <w:rFonts w:ascii="宋体" w:hAnsi="宋体" w:cs="仿宋_GB2312"/>
                <w:szCs w:val="21"/>
              </w:rPr>
            </w:pPr>
            <w:r>
              <w:rPr>
                <w:rFonts w:hint="eastAsia" w:ascii="宋体" w:hAnsi="宋体" w:cs="仿宋_GB2312"/>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w:t>
            </w:r>
          </w:p>
        </w:tc>
        <w:tc>
          <w:tcPr>
            <w:tcW w:w="5882" w:type="dxa"/>
            <w:vAlign w:val="center"/>
          </w:tcPr>
          <w:p>
            <w:pPr>
              <w:pStyle w:val="785"/>
              <w:widowControl w:val="0"/>
              <w:spacing w:line="360" w:lineRule="auto"/>
              <w:jc w:val="left"/>
              <w:rPr>
                <w:rFonts w:ascii="宋体" w:hAnsi="宋体" w:cs="宋体"/>
              </w:rPr>
            </w:pPr>
            <w:r>
              <w:rPr>
                <w:rFonts w:ascii="宋体" w:hAnsi="宋体" w:cs="宋体"/>
              </w:rPr>
              <w:t>【主观分】</w:t>
            </w:r>
          </w:p>
          <w:p>
            <w:pPr>
              <w:pStyle w:val="785"/>
              <w:widowControl w:val="0"/>
              <w:numPr>
                <w:ilvl w:val="0"/>
                <w:numId w:val="1"/>
              </w:numPr>
              <w:spacing w:line="360" w:lineRule="auto"/>
              <w:jc w:val="left"/>
              <w:rPr>
                <w:rFonts w:ascii="宋体" w:hAnsi="宋体" w:cs="宋体"/>
              </w:rPr>
            </w:pPr>
            <w:r>
              <w:rPr>
                <w:rFonts w:ascii="宋体" w:hAnsi="宋体" w:cs="宋体"/>
              </w:rPr>
              <w:t>对本项目工作内容的分析描述满足招标要求方案，具有可行性；</w:t>
            </w:r>
          </w:p>
          <w:p>
            <w:pPr>
              <w:pStyle w:val="785"/>
              <w:widowControl w:val="0"/>
              <w:numPr>
                <w:ilvl w:val="0"/>
                <w:numId w:val="1"/>
              </w:numPr>
              <w:spacing w:line="360" w:lineRule="auto"/>
              <w:jc w:val="left"/>
              <w:rPr>
                <w:rFonts w:ascii="宋体" w:hAnsi="宋体" w:cs="宋体"/>
              </w:rPr>
            </w:pPr>
            <w:r>
              <w:rPr>
                <w:rFonts w:ascii="宋体" w:hAnsi="宋体" w:cs="宋体"/>
              </w:rPr>
              <w:t>项目实施方案具有先进性，采用信息化手段，具备可靠先进的系统平台及数据库支持本项目的开展等，满足招标要求方案，具有合理性；</w:t>
            </w:r>
          </w:p>
          <w:p>
            <w:pPr>
              <w:pStyle w:val="785"/>
              <w:widowControl w:val="0"/>
              <w:spacing w:line="360" w:lineRule="auto"/>
              <w:jc w:val="left"/>
              <w:rPr>
                <w:rFonts w:ascii="宋体" w:hAnsi="宋体" w:cs="宋体"/>
              </w:rPr>
            </w:pPr>
            <w:r>
              <w:rPr>
                <w:rFonts w:ascii="宋体" w:hAnsi="宋体" w:cs="宋体"/>
              </w:rPr>
              <w:t>（3）对本项目工作内容的分析描述内容齐全、要求一一满足结构完整、表述准确；</w:t>
            </w:r>
          </w:p>
          <w:p>
            <w:pPr>
              <w:pStyle w:val="785"/>
              <w:widowControl w:val="0"/>
              <w:spacing w:line="360" w:lineRule="auto"/>
              <w:jc w:val="left"/>
              <w:rPr>
                <w:rFonts w:ascii="宋体" w:hAnsi="宋体" w:cs="宋体"/>
              </w:rPr>
            </w:pPr>
            <w:r>
              <w:rPr>
                <w:rFonts w:ascii="宋体" w:hAnsi="宋体" w:cs="宋体"/>
              </w:rPr>
              <w:t>（4）实施方案具备足够的可靠性，对开展各项技术服务具备足够的、可靠的数据支撑及系统支持，保障数据安全的可行性解决方案。</w:t>
            </w:r>
          </w:p>
          <w:p>
            <w:pPr>
              <w:pStyle w:val="259"/>
              <w:ind w:firstLine="0" w:firstLineChars="0"/>
              <w:rPr>
                <w:rFonts w:ascii="宋体" w:hAnsi="宋体" w:cs="宋体"/>
                <w:sz w:val="21"/>
                <w:szCs w:val="21"/>
              </w:rPr>
            </w:pPr>
            <w:r>
              <w:rPr>
                <w:rFonts w:ascii="宋体" w:hAnsi="宋体" w:eastAsia="宋体" w:cs="宋体"/>
                <w:kern w:val="0"/>
                <w:sz w:val="21"/>
                <w:szCs w:val="21"/>
              </w:rPr>
              <w:t>以上每一项内容完全满足得3分</w:t>
            </w:r>
            <w:r>
              <w:rPr>
                <w:rFonts w:hint="eastAsia" w:ascii="宋体" w:hAnsi="宋体" w:eastAsia="宋体" w:cs="宋体"/>
                <w:kern w:val="0"/>
                <w:sz w:val="21"/>
                <w:szCs w:val="21"/>
              </w:rPr>
              <w:t>；</w:t>
            </w:r>
            <w:r>
              <w:rPr>
                <w:rFonts w:ascii="宋体" w:hAnsi="宋体" w:eastAsia="宋体" w:cs="宋体"/>
                <w:kern w:val="0"/>
                <w:sz w:val="21"/>
                <w:szCs w:val="21"/>
              </w:rPr>
              <w:t>基本满足得2分</w:t>
            </w:r>
            <w:r>
              <w:rPr>
                <w:rFonts w:hint="eastAsia" w:ascii="宋体" w:hAnsi="宋体" w:eastAsia="宋体" w:cs="宋体"/>
                <w:kern w:val="0"/>
                <w:sz w:val="21"/>
                <w:szCs w:val="21"/>
              </w:rPr>
              <w:t>；</w:t>
            </w:r>
            <w:r>
              <w:rPr>
                <w:rFonts w:ascii="宋体" w:hAnsi="宋体" w:eastAsia="宋体" w:cs="宋体"/>
                <w:kern w:val="0"/>
                <w:sz w:val="21"/>
                <w:szCs w:val="21"/>
              </w:rPr>
              <w:t>少部分满足得1分</w:t>
            </w:r>
            <w:r>
              <w:rPr>
                <w:rFonts w:hint="eastAsia" w:ascii="宋体" w:hAnsi="宋体" w:eastAsia="宋体" w:cs="宋体"/>
                <w:kern w:val="0"/>
                <w:sz w:val="21"/>
                <w:szCs w:val="21"/>
              </w:rPr>
              <w:t>；未提供或</w:t>
            </w:r>
            <w:r>
              <w:rPr>
                <w:rFonts w:ascii="宋体" w:hAnsi="宋体" w:eastAsia="宋体" w:cs="宋体"/>
                <w:kern w:val="0"/>
                <w:sz w:val="21"/>
                <w:szCs w:val="21"/>
              </w:rPr>
              <w:t>不满足不得分。本项最高得12分。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12</w:t>
            </w:r>
          </w:p>
        </w:tc>
        <w:tc>
          <w:tcPr>
            <w:tcW w:w="1673" w:type="dxa"/>
            <w:vAlign w:val="center"/>
          </w:tcPr>
          <w:p>
            <w:pPr>
              <w:pStyle w:val="785"/>
              <w:widowControl w:val="0"/>
              <w:spacing w:line="360" w:lineRule="auto"/>
              <w:jc w:val="center"/>
              <w:rPr>
                <w:rFonts w:ascii="宋体" w:hAnsi="宋体" w:cs="宋体"/>
              </w:rPr>
            </w:pPr>
            <w:r>
              <w:rPr>
                <w:rFonts w:ascii="宋体" w:hAnsi="宋体" w:cs="宋体"/>
              </w:rPr>
              <w:t>项目实施方案</w:t>
            </w:r>
          </w:p>
          <w:p>
            <w:pPr>
              <w:snapToGrid w:val="0"/>
              <w:spacing w:line="360" w:lineRule="auto"/>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2</w:t>
            </w:r>
          </w:p>
        </w:tc>
        <w:tc>
          <w:tcPr>
            <w:tcW w:w="5882" w:type="dxa"/>
            <w:vAlign w:val="center"/>
          </w:tcPr>
          <w:p>
            <w:pPr>
              <w:pStyle w:val="785"/>
              <w:widowControl w:val="0"/>
              <w:spacing w:line="360" w:lineRule="auto"/>
              <w:jc w:val="left"/>
              <w:rPr>
                <w:rFonts w:ascii="宋体" w:hAnsi="宋体" w:cs="宋体"/>
              </w:rPr>
            </w:pPr>
            <w:r>
              <w:rPr>
                <w:rFonts w:ascii="宋体" w:hAnsi="宋体" w:cs="宋体"/>
              </w:rPr>
              <w:t>【主观分】</w:t>
            </w:r>
          </w:p>
          <w:p>
            <w:pPr>
              <w:pStyle w:val="785"/>
              <w:widowControl w:val="0"/>
              <w:spacing w:line="360" w:lineRule="auto"/>
              <w:jc w:val="left"/>
              <w:rPr>
                <w:rFonts w:ascii="宋体" w:hAnsi="宋体" w:cs="宋体"/>
              </w:rPr>
            </w:pPr>
            <w:r>
              <w:rPr>
                <w:rFonts w:ascii="宋体" w:hAnsi="宋体" w:cs="宋体"/>
              </w:rPr>
              <w:t>（1）对本项目的特点、背景、工作内容、时间要求等具有全面的理解；内容满足得1分，部分满足得0.5分，不满足不得分。</w:t>
            </w:r>
          </w:p>
          <w:p>
            <w:pPr>
              <w:pStyle w:val="785"/>
              <w:widowControl w:val="0"/>
              <w:spacing w:line="360" w:lineRule="auto"/>
              <w:jc w:val="left"/>
              <w:rPr>
                <w:rFonts w:ascii="宋体" w:hAnsi="宋体" w:cs="宋体"/>
              </w:rPr>
            </w:pPr>
            <w:r>
              <w:rPr>
                <w:rFonts w:ascii="宋体" w:hAnsi="宋体" w:cs="宋体"/>
              </w:rPr>
              <w:t>（2）对项目整体把握的优劣情况、对采购人业务、平台、系统和数据熟悉了解。内容满足得1分，部分满足得0.5分，不满足不得分。</w:t>
            </w:r>
          </w:p>
          <w:p>
            <w:pPr>
              <w:pStyle w:val="785"/>
              <w:widowControl w:val="0"/>
              <w:spacing w:line="360" w:lineRule="auto"/>
              <w:jc w:val="left"/>
              <w:rPr>
                <w:rFonts w:ascii="宋体" w:hAnsi="宋体"/>
              </w:rPr>
            </w:pPr>
            <w:r>
              <w:rPr>
                <w:rFonts w:ascii="宋体" w:hAnsi="宋体" w:cs="宋体"/>
                <w:lang w:val="zh-CN"/>
              </w:rPr>
              <w:t>（3）“第三部分 采购需求”“三、服务内容”中</w:t>
            </w:r>
            <w:r>
              <w:rPr>
                <w:rFonts w:ascii="宋体" w:hAnsi="宋体" w:cs="宋体"/>
              </w:rPr>
              <w:t>一</w:t>
            </w:r>
            <w:r>
              <w:rPr>
                <w:rFonts w:ascii="宋体" w:hAnsi="宋体" w:cs="宋体"/>
                <w:lang w:val="zh-CN"/>
              </w:rPr>
              <w:t>~</w:t>
            </w:r>
            <w:r>
              <w:rPr>
                <w:rFonts w:ascii="宋体" w:hAnsi="宋体" w:cs="宋体"/>
              </w:rPr>
              <w:t>五</w:t>
            </w:r>
            <w:r>
              <w:rPr>
                <w:rFonts w:ascii="宋体" w:hAnsi="宋体" w:cs="宋体"/>
                <w:lang w:val="zh-CN"/>
              </w:rPr>
              <w:t>项服务技术支持</w:t>
            </w:r>
            <w:r>
              <w:rPr>
                <w:rFonts w:ascii="宋体" w:hAnsi="宋体" w:cs="宋体"/>
              </w:rPr>
              <w:t>响应方案，内容完整，思路清晰，技术路线正确，方式方法科学合理、工作流程符合采购需求。每一项内容完全满足得3分</w:t>
            </w:r>
            <w:r>
              <w:rPr>
                <w:rFonts w:hint="eastAsia" w:ascii="宋体" w:hAnsi="宋体" w:cs="宋体"/>
              </w:rPr>
              <w:t>；</w:t>
            </w:r>
            <w:r>
              <w:rPr>
                <w:rFonts w:ascii="宋体" w:hAnsi="宋体" w:cs="宋体"/>
              </w:rPr>
              <w:t>基本满足得2分</w:t>
            </w:r>
            <w:r>
              <w:rPr>
                <w:rFonts w:hint="eastAsia" w:ascii="宋体" w:hAnsi="宋体" w:cs="宋体"/>
              </w:rPr>
              <w:t>；</w:t>
            </w:r>
            <w:r>
              <w:rPr>
                <w:rFonts w:ascii="宋体" w:hAnsi="宋体" w:cs="宋体"/>
              </w:rPr>
              <w:t>少部分满足得1分</w:t>
            </w:r>
            <w:r>
              <w:rPr>
                <w:rFonts w:hint="eastAsia" w:ascii="宋体" w:hAnsi="宋体" w:cs="宋体"/>
              </w:rPr>
              <w:t>；未提供或</w:t>
            </w:r>
            <w:r>
              <w:rPr>
                <w:rFonts w:ascii="宋体" w:hAnsi="宋体" w:cs="宋体"/>
              </w:rPr>
              <w:t>不满足不得分。本项最高得15分。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17</w:t>
            </w:r>
          </w:p>
        </w:tc>
        <w:tc>
          <w:tcPr>
            <w:tcW w:w="1673" w:type="dxa"/>
            <w:vAlign w:val="center"/>
          </w:tcPr>
          <w:p>
            <w:pPr>
              <w:pStyle w:val="785"/>
              <w:widowControl w:val="0"/>
              <w:spacing w:line="360" w:lineRule="auto"/>
              <w:jc w:val="center"/>
              <w:rPr>
                <w:rFonts w:ascii="宋体" w:hAnsi="宋体" w:cs="仿宋_GB2312"/>
              </w:rPr>
            </w:pPr>
            <w:r>
              <w:rPr>
                <w:rFonts w:ascii="宋体" w:hAnsi="宋体" w:cs="宋体"/>
              </w:rPr>
              <w:t>对项目的理解及需求响应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3</w:t>
            </w:r>
          </w:p>
        </w:tc>
        <w:tc>
          <w:tcPr>
            <w:tcW w:w="5882" w:type="dxa"/>
            <w:vAlign w:val="center"/>
          </w:tcPr>
          <w:p>
            <w:pPr>
              <w:pStyle w:val="785"/>
              <w:widowControl w:val="0"/>
              <w:spacing w:line="360" w:lineRule="auto"/>
              <w:jc w:val="left"/>
              <w:rPr>
                <w:rFonts w:ascii="宋体" w:hAnsi="宋体" w:cs="宋体"/>
              </w:rPr>
            </w:pPr>
            <w:r>
              <w:rPr>
                <w:rFonts w:ascii="宋体" w:hAnsi="宋体" w:cs="宋体"/>
              </w:rPr>
              <w:t>【主观分】</w:t>
            </w:r>
          </w:p>
          <w:p>
            <w:pPr>
              <w:pStyle w:val="785"/>
              <w:widowControl w:val="0"/>
              <w:spacing w:line="360" w:lineRule="auto"/>
              <w:jc w:val="left"/>
              <w:rPr>
                <w:rFonts w:ascii="宋体" w:hAnsi="宋体" w:cs="宋体"/>
              </w:rPr>
            </w:pPr>
            <w:r>
              <w:rPr>
                <w:rFonts w:ascii="宋体" w:hAnsi="宋体" w:cs="宋体"/>
              </w:rPr>
              <w:t>（1）对本项目工作过程中重要难点的分析描述科学、合理、具有针对性；</w:t>
            </w:r>
          </w:p>
          <w:p>
            <w:pPr>
              <w:pStyle w:val="785"/>
              <w:widowControl w:val="0"/>
              <w:spacing w:line="360" w:lineRule="auto"/>
              <w:jc w:val="left"/>
              <w:rPr>
                <w:rFonts w:ascii="宋体" w:hAnsi="宋体" w:cs="宋体"/>
              </w:rPr>
            </w:pPr>
            <w:r>
              <w:rPr>
                <w:rFonts w:ascii="宋体" w:hAnsi="宋体" w:cs="宋体"/>
              </w:rPr>
              <w:t>（2）针对本项工作过程中的重点难点，有针对性地提出对应措施，具有可操作性。</w:t>
            </w:r>
          </w:p>
          <w:p>
            <w:pPr>
              <w:snapToGrid w:val="0"/>
              <w:spacing w:line="360" w:lineRule="auto"/>
              <w:rPr>
                <w:rFonts w:ascii="宋体" w:hAnsi="宋体" w:cs="宋体"/>
                <w:szCs w:val="21"/>
              </w:rPr>
            </w:pPr>
            <w:r>
              <w:rPr>
                <w:rFonts w:ascii="宋体" w:hAnsi="宋体" w:cs="宋体"/>
                <w:kern w:val="0"/>
                <w:szCs w:val="21"/>
              </w:rPr>
              <w:t>每一项内容完全满足得3分</w:t>
            </w:r>
            <w:r>
              <w:rPr>
                <w:rFonts w:hint="eastAsia" w:ascii="宋体" w:hAnsi="宋体" w:cs="宋体"/>
                <w:kern w:val="0"/>
                <w:szCs w:val="21"/>
              </w:rPr>
              <w:t>；</w:t>
            </w:r>
            <w:r>
              <w:rPr>
                <w:rFonts w:ascii="宋体" w:hAnsi="宋体" w:cs="宋体"/>
                <w:kern w:val="0"/>
                <w:szCs w:val="21"/>
              </w:rPr>
              <w:t>基本满足得2分</w:t>
            </w:r>
            <w:r>
              <w:rPr>
                <w:rFonts w:hint="eastAsia" w:ascii="宋体" w:hAnsi="宋体" w:cs="宋体"/>
                <w:kern w:val="0"/>
                <w:szCs w:val="21"/>
              </w:rPr>
              <w:t>；</w:t>
            </w:r>
            <w:r>
              <w:rPr>
                <w:rFonts w:ascii="宋体" w:hAnsi="宋体" w:cs="宋体"/>
                <w:kern w:val="0"/>
                <w:szCs w:val="21"/>
              </w:rPr>
              <w:t>少部分满足得1分</w:t>
            </w:r>
            <w:r>
              <w:rPr>
                <w:rFonts w:hint="eastAsia" w:ascii="宋体" w:hAnsi="宋体" w:cs="宋体"/>
                <w:kern w:val="0"/>
                <w:szCs w:val="21"/>
              </w:rPr>
              <w:t>；未提供或</w:t>
            </w:r>
            <w:r>
              <w:rPr>
                <w:rFonts w:ascii="宋体" w:hAnsi="宋体" w:cs="宋体"/>
                <w:kern w:val="0"/>
                <w:szCs w:val="21"/>
              </w:rPr>
              <w:t>不满足不得分。本项最高得6分。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6</w:t>
            </w:r>
          </w:p>
        </w:tc>
        <w:tc>
          <w:tcPr>
            <w:tcW w:w="1673"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项目重点难点分析与重点难点问题应对措施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4</w:t>
            </w:r>
          </w:p>
        </w:tc>
        <w:tc>
          <w:tcPr>
            <w:tcW w:w="5882" w:type="dxa"/>
            <w:vAlign w:val="center"/>
          </w:tcPr>
          <w:p>
            <w:pPr>
              <w:snapToGrid w:val="0"/>
              <w:spacing w:line="360" w:lineRule="auto"/>
              <w:rPr>
                <w:rFonts w:ascii="宋体" w:hAnsi="宋体" w:cs="仿宋_GB2312"/>
                <w:szCs w:val="21"/>
              </w:rPr>
            </w:pPr>
            <w:r>
              <w:rPr>
                <w:rFonts w:hint="eastAsia" w:ascii="宋体" w:hAnsi="宋体" w:cs="仿宋_GB2312"/>
                <w:szCs w:val="21"/>
              </w:rPr>
              <w:t>【主观分】</w:t>
            </w:r>
          </w:p>
          <w:p>
            <w:pPr>
              <w:snapToGrid w:val="0"/>
              <w:spacing w:line="360" w:lineRule="auto"/>
              <w:rPr>
                <w:rFonts w:ascii="宋体" w:hAnsi="宋体" w:cs="仿宋_GB2312"/>
                <w:szCs w:val="21"/>
              </w:rPr>
            </w:pPr>
            <w:r>
              <w:rPr>
                <w:rFonts w:hint="eastAsia" w:ascii="宋体" w:hAnsi="宋体" w:cs="仿宋_GB2312"/>
                <w:szCs w:val="21"/>
              </w:rPr>
              <w:t>对本项目工作量及计划安排满足招标要求方案，具有科学合理性，具有实际可操作性。</w:t>
            </w:r>
            <w:r>
              <w:rPr>
                <w:rFonts w:ascii="宋体" w:hAnsi="宋体" w:cs="宋体"/>
                <w:kern w:val="0"/>
                <w:szCs w:val="21"/>
              </w:rPr>
              <w:t>内容完全满足得</w:t>
            </w:r>
            <w:r>
              <w:rPr>
                <w:rFonts w:hint="eastAsia" w:ascii="宋体" w:hAnsi="宋体" w:cs="宋体"/>
                <w:kern w:val="0"/>
                <w:szCs w:val="21"/>
              </w:rPr>
              <w:t>4</w:t>
            </w:r>
            <w:r>
              <w:rPr>
                <w:rFonts w:ascii="宋体" w:hAnsi="宋体" w:cs="宋体"/>
                <w:kern w:val="0"/>
                <w:szCs w:val="21"/>
              </w:rPr>
              <w:t>分</w:t>
            </w:r>
            <w:r>
              <w:rPr>
                <w:rFonts w:hint="eastAsia" w:ascii="宋体" w:hAnsi="宋体" w:cs="宋体"/>
                <w:kern w:val="0"/>
                <w:szCs w:val="21"/>
              </w:rPr>
              <w:t>；</w:t>
            </w:r>
            <w:r>
              <w:rPr>
                <w:rFonts w:ascii="宋体" w:hAnsi="宋体" w:cs="宋体"/>
                <w:kern w:val="0"/>
                <w:szCs w:val="21"/>
              </w:rPr>
              <w:t>基本满足得2分</w:t>
            </w:r>
            <w:r>
              <w:rPr>
                <w:rFonts w:hint="eastAsia" w:ascii="宋体" w:hAnsi="宋体" w:cs="宋体"/>
                <w:kern w:val="0"/>
                <w:szCs w:val="21"/>
              </w:rPr>
              <w:t>；</w:t>
            </w:r>
            <w:r>
              <w:rPr>
                <w:rFonts w:ascii="宋体" w:hAnsi="宋体" w:cs="宋体"/>
                <w:kern w:val="0"/>
                <w:szCs w:val="21"/>
              </w:rPr>
              <w:t>少部分满足得1分</w:t>
            </w:r>
            <w:r>
              <w:rPr>
                <w:rFonts w:hint="eastAsia" w:ascii="宋体" w:hAnsi="宋体" w:cs="宋体"/>
                <w:kern w:val="0"/>
                <w:szCs w:val="21"/>
              </w:rPr>
              <w:t>；未提供或</w:t>
            </w:r>
            <w:r>
              <w:rPr>
                <w:rFonts w:ascii="宋体" w:hAnsi="宋体" w:cs="宋体"/>
                <w:kern w:val="0"/>
                <w:szCs w:val="21"/>
              </w:rPr>
              <w:t>不满足不得分。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4</w:t>
            </w:r>
          </w:p>
        </w:tc>
        <w:tc>
          <w:tcPr>
            <w:tcW w:w="1673"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工作量及计划安排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5</w:t>
            </w:r>
          </w:p>
        </w:tc>
        <w:tc>
          <w:tcPr>
            <w:tcW w:w="5882" w:type="dxa"/>
            <w:vAlign w:val="center"/>
          </w:tcPr>
          <w:p>
            <w:pPr>
              <w:snapToGrid w:val="0"/>
              <w:spacing w:line="360" w:lineRule="auto"/>
              <w:rPr>
                <w:rFonts w:ascii="宋体" w:hAnsi="宋体" w:cs="宋体"/>
                <w:szCs w:val="21"/>
              </w:rPr>
            </w:pPr>
            <w:r>
              <w:rPr>
                <w:rFonts w:hint="eastAsia" w:ascii="宋体" w:hAnsi="宋体" w:cs="宋体"/>
                <w:szCs w:val="21"/>
              </w:rPr>
              <w:t>【主观分】</w:t>
            </w:r>
          </w:p>
          <w:p>
            <w:pPr>
              <w:snapToGrid w:val="0"/>
              <w:spacing w:line="360" w:lineRule="auto"/>
              <w:rPr>
                <w:rFonts w:ascii="宋体" w:hAnsi="宋体" w:cs="宋体"/>
                <w:szCs w:val="21"/>
              </w:rPr>
            </w:pPr>
            <w:r>
              <w:rPr>
                <w:rFonts w:hint="eastAsia" w:ascii="宋体" w:hAnsi="宋体" w:cs="宋体"/>
                <w:szCs w:val="21"/>
              </w:rPr>
              <w:t>投标人针对本项目具有完善的内部</w:t>
            </w:r>
            <w:r>
              <w:rPr>
                <w:rFonts w:hint="eastAsia" w:ascii="微软雅黑" w:hAnsi="微软雅黑" w:eastAsia="微软雅黑" w:cs="微软雅黑"/>
                <w:szCs w:val="21"/>
              </w:rPr>
              <w:t>①</w:t>
            </w:r>
            <w:r>
              <w:rPr>
                <w:rFonts w:hint="eastAsia" w:ascii="宋体" w:hAnsi="宋体" w:cs="宋体"/>
                <w:szCs w:val="21"/>
              </w:rPr>
              <w:t>组织制度、</w:t>
            </w:r>
            <w:r>
              <w:rPr>
                <w:rFonts w:hint="eastAsia" w:ascii="微软雅黑" w:hAnsi="微软雅黑" w:eastAsia="微软雅黑" w:cs="微软雅黑"/>
                <w:szCs w:val="21"/>
              </w:rPr>
              <w:t>②</w:t>
            </w:r>
            <w:r>
              <w:rPr>
                <w:rFonts w:hint="eastAsia" w:ascii="宋体" w:hAnsi="宋体" w:cs="宋体"/>
                <w:szCs w:val="21"/>
              </w:rPr>
              <w:t>岗位职责、</w:t>
            </w:r>
            <w:r>
              <w:rPr>
                <w:rFonts w:hint="eastAsia" w:ascii="微软雅黑" w:hAnsi="微软雅黑" w:eastAsia="微软雅黑" w:cs="微软雅黑"/>
                <w:szCs w:val="21"/>
              </w:rPr>
              <w:t>③</w:t>
            </w:r>
            <w:r>
              <w:rPr>
                <w:rFonts w:hint="eastAsia" w:ascii="宋体" w:hAnsi="宋体" w:cs="宋体"/>
                <w:szCs w:val="21"/>
              </w:rPr>
              <w:t>人员培训、</w:t>
            </w:r>
            <w:r>
              <w:rPr>
                <w:rFonts w:hint="eastAsia" w:ascii="微软雅黑" w:hAnsi="微软雅黑" w:eastAsia="微软雅黑" w:cs="微软雅黑"/>
                <w:szCs w:val="21"/>
              </w:rPr>
              <w:t>④</w:t>
            </w:r>
            <w:r>
              <w:rPr>
                <w:rFonts w:hint="eastAsia" w:ascii="宋体" w:hAnsi="宋体" w:cs="宋体"/>
                <w:szCs w:val="21"/>
              </w:rPr>
              <w:t>考核办法。</w:t>
            </w:r>
          </w:p>
          <w:p>
            <w:pPr>
              <w:snapToGrid w:val="0"/>
              <w:spacing w:line="360" w:lineRule="auto"/>
              <w:rPr>
                <w:rFonts w:ascii="宋体" w:hAnsi="宋体" w:cs="宋体"/>
                <w:szCs w:val="21"/>
              </w:rPr>
            </w:pPr>
            <w:r>
              <w:rPr>
                <w:rFonts w:hint="eastAsia" w:ascii="宋体" w:hAnsi="宋体" w:cs="宋体"/>
                <w:szCs w:val="21"/>
              </w:rPr>
              <w:t>以上每项内容满足得1分，部分满足得0.5分，未提供或不满足不得分。本项最高得4分。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4</w:t>
            </w:r>
          </w:p>
        </w:tc>
        <w:tc>
          <w:tcPr>
            <w:tcW w:w="1673"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项目组织管理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6</w:t>
            </w:r>
          </w:p>
        </w:tc>
        <w:tc>
          <w:tcPr>
            <w:tcW w:w="5882" w:type="dxa"/>
            <w:vAlign w:val="center"/>
          </w:tcPr>
          <w:p>
            <w:pPr>
              <w:snapToGrid w:val="0"/>
              <w:spacing w:line="360" w:lineRule="auto"/>
              <w:rPr>
                <w:rFonts w:ascii="宋体" w:hAnsi="宋体" w:cs="宋体"/>
                <w:szCs w:val="21"/>
              </w:rPr>
            </w:pPr>
            <w:r>
              <w:rPr>
                <w:rFonts w:hint="eastAsia" w:ascii="宋体" w:hAnsi="宋体" w:cs="宋体"/>
                <w:szCs w:val="21"/>
              </w:rPr>
              <w:t>【主观分】</w:t>
            </w:r>
          </w:p>
          <w:p>
            <w:pPr>
              <w:snapToGrid w:val="0"/>
              <w:spacing w:line="360" w:lineRule="auto"/>
              <w:rPr>
                <w:rFonts w:ascii="宋体" w:hAnsi="宋体" w:cs="宋体"/>
                <w:szCs w:val="21"/>
              </w:rPr>
            </w:pPr>
            <w:r>
              <w:rPr>
                <w:rFonts w:hint="eastAsia" w:ascii="宋体" w:hAnsi="宋体" w:cs="宋体"/>
                <w:szCs w:val="21"/>
              </w:rPr>
              <w:t>（1）具有明确的管理组织构架、监督体系、质量保证措施；</w:t>
            </w:r>
          </w:p>
          <w:p>
            <w:pPr>
              <w:snapToGrid w:val="0"/>
              <w:spacing w:line="360" w:lineRule="auto"/>
              <w:rPr>
                <w:rFonts w:ascii="宋体" w:hAnsi="宋体" w:cs="宋体"/>
                <w:szCs w:val="21"/>
              </w:rPr>
            </w:pPr>
            <w:r>
              <w:rPr>
                <w:rFonts w:hint="eastAsia" w:ascii="宋体" w:hAnsi="宋体" w:cs="宋体"/>
                <w:szCs w:val="21"/>
              </w:rPr>
              <w:t>（2）有详细可行的项目数据保密措施，能实现本项目的全程管理。</w:t>
            </w:r>
          </w:p>
          <w:p>
            <w:pPr>
              <w:snapToGrid w:val="0"/>
              <w:spacing w:line="360" w:lineRule="auto"/>
              <w:rPr>
                <w:rFonts w:ascii="宋体" w:hAnsi="宋体" w:cs="宋体"/>
                <w:szCs w:val="21"/>
              </w:rPr>
            </w:pPr>
            <w:r>
              <w:rPr>
                <w:rFonts w:ascii="宋体" w:hAnsi="宋体" w:cs="宋体"/>
                <w:kern w:val="0"/>
                <w:szCs w:val="21"/>
              </w:rPr>
              <w:t>每一项内容完全满足得3分</w:t>
            </w:r>
            <w:r>
              <w:rPr>
                <w:rFonts w:hint="eastAsia" w:ascii="宋体" w:hAnsi="宋体" w:cs="宋体"/>
                <w:kern w:val="0"/>
                <w:szCs w:val="21"/>
              </w:rPr>
              <w:t>；</w:t>
            </w:r>
            <w:r>
              <w:rPr>
                <w:rFonts w:ascii="宋体" w:hAnsi="宋体" w:cs="宋体"/>
                <w:kern w:val="0"/>
                <w:szCs w:val="21"/>
              </w:rPr>
              <w:t>基本满足得2分</w:t>
            </w:r>
            <w:r>
              <w:rPr>
                <w:rFonts w:hint="eastAsia" w:ascii="宋体" w:hAnsi="宋体" w:cs="宋体"/>
                <w:kern w:val="0"/>
                <w:szCs w:val="21"/>
              </w:rPr>
              <w:t>；</w:t>
            </w:r>
            <w:r>
              <w:rPr>
                <w:rFonts w:ascii="宋体" w:hAnsi="宋体" w:cs="宋体"/>
                <w:kern w:val="0"/>
                <w:szCs w:val="21"/>
              </w:rPr>
              <w:t>少部分满足得1分</w:t>
            </w:r>
            <w:r>
              <w:rPr>
                <w:rFonts w:hint="eastAsia" w:ascii="宋体" w:hAnsi="宋体" w:cs="宋体"/>
                <w:kern w:val="0"/>
                <w:szCs w:val="21"/>
              </w:rPr>
              <w:t>；未提供或</w:t>
            </w:r>
            <w:r>
              <w:rPr>
                <w:rFonts w:ascii="宋体" w:hAnsi="宋体" w:cs="宋体"/>
                <w:kern w:val="0"/>
                <w:szCs w:val="21"/>
              </w:rPr>
              <w:t>不满足不得分。本项最高得6分。</w:t>
            </w:r>
          </w:p>
        </w:tc>
        <w:tc>
          <w:tcPr>
            <w:tcW w:w="595"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6</w:t>
            </w:r>
          </w:p>
        </w:tc>
        <w:tc>
          <w:tcPr>
            <w:tcW w:w="1673"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7</w:t>
            </w:r>
          </w:p>
        </w:tc>
        <w:tc>
          <w:tcPr>
            <w:tcW w:w="5882" w:type="dxa"/>
            <w:vAlign w:val="center"/>
          </w:tcPr>
          <w:p>
            <w:pPr>
              <w:pStyle w:val="785"/>
              <w:widowControl w:val="0"/>
              <w:spacing w:line="360" w:lineRule="auto"/>
              <w:jc w:val="left"/>
              <w:rPr>
                <w:rFonts w:ascii="宋体" w:hAnsi="宋体" w:cs="宋体"/>
              </w:rPr>
            </w:pPr>
            <w:r>
              <w:rPr>
                <w:rFonts w:ascii="宋体" w:hAnsi="宋体" w:cs="宋体"/>
              </w:rPr>
              <w:t>【主观分】</w:t>
            </w:r>
          </w:p>
          <w:p>
            <w:pPr>
              <w:pStyle w:val="785"/>
              <w:widowControl w:val="0"/>
              <w:spacing w:line="360" w:lineRule="auto"/>
              <w:jc w:val="left"/>
              <w:rPr>
                <w:rFonts w:ascii="宋体" w:hAnsi="宋体" w:cs="宋体"/>
              </w:rPr>
            </w:pPr>
            <w:r>
              <w:rPr>
                <w:rFonts w:ascii="宋体" w:hAnsi="宋体" w:cs="宋体"/>
              </w:rPr>
              <w:t>（1）项目进度清晰、准确、完整；</w:t>
            </w:r>
          </w:p>
          <w:p>
            <w:pPr>
              <w:pStyle w:val="785"/>
              <w:widowControl w:val="0"/>
              <w:spacing w:line="360" w:lineRule="auto"/>
              <w:jc w:val="left"/>
              <w:rPr>
                <w:rFonts w:ascii="宋体" w:hAnsi="宋体" w:cs="宋体"/>
              </w:rPr>
            </w:pPr>
            <w:r>
              <w:rPr>
                <w:rFonts w:ascii="宋体" w:hAnsi="宋体" w:cs="宋体"/>
              </w:rPr>
              <w:t>（2）关键节点的控制措施有力、合理、可行。</w:t>
            </w:r>
          </w:p>
          <w:p>
            <w:pPr>
              <w:pStyle w:val="785"/>
              <w:widowControl w:val="0"/>
              <w:spacing w:line="360" w:lineRule="auto"/>
              <w:jc w:val="left"/>
              <w:rPr>
                <w:rFonts w:ascii="宋体" w:hAnsi="宋体" w:cs="宋体"/>
              </w:rPr>
            </w:pPr>
            <w:r>
              <w:rPr>
                <w:rFonts w:ascii="宋体" w:hAnsi="宋体" w:cs="宋体"/>
              </w:rPr>
              <w:t>每一项内容完全满足得3分</w:t>
            </w:r>
            <w:r>
              <w:rPr>
                <w:rFonts w:hint="eastAsia" w:ascii="宋体" w:hAnsi="宋体" w:cs="宋体"/>
              </w:rPr>
              <w:t>；</w:t>
            </w:r>
            <w:r>
              <w:rPr>
                <w:rFonts w:ascii="宋体" w:hAnsi="宋体" w:cs="宋体"/>
              </w:rPr>
              <w:t>基本满足得2分</w:t>
            </w:r>
            <w:r>
              <w:rPr>
                <w:rFonts w:hint="eastAsia" w:ascii="宋体" w:hAnsi="宋体" w:cs="宋体"/>
              </w:rPr>
              <w:t>；</w:t>
            </w:r>
            <w:r>
              <w:rPr>
                <w:rFonts w:ascii="宋体" w:hAnsi="宋体" w:cs="宋体"/>
              </w:rPr>
              <w:t>少部分满足得1分</w:t>
            </w:r>
            <w:r>
              <w:rPr>
                <w:rFonts w:hint="eastAsia" w:ascii="宋体" w:hAnsi="宋体" w:cs="宋体"/>
              </w:rPr>
              <w:t>；未提供或</w:t>
            </w:r>
            <w:r>
              <w:rPr>
                <w:rFonts w:ascii="宋体" w:hAnsi="宋体" w:cs="宋体"/>
              </w:rPr>
              <w:t>不满足不得分。本项最高得6分。</w:t>
            </w:r>
          </w:p>
        </w:tc>
        <w:tc>
          <w:tcPr>
            <w:tcW w:w="595" w:type="dxa"/>
            <w:vAlign w:val="center"/>
          </w:tcPr>
          <w:p>
            <w:pPr>
              <w:pStyle w:val="785"/>
              <w:widowControl w:val="0"/>
              <w:spacing w:line="360" w:lineRule="auto"/>
              <w:jc w:val="center"/>
              <w:rPr>
                <w:rFonts w:ascii="宋体" w:hAnsi="宋体" w:cs="仿宋_GB2312"/>
              </w:rPr>
            </w:pPr>
            <w:r>
              <w:rPr>
                <w:rFonts w:hint="eastAsia" w:ascii="宋体" w:hAnsi="宋体" w:cs="宋体"/>
              </w:rPr>
              <w:t>6</w:t>
            </w:r>
          </w:p>
        </w:tc>
        <w:tc>
          <w:tcPr>
            <w:tcW w:w="1673" w:type="dxa"/>
            <w:vAlign w:val="center"/>
          </w:tcPr>
          <w:p>
            <w:pPr>
              <w:pStyle w:val="785"/>
              <w:widowControl w:val="0"/>
              <w:spacing w:line="360" w:lineRule="auto"/>
              <w:jc w:val="center"/>
              <w:rPr>
                <w:rFonts w:ascii="宋体" w:hAnsi="宋体" w:cs="宋体"/>
              </w:rPr>
            </w:pPr>
            <w:r>
              <w:rPr>
                <w:rFonts w:ascii="宋体" w:hAnsi="宋体" w:cs="宋体"/>
              </w:rPr>
              <w:t>进度保证措施</w:t>
            </w:r>
          </w:p>
          <w:p>
            <w:pPr>
              <w:pStyle w:val="785"/>
              <w:widowControl w:val="0"/>
              <w:spacing w:line="360" w:lineRule="auto"/>
              <w:rPr>
                <w:rFonts w:ascii="宋体" w:hAnsi="宋体"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8</w:t>
            </w:r>
          </w:p>
        </w:tc>
        <w:tc>
          <w:tcPr>
            <w:tcW w:w="5882" w:type="dxa"/>
            <w:vAlign w:val="center"/>
          </w:tcPr>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【主观分】</w:t>
            </w:r>
          </w:p>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针对本项目的特点，提出有利本项目工作推进的合理化建议和具体措施。内容完全满足得</w:t>
            </w:r>
            <w:r>
              <w:rPr>
                <w:rFonts w:hint="eastAsia" w:ascii="宋体" w:hAnsi="宋体" w:cs="宋体"/>
                <w:color w:val="auto"/>
                <w:highlight w:val="none"/>
              </w:rPr>
              <w:t>4</w:t>
            </w:r>
            <w:r>
              <w:rPr>
                <w:rFonts w:ascii="宋体" w:hAnsi="宋体" w:cs="宋体"/>
                <w:color w:val="auto"/>
                <w:highlight w:val="none"/>
              </w:rPr>
              <w:t>分</w:t>
            </w:r>
            <w:r>
              <w:rPr>
                <w:rFonts w:hint="eastAsia" w:ascii="宋体" w:hAnsi="宋体" w:cs="宋体"/>
                <w:color w:val="auto"/>
                <w:highlight w:val="none"/>
              </w:rPr>
              <w:t>；</w:t>
            </w:r>
            <w:r>
              <w:rPr>
                <w:rFonts w:ascii="宋体" w:hAnsi="宋体" w:cs="宋体"/>
                <w:color w:val="auto"/>
                <w:highlight w:val="none"/>
              </w:rPr>
              <w:t>基本满足得</w:t>
            </w:r>
            <w:r>
              <w:rPr>
                <w:rFonts w:hint="eastAsia" w:ascii="宋体" w:hAnsi="宋体" w:cs="宋体"/>
                <w:color w:val="auto"/>
                <w:highlight w:val="none"/>
              </w:rPr>
              <w:t>3</w:t>
            </w:r>
            <w:r>
              <w:rPr>
                <w:rFonts w:ascii="宋体" w:hAnsi="宋体" w:cs="宋体"/>
                <w:color w:val="auto"/>
                <w:highlight w:val="none"/>
              </w:rPr>
              <w:t>分</w:t>
            </w:r>
            <w:r>
              <w:rPr>
                <w:rFonts w:hint="eastAsia" w:ascii="宋体" w:hAnsi="宋体" w:cs="宋体"/>
                <w:color w:val="auto"/>
                <w:highlight w:val="none"/>
              </w:rPr>
              <w:t>；</w:t>
            </w:r>
            <w:r>
              <w:rPr>
                <w:rFonts w:ascii="宋体" w:hAnsi="宋体" w:cs="宋体"/>
                <w:color w:val="auto"/>
                <w:highlight w:val="none"/>
              </w:rPr>
              <w:t>少部分满足得</w:t>
            </w:r>
            <w:r>
              <w:rPr>
                <w:rFonts w:hint="eastAsia" w:ascii="宋体" w:hAnsi="宋体" w:cs="宋体"/>
                <w:color w:val="auto"/>
                <w:highlight w:val="none"/>
              </w:rPr>
              <w:t>2</w:t>
            </w:r>
            <w:r>
              <w:rPr>
                <w:rFonts w:ascii="宋体" w:hAnsi="宋体" w:cs="宋体"/>
                <w:color w:val="auto"/>
                <w:highlight w:val="none"/>
              </w:rPr>
              <w:t>分</w:t>
            </w:r>
            <w:r>
              <w:rPr>
                <w:rFonts w:hint="eastAsia" w:ascii="宋体" w:hAnsi="宋体" w:cs="宋体"/>
                <w:color w:val="auto"/>
                <w:highlight w:val="none"/>
              </w:rPr>
              <w:t>；未提供或</w:t>
            </w:r>
            <w:r>
              <w:rPr>
                <w:rFonts w:ascii="宋体" w:hAnsi="宋体" w:cs="宋体"/>
                <w:color w:val="auto"/>
                <w:highlight w:val="none"/>
              </w:rPr>
              <w:t>不满足不得分。</w:t>
            </w:r>
          </w:p>
        </w:tc>
        <w:tc>
          <w:tcPr>
            <w:tcW w:w="595" w:type="dxa"/>
            <w:vAlign w:val="center"/>
          </w:tcPr>
          <w:p>
            <w:pPr>
              <w:pStyle w:val="785"/>
              <w:widowControl w:val="0"/>
              <w:spacing w:line="360" w:lineRule="auto"/>
              <w:jc w:val="center"/>
              <w:rPr>
                <w:rFonts w:ascii="宋体" w:hAnsi="宋体" w:cs="仿宋_GB2312"/>
                <w:color w:val="auto"/>
                <w:highlight w:val="none"/>
              </w:rPr>
            </w:pPr>
            <w:r>
              <w:rPr>
                <w:rFonts w:hint="eastAsia" w:ascii="宋体" w:hAnsi="宋体" w:cs="宋体"/>
                <w:color w:val="auto"/>
                <w:highlight w:val="none"/>
              </w:rPr>
              <w:t>4</w:t>
            </w:r>
          </w:p>
        </w:tc>
        <w:tc>
          <w:tcPr>
            <w:tcW w:w="1673" w:type="dxa"/>
            <w:vAlign w:val="center"/>
          </w:tcPr>
          <w:p>
            <w:pPr>
              <w:pStyle w:val="785"/>
              <w:widowControl w:val="0"/>
              <w:spacing w:line="360" w:lineRule="auto"/>
              <w:jc w:val="center"/>
              <w:rPr>
                <w:rFonts w:ascii="宋体" w:hAnsi="宋体" w:cs="宋体"/>
                <w:color w:val="auto"/>
                <w:highlight w:val="none"/>
              </w:rPr>
            </w:pPr>
            <w:r>
              <w:rPr>
                <w:rFonts w:ascii="宋体" w:hAnsi="宋体" w:cs="宋体"/>
                <w:color w:val="auto"/>
                <w:highlight w:val="none"/>
              </w:rPr>
              <w:t>工作推进建议</w:t>
            </w:r>
          </w:p>
          <w:p>
            <w:pPr>
              <w:pStyle w:val="785"/>
              <w:widowControl w:val="0"/>
              <w:spacing w:line="360" w:lineRule="auto"/>
              <w:rPr>
                <w:rFonts w:ascii="宋体" w:hAnsi="宋体"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9</w:t>
            </w:r>
          </w:p>
        </w:tc>
        <w:tc>
          <w:tcPr>
            <w:tcW w:w="5882" w:type="dxa"/>
            <w:vAlign w:val="center"/>
          </w:tcPr>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【主观分】</w:t>
            </w:r>
          </w:p>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投标人提供的售后服务方案和服务承诺，服务承诺具有可行性、完整性，包括技术服务培训和维护、及时配合政府相关工程的承诺及其他实质性承诺。内容完全满足得</w:t>
            </w:r>
            <w:r>
              <w:rPr>
                <w:rFonts w:hint="eastAsia" w:ascii="宋体" w:hAnsi="宋体" w:cs="宋体"/>
                <w:color w:val="auto"/>
                <w:highlight w:val="none"/>
              </w:rPr>
              <w:t>4</w:t>
            </w:r>
            <w:r>
              <w:rPr>
                <w:rFonts w:ascii="宋体" w:hAnsi="宋体" w:cs="宋体"/>
                <w:color w:val="auto"/>
                <w:highlight w:val="none"/>
              </w:rPr>
              <w:t>分</w:t>
            </w:r>
            <w:r>
              <w:rPr>
                <w:rFonts w:hint="eastAsia" w:ascii="宋体" w:hAnsi="宋体" w:cs="宋体"/>
                <w:color w:val="auto"/>
                <w:highlight w:val="none"/>
              </w:rPr>
              <w:t>；</w:t>
            </w:r>
            <w:r>
              <w:rPr>
                <w:rFonts w:ascii="宋体" w:hAnsi="宋体" w:cs="宋体"/>
                <w:color w:val="auto"/>
                <w:highlight w:val="none"/>
              </w:rPr>
              <w:t>基本满足得</w:t>
            </w:r>
            <w:r>
              <w:rPr>
                <w:rFonts w:hint="eastAsia" w:ascii="宋体" w:hAnsi="宋体" w:cs="宋体"/>
                <w:color w:val="auto"/>
                <w:highlight w:val="none"/>
              </w:rPr>
              <w:t>3</w:t>
            </w:r>
            <w:r>
              <w:rPr>
                <w:rFonts w:ascii="宋体" w:hAnsi="宋体" w:cs="宋体"/>
                <w:color w:val="auto"/>
                <w:highlight w:val="none"/>
              </w:rPr>
              <w:t>分</w:t>
            </w:r>
            <w:r>
              <w:rPr>
                <w:rFonts w:hint="eastAsia" w:ascii="宋体" w:hAnsi="宋体" w:cs="宋体"/>
                <w:color w:val="auto"/>
                <w:highlight w:val="none"/>
              </w:rPr>
              <w:t>；</w:t>
            </w:r>
            <w:r>
              <w:rPr>
                <w:rFonts w:ascii="宋体" w:hAnsi="宋体" w:cs="宋体"/>
                <w:color w:val="auto"/>
                <w:highlight w:val="none"/>
              </w:rPr>
              <w:t>少部分满足得</w:t>
            </w:r>
            <w:r>
              <w:rPr>
                <w:rFonts w:hint="eastAsia" w:ascii="宋体" w:hAnsi="宋体" w:cs="宋体"/>
                <w:color w:val="auto"/>
                <w:highlight w:val="none"/>
              </w:rPr>
              <w:t>1</w:t>
            </w:r>
            <w:r>
              <w:rPr>
                <w:rFonts w:ascii="宋体" w:hAnsi="宋体" w:cs="宋体"/>
                <w:color w:val="auto"/>
                <w:highlight w:val="none"/>
              </w:rPr>
              <w:t>分</w:t>
            </w:r>
            <w:r>
              <w:rPr>
                <w:rFonts w:hint="eastAsia" w:ascii="宋体" w:hAnsi="宋体" w:cs="宋体"/>
                <w:color w:val="auto"/>
                <w:highlight w:val="none"/>
              </w:rPr>
              <w:t>；未提供或</w:t>
            </w:r>
            <w:r>
              <w:rPr>
                <w:rFonts w:ascii="宋体" w:hAnsi="宋体" w:cs="宋体"/>
                <w:color w:val="auto"/>
                <w:highlight w:val="none"/>
              </w:rPr>
              <w:t>不满足不得分。</w:t>
            </w:r>
          </w:p>
        </w:tc>
        <w:tc>
          <w:tcPr>
            <w:tcW w:w="595" w:type="dxa"/>
            <w:vAlign w:val="center"/>
          </w:tcPr>
          <w:p>
            <w:pPr>
              <w:pStyle w:val="785"/>
              <w:widowControl w:val="0"/>
              <w:spacing w:line="360" w:lineRule="auto"/>
              <w:jc w:val="center"/>
              <w:rPr>
                <w:rFonts w:ascii="宋体" w:hAnsi="宋体" w:cs="仿宋_GB2312"/>
                <w:color w:val="auto"/>
                <w:highlight w:val="none"/>
              </w:rPr>
            </w:pPr>
            <w:r>
              <w:rPr>
                <w:rFonts w:hint="eastAsia" w:ascii="宋体" w:hAnsi="宋体" w:cs="宋体"/>
                <w:color w:val="auto"/>
                <w:highlight w:val="none"/>
              </w:rPr>
              <w:t>4</w:t>
            </w:r>
          </w:p>
        </w:tc>
        <w:tc>
          <w:tcPr>
            <w:tcW w:w="1673" w:type="dxa"/>
            <w:vAlign w:val="center"/>
          </w:tcPr>
          <w:p>
            <w:pPr>
              <w:pStyle w:val="785"/>
              <w:widowControl w:val="0"/>
              <w:spacing w:line="360" w:lineRule="auto"/>
              <w:jc w:val="center"/>
              <w:rPr>
                <w:rFonts w:ascii="宋体" w:hAnsi="宋体" w:cs="宋体"/>
                <w:color w:val="auto"/>
                <w:highlight w:val="none"/>
              </w:rPr>
            </w:pPr>
            <w:r>
              <w:rPr>
                <w:rFonts w:ascii="宋体" w:hAnsi="宋体" w:cs="宋体"/>
                <w:color w:val="auto"/>
                <w:highlight w:val="none"/>
              </w:rPr>
              <w:t>售后服务</w:t>
            </w:r>
          </w:p>
          <w:p>
            <w:pPr>
              <w:pStyle w:val="785"/>
              <w:widowControl w:val="0"/>
              <w:spacing w:line="360" w:lineRule="auto"/>
              <w:rPr>
                <w:rFonts w:ascii="宋体" w:hAnsi="宋体"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10</w:t>
            </w:r>
          </w:p>
        </w:tc>
        <w:tc>
          <w:tcPr>
            <w:tcW w:w="5882" w:type="dxa"/>
            <w:vAlign w:val="center"/>
          </w:tcPr>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【客观分】</w:t>
            </w:r>
          </w:p>
          <w:p>
            <w:pPr>
              <w:pStyle w:val="785"/>
              <w:widowControl w:val="0"/>
              <w:spacing w:line="360" w:lineRule="auto"/>
              <w:jc w:val="left"/>
              <w:rPr>
                <w:rFonts w:ascii="宋体" w:hAnsi="宋体" w:cs="宋体"/>
                <w:color w:val="auto"/>
                <w:highlight w:val="none"/>
              </w:rPr>
            </w:pPr>
            <w:r>
              <w:rPr>
                <w:rFonts w:hint="eastAsia" w:ascii="宋体" w:hAnsi="宋体" w:cs="宋体"/>
                <w:color w:val="auto"/>
                <w:highlight w:val="none"/>
              </w:rPr>
              <w:t>投标人承诺在遇到重大问题时，可派出支援人员在30分钟内到达采购人现场的得4分。</w:t>
            </w:r>
          </w:p>
          <w:p>
            <w:pPr>
              <w:pStyle w:val="785"/>
              <w:widowControl w:val="0"/>
              <w:spacing w:line="360" w:lineRule="auto"/>
              <w:jc w:val="left"/>
              <w:rPr>
                <w:rFonts w:ascii="宋体" w:hAnsi="宋体" w:cs="宋体"/>
                <w:color w:val="auto"/>
                <w:highlight w:val="none"/>
              </w:rPr>
            </w:pPr>
            <w:r>
              <w:rPr>
                <w:rFonts w:ascii="宋体" w:hAnsi="宋体" w:cs="宋体"/>
                <w:color w:val="auto"/>
                <w:highlight w:val="none"/>
              </w:rPr>
              <w:t>证明材料：提供承诺函（格式自拟），否则不得分。</w:t>
            </w:r>
          </w:p>
        </w:tc>
        <w:tc>
          <w:tcPr>
            <w:tcW w:w="595" w:type="dxa"/>
            <w:vAlign w:val="center"/>
          </w:tcPr>
          <w:p>
            <w:pPr>
              <w:pStyle w:val="785"/>
              <w:widowControl w:val="0"/>
              <w:spacing w:line="360" w:lineRule="auto"/>
              <w:jc w:val="center"/>
              <w:rPr>
                <w:rFonts w:ascii="宋体" w:hAnsi="宋体" w:cs="仿宋_GB2312"/>
                <w:color w:val="auto"/>
                <w:highlight w:val="none"/>
              </w:rPr>
            </w:pPr>
            <w:r>
              <w:rPr>
                <w:rFonts w:hint="eastAsia" w:ascii="宋体" w:hAnsi="宋体" w:cs="宋体"/>
                <w:color w:val="auto"/>
                <w:highlight w:val="none"/>
              </w:rPr>
              <w:t>4</w:t>
            </w:r>
          </w:p>
        </w:tc>
        <w:tc>
          <w:tcPr>
            <w:tcW w:w="1673" w:type="dxa"/>
            <w:vAlign w:val="center"/>
          </w:tcPr>
          <w:p>
            <w:pPr>
              <w:pStyle w:val="785"/>
              <w:widowControl w:val="0"/>
              <w:spacing w:line="360" w:lineRule="auto"/>
              <w:jc w:val="center"/>
              <w:rPr>
                <w:rFonts w:ascii="宋体" w:hAnsi="宋体" w:cs="仿宋_GB2312"/>
                <w:color w:val="auto"/>
                <w:highlight w:val="none"/>
              </w:rPr>
            </w:pPr>
            <w:r>
              <w:rPr>
                <w:rFonts w:ascii="宋体" w:hAnsi="宋体" w:cs="宋体"/>
                <w:color w:val="auto"/>
                <w:highlight w:val="none"/>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11</w:t>
            </w:r>
          </w:p>
        </w:tc>
        <w:tc>
          <w:tcPr>
            <w:tcW w:w="5882" w:type="dxa"/>
            <w:vAlign w:val="center"/>
          </w:tcPr>
          <w:p>
            <w:pPr>
              <w:pStyle w:val="785"/>
              <w:widowControl w:val="0"/>
              <w:spacing w:line="360" w:lineRule="auto"/>
              <w:jc w:val="left"/>
              <w:rPr>
                <w:rFonts w:ascii="宋体" w:hAnsi="宋体" w:cs="宋体"/>
                <w:color w:val="auto"/>
              </w:rPr>
            </w:pPr>
            <w:r>
              <w:rPr>
                <w:rFonts w:ascii="宋体" w:hAnsi="宋体" w:cs="宋体"/>
                <w:color w:val="auto"/>
              </w:rPr>
              <w:t>【客观分】</w:t>
            </w:r>
          </w:p>
          <w:p>
            <w:pPr>
              <w:pStyle w:val="785"/>
              <w:widowControl w:val="0"/>
              <w:spacing w:line="360" w:lineRule="auto"/>
              <w:jc w:val="left"/>
              <w:rPr>
                <w:rFonts w:ascii="宋体" w:hAnsi="宋体" w:cs="宋体"/>
                <w:color w:val="auto"/>
              </w:rPr>
            </w:pPr>
            <w:r>
              <w:rPr>
                <w:rFonts w:ascii="宋体" w:hAnsi="宋体" w:cs="宋体"/>
                <w:color w:val="auto"/>
              </w:rPr>
              <w:t>（1）</w:t>
            </w:r>
            <w:r>
              <w:rPr>
                <w:rFonts w:hint="eastAsia" w:ascii="宋体" w:hAnsi="宋体" w:cs="宋体"/>
                <w:color w:val="auto"/>
              </w:rPr>
              <w:t>拟派项目负责人具有近3年内（2021年1月1日以来）承担类似项目负责人经历的得2分。</w:t>
            </w:r>
          </w:p>
          <w:p>
            <w:pPr>
              <w:pStyle w:val="785"/>
              <w:widowControl w:val="0"/>
              <w:spacing w:line="360" w:lineRule="auto"/>
              <w:jc w:val="left"/>
              <w:rPr>
                <w:rFonts w:ascii="宋体" w:hAnsi="宋体" w:cs="宋体"/>
                <w:color w:val="auto"/>
              </w:rPr>
            </w:pPr>
            <w:r>
              <w:rPr>
                <w:rFonts w:ascii="宋体" w:hAnsi="宋体" w:cs="宋体"/>
                <w:color w:val="auto"/>
              </w:rPr>
              <w:t>（2）</w:t>
            </w:r>
            <w:r>
              <w:rPr>
                <w:rFonts w:hint="eastAsia" w:ascii="宋体" w:hAnsi="宋体" w:cs="宋体"/>
                <w:color w:val="auto"/>
              </w:rPr>
              <w:t>拟派</w:t>
            </w:r>
            <w:r>
              <w:rPr>
                <w:rFonts w:ascii="宋体" w:hAnsi="宋体" w:cs="宋体"/>
                <w:color w:val="auto"/>
              </w:rPr>
              <w:t>项目负责人具有规划信息化或地理信息专业高级及以上工程师职称的得2分。</w:t>
            </w:r>
          </w:p>
          <w:p>
            <w:pPr>
              <w:pStyle w:val="785"/>
              <w:widowControl w:val="0"/>
              <w:spacing w:line="360" w:lineRule="auto"/>
              <w:jc w:val="left"/>
              <w:rPr>
                <w:rFonts w:ascii="宋体" w:hAnsi="宋体" w:cs="宋体"/>
                <w:color w:val="auto"/>
              </w:rPr>
            </w:pPr>
            <w:r>
              <w:rPr>
                <w:rFonts w:ascii="宋体" w:hAnsi="宋体" w:cs="宋体"/>
                <w:color w:val="auto"/>
              </w:rPr>
              <w:t>证明材料：</w:t>
            </w:r>
            <w:r>
              <w:rPr>
                <w:rFonts w:hint="eastAsia" w:ascii="宋体" w:hAnsi="宋体" w:cs="宋体"/>
                <w:color w:val="auto"/>
              </w:rPr>
              <w:t>提供工作证明、</w:t>
            </w:r>
            <w:r>
              <w:rPr>
                <w:rFonts w:ascii="宋体" w:hAnsi="宋体" w:cs="宋体"/>
                <w:color w:val="auto"/>
              </w:rPr>
              <w:t>提供职称证书、近3个月任意1个月在本单位缴纳的（公司注册时间未满三个月的，提供注册以来）社保缴纳证明或劳动合同等扫描件。否则不予认可。</w:t>
            </w:r>
          </w:p>
        </w:tc>
        <w:tc>
          <w:tcPr>
            <w:tcW w:w="595"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4</w:t>
            </w:r>
          </w:p>
        </w:tc>
        <w:tc>
          <w:tcPr>
            <w:tcW w:w="1673"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12</w:t>
            </w:r>
          </w:p>
        </w:tc>
        <w:tc>
          <w:tcPr>
            <w:tcW w:w="5882" w:type="dxa"/>
            <w:vAlign w:val="center"/>
          </w:tcPr>
          <w:p>
            <w:pPr>
              <w:pStyle w:val="785"/>
              <w:widowControl w:val="0"/>
              <w:spacing w:line="360" w:lineRule="auto"/>
              <w:jc w:val="left"/>
              <w:rPr>
                <w:rFonts w:ascii="宋体" w:hAnsi="宋体" w:cs="宋体"/>
                <w:color w:val="auto"/>
              </w:rPr>
            </w:pPr>
            <w:r>
              <w:rPr>
                <w:rFonts w:ascii="宋体" w:hAnsi="宋体" w:cs="宋体"/>
                <w:color w:val="auto"/>
              </w:rPr>
              <w:t>【客观分】</w:t>
            </w:r>
          </w:p>
          <w:p>
            <w:pPr>
              <w:snapToGrid w:val="0"/>
              <w:spacing w:line="360" w:lineRule="auto"/>
              <w:rPr>
                <w:rFonts w:ascii="宋体" w:hAnsi="宋体" w:cs="宋体"/>
                <w:color w:val="auto"/>
                <w:szCs w:val="21"/>
              </w:rPr>
            </w:pPr>
            <w:r>
              <w:rPr>
                <w:rFonts w:hint="eastAsia" w:ascii="宋体" w:hAnsi="宋体" w:cs="宋体"/>
                <w:color w:val="auto"/>
                <w:szCs w:val="21"/>
              </w:rPr>
              <w:t>（1）项目组成员（不包含项目负责人）具备城市规划、GIS、测绘、计算机、通信专业，每有一个专业得1分，最高得5分；</w:t>
            </w:r>
          </w:p>
          <w:p>
            <w:pPr>
              <w:snapToGrid w:val="0"/>
              <w:spacing w:line="360" w:lineRule="auto"/>
              <w:rPr>
                <w:rFonts w:ascii="宋体" w:hAnsi="宋体" w:cs="宋体"/>
                <w:color w:val="auto"/>
                <w:szCs w:val="21"/>
              </w:rPr>
            </w:pPr>
            <w:r>
              <w:rPr>
                <w:rFonts w:hint="eastAsia" w:ascii="宋体" w:hAnsi="宋体" w:cs="宋体"/>
                <w:color w:val="auto"/>
                <w:szCs w:val="21"/>
              </w:rPr>
              <w:t>（2）项目组成员（不包含项目负责人）具备工程师职称的每提供一个得0.5分，最高得1分；具备高级工程师及以上职称的每提供一个得1分，最高得5分。本项最高得5分。</w:t>
            </w:r>
          </w:p>
          <w:p>
            <w:pPr>
              <w:snapToGrid w:val="0"/>
              <w:spacing w:line="360" w:lineRule="auto"/>
              <w:rPr>
                <w:rFonts w:ascii="宋体" w:hAnsi="宋体" w:cs="宋体"/>
                <w:color w:val="auto"/>
                <w:szCs w:val="21"/>
              </w:rPr>
            </w:pPr>
            <w:r>
              <w:rPr>
                <w:rFonts w:hint="eastAsia" w:ascii="宋体" w:hAnsi="宋体" w:cs="宋体"/>
                <w:color w:val="auto"/>
                <w:szCs w:val="21"/>
              </w:rPr>
              <w:t>人员不得外聘。</w:t>
            </w:r>
          </w:p>
          <w:p>
            <w:pPr>
              <w:pStyle w:val="785"/>
              <w:widowControl w:val="0"/>
              <w:spacing w:line="360" w:lineRule="auto"/>
              <w:rPr>
                <w:rFonts w:ascii="宋体" w:hAnsi="宋体" w:cs="宋体"/>
                <w:color w:val="auto"/>
              </w:rPr>
            </w:pPr>
            <w:r>
              <w:rPr>
                <w:rFonts w:ascii="宋体" w:hAnsi="宋体" w:cs="宋体"/>
                <w:color w:val="auto"/>
              </w:rPr>
              <w:t>证明材料：提供相关毕业证书、职称证书复印件、近3个月任意1个月在本单位缴纳的（公司注册时间未满三个月的，提供注册以来）社保缴纳证明或劳动合同等扫描件。否则不予认可。</w:t>
            </w:r>
          </w:p>
        </w:tc>
        <w:tc>
          <w:tcPr>
            <w:tcW w:w="595"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1</w:t>
            </w:r>
            <w:r>
              <w:rPr>
                <w:rFonts w:hint="eastAsia" w:ascii="宋体" w:hAnsi="宋体" w:cs="宋体"/>
                <w:color w:val="auto"/>
              </w:rPr>
              <w:t>0</w:t>
            </w:r>
          </w:p>
        </w:tc>
        <w:tc>
          <w:tcPr>
            <w:tcW w:w="1673" w:type="dxa"/>
            <w:vAlign w:val="center"/>
          </w:tcPr>
          <w:p>
            <w:pPr>
              <w:pStyle w:val="785"/>
              <w:widowControl w:val="0"/>
              <w:spacing w:line="360" w:lineRule="auto"/>
              <w:jc w:val="center"/>
              <w:rPr>
                <w:rFonts w:ascii="宋体" w:hAnsi="宋体" w:cs="宋体"/>
                <w:color w:val="auto"/>
              </w:rPr>
            </w:pPr>
            <w:r>
              <w:rPr>
                <w:rFonts w:ascii="宋体" w:hAnsi="宋体" w:cs="宋体"/>
                <w:color w:val="auto"/>
              </w:rPr>
              <w:t>项目组成员资源配置</w:t>
            </w:r>
          </w:p>
          <w:p>
            <w:pPr>
              <w:pStyle w:val="785"/>
              <w:widowControl w:val="0"/>
              <w:spacing w:line="360" w:lineRule="auto"/>
              <w:rPr>
                <w:rFonts w:ascii="宋体" w:hAnsi="宋体"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13</w:t>
            </w:r>
          </w:p>
        </w:tc>
        <w:tc>
          <w:tcPr>
            <w:tcW w:w="5882" w:type="dxa"/>
            <w:vAlign w:val="center"/>
          </w:tcPr>
          <w:p>
            <w:pPr>
              <w:pStyle w:val="785"/>
              <w:widowControl w:val="0"/>
              <w:spacing w:line="360" w:lineRule="auto"/>
              <w:jc w:val="left"/>
              <w:rPr>
                <w:rFonts w:ascii="宋体" w:hAnsi="宋体" w:cs="宋体"/>
                <w:color w:val="auto"/>
              </w:rPr>
            </w:pPr>
            <w:r>
              <w:rPr>
                <w:rFonts w:ascii="宋体" w:hAnsi="宋体" w:cs="宋体"/>
                <w:color w:val="auto"/>
              </w:rPr>
              <w:t>【客观分】</w:t>
            </w:r>
          </w:p>
          <w:p>
            <w:pPr>
              <w:pStyle w:val="785"/>
              <w:widowControl w:val="0"/>
              <w:spacing w:line="360" w:lineRule="auto"/>
              <w:rPr>
                <w:rFonts w:ascii="宋体" w:hAnsi="宋体" w:cs="宋体"/>
                <w:color w:val="auto"/>
                <w:lang w:val="zh-TW"/>
              </w:rPr>
            </w:pPr>
            <w:r>
              <w:rPr>
                <w:rFonts w:ascii="宋体" w:hAnsi="宋体" w:cs="宋体"/>
                <w:color w:val="auto"/>
                <w:lang w:val="zh-TW"/>
              </w:rPr>
              <w:t>投标人同时具有甲级测绘资质证书（专业范围涵盖地理信息系统工程）和规划编制丙级及以上资质的，得4分,不同时具备不得分。</w:t>
            </w:r>
          </w:p>
          <w:p>
            <w:pPr>
              <w:pStyle w:val="785"/>
              <w:widowControl w:val="0"/>
              <w:spacing w:line="360" w:lineRule="auto"/>
              <w:rPr>
                <w:rFonts w:ascii="宋体" w:hAnsi="宋体" w:cs="宋体"/>
                <w:color w:val="auto"/>
              </w:rPr>
            </w:pPr>
            <w:r>
              <w:rPr>
                <w:rFonts w:ascii="宋体" w:hAnsi="宋体" w:cs="宋体"/>
                <w:color w:val="auto"/>
              </w:rPr>
              <w:t>证明材料：</w:t>
            </w:r>
            <w:r>
              <w:rPr>
                <w:rFonts w:ascii="宋体" w:hAnsi="宋体" w:cs="宋体"/>
                <w:color w:val="auto"/>
                <w:lang w:val="zh-TW"/>
              </w:rPr>
              <w:t>提供</w:t>
            </w:r>
            <w:r>
              <w:rPr>
                <w:rFonts w:ascii="宋体" w:hAnsi="宋体" w:cs="宋体"/>
                <w:color w:val="auto"/>
              </w:rPr>
              <w:t>相关</w:t>
            </w:r>
            <w:r>
              <w:rPr>
                <w:rFonts w:ascii="宋体" w:hAnsi="宋体" w:cs="宋体"/>
                <w:color w:val="auto"/>
                <w:lang w:val="zh-TW"/>
              </w:rPr>
              <w:t>证书</w:t>
            </w:r>
            <w:r>
              <w:rPr>
                <w:rFonts w:ascii="宋体" w:hAnsi="宋体" w:cs="宋体"/>
                <w:color w:val="auto"/>
              </w:rPr>
              <w:t>扫描件</w:t>
            </w:r>
            <w:r>
              <w:rPr>
                <w:rFonts w:ascii="宋体" w:hAnsi="宋体" w:cs="宋体"/>
                <w:color w:val="auto"/>
                <w:lang w:val="zh-TW"/>
              </w:rPr>
              <w:t>，</w:t>
            </w:r>
            <w:r>
              <w:rPr>
                <w:rFonts w:ascii="宋体" w:hAnsi="宋体" w:cs="宋体"/>
                <w:color w:val="auto"/>
              </w:rPr>
              <w:t>否则不予认可。</w:t>
            </w:r>
          </w:p>
        </w:tc>
        <w:tc>
          <w:tcPr>
            <w:tcW w:w="595"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4</w:t>
            </w:r>
          </w:p>
        </w:tc>
        <w:tc>
          <w:tcPr>
            <w:tcW w:w="1673"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14</w:t>
            </w:r>
          </w:p>
        </w:tc>
        <w:tc>
          <w:tcPr>
            <w:tcW w:w="5882" w:type="dxa"/>
            <w:vAlign w:val="center"/>
          </w:tcPr>
          <w:p>
            <w:pPr>
              <w:pStyle w:val="785"/>
              <w:widowControl w:val="0"/>
              <w:spacing w:line="360" w:lineRule="auto"/>
              <w:jc w:val="left"/>
              <w:rPr>
                <w:rFonts w:ascii="宋体" w:hAnsi="宋体" w:cs="宋体"/>
                <w:color w:val="auto"/>
              </w:rPr>
            </w:pPr>
            <w:r>
              <w:rPr>
                <w:rFonts w:ascii="宋体" w:hAnsi="宋体" w:cs="宋体"/>
                <w:color w:val="auto"/>
              </w:rPr>
              <w:t>【客观分】</w:t>
            </w:r>
          </w:p>
          <w:p>
            <w:pPr>
              <w:spacing w:line="360" w:lineRule="auto"/>
              <w:rPr>
                <w:rFonts w:ascii="宋体" w:hAnsi="宋体" w:cs="宋体"/>
                <w:color w:val="auto"/>
                <w:szCs w:val="21"/>
              </w:rPr>
            </w:pPr>
            <w:r>
              <w:rPr>
                <w:rFonts w:hint="eastAsia" w:ascii="宋体" w:hAnsi="宋体" w:cs="宋体"/>
                <w:color w:val="auto"/>
                <w:szCs w:val="21"/>
              </w:rPr>
              <w:t>（1）投标人具有ISO9001质量管理体系认证证书得2分；</w:t>
            </w:r>
          </w:p>
          <w:p>
            <w:pPr>
              <w:pStyle w:val="785"/>
              <w:widowControl w:val="0"/>
              <w:spacing w:line="360" w:lineRule="auto"/>
              <w:rPr>
                <w:rFonts w:ascii="宋体" w:hAnsi="宋体" w:cs="宋体"/>
                <w:color w:val="auto"/>
              </w:rPr>
            </w:pPr>
            <w:r>
              <w:rPr>
                <w:rFonts w:ascii="宋体" w:hAnsi="宋体" w:cs="宋体"/>
                <w:color w:val="auto"/>
              </w:rPr>
              <w:t>（2）投标人具有</w:t>
            </w:r>
            <w:r>
              <w:rPr>
                <w:rFonts w:hint="eastAsia" w:ascii="宋体" w:hAnsi="宋体" w:cs="宋体"/>
                <w:color w:val="auto"/>
              </w:rPr>
              <w:t>ISO/</w:t>
            </w:r>
            <w:r>
              <w:rPr>
                <w:rFonts w:ascii="宋体" w:hAnsi="宋体" w:cs="宋体"/>
                <w:color w:val="auto"/>
              </w:rPr>
              <w:t>IEC27001信息安全管理体系认证证书得2分。</w:t>
            </w:r>
          </w:p>
          <w:p>
            <w:pPr>
              <w:pStyle w:val="785"/>
              <w:widowControl w:val="0"/>
              <w:spacing w:line="360" w:lineRule="auto"/>
              <w:rPr>
                <w:rFonts w:ascii="宋体" w:hAnsi="宋体" w:cs="宋体"/>
                <w:color w:val="auto"/>
              </w:rPr>
            </w:pPr>
            <w:r>
              <w:rPr>
                <w:rFonts w:ascii="宋体" w:hAnsi="宋体" w:cs="宋体"/>
                <w:color w:val="auto"/>
              </w:rPr>
              <w:t>证明材料：提供相关资质证书需在有效期内扫描件</w:t>
            </w:r>
            <w:r>
              <w:rPr>
                <w:rFonts w:ascii="宋体" w:hAnsi="宋体" w:cs="宋体"/>
                <w:color w:val="auto"/>
                <w:lang w:val="zh-TW"/>
              </w:rPr>
              <w:t>，</w:t>
            </w:r>
            <w:r>
              <w:rPr>
                <w:rFonts w:ascii="宋体" w:hAnsi="宋体" w:cs="宋体"/>
                <w:color w:val="auto"/>
              </w:rPr>
              <w:t>否则不予认可。</w:t>
            </w:r>
          </w:p>
        </w:tc>
        <w:tc>
          <w:tcPr>
            <w:tcW w:w="595"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4</w:t>
            </w:r>
          </w:p>
        </w:tc>
        <w:tc>
          <w:tcPr>
            <w:tcW w:w="1673" w:type="dxa"/>
            <w:vAlign w:val="center"/>
          </w:tcPr>
          <w:p>
            <w:pPr>
              <w:pStyle w:val="785"/>
              <w:widowControl w:val="0"/>
              <w:spacing w:line="360" w:lineRule="auto"/>
              <w:jc w:val="center"/>
              <w:rPr>
                <w:rFonts w:ascii="宋体" w:hAnsi="宋体" w:cs="宋体"/>
                <w:color w:val="auto"/>
              </w:rPr>
            </w:pPr>
            <w:r>
              <w:rPr>
                <w:rFonts w:ascii="宋体" w:hAnsi="宋体" w:cs="宋体"/>
                <w:color w:val="auto"/>
              </w:rPr>
              <w:t>认证证书</w:t>
            </w:r>
          </w:p>
          <w:p>
            <w:pPr>
              <w:pStyle w:val="785"/>
              <w:widowControl w:val="0"/>
              <w:spacing w:line="360" w:lineRule="auto"/>
              <w:jc w:val="center"/>
              <w:rPr>
                <w:rFonts w:ascii="宋体" w:hAnsi="宋体"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15</w:t>
            </w:r>
          </w:p>
        </w:tc>
        <w:tc>
          <w:tcPr>
            <w:tcW w:w="5882" w:type="dxa"/>
            <w:vAlign w:val="center"/>
          </w:tcPr>
          <w:p>
            <w:pPr>
              <w:pStyle w:val="785"/>
              <w:widowControl w:val="0"/>
              <w:spacing w:line="360" w:lineRule="auto"/>
              <w:jc w:val="left"/>
              <w:rPr>
                <w:rFonts w:ascii="宋体" w:hAnsi="宋体" w:cs="宋体"/>
                <w:color w:val="auto"/>
              </w:rPr>
            </w:pPr>
            <w:r>
              <w:rPr>
                <w:rFonts w:ascii="宋体" w:hAnsi="宋体" w:cs="宋体"/>
                <w:color w:val="auto"/>
              </w:rPr>
              <w:t>【客观分】</w:t>
            </w:r>
          </w:p>
          <w:p>
            <w:pPr>
              <w:pStyle w:val="785"/>
              <w:widowControl w:val="0"/>
              <w:spacing w:line="360" w:lineRule="auto"/>
              <w:rPr>
                <w:rFonts w:ascii="宋体" w:hAnsi="宋体" w:cs="宋体"/>
                <w:color w:val="auto"/>
                <w:lang w:val="zh-TW"/>
              </w:rPr>
            </w:pPr>
            <w:r>
              <w:rPr>
                <w:rFonts w:ascii="宋体" w:hAnsi="宋体" w:cs="宋体"/>
                <w:color w:val="auto"/>
                <w:lang w:val="zh-TW"/>
              </w:rPr>
              <w:t>投标人自</w:t>
            </w:r>
            <w:r>
              <w:rPr>
                <w:rFonts w:hint="eastAsia" w:ascii="宋体" w:hAnsi="宋体" w:cs="宋体"/>
                <w:color w:val="auto"/>
              </w:rPr>
              <w:t>2021</w:t>
            </w:r>
            <w:r>
              <w:rPr>
                <w:rFonts w:ascii="宋体" w:hAnsi="宋体" w:cs="宋体"/>
                <w:color w:val="auto"/>
                <w:lang w:val="zh-TW"/>
              </w:rPr>
              <w:t>年1月1日以（</w:t>
            </w:r>
            <w:r>
              <w:rPr>
                <w:rFonts w:ascii="宋体" w:hAnsi="宋体" w:cs="宋体"/>
                <w:color w:val="auto"/>
              </w:rPr>
              <w:t>以签订合同时间为准</w:t>
            </w:r>
            <w:r>
              <w:rPr>
                <w:rFonts w:ascii="宋体" w:hAnsi="宋体" w:cs="宋体"/>
                <w:color w:val="auto"/>
                <w:lang w:val="zh-TW"/>
              </w:rPr>
              <w:t>）来独立承担过服务于规划和自然资源数据处理类项目的，每个得</w:t>
            </w:r>
            <w:r>
              <w:rPr>
                <w:rFonts w:ascii="宋体" w:hAnsi="宋体" w:cs="宋体"/>
                <w:color w:val="auto"/>
              </w:rPr>
              <w:t>0.5</w:t>
            </w:r>
            <w:r>
              <w:rPr>
                <w:rFonts w:ascii="宋体" w:hAnsi="宋体" w:cs="宋体"/>
                <w:color w:val="auto"/>
                <w:lang w:val="zh-TW"/>
              </w:rPr>
              <w:t>分，最多得</w:t>
            </w:r>
            <w:r>
              <w:rPr>
                <w:rFonts w:ascii="宋体" w:hAnsi="宋体" w:cs="宋体"/>
                <w:color w:val="auto"/>
              </w:rPr>
              <w:t>1</w:t>
            </w:r>
            <w:r>
              <w:rPr>
                <w:rFonts w:ascii="宋体" w:hAnsi="宋体" w:cs="宋体"/>
                <w:color w:val="auto"/>
                <w:lang w:val="zh-TW"/>
              </w:rPr>
              <w:t>分。</w:t>
            </w:r>
          </w:p>
          <w:p>
            <w:pPr>
              <w:pStyle w:val="785"/>
              <w:widowControl w:val="0"/>
              <w:spacing w:line="360" w:lineRule="auto"/>
              <w:rPr>
                <w:rFonts w:ascii="宋体" w:hAnsi="宋体" w:cs="宋体"/>
                <w:color w:val="auto"/>
              </w:rPr>
            </w:pPr>
            <w:r>
              <w:rPr>
                <w:rFonts w:ascii="宋体" w:hAnsi="宋体" w:cs="宋体"/>
                <w:color w:val="auto"/>
                <w:lang w:val="zh-TW"/>
              </w:rPr>
              <w:t>证明材料：合同</w:t>
            </w:r>
            <w:r>
              <w:rPr>
                <w:rFonts w:ascii="宋体" w:hAnsi="宋体" w:cs="宋体"/>
                <w:color w:val="auto"/>
              </w:rPr>
              <w:t>扫描件，否则不予认可。</w:t>
            </w:r>
          </w:p>
        </w:tc>
        <w:tc>
          <w:tcPr>
            <w:tcW w:w="595"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1</w:t>
            </w:r>
          </w:p>
        </w:tc>
        <w:tc>
          <w:tcPr>
            <w:tcW w:w="1673" w:type="dxa"/>
            <w:vAlign w:val="center"/>
          </w:tcPr>
          <w:p>
            <w:pPr>
              <w:pStyle w:val="785"/>
              <w:widowControl w:val="0"/>
              <w:spacing w:line="360" w:lineRule="auto"/>
              <w:jc w:val="center"/>
              <w:rPr>
                <w:rFonts w:ascii="宋体" w:hAnsi="宋体" w:cs="仿宋_GB2312"/>
                <w:color w:val="auto"/>
              </w:rPr>
            </w:pPr>
            <w:r>
              <w:rPr>
                <w:rFonts w:ascii="宋体" w:hAnsi="宋体" w:cs="宋体"/>
                <w:color w:val="auto"/>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szCs w:val="21"/>
              </w:rPr>
            </w:pPr>
            <w:r>
              <w:rPr>
                <w:rFonts w:hint="eastAsia" w:ascii="宋体" w:hAnsi="宋体" w:cs="仿宋_GB2312"/>
                <w:szCs w:val="21"/>
              </w:rPr>
              <w:t>16</w:t>
            </w:r>
          </w:p>
        </w:tc>
        <w:tc>
          <w:tcPr>
            <w:tcW w:w="5882" w:type="dxa"/>
          </w:tcPr>
          <w:p>
            <w:pPr>
              <w:pStyle w:val="132"/>
              <w:snapToGrid w:val="0"/>
              <w:ind w:firstLine="420"/>
              <w:rPr>
                <w:rFonts w:ascii="宋体" w:hAnsi="宋体" w:cs="仿宋_GB2312"/>
                <w:color w:val="auto"/>
                <w:sz w:val="21"/>
                <w:szCs w:val="21"/>
              </w:rPr>
            </w:pPr>
            <w:r>
              <w:rPr>
                <w:rFonts w:hint="eastAsia" w:ascii="宋体" w:hAnsi="宋体" w:cs="仿宋_GB2312"/>
                <w:color w:val="auto"/>
                <w:sz w:val="21"/>
                <w:szCs w:val="21"/>
              </w:rPr>
              <w:t>有效投标报价的最低价作为评标基准价，其最低报价为满分；按［投标报价得分</w:t>
            </w:r>
            <w:r>
              <w:rPr>
                <w:rFonts w:ascii="宋体" w:hAnsi="宋体" w:cs="仿宋_GB2312"/>
                <w:color w:val="auto"/>
                <w:sz w:val="21"/>
                <w:szCs w:val="21"/>
              </w:rPr>
              <w:t>=（评标基准价/投标报价）*</w:t>
            </w:r>
            <w:r>
              <w:rPr>
                <w:rFonts w:hint="eastAsia" w:ascii="宋体" w:hAnsi="宋体" w:cs="仿宋_GB2312"/>
                <w:color w:val="auto"/>
                <w:sz w:val="21"/>
                <w:szCs w:val="21"/>
              </w:rPr>
              <w:t>1</w:t>
            </w:r>
            <w:r>
              <w:rPr>
                <w:rFonts w:ascii="宋体" w:hAnsi="宋体" w:cs="仿宋_GB2312"/>
                <w:color w:val="auto"/>
                <w:sz w:val="21"/>
                <w:szCs w:val="21"/>
              </w:rPr>
              <w:t>0］的计算公式计算。</w:t>
            </w:r>
          </w:p>
          <w:p>
            <w:pPr>
              <w:pStyle w:val="132"/>
              <w:snapToGrid w:val="0"/>
              <w:spacing w:before="0"/>
              <w:ind w:firstLine="420"/>
              <w:rPr>
                <w:rFonts w:ascii="宋体" w:hAnsi="宋体" w:cs="仿宋_GB2312"/>
                <w:color w:val="auto"/>
                <w:sz w:val="21"/>
                <w:szCs w:val="21"/>
              </w:rPr>
            </w:pPr>
            <w:r>
              <w:rPr>
                <w:rFonts w:hint="eastAsia" w:ascii="宋体" w:hAnsi="宋体" w:cs="仿宋_GB2312"/>
                <w:color w:val="auto"/>
                <w:sz w:val="21"/>
                <w:szCs w:val="21"/>
              </w:rPr>
              <w:t>评标过程中，不得去掉报价中的最高报价和最低报价。</w:t>
            </w:r>
          </w:p>
          <w:p>
            <w:pPr>
              <w:pStyle w:val="132"/>
              <w:snapToGrid w:val="0"/>
              <w:ind w:firstLine="420"/>
              <w:rPr>
                <w:rFonts w:ascii="宋体" w:hAnsi="宋体"/>
                <w:color w:val="auto"/>
                <w:sz w:val="21"/>
                <w:szCs w:val="21"/>
              </w:rPr>
            </w:pPr>
            <w:r>
              <w:rPr>
                <w:rFonts w:hint="eastAsia" w:ascii="宋体" w:hAnsi="宋体" w:cs="仿宋_GB2312"/>
                <w:color w:val="auto"/>
                <w:sz w:val="21"/>
                <w:szCs w:val="21"/>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595" w:type="dxa"/>
            <w:vAlign w:val="center"/>
          </w:tcPr>
          <w:p>
            <w:pPr>
              <w:spacing w:line="360" w:lineRule="auto"/>
              <w:jc w:val="center"/>
              <w:outlineLvl w:val="0"/>
              <w:rPr>
                <w:rFonts w:ascii="宋体" w:hAnsi="宋体" w:cs="仿宋_GB2312"/>
                <w:color w:val="auto"/>
                <w:szCs w:val="21"/>
              </w:rPr>
            </w:pPr>
            <w:r>
              <w:rPr>
                <w:rFonts w:hint="eastAsia" w:ascii="宋体" w:hAnsi="宋体" w:cs="仿宋_GB2312"/>
                <w:color w:val="auto"/>
                <w:szCs w:val="21"/>
              </w:rPr>
              <w:t>1</w:t>
            </w:r>
            <w:r>
              <w:rPr>
                <w:rFonts w:ascii="宋体" w:hAnsi="宋体" w:cs="仿宋_GB2312"/>
                <w:color w:val="auto"/>
                <w:szCs w:val="21"/>
              </w:rPr>
              <w:t>0</w:t>
            </w:r>
          </w:p>
        </w:tc>
        <w:tc>
          <w:tcPr>
            <w:tcW w:w="1673" w:type="dxa"/>
            <w:vAlign w:val="center"/>
          </w:tcPr>
          <w:p>
            <w:pPr>
              <w:spacing w:line="360" w:lineRule="auto"/>
              <w:jc w:val="center"/>
              <w:outlineLvl w:val="0"/>
              <w:rPr>
                <w:rFonts w:ascii="宋体" w:hAnsi="宋体" w:cs="仿宋_GB2312"/>
                <w:color w:val="auto"/>
                <w:szCs w:val="21"/>
              </w:rPr>
            </w:pPr>
            <w:r>
              <w:rPr>
                <w:rFonts w:hint="eastAsia" w:ascii="宋体" w:hAnsi="宋体" w:cs="仿宋_GB2312"/>
                <w:color w:val="auto"/>
                <w:szCs w:val="21"/>
              </w:rPr>
              <w:t>报价分</w:t>
            </w:r>
          </w:p>
        </w:tc>
      </w:tr>
    </w:tbl>
    <w:p/>
    <w:p>
      <w:pPr>
        <w:snapToGrid w:val="0"/>
        <w:spacing w:line="360" w:lineRule="auto"/>
        <w:rPr>
          <w:rFonts w:ascii="宋体" w:hAnsi="宋体" w:cs="宋体"/>
          <w:b/>
          <w:sz w:val="32"/>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32"/>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25"/>
    <w:p>
      <w:pPr>
        <w:spacing w:line="360" w:lineRule="auto"/>
        <w:ind w:left="720" w:leftChars="343" w:firstLine="1084" w:firstLineChars="300"/>
        <w:outlineLvl w:val="0"/>
        <w:rPr>
          <w:rFonts w:ascii="宋体" w:hAnsi="宋体" w:cs="宋体"/>
          <w:b/>
          <w:sz w:val="36"/>
          <w:szCs w:val="36"/>
        </w:rPr>
      </w:pPr>
      <w:bookmarkStart w:id="392" w:name="第五部分"/>
      <w:bookmarkStart w:id="393" w:name="_Toc86217003"/>
      <w:r>
        <w:rPr>
          <w:rFonts w:hint="eastAsia" w:ascii="宋体" w:hAnsi="宋体" w:cs="宋体"/>
          <w:b/>
          <w:sz w:val="36"/>
          <w:szCs w:val="36"/>
        </w:rPr>
        <w:t>第五部分 拟签订的合同文本</w:t>
      </w:r>
    </w:p>
    <w:p>
      <w:pPr>
        <w:spacing w:line="420" w:lineRule="exact"/>
        <w:jc w:val="left"/>
        <w:rPr>
          <w:rFonts w:eastAsia="楷体_GB2312"/>
          <w:sz w:val="24"/>
        </w:rPr>
      </w:pPr>
      <w:r>
        <w:rPr>
          <w:rFonts w:ascii="宋体" w:hAnsi="宋体"/>
          <w:b/>
          <w:sz w:val="24"/>
        </w:rPr>
        <mc:AlternateContent>
          <mc:Choice Requires="wps">
            <w:drawing>
              <wp:anchor distT="0" distB="0" distL="114300" distR="114300" simplePos="0" relativeHeight="251661312" behindDoc="1" locked="0" layoutInCell="1" allowOverlap="1">
                <wp:simplePos x="0" y="0"/>
                <wp:positionH relativeFrom="column">
                  <wp:posOffset>-73025</wp:posOffset>
                </wp:positionH>
                <wp:positionV relativeFrom="paragraph">
                  <wp:posOffset>17145</wp:posOffset>
                </wp:positionV>
                <wp:extent cx="1129665" cy="568960"/>
                <wp:effectExtent l="6350" t="6350" r="6985" b="8890"/>
                <wp:wrapNone/>
                <wp:docPr id="2" name="文本框 2"/>
                <wp:cNvGraphicFramePr/>
                <a:graphic xmlns:a="http://schemas.openxmlformats.org/drawingml/2006/main">
                  <a:graphicData uri="http://schemas.microsoft.com/office/word/2010/wordprocessingShape">
                    <wps:wsp>
                      <wps:cNvSpPr txBox="1"/>
                      <wps:spPr>
                        <a:xfrm>
                          <a:off x="0" y="0"/>
                          <a:ext cx="1129665" cy="56896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5.75pt;margin-top:1.35pt;height:44.8pt;width:88.95pt;z-index:-251655168;mso-width-relative:page;mso-height-relative:page;" fillcolor="#FFFFFF" filled="t" stroked="t" coordsize="21600,21600" o:gfxdata="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jvdz2AAAAAgBAAAPAAAAAAAAAAEAIAAA&#10;ACIAAABkcnMvZG93bnJldi54bWxQSwECFAAUAAAACACHTuJAoZN4IgwCAAA2BAAADgAAAAAAAAAB&#10;ACAAAAAnAQAAZHJzL2Uyb0RvYy54bWxQSwUGAAAAAAYABgBZAQAApQUAAAAA&#10;">
                <v:fill on="t" focussize="0,0"/>
                <v:stroke color="#000000" joinstyle="miter"/>
                <v:imagedata o:title=""/>
                <o:lock v:ext="edit" aspectratio="f"/>
                <v:textbox>
                  <w:txbxContent>
                    <w:p/>
                  </w:txbxContent>
                </v:textbox>
              </v:shape>
            </w:pict>
          </mc:Fallback>
        </mc:AlternateContent>
      </w:r>
      <w:r>
        <w:rPr>
          <w:b/>
          <w:sz w:val="24"/>
        </w:rPr>
        <w:t xml:space="preserve">  </w:t>
      </w:r>
      <w:r>
        <w:rPr>
          <w:rFonts w:eastAsia="楷体_GB2312"/>
          <w:sz w:val="24"/>
        </w:rPr>
        <w:t>信息化类</w:t>
      </w:r>
    </w:p>
    <w:p>
      <w:pPr>
        <w:spacing w:line="420" w:lineRule="exact"/>
        <w:jc w:val="left"/>
        <w:rPr>
          <w:rFonts w:eastAsia="方正小标宋_GBK"/>
          <w:sz w:val="32"/>
          <w:szCs w:val="32"/>
        </w:rPr>
      </w:pPr>
      <w:r>
        <w:rPr>
          <w:rFonts w:eastAsia="楷体_GB2312"/>
          <w:sz w:val="24"/>
        </w:rPr>
        <w:t>项目合同模板</w:t>
      </w:r>
    </w:p>
    <w:p>
      <w:pPr>
        <w:spacing w:line="8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项目合同书</w:t>
      </w:r>
    </w:p>
    <w:p>
      <w:pPr>
        <w:spacing w:line="800" w:lineRule="exact"/>
        <w:jc w:val="center"/>
        <w:rPr>
          <w:rFonts w:asciiTheme="minorEastAsia" w:hAnsiTheme="minorEastAsia" w:eastAsiaTheme="minorEastAsia" w:cstheme="minorEastAsia"/>
          <w:b/>
          <w:bCs/>
          <w:sz w:val="32"/>
          <w:szCs w:val="32"/>
        </w:rPr>
      </w:pPr>
    </w:p>
    <w:p>
      <w:pPr>
        <w:spacing w:line="420" w:lineRule="exact"/>
        <w:jc w:val="center"/>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项目名称：</w:t>
      </w:r>
      <w:r>
        <w:rPr>
          <w:rFonts w:hint="eastAsia" w:asciiTheme="minorEastAsia" w:hAnsiTheme="minorEastAsia" w:eastAsiaTheme="minorEastAsia" w:cstheme="minorEastAsia"/>
          <w:b/>
          <w:bCs/>
          <w:sz w:val="32"/>
          <w:szCs w:val="32"/>
          <w:lang w:eastAsia="zh-CN"/>
        </w:rPr>
        <w:t>规划和自然资源数据治理技术支持（2024年度）（重新招标）</w:t>
      </w:r>
      <w:r>
        <w:rPr>
          <w:rFonts w:hint="eastAsia" w:asciiTheme="minorEastAsia" w:hAnsiTheme="minorEastAsia" w:eastAsiaTheme="minorEastAsia" w:cstheme="minorEastAsia"/>
          <w:b/>
          <w:bCs/>
          <w:sz w:val="32"/>
          <w:szCs w:val="32"/>
        </w:rPr>
        <w:t xml:space="preserve">          </w:t>
      </w:r>
    </w:p>
    <w:p>
      <w:pPr>
        <w:spacing w:line="560" w:lineRule="exact"/>
        <w:ind w:firstLine="643" w:firstLineChars="200"/>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委托方（甲方）：杭州市规划和自然资源局</w:t>
      </w:r>
    </w:p>
    <w:p>
      <w:pPr>
        <w:spacing w:line="560" w:lineRule="exact"/>
        <w:ind w:firstLine="643" w:firstLineChars="200"/>
        <w:rPr>
          <w:rFonts w:asciiTheme="minorEastAsia" w:hAnsiTheme="minorEastAsia" w:eastAsiaTheme="minorEastAsia" w:cstheme="minorEastAsia"/>
          <w:b/>
          <w:bCs/>
          <w:sz w:val="32"/>
          <w:szCs w:val="32"/>
        </w:rPr>
      </w:pPr>
    </w:p>
    <w:p>
      <w:pPr>
        <w:spacing w:line="560" w:lineRule="exact"/>
        <w:ind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受托方（乙方）：XXXXX</w:t>
      </w:r>
    </w:p>
    <w:p>
      <w:pPr>
        <w:spacing w:line="560" w:lineRule="exact"/>
        <w:rPr>
          <w:rFonts w:asciiTheme="minorEastAsia" w:hAnsiTheme="minorEastAsia" w:eastAsiaTheme="minorEastAsia" w:cstheme="minorEastAsia"/>
          <w:b/>
          <w:bCs/>
          <w:sz w:val="32"/>
          <w:szCs w:val="32"/>
        </w:rPr>
      </w:pPr>
    </w:p>
    <w:p>
      <w:pPr>
        <w:spacing w:line="560" w:lineRule="exact"/>
        <w:ind w:firstLine="1928" w:firstLineChars="6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签订地点：浙江省杭州市</w:t>
      </w:r>
    </w:p>
    <w:p>
      <w:pPr>
        <w:spacing w:line="560" w:lineRule="exact"/>
        <w:ind w:firstLine="1928" w:firstLineChars="600"/>
        <w:rPr>
          <w:rFonts w:asciiTheme="minorEastAsia" w:hAnsiTheme="minorEastAsia" w:eastAsiaTheme="minorEastAsia" w:cstheme="minorEastAsia"/>
          <w:b/>
          <w:bCs/>
          <w:sz w:val="32"/>
          <w:szCs w:val="32"/>
        </w:rPr>
        <w:sectPr>
          <w:pgSz w:w="11906" w:h="16838"/>
          <w:pgMar w:top="2098" w:right="1406" w:bottom="2098" w:left="1588" w:header="567" w:footer="567" w:gutter="0"/>
          <w:cols w:space="720" w:num="1"/>
          <w:docGrid w:linePitch="312" w:charSpace="0"/>
        </w:sectPr>
      </w:pPr>
      <w:r>
        <w:rPr>
          <w:rFonts w:hint="eastAsia" w:asciiTheme="minorEastAsia" w:hAnsiTheme="minorEastAsia" w:eastAsiaTheme="minorEastAsia" w:cstheme="minorEastAsia"/>
          <w:b/>
          <w:bCs/>
          <w:sz w:val="32"/>
          <w:szCs w:val="32"/>
        </w:rPr>
        <w:t>签订时间：XX年XX月XX日</w:t>
      </w:r>
    </w:p>
    <w:p>
      <w:pPr>
        <w:spacing w:line="20" w:lineRule="exact"/>
        <w:ind w:firstLine="1928" w:firstLineChars="600"/>
        <w:rPr>
          <w:b/>
          <w:sz w:val="32"/>
          <w:szCs w:val="32"/>
        </w:rPr>
      </w:pPr>
    </w:p>
    <w:p>
      <w:pPr>
        <w:spacing w:line="600" w:lineRule="exact"/>
        <w:jc w:val="center"/>
        <w:rPr>
          <w:rFonts w:ascii="宋体" w:hAnsi="宋体" w:cs="宋体"/>
          <w:b/>
          <w:bCs/>
          <w:sz w:val="44"/>
          <w:szCs w:val="44"/>
        </w:rPr>
      </w:pPr>
    </w:p>
    <w:p>
      <w:pPr>
        <w:spacing w:line="600" w:lineRule="exact"/>
        <w:jc w:val="center"/>
        <w:rPr>
          <w:rFonts w:eastAsia="方正小标宋_GBK" w:cs="仿宋_GB2312"/>
          <w:b/>
          <w:bCs/>
          <w:sz w:val="44"/>
          <w:szCs w:val="44"/>
        </w:rPr>
      </w:pPr>
      <w:r>
        <w:rPr>
          <w:rFonts w:hint="eastAsia" w:ascii="宋体" w:hAnsi="宋体" w:cs="宋体"/>
          <w:b/>
          <w:bCs/>
          <w:sz w:val="44"/>
          <w:szCs w:val="44"/>
        </w:rPr>
        <w:t>合同条款</w:t>
      </w:r>
    </w:p>
    <w:p>
      <w:pPr>
        <w:snapToGrid w:val="0"/>
        <w:spacing w:line="560" w:lineRule="exact"/>
        <w:ind w:firstLine="640" w:firstLineChars="200"/>
        <w:rPr>
          <w:rFonts w:eastAsia="仿宋_GB2312" w:cs="仿宋_GB2312"/>
          <w:sz w:val="32"/>
          <w:szCs w:val="32"/>
        </w:rPr>
      </w:pP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采购编号：</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合同编号：</w:t>
      </w:r>
    </w:p>
    <w:p>
      <w:pPr>
        <w:snapToGrid w:val="0"/>
        <w:spacing w:line="560" w:lineRule="exact"/>
        <w:ind w:firstLine="480" w:firstLineChars="200"/>
        <w:rPr>
          <w:rFonts w:asciiTheme="minorEastAsia" w:hAnsiTheme="minorEastAsia" w:eastAsiaTheme="minorEastAsia" w:cstheme="minorEastAsia"/>
          <w:sz w:val="24"/>
        </w:rPr>
      </w:pPr>
    </w:p>
    <w:p>
      <w:pPr>
        <w:snapToGrid w:val="0"/>
        <w:spacing w:line="56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甲方：杭州市规划和自然资源局</w:t>
      </w:r>
    </w:p>
    <w:p>
      <w:pPr>
        <w:snapToGrid w:val="0"/>
        <w:spacing w:line="560" w:lineRule="exact"/>
        <w:ind w:firstLine="480" w:firstLineChars="200"/>
        <w:rPr>
          <w:rFonts w:asciiTheme="minorEastAsia" w:hAnsiTheme="minorEastAsia" w:eastAsiaTheme="minorEastAsia" w:cstheme="minorEastAsia"/>
          <w:sz w:val="24"/>
        </w:rPr>
      </w:pP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乙方：XXXXXX</w:t>
      </w:r>
    </w:p>
    <w:p>
      <w:pPr>
        <w:snapToGrid w:val="0"/>
        <w:spacing w:line="560" w:lineRule="exact"/>
        <w:ind w:firstLine="480" w:firstLineChars="200"/>
        <w:rPr>
          <w:rFonts w:asciiTheme="minorEastAsia" w:hAnsiTheme="minorEastAsia" w:eastAsiaTheme="minorEastAsia" w:cstheme="minorEastAsia"/>
          <w:sz w:val="24"/>
        </w:rPr>
      </w:pP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甲方通过</w:t>
      </w:r>
      <w:r>
        <w:rPr>
          <w:rFonts w:hint="eastAsia" w:asciiTheme="minorEastAsia" w:hAnsiTheme="minorEastAsia" w:eastAsiaTheme="minorEastAsia" w:cstheme="minorEastAsia"/>
          <w:i/>
          <w:sz w:val="24"/>
          <w:u w:val="single"/>
        </w:rPr>
        <w:t>(政府采购方式)</w:t>
      </w:r>
      <w:r>
        <w:rPr>
          <w:rFonts w:hint="eastAsia" w:asciiTheme="minorEastAsia" w:hAnsiTheme="minorEastAsia" w:eastAsiaTheme="minorEastAsia" w:cstheme="minorEastAsia"/>
          <w:sz w:val="24"/>
        </w:rPr>
        <w:t>方式，向乙方采购关于</w:t>
      </w:r>
      <w:r>
        <w:rPr>
          <w:rFonts w:hint="eastAsia" w:asciiTheme="minorEastAsia" w:hAnsiTheme="minorEastAsia" w:eastAsiaTheme="minorEastAsia" w:cstheme="minorEastAsia"/>
          <w:i/>
          <w:sz w:val="24"/>
          <w:u w:val="single"/>
        </w:rPr>
        <w:t>《XXXXX项目》</w:t>
      </w:r>
      <w:r>
        <w:rPr>
          <w:rFonts w:hint="eastAsia" w:asciiTheme="minorEastAsia" w:hAnsiTheme="minorEastAsia" w:eastAsiaTheme="minorEastAsia" w:cstheme="minorEastAsia"/>
          <w:sz w:val="24"/>
        </w:rPr>
        <w:t>的相关服务，为明确双方权利义务，依据《中华人民共和国民法典》等有关法律规定，经甲、乙双方友好协商，签订本合同并遵照执行。</w:t>
      </w:r>
    </w:p>
    <w:p>
      <w:pPr>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1、定义</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在本合同中，除非上下文另有说明，下列词语分别具有本条所指含义：</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“工作日”，指中国法定节假日之外的日期。</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 “年”，指日历年；一年按365天计算。</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“元”，指中国法定货币人民币元。</w:t>
      </w:r>
    </w:p>
    <w:p>
      <w:pPr>
        <w:snapToGrid w:val="0"/>
        <w:spacing w:line="56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2、服务内容与期限 </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2.1服务内容</w:t>
      </w:r>
    </w:p>
    <w:p>
      <w:pPr>
        <w:snapToGrid w:val="0"/>
        <w:spacing w:line="560" w:lineRule="exact"/>
        <w:ind w:firstLine="480" w:firstLineChars="200"/>
        <w:rPr>
          <w:rFonts w:asciiTheme="minorEastAsia" w:hAnsiTheme="minorEastAsia" w:eastAsiaTheme="minorEastAsia" w:cstheme="minorEastAsia"/>
          <w:i/>
          <w:sz w:val="24"/>
          <w:u w:val="single"/>
        </w:rPr>
      </w:pPr>
      <w:r>
        <w:rPr>
          <w:rFonts w:hint="eastAsia" w:asciiTheme="minorEastAsia" w:hAnsiTheme="minorEastAsia" w:eastAsiaTheme="minorEastAsia" w:cstheme="minorEastAsia"/>
          <w:i/>
          <w:sz w:val="24"/>
          <w:u w:val="single"/>
        </w:rPr>
        <w:t>服务具体内容（主要包括服务目标、主要内容、技术要求和成果要求）。</w:t>
      </w:r>
    </w:p>
    <w:p>
      <w:pPr>
        <w:snapToGrid w:val="0"/>
        <w:spacing w:line="560" w:lineRule="exact"/>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2.2服务期限：</w:t>
      </w:r>
      <w:r>
        <w:rPr>
          <w:rFonts w:hint="eastAsia" w:asciiTheme="minorEastAsia" w:hAnsiTheme="minorEastAsia" w:eastAsiaTheme="minorEastAsia" w:cstheme="minorEastAsia"/>
          <w:bCs/>
          <w:sz w:val="24"/>
          <w:lang w:val="en-US" w:eastAsia="zh-CN"/>
        </w:rPr>
        <w:t>2024年度</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3、合同价款： </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合同总金额为人民币（大写）:</w:t>
      </w:r>
      <w:r>
        <w:rPr>
          <w:rFonts w:hint="eastAsia" w:asciiTheme="minorEastAsia" w:hAnsiTheme="minorEastAsia" w:eastAsiaTheme="minorEastAsia" w:cstheme="minorEastAsia"/>
          <w:i/>
          <w:sz w:val="24"/>
          <w:u w:val="single"/>
        </w:rPr>
        <w:t xml:space="preserve">        </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i/>
          <w:sz w:val="24"/>
          <w:u w:val="single"/>
        </w:rPr>
        <w:t xml:space="preserve">   </w:t>
      </w:r>
      <w:r>
        <w:rPr>
          <w:rFonts w:hint="eastAsia" w:asciiTheme="minorEastAsia" w:hAnsiTheme="minorEastAsia" w:eastAsiaTheme="minorEastAsia" w:cstheme="minorEastAsia"/>
          <w:sz w:val="24"/>
        </w:rPr>
        <w:t>元）。</w:t>
      </w:r>
    </w:p>
    <w:p>
      <w:pPr>
        <w:tabs>
          <w:tab w:val="left" w:pos="567"/>
        </w:tabs>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 本合同项下的费用为固定总价，含一切税、费。除双方另有约定，甲方不再向乙方支付其它任何费用。</w:t>
      </w:r>
    </w:p>
    <w:p>
      <w:pPr>
        <w:tabs>
          <w:tab w:val="left" w:pos="567"/>
        </w:tabs>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3.3履约保证金</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合同签订生效后</w:t>
      </w:r>
      <w:r>
        <w:rPr>
          <w:rFonts w:hint="eastAsia" w:asciiTheme="minorEastAsia" w:hAnsiTheme="minorEastAsia" w:eastAsiaTheme="minorEastAsia" w:cstheme="minorEastAsia"/>
          <w:sz w:val="24"/>
          <w:u w:val="single"/>
        </w:rPr>
        <w:t>7个工作日</w:t>
      </w:r>
      <w:r>
        <w:rPr>
          <w:rFonts w:hint="eastAsia" w:asciiTheme="minorEastAsia" w:hAnsiTheme="minorEastAsia" w:eastAsiaTheme="minorEastAsia" w:cstheme="minorEastAsia"/>
          <w:sz w:val="24"/>
        </w:rPr>
        <w:t>内，乙方应向甲方缴纳履约保证金</w:t>
      </w:r>
      <w:r>
        <w:rPr>
          <w:rFonts w:hint="eastAsia" w:asciiTheme="minorEastAsia" w:hAnsiTheme="minorEastAsia" w:eastAsiaTheme="minorEastAsia" w:cstheme="minorEastAsia"/>
          <w:sz w:val="24"/>
          <w:u w:val="single"/>
        </w:rPr>
        <w:t xml:space="preserve">     元[￥    元</w:t>
      </w:r>
      <w:r>
        <w:rPr>
          <w:rFonts w:hint="eastAsia" w:asciiTheme="minorEastAsia" w:hAnsiTheme="minorEastAsia" w:eastAsiaTheme="minorEastAsia" w:cstheme="minorEastAsia"/>
          <w:sz w:val="24"/>
        </w:rPr>
        <w:t>（不超过合同总价的1%）] 。乙方应以支票、汇票、本票或者金融机构、担保机构出具的保函等非现金形式提交。</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2"/>
        <w:spacing w:line="56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履约保证金自项目通过验收且服务期满乙方无任何违约行为、乙方无任何应付款项后</w:t>
      </w:r>
      <w:r>
        <w:rPr>
          <w:rFonts w:hint="eastAsia" w:asciiTheme="minorEastAsia" w:hAnsiTheme="minorEastAsia" w:eastAsiaTheme="minorEastAsia" w:cstheme="minorEastAsia"/>
          <w:sz w:val="24"/>
          <w:u w:val="single"/>
        </w:rPr>
        <w:t>7个工作日</w:t>
      </w:r>
      <w:r>
        <w:rPr>
          <w:rFonts w:hint="eastAsia" w:asciiTheme="minorEastAsia" w:hAnsiTheme="minorEastAsia" w:eastAsiaTheme="minorEastAsia" w:cstheme="minorEastAsia"/>
          <w:sz w:val="24"/>
        </w:rPr>
        <w:t>内无息退还给乙方。逾期退还的，乙方可要求甲方支付违约金，违约金按每迟延退还一日的应退还金额的0.05%计算，最高限额为本合同履约保证金的20%。</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4、付款方式</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4.1本合同项下的合同价款总金额分【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】期支付：</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（1）合同生效后7个工作日内，甲方支付乙方合同金额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%，即人民币（大写）：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（2）项目通过甲方的初验后，甲方支付合同金额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%，即人民币（大写）：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（3）乙方完成所有工作且通过甲方验收合格后15日内，甲方支付合同金额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%，即人民币（大写）：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上述甲方的付款义务均以乙方开具符合税务部门以及甲方要求的发票为前提，乙方延迟开具发票的，甲方有权延迟支付相应的款项并且无需承担任何违约责任。</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4.2合同价款和履约保证金应以银行转账方式支付。</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甲方银行账户信息： </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开户银行：杭州银行营业部</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 户 名：杭州市规划和自然资源局</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    号：75182014309888-402001</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乙方银行账户信息：</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 户 名： </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    号：</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 若本项目系联合体中标的，则甲方将本合同项下的款项支付至第4.2条约定的银行账户即视为甲方已完成本协议项下的付款义务，联合体内部的款项支付由联合体内部自行约定，若因款项支付产生的纠纷，均由联合体内部解决，与甲方无关。</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4.4财政政策：</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乙方有义务配合甲方在约定的时间内提供财政主管部门要求的相关资料，因乙方迟延履行、乙方在本协议项下存在违约行为以及不符合财政资金支付时间要求等原因造成不能及时支付款的，甲方不承担责任。</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5、甲方的责任与义务</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5.1为乙方工作提供良好的外部条件，并按照合同约定支付款项。</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 甲方按双方约定的内容和时间，向乙方提供与项目有关的可以提供的资料。</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 甲方授权一名熟悉本项目情况的代表，负责与乙方联系，更换代表前将提前通知乙方。</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 甲方对乙方提供的项目工作方案具有审定权、修改权，并有权要求乙方按甲方的要求修改方案,乙方不得以此为由要求增加任何费用。</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 根据实际情况，甲方有权要求乙方对已经确认的方案进行修改、变通，乙方应当配合执行，以保证项目顺利进行,乙方不得以此为由要求增加任何费用。</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6、乙方的责任与义务</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 根据投标文件的承诺，乙方向甲方委派项目组人员，人员应当固定。乙方更换人员必须经甲方书面同意，否则甲方有权解除本合同，乙方应赔偿给甲方造成的所有损失。</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 在履行本合同期间，乙方应运用合理的技能，认真、勤奋的工作。</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 乙方针对该项目出具的工作方案，均须事先经甲方书面确认后方可实施。乙方应当负责本项目的所有外部关系联系与协调。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6.4 乙方应指派一名授权项目代表，负责与甲方的联络。项目代表更换或变更任一信息的应至少提前两天通知甲方。</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乙方的项目代表姓名：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电子邮箱：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6.5其它：</w:t>
      </w:r>
      <w:r>
        <w:rPr>
          <w:rFonts w:hint="eastAsia" w:asciiTheme="minorEastAsia" w:hAnsiTheme="minorEastAsia" w:eastAsiaTheme="minorEastAsia" w:cstheme="minorEastAsia"/>
          <w:sz w:val="24"/>
          <w:u w:val="single"/>
        </w:rPr>
        <w:t xml:space="preserve">     /     </w:t>
      </w:r>
      <w:r>
        <w:rPr>
          <w:rFonts w:hint="eastAsia" w:asciiTheme="minorEastAsia" w:hAnsiTheme="minorEastAsia" w:eastAsiaTheme="minorEastAsia" w:cstheme="minorEastAsia"/>
          <w:sz w:val="24"/>
        </w:rPr>
        <w:t>。（按投标文件承诺内容在合同签署过程中补充填写）</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7、验收</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乙方应于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日前</w:t>
      </w:r>
      <w:r>
        <w:rPr>
          <w:rFonts w:hint="eastAsia" w:asciiTheme="minorEastAsia" w:hAnsiTheme="minorEastAsia" w:eastAsiaTheme="minorEastAsia" w:cstheme="minorEastAsia"/>
          <w:bCs/>
          <w:sz w:val="24"/>
        </w:rPr>
        <w:t>完成本项目全部工作内容，且工作成果符合相关规范以及甲方的要求</w:t>
      </w:r>
      <w:r>
        <w:rPr>
          <w:rFonts w:hint="eastAsia" w:asciiTheme="minorEastAsia" w:hAnsiTheme="minorEastAsia" w:eastAsiaTheme="minorEastAsia" w:cstheme="minorEastAsia"/>
          <w:sz w:val="24"/>
        </w:rPr>
        <w:t>。</w:t>
      </w:r>
    </w:p>
    <w:p>
      <w:pPr>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8、市场开发权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 乙方知晓并完全理解，隐性营销是指由自然人、法人和非法人组织所进行的可能明示或暗示其与甲方之间的任何活动之间具有事实上并不存在的商业关联，或虽具有一定的关联但未经甲方授权进行广告、宣传、商业识别或其他市场开发活动。</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 乙方承诺，将严格遵守甲方知识产权保护等方面的法律法规和市场开发的相关规则，坚持依法诚信经营，全面履行合同义务；未经权利人许可，不得从事市场开发活动。</w:t>
      </w:r>
    </w:p>
    <w:p>
      <w:pPr>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9、保密义务</w:t>
      </w:r>
    </w:p>
    <w:p>
      <w:pPr>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9.1 乙方确认并同意，应当对本合同的内容、因履行本合同或在本合同期间接触或知悉的甲方保密信息予以保密。未经甲方书面许可，不得为本合同以外的任何其他目的自行使用、向他人披露或者允许他人使用该保密信息的全部或部分。如果乙方因任何司法或行政命令而需要披露任何保密信息，则乙方同意在进行任何披露之前，立即通知甲方该等请求或要求。</w:t>
      </w:r>
    </w:p>
    <w:p>
      <w:pPr>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9.2 乙方可仅为本合同目的向其确有知悉必要的员工披露甲方提供的保密资料，但乙方对于其可能接触了解甲方信息资源的员工，以及与乙方存在有本项目业务合作关系的第三方，均须签订保密协议，由该等员工（包括从乙方离职但了解甲方信息的人员）、本项目合作关系的第三方向乙方承担本协议项下的保密义务。乙方应仅为本合同目的而复制和使用保密资料。</w:t>
      </w:r>
    </w:p>
    <w:p>
      <w:pPr>
        <w:snapToGrid w:val="0"/>
        <w:spacing w:line="56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9.3乙方的保密义务期限为永久。</w:t>
      </w:r>
    </w:p>
    <w:p>
      <w:pPr>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10、知识产权</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 双方确认，对所有保密信息、标志和授权称谓，以及由保密信息、标志和授权称谓衍生的、以其为基础或含有其部分内容的所有信息和材料的所有权利、利益、知识产权均属于甲方。本合同的签署和履行不应被理解为甲方通过明示、暗示或其它方式许可乙方对甲方在现阶段或将来拥有或持有的知识产权享有任何利益。</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 本合同所产生技术成果的全部知识产权，包括但不限于著作权、专利权、专利申请权、技术秘密、商标权等，全部归甲方所有，未经甲方事先书面许可，乙方及乙方技术服务人员不得实施、使用该项技术成果，也不得将该项技术成果以任何方式提供给任何第三方（包括甲方单位中与本项目无关的人员）。违反本条规定的，乙方应当对因此给甲方造成的一切损失承担赔偿责任，赔偿范围包括但不限于甲方因此遭受的直接经济损失，可预见的间接经济损失，以及甲方因此支出的诉讼费、仲裁费、律师费、差旅费、评估费、鉴定费等费用。</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10.3 乙方保证乙方交付的成果不会侵犯甲方及任何第三方的知识产权，并保证甲方及甲方利益相关方免于遭受任何第三方基于本合同交付成果而提起任何知识产权诉讼。如果任何第三方基于本合同交付成果而针对甲方或甲方利益相关方提起任何知识产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10.4 如乙方发现任何交付成果的知识产权可能有瑕疵，应立即书面通知甲方，并立即采取一切必要措施使交付成果合法化。</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10.5 本条规定自本合同生效之日起即应履行，长期有效，并且不受本合同届满、提前终止或本合同中其他条款的无效或履行完毕等情形的影响。</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11、安全生产</w:t>
      </w:r>
    </w:p>
    <w:p>
      <w:pPr>
        <w:tabs>
          <w:tab w:val="left" w:pos="567"/>
        </w:tabs>
        <w:snapToGrid w:val="0"/>
        <w:spacing w:line="56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甲乙双方均应落实安全生产各项要求。如涉及分包、转包的，乙方要做好外包项目的安全管理。</w:t>
      </w:r>
    </w:p>
    <w:p>
      <w:pPr>
        <w:tabs>
          <w:tab w:val="left" w:pos="567"/>
        </w:tabs>
        <w:snapToGrid w:val="0"/>
        <w:spacing w:line="56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乙方应签订网络安全与数据安全责任书（详见本合同附件），重点保障网络数据安全。签署、解释、执行该责任书有关的一切争议，双方应首先友好协商解决。如经协商不能解决的，则按本合同约定的争议解决方式解决。</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12、合同的转让、变更及解除</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 未经甲方事先书面同意，乙方不得将本合同的权利或义务全部或部分转移给第三人。</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 经审批，且双方协商一致，可以变更、解除本合同。任何一方欲变更、解除本合同，必须提前15日以书面形式提出，双方协商一致后签署补充合同。</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 一方有下列情形之一的，另一方可以解除本合同：</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12.3.1因不可抗力致使不能实现本合同的目的。</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12.3.2在履行期限届满之前，一方明确表示或者以自己的行为表明不履行主要义务。</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12.3.3一方迟延履行主要义务，经催告后在15日内仍未履行。</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12.3.4一方迟延履行义务或者有其他违约行为致使不能实现合同目的。</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12.3.5法律规定或本合同约定的其他情形。</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12.4 本合同履行中，甲方需追加与合同标的相同的货物或者服务的，在不改变合同其他条款的前提下，可以与乙方协商签订补充合同，但所有补充合同的采购金额不得超过原合同采购金额的百分之十。当变更只是采购量增减时，按最后经过甲方书面确认后的报价明细单中的单价进行结算。</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13、违约责任</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 甲方应在规定时间内向乙方提供基础资料及文件，并对其准确性负责。</w:t>
      </w:r>
    </w:p>
    <w:p>
      <w:pPr>
        <w:autoSpaceDE w:val="0"/>
        <w:autoSpaceDN w:val="0"/>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13.2 乙方不能在合同约定时间提交全部最终成果资料的，自逾期之日起，向甲方每日偿付合同总价款万分之六的违约金，同时不解除合同交货责任；逾期超过三十天的，甲方有权解除本合同，并可要求乙方偿付合同总价款20%的违约金，同时乙方应退回全部已支付价款；</w:t>
      </w:r>
    </w:p>
    <w:p>
      <w:pPr>
        <w:autoSpaceDE w:val="0"/>
        <w:autoSpaceDN w:val="0"/>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13.3 乙方提供的成果质量验收不合格的，乙方应负责无偿重新提供，直至达到验收要求。因成果质量不符合合同要求给甲方造成损失的，甲方有权解除本合同，并可要求乙方偿付合同总价款20%的违约金，同时乙方应退回全部已支付价款；</w:t>
      </w:r>
    </w:p>
    <w:p>
      <w:pPr>
        <w:autoSpaceDE w:val="0"/>
        <w:autoSpaceDN w:val="0"/>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13.4 因甲方原因逾期支付合同款的，自逾期之日起，向乙方每日偿付所需支付货款的万分之六的违约金，同时不解除合同付款责任；</w:t>
      </w:r>
    </w:p>
    <w:p>
      <w:pPr>
        <w:autoSpaceDE w:val="0"/>
        <w:autoSpaceDN w:val="0"/>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13.5 乙方擅自将本合同的标的转包或者部分分包给第三方的，甲方有权解除合同，并可要求乙方偿付合同总价款20%的违约金，同时乙方应退回全部已支付价款；</w:t>
      </w:r>
    </w:p>
    <w:p>
      <w:pPr>
        <w:autoSpaceDE w:val="0"/>
        <w:autoSpaceDN w:val="0"/>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13.6 如发生违约事件，守约方要求违约方支付违约金时，须以书面方式通知违约方，内容包括违约事件、违约金、支付时间和方式等；违约方在收到上述通知后，应于5个工作日内书面答复对方，并支付违约金。如双方不能就此达成一致意见，将按照本合同所规定的争议解决条款解决双方的纠纷；</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 xml:space="preserve">13.7 </w:t>
      </w:r>
      <w:r>
        <w:rPr>
          <w:rFonts w:hint="eastAsia" w:asciiTheme="minorEastAsia" w:hAnsiTheme="minorEastAsia" w:eastAsiaTheme="minorEastAsia" w:cstheme="minorEastAsia"/>
          <w:sz w:val="24"/>
        </w:rPr>
        <w:t>付款按财政政策以及甲方的要求执行，因乙方迟延履行、乙方在本合同项下存在违约行为以及不符合财政资金支付时间要求等原因造成不能及时支付款的，甲方不承担任何责任。</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14、争议解决</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 本合同应适用中国法律并应根据中国法律解释。</w:t>
      </w:r>
    </w:p>
    <w:p>
      <w:pPr>
        <w:snapToGrid w:val="0"/>
        <w:spacing w:line="5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 在本合同履行过程中发生争议，双方应当协商解决，如协商不成，任何一方有权向甲方所在地人民法院诉讼解决。</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15、不可抗力</w:t>
      </w:r>
    </w:p>
    <w:p>
      <w:pPr>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15.1 在合同有效期内，任何一方因不可抗力事件导致不能履行合同，则合同履行期可延长，其延长期与不可抗力影响期相同。</w:t>
      </w:r>
    </w:p>
    <w:p>
      <w:pPr>
        <w:snapToGrid w:val="0"/>
        <w:spacing w:line="560" w:lineRule="exact"/>
        <w:ind w:firstLine="480" w:firstLineChars="200"/>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15.2 不可抗力事件发生后，应立即通知对方，并寄送有关权威机构出具的证明。</w:t>
      </w:r>
    </w:p>
    <w:p>
      <w:pPr>
        <w:snapToGrid w:val="0"/>
        <w:spacing w:line="560" w:lineRule="exact"/>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kern w:val="0"/>
          <w:sz w:val="24"/>
          <w:lang w:val="zh-CN"/>
        </w:rPr>
        <w:t>15.3 不可抗力事件延续120天以上，双方可通过友好协商，确定是否继续履行合同。</w:t>
      </w:r>
    </w:p>
    <w:p>
      <w:pPr>
        <w:tabs>
          <w:tab w:val="left" w:pos="567"/>
        </w:tabs>
        <w:snapToGrid w:val="0"/>
        <w:spacing w:line="56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16、其他</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 本合同服务期限届满的，若在服务期限届满后甲方仍未确定下一个服务期限的服务提供方的，则乙方应甲方的要求继续为本协议项下提供服务，直至甲方确定下一个服务期限的服务提供方，费用协商解决。</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16.2招标文件及其补充文件、投标文件、中标通知书等作为合同的组成部分。解释顺序为：本合同以及补充协议-中标通知书-招标文件及其补充文件-投标文件。</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 本合同由甲乙双方签署之日起生效。</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 对本合同的任何修改和补充均应以补充合同的形式作出，由双方签署后生效。本合同的附件、补充合同与本合同具有同等法律效力。</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 本合同一式陆份，甲方执叁份，乙方执叁份，各份具有同等法律效力。</w:t>
      </w:r>
    </w:p>
    <w:p>
      <w:pPr>
        <w:snapToGrid w:val="0"/>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（以下无正文）</w:t>
      </w:r>
    </w:p>
    <w:p>
      <w:pPr>
        <w:spacing w:line="560" w:lineRule="exact"/>
        <w:rPr>
          <w:rFonts w:asciiTheme="minorEastAsia" w:hAnsiTheme="minorEastAsia" w:eastAsiaTheme="minorEastAsia" w:cstheme="minorEastAsia"/>
          <w:sz w:val="24"/>
        </w:rPr>
      </w:pP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甲方（盖章）：         乙方一（盖章）：      乙方二（盖章）：</w:t>
      </w: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             法定代表人            法定代表人</w:t>
      </w:r>
    </w:p>
    <w:p>
      <w:pPr>
        <w:tabs>
          <w:tab w:val="left" w:pos="4395"/>
        </w:tabs>
        <w:spacing w:line="560" w:lineRule="exact"/>
        <w:rPr>
          <w:rFonts w:asciiTheme="minorEastAsia" w:hAnsiTheme="minorEastAsia" w:eastAsiaTheme="minorEastAsia" w:cstheme="minorEastAsia"/>
          <w:sz w:val="24"/>
        </w:rPr>
      </w:pP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或受委托人             或受委托人            或受委托人</w:t>
      </w:r>
    </w:p>
    <w:p>
      <w:pPr>
        <w:spacing w:line="560" w:lineRule="exact"/>
        <w:ind w:firstLine="120" w:firstLineChar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（签字）：              （签字）：         （签字）：</w:t>
      </w:r>
    </w:p>
    <w:p>
      <w:pPr>
        <w:spacing w:line="560" w:lineRule="exact"/>
        <w:rPr>
          <w:rFonts w:asciiTheme="minorEastAsia" w:hAnsiTheme="minorEastAsia" w:eastAsiaTheme="minorEastAsia" w:cstheme="minorEastAsia"/>
          <w:sz w:val="24"/>
        </w:rPr>
      </w:pP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联系人：               联系人：             联系人： </w:t>
      </w:r>
    </w:p>
    <w:p>
      <w:pPr>
        <w:spacing w:line="560" w:lineRule="exact"/>
        <w:rPr>
          <w:rFonts w:asciiTheme="minorEastAsia" w:hAnsiTheme="minorEastAsia" w:eastAsiaTheme="minorEastAsia" w:cstheme="minorEastAsia"/>
          <w:sz w:val="24"/>
        </w:rPr>
      </w:pPr>
    </w:p>
    <w:p>
      <w:pPr>
        <w:spacing w:line="56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电话：               电话：</w:t>
      </w:r>
    </w:p>
    <w:p>
      <w:pPr>
        <w:spacing w:line="360" w:lineRule="auto"/>
        <w:rPr>
          <w:rFonts w:asciiTheme="minorEastAsia" w:hAnsiTheme="minorEastAsia" w:eastAsiaTheme="minorEastAsia" w:cstheme="minorEastAsia"/>
          <w:kern w:val="0"/>
          <w:sz w:val="24"/>
        </w:rPr>
      </w:pPr>
    </w:p>
    <w:p>
      <w:pPr>
        <w:spacing w:line="360" w:lineRule="auto"/>
        <w:rPr>
          <w:rFonts w:asciiTheme="minorEastAsia" w:hAnsiTheme="minorEastAsia" w:eastAsiaTheme="minorEastAsia" w:cstheme="minorEastAsia"/>
          <w:kern w:val="0"/>
          <w:sz w:val="24"/>
          <w:lang w:val="zh-CN"/>
        </w:rPr>
      </w:pPr>
    </w:p>
    <w:p>
      <w:pPr>
        <w:spacing w:line="360" w:lineRule="auto"/>
        <w:rPr>
          <w:rFonts w:asciiTheme="minorEastAsia" w:hAnsiTheme="minorEastAsia" w:eastAsiaTheme="minorEastAsia" w:cstheme="minorEastAsia"/>
          <w:kern w:val="0"/>
          <w:sz w:val="24"/>
          <w:lang w:val="zh-CN"/>
        </w:rPr>
      </w:pPr>
    </w:p>
    <w:p>
      <w:pPr>
        <w:spacing w:line="360" w:lineRule="auto"/>
        <w:rPr>
          <w:rFonts w:asciiTheme="minorEastAsia" w:hAnsiTheme="minorEastAsia" w:eastAsiaTheme="minorEastAsia" w:cstheme="minorEastAsia"/>
          <w:kern w:val="0"/>
          <w:sz w:val="24"/>
          <w:lang w:val="zh-CN"/>
        </w:rPr>
      </w:pPr>
    </w:p>
    <w:p>
      <w:pPr>
        <w:spacing w:line="360" w:lineRule="auto"/>
        <w:rPr>
          <w:rFonts w:asciiTheme="minorEastAsia" w:hAnsiTheme="minorEastAsia" w:eastAsiaTheme="minorEastAsia" w:cstheme="minorEastAsia"/>
          <w:kern w:val="0"/>
          <w:sz w:val="24"/>
          <w:lang w:val="zh-CN"/>
        </w:rPr>
      </w:pPr>
    </w:p>
    <w:p>
      <w:pPr>
        <w:spacing w:line="360" w:lineRule="auto"/>
        <w:rPr>
          <w:rFonts w:asciiTheme="minorEastAsia" w:hAnsiTheme="minorEastAsia" w:eastAsiaTheme="minorEastAsia" w:cstheme="minorEastAsia"/>
          <w:kern w:val="0"/>
          <w:sz w:val="24"/>
          <w:lang w:val="zh-CN"/>
        </w:rPr>
      </w:pPr>
    </w:p>
    <w:p>
      <w:pPr>
        <w:spacing w:line="360" w:lineRule="auto"/>
        <w:rPr>
          <w:rFonts w:asciiTheme="minorEastAsia" w:hAnsiTheme="minorEastAsia" w:eastAsiaTheme="minorEastAsia" w:cstheme="minorEastAsia"/>
          <w:kern w:val="0"/>
          <w:sz w:val="24"/>
          <w:lang w:val="zh-CN"/>
        </w:rPr>
      </w:pPr>
    </w:p>
    <w:p>
      <w:pPr>
        <w:spacing w:line="560" w:lineRule="exact"/>
        <w:ind w:right="480" w:firstLine="2400" w:firstLineChars="1000"/>
        <w:jc w:val="righ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签 约 地：浙江省杭州市</w:t>
      </w:r>
    </w:p>
    <w:p>
      <w:pPr>
        <w:spacing w:line="560" w:lineRule="exact"/>
        <w:ind w:firstLine="2400" w:firstLineChars="1000"/>
        <w:jc w:val="right"/>
        <w:rPr>
          <w:rFonts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签约日期：     年   月   日</w:t>
      </w: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b/>
          <w:bCs/>
          <w:sz w:val="24"/>
          <w:lang w:val="zh-CN"/>
        </w:rPr>
      </w:pPr>
    </w:p>
    <w:p>
      <w:pPr>
        <w:pStyle w:val="2"/>
        <w:ind w:firstLine="0" w:firstLineChars="0"/>
        <w:rPr>
          <w:rFonts w:ascii="宋体" w:hAnsi="宋体" w:eastAsia="宋体" w:cs="宋体"/>
          <w:sz w:val="24"/>
          <w:lang w:val="zh-CN"/>
        </w:rPr>
      </w:pPr>
      <w:r>
        <w:rPr>
          <w:rFonts w:hint="eastAsia" w:ascii="宋体" w:hAnsi="宋体" w:eastAsia="宋体" w:cs="宋体"/>
          <w:b/>
          <w:bCs/>
          <w:sz w:val="24"/>
          <w:lang w:val="zh-CN"/>
        </w:rPr>
        <w:t>附件</w:t>
      </w:r>
    </w:p>
    <w:p>
      <w:pPr>
        <w:pStyle w:val="2"/>
        <w:ind w:firstLine="0" w:firstLineChars="0"/>
        <w:rPr>
          <w:rFonts w:ascii="宋体" w:hAnsi="宋体" w:eastAsia="宋体" w:cs="宋体"/>
          <w:sz w:val="24"/>
          <w:lang w:val="zh-CN"/>
        </w:rPr>
      </w:pPr>
    </w:p>
    <w:p>
      <w:pPr>
        <w:pStyle w:val="2"/>
        <w:ind w:firstLine="0" w:firstLineChars="0"/>
        <w:jc w:val="center"/>
        <w:rPr>
          <w:rFonts w:ascii="宋体" w:hAnsi="宋体" w:eastAsia="宋体" w:cs="宋体"/>
          <w:bCs/>
          <w:sz w:val="24"/>
          <w:lang w:val="zh-CN"/>
        </w:rPr>
      </w:pPr>
      <w:r>
        <w:rPr>
          <w:rFonts w:hint="eastAsia" w:ascii="宋体" w:hAnsi="宋体" w:eastAsia="宋体" w:cs="宋体"/>
          <w:b/>
          <w:sz w:val="32"/>
          <w:szCs w:val="32"/>
          <w:lang w:val="zh-CN"/>
        </w:rPr>
        <w:t>网络安全与数据安全责任书</w:t>
      </w:r>
    </w:p>
    <w:p>
      <w:pPr>
        <w:pStyle w:val="2"/>
        <w:ind w:firstLine="0" w:firstLineChars="0"/>
        <w:rPr>
          <w:rFonts w:ascii="宋体" w:hAnsi="宋体" w:eastAsia="宋体" w:cs="宋体"/>
          <w:sz w:val="24"/>
          <w:lang w:val="zh-CN"/>
        </w:rPr>
      </w:pPr>
    </w:p>
    <w:p>
      <w:pPr>
        <w:snapToGrid w:val="0"/>
        <w:spacing w:line="500" w:lineRule="exact"/>
        <w:ind w:firstLine="482" w:firstLineChars="200"/>
        <w:rPr>
          <w:rFonts w:ascii="宋体" w:hAnsi="宋体" w:cs="宋体"/>
          <w:b/>
          <w:sz w:val="24"/>
        </w:rPr>
      </w:pPr>
      <w:r>
        <w:rPr>
          <w:rFonts w:hint="eastAsia" w:ascii="宋体" w:hAnsi="宋体" w:cs="宋体"/>
          <w:b/>
          <w:sz w:val="24"/>
        </w:rPr>
        <w:t>一、乙方义务</w:t>
      </w:r>
    </w:p>
    <w:p>
      <w:pPr>
        <w:snapToGrid w:val="0"/>
        <w:spacing w:line="500" w:lineRule="exact"/>
        <w:ind w:firstLine="480" w:firstLineChars="200"/>
        <w:rPr>
          <w:rFonts w:ascii="宋体" w:hAnsi="宋体" w:cs="宋体"/>
          <w:sz w:val="24"/>
        </w:rPr>
      </w:pPr>
      <w:r>
        <w:rPr>
          <w:rFonts w:hint="eastAsia" w:ascii="宋体" w:hAnsi="宋体" w:cs="宋体"/>
          <w:sz w:val="24"/>
        </w:rPr>
        <w:t>乙方应按照《中华人民共和国网络安全法》《中华人民共和国数据安全法》等法规标准的要求，履行网络和数据安全保护义务，明确网络和数据安全责任，承担技术服务外包过程中的网络安全责任。</w:t>
      </w:r>
    </w:p>
    <w:p>
      <w:pPr>
        <w:snapToGrid w:val="0"/>
        <w:spacing w:line="500" w:lineRule="exact"/>
        <w:ind w:firstLine="480" w:firstLineChars="200"/>
        <w:rPr>
          <w:rFonts w:ascii="宋体" w:hAnsi="宋体" w:cs="宋体"/>
          <w:sz w:val="24"/>
        </w:rPr>
      </w:pPr>
      <w:r>
        <w:rPr>
          <w:rFonts w:hint="eastAsia" w:ascii="宋体" w:hAnsi="宋体" w:cs="宋体"/>
          <w:sz w:val="24"/>
        </w:rPr>
        <w:t>项目涉及乙方工作人员均需签订《保密承诺书》，且乙方应对项目涉及工作人员进行背景审查，并做好人员网络和数据安全教育及培训工作，严格控制人员管理员权限。</w:t>
      </w:r>
    </w:p>
    <w:p>
      <w:pPr>
        <w:snapToGrid w:val="0"/>
        <w:spacing w:line="500" w:lineRule="exact"/>
        <w:ind w:firstLine="480" w:firstLineChars="200"/>
        <w:rPr>
          <w:rFonts w:ascii="宋体" w:hAnsi="宋体" w:cs="宋体"/>
          <w:sz w:val="24"/>
        </w:rPr>
      </w:pPr>
      <w:r>
        <w:rPr>
          <w:rFonts w:hint="eastAsia" w:ascii="宋体" w:hAnsi="宋体" w:cs="宋体"/>
          <w:sz w:val="24"/>
        </w:rPr>
        <w:t>乙方应当采取技术措施和其他必要措施，确保网络和数据安全。日常加强风险监测，发现网络或数据安全缺陷、漏洞等风险时，立即采取补救措施；发生网络数据安全事件时，立即采取处置措施，确保第一时间检测发现，第一时间应急处置，第一时间向甲方报告，尽快保障相关系统、设备恢复正常运行，防止数据泄露、毁损、丢失。</w:t>
      </w:r>
    </w:p>
    <w:p>
      <w:pPr>
        <w:snapToGrid w:val="0"/>
        <w:spacing w:line="500" w:lineRule="exact"/>
        <w:ind w:firstLine="480" w:firstLineChars="200"/>
        <w:rPr>
          <w:rFonts w:ascii="宋体" w:hAnsi="宋体" w:cs="宋体"/>
          <w:sz w:val="24"/>
        </w:rPr>
      </w:pPr>
      <w:r>
        <w:rPr>
          <w:rFonts w:hint="eastAsia" w:ascii="宋体" w:hAnsi="宋体" w:cs="宋体"/>
          <w:sz w:val="24"/>
        </w:rPr>
        <w:t>乙方应合理使用操作账号，严禁乙方存在多名工作人员共用操作账号的情形，同时操作账号应采用高强度的密码、并定期更新账号密码。不得对数据进行导出、留存、下载。</w:t>
      </w:r>
    </w:p>
    <w:p>
      <w:pPr>
        <w:snapToGrid w:val="0"/>
        <w:spacing w:line="500" w:lineRule="exact"/>
        <w:ind w:firstLine="480" w:firstLineChars="200"/>
        <w:rPr>
          <w:rFonts w:ascii="宋体" w:hAnsi="宋体" w:cs="宋体"/>
          <w:sz w:val="24"/>
        </w:rPr>
      </w:pPr>
      <w:r>
        <w:rPr>
          <w:rFonts w:hint="eastAsia" w:ascii="宋体" w:hAnsi="宋体" w:cs="宋体"/>
          <w:sz w:val="24"/>
        </w:rPr>
        <w:t>未经甲方允许，乙方不得对项目云资源私开端口，不得利用项目资源进行与该项目无关的工作，不得将政务网和互联网私自打通。</w:t>
      </w:r>
    </w:p>
    <w:p>
      <w:pPr>
        <w:snapToGrid w:val="0"/>
        <w:spacing w:line="500" w:lineRule="exact"/>
        <w:ind w:firstLine="480" w:firstLineChars="200"/>
        <w:rPr>
          <w:rFonts w:ascii="宋体" w:hAnsi="宋体" w:cs="宋体"/>
          <w:sz w:val="24"/>
        </w:rPr>
      </w:pPr>
      <w:r>
        <w:rPr>
          <w:rFonts w:hint="eastAsia" w:ascii="宋体" w:hAnsi="宋体" w:cs="宋体"/>
          <w:sz w:val="24"/>
        </w:rPr>
        <w:t>乙方应严格按照要求使用、处理、交换、共享数据资源。做好数据落地相应的数据保护工作，严格执行数据安全技术标准和安全管理措施，避免相关数据出现泄露、窃取、篡改的风险。</w:t>
      </w:r>
    </w:p>
    <w:p>
      <w:pPr>
        <w:snapToGrid w:val="0"/>
        <w:spacing w:line="500" w:lineRule="exact"/>
        <w:ind w:firstLine="480" w:firstLineChars="200"/>
        <w:rPr>
          <w:rFonts w:ascii="宋体" w:hAnsi="宋体" w:cs="宋体"/>
          <w:sz w:val="24"/>
        </w:rPr>
      </w:pPr>
      <w:r>
        <w:rPr>
          <w:rFonts w:hint="eastAsia" w:ascii="宋体" w:hAnsi="宋体" w:cs="宋体"/>
          <w:sz w:val="24"/>
        </w:rPr>
        <w:t xml:space="preserve">乙方应认真组织开展各项数据处理活动，查找项目数据安全隐患和漏洞，对薄弱环节和潜在威胁采取有力措施进行整改，避免和消除数据安全风险，  </w:t>
      </w:r>
    </w:p>
    <w:p>
      <w:pPr>
        <w:pStyle w:val="2"/>
        <w:spacing w:line="500" w:lineRule="exact"/>
        <w:ind w:firstLine="480"/>
        <w:rPr>
          <w:rFonts w:ascii="宋体" w:hAnsi="宋体" w:eastAsia="宋体" w:cs="宋体"/>
          <w:sz w:val="24"/>
        </w:rPr>
      </w:pPr>
      <w:r>
        <w:rPr>
          <w:rFonts w:hint="eastAsia" w:ascii="宋体" w:hAnsi="宋体" w:eastAsia="宋体" w:cs="宋体"/>
          <w:sz w:val="24"/>
        </w:rPr>
        <w:t>乙方应配合落实网络安全等级保护制度和关键信息基础设施安全保护制度及商用密码应用安全性评估管理办法有关要求。</w:t>
      </w:r>
    </w:p>
    <w:p>
      <w:pPr>
        <w:snapToGrid w:val="0"/>
        <w:spacing w:line="500" w:lineRule="exact"/>
        <w:ind w:firstLine="482" w:firstLineChars="200"/>
        <w:rPr>
          <w:rFonts w:ascii="宋体" w:hAnsi="宋体" w:cs="宋体"/>
          <w:b/>
          <w:sz w:val="24"/>
        </w:rPr>
      </w:pPr>
      <w:r>
        <w:rPr>
          <w:rFonts w:hint="eastAsia" w:ascii="宋体" w:hAnsi="宋体" w:cs="宋体"/>
          <w:b/>
          <w:sz w:val="24"/>
        </w:rPr>
        <w:t>二、违约责任</w:t>
      </w:r>
    </w:p>
    <w:p>
      <w:pPr>
        <w:snapToGrid w:val="0"/>
        <w:spacing w:line="500" w:lineRule="exact"/>
        <w:ind w:firstLine="480" w:firstLineChars="200"/>
        <w:rPr>
          <w:rFonts w:ascii="宋体" w:hAnsi="宋体" w:cs="宋体"/>
          <w:sz w:val="24"/>
        </w:rPr>
      </w:pPr>
      <w:r>
        <w:rPr>
          <w:rFonts w:hint="eastAsia" w:ascii="宋体" w:hAnsi="宋体" w:cs="宋体"/>
          <w:sz w:val="24"/>
        </w:rPr>
        <w:t>由于乙方原因，受到国家级安全问题通报的，出现1次，每次扣除金额10000元。</w:t>
      </w:r>
    </w:p>
    <w:p>
      <w:pPr>
        <w:snapToGrid w:val="0"/>
        <w:spacing w:line="500" w:lineRule="exact"/>
        <w:ind w:firstLine="480" w:firstLineChars="200"/>
        <w:rPr>
          <w:rFonts w:ascii="宋体" w:hAnsi="宋体" w:cs="宋体"/>
          <w:sz w:val="24"/>
        </w:rPr>
      </w:pPr>
      <w:r>
        <w:rPr>
          <w:rFonts w:hint="eastAsia" w:ascii="宋体" w:hAnsi="宋体" w:cs="宋体"/>
          <w:sz w:val="24"/>
        </w:rPr>
        <w:t>由于乙方原因，受到省级安全问题通报的，出现1次，每次扣除金额5000元。</w:t>
      </w:r>
    </w:p>
    <w:p>
      <w:pPr>
        <w:snapToGrid w:val="0"/>
        <w:spacing w:line="500" w:lineRule="exact"/>
        <w:ind w:firstLine="480" w:firstLineChars="200"/>
        <w:rPr>
          <w:rFonts w:ascii="宋体" w:hAnsi="宋体" w:cs="宋体"/>
          <w:sz w:val="24"/>
        </w:rPr>
      </w:pPr>
      <w:r>
        <w:rPr>
          <w:rFonts w:hint="eastAsia" w:ascii="宋体" w:hAnsi="宋体" w:cs="宋体"/>
          <w:sz w:val="24"/>
        </w:rPr>
        <w:t>由于乙方原因，受到市级安全问题通报的，出现1次，每次扣除金额2000元。</w:t>
      </w:r>
    </w:p>
    <w:p>
      <w:pPr>
        <w:snapToGrid w:val="0"/>
        <w:spacing w:line="500" w:lineRule="exact"/>
        <w:ind w:firstLine="480" w:firstLineChars="200"/>
        <w:rPr>
          <w:rFonts w:ascii="宋体" w:hAnsi="宋体" w:cs="宋体"/>
          <w:sz w:val="24"/>
        </w:rPr>
      </w:pPr>
      <w:r>
        <w:rPr>
          <w:rFonts w:hint="eastAsia" w:ascii="宋体" w:hAnsi="宋体" w:cs="宋体"/>
          <w:sz w:val="24"/>
        </w:rPr>
        <w:t>每次通报后，乙方应及时解决并递交书面整改报告，若乙方未根据整改报告按期整改的，扣除金额1000元。</w:t>
      </w:r>
    </w:p>
    <w:p>
      <w:pPr>
        <w:snapToGrid w:val="0"/>
        <w:spacing w:line="500" w:lineRule="exact"/>
        <w:ind w:firstLine="482" w:firstLineChars="200"/>
        <w:rPr>
          <w:rFonts w:ascii="宋体" w:hAnsi="宋体" w:cs="宋体"/>
          <w:b/>
          <w:sz w:val="24"/>
        </w:rPr>
      </w:pPr>
      <w:r>
        <w:rPr>
          <w:rFonts w:hint="eastAsia" w:ascii="宋体" w:hAnsi="宋体" w:cs="宋体"/>
          <w:b/>
          <w:sz w:val="24"/>
        </w:rPr>
        <w:t>三、其他</w:t>
      </w:r>
    </w:p>
    <w:p>
      <w:pPr>
        <w:snapToGrid w:val="0"/>
        <w:spacing w:line="500" w:lineRule="exact"/>
        <w:ind w:firstLine="480" w:firstLineChars="200"/>
        <w:rPr>
          <w:rFonts w:ascii="宋体" w:hAnsi="宋体" w:cs="宋体"/>
          <w:sz w:val="24"/>
        </w:rPr>
      </w:pPr>
      <w:r>
        <w:rPr>
          <w:rFonts w:hint="eastAsia" w:ascii="宋体" w:hAnsi="宋体" w:cs="宋体"/>
          <w:sz w:val="24"/>
        </w:rPr>
        <w:t>本附件与主合同具有同等法律效力，自乙方盖章后生效。</w:t>
      </w:r>
    </w:p>
    <w:p>
      <w:pPr>
        <w:snapToGrid w:val="0"/>
        <w:spacing w:line="500" w:lineRule="exact"/>
        <w:ind w:firstLine="480" w:firstLineChars="200"/>
        <w:rPr>
          <w:rFonts w:ascii="宋体" w:hAnsi="宋体" w:cs="宋体"/>
          <w:sz w:val="24"/>
        </w:rPr>
      </w:pPr>
    </w:p>
    <w:p>
      <w:pPr>
        <w:pStyle w:val="2"/>
        <w:spacing w:line="500" w:lineRule="exact"/>
        <w:ind w:firstLine="480"/>
        <w:rPr>
          <w:rFonts w:ascii="宋体" w:hAnsi="宋体" w:eastAsia="宋体" w:cs="宋体"/>
          <w:sz w:val="24"/>
        </w:rPr>
      </w:pPr>
      <w:r>
        <w:rPr>
          <w:rFonts w:hint="eastAsia" w:ascii="宋体" w:hAnsi="宋体" w:eastAsia="宋体" w:cs="宋体"/>
          <w:sz w:val="24"/>
        </w:rPr>
        <w:t xml:space="preserve">乙方（盖章）：                    </w:t>
      </w:r>
    </w:p>
    <w:p>
      <w:pPr>
        <w:pStyle w:val="2"/>
        <w:spacing w:line="500" w:lineRule="exact"/>
        <w:ind w:firstLine="480"/>
        <w:rPr>
          <w:rFonts w:ascii="宋体" w:hAnsi="宋体" w:eastAsia="宋体" w:cs="宋体"/>
          <w:sz w:val="24"/>
        </w:rPr>
      </w:pPr>
    </w:p>
    <w:p>
      <w:pPr>
        <w:pStyle w:val="2"/>
        <w:spacing w:line="500" w:lineRule="exact"/>
        <w:ind w:firstLine="480"/>
        <w:rPr>
          <w:rFonts w:ascii="宋体" w:hAnsi="宋体" w:eastAsia="宋体" w:cs="宋体"/>
          <w:sz w:val="24"/>
        </w:rPr>
      </w:pPr>
    </w:p>
    <w:p>
      <w:pPr>
        <w:pStyle w:val="2"/>
        <w:spacing w:line="500" w:lineRule="exact"/>
        <w:ind w:firstLine="480"/>
        <w:rPr>
          <w:rFonts w:ascii="宋体" w:hAnsi="宋体" w:eastAsia="宋体" w:cs="宋体"/>
          <w:sz w:val="24"/>
        </w:rPr>
      </w:pPr>
      <w:r>
        <w:rPr>
          <w:rFonts w:hint="eastAsia" w:ascii="宋体" w:hAnsi="宋体" w:eastAsia="宋体" w:cs="宋体"/>
          <w:sz w:val="24"/>
        </w:rPr>
        <w:t xml:space="preserve">时间：     年  月  日             </w:t>
      </w:r>
    </w:p>
    <w:p>
      <w:pPr>
        <w:snapToGrid w:val="0"/>
        <w:spacing w:line="20" w:lineRule="exact"/>
        <w:ind w:firstLine="480" w:firstLineChars="200"/>
        <w:rPr>
          <w:rFonts w:eastAsia="仿宋_GB2312" w:cs="仿宋_GB2312"/>
          <w:sz w:val="24"/>
        </w:rPr>
      </w:pP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rPr>
          <w:rFonts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2"/>
      <w:r>
        <w:rPr>
          <w:rFonts w:hint="eastAsia" w:ascii="宋体" w:hAnsi="宋体" w:cs="宋体"/>
          <w:b/>
          <w:sz w:val="36"/>
          <w:szCs w:val="20"/>
        </w:rPr>
        <w:t xml:space="preserve"> </w:t>
      </w:r>
      <w:bookmarkEnd w:id="39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杭州市规划和自然资源局、华诚工程咨询集团有限公司：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杭州市规划和自然资源局、华诚工程咨询集团有限公司：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394" w:name="_Hlk101257010"/>
      <w:r>
        <w:rPr>
          <w:rFonts w:hint="eastAsia" w:ascii="宋体" w:hAnsi="宋体" w:cs="宋体"/>
          <w:sz w:val="24"/>
        </w:rPr>
        <w:t>（如果有)</w:t>
      </w:r>
      <w:bookmarkEnd w:id="394"/>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pacing w:line="360" w:lineRule="auto"/>
        <w:ind w:left="420" w:leftChars="200" w:firstLine="480" w:firstLineChars="200"/>
        <w:rPr>
          <w:rFonts w:eastAsia="仿宋_GB2312"/>
        </w:rPr>
      </w:pPr>
      <w:r>
        <w:rPr>
          <w:rFonts w:hint="eastAsia" w:ascii="宋体" w:hAnsi="宋体" w:cs="宋体"/>
          <w:sz w:val="24"/>
        </w:rPr>
        <w:t>2.3.2 报价情况说明（如果有）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pStyle w:val="81"/>
        <w:spacing w:line="360" w:lineRule="auto"/>
        <w:ind w:firstLine="960" w:firstLineChars="400"/>
        <w:rPr>
          <w:rFonts w:ascii="宋体" w:hAnsi="宋体" w:eastAsia="宋体" w:cs="宋体"/>
          <w:sz w:val="24"/>
        </w:rPr>
      </w:pPr>
      <w:r>
        <w:rPr>
          <w:rFonts w:hint="eastAsia" w:ascii="宋体" w:hAnsi="宋体" w:eastAsia="宋体" w:cs="宋体"/>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杭州市规划和自然资源局、华诚工程咨询集团有限公司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rPr>
        <w:t>，所在单位：</w:t>
      </w:r>
      <w:r>
        <w:rPr>
          <w:rFonts w:hint="eastAsia" w:ascii="宋体" w:hAnsi="宋体" w:cs="宋体"/>
          <w:kern w:val="0"/>
          <w:sz w:val="24"/>
          <w:u w:val="single"/>
        </w:rPr>
        <w:t xml:space="preserve">         </w:t>
      </w:r>
      <w:r>
        <w:rPr>
          <w:rFonts w:hint="eastAsia" w:ascii="宋体" w:hAnsi="宋体" w:cs="宋体"/>
          <w:kern w:val="0"/>
          <w:sz w:val="24"/>
          <w:lang w:val="zh-CN"/>
        </w:rPr>
        <w:t>），以我方名义处理</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杭州市规划和自然资源局、华诚工程咨询集团有限公司</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rPr>
        <w:t>，所在单位：</w:t>
      </w:r>
      <w:r>
        <w:rPr>
          <w:rFonts w:hint="eastAsia" w:ascii="宋体" w:hAnsi="宋体" w:cs="宋体"/>
          <w:kern w:val="0"/>
          <w:sz w:val="24"/>
          <w:u w:val="single"/>
        </w:rPr>
        <w:t xml:space="preserve">         </w:t>
      </w:r>
      <w:r>
        <w:rPr>
          <w:rFonts w:hint="eastAsia" w:ascii="宋体" w:hAnsi="宋体" w:cs="宋体"/>
          <w:kern w:val="0"/>
          <w:sz w:val="24"/>
          <w:lang w:val="zh-CN"/>
        </w:rPr>
        <w:t>），以我方名义处理</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center"/>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杭州市规划和自然资源局、华诚工程咨询集团有限公司</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2"/>
        </w:numPr>
        <w:snapToGrid w:val="0"/>
        <w:spacing w:line="360" w:lineRule="auto"/>
        <w:rPr>
          <w:rFonts w:ascii="宋体" w:hAnsi="宋体" w:cs="宋体"/>
          <w:sz w:val="24"/>
        </w:rPr>
      </w:pPr>
      <w:r>
        <w:rPr>
          <w:rFonts w:hint="eastAsia" w:ascii="宋体" w:hAnsi="宋体" w:cs="宋体"/>
          <w:sz w:val="24"/>
        </w:rPr>
        <w:t>开标一览表（报价表）………………………………………………………（页码）</w:t>
      </w:r>
    </w:p>
    <w:p>
      <w:pPr>
        <w:spacing w:line="360" w:lineRule="auto"/>
        <w:rPr>
          <w:sz w:val="24"/>
        </w:rPr>
      </w:pPr>
      <w:r>
        <w:rPr>
          <w:rFonts w:hint="eastAsia" w:ascii="宋体" w:hAnsi="宋体" w:cs="宋体"/>
          <w:sz w:val="24"/>
        </w:rPr>
        <w:t>（2）</w:t>
      </w:r>
      <w:r>
        <w:rPr>
          <w:rFonts w:hint="eastAsia" w:hAnsi="仿宋_GB2312" w:cs="仿宋_GB2312"/>
          <w:bCs/>
          <w:snapToGrid w:val="0"/>
          <w:sz w:val="24"/>
        </w:rPr>
        <w:t>报价情况说明</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（3）中小企业声明函………………………………………………………………（页码）</w:t>
      </w:r>
    </w:p>
    <w:p>
      <w:pPr>
        <w:pStyle w:val="81"/>
      </w:pPr>
    </w:p>
    <w:p>
      <w:pPr>
        <w:pStyle w:val="81"/>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杭州市规划和自然资源局、华诚工程咨询集团有限公司</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规划和自然资源数据治理技术支持（2024年度）（重新招标）</w:t>
      </w:r>
      <w:r>
        <w:rPr>
          <w:rFonts w:hint="eastAsia" w:ascii="宋体" w:hAnsi="宋体" w:cs="宋体"/>
          <w:kern w:val="0"/>
          <w:sz w:val="24"/>
          <w:lang w:val="zh-CN"/>
        </w:rPr>
        <w:t>【招标编号：</w:t>
      </w:r>
      <w:r>
        <w:rPr>
          <w:rFonts w:hint="eastAsia" w:ascii="宋体" w:hAnsi="宋体" w:cs="宋体"/>
          <w:sz w:val="24"/>
          <w:lang w:eastAsia="zh-CN"/>
        </w:rPr>
        <w:t>HCZX-24167-1</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607"/>
        <w:gridCol w:w="1390"/>
        <w:gridCol w:w="1480"/>
        <w:gridCol w:w="1390"/>
        <w:gridCol w:w="1303"/>
        <w:gridCol w:w="1303"/>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99"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60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390"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48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1390"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1303"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30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1308"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9" w:type="dxa"/>
            <w:vAlign w:val="center"/>
          </w:tcPr>
          <w:p>
            <w:pPr>
              <w:spacing w:line="360" w:lineRule="auto"/>
              <w:jc w:val="center"/>
              <w:rPr>
                <w:rFonts w:ascii="宋体" w:hAnsi="宋体" w:cs="宋体"/>
                <w:sz w:val="24"/>
              </w:rPr>
            </w:pPr>
            <w:r>
              <w:rPr>
                <w:rFonts w:hint="eastAsia" w:ascii="宋体" w:hAnsi="宋体" w:cs="宋体"/>
                <w:sz w:val="24"/>
              </w:rPr>
              <w:t>1</w:t>
            </w:r>
          </w:p>
        </w:tc>
        <w:tc>
          <w:tcPr>
            <w:tcW w:w="60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390" w:type="dxa"/>
            <w:vAlign w:val="center"/>
          </w:tcPr>
          <w:p>
            <w:pPr>
              <w:snapToGrid w:val="0"/>
              <w:spacing w:line="360" w:lineRule="auto"/>
              <w:jc w:val="center"/>
              <w:rPr>
                <w:rFonts w:ascii="宋体" w:hAnsi="宋体" w:cs="宋体"/>
                <w:sz w:val="24"/>
              </w:rPr>
            </w:pPr>
          </w:p>
        </w:tc>
        <w:tc>
          <w:tcPr>
            <w:tcW w:w="1480"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303" w:type="dxa"/>
            <w:vAlign w:val="center"/>
          </w:tcPr>
          <w:p>
            <w:pPr>
              <w:spacing w:line="360" w:lineRule="auto"/>
              <w:jc w:val="center"/>
              <w:rPr>
                <w:rFonts w:ascii="宋体" w:hAnsi="宋体" w:cs="宋体"/>
                <w:sz w:val="24"/>
              </w:rPr>
            </w:pPr>
          </w:p>
        </w:tc>
        <w:tc>
          <w:tcPr>
            <w:tcW w:w="1303" w:type="dxa"/>
          </w:tcPr>
          <w:p>
            <w:pPr>
              <w:spacing w:line="360" w:lineRule="auto"/>
              <w:jc w:val="center"/>
              <w:rPr>
                <w:rFonts w:ascii="宋体" w:hAnsi="宋体" w:cs="宋体"/>
                <w:sz w:val="24"/>
              </w:rPr>
            </w:pPr>
          </w:p>
        </w:tc>
        <w:tc>
          <w:tcPr>
            <w:tcW w:w="130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99" w:type="dxa"/>
            <w:vAlign w:val="center"/>
          </w:tcPr>
          <w:p>
            <w:pPr>
              <w:spacing w:line="360" w:lineRule="auto"/>
              <w:jc w:val="center"/>
              <w:rPr>
                <w:rFonts w:ascii="宋体" w:hAnsi="宋体" w:cs="宋体"/>
                <w:sz w:val="24"/>
              </w:rPr>
            </w:pPr>
            <w:r>
              <w:rPr>
                <w:rFonts w:hint="eastAsia" w:ascii="宋体" w:hAnsi="宋体" w:cs="宋体"/>
                <w:sz w:val="24"/>
              </w:rPr>
              <w:t>2</w:t>
            </w:r>
          </w:p>
        </w:tc>
        <w:tc>
          <w:tcPr>
            <w:tcW w:w="607"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1390" w:type="dxa"/>
            <w:vAlign w:val="center"/>
          </w:tcPr>
          <w:p>
            <w:pPr>
              <w:snapToGrid w:val="0"/>
              <w:spacing w:line="360" w:lineRule="auto"/>
              <w:jc w:val="center"/>
              <w:rPr>
                <w:rFonts w:ascii="宋体" w:hAnsi="宋体" w:cs="宋体"/>
                <w:sz w:val="24"/>
              </w:rPr>
            </w:pPr>
          </w:p>
        </w:tc>
        <w:tc>
          <w:tcPr>
            <w:tcW w:w="1480"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303" w:type="dxa"/>
            <w:vAlign w:val="center"/>
          </w:tcPr>
          <w:p>
            <w:pPr>
              <w:spacing w:line="360" w:lineRule="auto"/>
              <w:jc w:val="center"/>
              <w:rPr>
                <w:rFonts w:ascii="宋体" w:hAnsi="宋体" w:cs="宋体"/>
                <w:sz w:val="24"/>
              </w:rPr>
            </w:pPr>
          </w:p>
        </w:tc>
        <w:tc>
          <w:tcPr>
            <w:tcW w:w="1303" w:type="dxa"/>
          </w:tcPr>
          <w:p>
            <w:pPr>
              <w:spacing w:line="360" w:lineRule="auto"/>
              <w:jc w:val="center"/>
              <w:rPr>
                <w:rFonts w:ascii="宋体" w:hAnsi="宋体" w:cs="宋体"/>
                <w:sz w:val="24"/>
              </w:rPr>
            </w:pPr>
          </w:p>
        </w:tc>
        <w:tc>
          <w:tcPr>
            <w:tcW w:w="130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499" w:type="dxa"/>
            <w:vAlign w:val="center"/>
          </w:tcPr>
          <w:p>
            <w:pPr>
              <w:spacing w:line="360" w:lineRule="auto"/>
              <w:jc w:val="center"/>
              <w:rPr>
                <w:rFonts w:ascii="宋体" w:hAnsi="宋体" w:cs="宋体"/>
                <w:sz w:val="24"/>
              </w:rPr>
            </w:pPr>
            <w:r>
              <w:rPr>
                <w:rFonts w:hint="eastAsia" w:ascii="宋体" w:hAnsi="宋体" w:cs="宋体"/>
                <w:sz w:val="24"/>
              </w:rPr>
              <w:t>…</w:t>
            </w:r>
          </w:p>
        </w:tc>
        <w:tc>
          <w:tcPr>
            <w:tcW w:w="607"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480"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303" w:type="dxa"/>
            <w:vAlign w:val="center"/>
          </w:tcPr>
          <w:p>
            <w:pPr>
              <w:spacing w:line="360" w:lineRule="auto"/>
              <w:jc w:val="center"/>
              <w:rPr>
                <w:rFonts w:ascii="宋体" w:hAnsi="宋体" w:cs="宋体"/>
                <w:sz w:val="24"/>
              </w:rPr>
            </w:pPr>
          </w:p>
        </w:tc>
        <w:tc>
          <w:tcPr>
            <w:tcW w:w="1303" w:type="dxa"/>
          </w:tcPr>
          <w:p>
            <w:pPr>
              <w:spacing w:line="360" w:lineRule="auto"/>
              <w:jc w:val="center"/>
              <w:rPr>
                <w:rFonts w:ascii="宋体" w:hAnsi="宋体" w:cs="宋体"/>
                <w:sz w:val="24"/>
              </w:rPr>
            </w:pPr>
          </w:p>
        </w:tc>
        <w:tc>
          <w:tcPr>
            <w:tcW w:w="130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99" w:type="dxa"/>
            <w:vAlign w:val="center"/>
          </w:tcPr>
          <w:p>
            <w:pPr>
              <w:spacing w:line="360" w:lineRule="auto"/>
              <w:jc w:val="center"/>
              <w:rPr>
                <w:rFonts w:ascii="宋体" w:hAnsi="宋体" w:cs="宋体"/>
                <w:sz w:val="24"/>
              </w:rPr>
            </w:pPr>
          </w:p>
        </w:tc>
        <w:tc>
          <w:tcPr>
            <w:tcW w:w="607"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480"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303" w:type="dxa"/>
            <w:vAlign w:val="center"/>
          </w:tcPr>
          <w:p>
            <w:pPr>
              <w:spacing w:line="360" w:lineRule="auto"/>
              <w:jc w:val="center"/>
              <w:rPr>
                <w:rFonts w:ascii="宋体" w:hAnsi="宋体" w:cs="宋体"/>
                <w:sz w:val="24"/>
              </w:rPr>
            </w:pPr>
          </w:p>
        </w:tc>
        <w:tc>
          <w:tcPr>
            <w:tcW w:w="1303" w:type="dxa"/>
          </w:tcPr>
          <w:p>
            <w:pPr>
              <w:spacing w:line="360" w:lineRule="auto"/>
              <w:jc w:val="center"/>
              <w:rPr>
                <w:rFonts w:ascii="宋体" w:hAnsi="宋体" w:cs="宋体"/>
                <w:sz w:val="24"/>
              </w:rPr>
            </w:pPr>
          </w:p>
        </w:tc>
        <w:tc>
          <w:tcPr>
            <w:tcW w:w="130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99" w:type="dxa"/>
            <w:vAlign w:val="center"/>
          </w:tcPr>
          <w:p>
            <w:pPr>
              <w:spacing w:line="360" w:lineRule="auto"/>
              <w:jc w:val="center"/>
              <w:rPr>
                <w:rFonts w:ascii="宋体" w:hAnsi="宋体" w:cs="宋体"/>
                <w:sz w:val="24"/>
              </w:rPr>
            </w:pPr>
          </w:p>
        </w:tc>
        <w:tc>
          <w:tcPr>
            <w:tcW w:w="607"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480" w:type="dxa"/>
            <w:vAlign w:val="center"/>
          </w:tcPr>
          <w:p>
            <w:pPr>
              <w:snapToGrid w:val="0"/>
              <w:spacing w:line="360" w:lineRule="auto"/>
              <w:jc w:val="center"/>
              <w:rPr>
                <w:rFonts w:ascii="宋体" w:hAnsi="宋体" w:cs="宋体"/>
                <w:sz w:val="24"/>
              </w:rPr>
            </w:pPr>
          </w:p>
        </w:tc>
        <w:tc>
          <w:tcPr>
            <w:tcW w:w="1390" w:type="dxa"/>
            <w:vAlign w:val="center"/>
          </w:tcPr>
          <w:p>
            <w:pPr>
              <w:snapToGrid w:val="0"/>
              <w:spacing w:line="360" w:lineRule="auto"/>
              <w:jc w:val="center"/>
              <w:rPr>
                <w:rFonts w:ascii="宋体" w:hAnsi="宋体" w:cs="宋体"/>
                <w:sz w:val="24"/>
              </w:rPr>
            </w:pPr>
          </w:p>
        </w:tc>
        <w:tc>
          <w:tcPr>
            <w:tcW w:w="1303" w:type="dxa"/>
            <w:vAlign w:val="center"/>
          </w:tcPr>
          <w:p>
            <w:pPr>
              <w:spacing w:line="360" w:lineRule="auto"/>
              <w:jc w:val="center"/>
              <w:rPr>
                <w:rFonts w:ascii="宋体" w:hAnsi="宋体" w:cs="宋体"/>
                <w:sz w:val="24"/>
              </w:rPr>
            </w:pPr>
          </w:p>
        </w:tc>
        <w:tc>
          <w:tcPr>
            <w:tcW w:w="1303" w:type="dxa"/>
          </w:tcPr>
          <w:p>
            <w:pPr>
              <w:spacing w:line="360" w:lineRule="auto"/>
              <w:jc w:val="center"/>
              <w:rPr>
                <w:rFonts w:ascii="宋体" w:hAnsi="宋体" w:cs="宋体"/>
                <w:sz w:val="24"/>
              </w:rPr>
            </w:pPr>
          </w:p>
        </w:tc>
        <w:tc>
          <w:tcPr>
            <w:tcW w:w="1308"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3976"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5304"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976"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5304"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pStyle w:val="694"/>
        <w:keepNext w:val="0"/>
        <w:numPr>
          <w:ilvl w:val="0"/>
          <w:numId w:val="3"/>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报价情况说明（如果有）</w:t>
      </w:r>
    </w:p>
    <w:p>
      <w:pPr>
        <w:pStyle w:val="4"/>
        <w:keepNext w:val="0"/>
        <w:numPr>
          <w:ilvl w:val="255"/>
          <w:numId w:val="0"/>
        </w:numPr>
        <w:snapToGrid w:val="0"/>
        <w:spacing w:before="120" w:after="120"/>
        <w:rPr>
          <w:rFonts w:ascii="宋体" w:hAnsi="宋体" w:eastAsia="宋体" w:cs="宋体"/>
          <w:lang w:val="en-US"/>
        </w:rPr>
      </w:pPr>
      <w:r>
        <w:rPr>
          <w:rFonts w:hint="eastAsia" w:ascii="宋体" w:hAnsi="宋体" w:eastAsia="宋体" w:cs="宋体"/>
          <w:b w:val="0"/>
          <w:bCs w:val="0"/>
          <w:sz w:val="24"/>
          <w:szCs w:val="24"/>
          <w:lang w:val="en-US"/>
        </w:rPr>
        <w:t>（如供应商报价低于项目预算50%的，应当提交本文档，详细阐述不影响产品质量或者诚信履约的具体原因。）</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三、</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81"/>
        <w:ind w:firstLine="482"/>
        <w:rPr>
          <w:rFonts w:ascii="宋体" w:hAnsi="宋体" w:cs="宋体"/>
          <w:b/>
          <w:sz w:val="24"/>
        </w:rPr>
      </w:pPr>
    </w:p>
    <w:p>
      <w:pPr>
        <w:pStyle w:val="81"/>
        <w:ind w:firstLine="482"/>
        <w:rPr>
          <w:rFonts w:ascii="宋体" w:hAnsi="宋体" w:cs="宋体"/>
          <w:b/>
          <w:sz w:val="24"/>
        </w:rPr>
      </w:pP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04" w:name="_GoBack"/>
      <w:bookmarkEnd w:id="404"/>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5" w:name="OLE_LINK13"/>
      <w:bookmarkStart w:id="396" w:name="OLE_LINK14"/>
      <w:r>
        <w:rPr>
          <w:rFonts w:hint="eastAsia" w:ascii="宋体" w:hAnsi="宋体" w:cs="宋体"/>
          <w:b/>
          <w:spacing w:val="6"/>
          <w:sz w:val="32"/>
          <w:szCs w:val="32"/>
        </w:rPr>
        <w:t>残疾人福利性单位声明函</w:t>
      </w:r>
    </w:p>
    <w:bookmarkEnd w:id="395"/>
    <w:bookmarkEnd w:id="396"/>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杭州市规划和自然资源局</w:t>
      </w:r>
      <w:r>
        <w:rPr>
          <w:rFonts w:hint="eastAsia" w:ascii="宋体" w:hAnsi="宋体" w:cs="宋体"/>
          <w:sz w:val="24"/>
        </w:rPr>
        <w:t>_单位的</w:t>
      </w:r>
      <w:r>
        <w:rPr>
          <w:rFonts w:hint="eastAsia" w:ascii="宋体" w:hAnsi="宋体" w:cs="宋体"/>
          <w:sz w:val="24"/>
          <w:u w:val="single"/>
        </w:rPr>
        <w:t xml:space="preserve"> </w:t>
      </w:r>
      <w:r>
        <w:rPr>
          <w:rFonts w:hint="eastAsia" w:ascii="宋体" w:hAnsi="宋体" w:cs="宋体"/>
          <w:sz w:val="24"/>
          <w:u w:val="single"/>
          <w:lang w:eastAsia="zh-CN"/>
        </w:rPr>
        <w:t>规划和自然资源数据治理技术支持（2024年度）（重新招标）</w:t>
      </w:r>
      <w:r>
        <w:rPr>
          <w:rFonts w:hint="eastAsia" w:ascii="宋体" w:hAnsi="宋体" w:cs="宋体"/>
          <w:sz w:val="24"/>
        </w:rPr>
        <w:t>项目采购活动由本单位提供服务，或者提供其他残疾人福利性单位制造的货物（不包括使用非残疾人福利性单位注册商标的货物）。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杭州市规划和自然资源局、华诚工程咨询集团有限公司：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397"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397"/>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398"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398"/>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399"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399"/>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lang w:eastAsia="zh-CN"/>
        </w:rPr>
        <w:t>规划和自然资源数据治理技术支持（2024年度）（重新招标）</w:t>
      </w:r>
      <w:r>
        <w:rPr>
          <w:rFonts w:hint="eastAsia" w:ascii="宋体" w:hAnsi="宋体" w:cs="宋体"/>
          <w:sz w:val="24"/>
        </w:rPr>
        <w:t>【招标编号：</w:t>
      </w:r>
      <w:r>
        <w:rPr>
          <w:rFonts w:hint="eastAsia" w:ascii="宋体" w:hAnsi="宋体" w:cs="宋体"/>
          <w:sz w:val="24"/>
          <w:lang w:eastAsia="zh-CN"/>
        </w:rPr>
        <w:t>HCZX-24167-1</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杭州市规划和自然资源局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u w:val="single"/>
          <w:lang w:eastAsia="zh-CN"/>
        </w:rPr>
        <w:t>规划和自然资源数据治理技术支持（2024年度）（重新招标）</w:t>
      </w:r>
      <w:r>
        <w:rPr>
          <w:rFonts w:hint="eastAsia" w:ascii="宋体" w:hAnsi="宋体" w:cs="宋体"/>
          <w:sz w:val="24"/>
          <w:u w:val="single"/>
        </w:rPr>
        <w:t xml:space="preserve"> </w:t>
      </w:r>
      <w:r>
        <w:rPr>
          <w:rFonts w:hint="eastAsia" w:ascii="宋体" w:hAnsi="宋体" w:cs="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微软雅黑 Light"/>
    <w:panose1 w:val="00000000000000000000"/>
    <w:charset w:val="00"/>
    <w:family w:val="swiss"/>
    <w:pitch w:val="default"/>
    <w:sig w:usb0="00000000" w:usb1="00000000" w:usb2="00000000" w:usb3="00000000" w:csb0="00000011" w:csb1="00000000"/>
  </w:font>
  <w:font w:name="微软雅黑 Light">
    <w:panose1 w:val="020B0502040204020203"/>
    <w:charset w:val="86"/>
    <w:family w:val="auto"/>
    <w:pitch w:val="default"/>
    <w:sig w:usb0="80000287" w:usb1="2ACF001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宋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微软雅黑 Ligh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微软雅黑 Ligh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bookmarkStart w:id="400" w:name="_Toc131845147"/>
    <w:bookmarkStart w:id="401" w:name="_Toc164085800"/>
    <w:bookmarkStart w:id="402" w:name="_Toc36110187"/>
    <w:bookmarkStart w:id="403" w:name="_Toc91899912"/>
    <w:r>
      <w:rPr>
        <w:rFonts w:hint="eastAsia" w:ascii="仿宋_GB2312" w:eastAsia="仿宋_GB2312"/>
        <w:kern w:val="0"/>
        <w:szCs w:val="21"/>
      </w:rPr>
      <w:t xml:space="preserve"> 页</w:t>
    </w:r>
    <w:bookmarkEnd w:id="400"/>
    <w:bookmarkEnd w:id="401"/>
    <w:bookmarkEnd w:id="402"/>
    <w:bookmarkEnd w:id="403"/>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1722"/>
    <w:multiLevelType w:val="singleLevel"/>
    <w:tmpl w:val="35D71722"/>
    <w:lvl w:ilvl="0" w:tentative="0">
      <w:start w:val="2"/>
      <w:numFmt w:val="chineseCounting"/>
      <w:suff w:val="nothing"/>
      <w:lvlText w:val="%1、"/>
      <w:lvlJc w:val="left"/>
      <w:rPr>
        <w:rFonts w:hint="eastAsia"/>
      </w:rPr>
    </w:lvl>
  </w:abstractNum>
  <w:abstractNum w:abstractNumId="1">
    <w:nsid w:val="41892D21"/>
    <w:multiLevelType w:val="singleLevel"/>
    <w:tmpl w:val="41892D21"/>
    <w:lvl w:ilvl="0" w:tentative="0">
      <w:start w:val="1"/>
      <w:numFmt w:val="decimal"/>
      <w:suff w:val="nothing"/>
      <w:lvlText w:val="（%1）"/>
      <w:lvlJc w:val="left"/>
    </w:lvl>
  </w:abstractNum>
  <w:abstractNum w:abstractNumId="2">
    <w:nsid w:val="68A1FAF0"/>
    <w:multiLevelType w:val="singleLevel"/>
    <w:tmpl w:val="68A1FAF0"/>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MzBkYjRiYmJiMWVkNzY5MjFmNGEyYTQ2M2Y3ZjcifQ=="/>
    <w:docVar w:name="KSO_WPS_MARK_KEY" w:val="18538e9c-bdf8-472d-b311-584db6d86ce2"/>
  </w:docVars>
  <w:rsids>
    <w:rsidRoot w:val="00172A27"/>
    <w:rsid w:val="00000451"/>
    <w:rsid w:val="0000108B"/>
    <w:rsid w:val="0000133D"/>
    <w:rsid w:val="00001509"/>
    <w:rsid w:val="00001E3F"/>
    <w:rsid w:val="00002B35"/>
    <w:rsid w:val="000032B2"/>
    <w:rsid w:val="0000363B"/>
    <w:rsid w:val="000058BD"/>
    <w:rsid w:val="00006109"/>
    <w:rsid w:val="00006150"/>
    <w:rsid w:val="000063E8"/>
    <w:rsid w:val="000066D3"/>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C73C8"/>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B3B"/>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622"/>
    <w:rsid w:val="006C6A51"/>
    <w:rsid w:val="006C6EBD"/>
    <w:rsid w:val="006C7E04"/>
    <w:rsid w:val="006C7F79"/>
    <w:rsid w:val="006D0004"/>
    <w:rsid w:val="006D015F"/>
    <w:rsid w:val="006D060E"/>
    <w:rsid w:val="006D0665"/>
    <w:rsid w:val="006D0681"/>
    <w:rsid w:val="006D06AB"/>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DD5"/>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11A"/>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87E"/>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8F7A9F"/>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A5B"/>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3D7"/>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805"/>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AB3"/>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B5E"/>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1ED"/>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3DC2"/>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622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436"/>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C9139D"/>
    <w:rsid w:val="02DC4B10"/>
    <w:rsid w:val="02DD76CE"/>
    <w:rsid w:val="02F36323"/>
    <w:rsid w:val="02F5619C"/>
    <w:rsid w:val="030E570B"/>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A95D36"/>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E70E3"/>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4607B"/>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E3E5C"/>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665CE9"/>
    <w:rsid w:val="1FD52DD5"/>
    <w:rsid w:val="1FE868A9"/>
    <w:rsid w:val="20034907"/>
    <w:rsid w:val="20173E4B"/>
    <w:rsid w:val="204E48BC"/>
    <w:rsid w:val="208921B3"/>
    <w:rsid w:val="20973DEB"/>
    <w:rsid w:val="20B26522"/>
    <w:rsid w:val="20B44310"/>
    <w:rsid w:val="211116EB"/>
    <w:rsid w:val="215670C4"/>
    <w:rsid w:val="216133FC"/>
    <w:rsid w:val="21964002"/>
    <w:rsid w:val="21B0083E"/>
    <w:rsid w:val="21D56769"/>
    <w:rsid w:val="21E52EF3"/>
    <w:rsid w:val="21FB5D7B"/>
    <w:rsid w:val="22015E94"/>
    <w:rsid w:val="220B1C3D"/>
    <w:rsid w:val="221D1D20"/>
    <w:rsid w:val="22334A87"/>
    <w:rsid w:val="226D06CE"/>
    <w:rsid w:val="22BE6801"/>
    <w:rsid w:val="233500BF"/>
    <w:rsid w:val="23377FF7"/>
    <w:rsid w:val="236B425F"/>
    <w:rsid w:val="23836192"/>
    <w:rsid w:val="23901F29"/>
    <w:rsid w:val="239C0061"/>
    <w:rsid w:val="23B908A4"/>
    <w:rsid w:val="23E95BEF"/>
    <w:rsid w:val="23FD0064"/>
    <w:rsid w:val="245375B0"/>
    <w:rsid w:val="24642C0A"/>
    <w:rsid w:val="24667E29"/>
    <w:rsid w:val="247613E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42760B"/>
    <w:rsid w:val="276142BF"/>
    <w:rsid w:val="27783712"/>
    <w:rsid w:val="27907362"/>
    <w:rsid w:val="27DB7654"/>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1F4378"/>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1C7855"/>
    <w:rsid w:val="2F597840"/>
    <w:rsid w:val="2F704511"/>
    <w:rsid w:val="2F946CCB"/>
    <w:rsid w:val="2FD25781"/>
    <w:rsid w:val="2FDC745C"/>
    <w:rsid w:val="2FFB5AB9"/>
    <w:rsid w:val="2FFD7934"/>
    <w:rsid w:val="306F1EDF"/>
    <w:rsid w:val="30733ACD"/>
    <w:rsid w:val="308C3862"/>
    <w:rsid w:val="309379D8"/>
    <w:rsid w:val="30A270F7"/>
    <w:rsid w:val="30DF1478"/>
    <w:rsid w:val="30EC586F"/>
    <w:rsid w:val="310402C4"/>
    <w:rsid w:val="314550B7"/>
    <w:rsid w:val="319C6071"/>
    <w:rsid w:val="31AC537E"/>
    <w:rsid w:val="31E3679B"/>
    <w:rsid w:val="31E732FD"/>
    <w:rsid w:val="3238023F"/>
    <w:rsid w:val="32517576"/>
    <w:rsid w:val="32541ECB"/>
    <w:rsid w:val="32BE5C2C"/>
    <w:rsid w:val="32FB6478"/>
    <w:rsid w:val="33263B3F"/>
    <w:rsid w:val="336963EB"/>
    <w:rsid w:val="336A7DB0"/>
    <w:rsid w:val="33816EEB"/>
    <w:rsid w:val="33EB55CD"/>
    <w:rsid w:val="33EC4C02"/>
    <w:rsid w:val="340D2360"/>
    <w:rsid w:val="3410665D"/>
    <w:rsid w:val="34211214"/>
    <w:rsid w:val="342E63AB"/>
    <w:rsid w:val="34950E68"/>
    <w:rsid w:val="34986E94"/>
    <w:rsid w:val="34AF62C9"/>
    <w:rsid w:val="34CB4388"/>
    <w:rsid w:val="34FA6E12"/>
    <w:rsid w:val="353A4130"/>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9FE7167"/>
    <w:rsid w:val="3A006D8E"/>
    <w:rsid w:val="3A3651E5"/>
    <w:rsid w:val="3A744481"/>
    <w:rsid w:val="3A8C7BEF"/>
    <w:rsid w:val="3A906246"/>
    <w:rsid w:val="3B2349B7"/>
    <w:rsid w:val="3B616CFF"/>
    <w:rsid w:val="3B6259F6"/>
    <w:rsid w:val="3B786CF9"/>
    <w:rsid w:val="3B976654"/>
    <w:rsid w:val="3BC01EFC"/>
    <w:rsid w:val="3BCA786A"/>
    <w:rsid w:val="3BD31E2F"/>
    <w:rsid w:val="3BEF4213"/>
    <w:rsid w:val="3BF15831"/>
    <w:rsid w:val="3C105946"/>
    <w:rsid w:val="3C471448"/>
    <w:rsid w:val="3C5F759A"/>
    <w:rsid w:val="3C681979"/>
    <w:rsid w:val="3C6C525A"/>
    <w:rsid w:val="3C9F414D"/>
    <w:rsid w:val="3CCE23CB"/>
    <w:rsid w:val="3CD17D17"/>
    <w:rsid w:val="3D3C7F39"/>
    <w:rsid w:val="3D440F09"/>
    <w:rsid w:val="3D4504A0"/>
    <w:rsid w:val="3D516BB6"/>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A698B"/>
    <w:rsid w:val="3F060E16"/>
    <w:rsid w:val="3F1D1096"/>
    <w:rsid w:val="3F2F0234"/>
    <w:rsid w:val="3F3F7E9C"/>
    <w:rsid w:val="3F6363FE"/>
    <w:rsid w:val="3F756B8F"/>
    <w:rsid w:val="3F95482B"/>
    <w:rsid w:val="3FB71E68"/>
    <w:rsid w:val="3FD1FBDB"/>
    <w:rsid w:val="4019356B"/>
    <w:rsid w:val="40592157"/>
    <w:rsid w:val="406E1CAE"/>
    <w:rsid w:val="407E2D24"/>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43A90"/>
    <w:rsid w:val="477B778F"/>
    <w:rsid w:val="478203EC"/>
    <w:rsid w:val="47B025FA"/>
    <w:rsid w:val="4809698F"/>
    <w:rsid w:val="4811697D"/>
    <w:rsid w:val="48525783"/>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65492A"/>
    <w:rsid w:val="4B707271"/>
    <w:rsid w:val="4B9739F7"/>
    <w:rsid w:val="4BA5512C"/>
    <w:rsid w:val="4BEE2503"/>
    <w:rsid w:val="4C245A30"/>
    <w:rsid w:val="4CB6685F"/>
    <w:rsid w:val="4CC367FE"/>
    <w:rsid w:val="4D077F3C"/>
    <w:rsid w:val="4D123355"/>
    <w:rsid w:val="4D2A3B31"/>
    <w:rsid w:val="4D312C52"/>
    <w:rsid w:val="4D905305"/>
    <w:rsid w:val="4D964A72"/>
    <w:rsid w:val="4D9C1254"/>
    <w:rsid w:val="4E793892"/>
    <w:rsid w:val="4E800872"/>
    <w:rsid w:val="4EC569ED"/>
    <w:rsid w:val="4ECB110E"/>
    <w:rsid w:val="4ED50EA1"/>
    <w:rsid w:val="4EEC050C"/>
    <w:rsid w:val="4F104EC3"/>
    <w:rsid w:val="4F2912AA"/>
    <w:rsid w:val="4F47354A"/>
    <w:rsid w:val="4F6D4A83"/>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EF6A48"/>
    <w:rsid w:val="52195D81"/>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81DCC"/>
    <w:rsid w:val="54013861"/>
    <w:rsid w:val="54487265"/>
    <w:rsid w:val="544D6070"/>
    <w:rsid w:val="54605E1E"/>
    <w:rsid w:val="54B3506A"/>
    <w:rsid w:val="54CA0D16"/>
    <w:rsid w:val="54DD4057"/>
    <w:rsid w:val="54E7490F"/>
    <w:rsid w:val="550764A4"/>
    <w:rsid w:val="550B2BF6"/>
    <w:rsid w:val="55214EB5"/>
    <w:rsid w:val="552A3E1B"/>
    <w:rsid w:val="55364EFD"/>
    <w:rsid w:val="555D4828"/>
    <w:rsid w:val="557A4C8B"/>
    <w:rsid w:val="558931E1"/>
    <w:rsid w:val="55923347"/>
    <w:rsid w:val="55925180"/>
    <w:rsid w:val="55983B1B"/>
    <w:rsid w:val="55A8376B"/>
    <w:rsid w:val="55DC29B6"/>
    <w:rsid w:val="55DD4241"/>
    <w:rsid w:val="566B6D1E"/>
    <w:rsid w:val="56DB734A"/>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650E5"/>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760090"/>
    <w:rsid w:val="5C80234E"/>
    <w:rsid w:val="5C8A680C"/>
    <w:rsid w:val="5D0C4701"/>
    <w:rsid w:val="5D0F0395"/>
    <w:rsid w:val="5D221076"/>
    <w:rsid w:val="5D2403D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738D1"/>
    <w:rsid w:val="609F2AC4"/>
    <w:rsid w:val="60FA2EE8"/>
    <w:rsid w:val="60FC0DF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C40EE6"/>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7FBC8BA"/>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4D5F81"/>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CD1802"/>
    <w:rsid w:val="71D43752"/>
    <w:rsid w:val="71EA67C2"/>
    <w:rsid w:val="71F1796A"/>
    <w:rsid w:val="72154626"/>
    <w:rsid w:val="72262B5D"/>
    <w:rsid w:val="72283FF7"/>
    <w:rsid w:val="722E7212"/>
    <w:rsid w:val="723A0474"/>
    <w:rsid w:val="725923E4"/>
    <w:rsid w:val="72864BF7"/>
    <w:rsid w:val="729023FC"/>
    <w:rsid w:val="730D2653"/>
    <w:rsid w:val="73C0646E"/>
    <w:rsid w:val="742222F5"/>
    <w:rsid w:val="74476126"/>
    <w:rsid w:val="74706664"/>
    <w:rsid w:val="747F3682"/>
    <w:rsid w:val="749C4185"/>
    <w:rsid w:val="75067759"/>
    <w:rsid w:val="751B7893"/>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B5811"/>
    <w:rsid w:val="76FD013A"/>
    <w:rsid w:val="77052AA4"/>
    <w:rsid w:val="77136511"/>
    <w:rsid w:val="77340A39"/>
    <w:rsid w:val="77351FD0"/>
    <w:rsid w:val="77472422"/>
    <w:rsid w:val="777F31F2"/>
    <w:rsid w:val="77D1700D"/>
    <w:rsid w:val="77EC04CC"/>
    <w:rsid w:val="7859615E"/>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9F1746"/>
    <w:rsid w:val="7AAB1D04"/>
    <w:rsid w:val="7ABA4368"/>
    <w:rsid w:val="7AD05746"/>
    <w:rsid w:val="7B257FFD"/>
    <w:rsid w:val="7B273D20"/>
    <w:rsid w:val="7B343476"/>
    <w:rsid w:val="7B5A2978"/>
    <w:rsid w:val="7B5A7E4C"/>
    <w:rsid w:val="7B667AF9"/>
    <w:rsid w:val="7B7468F8"/>
    <w:rsid w:val="7BA9702E"/>
    <w:rsid w:val="7BDF5388"/>
    <w:rsid w:val="7BEE0103"/>
    <w:rsid w:val="7BF37656"/>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ED1C66"/>
    <w:rsid w:val="7EF56FBB"/>
    <w:rsid w:val="7F0768EB"/>
    <w:rsid w:val="7F143BEC"/>
    <w:rsid w:val="7F63916C"/>
    <w:rsid w:val="7F715AF2"/>
    <w:rsid w:val="7F886E69"/>
    <w:rsid w:val="7FBB2356"/>
    <w:rsid w:val="896FD969"/>
    <w:rsid w:val="AEBEF385"/>
    <w:rsid w:val="BB7FA927"/>
    <w:rsid w:val="BF731CB4"/>
    <w:rsid w:val="DFE96DF4"/>
    <w:rsid w:val="EC7BBFE6"/>
    <w:rsid w:val="ED7F37C9"/>
    <w:rsid w:val="EDBB15EE"/>
    <w:rsid w:val="EFAFDA21"/>
    <w:rsid w:val="F5FFD31F"/>
    <w:rsid w:val="F7FEDC7E"/>
    <w:rsid w:val="FCA9D6F2"/>
    <w:rsid w:val="FFADFD8F"/>
    <w:rsid w:val="FFFD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adjustRightInd/>
      <w:ind w:firstLine="420" w:firstLineChars="200"/>
    </w:pPr>
    <w:rPr>
      <w:rFonts w:eastAsia="仿宋_GB2312"/>
      <w:sz w:val="28"/>
    </w:rPr>
  </w:style>
  <w:style w:type="paragraph" w:styleId="6">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3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3"/>
    <w:qFormat/>
    <w:uiPriority w:val="0"/>
    <w:pPr>
      <w:shd w:val="clear" w:color="auto" w:fill="000080"/>
    </w:pPr>
  </w:style>
  <w:style w:type="paragraph" w:styleId="20">
    <w:name w:val="annotation text"/>
    <w:basedOn w:val="1"/>
    <w:link w:val="345"/>
    <w:qFormat/>
    <w:uiPriority w:val="99"/>
    <w:pPr>
      <w:jc w:val="left"/>
    </w:pPr>
  </w:style>
  <w:style w:type="paragraph" w:styleId="21">
    <w:name w:val="Salutation"/>
    <w:basedOn w:val="1"/>
    <w:next w:val="1"/>
    <w:link w:val="299"/>
    <w:qFormat/>
    <w:uiPriority w:val="0"/>
    <w:rPr>
      <w:rFonts w:ascii="仿宋_GB2312" w:eastAsia="仿宋_GB2312"/>
      <w:sz w:val="28"/>
      <w:szCs w:val="20"/>
    </w:rPr>
  </w:style>
  <w:style w:type="paragraph" w:styleId="22">
    <w:name w:val="Body Text 3"/>
    <w:basedOn w:val="1"/>
    <w:link w:val="331"/>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31"/>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266"/>
    <w:qFormat/>
    <w:uiPriority w:val="0"/>
    <w:pPr>
      <w:spacing w:line="480" w:lineRule="exact"/>
      <w:ind w:firstLine="480" w:firstLineChars="200"/>
    </w:pPr>
    <w:rPr>
      <w:rFonts w:ascii="宋体" w:hAnsi="宋体"/>
      <w:sz w:val="24"/>
    </w:rPr>
  </w:style>
  <w:style w:type="paragraph" w:customStyle="1" w:styleId="26">
    <w:name w:val="正文文本首行缩进 21"/>
    <w:basedOn w:val="25"/>
    <w:qFormat/>
    <w:uiPriority w:val="99"/>
    <w:pPr>
      <w:spacing w:line="200" w:lineRule="atLeast"/>
      <w:ind w:firstLine="420"/>
    </w:pPr>
    <w:rPr>
      <w:rFonts w:hAnsi="Courier New"/>
      <w:spacing w:val="-4"/>
      <w:sz w:val="18"/>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qFormat/>
    <w:uiPriority w:val="0"/>
    <w:pPr>
      <w:ind w:left="100" w:leftChars="2500"/>
    </w:pPr>
    <w:rPr>
      <w:rFonts w:ascii="宋体"/>
      <w:sz w:val="24"/>
      <w:szCs w:val="21"/>
      <w:lang w:val="zh-CN"/>
    </w:r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9"/>
    <w:qFormat/>
    <w:uiPriority w:val="0"/>
    <w:rPr>
      <w:sz w:val="18"/>
      <w:szCs w:val="18"/>
    </w:rPr>
  </w:style>
  <w:style w:type="paragraph" w:styleId="41">
    <w:name w:val="footer"/>
    <w:basedOn w:val="1"/>
    <w:link w:val="384"/>
    <w:qFormat/>
    <w:uiPriority w:val="99"/>
    <w:pPr>
      <w:tabs>
        <w:tab w:val="center" w:pos="4153"/>
        <w:tab w:val="right" w:pos="8306"/>
      </w:tabs>
      <w:snapToGrid w:val="0"/>
      <w:jc w:val="left"/>
    </w:pPr>
    <w:rPr>
      <w:sz w:val="18"/>
      <w:szCs w:val="18"/>
    </w:rPr>
  </w:style>
  <w:style w:type="paragraph" w:styleId="42">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7"/>
    <w:qFormat/>
    <w:uiPriority w:val="0"/>
    <w:rPr>
      <w:b/>
      <w:bCs/>
    </w:rPr>
  </w:style>
  <w:style w:type="paragraph" w:styleId="62">
    <w:name w:val="Body Text First Indent"/>
    <w:basedOn w:val="24"/>
    <w:link w:val="322"/>
    <w:qFormat/>
    <w:uiPriority w:val="0"/>
    <w:pPr>
      <w:ind w:firstLine="420"/>
    </w:pPr>
    <w:rPr>
      <w:rFonts w:hAnsi="Calibri" w:cs="Times New Roman"/>
      <w:snapToGrid/>
      <w:szCs w:val="20"/>
    </w:rPr>
  </w:style>
  <w:style w:type="paragraph" w:styleId="63">
    <w:name w:val="Body Text First Indent 2"/>
    <w:basedOn w:val="25"/>
    <w:link w:val="122"/>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空2字"/>
    <w:basedOn w:val="82"/>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qFormat/>
    <w:uiPriority w:val="99"/>
    <w:rPr>
      <w:rFonts w:ascii="Calibri" w:hAnsi="Calibri" w:eastAsia="仿宋_GB2312" w:cs="Calibri"/>
      <w:kern w:val="2"/>
      <w:sz w:val="32"/>
      <w:szCs w:val="32"/>
      <w:lang w:val="en-US" w:eastAsia="zh-CN" w:bidi="ar-SA"/>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1"/>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3"/>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1"/>
    <w:qFormat/>
    <w:uiPriority w:val="0"/>
    <w:rPr>
      <w:rFonts w:ascii="Arial" w:hAnsi="Arial" w:eastAsia="黑体" w:cs="Arial"/>
      <w:snapToGrid w:val="0"/>
      <w:kern w:val="0"/>
      <w:szCs w:val="21"/>
    </w:rPr>
  </w:style>
  <w:style w:type="character" w:customStyle="1" w:styleId="12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9"/>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4"/>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7"/>
    <w:qFormat/>
    <w:uiPriority w:val="0"/>
    <w:rPr>
      <w:rFonts w:ascii="宋体"/>
      <w:kern w:val="2"/>
      <w:sz w:val="24"/>
      <w:szCs w:val="21"/>
      <w:lang w:val="zh-CN"/>
    </w:rPr>
  </w:style>
  <w:style w:type="character" w:customStyle="1" w:styleId="183">
    <w:name w:val="标题 9 Char"/>
    <w:link w:val="12"/>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99"/>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0"/>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6"/>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19"/>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1"/>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1"/>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7"/>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7"/>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9">
    <w:name w:val="列表段落1"/>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5"/>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3"/>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0"/>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8"/>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1"/>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8"/>
    <w:qFormat/>
    <w:uiPriority w:val="0"/>
    <w:rPr>
      <w:rFonts w:ascii="黑体" w:hAnsi="Courier New" w:eastAsia="黑体"/>
    </w:rPr>
  </w:style>
  <w:style w:type="character" w:customStyle="1" w:styleId="303">
    <w:name w:val="正文文本 2 Char1"/>
    <w:link w:val="57"/>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7"/>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0"/>
    <w:qFormat/>
    <w:uiPriority w:val="0"/>
    <w:rPr>
      <w:b/>
      <w:bCs/>
      <w:kern w:val="2"/>
      <w:sz w:val="24"/>
      <w:szCs w:val="24"/>
    </w:rPr>
  </w:style>
  <w:style w:type="character" w:customStyle="1" w:styleId="309">
    <w:name w:val="正文文本缩进 2 Char"/>
    <w:link w:val="38"/>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1"/>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62"/>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7"/>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2"/>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0"/>
    <w:qFormat/>
    <w:uiPriority w:val="99"/>
    <w:rPr>
      <w:kern w:val="2"/>
      <w:sz w:val="21"/>
      <w:szCs w:val="24"/>
    </w:rPr>
  </w:style>
  <w:style w:type="character" w:customStyle="1" w:styleId="346">
    <w:name w:val="签名 Char"/>
    <w:link w:val="43"/>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1"/>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1"/>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2"/>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156"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1"/>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6"/>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2">
    <w:name w:val="gray6"/>
    <w:basedOn w:val="71"/>
    <w:qFormat/>
    <w:uiPriority w:val="0"/>
    <w:rPr>
      <w:rFonts w:ascii="Arial" w:hAnsi="Arial" w:eastAsia="黑体" w:cs="Arial"/>
      <w:snapToGrid w:val="0"/>
      <w:kern w:val="0"/>
      <w:szCs w:val="21"/>
    </w:rPr>
  </w:style>
  <w:style w:type="character" w:customStyle="1" w:styleId="433">
    <w:name w:val="hui"/>
    <w:basedOn w:val="71"/>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7"/>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4">
    <w:name w:val="无间隔2"/>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4"/>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5"/>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8"/>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5"/>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19"/>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表格 内容"/>
    <w:basedOn w:val="730"/>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1"/>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5">
    <w:name w:val="NormalCharacter"/>
    <w:qFormat/>
    <w:uiPriority w:val="0"/>
    <w:rPr>
      <w:snapToGrid w:val="0"/>
      <w:sz w:val="21"/>
      <w:lang w:val="en-US" w:eastAsia="zh-CN" w:bidi="ar-SA"/>
    </w:rPr>
  </w:style>
  <w:style w:type="paragraph" w:customStyle="1" w:styleId="966">
    <w:name w:val="Normal Indent1"/>
    <w:basedOn w:val="1"/>
    <w:qFormat/>
    <w:uiPriority w:val="0"/>
    <w:pPr>
      <w:adjustRightInd/>
      <w:ind w:firstLine="420" w:firstLineChars="200"/>
    </w:pPr>
    <w:rPr>
      <w:rFonts w:ascii="等线" w:hAnsi="等线"/>
    </w:rPr>
  </w:style>
  <w:style w:type="table" w:customStyle="1" w:styleId="96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79</Pages>
  <Words>37613</Words>
  <Characters>39700</Characters>
  <Lines>325</Lines>
  <Paragraphs>91</Paragraphs>
  <TotalTime>83</TotalTime>
  <ScaleCrop>false</ScaleCrop>
  <LinksUpToDate>false</LinksUpToDate>
  <CharactersWithSpaces>44286</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2021-08-03T08:22:00Z</dcterms:created>
  <dc:creator>玥</dc:creator>
  <cp:lastModifiedBy>JYang、Z</cp:lastModifiedBy>
  <cp:lastPrinted>2021-12-31T11:06:00Z</cp:lastPrinted>
  <dcterms:modified xsi:type="dcterms:W3CDTF">2024-04-24T02:50:44Z</dcterms:modified>
  <dc:title>杭州市市民卡扩大发卡工程</dc:title>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D536304C3CA44D14837FD62AD8CEA36B</vt:lpwstr>
  </property>
</Properties>
</file>