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0"/>
        <w:ind w:firstLine="560"/>
        <w:rPr>
          <w:rFonts w:hint="eastAsia"/>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adjustRightInd/>
        <w:spacing w:line="360" w:lineRule="auto"/>
        <w:jc w:val="center"/>
        <w:rPr>
          <w:rFonts w:ascii="仿宋_GB2312" w:hAnsi="仿宋" w:eastAsia="仿宋_GB2312" w:cs="仿宋_GB2312"/>
          <w:b/>
          <w:sz w:val="48"/>
          <w:szCs w:val="48"/>
        </w:rPr>
      </w:pPr>
    </w:p>
    <w:p>
      <w:pPr>
        <w:adjustRightInd/>
        <w:spacing w:line="360" w:lineRule="auto"/>
        <w:jc w:val="center"/>
        <w:rPr>
          <w:rFonts w:hint="eastAsia" w:ascii="仿宋" w:hAnsi="仿宋" w:eastAsia="仿宋" w:cs="仿宋_GB2312"/>
          <w:sz w:val="48"/>
          <w:szCs w:val="48"/>
          <w:lang w:eastAsia="zh-CN"/>
        </w:rPr>
      </w:pPr>
      <w:r>
        <w:rPr>
          <w:rFonts w:hint="eastAsia" w:ascii="仿宋" w:hAnsi="仿宋" w:eastAsia="仿宋" w:cs="仿宋_GB2312"/>
          <w:sz w:val="48"/>
          <w:szCs w:val="48"/>
          <w:lang w:eastAsia="zh-CN"/>
        </w:rPr>
        <w:t>杭州市余杭区未来科技城单元控制性详细规划及重点地区城市设计</w:t>
      </w: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HCZX-22189</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sz w:val="24"/>
        </w:rPr>
      </w:pPr>
    </w:p>
    <w:p>
      <w:pPr>
        <w:spacing w:line="360" w:lineRule="auto"/>
        <w:rPr>
          <w:rFonts w:ascii="仿宋" w:hAnsi="仿宋" w:eastAsia="仿宋" w:cs="仿宋_GB2312"/>
          <w:sz w:val="32"/>
          <w:szCs w:val="32"/>
        </w:rPr>
      </w:pP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杭州市规划和自然资源局</w:t>
      </w:r>
    </w:p>
    <w:p>
      <w:pPr>
        <w:spacing w:line="360" w:lineRule="auto"/>
        <w:jc w:val="center"/>
        <w:rPr>
          <w:rFonts w:ascii="仿宋" w:hAnsi="仿宋" w:eastAsia="仿宋" w:cs="仿宋_GB2312"/>
          <w:bCs/>
          <w:sz w:val="32"/>
          <w:szCs w:val="32"/>
        </w:rPr>
      </w:pPr>
      <w:r>
        <w:rPr>
          <w:rFonts w:hint="eastAsia" w:ascii="仿宋" w:hAnsi="仿宋" w:eastAsia="仿宋" w:cs="仿宋_GB2312"/>
          <w:bCs/>
          <w:sz w:val="32"/>
          <w:szCs w:val="32"/>
        </w:rPr>
        <w:t>华诚工程咨询集团有限公司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宋体" w:hAnsi="宋体" w:cs="宋体"/>
          <w:bCs/>
          <w:sz w:val="32"/>
          <w:szCs w:val="32"/>
        </w:rPr>
        <w:t>〇</w:t>
      </w:r>
      <w:r>
        <w:rPr>
          <w:rFonts w:hint="eastAsia" w:ascii="仿宋_GB2312" w:hAnsi="仿宋_GB2312" w:eastAsia="仿宋_GB2312" w:cs="仿宋_GB2312"/>
          <w:bCs/>
          <w:sz w:val="32"/>
          <w:szCs w:val="32"/>
        </w:rPr>
        <w:t>二</w:t>
      </w:r>
      <w:r>
        <w:rPr>
          <w:rFonts w:hint="eastAsia" w:ascii="宋体" w:hAnsi="宋体" w:eastAsia="仿宋_GB2312" w:cs="宋体"/>
          <w:bCs/>
          <w:sz w:val="32"/>
          <w:szCs w:val="32"/>
        </w:rPr>
        <w:t>二</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七</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二十二</w:t>
      </w:r>
      <w:r>
        <w:rPr>
          <w:rFonts w:hint="eastAsia" w:ascii="仿宋_GB2312" w:hAnsi="仿宋_GB2312" w:eastAsia="仿宋_GB2312" w:cs="仿宋_GB2312"/>
          <w:bCs/>
          <w:sz w:val="32"/>
          <w:szCs w:val="32"/>
        </w:rPr>
        <w:t>日</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lang w:eastAsia="zh-CN"/>
        </w:rPr>
        <w:t>杭州市余杭区未来科技城单元控制性详细规划及重点地区城市设计</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78"/>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8</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12</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00秒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t>HCZX-22189</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ascii="仿宋_GB2312" w:hAnsi="仿宋" w:eastAsia="仿宋_GB2312"/>
          <w:b/>
          <w:sz w:val="24"/>
        </w:rPr>
        <w:t xml:space="preserve"> 项目名称：</w:t>
      </w:r>
      <w:r>
        <w:rPr>
          <w:rFonts w:hint="eastAsia" w:ascii="仿宋_GB2312" w:hAnsi="仿宋" w:eastAsia="仿宋_GB2312" w:cs="仿宋_GB2312"/>
          <w:sz w:val="24"/>
          <w:lang w:eastAsia="zh-CN"/>
        </w:rPr>
        <w:t>杭州市余杭区未来科技城单元控制性详细规划及重点地区城市设计</w:t>
      </w:r>
    </w:p>
    <w:p>
      <w:pPr>
        <w:spacing w:line="360" w:lineRule="auto"/>
        <w:rPr>
          <w:rFonts w:ascii="仿宋_GB2312" w:hAnsi="仿宋" w:eastAsia="仿宋_GB2312"/>
          <w:color w:val="auto"/>
          <w:sz w:val="24"/>
          <w:highlight w:val="none"/>
        </w:rPr>
      </w:pPr>
      <w:r>
        <w:rPr>
          <w:rFonts w:ascii="仿宋_GB2312" w:hAnsi="仿宋" w:eastAsia="仿宋_GB2312"/>
          <w:sz w:val="24"/>
        </w:rPr>
        <w:t xml:space="preserve">   </w:t>
      </w:r>
      <w:r>
        <w:rPr>
          <w:rFonts w:ascii="仿宋_GB2312" w:hAnsi="仿宋" w:eastAsia="仿宋_GB2312"/>
          <w:b/>
          <w:sz w:val="24"/>
        </w:rPr>
        <w:t xml:space="preserve"> </w:t>
      </w:r>
      <w:r>
        <w:rPr>
          <w:rFonts w:ascii="仿宋_GB2312" w:hAnsi="仿宋" w:eastAsia="仿宋_GB2312"/>
          <w:b/>
          <w:color w:val="auto"/>
          <w:sz w:val="24"/>
          <w:highlight w:val="none"/>
        </w:rPr>
        <w:t>预算金额（元）：</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9470000</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最高限价（元）：</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9470000</w:t>
      </w:r>
    </w:p>
    <w:p>
      <w:pPr>
        <w:pStyle w:val="6"/>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snapToGrid/>
          <w:color w:val="auto"/>
          <w:kern w:val="2"/>
          <w:sz w:val="24"/>
          <w:szCs w:val="24"/>
          <w:lang w:eastAsia="zh-CN"/>
        </w:rPr>
        <w:t>杭州市余杭区未来科技城单元控制性详细规划及重点地区城市设计</w:t>
      </w:r>
      <w:r>
        <w:rPr>
          <w:rFonts w:hint="eastAsia" w:ascii="仿宋_GB2312" w:hAnsi="仿宋" w:eastAsia="仿宋_GB2312"/>
          <w:bCs/>
          <w:snapToGrid/>
          <w:color w:val="auto"/>
          <w:kern w:val="2"/>
          <w:sz w:val="24"/>
          <w:szCs w:val="24"/>
        </w:rPr>
        <w:t>主要内容：为全面贯彻落实省市高水平推进杭州城西科创大走廊（以下简称“大走廊”）建设，充分落实新一轮国土空间规划对大走廊地区提出的刚性管控和战略引领新要求，解决当前制约大走廊创新可持续发展的关键问题，强化杭州市级对大走廊地区的规划统筹和空间治理能力提升，完善大走廊国土空间规划体系，特开展《</w:t>
      </w:r>
      <w:r>
        <w:rPr>
          <w:rFonts w:hint="eastAsia" w:ascii="仿宋_GB2312" w:hAnsi="仿宋" w:eastAsia="仿宋_GB2312"/>
          <w:bCs/>
          <w:snapToGrid/>
          <w:color w:val="auto"/>
          <w:kern w:val="2"/>
          <w:sz w:val="24"/>
          <w:szCs w:val="24"/>
          <w:lang w:eastAsia="zh-CN"/>
        </w:rPr>
        <w:t>杭州市余杭区未来科技城单元控制性详细规划及重点地区城市设计</w:t>
      </w:r>
      <w:r>
        <w:rPr>
          <w:rFonts w:hint="eastAsia" w:ascii="仿宋_GB2312" w:hAnsi="仿宋" w:eastAsia="仿宋_GB2312"/>
          <w:bCs/>
          <w:snapToGrid/>
          <w:color w:val="auto"/>
          <w:kern w:val="2"/>
          <w:sz w:val="24"/>
          <w:szCs w:val="24"/>
        </w:rPr>
        <w:t>》</w:t>
      </w:r>
      <w:r>
        <w:rPr>
          <w:rFonts w:ascii="仿宋_GB2312" w:hAnsi="仿宋" w:eastAsia="仿宋_GB2312"/>
          <w:bCs/>
          <w:snapToGrid/>
          <w:color w:val="auto"/>
          <w:kern w:val="2"/>
          <w:sz w:val="24"/>
          <w:szCs w:val="24"/>
        </w:rPr>
        <w:t>。</w:t>
      </w:r>
      <w:r>
        <w:rPr>
          <w:rFonts w:hint="eastAsia" w:ascii="仿宋_GB2312" w:hAnsi="仿宋" w:eastAsia="仿宋_GB2312"/>
          <w:bCs/>
          <w:snapToGrid/>
          <w:color w:val="auto"/>
          <w:kern w:val="2"/>
          <w:sz w:val="24"/>
          <w:szCs w:val="24"/>
        </w:rPr>
        <w:t>详见招标文件第三部分采购需求。</w:t>
      </w:r>
    </w:p>
    <w:p>
      <w:pPr>
        <w:pStyle w:val="130"/>
        <w:ind w:firstLine="482"/>
        <w:outlineLvl w:val="2"/>
        <w:rPr>
          <w:rFonts w:ascii="仿宋_GB2312" w:hAnsi="仿宋" w:eastAsia="仿宋_GB2312"/>
          <w:color w:val="auto"/>
          <w:highlight w:val="none"/>
        </w:rPr>
      </w:pPr>
      <w:r>
        <w:rPr>
          <w:rFonts w:hint="eastAsia" w:ascii="仿宋_GB2312" w:hAnsi="仿宋" w:eastAsia="仿宋_GB2312"/>
          <w:b/>
          <w:color w:val="auto"/>
          <w:highlight w:val="none"/>
        </w:rPr>
        <w:t>合同履约期限：</w:t>
      </w:r>
      <w:r>
        <w:rPr>
          <w:rFonts w:hint="eastAsia" w:ascii="仿宋_GB2312" w:hAnsi="仿宋" w:eastAsia="仿宋_GB2312"/>
          <w:bCs/>
          <w:color w:val="auto"/>
          <w:highlight w:val="none"/>
        </w:rPr>
        <w:t>202</w:t>
      </w:r>
      <w:r>
        <w:rPr>
          <w:rFonts w:ascii="仿宋_GB2312" w:hAnsi="仿宋" w:eastAsia="仿宋_GB2312"/>
          <w:bCs/>
          <w:color w:val="auto"/>
          <w:highlight w:val="none"/>
        </w:rPr>
        <w:t>3</w:t>
      </w:r>
      <w:r>
        <w:rPr>
          <w:rFonts w:hint="eastAsia" w:ascii="仿宋_GB2312" w:hAnsi="仿宋" w:eastAsia="仿宋_GB2312"/>
          <w:bCs/>
          <w:color w:val="auto"/>
          <w:highlight w:val="none"/>
        </w:rPr>
        <w:t>年12月</w:t>
      </w:r>
      <w:r>
        <w:rPr>
          <w:rFonts w:hint="eastAsia" w:ascii="仿宋_GB2312" w:hAnsi="仿宋" w:eastAsia="仿宋_GB2312"/>
          <w:bCs/>
          <w:color w:val="auto"/>
          <w:szCs w:val="24"/>
          <w:highlight w:val="none"/>
        </w:rPr>
        <w:t>。</w:t>
      </w:r>
    </w:p>
    <w:p>
      <w:pPr>
        <w:pStyle w:val="6"/>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sdt>
        <w:sdtPr>
          <w:rPr>
            <w:rFonts w:hint="eastAsia" w:ascii="仿宋_GB2312" w:hAnsi="仿宋" w:eastAsia="仿宋_GB2312" w:cs="Arial"/>
            <w:color w:val="auto"/>
            <w:kern w:val="0"/>
            <w:sz w:val="24"/>
          </w:rPr>
          <w:id w:val="203545383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sym w:font="Wingdings" w:char="F0FE"/>
          </w:r>
        </w:sdtContent>
      </w:sdt>
      <w:r>
        <w:rPr>
          <w:rFonts w:hint="eastAsia" w:ascii="仿宋_GB2312" w:hAnsi="仿宋" w:eastAsia="仿宋_GB2312"/>
          <w:b/>
          <w:color w:val="auto"/>
          <w:sz w:val="24"/>
        </w:rPr>
        <w:t>是，</w:t>
      </w:r>
      <w:sdt>
        <w:sdtPr>
          <w:rPr>
            <w:rFonts w:hint="eastAsia" w:ascii="仿宋_GB2312" w:hAnsi="仿宋" w:eastAsia="仿宋_GB2312" w:cs="Arial"/>
            <w:color w:val="auto"/>
            <w:kern w:val="0"/>
            <w:sz w:val="24"/>
          </w:rPr>
          <w:id w:val="-176552672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MS Gothic" w:cs="Arial"/>
              <w:color w:val="auto"/>
              <w:kern w:val="0"/>
              <w:sz w:val="24"/>
            </w:rPr>
            <w:t>☐</w:t>
          </w:r>
        </w:sdtContent>
      </w:sdt>
      <w:r>
        <w:rPr>
          <w:rFonts w:hint="eastAsia" w:ascii="仿宋_GB2312" w:hAnsi="仿宋" w:eastAsia="仿宋_GB2312"/>
          <w:b/>
          <w:color w:val="auto"/>
          <w:sz w:val="24"/>
        </w:rPr>
        <w:t>否</w:t>
      </w:r>
      <w:r>
        <w:rPr>
          <w:rFonts w:hint="eastAsia" w:cs="Arial" w:asciiTheme="minorEastAsia" w:hAnsiTheme="minorEastAsia" w:eastAsiaTheme="minorEastAsia"/>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落实政府采购政策需满足的资格要求：无</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928616923"/>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rPr>
            <w:t></w:t>
          </w:r>
        </w:sdtContent>
      </w:sdt>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02470430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9247305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115260493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333685401"/>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214102535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3.本项目的特定资格要</w:t>
      </w:r>
      <w:r>
        <w:rPr>
          <w:rFonts w:hint="eastAsia" w:ascii="仿宋_GB2312" w:hAnsi="仿宋" w:eastAsia="仿宋_GB2312"/>
          <w:color w:val="auto"/>
          <w:sz w:val="24"/>
          <w:highlight w:val="none"/>
        </w:rPr>
        <w:t>求：具有城乡规划编制单位甲级资质和</w:t>
      </w:r>
      <w:r>
        <w:rPr>
          <w:rFonts w:hint="eastAsia" w:ascii="仿宋_GB2312" w:hAnsi="仿宋" w:eastAsia="仿宋_GB2312"/>
          <w:color w:val="auto"/>
          <w:sz w:val="24"/>
          <w:highlight w:val="none"/>
          <w:lang w:val="en-US" w:eastAsia="zh-CN"/>
        </w:rPr>
        <w:t>设计专业类建筑行业（建筑工程）设计甲级以上资质</w:t>
      </w:r>
      <w:r>
        <w:rPr>
          <w:rFonts w:hint="eastAsia" w:ascii="仿宋_GB2312" w:hAnsi="仿宋" w:eastAsia="仿宋_GB2312"/>
          <w:color w:val="auto"/>
          <w:sz w:val="24"/>
          <w:highlight w:val="none"/>
        </w:rPr>
        <w:t>；</w:t>
      </w:r>
    </w:p>
    <w:p>
      <w:pPr>
        <w:snapToGrid w:val="0"/>
        <w:spacing w:line="360" w:lineRule="auto"/>
        <w:ind w:firstLine="480" w:firstLineChars="200"/>
        <w:rPr>
          <w:rFonts w:ascii="仿宋_GB2312" w:hAnsi="仿宋" w:eastAsia="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w:t>
      </w:r>
      <w:r>
        <w:rPr>
          <w:rFonts w:hint="eastAsia" w:ascii="仿宋_GB2312" w:hAnsi="仿宋" w:eastAsia="仿宋_GB2312"/>
          <w:sz w:val="24"/>
        </w:rPr>
        <w:t>检测等服务后不得再参加该采购项目的其他采购活动。</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5.公益一类事业单位、使用事业编制且由财政拨款保障的群团组织，不作为政府购买服务的购买主体和承接主体。</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8</w:t>
      </w:r>
      <w:r>
        <w:rPr>
          <w:rFonts w:ascii="仿宋_GB2312" w:hAnsi="仿宋" w:eastAsia="仿宋_GB2312"/>
          <w:sz w:val="24"/>
          <w:u w:val="single"/>
        </w:rPr>
        <w:t>月</w:t>
      </w:r>
      <w:r>
        <w:rPr>
          <w:rFonts w:hint="eastAsia" w:ascii="仿宋_GB2312" w:hAnsi="仿宋" w:eastAsia="仿宋_GB2312"/>
          <w:sz w:val="24"/>
          <w:u w:val="single"/>
          <w:lang w:val="en-US" w:eastAsia="zh-CN"/>
        </w:rPr>
        <w:t>12</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8</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12</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2022</w:t>
      </w:r>
      <w:r>
        <w:rPr>
          <w:rFonts w:ascii="仿宋_GB2312" w:hAnsi="仿宋" w:eastAsia="仿宋_GB2312"/>
          <w:sz w:val="24"/>
          <w:u w:val="single"/>
        </w:rPr>
        <w:t>年</w:t>
      </w:r>
      <w:r>
        <w:rPr>
          <w:rFonts w:hint="eastAsia" w:ascii="仿宋_GB2312" w:hAnsi="仿宋" w:eastAsia="仿宋_GB2312"/>
          <w:sz w:val="24"/>
          <w:u w:val="single"/>
          <w:lang w:val="en-US" w:eastAsia="zh-CN"/>
        </w:rPr>
        <w:t>8</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12</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sz w:val="24"/>
        </w:rPr>
      </w:pPr>
      <w:r>
        <w:rPr>
          <w:rFonts w:hint="eastAsia" w:ascii="仿宋_GB2312" w:hAnsi="仿宋" w:eastAsia="仿宋_GB2312"/>
          <w:b/>
          <w:sz w:val="24"/>
        </w:rPr>
        <w:t>五、公告期限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六、其他补充事宜</w:t>
      </w:r>
    </w:p>
    <w:p>
      <w:pPr>
        <w:spacing w:line="360" w:lineRule="auto"/>
        <w:ind w:firstLine="480" w:firstLineChars="200"/>
        <w:rPr>
          <w:rFonts w:ascii="仿宋_GB2312" w:hAnsi="仿宋" w:eastAsia="仿宋_GB2312"/>
          <w:sz w:val="24"/>
        </w:rPr>
      </w:pPr>
      <w:r>
        <w:rPr>
          <w:rFonts w:ascii="仿宋_GB2312" w:hAnsi="仿宋" w:eastAsia="仿宋_GB2312"/>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rPr>
        <w:t>七、对本次采购提出询问、质疑、投诉，请按以下方式联系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杭州市规划和自然资源局</w:t>
      </w:r>
    </w:p>
    <w:p>
      <w:pPr>
        <w:spacing w:line="360" w:lineRule="auto"/>
        <w:rPr>
          <w:rFonts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上城区解放东路18号市民中心C座</w:t>
      </w:r>
      <w:r>
        <w:rPr>
          <w:rFonts w:hint="eastAsia" w:ascii="仿宋" w:hAnsi="仿宋" w:eastAsia="仿宋" w:cs="仿宋_GB2312"/>
          <w:sz w:val="24"/>
        </w:rPr>
        <w:t xml:space="preserve"> </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ascii="仿宋_GB2312" w:hAnsi="仿宋" w:eastAsia="仿宋_GB2312"/>
          <w:sz w:val="24"/>
        </w:rPr>
      </w:pPr>
      <w:r>
        <w:rPr>
          <w:rFonts w:hint="eastAsia" w:ascii="仿宋_GB2312" w:hAnsi="仿宋" w:eastAsia="仿宋_GB2312"/>
          <w:sz w:val="24"/>
        </w:rPr>
        <w:t>项目联系人（询问）：王亚新</w:t>
      </w:r>
    </w:p>
    <w:p>
      <w:pPr>
        <w:spacing w:line="360" w:lineRule="auto"/>
        <w:rPr>
          <w:rFonts w:hint="default" w:ascii="仿宋_GB2312" w:hAnsi="仿宋" w:eastAsia="仿宋_GB2312"/>
          <w:sz w:val="24"/>
          <w:lang w:val="en-US" w:eastAsia="zh-CN"/>
        </w:rPr>
      </w:pPr>
      <w:r>
        <w:rPr>
          <w:rFonts w:ascii="仿宋_GB2312" w:hAnsi="仿宋" w:eastAsia="仿宋_GB2312"/>
          <w:sz w:val="24"/>
        </w:rPr>
        <w:t xml:space="preserve">    项目联系方式（询问）：</w:t>
      </w:r>
      <w:r>
        <w:rPr>
          <w:rFonts w:hint="eastAsia" w:ascii="仿宋_GB2312" w:hAnsi="仿宋" w:eastAsia="仿宋_GB2312"/>
          <w:sz w:val="24"/>
        </w:rPr>
        <w:t xml:space="preserve"> </w:t>
      </w:r>
      <w:r>
        <w:rPr>
          <w:rFonts w:ascii="仿宋_GB2312" w:hAnsi="仿宋" w:eastAsia="仿宋_GB2312"/>
          <w:sz w:val="24"/>
        </w:rPr>
        <w:t>0571-852545</w:t>
      </w:r>
      <w:r>
        <w:rPr>
          <w:rFonts w:hint="eastAsia" w:ascii="仿宋_GB2312" w:hAnsi="仿宋" w:eastAsia="仿宋_GB2312"/>
          <w:sz w:val="24"/>
          <w:lang w:val="en-US" w:eastAsia="zh-CN"/>
        </w:rPr>
        <w:t>69</w:t>
      </w:r>
    </w:p>
    <w:p>
      <w:pPr>
        <w:spacing w:line="360" w:lineRule="auto"/>
        <w:rPr>
          <w:rFonts w:ascii="仿宋" w:hAnsi="仿宋" w:eastAsia="仿宋"/>
          <w:sz w:val="24"/>
        </w:rPr>
      </w:pPr>
      <w:r>
        <w:rPr>
          <w:rFonts w:ascii="仿宋_GB2312" w:hAnsi="仿宋" w:eastAsia="仿宋_GB2312"/>
          <w:sz w:val="24"/>
        </w:rPr>
        <w:t xml:space="preserve">    质疑联系人：</w:t>
      </w:r>
      <w:r>
        <w:rPr>
          <w:rFonts w:hint="eastAsia" w:ascii="仿宋" w:hAnsi="仿宋" w:eastAsia="仿宋"/>
          <w:sz w:val="24"/>
        </w:rPr>
        <w:t>杜金晶</w:t>
      </w:r>
    </w:p>
    <w:p>
      <w:pPr>
        <w:spacing w:line="360" w:lineRule="auto"/>
        <w:rPr>
          <w:rFonts w:ascii="仿宋_GB2312" w:hAnsi="仿宋" w:eastAsia="仿宋_GB2312"/>
          <w:sz w:val="24"/>
        </w:rPr>
      </w:pPr>
      <w:r>
        <w:rPr>
          <w:rFonts w:ascii="仿宋_GB2312" w:hAnsi="仿宋" w:eastAsia="仿宋_GB2312"/>
          <w:sz w:val="24"/>
        </w:rPr>
        <w:t xml:space="preserve">    质疑联系方式：0571-85254569</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称：华诚工程咨询集团有限公司</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仿宋" w:hAnsi="仿宋" w:eastAsia="仿宋"/>
          <w:sz w:val="24"/>
        </w:rPr>
        <w:t>杭州市拱墅区彩云路105号锦盛大楼8楼</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r>
        <w:rPr>
          <w:rFonts w:hint="eastAsia" w:ascii="仿宋_GB2312" w:hAnsi="仿宋" w:eastAsia="仿宋_GB2312"/>
          <w:sz w:val="24"/>
        </w:rPr>
        <w:t>赵佳阳</w:t>
      </w:r>
      <w:r>
        <w:rPr>
          <w:rFonts w:ascii="仿宋_GB2312" w:hAnsi="仿宋" w:eastAsia="仿宋_GB2312"/>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项目联系方式（询问）：</w:t>
      </w:r>
      <w:r>
        <w:rPr>
          <w:rFonts w:hint="eastAsia" w:ascii="仿宋_GB2312" w:hAnsi="仿宋" w:eastAsia="仿宋_GB2312"/>
          <w:sz w:val="24"/>
        </w:rPr>
        <w:t>15868898744</w:t>
      </w:r>
    </w:p>
    <w:p>
      <w:pPr>
        <w:spacing w:line="360" w:lineRule="auto"/>
        <w:rPr>
          <w:rFonts w:hint="default" w:ascii="仿宋_GB2312" w:hAnsi="仿宋" w:eastAsia="仿宋_GB2312"/>
          <w:sz w:val="24"/>
          <w:lang w:val="en-US" w:eastAsia="zh-CN"/>
        </w:rPr>
      </w:pPr>
      <w:r>
        <w:rPr>
          <w:rFonts w:ascii="仿宋_GB2312" w:hAnsi="仿宋" w:eastAsia="仿宋_GB2312"/>
          <w:sz w:val="24"/>
        </w:rPr>
        <w:t xml:space="preserve">    </w:t>
      </w:r>
      <w:r>
        <w:rPr>
          <w:rFonts w:hint="eastAsia" w:ascii="仿宋_GB2312" w:hAnsi="仿宋" w:eastAsia="仿宋_GB2312"/>
          <w:sz w:val="24"/>
        </w:rPr>
        <w:t>质疑联系人：</w:t>
      </w:r>
      <w:r>
        <w:rPr>
          <w:rFonts w:hint="eastAsia" w:ascii="仿宋_GB2312" w:hAnsi="仿宋" w:eastAsia="仿宋_GB2312"/>
          <w:sz w:val="24"/>
          <w:lang w:val="en-US" w:eastAsia="zh-CN"/>
        </w:rPr>
        <w:t>孙杏花</w:t>
      </w:r>
    </w:p>
    <w:p>
      <w:pPr>
        <w:spacing w:line="360" w:lineRule="auto"/>
        <w:ind w:firstLine="480"/>
        <w:rPr>
          <w:rFonts w:hint="default" w:ascii="仿宋_GB2312" w:hAnsi="仿宋" w:eastAsia="仿宋_GB2312"/>
          <w:sz w:val="24"/>
          <w:lang w:val="en-US" w:eastAsia="zh-CN"/>
        </w:rPr>
      </w:pPr>
      <w:r>
        <w:rPr>
          <w:rFonts w:hint="eastAsia" w:ascii="仿宋_GB2312" w:hAnsi="仿宋" w:eastAsia="仿宋_GB2312"/>
          <w:sz w:val="24"/>
        </w:rPr>
        <w:t>质疑联系方式：0571-</w:t>
      </w:r>
      <w:r>
        <w:rPr>
          <w:rFonts w:hint="eastAsia" w:ascii="仿宋_GB2312" w:hAnsi="仿宋" w:eastAsia="仿宋_GB2312"/>
          <w:sz w:val="24"/>
          <w:lang w:val="en-US" w:eastAsia="zh-CN"/>
        </w:rPr>
        <w:t>87032325</w:t>
      </w:r>
    </w:p>
    <w:p>
      <w:pPr>
        <w:spacing w:line="360" w:lineRule="auto"/>
        <w:ind w:firstLine="480"/>
        <w:rPr>
          <w:rFonts w:ascii="仿宋_GB2312" w:hAnsi="仿宋" w:eastAsia="仿宋_GB2312"/>
          <w:sz w:val="24"/>
        </w:rPr>
      </w:pPr>
      <w:r>
        <w:rPr>
          <w:rFonts w:ascii="仿宋_GB2312" w:hAnsi="仿宋" w:eastAsia="仿宋_GB2312"/>
          <w:sz w:val="24"/>
        </w:rPr>
        <w:t xml:space="preserve">3.同级政府采购监督管理部门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名    称：杭州市财政局政府采购监管处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地    址：杭州市中河中路152号614办公室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传    真：0571-89580456</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联系人 ：厉先生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监督投诉电话：0571-89580456</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3"/>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zh-CN"/>
              </w:rPr>
              <w:t>提醒：验收时检测费用由采购人承担，不包含在投标总价中。</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47728692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rPr>
                  <w:t></w:t>
                </w:r>
              </w:sdtContent>
            </w:sdt>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w:t>
            </w:r>
            <w:r>
              <w:rPr>
                <w:rFonts w:hint="eastAsia" w:ascii="仿宋_GB2312" w:hAnsi="仿宋" w:eastAsia="仿宋_GB2312"/>
                <w:color w:val="auto"/>
                <w:sz w:val="24"/>
                <w:highlight w:val="none"/>
                <w:u w:val="single"/>
              </w:rPr>
              <w:t>数字化等</w:t>
            </w:r>
            <w:r>
              <w:rPr>
                <w:rFonts w:hint="eastAsia" w:ascii="仿宋_GB2312" w:hAnsi="仿宋" w:eastAsia="仿宋_GB2312"/>
                <w:color w:val="auto"/>
                <w:sz w:val="24"/>
                <w:highlight w:val="none"/>
              </w:rPr>
              <w:t>工作分包。。</w:t>
            </w:r>
          </w:p>
          <w:p>
            <w:pPr>
              <w:spacing w:line="360" w:lineRule="auto"/>
              <w:rPr>
                <w:rFonts w:ascii="仿宋_GB2312" w:hAnsi="仿宋" w:eastAsia="仿宋_GB2312" w:cs="仿宋_GB2312"/>
                <w:sz w:val="24"/>
              </w:rPr>
            </w:pPr>
            <w:sdt>
              <w:sdtPr>
                <w:rPr>
                  <w:rFonts w:hint="eastAsia" w:ascii="仿宋_GB2312" w:hAnsi="仿宋" w:eastAsia="仿宋_GB2312" w:cs="Arial"/>
                  <w:kern w:val="0"/>
                  <w:sz w:val="24"/>
                </w:rPr>
                <w:id w:val="-1276331357"/>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21296641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sdt>
              <w:sdtPr>
                <w:rPr>
                  <w:rFonts w:hint="eastAsia" w:ascii="仿宋_GB2312" w:hAnsi="仿宋" w:eastAsia="仿宋_GB2312" w:cs="Arial"/>
                  <w:kern w:val="0"/>
                  <w:sz w:val="24"/>
                </w:rPr>
                <w:id w:val="-99980297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63994648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MS Gothic"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02683198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sdt>
              <w:sdtPr>
                <w:rPr>
                  <w:rFonts w:hint="eastAsia" w:ascii="仿宋_GB2312" w:hAnsi="仿宋" w:eastAsia="仿宋_GB2312" w:cs="Arial"/>
                  <w:kern w:val="0"/>
                  <w:sz w:val="24"/>
                </w:rPr>
                <w:id w:val="1303421454"/>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sym w:font="Wingdings" w:char="F0FE"/>
                </w:r>
              </w:sdtContent>
            </w:sdt>
            <w:r>
              <w:rPr>
                <w:rFonts w:ascii="仿宋_GB2312" w:hAnsi="仿宋" w:eastAsia="仿宋_GB2312"/>
                <w:kern w:val="0"/>
                <w:sz w:val="24"/>
              </w:rPr>
              <w:t>否；</w:t>
            </w:r>
            <w:sdt>
              <w:sdtPr>
                <w:rPr>
                  <w:rFonts w:hint="eastAsia" w:ascii="仿宋_GB2312" w:hAnsi="仿宋" w:eastAsia="仿宋_GB2312" w:cs="Arial"/>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rPr>
              <w:t xml:space="preserve">    </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85934854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sdt>
              <w:sdtPr>
                <w:rPr>
                  <w:rFonts w:hint="eastAsia" w:ascii="仿宋_GB2312" w:hAnsi="仿宋" w:eastAsia="仿宋_GB2312" w:cs="Arial"/>
                  <w:kern w:val="0"/>
                  <w:sz w:val="24"/>
                </w:rPr>
                <w:id w:val="117407171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方式二：交易中心现场讲解演示。现场讲解地点为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sdt>
              <w:sdtPr>
                <w:rPr>
                  <w:rFonts w:hint="eastAsia" w:ascii="仿宋_GB2312" w:hAnsi="仿宋" w:eastAsia="仿宋_GB2312" w:cs="Arial"/>
                  <w:kern w:val="0"/>
                  <w:sz w:val="24"/>
                </w:rPr>
                <w:id w:val="-182842570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仿宋_GB2312" w:hAnsi="仿宋" w:eastAsia="仿宋_GB2312" w:cs="Arial"/>
                    <w:kern w:val="0"/>
                    <w:sz w:val="24"/>
                  </w:rPr>
                  <w:sym w:font="Wingdings" w:char="F0FE"/>
                </w:r>
              </w:sdtContent>
            </w:sdt>
            <w:r>
              <w:rPr>
                <w:rFonts w:hint="eastAsia" w:ascii="仿宋_GB2312" w:hAnsi="仿宋" w:eastAsia="仿宋_GB2312" w:cs="Arial"/>
                <w:kern w:val="0"/>
                <w:sz w:val="24"/>
              </w:rPr>
              <w:t>本项目不允许采购进口产品。</w:t>
            </w:r>
          </w:p>
          <w:p>
            <w:pPr>
              <w:spacing w:line="360" w:lineRule="auto"/>
            </w:pPr>
            <w:sdt>
              <w:sdtPr>
                <w:rPr>
                  <w:rFonts w:hint="eastAsia" w:ascii="仿宋_GB2312" w:hAnsi="仿宋" w:eastAsia="仿宋_GB2312" w:cs="Arial"/>
                  <w:kern w:val="0"/>
                  <w:sz w:val="24"/>
                </w:rPr>
                <w:id w:val="-52852824"/>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sdt>
              <w:sdtPr>
                <w:rPr>
                  <w:rFonts w:hint="eastAsia" w:ascii="仿宋_GB2312" w:hAnsi="仿宋" w:eastAsia="仿宋_GB2312" w:cs="Arial"/>
                  <w:kern w:val="0"/>
                  <w:sz w:val="24"/>
                </w:rPr>
                <w:id w:val="11872786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sdt>
              <w:sdtPr>
                <w:rPr>
                  <w:rFonts w:hint="eastAsia" w:ascii="仿宋_GB2312" w:hAnsi="仿宋" w:eastAsia="仿宋_GB2312" w:cs="Arial"/>
                  <w:kern w:val="0"/>
                  <w:sz w:val="24"/>
                </w:rPr>
                <w:id w:val="474885559"/>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 w:eastAsia="仿宋_GB2312" w:cs="Arial"/>
                <w:kern w:val="0"/>
                <w:sz w:val="24"/>
              </w:rPr>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cs="Arial"/>
                <w:kern w:val="0"/>
                <w:sz w:val="24"/>
                <w:u w:val="single"/>
                <w:lang w:eastAsia="zh-CN"/>
              </w:rPr>
              <w:t>杭州市余杭区未来科技城单元控制性详细规划及重点地区城市设计</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 xml:space="preserve"> 其他未列明行业 </w:t>
            </w:r>
            <w:r>
              <w:rPr>
                <w:rFonts w:hint="eastAsia" w:ascii="仿宋_GB2312" w:hAnsi="仿宋" w:eastAsia="仿宋_GB2312" w:cs="Arial"/>
                <w:kern w:val="0"/>
                <w:sz w:val="24"/>
              </w:rPr>
              <w:t>行业；</w:t>
            </w:r>
          </w:p>
          <w:p>
            <w:pPr>
              <w:pStyle w:val="5"/>
              <w:rPr>
                <w:lang w:val="en-US"/>
              </w:rPr>
            </w:pPr>
            <w:r>
              <w:rPr>
                <w:rFonts w:hint="eastAsia"/>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pPr>
          </w:p>
        </w:tc>
        <w:tc>
          <w:tcPr>
            <w:tcW w:w="1843" w:type="dxa"/>
            <w:vMerge w:val="continue"/>
            <w:tcBorders>
              <w:left w:val="single" w:color="000000" w:sz="2" w:space="0"/>
              <w:right w:val="single" w:color="000000" w:sz="8" w:space="0"/>
            </w:tcBorders>
            <w:vAlign w:val="center"/>
          </w:tcPr>
          <w:p>
            <w:pPr>
              <w:spacing w:line="360" w:lineRule="auto"/>
              <w:ind w:firstLine="420" w:firstLineChars="200"/>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 xml:space="preserve"> 杭州市拱墅区彩云路105号锦盛大楼8楼</w:t>
            </w:r>
            <w:r>
              <w:rPr>
                <w:rFonts w:ascii="仿宋_GB2312" w:hAnsi="仿宋" w:eastAsia="仿宋_GB2312"/>
                <w:sz w:val="24"/>
                <w:u w:val="single"/>
              </w:rPr>
              <w:t xml:space="preserve"> </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 xml:space="preserve">  赵佳阳，15868898744  </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sz w:val="24"/>
              </w:rPr>
            </w:pPr>
            <w:r>
              <w:rPr>
                <w:rFonts w:hint="eastAsia" w:cs="仿宋_GB2312"/>
                <w:b/>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ind w:firstLine="480" w:firstLineChars="200"/>
              <w:rPr>
                <w:rFonts w:hint="eastAsia" w:ascii="仿宋_GB2312" w:hAnsi="仿宋" w:eastAsia="仿宋_GB2312" w:cs="Times New Roman"/>
                <w:snapToGrid w:val="0"/>
                <w:kern w:val="28"/>
                <w:sz w:val="24"/>
                <w:szCs w:val="24"/>
                <w:lang w:val="en-US" w:eastAsia="zh-CN" w:bidi="ar-SA"/>
              </w:rPr>
            </w:pPr>
            <w:r>
              <w:rPr>
                <w:rFonts w:hint="eastAsia" w:ascii="仿宋_GB2312" w:hAnsi="仿宋" w:eastAsia="仿宋_GB2312" w:cs="Times New Roman"/>
                <w:snapToGrid w:val="0"/>
                <w:kern w:val="28"/>
                <w:sz w:val="24"/>
                <w:szCs w:val="24"/>
                <w:lang w:val="en-US" w:eastAsia="zh-CN" w:bidi="ar-SA"/>
              </w:rPr>
              <w:t>本项目的采购代理服务费由中标人支付，服务费以成交金额为基数按以下标准70%计取。具体标准详见下表：</w:t>
            </w:r>
          </w:p>
          <w:tbl>
            <w:tblPr>
              <w:tblStyle w:val="64"/>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noWrap w:val="0"/>
                  <w:vAlign w:val="center"/>
                </w:tcPr>
                <w:p>
                  <w:pPr>
                    <w:pStyle w:val="723"/>
                    <w:spacing w:line="300" w:lineRule="auto"/>
                    <w:ind w:firstLine="0"/>
                    <w:jc w:val="center"/>
                    <w:rPr>
                      <w:rFonts w:hint="eastAsia" w:ascii="仿宋_GB2312" w:hAnsi="仿宋" w:eastAsia="仿宋_GB2312" w:cs="Times New Roman"/>
                      <w:snapToGrid w:val="0"/>
                      <w:kern w:val="28"/>
                      <w:sz w:val="24"/>
                      <w:szCs w:val="24"/>
                      <w:lang w:val="en-US" w:eastAsia="zh-CN" w:bidi="ar-SA"/>
                    </w:rPr>
                  </w:pPr>
                  <w:r>
                    <w:rPr>
                      <w:rFonts w:hint="eastAsia" w:ascii="仿宋_GB2312" w:hAnsi="仿宋" w:eastAsia="仿宋_GB2312" w:cs="Times New Roman"/>
                      <w:snapToGrid w:val="0"/>
                      <w:kern w:val="28"/>
                      <w:sz w:val="24"/>
                      <w:szCs w:val="24"/>
                      <w:lang w:val="en-US" w:eastAsia="zh-CN" w:bidi="ar-SA"/>
                    </w:rPr>
                    <w:t>金额（万元）</w:t>
                  </w:r>
                </w:p>
              </w:tc>
              <w:tc>
                <w:tcPr>
                  <w:tcW w:w="2943" w:type="dxa"/>
                  <w:noWrap w:val="0"/>
                  <w:vAlign w:val="center"/>
                </w:tcPr>
                <w:p>
                  <w:pPr>
                    <w:pStyle w:val="723"/>
                    <w:spacing w:line="300" w:lineRule="auto"/>
                    <w:ind w:firstLine="0"/>
                    <w:jc w:val="center"/>
                    <w:rPr>
                      <w:rFonts w:hint="eastAsia" w:ascii="仿宋_GB2312" w:hAnsi="仿宋" w:eastAsia="仿宋_GB2312" w:cs="Times New Roman"/>
                      <w:snapToGrid w:val="0"/>
                      <w:kern w:val="28"/>
                      <w:sz w:val="24"/>
                      <w:szCs w:val="24"/>
                      <w:lang w:val="en-US" w:eastAsia="zh-CN" w:bidi="ar-SA"/>
                    </w:rPr>
                  </w:pPr>
                  <w:r>
                    <w:rPr>
                      <w:rFonts w:hint="eastAsia" w:ascii="仿宋_GB2312" w:hAnsi="仿宋" w:eastAsia="仿宋_GB2312" w:cs="Times New Roman"/>
                      <w:snapToGrid w:val="0"/>
                      <w:kern w:val="28"/>
                      <w:sz w:val="24"/>
                      <w:szCs w:val="24"/>
                      <w:lang w:val="en-US" w:eastAsia="zh-CN" w:bidi="ar-SA"/>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noWrap w:val="0"/>
                  <w:vAlign w:val="center"/>
                </w:tcPr>
                <w:p>
                  <w:pPr>
                    <w:pStyle w:val="723"/>
                    <w:spacing w:line="300" w:lineRule="auto"/>
                    <w:ind w:firstLine="0"/>
                    <w:jc w:val="center"/>
                    <w:rPr>
                      <w:rFonts w:hint="eastAsia" w:ascii="仿宋_GB2312" w:hAnsi="仿宋" w:eastAsia="仿宋_GB2312" w:cs="Times New Roman"/>
                      <w:snapToGrid w:val="0"/>
                      <w:kern w:val="28"/>
                      <w:sz w:val="24"/>
                      <w:szCs w:val="24"/>
                      <w:lang w:val="en-US" w:eastAsia="zh-CN" w:bidi="ar-SA"/>
                    </w:rPr>
                  </w:pPr>
                  <w:r>
                    <w:rPr>
                      <w:rFonts w:hint="eastAsia" w:ascii="仿宋_GB2312" w:hAnsi="仿宋" w:eastAsia="仿宋_GB2312" w:cs="Times New Roman"/>
                      <w:snapToGrid w:val="0"/>
                      <w:kern w:val="28"/>
                      <w:sz w:val="24"/>
                      <w:szCs w:val="24"/>
                      <w:lang w:val="en-US" w:eastAsia="zh-CN" w:bidi="ar-SA"/>
                    </w:rPr>
                    <w:t>100以下部分</w:t>
                  </w:r>
                </w:p>
              </w:tc>
              <w:tc>
                <w:tcPr>
                  <w:tcW w:w="2943" w:type="dxa"/>
                  <w:noWrap w:val="0"/>
                  <w:vAlign w:val="center"/>
                </w:tcPr>
                <w:p>
                  <w:pPr>
                    <w:snapToGrid w:val="0"/>
                    <w:spacing w:line="300" w:lineRule="auto"/>
                    <w:rPr>
                      <w:rFonts w:hint="eastAsia" w:ascii="仿宋_GB2312" w:hAnsi="仿宋" w:eastAsia="仿宋_GB2312" w:cs="Times New Roman"/>
                      <w:snapToGrid w:val="0"/>
                      <w:kern w:val="28"/>
                      <w:sz w:val="24"/>
                      <w:szCs w:val="24"/>
                      <w:lang w:val="en-US" w:eastAsia="zh-CN" w:bidi="ar-SA"/>
                    </w:rPr>
                  </w:pPr>
                  <w:r>
                    <w:rPr>
                      <w:rFonts w:hint="eastAsia" w:ascii="仿宋_GB2312" w:hAnsi="仿宋" w:eastAsia="仿宋_GB2312" w:cs="Times New Roman"/>
                      <w:snapToGrid w:val="0"/>
                      <w:kern w:val="28"/>
                      <w:sz w:val="24"/>
                      <w:szCs w:val="24"/>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noWrap w:val="0"/>
                  <w:vAlign w:val="center"/>
                </w:tcPr>
                <w:p>
                  <w:pPr>
                    <w:pStyle w:val="723"/>
                    <w:spacing w:line="300" w:lineRule="auto"/>
                    <w:ind w:firstLine="0"/>
                    <w:jc w:val="center"/>
                    <w:rPr>
                      <w:rFonts w:hint="eastAsia" w:ascii="仿宋_GB2312" w:hAnsi="仿宋" w:eastAsia="仿宋_GB2312" w:cs="Times New Roman"/>
                      <w:snapToGrid w:val="0"/>
                      <w:kern w:val="28"/>
                      <w:sz w:val="24"/>
                      <w:szCs w:val="24"/>
                      <w:lang w:val="en-US" w:eastAsia="zh-CN" w:bidi="ar-SA"/>
                    </w:rPr>
                  </w:pPr>
                  <w:r>
                    <w:rPr>
                      <w:rFonts w:hint="eastAsia" w:ascii="仿宋_GB2312" w:hAnsi="仿宋" w:eastAsia="仿宋_GB2312" w:cs="Times New Roman"/>
                      <w:snapToGrid w:val="0"/>
                      <w:kern w:val="28"/>
                      <w:sz w:val="24"/>
                      <w:szCs w:val="24"/>
                      <w:lang w:val="en-US" w:eastAsia="zh-CN" w:bidi="ar-SA"/>
                    </w:rPr>
                    <w:t>100~500之间部分</w:t>
                  </w:r>
                </w:p>
              </w:tc>
              <w:tc>
                <w:tcPr>
                  <w:tcW w:w="2943" w:type="dxa"/>
                  <w:noWrap w:val="0"/>
                  <w:vAlign w:val="center"/>
                </w:tcPr>
                <w:p>
                  <w:pPr>
                    <w:snapToGrid w:val="0"/>
                    <w:spacing w:line="300" w:lineRule="auto"/>
                    <w:rPr>
                      <w:rFonts w:hint="eastAsia" w:ascii="仿宋_GB2312" w:hAnsi="仿宋" w:eastAsia="仿宋_GB2312" w:cs="Times New Roman"/>
                      <w:snapToGrid w:val="0"/>
                      <w:kern w:val="28"/>
                      <w:sz w:val="24"/>
                      <w:szCs w:val="24"/>
                      <w:lang w:val="en-US" w:eastAsia="zh-CN" w:bidi="ar-SA"/>
                    </w:rPr>
                  </w:pPr>
                  <w:r>
                    <w:rPr>
                      <w:rFonts w:hint="eastAsia" w:ascii="仿宋_GB2312" w:hAnsi="仿宋" w:eastAsia="仿宋_GB2312" w:cs="Times New Roman"/>
                      <w:snapToGrid w:val="0"/>
                      <w:kern w:val="28"/>
                      <w:sz w:val="24"/>
                      <w:szCs w:val="24"/>
                      <w:lang w:val="en-US" w:eastAsia="zh-CN" w:bidi="ar-SA"/>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noWrap w:val="0"/>
                  <w:vAlign w:val="center"/>
                </w:tcPr>
                <w:p>
                  <w:pPr>
                    <w:pStyle w:val="723"/>
                    <w:spacing w:line="300" w:lineRule="auto"/>
                    <w:ind w:firstLine="0"/>
                    <w:jc w:val="center"/>
                    <w:rPr>
                      <w:rFonts w:hint="eastAsia" w:ascii="仿宋_GB2312" w:hAnsi="仿宋" w:eastAsia="仿宋_GB2312" w:cs="Times New Roman"/>
                      <w:snapToGrid w:val="0"/>
                      <w:kern w:val="28"/>
                      <w:sz w:val="24"/>
                      <w:szCs w:val="24"/>
                      <w:lang w:val="en-US" w:eastAsia="zh-CN" w:bidi="ar-SA"/>
                    </w:rPr>
                  </w:pPr>
                  <w:r>
                    <w:rPr>
                      <w:rFonts w:hint="eastAsia" w:ascii="仿宋_GB2312" w:hAnsi="仿宋" w:eastAsia="仿宋_GB2312" w:cs="Times New Roman"/>
                      <w:snapToGrid w:val="0"/>
                      <w:kern w:val="28"/>
                      <w:sz w:val="24"/>
                      <w:szCs w:val="24"/>
                      <w:lang w:val="en-US" w:eastAsia="zh-CN" w:bidi="ar-SA"/>
                    </w:rPr>
                    <w:t>500~1000之间部分</w:t>
                  </w:r>
                </w:p>
              </w:tc>
              <w:tc>
                <w:tcPr>
                  <w:tcW w:w="2943" w:type="dxa"/>
                  <w:noWrap w:val="0"/>
                  <w:vAlign w:val="center"/>
                </w:tcPr>
                <w:p>
                  <w:pPr>
                    <w:snapToGrid w:val="0"/>
                    <w:spacing w:line="300" w:lineRule="auto"/>
                    <w:rPr>
                      <w:rFonts w:hint="eastAsia" w:ascii="仿宋_GB2312" w:hAnsi="仿宋" w:eastAsia="仿宋_GB2312" w:cs="Times New Roman"/>
                      <w:snapToGrid w:val="0"/>
                      <w:kern w:val="28"/>
                      <w:sz w:val="24"/>
                      <w:szCs w:val="24"/>
                      <w:lang w:val="en-US" w:eastAsia="zh-CN" w:bidi="ar-SA"/>
                    </w:rPr>
                  </w:pPr>
                  <w:r>
                    <w:rPr>
                      <w:rFonts w:hint="eastAsia" w:ascii="仿宋_GB2312" w:hAnsi="仿宋" w:eastAsia="仿宋_GB2312" w:cs="Times New Roman"/>
                      <w:snapToGrid w:val="0"/>
                      <w:kern w:val="28"/>
                      <w:sz w:val="24"/>
                      <w:szCs w:val="24"/>
                      <w:lang w:val="en-US" w:eastAsia="zh-CN" w:bidi="ar-SA"/>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noWrap w:val="0"/>
                  <w:vAlign w:val="center"/>
                </w:tcPr>
                <w:p>
                  <w:pPr>
                    <w:pStyle w:val="723"/>
                    <w:spacing w:line="300" w:lineRule="auto"/>
                    <w:ind w:firstLine="0"/>
                    <w:jc w:val="center"/>
                    <w:rPr>
                      <w:rFonts w:hint="eastAsia" w:ascii="仿宋_GB2312" w:hAnsi="仿宋" w:eastAsia="仿宋_GB2312" w:cs="Times New Roman"/>
                      <w:snapToGrid w:val="0"/>
                      <w:kern w:val="28"/>
                      <w:sz w:val="24"/>
                      <w:szCs w:val="24"/>
                      <w:lang w:val="en-US" w:eastAsia="zh-CN" w:bidi="ar-SA"/>
                    </w:rPr>
                  </w:pPr>
                  <w:r>
                    <w:rPr>
                      <w:rFonts w:hint="eastAsia" w:ascii="仿宋_GB2312" w:hAnsi="仿宋" w:eastAsia="仿宋_GB2312" w:cs="Times New Roman"/>
                      <w:snapToGrid w:val="0"/>
                      <w:kern w:val="28"/>
                      <w:sz w:val="24"/>
                      <w:szCs w:val="24"/>
                      <w:lang w:val="en-US" w:eastAsia="zh-CN" w:bidi="ar-SA"/>
                    </w:rPr>
                    <w:t>1000-5000之间部分</w:t>
                  </w:r>
                </w:p>
              </w:tc>
              <w:tc>
                <w:tcPr>
                  <w:tcW w:w="2943" w:type="dxa"/>
                  <w:noWrap w:val="0"/>
                  <w:vAlign w:val="center"/>
                </w:tcPr>
                <w:p>
                  <w:pPr>
                    <w:snapToGrid w:val="0"/>
                    <w:spacing w:line="300" w:lineRule="auto"/>
                    <w:rPr>
                      <w:rFonts w:hint="eastAsia" w:ascii="仿宋_GB2312" w:hAnsi="仿宋" w:eastAsia="仿宋_GB2312" w:cs="Times New Roman"/>
                      <w:snapToGrid w:val="0"/>
                      <w:kern w:val="28"/>
                      <w:sz w:val="24"/>
                      <w:szCs w:val="24"/>
                      <w:lang w:val="en-US" w:eastAsia="zh-CN" w:bidi="ar-SA"/>
                    </w:rPr>
                  </w:pPr>
                  <w:r>
                    <w:rPr>
                      <w:rFonts w:hint="eastAsia" w:ascii="仿宋_GB2312" w:hAnsi="仿宋" w:eastAsia="仿宋_GB2312" w:cs="Times New Roman"/>
                      <w:snapToGrid w:val="0"/>
                      <w:kern w:val="28"/>
                      <w:sz w:val="24"/>
                      <w:szCs w:val="24"/>
                      <w:lang w:val="en-US" w:eastAsia="zh-CN" w:bidi="ar-SA"/>
                    </w:rPr>
                    <w:t>0.25%</w:t>
                  </w:r>
                </w:p>
              </w:tc>
            </w:tr>
          </w:tbl>
          <w:p>
            <w:pPr>
              <w:pStyle w:val="33"/>
              <w:spacing w:line="360" w:lineRule="auto"/>
              <w:ind w:firstLine="480" w:firstLineChars="200"/>
              <w:rPr>
                <w:rFonts w:hint="eastAsia" w:ascii="仿宋_GB2312" w:hAnsi="仿宋" w:eastAsia="仿宋_GB2312" w:cs="Times New Roman"/>
                <w:snapToGrid w:val="0"/>
                <w:kern w:val="28"/>
                <w:sz w:val="24"/>
                <w:szCs w:val="24"/>
                <w:lang w:val="en-US" w:eastAsia="zh-CN" w:bidi="ar-SA"/>
              </w:rPr>
            </w:pPr>
            <w:r>
              <w:rPr>
                <w:rFonts w:hint="eastAsia" w:ascii="仿宋_GB2312" w:hAnsi="仿宋" w:eastAsia="仿宋_GB2312" w:cs="Times New Roman"/>
                <w:snapToGrid w:val="0"/>
                <w:kern w:val="28"/>
                <w:sz w:val="24"/>
                <w:szCs w:val="24"/>
                <w:lang w:val="en-US" w:eastAsia="zh-CN" w:bidi="ar-SA"/>
              </w:rPr>
              <w:t>在接到中标通知书后两个工作日内由中标人一次性向采购代理机构付清。采购代理服务费须包含在投标报价中，并以人民币方式支付。服务费汇入以下账号：</w:t>
            </w:r>
          </w:p>
          <w:p>
            <w:pPr>
              <w:pStyle w:val="33"/>
              <w:spacing w:line="360" w:lineRule="auto"/>
              <w:ind w:firstLine="480" w:firstLineChars="200"/>
              <w:rPr>
                <w:rFonts w:hint="eastAsia" w:ascii="仿宋_GB2312" w:hAnsi="仿宋" w:eastAsia="仿宋_GB2312" w:cs="Times New Roman"/>
                <w:snapToGrid w:val="0"/>
                <w:kern w:val="28"/>
                <w:sz w:val="24"/>
                <w:szCs w:val="24"/>
                <w:lang w:val="en-US" w:eastAsia="zh-CN" w:bidi="ar-SA"/>
              </w:rPr>
            </w:pPr>
            <w:r>
              <w:rPr>
                <w:rFonts w:hint="eastAsia" w:ascii="仿宋_GB2312" w:hAnsi="仿宋" w:eastAsia="仿宋_GB2312" w:cs="Times New Roman"/>
                <w:snapToGrid w:val="0"/>
                <w:kern w:val="28"/>
                <w:sz w:val="24"/>
                <w:szCs w:val="24"/>
                <w:lang w:val="en-US" w:eastAsia="zh-CN" w:bidi="ar-SA"/>
              </w:rPr>
              <w:t>户 名：华诚工程咨询集团有限公司</w:t>
            </w:r>
          </w:p>
          <w:p>
            <w:pPr>
              <w:pStyle w:val="33"/>
              <w:spacing w:line="360" w:lineRule="auto"/>
              <w:ind w:firstLine="480" w:firstLineChars="200"/>
              <w:rPr>
                <w:rFonts w:hint="eastAsia" w:ascii="仿宋_GB2312" w:hAnsi="仿宋" w:eastAsia="仿宋_GB2312" w:cs="Times New Roman"/>
                <w:snapToGrid w:val="0"/>
                <w:kern w:val="28"/>
                <w:sz w:val="24"/>
                <w:szCs w:val="24"/>
                <w:lang w:val="en-US" w:eastAsia="zh-CN" w:bidi="ar-SA"/>
              </w:rPr>
            </w:pPr>
            <w:r>
              <w:rPr>
                <w:rFonts w:hint="eastAsia" w:ascii="仿宋_GB2312" w:hAnsi="仿宋" w:eastAsia="仿宋_GB2312" w:cs="Times New Roman"/>
                <w:snapToGrid w:val="0"/>
                <w:kern w:val="28"/>
                <w:sz w:val="24"/>
                <w:szCs w:val="24"/>
                <w:lang w:val="en-US" w:eastAsia="zh-CN" w:bidi="ar-SA"/>
              </w:rPr>
              <w:t>开 户：上海浦东发展银行股份有限公司杭州和睦支行</w:t>
            </w:r>
          </w:p>
          <w:p>
            <w:pPr>
              <w:spacing w:line="360" w:lineRule="auto"/>
              <w:ind w:firstLine="480" w:firstLineChars="200"/>
              <w:rPr>
                <w:rFonts w:hint="eastAsia" w:ascii="仿宋_GB2312" w:hAnsi="仿宋" w:eastAsia="仿宋_GB2312" w:cs="Times New Roman"/>
                <w:kern w:val="28"/>
                <w:sz w:val="24"/>
                <w:szCs w:val="24"/>
              </w:rPr>
            </w:pPr>
            <w:r>
              <w:rPr>
                <w:rFonts w:hint="eastAsia" w:ascii="仿宋_GB2312" w:hAnsi="仿宋" w:eastAsia="仿宋_GB2312" w:cs="Times New Roman"/>
                <w:snapToGrid w:val="0"/>
                <w:kern w:val="28"/>
                <w:sz w:val="24"/>
                <w:szCs w:val="24"/>
                <w:lang w:val="en-US" w:eastAsia="zh-CN" w:bidi="ar-SA"/>
              </w:rPr>
              <w:t>账 号：95220078801100000315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无</w:t>
            </w:r>
            <w:r>
              <w:rPr>
                <w:rFonts w:hint="eastAsia" w:ascii="仿宋_GB2312" w:hAnsi="仿宋" w:eastAsia="仿宋_GB2312" w:cs="宋体"/>
                <w:b/>
                <w:kern w:val="0"/>
                <w:sz w:val="24"/>
              </w:rPr>
              <w:t>。</w:t>
            </w:r>
          </w:p>
        </w:tc>
      </w:tr>
    </w:tbl>
    <w:p>
      <w:pPr>
        <w:snapToGrid w:val="0"/>
        <w:spacing w:line="360" w:lineRule="auto"/>
        <w:jc w:val="center"/>
        <w:rPr>
          <w:rFonts w:ascii="仿宋" w:hAnsi="仿宋" w:eastAsia="仿宋" w:cs="仿宋_GB2312"/>
          <w:b/>
          <w:sz w:val="32"/>
          <w:szCs w:val="20"/>
        </w:rPr>
      </w:pPr>
    </w:p>
    <w:bookmarkEnd w:id="10"/>
    <w:p>
      <w:pPr>
        <w:adjustRightInd/>
        <w:spacing w:line="360" w:lineRule="auto"/>
        <w:ind w:firstLine="3845" w:firstLineChars="1197"/>
        <w:outlineLvl w:val="0"/>
        <w:rPr>
          <w:rFonts w:ascii="仿宋_GB2312" w:hAnsi="仿宋" w:eastAsia="仿宋_GB2312" w:cs="仿宋_GB2312"/>
          <w:b/>
          <w:sz w:val="32"/>
          <w:szCs w:val="20"/>
        </w:rPr>
      </w:pPr>
      <w:bookmarkStart w:id="11" w:name="_Toc164416483"/>
      <w:bookmarkStart w:id="12" w:name="第三部分"/>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系指实质性要求条款，“★”系产品采购项目中单一产品或核心产品，“</w:t>
      </w:r>
      <w:sdt>
        <w:sdtPr>
          <w:rPr>
            <w:rFonts w:hint="eastAsia" w:ascii="仿宋_GB2312" w:hAnsi="仿宋" w:eastAsia="仿宋_GB2312" w:cs="Arial"/>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ascii="仿宋_GB2312" w:hAnsi="仿宋" w:eastAsia="仿宋_GB2312"/>
        </w:rPr>
        <w:t xml:space="preserve"> </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w:t>
      </w:r>
      <w:r>
        <w:rPr>
          <w:rFonts w:hint="eastAsia" w:ascii="仿宋_GB2312" w:hAnsi="仿宋" w:eastAsia="仿宋_GB2312"/>
          <w:color w:val="FF0000"/>
          <w:sz w:val="24"/>
        </w:rPr>
        <w:t>对小型和微型企业的投标报价给予2</w:t>
      </w:r>
      <w:r>
        <w:rPr>
          <w:rFonts w:ascii="仿宋_GB2312" w:hAnsi="仿宋" w:eastAsia="仿宋_GB2312"/>
          <w:color w:val="FF0000"/>
          <w:sz w:val="24"/>
        </w:rPr>
        <w:t>0%的扣除，</w:t>
      </w:r>
      <w:r>
        <w:rPr>
          <w:rFonts w:ascii="仿宋_GB2312" w:hAnsi="仿宋" w:eastAsia="仿宋_GB2312"/>
          <w:sz w:val="24"/>
        </w:rPr>
        <w:t>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3"/>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3"/>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88"/>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8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8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88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88"/>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130"/>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3"/>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130"/>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_GB2312" w:hAnsi="仿宋" w:eastAsia="仿宋_GB2312" w:cs="仿宋_GB2312"/>
          <w:sz w:val="18"/>
          <w:szCs w:val="18"/>
          <w:lang w:val="en-US"/>
        </w:rPr>
      </w:pPr>
      <w:r>
        <w:rPr>
          <w:rFonts w:ascii="仿宋_GB2312" w:hAnsi="仿宋" w:eastAsia="仿宋_GB2312" w:cs="仿宋_GB2312"/>
          <w:szCs w:val="24"/>
          <w:lang w:val="en-US"/>
        </w:rPr>
        <w:t xml:space="preserve">    </w:t>
      </w: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3"/>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6"/>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11.1.1营业执照</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11.1.2</w:t>
      </w:r>
      <w:r>
        <w:rPr>
          <w:rFonts w:ascii="仿宋_GB2312" w:hAnsi="仿宋" w:eastAsia="仿宋_GB2312" w:cs="仿宋_GB2312"/>
          <w:sz w:val="24"/>
        </w:rPr>
        <w:t>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sz w:val="24"/>
        </w:rPr>
        <w:t>3</w:t>
      </w:r>
      <w:r>
        <w:rPr>
          <w:rFonts w:ascii="仿宋_GB2312" w:hAnsi="仿宋" w:eastAsia="仿宋_GB2312" w:cs="仿宋_GB2312"/>
          <w:sz w:val="24"/>
        </w:rPr>
        <w:t>符合参加政府采购活动应当具备的一般条件的承诺函；</w:t>
      </w:r>
    </w:p>
    <w:p>
      <w:pPr>
        <w:snapToGrid w:val="0"/>
        <w:spacing w:line="360" w:lineRule="auto"/>
        <w:ind w:left="1678" w:leftChars="456" w:hanging="720" w:hangingChars="300"/>
      </w:pPr>
      <w:r>
        <w:rPr>
          <w:rFonts w:hint="eastAsia" w:ascii="仿宋_GB2312" w:hAnsi="仿宋" w:eastAsia="仿宋_GB2312" w:cs="仿宋_GB2312"/>
          <w:sz w:val="24"/>
        </w:rPr>
        <w:t>11.1.4投标供应商不属于公益一类事业单位、使用事业编制且由财政拨款保障的群团组织的承诺函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sz w:val="24"/>
        </w:rPr>
        <w:t>4</w:t>
      </w:r>
      <w:r>
        <w:rPr>
          <w:rFonts w:ascii="仿宋_GB2312" w:hAnsi="仿宋" w:eastAsia="仿宋_GB2312" w:cs="仿宋_GB2312"/>
          <w:sz w:val="24"/>
        </w:rPr>
        <w:t>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sz w:val="24"/>
        </w:rPr>
        <w:t>5</w:t>
      </w:r>
      <w:r>
        <w:rPr>
          <w:rFonts w:ascii="仿宋_GB2312" w:hAnsi="仿宋" w:eastAsia="仿宋_GB2312" w:cs="仿宋_GB2312"/>
          <w:sz w:val="24"/>
        </w:rPr>
        <w:t>本项目的特定资格要求。</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r>
        <w:rPr>
          <w:rFonts w:ascii="仿宋_GB2312" w:hAnsi="仿宋" w:eastAsia="仿宋_GB2312" w:cs="仿宋_GB2312"/>
          <w:sz w:val="24"/>
          <w:lang w:val="zh-CN"/>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11.2.2联合协议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11.2.3分包意向协议</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11.2.6商务技术偏离表；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130"/>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130"/>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3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130"/>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3"/>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3"/>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130"/>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130"/>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30"/>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30"/>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643"/>
        <w:rPr>
          <w:rFonts w:ascii="仿宋_GB2312" w:hAnsi="仿宋" w:eastAsia="仿宋_GB2312" w:cs="仿宋_GB2312"/>
          <w:b/>
          <w:sz w:val="32"/>
        </w:rPr>
      </w:pPr>
    </w:p>
    <w:p>
      <w:pPr>
        <w:pStyle w:val="130"/>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6"/>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r>
        <w:rPr>
          <w:rFonts w:ascii="仿宋_GB2312" w:eastAsia="仿宋_GB2312"/>
          <w:sz w:val="24"/>
        </w:rPr>
        <w:t xml:space="preserve"> </w:t>
      </w:r>
    </w:p>
    <w:p>
      <w:pPr>
        <w:pStyle w:val="556"/>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130"/>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130"/>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30"/>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130"/>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130"/>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13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13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30"/>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bookmarkStart w:id="13" w:name="_Toc91899903"/>
      <w:r>
        <w:rPr>
          <w:rFonts w:ascii="仿宋_GB2312" w:hAnsi="仿宋" w:eastAsia="仿宋_GB2312" w:cs="仿宋_GB2312"/>
          <w:b/>
          <w:sz w:val="24"/>
        </w:rPr>
        <w:t>21.</w:t>
      </w:r>
      <w:r>
        <w:rPr>
          <w:rFonts w:ascii="仿宋_GB2312" w:eastAsia="仿宋_GB2312"/>
        </w:rPr>
        <w:t xml:space="preserve"> </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标</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130"/>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130"/>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130"/>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1%；评价总分在90分以下或者暂无评分的，收取履约保证金不得高于合同金额1%。</w:t>
      </w:r>
    </w:p>
    <w:p>
      <w:pPr>
        <w:pStyle w:val="5"/>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130"/>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30"/>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30"/>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101"/>
      <w:bookmarkEnd w:id="14"/>
      <w:bookmarkStart w:id="15" w:name="_Hlt68403820"/>
      <w:bookmarkEnd w:id="15"/>
      <w:bookmarkStart w:id="16" w:name="_Hlt74729768"/>
      <w:bookmarkEnd w:id="16"/>
      <w:bookmarkStart w:id="17" w:name="_Hlt75236011"/>
      <w:bookmarkEnd w:id="17"/>
      <w:bookmarkStart w:id="18" w:name="_Hlt75236290"/>
      <w:bookmarkEnd w:id="18"/>
      <w:bookmarkStart w:id="19" w:name="_Hlt74707468"/>
      <w:bookmarkEnd w:id="19"/>
      <w:bookmarkStart w:id="20" w:name="_Hlt74714665"/>
      <w:bookmarkEnd w:id="20"/>
      <w:bookmarkStart w:id="21" w:name="_Hlt74730295"/>
      <w:bookmarkEnd w:id="21"/>
      <w:bookmarkStart w:id="22" w:name="_Hlt68072998"/>
      <w:bookmarkEnd w:id="22"/>
      <w:bookmarkStart w:id="23" w:name="_Hlt68057669"/>
      <w:bookmarkEnd w:id="23"/>
      <w:bookmarkStart w:id="24" w:name="_Hlt68072990"/>
      <w:bookmarkEnd w:id="24"/>
      <w:bookmarkStart w:id="25" w:name="_Hlt68073093"/>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pacing w:line="560" w:lineRule="exact"/>
        <w:ind w:firstLine="482" w:firstLineChars="200"/>
        <w:rPr>
          <w:rFonts w:ascii="仿宋" w:hAnsi="仿宋" w:eastAsia="仿宋" w:cs="仿宋"/>
          <w:b/>
          <w:sz w:val="24"/>
        </w:rPr>
      </w:pPr>
    </w:p>
    <w:p>
      <w:pPr>
        <w:numPr>
          <w:ilvl w:val="0"/>
          <w:numId w:val="1"/>
        </w:numPr>
        <w:spacing w:line="560" w:lineRule="exact"/>
        <w:ind w:firstLine="482" w:firstLineChars="200"/>
        <w:rPr>
          <w:rFonts w:ascii="仿宋" w:hAnsi="仿宋" w:eastAsia="仿宋" w:cs="仿宋"/>
          <w:b/>
          <w:sz w:val="24"/>
        </w:rPr>
      </w:pPr>
      <w:r>
        <w:rPr>
          <w:rFonts w:hint="eastAsia" w:ascii="仿宋" w:hAnsi="仿宋" w:eastAsia="仿宋" w:cs="仿宋"/>
          <w:b/>
          <w:sz w:val="24"/>
        </w:rPr>
        <w:t>项目背景</w:t>
      </w:r>
    </w:p>
    <w:p>
      <w:pPr>
        <w:spacing w:line="560" w:lineRule="exact"/>
        <w:ind w:firstLine="480" w:firstLineChars="200"/>
        <w:rPr>
          <w:rFonts w:ascii="仿宋" w:hAnsi="仿宋" w:eastAsia="仿宋" w:cs="仿宋"/>
          <w:sz w:val="24"/>
        </w:rPr>
      </w:pPr>
      <w:r>
        <w:rPr>
          <w:rFonts w:hint="eastAsia" w:ascii="仿宋" w:hAnsi="仿宋" w:eastAsia="仿宋" w:cs="仿宋"/>
          <w:sz w:val="24"/>
        </w:rPr>
        <w:t>为全面贯彻落实省市高水平推进杭州城西科创大走廊（以下简称“大走廊”）建设，充分落实新一轮国土空间规划对大走廊地区提出的刚性管控和战略引领新要求，解决当前制约大走廊创新可持续发展的关键问题，强化杭州市级对大走廊地区的规划统筹和空间治理能力提升，完善大走廊国土空间规划体系，特开展《</w:t>
      </w:r>
      <w:r>
        <w:rPr>
          <w:rFonts w:hint="eastAsia" w:ascii="仿宋" w:hAnsi="仿宋" w:eastAsia="仿宋" w:cs="仿宋"/>
          <w:sz w:val="24"/>
          <w:lang w:eastAsia="zh-CN"/>
        </w:rPr>
        <w:t>杭州市余杭区未来科技城单元控制性详细规划及重点地区城市设计</w:t>
      </w:r>
      <w:r>
        <w:rPr>
          <w:rFonts w:hint="eastAsia" w:ascii="仿宋" w:hAnsi="仿宋" w:eastAsia="仿宋" w:cs="仿宋"/>
          <w:sz w:val="24"/>
        </w:rPr>
        <w:t>》编制。</w:t>
      </w:r>
    </w:p>
    <w:p>
      <w:pPr>
        <w:numPr>
          <w:ilvl w:val="0"/>
          <w:numId w:val="1"/>
        </w:numPr>
        <w:spacing w:line="560" w:lineRule="exact"/>
        <w:ind w:firstLine="482" w:firstLineChars="200"/>
        <w:rPr>
          <w:rFonts w:ascii="仿宋" w:hAnsi="仿宋" w:eastAsia="仿宋" w:cs="仿宋"/>
          <w:b/>
          <w:sz w:val="24"/>
        </w:rPr>
      </w:pPr>
      <w:r>
        <w:rPr>
          <w:rFonts w:hint="eastAsia" w:ascii="仿宋" w:hAnsi="仿宋" w:eastAsia="仿宋" w:cs="仿宋"/>
          <w:b/>
          <w:sz w:val="24"/>
        </w:rPr>
        <w:t>规划范围</w:t>
      </w:r>
    </w:p>
    <w:p>
      <w:pPr>
        <w:spacing w:line="560" w:lineRule="exact"/>
        <w:ind w:firstLine="480" w:firstLineChars="200"/>
        <w:rPr>
          <w:rFonts w:ascii="仿宋" w:hAnsi="仿宋" w:eastAsia="仿宋" w:cs="仿宋"/>
          <w:sz w:val="24"/>
        </w:rPr>
      </w:pPr>
      <w:r>
        <w:rPr>
          <w:rFonts w:hint="eastAsia" w:ascii="仿宋" w:hAnsi="仿宋" w:eastAsia="仿宋" w:cs="仿宋"/>
          <w:sz w:val="24"/>
        </w:rPr>
        <w:t>控规单元规划范围：未来科技城单元南至02省道，西至东西大道，北至余杭塘河，东至绕城高速，面积45平方公里。</w:t>
      </w:r>
    </w:p>
    <w:p>
      <w:pPr>
        <w:spacing w:line="560" w:lineRule="exact"/>
        <w:ind w:firstLine="480" w:firstLineChars="200"/>
        <w:rPr>
          <w:rFonts w:ascii="仿宋" w:hAnsi="仿宋" w:eastAsia="仿宋" w:cs="仿宋"/>
          <w:sz w:val="24"/>
        </w:rPr>
      </w:pPr>
      <w:r>
        <w:rPr>
          <w:rFonts w:hint="eastAsia" w:ascii="仿宋" w:hAnsi="仿宋" w:eastAsia="仿宋" w:cs="仿宋"/>
          <w:sz w:val="24"/>
        </w:rPr>
        <w:t>城市设计重点地区范围：北至余杭塘河，东至良睦路，南至闲林湿地，西至林场港-文一西路-东西大道，面积7平方公里。</w:t>
      </w:r>
    </w:p>
    <w:p>
      <w:pPr>
        <w:numPr>
          <w:ilvl w:val="0"/>
          <w:numId w:val="1"/>
        </w:numPr>
        <w:spacing w:line="560" w:lineRule="exact"/>
        <w:ind w:firstLine="482" w:firstLineChars="200"/>
        <w:rPr>
          <w:rFonts w:ascii="仿宋" w:hAnsi="仿宋" w:eastAsia="仿宋" w:cs="仿宋"/>
          <w:b/>
          <w:sz w:val="24"/>
        </w:rPr>
      </w:pPr>
      <w:r>
        <w:rPr>
          <w:rFonts w:hint="eastAsia" w:ascii="仿宋" w:hAnsi="仿宋" w:eastAsia="仿宋" w:cs="仿宋"/>
          <w:b/>
          <w:sz w:val="24"/>
        </w:rPr>
        <w:t>内容要求</w:t>
      </w:r>
    </w:p>
    <w:p>
      <w:pPr>
        <w:spacing w:line="560" w:lineRule="exact"/>
        <w:ind w:firstLine="480" w:firstLineChars="200"/>
        <w:rPr>
          <w:rFonts w:ascii="仿宋" w:hAnsi="仿宋" w:eastAsia="仿宋" w:cs="仿宋"/>
          <w:sz w:val="24"/>
        </w:rPr>
      </w:pPr>
      <w:r>
        <w:rPr>
          <w:rFonts w:hint="eastAsia" w:ascii="仿宋" w:hAnsi="仿宋" w:eastAsia="仿宋" w:cs="仿宋"/>
          <w:sz w:val="24"/>
        </w:rPr>
        <w:t>贯彻国土空间规划改革新要求，衔接杭州市国土空间规划体系，严格落实新一轮杭州市国土空间总体规划对本单元的战略引领和刚性管控要求，加强与各级国土空间规划、专项规划的动态衔接。在现行相关技术准则和规范要求的基础上，立足本单元的发展特色和主要诉求，充分落实《杭州城西科创大走廊详规划编制指引》（以下简称《详规指引》）对本单元的各项要求，积极探索和创新新时期控制性详细规划编制思路和方法，实现全域全要素空间规划及管控。</w:t>
      </w:r>
    </w:p>
    <w:p>
      <w:pPr>
        <w:spacing w:line="560" w:lineRule="exact"/>
        <w:ind w:firstLine="480" w:firstLineChars="200"/>
        <w:rPr>
          <w:rFonts w:ascii="仿宋" w:hAnsi="仿宋" w:eastAsia="仿宋" w:cs="仿宋"/>
          <w:sz w:val="24"/>
        </w:rPr>
      </w:pPr>
      <w:r>
        <w:rPr>
          <w:rFonts w:hint="eastAsia" w:ascii="仿宋" w:hAnsi="仿宋" w:eastAsia="仿宋" w:cs="仿宋"/>
          <w:sz w:val="24"/>
        </w:rPr>
        <w:t>杭州未来科技城是中国四大科技城之一，是杭州“面向世界、引领未来、辐射全省的创新策源地”。围绕“创新之城、人才之城、科技之城”的发展主题，规划单元着力构建国际一流的创新生态系统，重点打造“科技创新+总部经济+智能制造”的产业协作平台，重点落实杭州科技创新中心的空间发展要求，优化以“湿地湖链”为核心的绿色开放空间系统，完善以科技创新人群服务为导向的宜居城市环境。</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（一）技术要求</w:t>
      </w:r>
    </w:p>
    <w:p>
      <w:pPr>
        <w:spacing w:line="540" w:lineRule="exact"/>
        <w:ind w:firstLine="640"/>
        <w:rPr>
          <w:rFonts w:ascii="仿宋" w:hAnsi="仿宋" w:eastAsia="仿宋" w:cs="仿宋"/>
          <w:sz w:val="24"/>
        </w:rPr>
      </w:pPr>
      <w:r>
        <w:rPr>
          <w:rFonts w:hint="eastAsia" w:ascii="仿宋" w:hAnsi="仿宋" w:eastAsia="仿宋" w:cs="仿宋"/>
          <w:sz w:val="24"/>
        </w:rPr>
        <w:t>1、做好规划和现状评估。开展单元内原控规的实施评估，系统性评估用地、配套等实施情况，明晰本轮控规需要优化提升的内容及需要解决或避免的问题。通过多元化手段，全方面分析现状用地、人口、交通、设施等现状特征和问题，提出改进建议。完成统一数据标准的控规现状一张图，并形成规范化的现状用地入库数据。</w:t>
      </w:r>
    </w:p>
    <w:p>
      <w:pPr>
        <w:spacing w:line="540" w:lineRule="exact"/>
        <w:ind w:firstLine="640"/>
        <w:rPr>
          <w:rFonts w:ascii="仿宋" w:hAnsi="仿宋" w:eastAsia="仿宋" w:cs="仿宋"/>
          <w:sz w:val="24"/>
        </w:rPr>
      </w:pPr>
      <w:r>
        <w:rPr>
          <w:rFonts w:hint="eastAsia" w:ascii="仿宋" w:hAnsi="仿宋" w:eastAsia="仿宋" w:cs="仿宋"/>
          <w:sz w:val="24"/>
        </w:rPr>
        <w:t>2、落实上位规划的要求。落实各类各级上位规划对本单元的功能定位、底线管控、空间布局、设施配套等各方面的要求,并注重相关规划和单元之间的协调。</w:t>
      </w:r>
    </w:p>
    <w:p>
      <w:pPr>
        <w:spacing w:line="540" w:lineRule="exact"/>
        <w:ind w:firstLine="640"/>
        <w:rPr>
          <w:rFonts w:ascii="仿宋" w:hAnsi="仿宋" w:eastAsia="仿宋" w:cs="仿宋"/>
          <w:sz w:val="24"/>
        </w:rPr>
      </w:pPr>
      <w:r>
        <w:rPr>
          <w:rFonts w:hint="eastAsia" w:ascii="仿宋" w:hAnsi="仿宋" w:eastAsia="仿宋" w:cs="仿宋"/>
          <w:sz w:val="24"/>
        </w:rPr>
        <w:t>3、落实目标定位和功能布局。落实各类各级上位规划对本单元的功能定位、底线管控、空间布局、设施配套等各方面的要求，注重相关规划和单元之间的协调。结合单元定位和特征，根据规划单元的总体目标和功能定位，合理优化空间布局和用地结构，融合生产、生活、生态“三生”空间。</w:t>
      </w:r>
    </w:p>
    <w:p>
      <w:pPr>
        <w:spacing w:line="540" w:lineRule="exact"/>
        <w:ind w:firstLine="640"/>
        <w:rPr>
          <w:rFonts w:ascii="仿宋" w:hAnsi="仿宋" w:eastAsia="仿宋" w:cs="仿宋"/>
          <w:sz w:val="24"/>
        </w:rPr>
      </w:pPr>
      <w:r>
        <w:rPr>
          <w:rFonts w:hint="eastAsia" w:ascii="仿宋" w:hAnsi="仿宋" w:eastAsia="仿宋" w:cs="仿宋"/>
          <w:sz w:val="24"/>
        </w:rPr>
        <w:t>4、改善公共服务和人居环境。切实改善人居环境品质，衔接相关技术标准和专项规划，以未来科技城总部中心和未来科技文化中心为主轴，落实市级、区级重要公共服务设施，科学合理布局各级各类公共服务设施，统筹协调跨单元公共服务设施共建共享。优化居住空间布局和结构，强化地区内职住平衡。突出单元创新共享、蓝绿交织、城园融合的独特景观风貌，完善公园休憩体系，营造公共开放空间。</w:t>
      </w:r>
    </w:p>
    <w:p>
      <w:pPr>
        <w:spacing w:line="540" w:lineRule="exact"/>
        <w:ind w:firstLine="640"/>
        <w:rPr>
          <w:rFonts w:ascii="仿宋" w:hAnsi="仿宋" w:eastAsia="仿宋" w:cs="仿宋"/>
          <w:sz w:val="24"/>
        </w:rPr>
      </w:pPr>
      <w:r>
        <w:rPr>
          <w:rFonts w:hint="eastAsia" w:ascii="仿宋" w:hAnsi="仿宋" w:eastAsia="仿宋" w:cs="仿宋"/>
          <w:sz w:val="24"/>
        </w:rPr>
        <w:t>5、完善综合交通和市政设施。落实市级重要区域交通设施、城市轨道交通、主干路网，加强交通廊道预控，理顺城市交通网络，做好公共中心立体交通组织，衔接轨道交通规划，深化细化各级路网、交通场站等综合交通体系</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形成“小街区、密路网”城市空间网络结构，</w:t>
      </w:r>
      <w:r>
        <w:rPr>
          <w:rFonts w:hint="eastAsia" w:ascii="仿宋" w:hAnsi="仿宋" w:eastAsia="仿宋" w:cs="仿宋"/>
          <w:sz w:val="24"/>
        </w:rPr>
        <w:t>做好与周边单元交界地区的通道衔接。落实市级重要区域性市政设施、设施通道和应急避难场所，深化细化各类管线管廊、基础设施地块和控制要求，做好与周边单元交界地区的容量协调和廊道衔接。开展市政和交通承载能力分析，涉及重大安全风险的区域应开展安全风险评价。</w:t>
      </w:r>
    </w:p>
    <w:p>
      <w:pPr>
        <w:spacing w:line="540" w:lineRule="exact"/>
        <w:ind w:firstLine="640"/>
        <w:rPr>
          <w:rFonts w:ascii="仿宋" w:hAnsi="仿宋" w:eastAsia="仿宋" w:cs="仿宋"/>
          <w:sz w:val="24"/>
        </w:rPr>
      </w:pPr>
      <w:r>
        <w:rPr>
          <w:rFonts w:hint="eastAsia" w:ascii="仿宋" w:hAnsi="仿宋" w:eastAsia="仿宋" w:cs="仿宋"/>
          <w:sz w:val="24"/>
        </w:rPr>
        <w:t>6、做好生态保护和农业农村。按照“山水林田湖草”全要素管控的要求，对单元内城镇开发边界以外的生态和农业空间，按照上位规划和相关要求，进行底线管控、用途管制和适度利用，做好耕地保护、生态保护和修复、全域土地综合整治等规划内容，处理好重点区块和永久基本农田的关系，按照村庄规划相关要求进行详细规划编制。</w:t>
      </w:r>
    </w:p>
    <w:p>
      <w:pPr>
        <w:spacing w:line="540" w:lineRule="exact"/>
        <w:ind w:firstLine="640"/>
        <w:rPr>
          <w:rFonts w:ascii="仿宋" w:hAnsi="仿宋" w:eastAsia="仿宋" w:cs="仿宋"/>
          <w:sz w:val="24"/>
        </w:rPr>
      </w:pPr>
      <w:r>
        <w:rPr>
          <w:rFonts w:hint="eastAsia" w:ascii="仿宋" w:hAnsi="仿宋" w:eastAsia="仿宋" w:cs="仿宋"/>
          <w:sz w:val="24"/>
        </w:rPr>
        <w:t>7、加强城市设计及管控。加强控规单元城市天际线的研究，注重与西溪湿地的城市风貌的协调。将城市设计贯穿于控规编制全过程，与控规同步编制单元层面概念性城市设计和重点地区城市设计，做好与地区已编城市设计的充分衔接。</w:t>
      </w:r>
      <w:r>
        <w:rPr>
          <w:rFonts w:hint="eastAsia" w:ascii="仿宋" w:hAnsi="仿宋" w:eastAsia="仿宋" w:cs="仿宋"/>
          <w:b/>
          <w:bCs/>
          <w:sz w:val="24"/>
        </w:rPr>
        <w:t>一是单元层面开展全覆盖的概念性城市设计</w:t>
      </w:r>
      <w:r>
        <w:rPr>
          <w:rFonts w:hint="eastAsia" w:ascii="仿宋" w:hAnsi="仿宋" w:eastAsia="仿宋" w:cs="仿宋"/>
          <w:sz w:val="24"/>
        </w:rPr>
        <w:t>。保护单元山水空间特色，营造独特城市形态，落实上位规划对总体空间建筑形态的相关要求，细化高度分区、重要节点和轴线控制等相关内容。</w:t>
      </w:r>
      <w:r>
        <w:rPr>
          <w:rFonts w:hint="eastAsia" w:ascii="仿宋" w:hAnsi="仿宋" w:eastAsia="仿宋" w:cs="仿宋"/>
          <w:b/>
          <w:bCs/>
          <w:sz w:val="24"/>
        </w:rPr>
        <w:t>二是单元内划定重点地区，开展重点地区城市设计。</w:t>
      </w:r>
      <w:r>
        <w:rPr>
          <w:rFonts w:hint="eastAsia" w:ascii="仿宋" w:hAnsi="仿宋" w:eastAsia="仿宋" w:cs="仿宋"/>
          <w:sz w:val="24"/>
        </w:rPr>
        <w:t>落实单元层面概念性城市设计要求，细化深化城市详细设计，并以控规法定要求落实为法定文本和图集。按照统一数字化标准完成单元层面的概念性城市设计三维模型和重点地区城市设计三维模型并入库。</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（二）工作要求</w:t>
      </w:r>
    </w:p>
    <w:p>
      <w:pPr>
        <w:spacing w:line="540" w:lineRule="exact"/>
        <w:ind w:firstLine="480" w:firstLineChars="200"/>
        <w:rPr>
          <w:rFonts w:ascii="仿宋" w:hAnsi="仿宋" w:eastAsia="仿宋" w:cs="仿宋"/>
          <w:sz w:val="24"/>
        </w:rPr>
      </w:pPr>
      <w:r>
        <w:rPr>
          <w:rFonts w:hint="eastAsia" w:ascii="仿宋" w:hAnsi="仿宋" w:eastAsia="仿宋" w:cs="仿宋"/>
          <w:sz w:val="24"/>
        </w:rPr>
        <w:t>1、积极开展过程协调。规划编制团队应具备快速反应的服务能力和全过程的服务意识，与《杭州城西科创大走廊详规划编制指引》编制团队同步推进。配合开展技术例会、数据检测等不同形式的过程管理，例会形式参与由相邻控规单元的沟通衔接和专项推进的驻场工作，实时跟踪对接在编杭州市相关专项规划、技术标准，及时更新控规成果，做好技术对接。</w:t>
      </w:r>
    </w:p>
    <w:p>
      <w:pPr>
        <w:spacing w:line="540" w:lineRule="exact"/>
        <w:ind w:firstLine="640"/>
        <w:rPr>
          <w:rFonts w:ascii="仿宋" w:hAnsi="仿宋" w:eastAsia="仿宋" w:cs="仿宋"/>
          <w:sz w:val="24"/>
        </w:rPr>
      </w:pPr>
      <w:r>
        <w:rPr>
          <w:rFonts w:hint="eastAsia" w:ascii="仿宋" w:hAnsi="仿宋" w:eastAsia="仿宋" w:cs="仿宋"/>
          <w:sz w:val="24"/>
        </w:rPr>
        <w:t>2、规划智编智审。以杭州市空间智治数字化平台为依托，强化规划编制审查的底图化办公与编制和数字化呈现与审查。按照甲方组织要求做好包括现状用地图、规划用地图、概念性城市设计三维模型和重点地区城市设计三维模型等在内的一系列相关数据成果的审查及入库，数据格式应符合统一标准，数据提交审查应严格按时保质完成。</w:t>
      </w:r>
    </w:p>
    <w:p>
      <w:pPr>
        <w:spacing w:line="540" w:lineRule="exact"/>
        <w:ind w:firstLine="640"/>
        <w:rPr>
          <w:rFonts w:ascii="仿宋" w:hAnsi="仿宋" w:eastAsia="仿宋" w:cs="仿宋"/>
          <w:sz w:val="24"/>
        </w:rPr>
      </w:pPr>
      <w:r>
        <w:rPr>
          <w:rFonts w:hint="eastAsia" w:ascii="仿宋" w:hAnsi="仿宋" w:eastAsia="仿宋" w:cs="仿宋"/>
          <w:sz w:val="24"/>
        </w:rPr>
        <w:t>3、落实“阳光规划”编制要求。做好项目前期公众调查、中后期意见征求、相关意见回复等工作，形成公众参与篇章。积极配合开展与本项目有相关的规划方案公示、意见收集整理及反馈、规划宣传、解释等各类会议及活动。项目编制完成后，需继续按照质量维护期要求，对单元内涉及控规动态维护的内容做好技术支持服务。</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（三）成果要求</w:t>
      </w:r>
    </w:p>
    <w:p>
      <w:pPr>
        <w:pStyle w:val="130"/>
        <w:spacing w:before="0" w:line="540" w:lineRule="exact"/>
        <w:ind w:firstLine="480"/>
        <w:rPr>
          <w:rFonts w:ascii="仿宋" w:hAnsi="仿宋" w:eastAsia="仿宋" w:cs="仿宋"/>
          <w:szCs w:val="24"/>
        </w:rPr>
      </w:pPr>
      <w:r>
        <w:rPr>
          <w:rFonts w:hint="eastAsia" w:ascii="仿宋" w:hAnsi="仿宋" w:eastAsia="仿宋" w:cs="仿宋"/>
          <w:szCs w:val="24"/>
        </w:rPr>
        <w:t>1、成果要求数字化。最终成果应包括：法定文件、技术文件、附件、控规数据库及城市设计三维模型库（数据库标准另行制定）。</w:t>
      </w:r>
    </w:p>
    <w:p>
      <w:pPr>
        <w:pStyle w:val="130"/>
        <w:spacing w:before="0" w:line="540" w:lineRule="exact"/>
        <w:ind w:firstLine="480"/>
        <w:rPr>
          <w:rFonts w:ascii="仿宋" w:hAnsi="仿宋" w:eastAsia="仿宋" w:cs="仿宋"/>
          <w:szCs w:val="24"/>
        </w:rPr>
      </w:pPr>
      <w:r>
        <w:rPr>
          <w:rFonts w:hint="eastAsia" w:ascii="仿宋" w:hAnsi="仿宋" w:eastAsia="仿宋" w:cs="仿宋"/>
          <w:szCs w:val="24"/>
        </w:rPr>
        <w:t>2、规划成果包括中审稿、送审稿、报批稿和成果稿四个阶段成果。中间成果提交25套，电子文档（光盘）2套；送审成果提交25套，电子文档（光盘）2套；报批稿6套，电子文档（光盘）6套；最终成果提交6套，电子文档（光盘）6套，（具体数量根据实际需求有所变动）。</w:t>
      </w:r>
    </w:p>
    <w:p>
      <w:pPr>
        <w:pStyle w:val="130"/>
        <w:spacing w:before="0" w:line="540" w:lineRule="exact"/>
        <w:ind w:firstLine="480"/>
        <w:rPr>
          <w:rFonts w:ascii="仿宋" w:hAnsi="仿宋" w:eastAsia="仿宋" w:cs="仿宋"/>
          <w:szCs w:val="24"/>
        </w:rPr>
      </w:pPr>
      <w:r>
        <w:rPr>
          <w:rFonts w:hint="eastAsia" w:ascii="仿宋" w:hAnsi="仿宋" w:eastAsia="仿宋" w:cs="仿宋"/>
          <w:szCs w:val="24"/>
        </w:rPr>
        <w:t>3、电子文档：包括文本电子文档（doc、pdf、ppt等）以及图纸电子文档（含dwg、jpg等）、控规入库数据库矢量文件和三维模型矢量文件，且电子矢量文件必须为可编辑（具体文件格式另行规定）。</w:t>
      </w:r>
    </w:p>
    <w:p>
      <w:pPr>
        <w:spacing w:line="560" w:lineRule="exact"/>
        <w:ind w:firstLine="482" w:firstLineChars="200"/>
        <w:rPr>
          <w:rFonts w:ascii="仿宋" w:hAnsi="仿宋" w:eastAsia="仿宋" w:cs="仿宋"/>
          <w:b/>
          <w:sz w:val="24"/>
        </w:rPr>
      </w:pPr>
      <w:r>
        <w:rPr>
          <w:rFonts w:hint="eastAsia" w:ascii="仿宋" w:hAnsi="仿宋" w:eastAsia="仿宋" w:cs="仿宋"/>
          <w:b/>
          <w:sz w:val="24"/>
        </w:rPr>
        <w:t>四、工作进度</w:t>
      </w:r>
    </w:p>
    <w:p>
      <w:pPr>
        <w:ind w:firstLine="640"/>
        <w:rPr>
          <w:rFonts w:ascii="仿宋" w:hAnsi="仿宋" w:eastAsia="仿宋" w:cs="仿宋"/>
          <w:sz w:val="24"/>
        </w:rPr>
      </w:pPr>
      <w:r>
        <w:rPr>
          <w:rFonts w:hint="eastAsia" w:ascii="仿宋" w:hAnsi="仿宋" w:eastAsia="仿宋" w:cs="仿宋"/>
          <w:sz w:val="24"/>
        </w:rPr>
        <w:t>2022年9月30日前，完成中间成果；</w:t>
      </w:r>
    </w:p>
    <w:p>
      <w:pPr>
        <w:ind w:firstLine="640"/>
        <w:rPr>
          <w:rFonts w:ascii="仿宋" w:hAnsi="仿宋" w:eastAsia="仿宋" w:cs="仿宋"/>
          <w:sz w:val="24"/>
        </w:rPr>
      </w:pPr>
      <w:r>
        <w:rPr>
          <w:rFonts w:hint="eastAsia" w:ascii="仿宋" w:hAnsi="仿宋" w:eastAsia="仿宋" w:cs="仿宋"/>
          <w:sz w:val="24"/>
        </w:rPr>
        <w:t>2022年12月10日前，完成送审成果。</w:t>
      </w:r>
    </w:p>
    <w:p>
      <w:pPr>
        <w:rPr>
          <w:rFonts w:ascii="仿宋" w:hAnsi="仿宋" w:eastAsia="仿宋" w:cs="仿宋"/>
          <w:b/>
          <w:sz w:val="24"/>
        </w:rPr>
      </w:pPr>
      <w:r>
        <w:rPr>
          <w:rFonts w:hint="eastAsia" w:ascii="仿宋" w:hAnsi="仿宋" w:eastAsia="仿宋" w:cs="仿宋"/>
          <w:b/>
          <w:sz w:val="24"/>
        </w:rPr>
        <w:br w:type="page"/>
      </w:r>
    </w:p>
    <w:p>
      <w:pPr>
        <w:spacing w:line="560" w:lineRule="exact"/>
        <w:ind w:firstLine="482" w:firstLineChars="200"/>
        <w:rPr>
          <w:rFonts w:ascii="仿宋" w:hAnsi="仿宋" w:eastAsia="仿宋" w:cs="仿宋"/>
          <w:b/>
          <w:sz w:val="24"/>
        </w:rPr>
      </w:pPr>
      <w:r>
        <w:rPr>
          <w:rFonts w:hint="eastAsia" w:ascii="仿宋" w:hAnsi="仿宋" w:eastAsia="仿宋" w:cs="仿宋"/>
          <w:b/>
          <w:sz w:val="24"/>
        </w:rPr>
        <w:t>五、支付进度</w:t>
      </w:r>
    </w:p>
    <w:p>
      <w:pPr>
        <w:numPr>
          <w:ilvl w:val="0"/>
          <w:numId w:val="2"/>
        </w:numPr>
        <w:adjustRightInd/>
        <w:spacing w:line="360" w:lineRule="auto"/>
        <w:rPr>
          <w:rFonts w:ascii="仿宋" w:hAnsi="仿宋" w:eastAsia="仿宋" w:cs="仿宋"/>
          <w:b/>
          <w:sz w:val="24"/>
        </w:rPr>
      </w:pPr>
      <w:r>
        <w:rPr>
          <w:rFonts w:hint="eastAsia" w:ascii="仿宋" w:hAnsi="仿宋" w:eastAsia="仿宋" w:cs="仿宋"/>
          <w:b/>
          <w:sz w:val="24"/>
        </w:rPr>
        <w:t>付款方式采用分期付款，具体付款阶段和支付比例：</w:t>
      </w:r>
    </w:p>
    <w:tbl>
      <w:tblPr>
        <w:tblStyle w:val="64"/>
        <w:tblW w:w="9072"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237"/>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6237" w:type="dxa"/>
            <w:shd w:val="pct20" w:color="auto" w:fill="FFFFFF"/>
            <w:vAlign w:val="center"/>
          </w:tcPr>
          <w:p>
            <w:pPr>
              <w:spacing w:line="360" w:lineRule="auto"/>
              <w:ind w:firstLine="200"/>
              <w:jc w:val="center"/>
              <w:rPr>
                <w:rFonts w:ascii="仿宋" w:hAnsi="仿宋" w:eastAsia="仿宋" w:cs="仿宋"/>
                <w:b/>
                <w:color w:val="auto"/>
                <w:sz w:val="24"/>
              </w:rPr>
            </w:pPr>
            <w:r>
              <w:rPr>
                <w:rFonts w:hint="eastAsia" w:ascii="仿宋" w:hAnsi="仿宋" w:eastAsia="仿宋" w:cs="仿宋"/>
                <w:b/>
                <w:color w:val="auto"/>
                <w:sz w:val="24"/>
              </w:rPr>
              <w:t>付 款 阶 段</w:t>
            </w:r>
          </w:p>
        </w:tc>
        <w:tc>
          <w:tcPr>
            <w:tcW w:w="2835" w:type="dxa"/>
            <w:tcBorders>
              <w:bottom w:val="nil"/>
            </w:tcBorders>
            <w:shd w:val="pct20" w:color="auto" w:fill="FFFFFF"/>
            <w:vAlign w:val="center"/>
          </w:tcPr>
          <w:p>
            <w:pPr>
              <w:spacing w:line="360" w:lineRule="auto"/>
              <w:jc w:val="center"/>
              <w:rPr>
                <w:rFonts w:ascii="仿宋" w:hAnsi="仿宋" w:eastAsia="仿宋" w:cs="仿宋"/>
                <w:color w:val="auto"/>
                <w:sz w:val="24"/>
              </w:rPr>
            </w:pPr>
            <w:r>
              <w:rPr>
                <w:rFonts w:hint="eastAsia" w:ascii="仿宋" w:hAnsi="仿宋" w:eastAsia="仿宋" w:cs="仿宋"/>
                <w:b/>
                <w:color w:val="auto"/>
                <w:sz w:val="24"/>
              </w:rPr>
              <w:t>支付金额占合同价格的比例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1" w:hRule="atLeast"/>
        </w:trPr>
        <w:tc>
          <w:tcPr>
            <w:tcW w:w="6237" w:type="dxa"/>
          </w:tcPr>
          <w:p>
            <w:pPr>
              <w:autoSpaceDE w:val="0"/>
              <w:autoSpaceDN w:val="0"/>
              <w:spacing w:line="360" w:lineRule="auto"/>
              <w:rPr>
                <w:rFonts w:ascii="仿宋" w:hAnsi="仿宋" w:eastAsia="仿宋" w:cs="仿宋"/>
                <w:bCs/>
                <w:color w:val="auto"/>
                <w:sz w:val="24"/>
                <w:highlight w:val="none"/>
              </w:rPr>
            </w:pPr>
            <w:r>
              <w:rPr>
                <w:rFonts w:hint="eastAsia" w:ascii="仿宋" w:hAnsi="仿宋" w:eastAsia="仿宋" w:cs="仿宋"/>
                <w:color w:val="auto"/>
                <w:sz w:val="24"/>
                <w:highlight w:val="none"/>
              </w:rPr>
              <w:t>第一期付款：合同生效后</w:t>
            </w:r>
            <w:r>
              <w:rPr>
                <w:rFonts w:ascii="仿宋" w:hAnsi="仿宋" w:eastAsia="仿宋" w:cs="仿宋"/>
                <w:color w:val="auto"/>
                <w:sz w:val="24"/>
                <w:highlight w:val="none"/>
              </w:rPr>
              <w:t>7</w:t>
            </w:r>
            <w:r>
              <w:rPr>
                <w:rFonts w:hint="eastAsia" w:ascii="仿宋" w:hAnsi="仿宋" w:eastAsia="仿宋" w:cs="仿宋"/>
                <w:color w:val="auto"/>
                <w:sz w:val="24"/>
                <w:highlight w:val="none"/>
              </w:rPr>
              <w:t>日内，甲方向乙方支付合同总金额的40%。</w:t>
            </w:r>
          </w:p>
        </w:tc>
        <w:tc>
          <w:tcPr>
            <w:tcW w:w="2835" w:type="dxa"/>
            <w:vAlign w:val="center"/>
          </w:tcPr>
          <w:p>
            <w:pPr>
              <w:spacing w:line="360" w:lineRule="auto"/>
              <w:ind w:firstLine="200"/>
              <w:jc w:val="center"/>
              <w:rPr>
                <w:rFonts w:ascii="仿宋" w:hAnsi="仿宋" w:eastAsia="仿宋" w:cs="仿宋"/>
                <w:color w:val="auto"/>
                <w:sz w:val="24"/>
                <w:highlight w:val="none"/>
              </w:rPr>
            </w:pPr>
            <w:r>
              <w:rPr>
                <w:rFonts w:hint="eastAsia" w:ascii="仿宋" w:hAnsi="仿宋" w:eastAsia="仿宋" w:cs="仿宋"/>
                <w:color w:val="auto"/>
                <w:sz w:val="24"/>
                <w:highlight w:val="none"/>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1" w:hRule="atLeast"/>
        </w:trPr>
        <w:tc>
          <w:tcPr>
            <w:tcW w:w="6237" w:type="dxa"/>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第二期付款：乙方按照双方进度约定完成中间成果后，并经甲方组织专家和部门审查达到技术要求的，甲方在出具审核同意的会议纪要后支付合同总金额的</w:t>
            </w:r>
            <w:r>
              <w:rPr>
                <w:rFonts w:hint="eastAsia" w:ascii="仿宋" w:hAnsi="仿宋" w:eastAsia="仿宋" w:cs="仿宋"/>
                <w:bCs/>
                <w:color w:val="auto"/>
                <w:sz w:val="24"/>
                <w:highlight w:val="none"/>
              </w:rPr>
              <w:t>30%。</w:t>
            </w:r>
          </w:p>
        </w:tc>
        <w:tc>
          <w:tcPr>
            <w:tcW w:w="2835" w:type="dxa"/>
            <w:vAlign w:val="center"/>
          </w:tcPr>
          <w:p>
            <w:pPr>
              <w:spacing w:line="360" w:lineRule="auto"/>
              <w:ind w:firstLine="200"/>
              <w:jc w:val="center"/>
              <w:rPr>
                <w:rFonts w:ascii="仿宋" w:hAnsi="仿宋" w:eastAsia="仿宋" w:cs="仿宋"/>
                <w:color w:val="auto"/>
                <w:sz w:val="24"/>
                <w:highlight w:val="none"/>
              </w:rPr>
            </w:pPr>
            <w:r>
              <w:rPr>
                <w:rFonts w:hint="eastAsia" w:ascii="仿宋" w:hAnsi="仿宋" w:eastAsia="仿宋" w:cs="仿宋"/>
                <w:color w:val="auto"/>
                <w:sz w:val="24"/>
                <w:highlight w:val="none"/>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1" w:hRule="atLeast"/>
        </w:trPr>
        <w:tc>
          <w:tcPr>
            <w:tcW w:w="6237" w:type="dxa"/>
          </w:tcPr>
          <w:p>
            <w:pPr>
              <w:autoSpaceDE w:val="0"/>
              <w:autoSpaceDN w:val="0"/>
              <w:spacing w:line="360" w:lineRule="auto"/>
              <w:rPr>
                <w:rFonts w:ascii="仿宋" w:hAnsi="仿宋" w:eastAsia="仿宋" w:cs="仿宋"/>
                <w:b/>
                <w:bCs/>
                <w:color w:val="auto"/>
                <w:sz w:val="24"/>
                <w:highlight w:val="none"/>
              </w:rPr>
            </w:pPr>
            <w:r>
              <w:rPr>
                <w:rFonts w:hint="eastAsia" w:ascii="仿宋" w:hAnsi="仿宋" w:eastAsia="仿宋" w:cs="仿宋"/>
                <w:color w:val="auto"/>
                <w:sz w:val="24"/>
                <w:highlight w:val="none"/>
              </w:rPr>
              <w:t>第三期付款：乙方按照双方进度约定完成</w:t>
            </w:r>
            <w:r>
              <w:rPr>
                <w:rFonts w:hint="eastAsia" w:ascii="仿宋" w:hAnsi="仿宋" w:eastAsia="仿宋" w:cs="仿宋"/>
                <w:color w:val="auto"/>
                <w:sz w:val="24"/>
                <w:highlight w:val="none"/>
                <w:lang w:eastAsia="zh-CN"/>
              </w:rPr>
              <w:t>报批</w:t>
            </w:r>
            <w:r>
              <w:rPr>
                <w:rFonts w:hint="eastAsia" w:ascii="仿宋" w:hAnsi="仿宋" w:eastAsia="仿宋" w:cs="仿宋"/>
                <w:color w:val="auto"/>
                <w:sz w:val="24"/>
                <w:highlight w:val="none"/>
              </w:rPr>
              <w:t>成果后，2023年预算下达后支付合同总金额的</w:t>
            </w:r>
            <w:r>
              <w:rPr>
                <w:rFonts w:hint="eastAsia" w:ascii="仿宋" w:hAnsi="仿宋" w:eastAsia="仿宋" w:cs="仿宋"/>
                <w:bCs/>
                <w:color w:val="auto"/>
                <w:sz w:val="24"/>
                <w:highlight w:val="none"/>
              </w:rPr>
              <w:t>30%（以财政下达预算后实际支付时间为准）。</w:t>
            </w:r>
          </w:p>
        </w:tc>
        <w:tc>
          <w:tcPr>
            <w:tcW w:w="2835" w:type="dxa"/>
            <w:vAlign w:val="center"/>
          </w:tcPr>
          <w:p>
            <w:pPr>
              <w:spacing w:line="360" w:lineRule="auto"/>
              <w:ind w:firstLine="200"/>
              <w:jc w:val="center"/>
              <w:rPr>
                <w:rFonts w:ascii="仿宋" w:hAnsi="仿宋" w:eastAsia="仿宋" w:cs="仿宋"/>
                <w:color w:val="auto"/>
                <w:sz w:val="24"/>
                <w:highlight w:val="none"/>
              </w:rPr>
            </w:pPr>
            <w:r>
              <w:rPr>
                <w:rFonts w:hint="eastAsia" w:ascii="仿宋" w:hAnsi="仿宋" w:eastAsia="仿宋" w:cs="仿宋"/>
                <w:color w:val="auto"/>
                <w:sz w:val="24"/>
                <w:highlight w:val="none"/>
              </w:rPr>
              <w:t>30%</w:t>
            </w:r>
          </w:p>
        </w:tc>
      </w:tr>
    </w:tbl>
    <w:p>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六、其他</w:t>
      </w:r>
    </w:p>
    <w:p>
      <w:pPr>
        <w:spacing w:line="360" w:lineRule="auto"/>
        <w:ind w:firstLine="424" w:firstLineChars="177"/>
        <w:rPr>
          <w:rFonts w:ascii="仿宋" w:hAnsi="仿宋" w:eastAsia="仿宋" w:cs="仿宋"/>
          <w:color w:val="auto"/>
          <w:sz w:val="24"/>
          <w:highlight w:val="none"/>
        </w:rPr>
      </w:pPr>
      <w:r>
        <w:rPr>
          <w:rFonts w:hint="eastAsia" w:ascii="仿宋" w:hAnsi="仿宋" w:eastAsia="仿宋" w:cs="仿宋"/>
          <w:color w:val="auto"/>
          <w:sz w:val="24"/>
          <w:highlight w:val="none"/>
        </w:rPr>
        <w:t>投标文件中技术文件部分建议不超过120页。</w:t>
      </w:r>
    </w:p>
    <w:p>
      <w:pPr>
        <w:spacing w:line="360" w:lineRule="auto"/>
        <w:rPr>
          <w:rFonts w:ascii="仿宋" w:hAnsi="仿宋" w:eastAsia="仿宋"/>
          <w:sz w:val="24"/>
        </w:rPr>
      </w:pPr>
    </w:p>
    <w:p>
      <w:pPr>
        <w:widowControl/>
        <w:ind w:firstLine="720" w:firstLineChars="300"/>
        <w:jc w:val="left"/>
        <w:rPr>
          <w:rFonts w:ascii="仿宋" w:hAnsi="仿宋" w:eastAsia="仿宋"/>
          <w:bCs/>
          <w:sz w:val="24"/>
        </w:rPr>
      </w:pPr>
    </w:p>
    <w:p>
      <w:pPr>
        <w:rPr>
          <w:rFonts w:ascii="仿宋" w:hAnsi="仿宋" w:eastAsia="仿宋" w:cs="Arial"/>
          <w:snapToGrid w:val="0"/>
          <w:kern w:val="0"/>
          <w:sz w:val="24"/>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0334"/>
      <w:bookmarkEnd w:id="27"/>
      <w:bookmarkStart w:id="28" w:name="_Toc184312105"/>
      <w:bookmarkEnd w:id="28"/>
      <w:bookmarkStart w:id="29" w:name="_Toc184310286"/>
      <w:bookmarkEnd w:id="29"/>
      <w:bookmarkStart w:id="30" w:name="_Toc184308044"/>
      <w:bookmarkEnd w:id="30"/>
      <w:bookmarkStart w:id="31" w:name="_Toc184310291"/>
      <w:bookmarkEnd w:id="31"/>
      <w:bookmarkStart w:id="32" w:name="_Toc184308060"/>
      <w:bookmarkEnd w:id="32"/>
      <w:bookmarkStart w:id="33" w:name="_Toc184313260"/>
      <w:bookmarkEnd w:id="33"/>
      <w:bookmarkStart w:id="34" w:name="_Toc184308105"/>
      <w:bookmarkEnd w:id="34"/>
      <w:bookmarkStart w:id="35" w:name="_Toc184308055"/>
      <w:bookmarkEnd w:id="35"/>
      <w:bookmarkStart w:id="36" w:name="_Toc184310288"/>
      <w:bookmarkEnd w:id="36"/>
      <w:bookmarkStart w:id="37" w:name="_Toc184312072"/>
      <w:bookmarkEnd w:id="37"/>
      <w:bookmarkStart w:id="38" w:name="_Toc184314440"/>
      <w:bookmarkEnd w:id="38"/>
      <w:bookmarkStart w:id="39" w:name="_Toc184314416"/>
      <w:bookmarkEnd w:id="39"/>
      <w:bookmarkStart w:id="40" w:name="_Toc184308079"/>
      <w:bookmarkEnd w:id="40"/>
      <w:bookmarkStart w:id="41" w:name="_Toc184314451"/>
      <w:bookmarkEnd w:id="41"/>
      <w:bookmarkStart w:id="42" w:name="_Toc184314454"/>
      <w:bookmarkEnd w:id="42"/>
      <w:bookmarkStart w:id="43" w:name="_Toc184312126"/>
      <w:bookmarkEnd w:id="43"/>
      <w:bookmarkStart w:id="44" w:name="_Toc184313261"/>
      <w:bookmarkEnd w:id="44"/>
      <w:bookmarkStart w:id="45" w:name="_Toc184308104"/>
      <w:bookmarkEnd w:id="45"/>
      <w:bookmarkStart w:id="46" w:name="_Toc184310311"/>
      <w:bookmarkEnd w:id="46"/>
      <w:bookmarkStart w:id="47" w:name="_Toc184313291"/>
      <w:bookmarkEnd w:id="47"/>
      <w:bookmarkStart w:id="48" w:name="_Toc184312081"/>
      <w:bookmarkEnd w:id="48"/>
      <w:bookmarkStart w:id="49" w:name="_Toc184314411"/>
      <w:bookmarkEnd w:id="49"/>
      <w:bookmarkStart w:id="50" w:name="_Toc184310322"/>
      <w:bookmarkEnd w:id="50"/>
      <w:bookmarkStart w:id="51" w:name="_Toc184312116"/>
      <w:bookmarkEnd w:id="51"/>
      <w:bookmarkStart w:id="52" w:name="_Toc184308100"/>
      <w:bookmarkEnd w:id="52"/>
      <w:bookmarkStart w:id="53" w:name="_Toc184310287"/>
      <w:bookmarkEnd w:id="53"/>
      <w:bookmarkStart w:id="54" w:name="_Toc184308096"/>
      <w:bookmarkEnd w:id="54"/>
      <w:bookmarkStart w:id="55" w:name="_Toc184313244"/>
      <w:bookmarkEnd w:id="55"/>
      <w:bookmarkStart w:id="56" w:name="_Toc184310328"/>
      <w:bookmarkEnd w:id="56"/>
      <w:bookmarkStart w:id="57" w:name="_Toc184310276"/>
      <w:bookmarkEnd w:id="57"/>
      <w:bookmarkStart w:id="58" w:name="_Toc184308057"/>
      <w:bookmarkEnd w:id="58"/>
      <w:bookmarkStart w:id="59" w:name="_Toc184310280"/>
      <w:bookmarkEnd w:id="59"/>
      <w:bookmarkStart w:id="60" w:name="_Toc184312092"/>
      <w:bookmarkEnd w:id="60"/>
      <w:bookmarkStart w:id="61" w:name="_Toc184312073"/>
      <w:bookmarkEnd w:id="61"/>
      <w:bookmarkStart w:id="62" w:name="_Toc184312136"/>
      <w:bookmarkEnd w:id="62"/>
      <w:bookmarkStart w:id="63" w:name="_Toc184314449"/>
      <w:bookmarkEnd w:id="63"/>
      <w:bookmarkStart w:id="64" w:name="_Toc184312084"/>
      <w:bookmarkEnd w:id="64"/>
      <w:bookmarkStart w:id="65" w:name="_Toc184310290"/>
      <w:bookmarkEnd w:id="65"/>
      <w:bookmarkStart w:id="66" w:name="_Toc184314459"/>
      <w:bookmarkEnd w:id="66"/>
      <w:bookmarkStart w:id="67" w:name="_Toc184312103"/>
      <w:bookmarkEnd w:id="67"/>
      <w:bookmarkStart w:id="68" w:name="_Toc184310343"/>
      <w:bookmarkEnd w:id="68"/>
      <w:bookmarkStart w:id="69" w:name="_Toc184312098"/>
      <w:bookmarkEnd w:id="69"/>
      <w:bookmarkStart w:id="70" w:name="_Toc184313307"/>
      <w:bookmarkEnd w:id="70"/>
      <w:bookmarkStart w:id="71" w:name="_Toc184308041"/>
      <w:bookmarkEnd w:id="71"/>
      <w:bookmarkStart w:id="72" w:name="_Toc184312101"/>
      <w:bookmarkEnd w:id="72"/>
      <w:bookmarkStart w:id="73" w:name="_Toc184310321"/>
      <w:bookmarkEnd w:id="73"/>
      <w:bookmarkStart w:id="74" w:name="_Toc184313245"/>
      <w:bookmarkEnd w:id="74"/>
      <w:bookmarkStart w:id="75" w:name="_Toc184314438"/>
      <w:bookmarkEnd w:id="75"/>
      <w:bookmarkStart w:id="76" w:name="_Toc184310324"/>
      <w:bookmarkEnd w:id="76"/>
      <w:bookmarkStart w:id="77" w:name="_Toc184308081"/>
      <w:bookmarkEnd w:id="77"/>
      <w:bookmarkStart w:id="78" w:name="_Toc184308087"/>
      <w:bookmarkEnd w:id="78"/>
      <w:bookmarkStart w:id="79" w:name="_Toc184310316"/>
      <w:bookmarkEnd w:id="79"/>
      <w:bookmarkStart w:id="80" w:name="_Toc184313268"/>
      <w:bookmarkEnd w:id="80"/>
      <w:bookmarkStart w:id="81" w:name="_Toc184314479"/>
      <w:bookmarkEnd w:id="81"/>
      <w:bookmarkStart w:id="82" w:name="_Toc184314425"/>
      <w:bookmarkEnd w:id="82"/>
      <w:bookmarkStart w:id="83" w:name="_Toc184313254"/>
      <w:bookmarkEnd w:id="83"/>
      <w:bookmarkStart w:id="84" w:name="_Toc184310309"/>
      <w:bookmarkEnd w:id="84"/>
      <w:bookmarkStart w:id="85" w:name="_Toc184308042"/>
      <w:bookmarkEnd w:id="85"/>
      <w:bookmarkStart w:id="86" w:name="_Toc184314418"/>
      <w:bookmarkEnd w:id="86"/>
      <w:bookmarkStart w:id="87" w:name="_Toc184310336"/>
      <w:bookmarkEnd w:id="87"/>
      <w:bookmarkStart w:id="88" w:name="_Toc184314477"/>
      <w:bookmarkEnd w:id="88"/>
      <w:bookmarkStart w:id="89" w:name="_Toc184313258"/>
      <w:bookmarkEnd w:id="89"/>
      <w:bookmarkStart w:id="90" w:name="_Toc184314478"/>
      <w:bookmarkEnd w:id="90"/>
      <w:bookmarkStart w:id="91" w:name="_Toc184310320"/>
      <w:bookmarkEnd w:id="91"/>
      <w:bookmarkStart w:id="92" w:name="_Toc184308080"/>
      <w:bookmarkEnd w:id="92"/>
      <w:bookmarkStart w:id="93" w:name="_Toc184313273"/>
      <w:bookmarkEnd w:id="93"/>
      <w:bookmarkStart w:id="94" w:name="_Toc184308050"/>
      <w:bookmarkEnd w:id="94"/>
      <w:bookmarkStart w:id="95" w:name="_Toc184314415"/>
      <w:bookmarkEnd w:id="95"/>
      <w:bookmarkStart w:id="96" w:name="_Toc184308101"/>
      <w:bookmarkEnd w:id="96"/>
      <w:bookmarkStart w:id="97" w:name="_Toc184308049"/>
      <w:bookmarkEnd w:id="97"/>
      <w:bookmarkStart w:id="98" w:name="_Toc184310312"/>
      <w:bookmarkEnd w:id="98"/>
      <w:bookmarkStart w:id="99" w:name="_Toc184310296"/>
      <w:bookmarkEnd w:id="99"/>
      <w:bookmarkStart w:id="100" w:name="_Toc184314450"/>
      <w:bookmarkEnd w:id="100"/>
      <w:bookmarkStart w:id="101" w:name="_Toc184310279"/>
      <w:bookmarkEnd w:id="101"/>
      <w:bookmarkStart w:id="102" w:name="_Toc184308073"/>
      <w:bookmarkEnd w:id="102"/>
      <w:bookmarkStart w:id="103" w:name="_Toc184313309"/>
      <w:bookmarkEnd w:id="103"/>
      <w:bookmarkStart w:id="104" w:name="_Toc184314472"/>
      <w:bookmarkEnd w:id="104"/>
      <w:bookmarkStart w:id="105" w:name="_Toc184312091"/>
      <w:bookmarkEnd w:id="105"/>
      <w:bookmarkStart w:id="106" w:name="_Toc184312085"/>
      <w:bookmarkEnd w:id="106"/>
      <w:bookmarkStart w:id="107" w:name="_Toc184314427"/>
      <w:bookmarkEnd w:id="107"/>
      <w:bookmarkStart w:id="108" w:name="_Toc184308054"/>
      <w:bookmarkEnd w:id="108"/>
      <w:bookmarkStart w:id="109" w:name="_Toc184314474"/>
      <w:bookmarkEnd w:id="109"/>
      <w:bookmarkStart w:id="110" w:name="_Toc184312134"/>
      <w:bookmarkEnd w:id="110"/>
      <w:bookmarkStart w:id="111" w:name="_Toc184314437"/>
      <w:bookmarkEnd w:id="111"/>
      <w:bookmarkStart w:id="112" w:name="_Toc184308038"/>
      <w:bookmarkEnd w:id="112"/>
      <w:bookmarkStart w:id="113" w:name="_Toc184312094"/>
      <w:bookmarkEnd w:id="113"/>
      <w:bookmarkStart w:id="114" w:name="_Toc184314417"/>
      <w:bookmarkEnd w:id="114"/>
      <w:bookmarkStart w:id="115" w:name="_Toc184310304"/>
      <w:bookmarkEnd w:id="115"/>
      <w:bookmarkStart w:id="116" w:name="_Toc184310298"/>
      <w:bookmarkEnd w:id="116"/>
      <w:bookmarkStart w:id="117" w:name="_Toc184314471"/>
      <w:bookmarkEnd w:id="117"/>
      <w:bookmarkStart w:id="118" w:name="_Toc184313275"/>
      <w:bookmarkEnd w:id="118"/>
      <w:bookmarkStart w:id="119" w:name="_Toc184313263"/>
      <w:bookmarkEnd w:id="119"/>
      <w:bookmarkStart w:id="120" w:name="_Toc184312106"/>
      <w:bookmarkEnd w:id="120"/>
      <w:bookmarkStart w:id="121" w:name="_Toc184313284"/>
      <w:bookmarkEnd w:id="121"/>
      <w:bookmarkStart w:id="122" w:name="_Toc184313239"/>
      <w:bookmarkEnd w:id="122"/>
      <w:bookmarkStart w:id="123" w:name="_Toc184310329"/>
      <w:bookmarkEnd w:id="123"/>
      <w:bookmarkStart w:id="124" w:name="_Toc184313306"/>
      <w:bookmarkEnd w:id="124"/>
      <w:bookmarkStart w:id="125" w:name="_Toc184310302"/>
      <w:bookmarkEnd w:id="125"/>
      <w:bookmarkStart w:id="126" w:name="_Toc184310339"/>
      <w:bookmarkEnd w:id="126"/>
      <w:bookmarkStart w:id="127" w:name="_Toc184312077"/>
      <w:bookmarkEnd w:id="127"/>
      <w:bookmarkStart w:id="128" w:name="_Toc184310278"/>
      <w:bookmarkEnd w:id="128"/>
      <w:bookmarkStart w:id="129" w:name="_Toc184310342"/>
      <w:bookmarkEnd w:id="129"/>
      <w:bookmarkStart w:id="130" w:name="_Toc184314429"/>
      <w:bookmarkEnd w:id="130"/>
      <w:bookmarkStart w:id="131" w:name="_Toc184313283"/>
      <w:bookmarkEnd w:id="131"/>
      <w:bookmarkStart w:id="132" w:name="_Toc184313278"/>
      <w:bookmarkEnd w:id="132"/>
      <w:bookmarkStart w:id="133" w:name="_Toc184313262"/>
      <w:bookmarkEnd w:id="133"/>
      <w:bookmarkStart w:id="134" w:name="_Toc184313259"/>
      <w:bookmarkEnd w:id="134"/>
      <w:bookmarkStart w:id="135" w:name="_Toc184308037"/>
      <w:bookmarkEnd w:id="135"/>
      <w:bookmarkStart w:id="136" w:name="_Toc184313303"/>
      <w:bookmarkEnd w:id="136"/>
      <w:bookmarkStart w:id="137" w:name="_Toc184312067"/>
      <w:bookmarkEnd w:id="137"/>
      <w:bookmarkStart w:id="138" w:name="_Toc184313246"/>
      <w:bookmarkEnd w:id="138"/>
      <w:bookmarkStart w:id="139" w:name="_Toc184308056"/>
      <w:bookmarkEnd w:id="139"/>
      <w:bookmarkStart w:id="140" w:name="_Toc184310335"/>
      <w:bookmarkEnd w:id="140"/>
      <w:bookmarkStart w:id="141" w:name="_Toc184310281"/>
      <w:bookmarkEnd w:id="141"/>
      <w:bookmarkStart w:id="142" w:name="_Toc184312120"/>
      <w:bookmarkEnd w:id="142"/>
      <w:bookmarkStart w:id="143" w:name="_Toc184308089"/>
      <w:bookmarkEnd w:id="143"/>
      <w:bookmarkStart w:id="144" w:name="_Toc184310318"/>
      <w:bookmarkEnd w:id="144"/>
      <w:bookmarkStart w:id="145" w:name="_Toc184314431"/>
      <w:bookmarkEnd w:id="145"/>
      <w:bookmarkStart w:id="146" w:name="_Toc184310338"/>
      <w:bookmarkEnd w:id="146"/>
      <w:bookmarkStart w:id="147" w:name="_Toc184308066"/>
      <w:bookmarkEnd w:id="147"/>
      <w:bookmarkStart w:id="148" w:name="_Toc184313288"/>
      <w:bookmarkEnd w:id="148"/>
      <w:bookmarkStart w:id="149" w:name="_Toc184314433"/>
      <w:bookmarkEnd w:id="149"/>
      <w:bookmarkStart w:id="150" w:name="_Toc184308106"/>
      <w:bookmarkEnd w:id="150"/>
      <w:bookmarkStart w:id="151" w:name="_Toc184312090"/>
      <w:bookmarkEnd w:id="151"/>
      <w:bookmarkStart w:id="152" w:name="_Toc184308040"/>
      <w:bookmarkEnd w:id="152"/>
      <w:bookmarkStart w:id="153" w:name="_Toc184310344"/>
      <w:bookmarkEnd w:id="153"/>
      <w:bookmarkStart w:id="154" w:name="_Toc184310300"/>
      <w:bookmarkEnd w:id="154"/>
      <w:bookmarkStart w:id="155" w:name="_Toc184308053"/>
      <w:bookmarkEnd w:id="155"/>
      <w:bookmarkStart w:id="156" w:name="_Toc184312129"/>
      <w:bookmarkEnd w:id="156"/>
      <w:bookmarkStart w:id="157" w:name="_Toc184313292"/>
      <w:bookmarkEnd w:id="157"/>
      <w:bookmarkStart w:id="158" w:name="_Toc184312083"/>
      <w:bookmarkEnd w:id="158"/>
      <w:bookmarkStart w:id="159" w:name="_Toc184312078"/>
      <w:bookmarkEnd w:id="159"/>
      <w:bookmarkStart w:id="160" w:name="_Toc184314464"/>
      <w:bookmarkEnd w:id="160"/>
      <w:bookmarkStart w:id="161" w:name="_Toc184308071"/>
      <w:bookmarkEnd w:id="161"/>
      <w:bookmarkStart w:id="162" w:name="_Toc184314414"/>
      <w:bookmarkEnd w:id="162"/>
      <w:bookmarkStart w:id="163" w:name="_Toc184314428"/>
      <w:bookmarkEnd w:id="163"/>
      <w:bookmarkStart w:id="164" w:name="_Toc184310285"/>
      <w:bookmarkEnd w:id="164"/>
      <w:bookmarkStart w:id="165" w:name="_Toc184314432"/>
      <w:bookmarkEnd w:id="165"/>
      <w:bookmarkStart w:id="166" w:name="_Toc184308039"/>
      <w:bookmarkEnd w:id="166"/>
      <w:bookmarkStart w:id="167" w:name="_Toc184314473"/>
      <w:bookmarkEnd w:id="167"/>
      <w:bookmarkStart w:id="168" w:name="_Toc184312125"/>
      <w:bookmarkEnd w:id="168"/>
      <w:bookmarkStart w:id="169" w:name="_Toc184310326"/>
      <w:bookmarkEnd w:id="169"/>
      <w:bookmarkStart w:id="170" w:name="_Toc184310317"/>
      <w:bookmarkEnd w:id="170"/>
      <w:bookmarkStart w:id="171" w:name="_Toc184310308"/>
      <w:bookmarkEnd w:id="171"/>
      <w:bookmarkStart w:id="172" w:name="_Toc184310330"/>
      <w:bookmarkEnd w:id="172"/>
      <w:bookmarkStart w:id="173" w:name="_Toc184312110"/>
      <w:bookmarkEnd w:id="173"/>
      <w:bookmarkStart w:id="174" w:name="_Toc184308103"/>
      <w:bookmarkEnd w:id="174"/>
      <w:bookmarkStart w:id="175" w:name="_Toc184313243"/>
      <w:bookmarkEnd w:id="175"/>
      <w:bookmarkStart w:id="176" w:name="_Toc184314426"/>
      <w:bookmarkEnd w:id="176"/>
      <w:bookmarkStart w:id="177" w:name="_Toc184312070"/>
      <w:bookmarkEnd w:id="177"/>
      <w:bookmarkStart w:id="178" w:name="_Toc184313253"/>
      <w:bookmarkEnd w:id="178"/>
      <w:bookmarkStart w:id="179" w:name="_Toc184314441"/>
      <w:bookmarkEnd w:id="179"/>
      <w:bookmarkStart w:id="180" w:name="_Toc184308074"/>
      <w:bookmarkEnd w:id="180"/>
      <w:bookmarkStart w:id="181" w:name="_Toc184310289"/>
      <w:bookmarkEnd w:id="181"/>
      <w:bookmarkStart w:id="182" w:name="_Toc184312069"/>
      <w:bookmarkEnd w:id="182"/>
      <w:bookmarkStart w:id="183" w:name="_Toc184313251"/>
      <w:bookmarkEnd w:id="183"/>
      <w:bookmarkStart w:id="184" w:name="_Toc184312112"/>
      <w:bookmarkEnd w:id="184"/>
      <w:bookmarkStart w:id="185" w:name="_Toc184314413"/>
      <w:bookmarkEnd w:id="185"/>
      <w:bookmarkStart w:id="186" w:name="_Toc184314443"/>
      <w:bookmarkEnd w:id="186"/>
      <w:bookmarkStart w:id="187" w:name="_Toc184314436"/>
      <w:bookmarkEnd w:id="187"/>
      <w:bookmarkStart w:id="188" w:name="_Toc184314448"/>
      <w:bookmarkEnd w:id="188"/>
      <w:bookmarkStart w:id="189" w:name="_Toc184310274"/>
      <w:bookmarkEnd w:id="189"/>
      <w:bookmarkStart w:id="190" w:name="_Toc184312093"/>
      <w:bookmarkEnd w:id="190"/>
      <w:bookmarkStart w:id="191" w:name="_Toc184308098"/>
      <w:bookmarkEnd w:id="191"/>
      <w:bookmarkStart w:id="192" w:name="_Toc184310273"/>
      <w:bookmarkEnd w:id="192"/>
      <w:bookmarkStart w:id="193" w:name="_Toc184308076"/>
      <w:bookmarkEnd w:id="193"/>
      <w:bookmarkStart w:id="194" w:name="_Toc184312111"/>
      <w:bookmarkEnd w:id="194"/>
      <w:bookmarkStart w:id="195" w:name="_Toc184312075"/>
      <w:bookmarkEnd w:id="195"/>
      <w:bookmarkStart w:id="196" w:name="_Toc184313282"/>
      <w:bookmarkEnd w:id="196"/>
      <w:bookmarkStart w:id="197" w:name="_Toc184314430"/>
      <w:bookmarkEnd w:id="197"/>
      <w:bookmarkStart w:id="198" w:name="_Toc184313269"/>
      <w:bookmarkEnd w:id="198"/>
      <w:bookmarkStart w:id="199" w:name="_Toc184308067"/>
      <w:bookmarkEnd w:id="199"/>
      <w:bookmarkStart w:id="200" w:name="_Toc184310292"/>
      <w:bookmarkEnd w:id="200"/>
      <w:bookmarkStart w:id="201" w:name="_Toc184313277"/>
      <w:bookmarkEnd w:id="201"/>
      <w:bookmarkStart w:id="202" w:name="_Toc184310337"/>
      <w:bookmarkEnd w:id="202"/>
      <w:bookmarkStart w:id="203" w:name="_Toc184308108"/>
      <w:bookmarkEnd w:id="203"/>
      <w:bookmarkStart w:id="204" w:name="_Toc184308052"/>
      <w:bookmarkEnd w:id="204"/>
      <w:bookmarkStart w:id="205" w:name="_Toc184310310"/>
      <w:bookmarkEnd w:id="205"/>
      <w:bookmarkStart w:id="206" w:name="_Toc184310297"/>
      <w:bookmarkEnd w:id="206"/>
      <w:bookmarkStart w:id="207" w:name="_Toc184313264"/>
      <w:bookmarkEnd w:id="207"/>
      <w:bookmarkStart w:id="208" w:name="_Toc184312100"/>
      <w:bookmarkEnd w:id="208"/>
      <w:bookmarkStart w:id="209" w:name="_Toc184313290"/>
      <w:bookmarkEnd w:id="209"/>
      <w:bookmarkStart w:id="210" w:name="_Toc184308075"/>
      <w:bookmarkEnd w:id="210"/>
      <w:bookmarkStart w:id="211" w:name="_Toc184313271"/>
      <w:bookmarkEnd w:id="211"/>
      <w:bookmarkStart w:id="212" w:name="_Toc184310282"/>
      <w:bookmarkEnd w:id="212"/>
      <w:bookmarkStart w:id="213" w:name="_Toc184310299"/>
      <w:bookmarkEnd w:id="213"/>
      <w:bookmarkStart w:id="214" w:name="_Toc184308043"/>
      <w:bookmarkEnd w:id="214"/>
      <w:bookmarkStart w:id="215" w:name="_Toc184312115"/>
      <w:bookmarkEnd w:id="215"/>
      <w:bookmarkStart w:id="216" w:name="_Toc184314455"/>
      <w:bookmarkEnd w:id="216"/>
      <w:bookmarkStart w:id="217" w:name="_Toc184308036"/>
      <w:bookmarkEnd w:id="217"/>
      <w:bookmarkStart w:id="218" w:name="_Toc184313266"/>
      <w:bookmarkEnd w:id="218"/>
      <w:bookmarkStart w:id="219" w:name="_Toc184308061"/>
      <w:bookmarkEnd w:id="219"/>
      <w:bookmarkStart w:id="220" w:name="_Toc184308045"/>
      <w:bookmarkEnd w:id="220"/>
      <w:bookmarkStart w:id="221" w:name="_Toc184310315"/>
      <w:bookmarkEnd w:id="221"/>
      <w:bookmarkStart w:id="222" w:name="_Toc184308058"/>
      <w:bookmarkEnd w:id="222"/>
      <w:bookmarkStart w:id="223" w:name="_Toc184312082"/>
      <w:bookmarkEnd w:id="223"/>
      <w:bookmarkStart w:id="224" w:name="_Toc184310293"/>
      <w:bookmarkEnd w:id="224"/>
      <w:bookmarkStart w:id="225" w:name="_Toc184308062"/>
      <w:bookmarkEnd w:id="225"/>
      <w:bookmarkStart w:id="226" w:name="_Toc184308047"/>
      <w:bookmarkEnd w:id="226"/>
      <w:bookmarkStart w:id="227" w:name="_Toc184314419"/>
      <w:bookmarkEnd w:id="227"/>
      <w:bookmarkStart w:id="228" w:name="_Toc184313257"/>
      <w:bookmarkEnd w:id="228"/>
      <w:bookmarkStart w:id="229" w:name="_Toc184312088"/>
      <w:bookmarkEnd w:id="229"/>
      <w:bookmarkStart w:id="230" w:name="_Toc184308085"/>
      <w:bookmarkEnd w:id="230"/>
      <w:bookmarkStart w:id="231" w:name="_Toc184308064"/>
      <w:bookmarkEnd w:id="231"/>
      <w:bookmarkStart w:id="232" w:name="_Toc184313294"/>
      <w:bookmarkEnd w:id="232"/>
      <w:bookmarkStart w:id="233" w:name="_Toc184313265"/>
      <w:bookmarkEnd w:id="233"/>
      <w:bookmarkStart w:id="234" w:name="_Toc184312137"/>
      <w:bookmarkEnd w:id="234"/>
      <w:bookmarkStart w:id="235" w:name="_Toc184312079"/>
      <w:bookmarkEnd w:id="235"/>
      <w:bookmarkStart w:id="236" w:name="_Toc184312097"/>
      <w:bookmarkEnd w:id="236"/>
      <w:bookmarkStart w:id="237" w:name="_Toc184313281"/>
      <w:bookmarkEnd w:id="237"/>
      <w:bookmarkStart w:id="238" w:name="_Toc184312117"/>
      <w:bookmarkEnd w:id="238"/>
      <w:bookmarkStart w:id="239" w:name="_Toc184314458"/>
      <w:bookmarkEnd w:id="239"/>
      <w:bookmarkStart w:id="240" w:name="_Toc184308048"/>
      <w:bookmarkEnd w:id="240"/>
      <w:bookmarkStart w:id="241" w:name="_Toc184312132"/>
      <w:bookmarkEnd w:id="241"/>
      <w:bookmarkStart w:id="242" w:name="_Toc184312068"/>
      <w:bookmarkEnd w:id="242"/>
      <w:bookmarkStart w:id="243" w:name="_Toc184313249"/>
      <w:bookmarkEnd w:id="243"/>
      <w:bookmarkStart w:id="244" w:name="_Toc184313267"/>
      <w:bookmarkEnd w:id="244"/>
      <w:bookmarkStart w:id="245" w:name="_Toc184312138"/>
      <w:bookmarkEnd w:id="245"/>
      <w:bookmarkStart w:id="246" w:name="_Toc184310272"/>
      <w:bookmarkEnd w:id="246"/>
      <w:bookmarkStart w:id="247" w:name="_Toc184313276"/>
      <w:bookmarkEnd w:id="247"/>
      <w:bookmarkStart w:id="248" w:name="_Toc184312104"/>
      <w:bookmarkEnd w:id="248"/>
      <w:bookmarkStart w:id="249" w:name="_Toc184313286"/>
      <w:bookmarkEnd w:id="249"/>
      <w:bookmarkStart w:id="250" w:name="_Toc184308099"/>
      <w:bookmarkEnd w:id="250"/>
      <w:bookmarkStart w:id="251" w:name="_Toc184308093"/>
      <w:bookmarkEnd w:id="251"/>
      <w:bookmarkStart w:id="252" w:name="_Toc184310314"/>
      <w:bookmarkEnd w:id="252"/>
      <w:bookmarkStart w:id="253" w:name="_Toc184312119"/>
      <w:bookmarkEnd w:id="253"/>
      <w:bookmarkStart w:id="254" w:name="_Toc184312135"/>
      <w:bookmarkEnd w:id="254"/>
      <w:bookmarkStart w:id="255" w:name="_Toc184312087"/>
      <w:bookmarkEnd w:id="255"/>
      <w:bookmarkStart w:id="256" w:name="_Toc184313296"/>
      <w:bookmarkEnd w:id="256"/>
      <w:bookmarkStart w:id="257" w:name="_Toc184310340"/>
      <w:bookmarkEnd w:id="257"/>
      <w:bookmarkStart w:id="258" w:name="_Toc184314435"/>
      <w:bookmarkEnd w:id="258"/>
      <w:bookmarkStart w:id="259" w:name="_Toc184313300"/>
      <w:bookmarkEnd w:id="259"/>
      <w:bookmarkStart w:id="260" w:name="_Toc184308065"/>
      <w:bookmarkEnd w:id="260"/>
      <w:bookmarkStart w:id="261" w:name="_Toc184312095"/>
      <w:bookmarkEnd w:id="261"/>
      <w:bookmarkStart w:id="262" w:name="_Toc184313287"/>
      <w:bookmarkEnd w:id="262"/>
      <w:bookmarkStart w:id="263" w:name="_Toc184308063"/>
      <w:bookmarkEnd w:id="263"/>
      <w:bookmarkStart w:id="264" w:name="_Toc184310341"/>
      <w:bookmarkEnd w:id="264"/>
      <w:bookmarkStart w:id="265" w:name="_Toc184313272"/>
      <w:bookmarkEnd w:id="265"/>
      <w:bookmarkStart w:id="266" w:name="_Toc184308077"/>
      <w:bookmarkEnd w:id="266"/>
      <w:bookmarkStart w:id="267" w:name="_Toc184310327"/>
      <w:bookmarkEnd w:id="267"/>
      <w:bookmarkStart w:id="268" w:name="_Toc184312074"/>
      <w:bookmarkEnd w:id="268"/>
      <w:bookmarkStart w:id="269" w:name="_Toc184310277"/>
      <w:bookmarkEnd w:id="269"/>
      <w:bookmarkStart w:id="270" w:name="_Toc184312086"/>
      <w:bookmarkEnd w:id="270"/>
      <w:bookmarkStart w:id="271" w:name="_Toc184312089"/>
      <w:bookmarkEnd w:id="271"/>
      <w:bookmarkStart w:id="272" w:name="_Toc184308084"/>
      <w:bookmarkEnd w:id="272"/>
      <w:bookmarkStart w:id="273" w:name="_Toc184314468"/>
      <w:bookmarkEnd w:id="273"/>
      <w:bookmarkStart w:id="274" w:name="_Toc184308083"/>
      <w:bookmarkEnd w:id="274"/>
      <w:bookmarkStart w:id="275" w:name="_Toc184308097"/>
      <w:bookmarkEnd w:id="275"/>
      <w:bookmarkStart w:id="276" w:name="_Toc184310303"/>
      <w:bookmarkEnd w:id="276"/>
      <w:bookmarkStart w:id="277" w:name="_Toc184308070"/>
      <w:bookmarkEnd w:id="277"/>
      <w:bookmarkStart w:id="278" w:name="_Toc184310306"/>
      <w:bookmarkEnd w:id="278"/>
      <w:bookmarkStart w:id="279" w:name="_Toc184313285"/>
      <w:bookmarkEnd w:id="279"/>
      <w:bookmarkStart w:id="280" w:name="_Toc184314442"/>
      <w:bookmarkEnd w:id="280"/>
      <w:bookmarkStart w:id="281" w:name="_Toc184308059"/>
      <w:bookmarkEnd w:id="281"/>
      <w:bookmarkStart w:id="282" w:name="_Toc184313310"/>
      <w:bookmarkEnd w:id="282"/>
      <w:bookmarkStart w:id="283" w:name="_Toc184314456"/>
      <w:bookmarkEnd w:id="283"/>
      <w:bookmarkStart w:id="284" w:name="_Toc184313299"/>
      <w:bookmarkEnd w:id="284"/>
      <w:bookmarkStart w:id="285" w:name="_Toc184308090"/>
      <w:bookmarkEnd w:id="285"/>
      <w:bookmarkStart w:id="286" w:name="_Toc184312133"/>
      <w:bookmarkEnd w:id="286"/>
      <w:bookmarkStart w:id="287" w:name="_Toc184312107"/>
      <w:bookmarkEnd w:id="287"/>
      <w:bookmarkStart w:id="288" w:name="_Toc184314463"/>
      <w:bookmarkEnd w:id="288"/>
      <w:bookmarkStart w:id="289" w:name="_Toc184310307"/>
      <w:bookmarkEnd w:id="289"/>
      <w:bookmarkStart w:id="290" w:name="_Toc184313240"/>
      <w:bookmarkEnd w:id="290"/>
      <w:bookmarkStart w:id="291" w:name="_Toc184312128"/>
      <w:bookmarkEnd w:id="291"/>
      <w:bookmarkStart w:id="292" w:name="_Toc184310319"/>
      <w:bookmarkEnd w:id="292"/>
      <w:bookmarkStart w:id="293" w:name="_Toc184314434"/>
      <w:bookmarkEnd w:id="293"/>
      <w:bookmarkStart w:id="294" w:name="_Toc184312109"/>
      <w:bookmarkEnd w:id="294"/>
      <w:bookmarkStart w:id="295" w:name="_Toc184310295"/>
      <w:bookmarkEnd w:id="295"/>
      <w:bookmarkStart w:id="296" w:name="_Toc184312071"/>
      <w:bookmarkEnd w:id="296"/>
      <w:bookmarkStart w:id="297" w:name="_Toc184313242"/>
      <w:bookmarkEnd w:id="297"/>
      <w:bookmarkStart w:id="298" w:name="_Toc184308051"/>
      <w:bookmarkEnd w:id="298"/>
      <w:bookmarkStart w:id="299" w:name="_Toc184314420"/>
      <w:bookmarkEnd w:id="299"/>
      <w:bookmarkStart w:id="300" w:name="_Toc184314424"/>
      <w:bookmarkEnd w:id="300"/>
      <w:bookmarkStart w:id="301" w:name="_Toc184314447"/>
      <w:bookmarkEnd w:id="301"/>
      <w:bookmarkStart w:id="302" w:name="_Toc184314465"/>
      <w:bookmarkEnd w:id="302"/>
      <w:bookmarkStart w:id="303" w:name="_Toc184314476"/>
      <w:bookmarkEnd w:id="303"/>
      <w:bookmarkStart w:id="304" w:name="_Toc184308095"/>
      <w:bookmarkEnd w:id="304"/>
      <w:bookmarkStart w:id="305" w:name="_Toc184313304"/>
      <w:bookmarkEnd w:id="305"/>
      <w:bookmarkStart w:id="306" w:name="_Toc184314481"/>
      <w:bookmarkEnd w:id="306"/>
      <w:bookmarkStart w:id="307" w:name="_Toc184312114"/>
      <w:bookmarkEnd w:id="307"/>
      <w:bookmarkStart w:id="308" w:name="_Toc184313255"/>
      <w:bookmarkEnd w:id="308"/>
      <w:bookmarkStart w:id="309" w:name="_Toc184314470"/>
      <w:bookmarkEnd w:id="309"/>
      <w:bookmarkStart w:id="310" w:name="_Toc184308107"/>
      <w:bookmarkEnd w:id="310"/>
      <w:bookmarkStart w:id="311" w:name="_Toc184314412"/>
      <w:bookmarkEnd w:id="311"/>
      <w:bookmarkStart w:id="312" w:name="_Toc184310284"/>
      <w:bookmarkEnd w:id="312"/>
      <w:bookmarkStart w:id="313" w:name="_Toc184308072"/>
      <w:bookmarkEnd w:id="313"/>
      <w:bookmarkStart w:id="314" w:name="_Toc184314480"/>
      <w:bookmarkEnd w:id="314"/>
      <w:bookmarkStart w:id="315" w:name="_Toc184314410"/>
      <w:bookmarkEnd w:id="315"/>
      <w:bookmarkStart w:id="316" w:name="_Toc184312122"/>
      <w:bookmarkEnd w:id="316"/>
      <w:bookmarkStart w:id="317" w:name="_Toc184314460"/>
      <w:bookmarkEnd w:id="317"/>
      <w:bookmarkStart w:id="318" w:name="_Toc184312102"/>
      <w:bookmarkEnd w:id="318"/>
      <w:bookmarkStart w:id="319" w:name="_Toc184310294"/>
      <w:bookmarkEnd w:id="319"/>
      <w:bookmarkStart w:id="320" w:name="_Toc184314467"/>
      <w:bookmarkEnd w:id="320"/>
      <w:bookmarkStart w:id="321" w:name="_Toc184312108"/>
      <w:bookmarkEnd w:id="321"/>
      <w:bookmarkStart w:id="322" w:name="_Toc184314475"/>
      <w:bookmarkEnd w:id="322"/>
      <w:bookmarkStart w:id="323" w:name="_Toc184313279"/>
      <w:bookmarkEnd w:id="323"/>
      <w:bookmarkStart w:id="324" w:name="_Toc184314452"/>
      <w:bookmarkEnd w:id="324"/>
      <w:bookmarkStart w:id="325" w:name="_Toc184313297"/>
      <w:bookmarkEnd w:id="325"/>
      <w:bookmarkStart w:id="326" w:name="_Toc184312118"/>
      <w:bookmarkEnd w:id="326"/>
      <w:bookmarkStart w:id="327" w:name="_Toc184314461"/>
      <w:bookmarkEnd w:id="327"/>
      <w:bookmarkStart w:id="328" w:name="_Toc184312113"/>
      <w:bookmarkEnd w:id="328"/>
      <w:bookmarkStart w:id="329" w:name="_Toc184312076"/>
      <w:bookmarkEnd w:id="329"/>
      <w:bookmarkStart w:id="330" w:name="_Toc184308088"/>
      <w:bookmarkEnd w:id="330"/>
      <w:bookmarkStart w:id="331" w:name="_Toc184313308"/>
      <w:bookmarkEnd w:id="331"/>
      <w:bookmarkStart w:id="332" w:name="_Toc184314469"/>
      <w:bookmarkEnd w:id="332"/>
      <w:bookmarkStart w:id="333" w:name="_Toc184312121"/>
      <w:bookmarkEnd w:id="333"/>
      <w:bookmarkStart w:id="334" w:name="_Toc184308046"/>
      <w:bookmarkEnd w:id="334"/>
      <w:bookmarkStart w:id="335" w:name="_Toc184312139"/>
      <w:bookmarkEnd w:id="335"/>
      <w:bookmarkStart w:id="336" w:name="_Toc184312130"/>
      <w:bookmarkEnd w:id="336"/>
      <w:bookmarkStart w:id="337" w:name="_Toc184314439"/>
      <w:bookmarkEnd w:id="337"/>
      <w:bookmarkStart w:id="338" w:name="_Toc184314423"/>
      <w:bookmarkEnd w:id="338"/>
      <w:bookmarkStart w:id="339" w:name="_Toc184308068"/>
      <w:bookmarkEnd w:id="339"/>
      <w:bookmarkStart w:id="340" w:name="_Toc184314457"/>
      <w:bookmarkEnd w:id="340"/>
      <w:bookmarkStart w:id="341" w:name="_Toc184314444"/>
      <w:bookmarkEnd w:id="341"/>
      <w:bookmarkStart w:id="342" w:name="_Toc184308091"/>
      <w:bookmarkEnd w:id="342"/>
      <w:bookmarkStart w:id="343" w:name="_Toc184312080"/>
      <w:bookmarkEnd w:id="343"/>
      <w:bookmarkStart w:id="344" w:name="_Toc184313295"/>
      <w:bookmarkEnd w:id="344"/>
      <w:bookmarkStart w:id="345" w:name="_Toc184313252"/>
      <w:bookmarkEnd w:id="345"/>
      <w:bookmarkStart w:id="346" w:name="_Toc184313241"/>
      <w:bookmarkEnd w:id="346"/>
      <w:bookmarkStart w:id="347" w:name="_Toc184313238"/>
      <w:bookmarkEnd w:id="347"/>
      <w:bookmarkStart w:id="348" w:name="_Toc184312127"/>
      <w:bookmarkEnd w:id="348"/>
      <w:bookmarkStart w:id="349" w:name="_Toc184313250"/>
      <w:bookmarkEnd w:id="349"/>
      <w:bookmarkStart w:id="350" w:name="_Toc184310323"/>
      <w:bookmarkEnd w:id="350"/>
      <w:bookmarkStart w:id="351" w:name="_Toc184308069"/>
      <w:bookmarkEnd w:id="351"/>
      <w:bookmarkStart w:id="352" w:name="_Toc184312131"/>
      <w:bookmarkEnd w:id="352"/>
      <w:bookmarkStart w:id="353" w:name="_Toc184313298"/>
      <w:bookmarkEnd w:id="353"/>
      <w:bookmarkStart w:id="354" w:name="_Toc184314482"/>
      <w:bookmarkEnd w:id="354"/>
      <w:bookmarkStart w:id="355" w:name="_Toc184308094"/>
      <w:bookmarkEnd w:id="355"/>
      <w:bookmarkStart w:id="356" w:name="_Toc184314462"/>
      <w:bookmarkEnd w:id="356"/>
      <w:bookmarkStart w:id="357" w:name="_Toc184313248"/>
      <w:bookmarkEnd w:id="357"/>
      <w:bookmarkStart w:id="358" w:name="_Toc184310313"/>
      <w:bookmarkEnd w:id="358"/>
      <w:bookmarkStart w:id="359" w:name="_Toc184308078"/>
      <w:bookmarkEnd w:id="359"/>
      <w:bookmarkStart w:id="360" w:name="_Toc184313274"/>
      <w:bookmarkEnd w:id="360"/>
      <w:bookmarkStart w:id="361" w:name="_Toc184313301"/>
      <w:bookmarkEnd w:id="361"/>
      <w:bookmarkStart w:id="362" w:name="_Toc184308082"/>
      <w:bookmarkEnd w:id="362"/>
      <w:bookmarkStart w:id="363" w:name="_Toc184314453"/>
      <w:bookmarkEnd w:id="363"/>
      <w:bookmarkStart w:id="364" w:name="_Toc184312124"/>
      <w:bookmarkEnd w:id="364"/>
      <w:bookmarkStart w:id="365" w:name="_Toc184314445"/>
      <w:bookmarkEnd w:id="365"/>
      <w:bookmarkStart w:id="366" w:name="_Toc184314446"/>
      <w:bookmarkEnd w:id="366"/>
      <w:bookmarkStart w:id="367" w:name="_Toc184308086"/>
      <w:bookmarkEnd w:id="367"/>
      <w:bookmarkStart w:id="368" w:name="_Toc184314466"/>
      <w:bookmarkEnd w:id="368"/>
      <w:bookmarkStart w:id="369" w:name="_Toc184313293"/>
      <w:bookmarkEnd w:id="369"/>
      <w:bookmarkStart w:id="370" w:name="_Toc184312096"/>
      <w:bookmarkEnd w:id="370"/>
      <w:bookmarkStart w:id="371" w:name="_Toc184313280"/>
      <w:bookmarkEnd w:id="371"/>
      <w:bookmarkStart w:id="372" w:name="_Toc184310331"/>
      <w:bookmarkEnd w:id="372"/>
      <w:bookmarkStart w:id="373" w:name="_Toc184313270"/>
      <w:bookmarkEnd w:id="373"/>
      <w:bookmarkStart w:id="374" w:name="_Toc184310325"/>
      <w:bookmarkEnd w:id="374"/>
      <w:bookmarkStart w:id="375" w:name="_Toc184312099"/>
      <w:bookmarkEnd w:id="375"/>
      <w:bookmarkStart w:id="376" w:name="_Toc184313305"/>
      <w:bookmarkEnd w:id="376"/>
      <w:bookmarkStart w:id="377" w:name="_Toc184312123"/>
      <w:bookmarkEnd w:id="377"/>
      <w:bookmarkStart w:id="378" w:name="_Toc184308092"/>
      <w:bookmarkEnd w:id="378"/>
      <w:bookmarkStart w:id="379" w:name="_Toc184310275"/>
      <w:bookmarkEnd w:id="379"/>
      <w:bookmarkStart w:id="380" w:name="_Toc184314421"/>
      <w:bookmarkEnd w:id="380"/>
      <w:bookmarkStart w:id="381" w:name="_Toc184313302"/>
      <w:bookmarkEnd w:id="381"/>
      <w:bookmarkStart w:id="382" w:name="_Toc184308102"/>
      <w:bookmarkEnd w:id="382"/>
      <w:bookmarkStart w:id="383" w:name="_Toc184310333"/>
      <w:bookmarkEnd w:id="383"/>
      <w:bookmarkStart w:id="384" w:name="_Toc184314422"/>
      <w:bookmarkEnd w:id="384"/>
      <w:bookmarkStart w:id="385" w:name="_Toc184310283"/>
      <w:bookmarkEnd w:id="385"/>
      <w:bookmarkStart w:id="386" w:name="_Toc184310332"/>
      <w:bookmarkEnd w:id="386"/>
      <w:bookmarkStart w:id="387" w:name="_Toc184313289"/>
      <w:bookmarkEnd w:id="387"/>
      <w:bookmarkStart w:id="388" w:name="_Toc184313247"/>
      <w:bookmarkEnd w:id="388"/>
      <w:bookmarkStart w:id="389" w:name="_Toc184313256"/>
      <w:bookmarkEnd w:id="389"/>
      <w:bookmarkStart w:id="390" w:name="_Toc184310305"/>
      <w:bookmarkEnd w:id="390"/>
      <w:bookmarkStart w:id="391" w:name="_Toc184310301"/>
      <w:bookmarkEnd w:id="391"/>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5"/>
        <w:tblpPr w:leftFromText="180" w:rightFromText="180" w:vertAnchor="text" w:horzAnchor="page" w:tblpX="1437" w:tblpY="294"/>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2016"/>
        <w:gridCol w:w="5597"/>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24" w:type="dxa"/>
            <w:gridSpan w:val="2"/>
            <w:vAlign w:val="center"/>
          </w:tcPr>
          <w:p>
            <w:pPr>
              <w:adjustRightInd/>
              <w:spacing w:line="400" w:lineRule="exact"/>
              <w:jc w:val="center"/>
              <w:rPr>
                <w:rFonts w:ascii="仿宋_GB2312" w:hAnsi="仿宋_GB2312" w:eastAsia="仿宋_GB2312" w:cs="仿宋_GB2312"/>
                <w:sz w:val="28"/>
                <w:szCs w:val="28"/>
                <w:lang w:val="zh-TW"/>
              </w:rPr>
            </w:pPr>
            <w:r>
              <w:rPr>
                <w:rFonts w:hint="eastAsia" w:ascii="仿宋_GB2312" w:hAnsi="仿宋_GB2312" w:eastAsia="仿宋_GB2312" w:cs="仿宋_GB2312"/>
                <w:sz w:val="28"/>
                <w:szCs w:val="28"/>
              </w:rPr>
              <w:t>评分项</w:t>
            </w:r>
          </w:p>
        </w:tc>
        <w:tc>
          <w:tcPr>
            <w:tcW w:w="5597"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具体评分要求</w:t>
            </w:r>
          </w:p>
        </w:tc>
        <w:tc>
          <w:tcPr>
            <w:tcW w:w="897"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408" w:type="dxa"/>
            <w:vMerge w:val="restart"/>
            <w:vAlign w:val="center"/>
          </w:tcPr>
          <w:p>
            <w:pPr>
              <w:adjustRightInd/>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w:t>
            </w:r>
          </w:p>
          <w:p>
            <w:pPr>
              <w:adjustRightInd/>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分析</w:t>
            </w:r>
          </w:p>
          <w:p>
            <w:pPr>
              <w:adjustRightInd/>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（18分）</w:t>
            </w:r>
          </w:p>
        </w:tc>
        <w:tc>
          <w:tcPr>
            <w:tcW w:w="2016" w:type="dxa"/>
            <w:vAlign w:val="center"/>
          </w:tcPr>
          <w:p>
            <w:pPr>
              <w:adjustRightInd/>
              <w:spacing w:line="400" w:lineRule="exact"/>
              <w:jc w:val="left"/>
              <w:rPr>
                <w:rFonts w:ascii="仿宋_GB2312" w:hAnsi="仿宋_GB2312" w:eastAsia="仿宋_GB2312" w:cs="仿宋_GB2312"/>
                <w:sz w:val="28"/>
                <w:szCs w:val="28"/>
                <w:lang w:val="zh-TW"/>
              </w:rPr>
            </w:pPr>
            <w:r>
              <w:rPr>
                <w:rFonts w:hint="eastAsia" w:ascii="仿宋_GB2312" w:hAnsi="仿宋_GB2312" w:eastAsia="仿宋_GB2312" w:cs="仿宋_GB2312"/>
                <w:sz w:val="28"/>
                <w:szCs w:val="28"/>
              </w:rPr>
              <w:t>1、对</w:t>
            </w:r>
            <w:r>
              <w:rPr>
                <w:rFonts w:hint="eastAsia" w:ascii="仿宋_GB2312" w:hAnsi="仿宋_GB2312" w:eastAsia="仿宋_GB2312" w:cs="仿宋_GB2312"/>
                <w:sz w:val="28"/>
                <w:szCs w:val="28"/>
                <w:lang w:val="zh-TW"/>
              </w:rPr>
              <w:t>编制背景的理解</w:t>
            </w:r>
          </w:p>
        </w:tc>
        <w:tc>
          <w:tcPr>
            <w:tcW w:w="5597" w:type="dxa"/>
            <w:vAlign w:val="center"/>
          </w:tcPr>
          <w:p>
            <w:pPr>
              <w:adjustRightInd/>
              <w:spacing w:line="40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投标人对</w:t>
            </w:r>
            <w:r>
              <w:rPr>
                <w:rFonts w:hint="eastAsia" w:ascii="仿宋_GB2312" w:hAnsi="仿宋_GB2312" w:eastAsia="仿宋_GB2312" w:cs="仿宋_GB2312"/>
                <w:sz w:val="28"/>
                <w:szCs w:val="28"/>
              </w:rPr>
              <w:t>本单元</w:t>
            </w:r>
            <w:r>
              <w:rPr>
                <w:rFonts w:ascii="仿宋_GB2312" w:hAnsi="仿宋_GB2312" w:eastAsia="仿宋_GB2312" w:cs="仿宋_GB2312"/>
                <w:sz w:val="28"/>
                <w:szCs w:val="28"/>
              </w:rPr>
              <w:t>发展背景认知是否到位、</w:t>
            </w:r>
            <w:r>
              <w:rPr>
                <w:rFonts w:hint="eastAsia" w:ascii="仿宋_GB2312" w:hAnsi="仿宋_GB2312" w:eastAsia="仿宋_GB2312" w:cs="仿宋_GB2312"/>
                <w:sz w:val="28"/>
                <w:szCs w:val="28"/>
              </w:rPr>
              <w:t>对认知程度的完整性、准确性、科学性、有针对性进行打分。内容分析全面，数据详实并符合实际情况的得5分，内容缺乏相应数据或理解有一定的偏离得2.5分，完全偏离实际情况或未提供内容的不得分。</w:t>
            </w:r>
          </w:p>
        </w:tc>
        <w:tc>
          <w:tcPr>
            <w:tcW w:w="897" w:type="dxa"/>
            <w:vAlign w:val="center"/>
          </w:tcPr>
          <w:p>
            <w:pPr>
              <w:adjustRightInd/>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408" w:type="dxa"/>
            <w:vMerge w:val="continue"/>
          </w:tcPr>
          <w:p>
            <w:pPr>
              <w:adjustRightInd/>
              <w:spacing w:line="400" w:lineRule="exact"/>
              <w:jc w:val="center"/>
              <w:rPr>
                <w:rFonts w:ascii="仿宋_GB2312" w:hAnsi="仿宋_GB2312" w:eastAsia="仿宋_GB2312" w:cs="仿宋_GB2312"/>
                <w:sz w:val="28"/>
                <w:szCs w:val="28"/>
                <w:lang w:val="zh-TW"/>
              </w:rPr>
            </w:pPr>
          </w:p>
        </w:tc>
        <w:tc>
          <w:tcPr>
            <w:tcW w:w="2016" w:type="dxa"/>
            <w:vAlign w:val="center"/>
          </w:tcPr>
          <w:p>
            <w:pPr>
              <w:adjustRightInd/>
              <w:spacing w:line="400" w:lineRule="exact"/>
              <w:jc w:val="left"/>
              <w:rPr>
                <w:rFonts w:ascii="仿宋_GB2312" w:hAnsi="仿宋_GB2312" w:eastAsia="仿宋_GB2312" w:cs="仿宋_GB2312"/>
                <w:sz w:val="28"/>
                <w:szCs w:val="28"/>
                <w:lang w:val="zh-TW"/>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zh-TW"/>
              </w:rPr>
              <w:t>空间及自然资源现状分析</w:t>
            </w:r>
          </w:p>
        </w:tc>
        <w:tc>
          <w:tcPr>
            <w:tcW w:w="5597" w:type="dxa"/>
            <w:vAlign w:val="center"/>
          </w:tcPr>
          <w:p>
            <w:pPr>
              <w:adjustRightInd/>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深入分析未来科技城空间及自然资源现状情况，对现状分析的完整性、准确性、科学性、有针对性进行打分。内容分析到位、揭示存在问题准确得5分；内容分析缺乏相关数据或揭示问题与实际有一定的偏离得2.5分；完全偏离实际情况或未提供内容的不得分。</w:t>
            </w:r>
          </w:p>
        </w:tc>
        <w:tc>
          <w:tcPr>
            <w:tcW w:w="897" w:type="dxa"/>
            <w:vAlign w:val="center"/>
          </w:tcPr>
          <w:p>
            <w:pPr>
              <w:adjustRightInd/>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408" w:type="dxa"/>
            <w:vMerge w:val="continue"/>
          </w:tcPr>
          <w:p>
            <w:pPr>
              <w:adjustRightInd/>
              <w:spacing w:line="400" w:lineRule="exact"/>
              <w:jc w:val="center"/>
              <w:rPr>
                <w:rFonts w:ascii="仿宋_GB2312" w:hAnsi="仿宋_GB2312" w:eastAsia="仿宋_GB2312" w:cs="仿宋_GB2312"/>
                <w:sz w:val="28"/>
                <w:szCs w:val="28"/>
                <w:lang w:val="zh-TW"/>
              </w:rPr>
            </w:pPr>
          </w:p>
        </w:tc>
        <w:tc>
          <w:tcPr>
            <w:tcW w:w="2016" w:type="dxa"/>
            <w:vAlign w:val="center"/>
          </w:tcPr>
          <w:p>
            <w:pPr>
              <w:adjustRightInd/>
              <w:spacing w:line="400" w:lineRule="exact"/>
              <w:jc w:val="left"/>
              <w:rPr>
                <w:rFonts w:ascii="仿宋_GB2312" w:hAnsi="仿宋_GB2312" w:eastAsia="仿宋_GB2312" w:cs="仿宋_GB2312"/>
                <w:sz w:val="28"/>
                <w:szCs w:val="28"/>
                <w:lang w:val="zh-TW"/>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zh-TW"/>
              </w:rPr>
              <w:t>上位及相关规划分析</w:t>
            </w:r>
          </w:p>
        </w:tc>
        <w:tc>
          <w:tcPr>
            <w:tcW w:w="5597" w:type="dxa"/>
            <w:vAlign w:val="center"/>
          </w:tcPr>
          <w:p>
            <w:pPr>
              <w:adjustRightInd/>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研究衔接上位国土空间总体规划、相关专项规划等要求，对上位规划、相关规划等的把握到位度和衔接得当性进行打分。内容分析准确、衔接完善且细化到位得3分；内容分析缺乏相关数据或衔接不畅或细化分解有与一定偏离的得1.5分；完全偏离实际情况或未提供内容的不得分。</w:t>
            </w:r>
          </w:p>
        </w:tc>
        <w:tc>
          <w:tcPr>
            <w:tcW w:w="897" w:type="dxa"/>
            <w:vAlign w:val="center"/>
          </w:tcPr>
          <w:p>
            <w:pPr>
              <w:adjustRightInd/>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08" w:type="dxa"/>
            <w:vMerge w:val="continue"/>
          </w:tcPr>
          <w:p>
            <w:pPr>
              <w:adjustRightInd/>
              <w:spacing w:line="400" w:lineRule="exact"/>
              <w:jc w:val="center"/>
              <w:rPr>
                <w:rFonts w:ascii="仿宋_GB2312" w:hAnsi="仿宋_GB2312" w:eastAsia="仿宋_GB2312" w:cs="仿宋_GB2312"/>
                <w:sz w:val="28"/>
                <w:szCs w:val="28"/>
                <w:lang w:val="zh-TW"/>
              </w:rPr>
            </w:pPr>
          </w:p>
        </w:tc>
        <w:tc>
          <w:tcPr>
            <w:tcW w:w="2016" w:type="dxa"/>
            <w:vAlign w:val="center"/>
          </w:tcPr>
          <w:p>
            <w:pPr>
              <w:adjustRightInd/>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4、控规单元存在问题分析</w:t>
            </w:r>
          </w:p>
        </w:tc>
        <w:tc>
          <w:tcPr>
            <w:tcW w:w="5597" w:type="dxa"/>
            <w:vAlign w:val="center"/>
          </w:tcPr>
          <w:p>
            <w:pPr>
              <w:adjustRightInd/>
              <w:spacing w:line="400" w:lineRule="exact"/>
              <w:jc w:val="left"/>
              <w:rPr>
                <w:rFonts w:ascii="仿宋_GB2312" w:hAnsi="仿宋_GB2312" w:eastAsia="仿宋" w:cs="仿宋_GB2312"/>
                <w:sz w:val="28"/>
                <w:szCs w:val="28"/>
              </w:rPr>
            </w:pPr>
            <w:r>
              <w:rPr>
                <w:rFonts w:hint="eastAsia" w:ascii="仿宋_GB2312" w:hAnsi="仿宋_GB2312" w:eastAsia="仿宋_GB2312" w:cs="仿宋_GB2312"/>
                <w:sz w:val="28"/>
                <w:szCs w:val="28"/>
              </w:rPr>
              <w:t>投标人对单元目前存在的问题认知，内容分析到位、能揭示存在问题，包括但不限于功能布局、管控要素、空间规划等各方面进行分析。内容分析准确、衔接完善且细化到位得5分；内容分析缺乏相关数据或衔接不畅或细化分解有与一定偏离的得2.5分；完全偏离实际情况或未提供内容的不得分。</w:t>
            </w:r>
          </w:p>
        </w:tc>
        <w:tc>
          <w:tcPr>
            <w:tcW w:w="897" w:type="dxa"/>
            <w:vAlign w:val="center"/>
          </w:tcPr>
          <w:p>
            <w:pPr>
              <w:adjustRightInd/>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408" w:type="dxa"/>
            <w:vMerge w:val="restart"/>
            <w:vAlign w:val="center"/>
          </w:tcPr>
          <w:p>
            <w:pPr>
              <w:adjustRightInd/>
              <w:spacing w:line="400" w:lineRule="exact"/>
              <w:jc w:val="center"/>
              <w:rPr>
                <w:rFonts w:ascii="仿宋_GB2312" w:hAnsi="仿宋_GB2312" w:eastAsia="仿宋_GB2312" w:cs="仿宋_GB2312"/>
                <w:sz w:val="28"/>
                <w:szCs w:val="28"/>
                <w:lang w:val="zh-TW"/>
              </w:rPr>
            </w:pPr>
            <w:r>
              <w:rPr>
                <w:rFonts w:hint="eastAsia" w:ascii="仿宋_GB2312" w:hAnsi="仿宋_GB2312" w:eastAsia="仿宋_GB2312" w:cs="仿宋_GB2312"/>
                <w:sz w:val="28"/>
                <w:szCs w:val="28"/>
                <w:lang w:val="zh-TW"/>
              </w:rPr>
              <w:t>技术</w:t>
            </w:r>
          </w:p>
          <w:p>
            <w:pPr>
              <w:adjustRightInd/>
              <w:spacing w:line="400" w:lineRule="exact"/>
              <w:jc w:val="center"/>
              <w:rPr>
                <w:rFonts w:ascii="仿宋_GB2312" w:hAnsi="仿宋_GB2312" w:eastAsia="仿宋_GB2312" w:cs="仿宋_GB2312"/>
                <w:sz w:val="28"/>
                <w:szCs w:val="28"/>
                <w:lang w:val="zh-TW"/>
              </w:rPr>
            </w:pPr>
            <w:r>
              <w:rPr>
                <w:rFonts w:hint="eastAsia" w:ascii="仿宋_GB2312" w:hAnsi="仿宋_GB2312" w:eastAsia="仿宋_GB2312" w:cs="仿宋_GB2312"/>
                <w:sz w:val="28"/>
                <w:szCs w:val="28"/>
                <w:lang w:val="zh-TW"/>
              </w:rPr>
              <w:t>要求</w:t>
            </w:r>
          </w:p>
          <w:p>
            <w:pPr>
              <w:adjustRightInd/>
              <w:spacing w:line="400" w:lineRule="exact"/>
              <w:jc w:val="center"/>
              <w:rPr>
                <w:rFonts w:ascii="仿宋_GB2312" w:hAnsi="仿宋_GB2312" w:eastAsia="仿宋_GB2312" w:cs="仿宋_GB2312"/>
                <w:sz w:val="28"/>
                <w:szCs w:val="28"/>
                <w:lang w:val="zh-TW"/>
              </w:rPr>
            </w:pPr>
            <w:r>
              <w:rPr>
                <w:rFonts w:hint="eastAsia" w:ascii="仿宋_GB2312" w:hAnsi="仿宋_GB2312" w:eastAsia="仿宋_GB2312" w:cs="仿宋_GB2312"/>
                <w:sz w:val="28"/>
                <w:szCs w:val="28"/>
              </w:rPr>
              <w:t>（42分）</w:t>
            </w:r>
          </w:p>
        </w:tc>
        <w:tc>
          <w:tcPr>
            <w:tcW w:w="2016" w:type="dxa"/>
            <w:vAlign w:val="center"/>
          </w:tcPr>
          <w:p>
            <w:pPr>
              <w:adjustRightInd/>
              <w:spacing w:line="400" w:lineRule="exact"/>
              <w:jc w:val="left"/>
              <w:rPr>
                <w:rFonts w:ascii="仿宋_GB2312" w:hAnsi="仿宋_GB2312" w:eastAsia="仿宋_GB2312" w:cs="仿宋_GB2312"/>
                <w:sz w:val="28"/>
                <w:szCs w:val="28"/>
                <w:lang w:val="zh-TW"/>
              </w:rPr>
            </w:pPr>
            <w:r>
              <w:rPr>
                <w:rFonts w:hint="eastAsia" w:ascii="仿宋_GB2312" w:hAnsi="仿宋_GB2312" w:eastAsia="仿宋_GB2312" w:cs="仿宋_GB2312"/>
                <w:sz w:val="28"/>
                <w:szCs w:val="28"/>
              </w:rPr>
              <w:t>1、编制思路及技术路线</w:t>
            </w:r>
          </w:p>
        </w:tc>
        <w:tc>
          <w:tcPr>
            <w:tcW w:w="55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投标人提供编制思路及技术路线的正确性、技术的可行性、创新性、符合研究目的和任务理解、重点把握到位的得当性进行打分。</w:t>
            </w:r>
          </w:p>
          <w:p>
            <w:pPr>
              <w:adjustRightInd/>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编制思路清晰、内容完整，技术路线合理，能较好地结合地区实际诉求，彰显地区特色、体现项目特性的得5分；编制思路内容较完整，技术路线较合理的得2.5分；内容不完整未体现地区特色或未提供的不得分。</w:t>
            </w:r>
          </w:p>
        </w:tc>
        <w:tc>
          <w:tcPr>
            <w:tcW w:w="897" w:type="dxa"/>
            <w:vAlign w:val="center"/>
          </w:tcPr>
          <w:p>
            <w:pPr>
              <w:adjustRightInd/>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1408" w:type="dxa"/>
            <w:vMerge w:val="continue"/>
            <w:vAlign w:val="center"/>
          </w:tcPr>
          <w:p>
            <w:pPr>
              <w:adjustRightInd/>
              <w:spacing w:line="400" w:lineRule="exact"/>
              <w:jc w:val="center"/>
              <w:rPr>
                <w:rFonts w:ascii="仿宋_GB2312" w:hAnsi="仿宋_GB2312" w:eastAsia="仿宋_GB2312" w:cs="仿宋_GB2312"/>
                <w:sz w:val="28"/>
                <w:szCs w:val="28"/>
                <w:lang w:val="zh-TW"/>
              </w:rPr>
            </w:pPr>
          </w:p>
        </w:tc>
        <w:tc>
          <w:tcPr>
            <w:tcW w:w="2016" w:type="dxa"/>
            <w:vAlign w:val="center"/>
          </w:tcPr>
          <w:p>
            <w:pPr>
              <w:adjustRightInd/>
              <w:spacing w:line="400" w:lineRule="exact"/>
              <w:jc w:val="left"/>
              <w:rPr>
                <w:rFonts w:hint="eastAsia" w:ascii="仿宋_GB2312" w:hAnsi="仿宋_GB2312" w:eastAsia="仿宋_GB2312" w:cs="仿宋_GB2312"/>
                <w:sz w:val="28"/>
                <w:szCs w:val="28"/>
                <w:lang w:val="zh-TW"/>
              </w:rPr>
            </w:pPr>
            <w:r>
              <w:rPr>
                <w:rFonts w:hint="eastAsia" w:ascii="仿宋_GB2312" w:hAnsi="仿宋_GB2312" w:eastAsia="仿宋_GB2312" w:cs="仿宋_GB2312"/>
                <w:sz w:val="28"/>
                <w:szCs w:val="28"/>
              </w:rPr>
              <w:t>2、单元编制重点（拟推动解决的主要问题）和难点</w:t>
            </w:r>
          </w:p>
        </w:tc>
        <w:tc>
          <w:tcPr>
            <w:tcW w:w="55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针对本项目特点提出的重难点解决对策与方案的可操作性、实用性、有针对性进行打分。重点要点分析准确，内容把握精准得5分；重点要点分析有偏离，内容把握有偏差得2.5分；完全偏离实际情况或未提供内容的不得分。</w:t>
            </w:r>
          </w:p>
        </w:tc>
        <w:tc>
          <w:tcPr>
            <w:tcW w:w="897" w:type="dxa"/>
            <w:vAlign w:val="center"/>
          </w:tcPr>
          <w:p>
            <w:pPr>
              <w:adjustRightInd/>
              <w:spacing w:line="400" w:lineRule="exact"/>
              <w:jc w:val="center"/>
              <w:rPr>
                <w:rFonts w:ascii="仿宋_GB2312" w:hAnsi="仿宋_GB2312" w:eastAsia="仿宋_GB2312" w:cs="仿宋_GB2312"/>
                <w:b/>
                <w:bCs/>
                <w:sz w:val="28"/>
                <w:szCs w:val="28"/>
              </w:rPr>
            </w:pPr>
            <w:r>
              <w:rPr>
                <w:rFonts w:hint="eastAsia" w:ascii="仿宋_GB2312" w:hAnsi="仿宋_GB2312" w:eastAsia="仿宋_GB2312" w:cs="仿宋_GB2312"/>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08" w:type="dxa"/>
            <w:vMerge w:val="continue"/>
            <w:vAlign w:val="center"/>
          </w:tcPr>
          <w:p>
            <w:pPr>
              <w:adjustRightInd/>
              <w:spacing w:line="400" w:lineRule="exact"/>
              <w:jc w:val="center"/>
              <w:rPr>
                <w:rFonts w:ascii="仿宋_GB2312" w:hAnsi="仿宋_GB2312" w:eastAsia="仿宋_GB2312" w:cs="仿宋_GB2312"/>
                <w:sz w:val="28"/>
                <w:szCs w:val="28"/>
                <w:lang w:val="zh-TW"/>
              </w:rPr>
            </w:pPr>
          </w:p>
        </w:tc>
        <w:tc>
          <w:tcPr>
            <w:tcW w:w="2016" w:type="dxa"/>
            <w:vMerge w:val="restart"/>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3、对本项目的设计思路</w:t>
            </w:r>
          </w:p>
        </w:tc>
        <w:tc>
          <w:tcPr>
            <w:tcW w:w="5597" w:type="dxa"/>
            <w:vAlign w:val="center"/>
          </w:tcPr>
          <w:p>
            <w:pPr>
              <w:adjustRightInd/>
              <w:spacing w:line="40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投标人在现行相关技术准则和规范要求的基础上，结合本单元的发展特色和主要诉求，对规划区的发展定位、目标愿景和提升策略提出自己的设计思路。设计思路科学、完整性、有针对性的得5分，有欠缺的的2.5分，不详细、不完善</w:t>
            </w:r>
            <w:r>
              <w:rPr>
                <w:rFonts w:hint="eastAsia" w:ascii="仿宋_GB2312" w:hAnsi="仿宋_GB2312" w:eastAsia="仿宋_GB2312" w:cs="仿宋_GB2312"/>
                <w:sz w:val="28"/>
                <w:szCs w:val="28"/>
                <w:lang w:val="en-US" w:eastAsia="zh-CN"/>
              </w:rPr>
              <w:t>的不得分。</w:t>
            </w:r>
          </w:p>
        </w:tc>
        <w:tc>
          <w:tcPr>
            <w:tcW w:w="897" w:type="dxa"/>
            <w:vAlign w:val="center"/>
          </w:tcPr>
          <w:p>
            <w:pPr>
              <w:adjustRightInd/>
              <w:spacing w:line="400" w:lineRule="exact"/>
              <w:jc w:val="left"/>
              <w:rPr>
                <w:rFonts w:hint="eastAsia" w:ascii="仿宋_GB2312" w:hAnsi="仿宋_GB2312" w:eastAsia="仿宋_GB2312" w:cs="仿宋_GB2312"/>
                <w:sz w:val="28"/>
                <w:szCs w:val="28"/>
                <w:lang w:val="zh-TW"/>
              </w:rPr>
            </w:pPr>
            <w:r>
              <w:rPr>
                <w:rFonts w:hint="eastAsia" w:ascii="仿宋_GB2312" w:hAnsi="仿宋_GB2312" w:eastAsia="仿宋_GB2312" w:cs="仿宋_GB2312"/>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08" w:type="dxa"/>
            <w:vMerge w:val="continue"/>
            <w:vAlign w:val="center"/>
          </w:tcPr>
          <w:p>
            <w:pPr>
              <w:adjustRightInd/>
              <w:spacing w:line="400" w:lineRule="exact"/>
              <w:jc w:val="center"/>
              <w:rPr>
                <w:rFonts w:ascii="仿宋_GB2312" w:hAnsi="仿宋_GB2312" w:eastAsia="仿宋_GB2312" w:cs="仿宋_GB2312"/>
                <w:sz w:val="28"/>
                <w:szCs w:val="28"/>
                <w:lang w:val="zh-TW"/>
              </w:rPr>
            </w:pPr>
          </w:p>
        </w:tc>
        <w:tc>
          <w:tcPr>
            <w:tcW w:w="2016" w:type="dxa"/>
            <w:vMerge w:val="continue"/>
            <w:vAlign w:val="center"/>
          </w:tcPr>
          <w:p>
            <w:pPr>
              <w:adjustRightInd/>
              <w:spacing w:line="400" w:lineRule="exact"/>
              <w:jc w:val="left"/>
              <w:rPr>
                <w:rFonts w:hint="eastAsia" w:ascii="仿宋_GB2312" w:hAnsi="仿宋_GB2312" w:eastAsia="仿宋_GB2312" w:cs="仿宋_GB2312"/>
                <w:sz w:val="28"/>
                <w:szCs w:val="28"/>
              </w:rPr>
            </w:pPr>
          </w:p>
        </w:tc>
        <w:tc>
          <w:tcPr>
            <w:tcW w:w="55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结合单元定位和特征，根据规划单元的总体目标和功能定位，对合理优化空间布局和用地结构的，融合生产、生活、生态“三生”空间。有针对性的提出自己的设计思路。设计思路科学、完整性、有针对性的得5分，有欠缺的的2.5分，不详细、不完善的或不可行的不得分。</w:t>
            </w:r>
          </w:p>
        </w:tc>
        <w:tc>
          <w:tcPr>
            <w:tcW w:w="8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08" w:type="dxa"/>
            <w:vMerge w:val="continue"/>
            <w:vAlign w:val="center"/>
          </w:tcPr>
          <w:p>
            <w:pPr>
              <w:adjustRightInd/>
              <w:spacing w:line="400" w:lineRule="exact"/>
              <w:jc w:val="center"/>
              <w:rPr>
                <w:rFonts w:ascii="仿宋_GB2312" w:hAnsi="仿宋_GB2312" w:eastAsia="仿宋_GB2312" w:cs="仿宋_GB2312"/>
                <w:sz w:val="28"/>
                <w:szCs w:val="28"/>
                <w:lang w:val="zh-TW"/>
              </w:rPr>
            </w:pPr>
          </w:p>
        </w:tc>
        <w:tc>
          <w:tcPr>
            <w:tcW w:w="2016" w:type="dxa"/>
            <w:vMerge w:val="continue"/>
            <w:vAlign w:val="center"/>
          </w:tcPr>
          <w:p>
            <w:pPr>
              <w:adjustRightInd/>
              <w:spacing w:line="400" w:lineRule="exact"/>
              <w:jc w:val="left"/>
              <w:rPr>
                <w:rFonts w:hint="eastAsia" w:ascii="仿宋_GB2312" w:hAnsi="仿宋_GB2312" w:eastAsia="仿宋_GB2312" w:cs="仿宋_GB2312"/>
                <w:sz w:val="28"/>
                <w:szCs w:val="28"/>
              </w:rPr>
            </w:pPr>
          </w:p>
        </w:tc>
        <w:tc>
          <w:tcPr>
            <w:tcW w:w="5597" w:type="dxa"/>
            <w:vAlign w:val="center"/>
          </w:tcPr>
          <w:p>
            <w:pPr>
              <w:adjustRightInd/>
              <w:spacing w:line="40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投标人对规划区内公共服务和人居环境的改善，在衔接相关技术标准和专项规划基础上，科学合理布局各级各类公共服务设施，统筹协调跨单元公共服务设施共建共享；优化居住空间布局和结构，强化地区内职住平衡等内容提出自己的设计思路。设计思路科学、完整性、有针对性的得5分，有欠缺的的2.5分，不详细、不完善</w:t>
            </w:r>
            <w:r>
              <w:rPr>
                <w:rFonts w:hint="eastAsia" w:ascii="仿宋_GB2312" w:hAnsi="仿宋_GB2312" w:eastAsia="仿宋_GB2312" w:cs="仿宋_GB2312"/>
                <w:sz w:val="28"/>
                <w:szCs w:val="28"/>
                <w:lang w:val="en-US" w:eastAsia="zh-CN"/>
              </w:rPr>
              <w:t>的不得分。</w:t>
            </w:r>
          </w:p>
        </w:tc>
        <w:tc>
          <w:tcPr>
            <w:tcW w:w="8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08" w:type="dxa"/>
            <w:vMerge w:val="continue"/>
            <w:vAlign w:val="center"/>
          </w:tcPr>
          <w:p>
            <w:pPr>
              <w:adjustRightInd/>
              <w:spacing w:line="400" w:lineRule="exact"/>
              <w:jc w:val="center"/>
              <w:rPr>
                <w:rFonts w:ascii="仿宋_GB2312" w:hAnsi="仿宋_GB2312" w:eastAsia="仿宋_GB2312" w:cs="仿宋_GB2312"/>
                <w:sz w:val="28"/>
                <w:szCs w:val="28"/>
                <w:lang w:val="zh-TW"/>
              </w:rPr>
            </w:pPr>
          </w:p>
        </w:tc>
        <w:tc>
          <w:tcPr>
            <w:tcW w:w="2016" w:type="dxa"/>
            <w:vMerge w:val="continue"/>
            <w:vAlign w:val="center"/>
          </w:tcPr>
          <w:p>
            <w:pPr>
              <w:adjustRightInd/>
              <w:spacing w:line="400" w:lineRule="exact"/>
              <w:jc w:val="left"/>
              <w:rPr>
                <w:rFonts w:ascii="仿宋_GB2312" w:hAnsi="仿宋_GB2312" w:eastAsia="仿宋_GB2312" w:cs="仿宋_GB2312"/>
                <w:sz w:val="28"/>
                <w:szCs w:val="28"/>
              </w:rPr>
            </w:pPr>
          </w:p>
        </w:tc>
        <w:tc>
          <w:tcPr>
            <w:tcW w:w="55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对规划区内综合交通和市政设施的完善，落实市级重要区域交通设施、城市轨道交通、主干路网，加强交通廊道预控，理顺城市交通网络，深化细化各级路网，形成“小街区、密路网”城市空间网络结构，深化细化各类管线管廊、基础设施地块和控制要求，开展市政和交通承载能力分析等内容。提出自己的设计思路。设计思路科学、完整性、有针对性的得5分，有欠缺的的2.5分，不详细、不完善</w:t>
            </w:r>
            <w:r>
              <w:rPr>
                <w:rFonts w:hint="eastAsia" w:ascii="仿宋_GB2312" w:hAnsi="仿宋_GB2312" w:eastAsia="仿宋_GB2312" w:cs="仿宋_GB2312"/>
                <w:sz w:val="28"/>
                <w:szCs w:val="28"/>
                <w:lang w:val="en-US" w:eastAsia="zh-CN"/>
              </w:rPr>
              <w:t>的不得分</w:t>
            </w:r>
            <w:r>
              <w:rPr>
                <w:rFonts w:hint="eastAsia" w:ascii="仿宋_GB2312" w:hAnsi="仿宋_GB2312" w:eastAsia="仿宋_GB2312" w:cs="仿宋_GB2312"/>
                <w:sz w:val="28"/>
                <w:szCs w:val="28"/>
              </w:rPr>
              <w:t>。</w:t>
            </w:r>
          </w:p>
        </w:tc>
        <w:tc>
          <w:tcPr>
            <w:tcW w:w="8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08" w:type="dxa"/>
            <w:vMerge w:val="continue"/>
            <w:vAlign w:val="center"/>
          </w:tcPr>
          <w:p>
            <w:pPr>
              <w:adjustRightInd/>
              <w:spacing w:line="400" w:lineRule="exact"/>
              <w:jc w:val="center"/>
              <w:rPr>
                <w:rFonts w:ascii="仿宋_GB2312" w:hAnsi="仿宋_GB2312" w:eastAsia="仿宋_GB2312" w:cs="仿宋_GB2312"/>
                <w:sz w:val="28"/>
                <w:szCs w:val="28"/>
                <w:lang w:val="zh-TW"/>
              </w:rPr>
            </w:pPr>
          </w:p>
        </w:tc>
        <w:tc>
          <w:tcPr>
            <w:tcW w:w="2016" w:type="dxa"/>
            <w:vMerge w:val="continue"/>
            <w:vAlign w:val="center"/>
          </w:tcPr>
          <w:p>
            <w:pPr>
              <w:adjustRightInd/>
              <w:spacing w:line="400" w:lineRule="exact"/>
              <w:jc w:val="left"/>
              <w:rPr>
                <w:rFonts w:ascii="仿宋_GB2312" w:hAnsi="仿宋_GB2312" w:eastAsia="仿宋_GB2312" w:cs="仿宋_GB2312"/>
                <w:sz w:val="28"/>
                <w:szCs w:val="28"/>
              </w:rPr>
            </w:pPr>
          </w:p>
        </w:tc>
        <w:tc>
          <w:tcPr>
            <w:tcW w:w="55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对规划区的生态和农业空间布局优化、做好生态保护和农业农村，按照上位规划和相关要求，进行底线管控、用途管制和适度利用，做好耕地保护、生态保护和修复，全域土地综合整治等规划内容提出自己的设计思路。设计思路科学、完整性、有针对性的得5分，有欠缺的的2.5分，不详细、不完善</w:t>
            </w:r>
            <w:r>
              <w:rPr>
                <w:rFonts w:hint="eastAsia" w:ascii="仿宋_GB2312" w:hAnsi="仿宋_GB2312" w:eastAsia="仿宋_GB2312" w:cs="仿宋_GB2312"/>
                <w:sz w:val="28"/>
                <w:szCs w:val="28"/>
                <w:lang w:val="en-US" w:eastAsia="zh-CN"/>
              </w:rPr>
              <w:t>的不得分</w:t>
            </w:r>
            <w:r>
              <w:rPr>
                <w:rFonts w:hint="eastAsia" w:ascii="仿宋_GB2312" w:hAnsi="仿宋_GB2312" w:eastAsia="仿宋_GB2312" w:cs="仿宋_GB2312"/>
                <w:sz w:val="28"/>
                <w:szCs w:val="28"/>
              </w:rPr>
              <w:t>。</w:t>
            </w:r>
          </w:p>
        </w:tc>
        <w:tc>
          <w:tcPr>
            <w:tcW w:w="8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08" w:type="dxa"/>
            <w:vMerge w:val="continue"/>
            <w:vAlign w:val="center"/>
          </w:tcPr>
          <w:p>
            <w:pPr>
              <w:adjustRightInd/>
              <w:spacing w:line="400" w:lineRule="exact"/>
              <w:jc w:val="center"/>
              <w:rPr>
                <w:rFonts w:ascii="仿宋_GB2312" w:hAnsi="仿宋_GB2312" w:eastAsia="仿宋_GB2312" w:cs="仿宋_GB2312"/>
                <w:sz w:val="28"/>
                <w:szCs w:val="28"/>
                <w:lang w:val="zh-TW"/>
              </w:rPr>
            </w:pPr>
          </w:p>
        </w:tc>
        <w:tc>
          <w:tcPr>
            <w:tcW w:w="2016" w:type="dxa"/>
            <w:vMerge w:val="continue"/>
            <w:vAlign w:val="center"/>
          </w:tcPr>
          <w:p>
            <w:pPr>
              <w:adjustRightInd/>
              <w:spacing w:line="400" w:lineRule="exact"/>
              <w:jc w:val="left"/>
              <w:rPr>
                <w:rFonts w:ascii="仿宋_GB2312" w:hAnsi="仿宋_GB2312" w:eastAsia="仿宋_GB2312" w:cs="仿宋_GB2312"/>
                <w:sz w:val="28"/>
                <w:szCs w:val="28"/>
              </w:rPr>
            </w:pPr>
          </w:p>
        </w:tc>
        <w:tc>
          <w:tcPr>
            <w:tcW w:w="55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对规划区概念性城市设计，重点地区城市设计，做好与地区已编城市设计的充分衔接：一是单元层面开展全覆盖的概念性城市设计、二是单元内划定重点地区，开展重点地区城市设计。提出自己的设计思路及内容。设计内容科学、完整性、有针对性的得5分，有欠缺的得2.5分，设计内容不详细、不完善的不得分。</w:t>
            </w:r>
          </w:p>
        </w:tc>
        <w:tc>
          <w:tcPr>
            <w:tcW w:w="8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408" w:type="dxa"/>
            <w:vMerge w:val="restart"/>
            <w:vAlign w:val="center"/>
          </w:tcPr>
          <w:p>
            <w:pPr>
              <w:adjustRightInd/>
              <w:spacing w:line="400" w:lineRule="exact"/>
              <w:jc w:val="center"/>
              <w:rPr>
                <w:rFonts w:ascii="仿宋_GB2312" w:hAnsi="仿宋_GB2312" w:eastAsia="仿宋_GB2312" w:cs="仿宋_GB2312"/>
                <w:sz w:val="28"/>
                <w:szCs w:val="28"/>
                <w:lang w:val="zh-TW"/>
              </w:rPr>
            </w:pPr>
            <w:r>
              <w:rPr>
                <w:rFonts w:hint="eastAsia" w:ascii="仿宋_GB2312" w:hAnsi="仿宋_GB2312" w:eastAsia="仿宋_GB2312" w:cs="仿宋_GB2312"/>
                <w:sz w:val="28"/>
                <w:szCs w:val="28"/>
                <w:lang w:val="zh-TW"/>
              </w:rPr>
              <w:t>工作</w:t>
            </w:r>
          </w:p>
          <w:p>
            <w:pPr>
              <w:adjustRightInd/>
              <w:spacing w:line="400" w:lineRule="exact"/>
              <w:jc w:val="center"/>
              <w:rPr>
                <w:rFonts w:ascii="仿宋_GB2312" w:hAnsi="仿宋_GB2312" w:eastAsia="仿宋_GB2312" w:cs="仿宋_GB2312"/>
                <w:sz w:val="28"/>
                <w:szCs w:val="28"/>
                <w:lang w:val="zh-TW"/>
              </w:rPr>
            </w:pPr>
            <w:r>
              <w:rPr>
                <w:rFonts w:hint="eastAsia" w:ascii="仿宋_GB2312" w:hAnsi="仿宋_GB2312" w:eastAsia="仿宋_GB2312" w:cs="仿宋_GB2312"/>
                <w:sz w:val="28"/>
                <w:szCs w:val="28"/>
                <w:lang w:val="zh-TW"/>
              </w:rPr>
              <w:t>要求</w:t>
            </w:r>
          </w:p>
          <w:p>
            <w:pPr>
              <w:adjustRightInd/>
              <w:spacing w:line="400" w:lineRule="exact"/>
              <w:jc w:val="center"/>
              <w:rPr>
                <w:rFonts w:ascii="仿宋_GB2312" w:hAnsi="仿宋_GB2312" w:eastAsia="仿宋_GB2312" w:cs="仿宋_GB2312"/>
                <w:sz w:val="28"/>
                <w:szCs w:val="28"/>
                <w:lang w:val="zh-TW"/>
              </w:rPr>
            </w:pPr>
            <w:r>
              <w:rPr>
                <w:rFonts w:hint="eastAsia" w:ascii="仿宋_GB2312" w:hAnsi="仿宋_GB2312" w:eastAsia="仿宋_GB2312" w:cs="仿宋_GB2312"/>
                <w:sz w:val="28"/>
                <w:szCs w:val="28"/>
                <w:lang w:val="zh-TW"/>
              </w:rPr>
              <w:t>（</w:t>
            </w:r>
            <w:r>
              <w:rPr>
                <w:rFonts w:hint="eastAsia" w:ascii="仿宋_GB2312" w:hAnsi="仿宋_GB2312" w:eastAsia="仿宋_GB2312" w:cs="仿宋_GB2312"/>
                <w:sz w:val="28"/>
                <w:szCs w:val="28"/>
              </w:rPr>
              <w:t>13分</w:t>
            </w:r>
            <w:r>
              <w:rPr>
                <w:rFonts w:hint="eastAsia" w:ascii="仿宋_GB2312" w:hAnsi="仿宋_GB2312" w:eastAsia="仿宋_GB2312" w:cs="仿宋_GB2312"/>
                <w:sz w:val="28"/>
                <w:szCs w:val="28"/>
                <w:lang w:val="zh-TW"/>
              </w:rPr>
              <w:t>）</w:t>
            </w:r>
          </w:p>
        </w:tc>
        <w:tc>
          <w:tcPr>
            <w:tcW w:w="2016" w:type="dxa"/>
            <w:vAlign w:val="center"/>
          </w:tcPr>
          <w:p>
            <w:pPr>
              <w:adjustRightInd/>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1、工作过程的统筹及协调</w:t>
            </w:r>
          </w:p>
        </w:tc>
        <w:tc>
          <w:tcPr>
            <w:tcW w:w="55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在工作过程中对贯彻执行国家及地方政府制定的相关专项规划、技术标准、政策、法规和业务主管部门的有关规定的工作谋划、整体部署、衔接沟通、整合协调方案。方案详细、完善、可行的得3分，有欠缺的的1.5分，不详细、不完善的不得分。</w:t>
            </w:r>
          </w:p>
        </w:tc>
        <w:tc>
          <w:tcPr>
            <w:tcW w:w="8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408" w:type="dxa"/>
            <w:vMerge w:val="continue"/>
            <w:vAlign w:val="center"/>
          </w:tcPr>
          <w:p>
            <w:pPr>
              <w:adjustRightInd/>
              <w:spacing w:line="400" w:lineRule="exact"/>
              <w:jc w:val="center"/>
              <w:rPr>
                <w:rFonts w:ascii="仿宋_GB2312" w:hAnsi="仿宋_GB2312" w:eastAsia="仿宋_GB2312" w:cs="仿宋_GB2312"/>
                <w:sz w:val="28"/>
                <w:szCs w:val="28"/>
                <w:lang w:val="zh-TW"/>
              </w:rPr>
            </w:pPr>
          </w:p>
        </w:tc>
        <w:tc>
          <w:tcPr>
            <w:tcW w:w="2016" w:type="dxa"/>
            <w:vMerge w:val="restart"/>
            <w:vAlign w:val="center"/>
          </w:tcPr>
          <w:p>
            <w:pPr>
              <w:adjustRightInd/>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2、数字化技术应用</w:t>
            </w:r>
          </w:p>
        </w:tc>
        <w:tc>
          <w:tcPr>
            <w:tcW w:w="55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运用数字技术进行现状分析和方案比选：</w:t>
            </w:r>
          </w:p>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针对运用数字技术进行现状分析和方案的详细、完善、可行程度。内容详细、完善、可行得4分；内容展现有欠缺的2分；不详细、不完善或不可行</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不得分。</w:t>
            </w:r>
          </w:p>
        </w:tc>
        <w:tc>
          <w:tcPr>
            <w:tcW w:w="8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408" w:type="dxa"/>
            <w:vMerge w:val="continue"/>
            <w:vAlign w:val="center"/>
          </w:tcPr>
          <w:p>
            <w:pPr>
              <w:adjustRightInd/>
              <w:spacing w:line="400" w:lineRule="exact"/>
              <w:jc w:val="center"/>
              <w:rPr>
                <w:rFonts w:ascii="仿宋_GB2312" w:hAnsi="仿宋_GB2312" w:eastAsia="仿宋_GB2312" w:cs="仿宋_GB2312"/>
                <w:sz w:val="28"/>
                <w:szCs w:val="28"/>
                <w:lang w:val="zh-TW"/>
              </w:rPr>
            </w:pPr>
          </w:p>
        </w:tc>
        <w:tc>
          <w:tcPr>
            <w:tcW w:w="2016" w:type="dxa"/>
            <w:vMerge w:val="continue"/>
            <w:vAlign w:val="center"/>
          </w:tcPr>
          <w:p>
            <w:pPr>
              <w:adjustRightInd/>
              <w:spacing w:line="400" w:lineRule="exact"/>
              <w:jc w:val="left"/>
              <w:rPr>
                <w:rFonts w:ascii="仿宋_GB2312" w:hAnsi="仿宋_GB2312" w:eastAsia="仿宋_GB2312" w:cs="仿宋_GB2312"/>
                <w:sz w:val="28"/>
                <w:szCs w:val="28"/>
              </w:rPr>
            </w:pPr>
          </w:p>
        </w:tc>
        <w:tc>
          <w:tcPr>
            <w:tcW w:w="55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数字编制成果规范化入库及场景展现。数字编制成果规范化入库及场景展现方案的详细、完善、可行程度。方案详细、完善、可行得4分；内容展现有欠缺的2分；不详细、不完善或不可行</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不得分。</w:t>
            </w:r>
          </w:p>
        </w:tc>
        <w:tc>
          <w:tcPr>
            <w:tcW w:w="8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08" w:type="dxa"/>
            <w:vMerge w:val="continue"/>
            <w:vAlign w:val="center"/>
          </w:tcPr>
          <w:p>
            <w:pPr>
              <w:adjustRightInd/>
              <w:spacing w:line="400" w:lineRule="exact"/>
              <w:jc w:val="center"/>
              <w:rPr>
                <w:rFonts w:ascii="仿宋_GB2312" w:hAnsi="仿宋_GB2312" w:eastAsia="仿宋_GB2312" w:cs="仿宋_GB2312"/>
                <w:sz w:val="28"/>
                <w:szCs w:val="28"/>
                <w:lang w:val="zh-TW"/>
              </w:rPr>
            </w:pPr>
          </w:p>
        </w:tc>
        <w:tc>
          <w:tcPr>
            <w:tcW w:w="2016" w:type="dxa"/>
            <w:vAlign w:val="center"/>
          </w:tcPr>
          <w:p>
            <w:pPr>
              <w:adjustRightInd/>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3、公众参与</w:t>
            </w:r>
          </w:p>
        </w:tc>
        <w:tc>
          <w:tcPr>
            <w:tcW w:w="55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投标人对</w:t>
            </w:r>
            <w:r>
              <w:rPr>
                <w:rFonts w:hint="eastAsia" w:ascii="仿宋_GB2312" w:hAnsi="仿宋_GB2312" w:eastAsia="仿宋_GB2312" w:cs="仿宋_GB2312"/>
                <w:sz w:val="28"/>
                <w:szCs w:val="28"/>
                <w:lang w:val="zh-TW"/>
              </w:rPr>
              <w:t>做好项目前期公众调查、中后期意见征求、相关意见回复等工作</w:t>
            </w:r>
            <w:r>
              <w:rPr>
                <w:rFonts w:hint="eastAsia" w:ascii="仿宋_GB2312" w:hAnsi="仿宋_GB2312" w:eastAsia="仿宋_GB2312" w:cs="仿宋_GB2312"/>
                <w:sz w:val="28"/>
                <w:szCs w:val="28"/>
              </w:rPr>
              <w:t>的计划安排</w:t>
            </w:r>
            <w:r>
              <w:rPr>
                <w:rFonts w:hint="eastAsia" w:ascii="仿宋_GB2312" w:hAnsi="仿宋_GB2312" w:eastAsia="仿宋_GB2312" w:cs="仿宋_GB2312"/>
                <w:sz w:val="28"/>
                <w:szCs w:val="28"/>
                <w:lang w:val="zh-TW"/>
              </w:rPr>
              <w:t>，形成公众参与篇章。根据提供的</w:t>
            </w:r>
            <w:r>
              <w:rPr>
                <w:rFonts w:hint="eastAsia" w:ascii="仿宋_GB2312" w:hAnsi="仿宋_GB2312" w:eastAsia="仿宋_GB2312" w:cs="仿宋_GB2312"/>
                <w:sz w:val="28"/>
                <w:szCs w:val="28"/>
              </w:rPr>
              <w:t>计划</w:t>
            </w:r>
            <w:r>
              <w:rPr>
                <w:rFonts w:hint="eastAsia" w:ascii="仿宋_GB2312" w:hAnsi="仿宋_GB2312" w:eastAsia="仿宋_GB2312" w:cs="仿宋_GB2312"/>
                <w:sz w:val="28"/>
                <w:szCs w:val="28"/>
                <w:lang w:val="zh-TW"/>
              </w:rPr>
              <w:t>内容</w:t>
            </w:r>
            <w:r>
              <w:rPr>
                <w:rFonts w:hint="eastAsia" w:ascii="仿宋_GB2312" w:hAnsi="仿宋_GB2312" w:eastAsia="仿宋_GB2312" w:cs="仿宋_GB2312"/>
                <w:sz w:val="28"/>
                <w:szCs w:val="28"/>
              </w:rPr>
              <w:t>，方案详细、完善、可行的得3分，有欠缺的的1.5分，不详细、不完善的不得分。</w:t>
            </w:r>
          </w:p>
        </w:tc>
        <w:tc>
          <w:tcPr>
            <w:tcW w:w="8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408" w:type="dxa"/>
            <w:vMerge w:val="restart"/>
            <w:vAlign w:val="center"/>
          </w:tcPr>
          <w:p>
            <w:pPr>
              <w:pStyle w:val="783"/>
              <w:widowControl w:val="0"/>
              <w:spacing w:line="460" w:lineRule="exact"/>
              <w:jc w:val="center"/>
              <w:rPr>
                <w:rFonts w:ascii="仿宋_GB2312" w:hAnsi="仿宋_GB2312" w:eastAsia="仿宋_GB2312" w:cs="仿宋_GB2312"/>
                <w:kern w:val="2"/>
                <w:sz w:val="28"/>
                <w:szCs w:val="28"/>
                <w:lang w:val="zh-TW"/>
              </w:rPr>
            </w:pPr>
            <w:r>
              <w:rPr>
                <w:rFonts w:hint="eastAsia" w:ascii="仿宋_GB2312" w:hAnsi="仿宋_GB2312" w:eastAsia="仿宋_GB2312" w:cs="仿宋_GB2312"/>
                <w:kern w:val="2"/>
                <w:sz w:val="28"/>
                <w:szCs w:val="28"/>
                <w:lang w:val="zh-TW"/>
              </w:rPr>
              <w:t>质量保证及后续服务</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（5分）</w:t>
            </w:r>
          </w:p>
        </w:tc>
        <w:tc>
          <w:tcPr>
            <w:tcW w:w="2016" w:type="dxa"/>
            <w:vAlign w:val="center"/>
          </w:tcPr>
          <w:p>
            <w:pPr>
              <w:adjustRightInd/>
              <w:spacing w:line="400" w:lineRule="exact"/>
              <w:jc w:val="left"/>
              <w:rPr>
                <w:rFonts w:ascii="仿宋_GB2312" w:hAnsi="仿宋_GB2312" w:eastAsia="仿宋_GB2312" w:cs="仿宋_GB2312"/>
                <w:sz w:val="28"/>
                <w:szCs w:val="28"/>
                <w:lang w:val="zh-TW"/>
              </w:rPr>
            </w:pPr>
            <w:r>
              <w:rPr>
                <w:rFonts w:hint="eastAsia" w:ascii="仿宋_GB2312" w:hAnsi="仿宋_GB2312" w:eastAsia="仿宋_GB2312" w:cs="仿宋_GB2312"/>
                <w:sz w:val="28"/>
                <w:szCs w:val="28"/>
              </w:rPr>
              <w:t>1、项目</w:t>
            </w:r>
            <w:r>
              <w:rPr>
                <w:rFonts w:hint="eastAsia" w:ascii="仿宋_GB2312" w:hAnsi="仿宋_GB2312" w:eastAsia="仿宋_GB2312" w:cs="仿宋_GB2312"/>
                <w:sz w:val="28"/>
                <w:szCs w:val="28"/>
                <w:lang w:val="zh-TW"/>
              </w:rPr>
              <w:t>负责人参加汇报情况</w:t>
            </w:r>
          </w:p>
        </w:tc>
        <w:tc>
          <w:tcPr>
            <w:tcW w:w="55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TW"/>
              </w:rPr>
              <w:t>项目负责人参加重要编制成果汇报不少于</w:t>
            </w:r>
            <w:r>
              <w:rPr>
                <w:rFonts w:hint="eastAsia" w:ascii="仿宋_GB2312" w:hAnsi="仿宋_GB2312" w:eastAsia="仿宋_GB2312" w:cs="仿宋_GB2312"/>
                <w:sz w:val="28"/>
                <w:szCs w:val="28"/>
              </w:rPr>
              <w:t>3次的得2分，否则不得分。</w:t>
            </w:r>
          </w:p>
        </w:tc>
        <w:tc>
          <w:tcPr>
            <w:tcW w:w="8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08" w:type="dxa"/>
            <w:vMerge w:val="continue"/>
            <w:vAlign w:val="center"/>
          </w:tcPr>
          <w:p>
            <w:pPr>
              <w:jc w:val="center"/>
              <w:rPr>
                <w:rFonts w:ascii="仿宋_GB2312" w:hAnsi="仿宋_GB2312" w:eastAsia="仿宋_GB2312" w:cs="仿宋_GB2312"/>
                <w:sz w:val="28"/>
                <w:szCs w:val="28"/>
              </w:rPr>
            </w:pPr>
          </w:p>
        </w:tc>
        <w:tc>
          <w:tcPr>
            <w:tcW w:w="2016" w:type="dxa"/>
            <w:vAlign w:val="center"/>
          </w:tcPr>
          <w:p>
            <w:pPr>
              <w:pStyle w:val="783"/>
              <w:widowControl w:val="0"/>
              <w:spacing w:line="460" w:lineRule="exact"/>
              <w:jc w:val="left"/>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w:t>
            </w:r>
            <w:r>
              <w:rPr>
                <w:rFonts w:hint="eastAsia" w:ascii="仿宋_GB2312" w:hAnsi="仿宋_GB2312" w:eastAsia="仿宋_GB2312" w:cs="仿宋_GB2312"/>
                <w:kern w:val="2"/>
                <w:sz w:val="28"/>
                <w:szCs w:val="28"/>
                <w:lang w:val="zh-TW"/>
              </w:rPr>
              <w:t>质量保证及后续服务</w:t>
            </w:r>
          </w:p>
        </w:tc>
        <w:tc>
          <w:tcPr>
            <w:tcW w:w="5597" w:type="dxa"/>
            <w:vAlign w:val="center"/>
          </w:tcPr>
          <w:p>
            <w:pPr>
              <w:adjustRightInd/>
              <w:spacing w:line="400" w:lineRule="exact"/>
              <w:jc w:val="left"/>
              <w:rPr>
                <w:rFonts w:hint="eastAsia" w:ascii="仿宋_GB2312" w:hAnsi="仿宋_GB2312" w:eastAsia="仿宋_GB2312" w:cs="仿宋_GB2312"/>
                <w:sz w:val="28"/>
                <w:szCs w:val="28"/>
                <w:lang w:val="zh-TW" w:eastAsia="zh-CN"/>
              </w:rPr>
            </w:pPr>
            <w:r>
              <w:rPr>
                <w:rFonts w:hint="eastAsia" w:ascii="仿宋_GB2312" w:hAnsi="仿宋_GB2312" w:eastAsia="仿宋_GB2312" w:cs="仿宋_GB2312"/>
                <w:sz w:val="28"/>
                <w:szCs w:val="28"/>
              </w:rPr>
              <w:t>1、质量保证体系完备周全，具有针对性应对措施得2分，质量保证体系完备不周全或不具有针对性应对措施得1分，质量保证体系完备不周全且不具有针对性应对措施不得分</w:t>
            </w:r>
          </w:p>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2、项目编制完成后，需继续按照质量维护期要求，对单元内涉及控规动态维护的内容做好技术支持服务，根据方案可实施性强弱打分，方案符合采购人需求且可实施性强得2分，部分符合或可实施性弱得</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分，不符合不得分。</w:t>
            </w:r>
          </w:p>
        </w:tc>
        <w:tc>
          <w:tcPr>
            <w:tcW w:w="8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408" w:type="dxa"/>
            <w:vMerge w:val="restart"/>
            <w:vAlign w:val="center"/>
          </w:tcPr>
          <w:p>
            <w:pPr>
              <w:adjustRightInd/>
              <w:spacing w:line="400" w:lineRule="exact"/>
              <w:jc w:val="center"/>
              <w:rPr>
                <w:rFonts w:ascii="仿宋_GB2312" w:hAnsi="仿宋_GB2312" w:eastAsia="仿宋_GB2312" w:cs="仿宋_GB2312"/>
                <w:sz w:val="28"/>
                <w:szCs w:val="28"/>
                <w:lang w:val="zh-TW"/>
              </w:rPr>
            </w:pPr>
            <w:r>
              <w:rPr>
                <w:rFonts w:hint="eastAsia" w:ascii="仿宋_GB2312" w:hAnsi="仿宋_GB2312" w:eastAsia="仿宋_GB2312" w:cs="仿宋_GB2312"/>
                <w:sz w:val="28"/>
                <w:szCs w:val="28"/>
                <w:lang w:val="zh-TW"/>
              </w:rPr>
              <w:t>团队、资质、业绩</w:t>
            </w:r>
          </w:p>
          <w:p>
            <w:pPr>
              <w:adjustRightInd/>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（12分）</w:t>
            </w:r>
          </w:p>
        </w:tc>
        <w:tc>
          <w:tcPr>
            <w:tcW w:w="2016" w:type="dxa"/>
            <w:vAlign w:val="center"/>
          </w:tcPr>
          <w:p>
            <w:pPr>
              <w:adjustRightInd/>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TW"/>
              </w:rPr>
              <w:t>项目组成员</w:t>
            </w:r>
          </w:p>
        </w:tc>
        <w:tc>
          <w:tcPr>
            <w:tcW w:w="5597" w:type="dxa"/>
            <w:vAlign w:val="center"/>
          </w:tcPr>
          <w:p>
            <w:pPr>
              <w:adjustRightInd/>
              <w:spacing w:line="400" w:lineRule="exact"/>
              <w:jc w:val="left"/>
              <w:rPr>
                <w:rFonts w:hint="eastAsia" w:ascii="仿宋_GB2312" w:hAnsi="仿宋_GB2312" w:eastAsia="仿宋_GB2312" w:cs="仿宋_GB2312"/>
                <w:sz w:val="28"/>
                <w:szCs w:val="28"/>
                <w:lang w:val="zh-TW"/>
              </w:rPr>
            </w:pPr>
            <w:r>
              <w:rPr>
                <w:rFonts w:hint="eastAsia" w:ascii="仿宋_GB2312" w:hAnsi="仿宋_GB2312" w:eastAsia="仿宋_GB2312" w:cs="仿宋_GB2312"/>
                <w:sz w:val="28"/>
                <w:szCs w:val="28"/>
                <w:lang w:val="zh-TW"/>
              </w:rPr>
              <w:t>项目组成员中有正高级职称的，每个得1分；有副高级职称的，每个得0.5分。最高得</w:t>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lang w:val="zh-TW"/>
              </w:rPr>
              <w:t>分。</w:t>
            </w:r>
          </w:p>
          <w:p>
            <w:pPr>
              <w:adjustRightInd/>
              <w:spacing w:line="400" w:lineRule="exact"/>
              <w:jc w:val="left"/>
              <w:rPr>
                <w:rFonts w:hint="eastAsia" w:ascii="仿宋_GB2312" w:hAnsi="仿宋_GB2312" w:eastAsia="仿宋_GB2312" w:cs="仿宋_GB2312"/>
                <w:sz w:val="28"/>
                <w:szCs w:val="28"/>
                <w:lang w:val="zh-TW"/>
              </w:rPr>
            </w:pPr>
            <w:r>
              <w:rPr>
                <w:rFonts w:hint="eastAsia" w:ascii="仿宋_GB2312" w:hAnsi="仿宋_GB2312" w:eastAsia="仿宋_GB2312" w:cs="仿宋_GB2312"/>
                <w:sz w:val="28"/>
                <w:szCs w:val="28"/>
                <w:lang w:val="zh-TW"/>
              </w:rPr>
              <w:t>项目团队成员（负责人除外）中含城乡规划、建筑、市政、交通、土地、地理信息、数字技术及应用等专业人员，至少各1人，并具有中级及以上技术职称的，得</w:t>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lang w:val="zh-TW"/>
              </w:rPr>
              <w:t>分，否则不得分。</w:t>
            </w:r>
          </w:p>
          <w:p>
            <w:pPr>
              <w:adjustRightInd/>
              <w:spacing w:line="400" w:lineRule="exact"/>
              <w:jc w:val="left"/>
              <w:rPr>
                <w:rFonts w:hint="eastAsia" w:ascii="仿宋_GB2312" w:hAnsi="仿宋_GB2312" w:eastAsia="仿宋_GB2312" w:cs="仿宋_GB2312"/>
                <w:sz w:val="28"/>
                <w:szCs w:val="28"/>
                <w:lang w:val="zh-TW"/>
              </w:rPr>
            </w:pPr>
            <w:r>
              <w:rPr>
                <w:rFonts w:hint="eastAsia" w:ascii="仿宋_GB2312" w:hAnsi="仿宋_GB2312" w:eastAsia="仿宋_GB2312" w:cs="仿宋_GB2312"/>
                <w:sz w:val="28"/>
                <w:szCs w:val="28"/>
                <w:lang w:val="zh-TW"/>
              </w:rPr>
              <w:t>证明材料：提供相关人员资格证书、职称证书复印件及由本单位为其缴纳的近三个月内任意一个月投标人为其缴纳的社保缴纳证明，加盖有效公章，否则不得分。</w:t>
            </w:r>
          </w:p>
        </w:tc>
        <w:tc>
          <w:tcPr>
            <w:tcW w:w="8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408" w:type="dxa"/>
            <w:vMerge w:val="continue"/>
          </w:tcPr>
          <w:p>
            <w:pPr>
              <w:adjustRightInd/>
              <w:spacing w:line="400" w:lineRule="exact"/>
              <w:jc w:val="center"/>
              <w:rPr>
                <w:rFonts w:ascii="仿宋_GB2312" w:hAnsi="仿宋_GB2312" w:eastAsia="仿宋_GB2312" w:cs="仿宋_GB2312"/>
                <w:sz w:val="28"/>
                <w:szCs w:val="28"/>
              </w:rPr>
            </w:pPr>
          </w:p>
        </w:tc>
        <w:tc>
          <w:tcPr>
            <w:tcW w:w="2016" w:type="dxa"/>
            <w:vAlign w:val="center"/>
          </w:tcPr>
          <w:p>
            <w:pPr>
              <w:adjustRightInd/>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zh-TW"/>
              </w:rPr>
              <w:t>项目组负责人</w:t>
            </w:r>
          </w:p>
        </w:tc>
        <w:tc>
          <w:tcPr>
            <w:tcW w:w="5597" w:type="dxa"/>
            <w:vAlign w:val="center"/>
          </w:tcPr>
          <w:p>
            <w:pPr>
              <w:adjustRightInd/>
              <w:spacing w:line="400" w:lineRule="exact"/>
              <w:jc w:val="left"/>
              <w:rPr>
                <w:rFonts w:hint="eastAsia" w:ascii="仿宋_GB2312" w:hAnsi="仿宋_GB2312" w:eastAsia="仿宋_GB2312" w:cs="仿宋_GB2312"/>
                <w:sz w:val="28"/>
                <w:szCs w:val="28"/>
                <w:lang w:val="zh-TW"/>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TW"/>
              </w:rPr>
              <w:t>拟投入的项目负责人具有教授级高级工程师职称的得</w:t>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lang w:val="zh-TW"/>
              </w:rPr>
              <w:t>分，具有高级工程师职称的得</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TW"/>
              </w:rPr>
              <w:t>分。本项最高得</w:t>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lang w:val="zh-TW"/>
              </w:rPr>
              <w:t>分。</w:t>
            </w:r>
          </w:p>
          <w:p>
            <w:pPr>
              <w:adjustRightInd/>
              <w:spacing w:line="400" w:lineRule="exact"/>
              <w:jc w:val="left"/>
              <w:rPr>
                <w:rFonts w:hint="eastAsia" w:ascii="仿宋_GB2312" w:hAnsi="仿宋_GB2312" w:eastAsia="仿宋_GB2312" w:cs="仿宋_GB2312"/>
                <w:sz w:val="28"/>
                <w:szCs w:val="28"/>
                <w:lang w:val="zh-TW"/>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zh-TW"/>
              </w:rPr>
              <w:t>拟投入的项目负责人（可两人）分别或同时具有注册城乡规划师资格和一级注册建筑师得</w:t>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lang w:val="zh-TW"/>
              </w:rPr>
              <w:t>分，否则不得分。</w:t>
            </w:r>
          </w:p>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TW"/>
              </w:rPr>
              <w:t>注：1、2两条所指项目负责人须为同一人担任，且须提供该人员证书复印件以及最近半年内任意一个月投标人为其缴纳的社保缴纳证明，加盖有效公章，否则不得分。</w:t>
            </w:r>
          </w:p>
        </w:tc>
        <w:tc>
          <w:tcPr>
            <w:tcW w:w="8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408" w:type="dxa"/>
            <w:vMerge w:val="continue"/>
          </w:tcPr>
          <w:p>
            <w:pPr>
              <w:adjustRightInd/>
              <w:spacing w:line="400" w:lineRule="exact"/>
              <w:jc w:val="center"/>
              <w:rPr>
                <w:rFonts w:ascii="仿宋_GB2312" w:hAnsi="仿宋_GB2312" w:eastAsia="仿宋_GB2312" w:cs="仿宋_GB2312"/>
                <w:sz w:val="28"/>
                <w:szCs w:val="28"/>
              </w:rPr>
            </w:pPr>
          </w:p>
        </w:tc>
        <w:tc>
          <w:tcPr>
            <w:tcW w:w="2016" w:type="dxa"/>
            <w:vAlign w:val="center"/>
          </w:tcPr>
          <w:p>
            <w:pPr>
              <w:adjustRightInd/>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3、质量</w:t>
            </w:r>
            <w:r>
              <w:rPr>
                <w:rFonts w:hint="eastAsia" w:ascii="仿宋_GB2312" w:hAnsi="仿宋_GB2312" w:eastAsia="仿宋_GB2312" w:cs="仿宋_GB2312"/>
                <w:sz w:val="28"/>
                <w:szCs w:val="28"/>
                <w:lang w:val="zh-TW"/>
              </w:rPr>
              <w:t>体系认证</w:t>
            </w:r>
          </w:p>
        </w:tc>
        <w:tc>
          <w:tcPr>
            <w:tcW w:w="5597" w:type="dxa"/>
            <w:vAlign w:val="center"/>
          </w:tcPr>
          <w:p>
            <w:pPr>
              <w:adjustRightInd/>
              <w:spacing w:line="400" w:lineRule="exact"/>
              <w:jc w:val="left"/>
              <w:rPr>
                <w:rFonts w:hint="eastAsia" w:ascii="仿宋_GB2312" w:hAnsi="仿宋_GB2312" w:eastAsia="仿宋_GB2312" w:cs="仿宋_GB2312"/>
                <w:sz w:val="28"/>
                <w:szCs w:val="28"/>
                <w:lang w:val="zh-TW"/>
              </w:rPr>
            </w:pPr>
            <w:r>
              <w:rPr>
                <w:rFonts w:hint="eastAsia" w:ascii="仿宋_GB2312" w:hAnsi="仿宋_GB2312" w:eastAsia="仿宋_GB2312" w:cs="仿宋_GB2312"/>
                <w:sz w:val="28"/>
                <w:szCs w:val="28"/>
                <w:lang w:val="zh-TW"/>
              </w:rPr>
              <w:t>投标人具有质量管理体系认证证书、环境管理体系认证证书、职业健康安全管理体系认证证书并在有效期内（证书认证的范围至少包含国土空间规划），每个得1分，最多得</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zh-TW"/>
              </w:rPr>
              <w:t>分。</w:t>
            </w:r>
          </w:p>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TW"/>
              </w:rPr>
              <w:t>注：须提供有效期内认证证书复印件加盖有效公章，否则不得分。</w:t>
            </w:r>
          </w:p>
        </w:tc>
        <w:tc>
          <w:tcPr>
            <w:tcW w:w="8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408" w:type="dxa"/>
            <w:vMerge w:val="continue"/>
          </w:tcPr>
          <w:p>
            <w:pPr>
              <w:adjustRightInd/>
              <w:spacing w:line="400" w:lineRule="exact"/>
              <w:jc w:val="center"/>
              <w:rPr>
                <w:rFonts w:ascii="仿宋_GB2312" w:hAnsi="仿宋_GB2312" w:eastAsia="仿宋_GB2312" w:cs="仿宋_GB2312"/>
                <w:sz w:val="28"/>
                <w:szCs w:val="28"/>
              </w:rPr>
            </w:pPr>
          </w:p>
        </w:tc>
        <w:tc>
          <w:tcPr>
            <w:tcW w:w="2016" w:type="dxa"/>
            <w:vAlign w:val="center"/>
          </w:tcPr>
          <w:p>
            <w:pPr>
              <w:adjustRightInd/>
              <w:spacing w:line="400" w:lineRule="exact"/>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zh-TW"/>
              </w:rPr>
              <w:t>获奖情况</w:t>
            </w:r>
          </w:p>
        </w:tc>
        <w:tc>
          <w:tcPr>
            <w:tcW w:w="55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TW"/>
              </w:rPr>
              <w:t>投标单位2017年1月1日以来，投标人编制的同类型规划，获得国家级（不含除中国城市规划协会以外的行业学会或协会颁发）荣誉、奖项的，每个得3分，获得省部级（不含除各省城乡规划学会以外的行业学会或协会颁发）荣誉、奖项的每个得2分。本项最高3分。相同项目不得重复计算，以荣誉、获奖证书等复印件并加盖公章为准。</w:t>
            </w:r>
          </w:p>
        </w:tc>
        <w:tc>
          <w:tcPr>
            <w:tcW w:w="8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408" w:type="dxa"/>
            <w:vMerge w:val="continue"/>
            <w:vAlign w:val="center"/>
          </w:tcPr>
          <w:p>
            <w:pPr>
              <w:pStyle w:val="2"/>
              <w:ind w:firstLine="560"/>
              <w:rPr>
                <w:rFonts w:ascii="仿宋_GB2312" w:hAnsi="仿宋_GB2312" w:eastAsia="仿宋_GB2312" w:cs="仿宋_GB2312"/>
                <w:sz w:val="28"/>
                <w:szCs w:val="28"/>
              </w:rPr>
            </w:pPr>
          </w:p>
        </w:tc>
        <w:tc>
          <w:tcPr>
            <w:tcW w:w="2016" w:type="dxa"/>
            <w:vAlign w:val="center"/>
          </w:tcPr>
          <w:p>
            <w:pPr>
              <w:adjustRightInd/>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5、类似经验</w:t>
            </w:r>
          </w:p>
        </w:tc>
        <w:tc>
          <w:tcPr>
            <w:tcW w:w="55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TW"/>
              </w:rPr>
              <w:t>投标单位2019年1月1日以来承担过控制性详细规划</w:t>
            </w:r>
            <w:r>
              <w:rPr>
                <w:rFonts w:hint="eastAsia" w:ascii="仿宋_GB2312" w:hAnsi="仿宋_GB2312" w:eastAsia="仿宋_GB2312" w:cs="仿宋_GB2312"/>
                <w:sz w:val="28"/>
                <w:szCs w:val="28"/>
              </w:rPr>
              <w:t>类项目</w:t>
            </w:r>
            <w:r>
              <w:rPr>
                <w:rFonts w:hint="eastAsia" w:ascii="仿宋_GB2312" w:hAnsi="仿宋_GB2312" w:eastAsia="仿宋_GB2312" w:cs="仿宋_GB2312"/>
                <w:sz w:val="28"/>
                <w:szCs w:val="28"/>
                <w:lang w:val="zh-TW"/>
              </w:rPr>
              <w:t>的每个得</w:t>
            </w:r>
            <w:r>
              <w:rPr>
                <w:rFonts w:hint="eastAsia" w:ascii="仿宋_GB2312" w:hAnsi="仿宋_GB2312" w:eastAsia="仿宋_GB2312" w:cs="仿宋_GB2312"/>
                <w:sz w:val="28"/>
                <w:szCs w:val="28"/>
              </w:rPr>
              <w:t>0.5</w:t>
            </w:r>
            <w:r>
              <w:rPr>
                <w:rFonts w:hint="eastAsia" w:ascii="仿宋_GB2312" w:hAnsi="仿宋_GB2312" w:eastAsia="仿宋_GB2312" w:cs="仿宋_GB2312"/>
                <w:sz w:val="28"/>
                <w:szCs w:val="28"/>
                <w:lang w:val="zh-TW"/>
              </w:rPr>
              <w:t>分，该项最高得分为</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TW"/>
              </w:rPr>
              <w:t>分。</w:t>
            </w:r>
          </w:p>
        </w:tc>
        <w:tc>
          <w:tcPr>
            <w:tcW w:w="8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408" w:type="dxa"/>
          </w:tcPr>
          <w:p>
            <w:pPr>
              <w:adjustRightInd/>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价格</w:t>
            </w:r>
          </w:p>
          <w:p>
            <w:pPr>
              <w:adjustRightInd/>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（10分）</w:t>
            </w:r>
          </w:p>
        </w:tc>
        <w:tc>
          <w:tcPr>
            <w:tcW w:w="2016" w:type="dxa"/>
            <w:vAlign w:val="center"/>
          </w:tcPr>
          <w:p>
            <w:pPr>
              <w:adjustRightInd/>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投标报价</w:t>
            </w:r>
          </w:p>
        </w:tc>
        <w:tc>
          <w:tcPr>
            <w:tcW w:w="55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有效投标报价的最低价作为评标基准价，其最低报价为满分；按［投标报价得分=（评标基准价/投标报价）*10］的计算公式计算。</w:t>
            </w:r>
          </w:p>
        </w:tc>
        <w:tc>
          <w:tcPr>
            <w:tcW w:w="897" w:type="dxa"/>
            <w:vAlign w:val="center"/>
          </w:tcPr>
          <w:p>
            <w:pPr>
              <w:adjustRightInd/>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10分</w:t>
            </w:r>
          </w:p>
        </w:tc>
      </w:tr>
    </w:tbl>
    <w:p>
      <w:pPr>
        <w:widowControl/>
        <w:shd w:val="clear" w:color="auto" w:fill="FFFFFF"/>
        <w:adjustRightInd/>
        <w:spacing w:after="225" w:line="315" w:lineRule="atLeast"/>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snapToGrid w:val="0"/>
        <w:spacing w:line="360" w:lineRule="auto"/>
        <w:rPr>
          <w:rFonts w:ascii="仿宋" w:hAnsi="仿宋" w:eastAsia="仿宋" w:cs="仿宋_GB2312"/>
          <w:sz w:val="24"/>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pStyle w:val="130"/>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130"/>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130"/>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130"/>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130"/>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130"/>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130"/>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130"/>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对于未预留份额专门面向中小企业的政府采购货物或服务项目，以及预留份额政府采购货物或服务项目中的非预留部分标项，对小型和微型企业的投标报价给予2</w:t>
      </w:r>
      <w:r>
        <w:rPr>
          <w:rFonts w:ascii="仿宋" w:hAnsi="仿宋" w:eastAsia="仿宋" w:cs="仿宋"/>
          <w:kern w:val="0"/>
          <w:szCs w:val="24"/>
        </w:rPr>
        <w:t>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p>
    <w:p>
      <w:pPr>
        <w:spacing w:line="360" w:lineRule="auto"/>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30"/>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 xml:space="preserve">  </w:t>
      </w:r>
      <w:r>
        <w:rPr>
          <w:rFonts w:hint="eastAsia" w:ascii="仿宋_GB2312" w:hAnsi="仿宋" w:eastAsia="仿宋_GB2312" w:cs="Arial"/>
          <w:kern w:val="0"/>
          <w:sz w:val="24"/>
        </w:rPr>
        <w:t xml:space="preserve"> </w:t>
      </w: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5"/>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
        <w:snapToGrid w:val="0"/>
        <w:spacing w:line="360" w:lineRule="auto"/>
        <w:ind w:firstLine="0" w:firstLineChars="0"/>
        <w:rPr>
          <w:rFonts w:ascii="仿宋_GB2312" w:hAnsi="仿宋" w:eastAsia="仿宋_GB2312" w:cs="仿宋_GB2312"/>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snapToGrid w:val="0"/>
        <w:spacing w:line="800" w:lineRule="exact"/>
        <w:jc w:val="center"/>
        <w:rPr>
          <w:rFonts w:ascii="楷体_GB2312" w:hAnsi="宋体" w:eastAsia="楷体_GB2312"/>
          <w:sz w:val="24"/>
        </w:rPr>
      </w:pPr>
    </w:p>
    <w:p>
      <w:pPr>
        <w:snapToGrid w:val="0"/>
        <w:spacing w:line="800" w:lineRule="exact"/>
        <w:jc w:val="center"/>
        <w:rPr>
          <w:rFonts w:eastAsia="仿宋_GB2312"/>
          <w:b/>
          <w:sz w:val="30"/>
          <w:szCs w:val="30"/>
        </w:rPr>
      </w:pPr>
    </w:p>
    <w:p>
      <w:pPr>
        <w:snapToGrid w:val="0"/>
        <w:spacing w:line="800" w:lineRule="exact"/>
        <w:jc w:val="center"/>
        <w:rPr>
          <w:rFonts w:ascii="方正小标宋_GBK" w:hAnsi="黑体" w:eastAsia="方正小标宋_GBK"/>
          <w:sz w:val="72"/>
          <w:szCs w:val="72"/>
        </w:rPr>
      </w:pPr>
      <w:r>
        <w:rPr>
          <w:rFonts w:hint="eastAsia" w:ascii="方正小标宋_GBK" w:hAnsi="黑体" w:eastAsia="方正小标宋_GBK"/>
          <w:sz w:val="72"/>
          <w:szCs w:val="72"/>
        </w:rPr>
        <w:t>技术服务合同</w:t>
      </w:r>
    </w:p>
    <w:p>
      <w:pPr>
        <w:snapToGrid w:val="0"/>
        <w:spacing w:line="800" w:lineRule="exact"/>
        <w:jc w:val="center"/>
        <w:rPr>
          <w:rFonts w:ascii="黑体" w:hAnsi="黑体" w:eastAsia="黑体"/>
          <w:sz w:val="72"/>
          <w:szCs w:val="72"/>
        </w:rPr>
      </w:pPr>
    </w:p>
    <w:p>
      <w:pPr>
        <w:snapToGrid w:val="0"/>
        <w:spacing w:line="800" w:lineRule="exact"/>
        <w:jc w:val="center"/>
        <w:rPr>
          <w:rFonts w:ascii="黑体" w:hAnsi="黑体" w:eastAsia="黑体"/>
          <w:sz w:val="72"/>
          <w:szCs w:val="72"/>
        </w:rPr>
      </w:pPr>
    </w:p>
    <w:p>
      <w:pPr>
        <w:snapToGrid w:val="0"/>
        <w:spacing w:before="312" w:beforeLines="100" w:after="100" w:afterAutospacing="1" w:line="480" w:lineRule="auto"/>
        <w:ind w:firstLine="1193" w:firstLineChars="396"/>
        <w:rPr>
          <w:rFonts w:ascii="黑体" w:hAnsi="黑体" w:eastAsia="黑体"/>
          <w:b/>
          <w:sz w:val="30"/>
          <w:szCs w:val="30"/>
        </w:rPr>
      </w:pPr>
      <w:r>
        <w:rPr>
          <w:rFonts w:hint="eastAsia" w:ascii="黑体" w:hAnsi="黑体" w:eastAsia="黑体"/>
          <w:b/>
          <w:sz w:val="30"/>
          <w:szCs w:val="30"/>
        </w:rPr>
        <w:t>项目名称</w:t>
      </w:r>
      <w:r>
        <w:rPr>
          <w:rFonts w:ascii="黑体" w:hAnsi="黑体" w:eastAsia="黑体"/>
          <w:b/>
          <w:sz w:val="30"/>
          <w:szCs w:val="30"/>
        </w:rPr>
        <w:t>:</w:t>
      </w:r>
      <w:r>
        <w:rPr>
          <w:rFonts w:hint="eastAsia" w:ascii="黑体" w:hAnsi="黑体" w:eastAsia="黑体"/>
          <w:b/>
          <w:sz w:val="30"/>
          <w:szCs w:val="30"/>
        </w:rPr>
        <w:t>___________________________</w:t>
      </w:r>
    </w:p>
    <w:p>
      <w:pPr>
        <w:snapToGrid w:val="0"/>
        <w:ind w:firstLine="1193" w:firstLineChars="396"/>
        <w:rPr>
          <w:rFonts w:ascii="黑体" w:hAnsi="黑体" w:eastAsia="黑体"/>
          <w:b/>
          <w:sz w:val="30"/>
          <w:szCs w:val="30"/>
          <w:u w:val="single"/>
        </w:rPr>
      </w:pPr>
      <w:r>
        <w:rPr>
          <w:rFonts w:hint="eastAsia" w:ascii="黑体" w:hAnsi="黑体" w:eastAsia="黑体"/>
          <w:b/>
          <w:sz w:val="30"/>
          <w:szCs w:val="30"/>
        </w:rPr>
        <w:t>委托方：</w:t>
      </w:r>
      <w:r>
        <w:rPr>
          <w:rFonts w:hint="eastAsia" w:ascii="黑体" w:hAnsi="黑体" w:eastAsia="黑体"/>
          <w:b/>
          <w:sz w:val="30"/>
          <w:szCs w:val="30"/>
          <w:u w:val="single"/>
        </w:rPr>
        <w:t>____________________________</w:t>
      </w:r>
    </w:p>
    <w:p>
      <w:pPr>
        <w:snapToGrid w:val="0"/>
        <w:ind w:firstLine="1193" w:firstLineChars="396"/>
        <w:rPr>
          <w:rFonts w:ascii="黑体" w:hAnsi="黑体" w:eastAsia="黑体"/>
          <w:b/>
          <w:sz w:val="30"/>
          <w:szCs w:val="30"/>
        </w:rPr>
      </w:pPr>
      <w:r>
        <w:rPr>
          <w:rFonts w:hint="eastAsia" w:ascii="黑体" w:hAnsi="黑体" w:eastAsia="黑体"/>
          <w:b/>
          <w:sz w:val="30"/>
          <w:szCs w:val="30"/>
        </w:rPr>
        <w:t xml:space="preserve">(甲方) </w:t>
      </w:r>
    </w:p>
    <w:p>
      <w:pPr>
        <w:snapToGrid w:val="0"/>
        <w:ind w:firstLine="1193" w:firstLineChars="396"/>
        <w:rPr>
          <w:rFonts w:ascii="黑体" w:hAnsi="黑体" w:eastAsia="黑体"/>
          <w:b/>
          <w:sz w:val="30"/>
          <w:szCs w:val="30"/>
        </w:rPr>
      </w:pPr>
    </w:p>
    <w:p>
      <w:pPr>
        <w:snapToGrid w:val="0"/>
        <w:ind w:firstLine="1193" w:firstLineChars="396"/>
        <w:rPr>
          <w:rFonts w:ascii="黑体" w:hAnsi="黑体" w:eastAsia="黑体"/>
          <w:b/>
          <w:sz w:val="30"/>
          <w:szCs w:val="30"/>
        </w:rPr>
      </w:pPr>
      <w:r>
        <w:rPr>
          <w:rFonts w:hint="eastAsia" w:ascii="黑体" w:hAnsi="黑体" w:eastAsia="黑体"/>
          <w:b/>
          <w:sz w:val="30"/>
          <w:szCs w:val="30"/>
        </w:rPr>
        <w:t>承接方：___________________________</w:t>
      </w:r>
    </w:p>
    <w:p>
      <w:pPr>
        <w:snapToGrid w:val="0"/>
        <w:ind w:firstLine="1193" w:firstLineChars="396"/>
        <w:rPr>
          <w:rFonts w:ascii="黑体" w:hAnsi="黑体" w:eastAsia="黑体"/>
          <w:b/>
          <w:sz w:val="30"/>
          <w:szCs w:val="30"/>
        </w:rPr>
      </w:pPr>
      <w:r>
        <w:rPr>
          <w:rFonts w:hint="eastAsia" w:ascii="黑体" w:hAnsi="黑体" w:eastAsia="黑体"/>
          <w:b/>
          <w:sz w:val="30"/>
          <w:szCs w:val="30"/>
        </w:rPr>
        <w:t>（乙方）</w:t>
      </w:r>
    </w:p>
    <w:p>
      <w:pPr>
        <w:snapToGrid w:val="0"/>
        <w:spacing w:before="312" w:beforeLines="100" w:line="480" w:lineRule="auto"/>
        <w:ind w:firstLine="1193" w:firstLineChars="396"/>
        <w:rPr>
          <w:rFonts w:ascii="黑体" w:hAnsi="黑体" w:eastAsia="黑体"/>
          <w:b/>
          <w:sz w:val="30"/>
          <w:szCs w:val="30"/>
        </w:rPr>
      </w:pPr>
      <w:r>
        <w:rPr>
          <w:rFonts w:hint="eastAsia" w:ascii="黑体" w:hAnsi="黑体" w:eastAsia="黑体"/>
          <w:b/>
          <w:sz w:val="30"/>
          <w:szCs w:val="30"/>
        </w:rPr>
        <w:t>鉴证方：</w:t>
      </w:r>
      <w:r>
        <w:rPr>
          <w:rFonts w:hint="eastAsia" w:ascii="黑体" w:hAnsi="黑体" w:eastAsia="黑体"/>
          <w:b/>
          <w:sz w:val="30"/>
          <w:szCs w:val="30"/>
          <w:u w:val="single"/>
        </w:rPr>
        <w:t>____________________________</w:t>
      </w:r>
    </w:p>
    <w:p>
      <w:pPr>
        <w:snapToGrid w:val="0"/>
        <w:spacing w:before="312" w:beforeLines="100" w:line="440" w:lineRule="exact"/>
        <w:rPr>
          <w:rFonts w:eastAsia="仿宋_GB2312"/>
          <w:b/>
          <w:sz w:val="30"/>
          <w:szCs w:val="30"/>
        </w:rPr>
      </w:pPr>
    </w:p>
    <w:p>
      <w:pPr>
        <w:snapToGrid w:val="0"/>
        <w:spacing w:before="312" w:beforeLines="100" w:line="440" w:lineRule="exact"/>
        <w:jc w:val="center"/>
        <w:rPr>
          <w:rFonts w:eastAsia="仿宋_GB2312"/>
          <w:b/>
          <w:sz w:val="30"/>
          <w:szCs w:val="30"/>
        </w:rPr>
      </w:pPr>
    </w:p>
    <w:p>
      <w:pPr>
        <w:snapToGrid w:val="0"/>
        <w:spacing w:before="312" w:beforeLines="100" w:line="440" w:lineRule="exact"/>
        <w:ind w:firstLine="2409" w:firstLineChars="800"/>
        <w:jc w:val="left"/>
        <w:rPr>
          <w:rFonts w:ascii="黑体" w:hAnsi="黑体" w:eastAsia="黑体"/>
          <w:b/>
          <w:sz w:val="30"/>
          <w:szCs w:val="30"/>
        </w:rPr>
      </w:pPr>
      <w:r>
        <w:rPr>
          <w:rFonts w:hint="eastAsia" w:ascii="黑体" w:hAnsi="黑体" w:eastAsia="黑体"/>
          <w:b/>
          <w:sz w:val="30"/>
          <w:szCs w:val="30"/>
        </w:rPr>
        <w:t>签订地点：浙江省杭州市</w:t>
      </w:r>
    </w:p>
    <w:p>
      <w:pPr>
        <w:snapToGrid w:val="0"/>
        <w:spacing w:before="312" w:beforeLines="100" w:line="440" w:lineRule="exact"/>
        <w:ind w:firstLine="2409" w:firstLineChars="800"/>
        <w:jc w:val="left"/>
        <w:rPr>
          <w:rFonts w:ascii="黑体" w:hAnsi="黑体" w:eastAsia="黑体"/>
          <w:b/>
          <w:sz w:val="30"/>
          <w:szCs w:val="30"/>
        </w:rPr>
      </w:pPr>
      <w:r>
        <w:rPr>
          <w:rFonts w:hint="eastAsia" w:ascii="黑体" w:hAnsi="黑体" w:eastAsia="黑体"/>
          <w:b/>
          <w:sz w:val="30"/>
          <w:szCs w:val="30"/>
        </w:rPr>
        <w:t>签订时间：     年   月  日</w:t>
      </w:r>
    </w:p>
    <w:p>
      <w:pPr>
        <w:snapToGrid w:val="0"/>
        <w:spacing w:line="560" w:lineRule="exact"/>
        <w:jc w:val="center"/>
        <w:rPr>
          <w:rFonts w:eastAsia="仿宋_GB2312"/>
          <w:b/>
          <w:sz w:val="30"/>
          <w:szCs w:val="30"/>
        </w:rPr>
      </w:pPr>
    </w:p>
    <w:p>
      <w:pPr>
        <w:snapToGrid w:val="0"/>
        <w:spacing w:line="560" w:lineRule="exact"/>
        <w:jc w:val="center"/>
        <w:rPr>
          <w:rFonts w:eastAsia="仿宋_GB2312"/>
          <w:b/>
          <w:sz w:val="30"/>
          <w:szCs w:val="30"/>
        </w:rPr>
      </w:pPr>
    </w:p>
    <w:p>
      <w:pPr>
        <w:spacing w:line="560" w:lineRule="exact"/>
        <w:jc w:val="center"/>
        <w:rPr>
          <w:rFonts w:ascii="黑体" w:hAnsi="黑体" w:eastAsia="黑体"/>
          <w:spacing w:val="28"/>
          <w:sz w:val="44"/>
          <w:szCs w:val="44"/>
        </w:rPr>
      </w:pPr>
      <w:r>
        <w:rPr>
          <w:rFonts w:hint="eastAsia" w:ascii="黑体" w:hAnsi="黑体" w:eastAsia="黑体"/>
          <w:spacing w:val="28"/>
          <w:sz w:val="44"/>
          <w:szCs w:val="44"/>
        </w:rPr>
        <w:t>填写说明</w:t>
      </w:r>
    </w:p>
    <w:p>
      <w:pPr>
        <w:spacing w:line="560" w:lineRule="exact"/>
        <w:jc w:val="center"/>
        <w:rPr>
          <w:rFonts w:eastAsia="黑体"/>
          <w:sz w:val="30"/>
        </w:rPr>
      </w:pPr>
    </w:p>
    <w:p>
      <w:pPr>
        <w:tabs>
          <w:tab w:val="left" w:pos="9030"/>
        </w:tabs>
        <w:spacing w:line="560" w:lineRule="exact"/>
        <w:ind w:firstLine="560" w:firstLineChars="200"/>
        <w:rPr>
          <w:rFonts w:ascii="楷体_GB2312" w:hAnsi="宋体" w:eastAsia="楷体_GB2312"/>
          <w:sz w:val="28"/>
        </w:rPr>
      </w:pPr>
      <w:r>
        <w:rPr>
          <w:rFonts w:hint="eastAsia" w:ascii="楷体_GB2312" w:hAnsi="宋体" w:eastAsia="楷体_GB2312"/>
          <w:sz w:val="28"/>
        </w:rPr>
        <w:t>一、技术服务合同是指当事人一方以技术知识为另一方解决特定技术</w:t>
      </w:r>
    </w:p>
    <w:p>
      <w:pPr>
        <w:tabs>
          <w:tab w:val="left" w:pos="9030"/>
        </w:tabs>
        <w:spacing w:line="560" w:lineRule="exact"/>
        <w:ind w:firstLine="1120" w:firstLineChars="400"/>
        <w:rPr>
          <w:rFonts w:ascii="楷体_GB2312" w:hAnsi="宋体" w:eastAsia="楷体_GB2312"/>
          <w:sz w:val="28"/>
        </w:rPr>
      </w:pPr>
      <w:r>
        <w:rPr>
          <w:rFonts w:hint="eastAsia" w:ascii="楷体_GB2312" w:hAnsi="宋体" w:eastAsia="楷体_GB2312"/>
          <w:sz w:val="28"/>
        </w:rPr>
        <w:t>问题所订立的合同。</w:t>
      </w:r>
    </w:p>
    <w:p>
      <w:pPr>
        <w:tabs>
          <w:tab w:val="left" w:pos="9030"/>
        </w:tabs>
        <w:spacing w:line="560" w:lineRule="exact"/>
        <w:ind w:firstLine="560" w:firstLineChars="200"/>
        <w:rPr>
          <w:rFonts w:ascii="楷体_GB2312" w:hAnsi="宋体" w:eastAsia="楷体_GB2312"/>
          <w:sz w:val="28"/>
        </w:rPr>
      </w:pPr>
      <w:r>
        <w:rPr>
          <w:rFonts w:hint="eastAsia" w:ascii="楷体_GB2312" w:hAnsi="宋体" w:eastAsia="楷体_GB2312"/>
          <w:sz w:val="28"/>
        </w:rPr>
        <w:t>二、根据</w:t>
      </w:r>
      <w:r>
        <w:rPr>
          <w:rFonts w:ascii="楷体_GB2312" w:hAnsi="宋体" w:eastAsia="楷体_GB2312"/>
          <w:sz w:val="28"/>
        </w:rPr>
        <w:t>项目</w:t>
      </w:r>
      <w:r>
        <w:rPr>
          <w:rFonts w:hint="eastAsia" w:ascii="楷体_GB2312" w:hAnsi="宋体" w:eastAsia="楷体_GB2312"/>
          <w:sz w:val="28"/>
        </w:rPr>
        <w:t>为</w:t>
      </w:r>
      <w:r>
        <w:rPr>
          <w:rFonts w:ascii="楷体_GB2312" w:hAnsi="宋体" w:eastAsia="楷体_GB2312"/>
          <w:sz w:val="28"/>
        </w:rPr>
        <w:t>规划或研究类项目，</w:t>
      </w:r>
      <w:r>
        <w:rPr>
          <w:rFonts w:hint="eastAsia" w:ascii="楷体_GB2312" w:hAnsi="宋体" w:eastAsia="楷体_GB2312"/>
          <w:sz w:val="28"/>
        </w:rPr>
        <w:t>选择</w:t>
      </w:r>
      <w:r>
        <w:rPr>
          <w:rFonts w:ascii="楷体_GB2312" w:hAnsi="宋体" w:eastAsia="楷体_GB2312"/>
          <w:sz w:val="28"/>
        </w:rPr>
        <w:t>相应的范围及成果要求。</w:t>
      </w:r>
    </w:p>
    <w:p>
      <w:pPr>
        <w:tabs>
          <w:tab w:val="left" w:pos="9030"/>
        </w:tabs>
        <w:spacing w:line="560" w:lineRule="exact"/>
        <w:ind w:firstLine="560" w:firstLineChars="200"/>
        <w:rPr>
          <w:rFonts w:ascii="楷体_GB2312" w:hAnsi="宋体" w:eastAsia="楷体_GB2312"/>
          <w:sz w:val="28"/>
        </w:rPr>
      </w:pPr>
      <w:r>
        <w:rPr>
          <w:rFonts w:hint="eastAsia" w:ascii="楷体_GB2312" w:hAnsi="宋体" w:eastAsia="楷体_GB2312"/>
          <w:sz w:val="28"/>
        </w:rPr>
        <w:t>三、服务内容其他要求按照具体项目情况填写，没有写无。</w:t>
      </w:r>
    </w:p>
    <w:p>
      <w:pPr>
        <w:tabs>
          <w:tab w:val="left" w:pos="9030"/>
        </w:tabs>
        <w:spacing w:line="560" w:lineRule="exact"/>
        <w:ind w:firstLine="560" w:firstLineChars="200"/>
        <w:rPr>
          <w:rFonts w:ascii="楷体_GB2312" w:hAnsi="宋体" w:eastAsia="楷体_GB2312"/>
          <w:sz w:val="28"/>
        </w:rPr>
      </w:pPr>
      <w:r>
        <w:rPr>
          <w:rFonts w:hint="eastAsia" w:ascii="楷体_GB2312" w:hAnsi="宋体" w:eastAsia="楷体_GB2312"/>
          <w:sz w:val="28"/>
        </w:rPr>
        <w:t>四、成果提交要求及款项支付应在选项中进行选择。</w:t>
      </w:r>
    </w:p>
    <w:p>
      <w:pPr>
        <w:tabs>
          <w:tab w:val="left" w:pos="9030"/>
        </w:tabs>
        <w:spacing w:line="560" w:lineRule="exact"/>
        <w:ind w:firstLine="560" w:firstLineChars="200"/>
        <w:rPr>
          <w:rFonts w:ascii="楷体_GB2312" w:hAnsi="宋体" w:eastAsia="楷体_GB2312"/>
          <w:sz w:val="28"/>
        </w:rPr>
      </w:pPr>
      <w:r>
        <w:rPr>
          <w:rFonts w:hint="eastAsia" w:ascii="楷体_GB2312" w:hAnsi="宋体" w:eastAsia="楷体_GB2312"/>
          <w:sz w:val="28"/>
        </w:rPr>
        <w:t>五、本合同书中，凡是当事人约定认为无需填写的条款，在该条款填</w:t>
      </w:r>
    </w:p>
    <w:p>
      <w:pPr>
        <w:tabs>
          <w:tab w:val="left" w:pos="9030"/>
        </w:tabs>
        <w:spacing w:line="560" w:lineRule="exact"/>
        <w:ind w:firstLine="1120" w:firstLineChars="400"/>
        <w:rPr>
          <w:rFonts w:ascii="楷体_GB2312" w:hAnsi="宋体" w:eastAsia="楷体_GB2312"/>
          <w:sz w:val="28"/>
        </w:rPr>
      </w:pPr>
      <w:r>
        <w:rPr>
          <w:rFonts w:hint="eastAsia" w:ascii="楷体_GB2312" w:hAnsi="宋体" w:eastAsia="楷体_GB2312"/>
          <w:sz w:val="28"/>
        </w:rPr>
        <w:t>写的空白处或</w:t>
      </w:r>
      <w:r>
        <w:rPr>
          <w:rFonts w:ascii="楷体_GB2312" w:hAnsi="宋体" w:eastAsia="楷体_GB2312"/>
          <w:sz w:val="28"/>
        </w:rPr>
        <w:t>横线上</w:t>
      </w:r>
      <w:r>
        <w:rPr>
          <w:rFonts w:hint="eastAsia" w:ascii="楷体_GB2312" w:hAnsi="宋体" w:eastAsia="楷体_GB2312"/>
          <w:sz w:val="28"/>
        </w:rPr>
        <w:t>划（/）表示。</w:t>
      </w:r>
    </w:p>
    <w:p>
      <w:pPr>
        <w:jc w:val="center"/>
        <w:rPr>
          <w:rFonts w:ascii="黑体" w:hAnsi="黑体" w:eastAsia="黑体" w:cs="仿宋_GB2312"/>
          <w:b/>
          <w:kern w:val="0"/>
          <w:sz w:val="32"/>
          <w:szCs w:val="32"/>
        </w:rPr>
      </w:pPr>
    </w:p>
    <w:p>
      <w:pPr>
        <w:jc w:val="center"/>
        <w:rPr>
          <w:rFonts w:ascii="黑体" w:hAnsi="黑体" w:eastAsia="黑体" w:cs="仿宋_GB2312"/>
          <w:b/>
          <w:kern w:val="0"/>
          <w:sz w:val="32"/>
          <w:szCs w:val="32"/>
        </w:rPr>
      </w:pPr>
    </w:p>
    <w:p>
      <w:pPr>
        <w:jc w:val="center"/>
        <w:rPr>
          <w:rFonts w:ascii="黑体" w:hAnsi="黑体" w:eastAsia="黑体" w:cs="仿宋_GB2312"/>
          <w:b/>
          <w:kern w:val="0"/>
          <w:sz w:val="32"/>
          <w:szCs w:val="32"/>
        </w:rPr>
      </w:pPr>
    </w:p>
    <w:p>
      <w:pPr>
        <w:jc w:val="center"/>
        <w:rPr>
          <w:rFonts w:ascii="黑体" w:hAnsi="黑体" w:eastAsia="黑体" w:cs="仿宋_GB2312"/>
          <w:b/>
          <w:kern w:val="0"/>
          <w:sz w:val="32"/>
          <w:szCs w:val="32"/>
        </w:rPr>
      </w:pPr>
    </w:p>
    <w:p>
      <w:pPr>
        <w:jc w:val="center"/>
        <w:rPr>
          <w:rFonts w:ascii="黑体" w:hAnsi="黑体" w:eastAsia="黑体" w:cs="仿宋_GB2312"/>
          <w:b/>
          <w:kern w:val="0"/>
          <w:sz w:val="32"/>
          <w:szCs w:val="32"/>
        </w:rPr>
      </w:pPr>
    </w:p>
    <w:p>
      <w:pPr>
        <w:jc w:val="center"/>
        <w:rPr>
          <w:rFonts w:ascii="黑体" w:hAnsi="黑体" w:eastAsia="黑体" w:cs="仿宋_GB2312"/>
          <w:b/>
          <w:kern w:val="0"/>
          <w:sz w:val="32"/>
          <w:szCs w:val="32"/>
        </w:rPr>
        <w:sectPr>
          <w:headerReference r:id="rId8" w:type="default"/>
          <w:footerReference r:id="rId10" w:type="default"/>
          <w:headerReference r:id="rId9" w:type="even"/>
          <w:pgSz w:w="11906" w:h="16838"/>
          <w:pgMar w:top="2098" w:right="1406" w:bottom="2098" w:left="1588" w:header="851" w:footer="992" w:gutter="0"/>
          <w:cols w:space="425" w:num="1"/>
          <w:docGrid w:type="lines" w:linePitch="312" w:charSpace="0"/>
        </w:sectPr>
      </w:pPr>
    </w:p>
    <w:p>
      <w:pPr>
        <w:spacing w:line="560" w:lineRule="exact"/>
        <w:jc w:val="center"/>
        <w:rPr>
          <w:rFonts w:ascii="方正小标宋_GBK" w:hAnsi="黑体" w:eastAsia="方正小标宋_GBK"/>
          <w:sz w:val="44"/>
          <w:szCs w:val="44"/>
        </w:rPr>
      </w:pPr>
      <w:r>
        <w:rPr>
          <w:rFonts w:hint="eastAsia" w:ascii="方正小标宋_GBK" w:hAnsi="黑体" w:eastAsia="方正小标宋_GBK"/>
          <w:sz w:val="44"/>
          <w:szCs w:val="44"/>
        </w:rPr>
        <w:t>杭州市国土空间规划编制项目合同</w:t>
      </w:r>
    </w:p>
    <w:p>
      <w:pPr>
        <w:snapToGrid w:val="0"/>
        <w:spacing w:line="480" w:lineRule="exact"/>
        <w:ind w:firstLine="643" w:firstLineChars="200"/>
        <w:rPr>
          <w:rFonts w:ascii="仿宋_GB2312" w:eastAsia="仿宋_GB2312"/>
          <w:b/>
          <w:sz w:val="32"/>
          <w:szCs w:val="32"/>
        </w:rPr>
      </w:pPr>
    </w:p>
    <w:p>
      <w:pPr>
        <w:pStyle w:val="33"/>
        <w:snapToGrid w:val="0"/>
        <w:spacing w:line="550" w:lineRule="exact"/>
        <w:rPr>
          <w:rFonts w:ascii="仿宋" w:hAnsi="仿宋" w:eastAsia="仿宋" w:cs="仿宋"/>
          <w:sz w:val="24"/>
          <w:szCs w:val="24"/>
        </w:rPr>
      </w:pPr>
      <w:r>
        <w:rPr>
          <w:rFonts w:hint="eastAsia" w:ascii="仿宋" w:hAnsi="仿宋" w:eastAsia="仿宋" w:cs="仿宋"/>
          <w:sz w:val="24"/>
          <w:szCs w:val="24"/>
        </w:rPr>
        <w:t>采购编号：</w:t>
      </w:r>
    </w:p>
    <w:p>
      <w:pPr>
        <w:pStyle w:val="33"/>
        <w:snapToGrid w:val="0"/>
        <w:spacing w:line="550" w:lineRule="exact"/>
        <w:rPr>
          <w:rFonts w:ascii="仿宋" w:hAnsi="仿宋" w:eastAsia="仿宋" w:cs="仿宋"/>
          <w:sz w:val="24"/>
          <w:szCs w:val="24"/>
        </w:rPr>
      </w:pPr>
    </w:p>
    <w:p>
      <w:pPr>
        <w:pStyle w:val="33"/>
        <w:snapToGrid w:val="0"/>
        <w:spacing w:line="550" w:lineRule="exact"/>
        <w:rPr>
          <w:rFonts w:ascii="仿宋" w:hAnsi="仿宋" w:eastAsia="仿宋" w:cs="仿宋"/>
          <w:sz w:val="24"/>
          <w:szCs w:val="24"/>
        </w:rPr>
      </w:pPr>
    </w:p>
    <w:p>
      <w:pPr>
        <w:pStyle w:val="33"/>
        <w:snapToGrid w:val="0"/>
        <w:spacing w:line="550" w:lineRule="exact"/>
        <w:rPr>
          <w:rFonts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kern w:val="0"/>
          <w:sz w:val="24"/>
          <w:szCs w:val="24"/>
          <w:u w:val="single"/>
          <w:lang w:eastAsia="zh-CN"/>
        </w:rPr>
        <w:t>杭州市余杭区未来科技城单元控制性详细规划及重点地区城市设计</w:t>
      </w:r>
      <w:r>
        <w:rPr>
          <w:rFonts w:hint="eastAsia" w:ascii="仿宋" w:hAnsi="仿宋" w:eastAsia="仿宋" w:cs="仿宋"/>
          <w:sz w:val="24"/>
          <w:szCs w:val="24"/>
          <w:u w:val="single"/>
        </w:rPr>
        <w:t xml:space="preserve"> </w:t>
      </w:r>
    </w:p>
    <w:p>
      <w:pPr>
        <w:pStyle w:val="33"/>
        <w:snapToGrid w:val="0"/>
        <w:spacing w:line="550" w:lineRule="exact"/>
        <w:rPr>
          <w:rFonts w:ascii="仿宋" w:hAnsi="仿宋" w:eastAsia="仿宋" w:cs="仿宋"/>
          <w:kern w:val="0"/>
          <w:sz w:val="24"/>
          <w:szCs w:val="24"/>
        </w:rPr>
      </w:pPr>
    </w:p>
    <w:p>
      <w:pPr>
        <w:pStyle w:val="33"/>
        <w:snapToGrid w:val="0"/>
        <w:spacing w:line="550" w:lineRule="exact"/>
        <w:rPr>
          <w:rFonts w:ascii="仿宋" w:hAnsi="仿宋" w:eastAsia="仿宋" w:cs="仿宋"/>
          <w:kern w:val="0"/>
          <w:sz w:val="24"/>
          <w:szCs w:val="24"/>
        </w:rPr>
      </w:pPr>
      <w:r>
        <w:rPr>
          <w:rFonts w:hint="eastAsia" w:ascii="仿宋" w:hAnsi="仿宋" w:eastAsia="仿宋" w:cs="仿宋"/>
          <w:kern w:val="0"/>
          <w:sz w:val="24"/>
          <w:szCs w:val="24"/>
        </w:rPr>
        <w:t>甲方：</w:t>
      </w:r>
      <w:r>
        <w:rPr>
          <w:rFonts w:hint="eastAsia" w:ascii="仿宋" w:hAnsi="仿宋" w:eastAsia="仿宋" w:cs="仿宋"/>
          <w:kern w:val="0"/>
          <w:sz w:val="24"/>
          <w:szCs w:val="24"/>
          <w:u w:val="single"/>
        </w:rPr>
        <w:t xml:space="preserve"> 杭州市规划和自然资源局 </w:t>
      </w:r>
    </w:p>
    <w:p>
      <w:pPr>
        <w:pStyle w:val="33"/>
        <w:snapToGrid w:val="0"/>
        <w:spacing w:line="550" w:lineRule="exact"/>
        <w:rPr>
          <w:rFonts w:ascii="仿宋" w:hAnsi="仿宋" w:eastAsia="仿宋" w:cs="仿宋"/>
          <w:kern w:val="0"/>
          <w:sz w:val="24"/>
          <w:szCs w:val="24"/>
        </w:rPr>
      </w:pPr>
    </w:p>
    <w:p>
      <w:pPr>
        <w:pStyle w:val="33"/>
        <w:snapToGrid w:val="0"/>
        <w:spacing w:line="550" w:lineRule="exact"/>
        <w:rPr>
          <w:rFonts w:ascii="仿宋" w:hAnsi="仿宋" w:eastAsia="仿宋" w:cs="仿宋"/>
          <w:kern w:val="0"/>
          <w:sz w:val="24"/>
          <w:szCs w:val="24"/>
        </w:rPr>
      </w:pPr>
      <w:r>
        <w:rPr>
          <w:rFonts w:hint="eastAsia" w:ascii="仿宋" w:hAnsi="仿宋" w:eastAsia="仿宋" w:cs="仿宋"/>
          <w:kern w:val="0"/>
          <w:sz w:val="24"/>
          <w:szCs w:val="24"/>
        </w:rPr>
        <w:t>乙方：</w:t>
      </w:r>
      <w:r>
        <w:rPr>
          <w:rFonts w:hint="eastAsia" w:ascii="仿宋" w:hAnsi="仿宋" w:eastAsia="仿宋" w:cs="仿宋"/>
          <w:kern w:val="0"/>
          <w:sz w:val="24"/>
          <w:szCs w:val="24"/>
          <w:u w:val="single"/>
        </w:rPr>
        <w:t xml:space="preserve">                       </w:t>
      </w:r>
    </w:p>
    <w:p>
      <w:pPr>
        <w:snapToGrid w:val="0"/>
        <w:spacing w:line="550" w:lineRule="exact"/>
        <w:ind w:firstLine="480" w:firstLineChars="200"/>
        <w:rPr>
          <w:rFonts w:ascii="仿宋" w:hAnsi="仿宋" w:eastAsia="仿宋" w:cs="仿宋"/>
          <w:kern w:val="0"/>
          <w:sz w:val="24"/>
        </w:rPr>
      </w:pPr>
    </w:p>
    <w:p>
      <w:pPr>
        <w:snapToGrid w:val="0"/>
        <w:spacing w:line="550" w:lineRule="exact"/>
        <w:ind w:firstLine="480" w:firstLineChars="200"/>
        <w:rPr>
          <w:rFonts w:ascii="仿宋" w:hAnsi="仿宋" w:eastAsia="仿宋" w:cs="仿宋"/>
          <w:sz w:val="24"/>
        </w:rPr>
      </w:pPr>
      <w:r>
        <w:rPr>
          <w:rFonts w:hint="eastAsia" w:ascii="仿宋" w:hAnsi="仿宋" w:eastAsia="仿宋" w:cs="仿宋"/>
          <w:kern w:val="0"/>
          <w:sz w:val="24"/>
        </w:rPr>
        <w:t>为保证甲方采购乙方的关于</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eastAsia="zh-CN"/>
        </w:rPr>
        <w:t>杭州市余杭区未来科技城单元控制性详细规划及重点地区城市设计</w:t>
      </w:r>
      <w:r>
        <w:rPr>
          <w:rFonts w:hint="eastAsia" w:ascii="仿宋" w:hAnsi="仿宋" w:eastAsia="仿宋" w:cs="仿宋"/>
          <w:kern w:val="0"/>
          <w:sz w:val="24"/>
          <w:u w:val="single"/>
        </w:rPr>
        <w:t xml:space="preserve"> </w:t>
      </w:r>
      <w:r>
        <w:rPr>
          <w:rFonts w:hint="eastAsia" w:ascii="仿宋" w:hAnsi="仿宋" w:eastAsia="仿宋" w:cs="仿宋"/>
          <w:kern w:val="0"/>
          <w:sz w:val="24"/>
        </w:rPr>
        <w:t>项目的相关服务，依据《中华人民共和国政府采购法》、《中华人民共和国民法典》、《中华人民共和国城乡规划法》及《中华人民共和国土地管理法》的有关规定，经甲、乙双方友好协商，签订本合同并遵照执行。</w:t>
      </w:r>
    </w:p>
    <w:p>
      <w:pPr>
        <w:pStyle w:val="139"/>
        <w:widowControl w:val="0"/>
        <w:adjustRightInd w:val="0"/>
        <w:snapToGrid w:val="0"/>
        <w:spacing w:line="550" w:lineRule="exact"/>
        <w:ind w:firstLine="480" w:firstLineChars="200"/>
        <w:jc w:val="both"/>
        <w:rPr>
          <w:rFonts w:ascii="仿宋" w:hAnsi="仿宋" w:eastAsia="仿宋" w:cs="仿宋"/>
          <w:sz w:val="24"/>
          <w:szCs w:val="24"/>
        </w:rPr>
      </w:pPr>
      <w:r>
        <w:rPr>
          <w:rFonts w:hint="eastAsia" w:ascii="仿宋" w:hAnsi="仿宋" w:eastAsia="仿宋" w:cs="仿宋"/>
          <w:sz w:val="24"/>
          <w:szCs w:val="24"/>
        </w:rPr>
        <w:t>一、服务内容</w:t>
      </w:r>
    </w:p>
    <w:p>
      <w:pPr>
        <w:pStyle w:val="33"/>
        <w:snapToGrid w:val="0"/>
        <w:spacing w:line="55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（一）项目概况</w:t>
      </w:r>
    </w:p>
    <w:p>
      <w:pPr>
        <w:pStyle w:val="33"/>
        <w:snapToGrid w:val="0"/>
        <w:spacing w:line="550" w:lineRule="exact"/>
        <w:ind w:firstLine="480" w:firstLineChars="200"/>
        <w:rPr>
          <w:rFonts w:ascii="仿宋" w:hAnsi="仿宋" w:eastAsia="仿宋" w:cs="仿宋"/>
          <w:snapToGrid/>
          <w:sz w:val="24"/>
          <w:szCs w:val="24"/>
        </w:rPr>
      </w:pPr>
      <w:r>
        <w:rPr>
          <w:rFonts w:hint="eastAsia" w:ascii="仿宋" w:hAnsi="仿宋" w:eastAsia="仿宋" w:cs="仿宋"/>
          <w:snapToGrid/>
          <w:sz w:val="24"/>
          <w:szCs w:val="24"/>
        </w:rPr>
        <w:t>为全面贯彻落实省市高水平推进杭州城西科创大走廊（以下简称“大走廊”）建设，充分落实新一轮国土空间规划对大走廊地区提出的刚性管控和战略引领新要求，解决当前制约大走廊创新可持续发展的关键问题，强化杭州市级对大走廊地区的规划统筹和空间治理能力提升，完善大走廊国土空间规划体系，特开展《</w:t>
      </w:r>
      <w:r>
        <w:rPr>
          <w:rFonts w:hint="eastAsia" w:ascii="仿宋" w:hAnsi="仿宋" w:eastAsia="仿宋" w:cs="仿宋"/>
          <w:snapToGrid/>
          <w:sz w:val="24"/>
          <w:szCs w:val="24"/>
          <w:lang w:eastAsia="zh-CN"/>
        </w:rPr>
        <w:t>杭州市余杭区未来科技城单元控制性详细规划及重点地区城市设计</w:t>
      </w:r>
      <w:r>
        <w:rPr>
          <w:rFonts w:hint="eastAsia" w:ascii="仿宋" w:hAnsi="仿宋" w:eastAsia="仿宋" w:cs="仿宋"/>
          <w:snapToGrid/>
          <w:sz w:val="24"/>
          <w:szCs w:val="24"/>
        </w:rPr>
        <w:t>》。</w:t>
      </w:r>
    </w:p>
    <w:p>
      <w:pPr>
        <w:pStyle w:val="33"/>
        <w:snapToGrid w:val="0"/>
        <w:spacing w:line="550" w:lineRule="exact"/>
        <w:ind w:firstLine="482" w:firstLineChars="200"/>
        <w:rPr>
          <w:rFonts w:ascii="仿宋" w:hAnsi="仿宋" w:eastAsia="仿宋" w:cs="仿宋"/>
          <w:b/>
          <w:kern w:val="0"/>
          <w:sz w:val="24"/>
          <w:szCs w:val="24"/>
        </w:rPr>
      </w:pPr>
    </w:p>
    <w:p>
      <w:pPr>
        <w:numPr>
          <w:ilvl w:val="0"/>
          <w:numId w:val="3"/>
        </w:numPr>
        <w:spacing w:line="560" w:lineRule="exact"/>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kern w:val="0"/>
          <w:sz w:val="24"/>
        </w:rPr>
        <w:t>规划/研究范围</w:t>
      </w:r>
      <w:r>
        <w:rPr>
          <w:rFonts w:hint="eastAsia" w:ascii="仿宋" w:hAnsi="仿宋" w:eastAsia="仿宋" w:cs="仿宋"/>
          <w:sz w:val="24"/>
        </w:rPr>
        <w:t>（注：本合同书标有※按填写说明填写）</w:t>
      </w:r>
    </w:p>
    <w:p>
      <w:pPr>
        <w:spacing w:line="560" w:lineRule="exact"/>
        <w:ind w:firstLine="480" w:firstLineChars="200"/>
        <w:rPr>
          <w:rFonts w:ascii="仿宋" w:hAnsi="仿宋" w:eastAsia="仿宋" w:cs="仿宋"/>
          <w:sz w:val="24"/>
        </w:rPr>
      </w:pPr>
      <w:r>
        <w:rPr>
          <w:rFonts w:hint="eastAsia" w:ascii="仿宋" w:hAnsi="仿宋" w:eastAsia="仿宋" w:cs="仿宋"/>
          <w:sz w:val="24"/>
        </w:rPr>
        <w:t>控规单元规划范围：未来科技城单元南至02省道，西至东西大道，北至余杭塘河，东至绕城高速，面积45平方公里。</w:t>
      </w:r>
    </w:p>
    <w:p>
      <w:pPr>
        <w:spacing w:line="560" w:lineRule="exact"/>
        <w:ind w:firstLine="480" w:firstLineChars="200"/>
        <w:rPr>
          <w:rFonts w:ascii="仿宋" w:hAnsi="仿宋" w:eastAsia="仿宋" w:cs="仿宋"/>
          <w:sz w:val="24"/>
        </w:rPr>
      </w:pPr>
      <w:r>
        <w:rPr>
          <w:rFonts w:hint="eastAsia" w:ascii="仿宋" w:hAnsi="仿宋" w:eastAsia="仿宋" w:cs="仿宋"/>
          <w:sz w:val="24"/>
        </w:rPr>
        <w:t>城市设计重点地区范围：北至余杭塘河，东至良睦路，南至闲林湿地，西至林场港-文一西路-东西大道，面积7平方公里。</w:t>
      </w:r>
    </w:p>
    <w:p>
      <w:pPr>
        <w:pStyle w:val="33"/>
        <w:snapToGrid w:val="0"/>
        <w:spacing w:line="550" w:lineRule="exact"/>
        <w:ind w:firstLine="482" w:firstLineChars="200"/>
        <w:rPr>
          <w:rFonts w:ascii="仿宋" w:hAnsi="仿宋" w:eastAsia="仿宋" w:cs="仿宋"/>
          <w:b/>
          <w:kern w:val="0"/>
          <w:sz w:val="24"/>
          <w:szCs w:val="24"/>
        </w:rPr>
      </w:pPr>
    </w:p>
    <w:p>
      <w:pPr>
        <w:pStyle w:val="33"/>
        <w:snapToGrid w:val="0"/>
        <w:spacing w:line="55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（三）项目技术要求</w:t>
      </w:r>
    </w:p>
    <w:p>
      <w:pPr>
        <w:spacing w:line="540" w:lineRule="exact"/>
        <w:ind w:firstLine="640"/>
        <w:rPr>
          <w:rFonts w:ascii="仿宋" w:hAnsi="仿宋" w:eastAsia="仿宋" w:cs="仿宋"/>
          <w:sz w:val="24"/>
        </w:rPr>
      </w:pPr>
      <w:r>
        <w:rPr>
          <w:rFonts w:hint="eastAsia" w:ascii="仿宋" w:hAnsi="仿宋" w:eastAsia="仿宋" w:cs="仿宋"/>
          <w:sz w:val="24"/>
        </w:rPr>
        <w:t>1、做好规划和现状评估。开展单元内原控规的实施评估，系统性评估用地、配套等实施情况，明晰本轮控规需要优化提升的内容及需要解决或避免的问题。通过多元化手段，全方面分析现状用地、人口、交通、设施等现状特征和问题，提出改进建议。完成统一数据标准的控规现状一张图，并形成规范化的现状用地入库数据。</w:t>
      </w:r>
    </w:p>
    <w:p>
      <w:pPr>
        <w:spacing w:line="540" w:lineRule="exact"/>
        <w:ind w:firstLine="640"/>
        <w:rPr>
          <w:rFonts w:ascii="仿宋" w:hAnsi="仿宋" w:eastAsia="仿宋" w:cs="仿宋"/>
          <w:sz w:val="24"/>
        </w:rPr>
      </w:pPr>
      <w:r>
        <w:rPr>
          <w:rFonts w:hint="eastAsia" w:ascii="仿宋" w:hAnsi="仿宋" w:eastAsia="仿宋" w:cs="仿宋"/>
          <w:sz w:val="24"/>
        </w:rPr>
        <w:t>2、落实上位规划的要求。落实各类各级上位规划对本单元的功能定位、底线管控、空间布局、设施配套等各方面的要求,并注重相关规划和单元之间的协调。</w:t>
      </w:r>
    </w:p>
    <w:p>
      <w:pPr>
        <w:spacing w:line="540" w:lineRule="exact"/>
        <w:ind w:firstLine="640"/>
        <w:rPr>
          <w:rFonts w:ascii="仿宋" w:hAnsi="仿宋" w:eastAsia="仿宋" w:cs="仿宋"/>
          <w:sz w:val="24"/>
        </w:rPr>
      </w:pPr>
      <w:r>
        <w:rPr>
          <w:rFonts w:hint="eastAsia" w:ascii="仿宋" w:hAnsi="仿宋" w:eastAsia="仿宋" w:cs="仿宋"/>
          <w:sz w:val="24"/>
        </w:rPr>
        <w:t>3、落实目标定位和功能布局。落实各类各级上位规划对本单元的功能定位、底线管控、空间布局、设施配套等各方面的要求，注重相关规划和单元之间的协调。结合单元定位和特征，根据规划单元的总体目标和功能定位，合理优化空间布局和用地结构，融合生产、生活、生态“三生”空间。</w:t>
      </w:r>
    </w:p>
    <w:p>
      <w:pPr>
        <w:spacing w:line="540" w:lineRule="exact"/>
        <w:ind w:firstLine="640"/>
        <w:rPr>
          <w:rFonts w:ascii="仿宋" w:hAnsi="仿宋" w:eastAsia="仿宋" w:cs="仿宋"/>
          <w:sz w:val="24"/>
        </w:rPr>
      </w:pPr>
      <w:r>
        <w:rPr>
          <w:rFonts w:hint="eastAsia" w:ascii="仿宋" w:hAnsi="仿宋" w:eastAsia="仿宋" w:cs="仿宋"/>
          <w:sz w:val="24"/>
        </w:rPr>
        <w:t>4、改善公共服务和人居环境。切实改善人居环境品质，衔接相关技术标准和专项规划，以未来科技城总部中心和未来科技文化中心为主轴，落实市级、区级重要公共服务设施，科学合理布局各级各类公共服务设施，统筹协调跨单元公共服务设施共建共享。优化居住空间布局和结构，强化地区内职住平衡。突出单元创新共享、蓝绿交织、城园融合的独特景观风貌，完善公园休憩体系，营造公共开放空间。</w:t>
      </w:r>
    </w:p>
    <w:p>
      <w:pPr>
        <w:spacing w:line="540" w:lineRule="exact"/>
        <w:ind w:firstLine="640"/>
        <w:rPr>
          <w:rFonts w:ascii="仿宋" w:hAnsi="仿宋" w:eastAsia="仿宋" w:cs="仿宋"/>
          <w:sz w:val="24"/>
        </w:rPr>
      </w:pPr>
      <w:r>
        <w:rPr>
          <w:rFonts w:hint="eastAsia" w:ascii="仿宋" w:hAnsi="仿宋" w:eastAsia="仿宋" w:cs="仿宋"/>
          <w:sz w:val="24"/>
        </w:rPr>
        <w:t>5、完善综合交通和市政设施。落实市级重要区域交通设施、城市轨道交通、主干路网，加强交通廊道预控，理顺城市交通网络，做好公共中心立体交通组织，衔接轨道交通规划，深化细化各级路网、交通场站等综合交通体系，做好与周边单元交界地区的通道衔接。落实市级重要区域性市政设施、设施通道和应急避难场所，深化细化各类管线管廊、基础设施地块和控制要求，做好与周边单元交界地区的容量协调和廊道衔接。开展市政和交通承载能力分析，涉及重大安全风险的区域应开展安全风险评价。</w:t>
      </w:r>
    </w:p>
    <w:p>
      <w:pPr>
        <w:spacing w:line="540" w:lineRule="exact"/>
        <w:ind w:firstLine="640"/>
        <w:rPr>
          <w:rFonts w:ascii="仿宋" w:hAnsi="仿宋" w:eastAsia="仿宋" w:cs="仿宋"/>
          <w:sz w:val="24"/>
        </w:rPr>
      </w:pPr>
      <w:r>
        <w:rPr>
          <w:rFonts w:hint="eastAsia" w:ascii="仿宋" w:hAnsi="仿宋" w:eastAsia="仿宋" w:cs="仿宋"/>
          <w:sz w:val="24"/>
        </w:rPr>
        <w:t>6、做好生态保护和农业农村。按照“山水林田湖草”全要素管控的要求，对单元内城镇开发边界以外的生态和农业空间，按照上位规划和相关要求，进行底线管控、用途管制和适度利用，做好耕地保护、生态保护和修复、全域土地综合整治等规划内容，处理好重点区块和永久基本农田的关系，按照村庄规划相关要求进行详细规划编制。</w:t>
      </w:r>
    </w:p>
    <w:p>
      <w:pPr>
        <w:spacing w:line="540" w:lineRule="exact"/>
        <w:ind w:firstLine="640"/>
        <w:rPr>
          <w:rFonts w:ascii="仿宋" w:hAnsi="仿宋" w:eastAsia="仿宋" w:cs="仿宋"/>
          <w:sz w:val="24"/>
        </w:rPr>
      </w:pPr>
      <w:r>
        <w:rPr>
          <w:rFonts w:hint="eastAsia" w:ascii="仿宋" w:hAnsi="仿宋" w:eastAsia="仿宋" w:cs="仿宋"/>
          <w:sz w:val="24"/>
        </w:rPr>
        <w:t>7、加强城市设计及管控。加强控规单元城市天际线的研究，注重与西溪湿地的城市风貌的协调。将城市设计贯穿于控规编制全过程，与控规同步编制单元层面概念性城市设计和重点地区城市设计，做好与地区已编城市设计的充分衔接。</w:t>
      </w:r>
      <w:r>
        <w:rPr>
          <w:rFonts w:hint="eastAsia" w:ascii="仿宋" w:hAnsi="仿宋" w:eastAsia="仿宋" w:cs="仿宋"/>
          <w:b/>
          <w:bCs/>
          <w:sz w:val="24"/>
        </w:rPr>
        <w:t>一是单元层面开展全覆盖的概念性城市设计</w:t>
      </w:r>
      <w:r>
        <w:rPr>
          <w:rFonts w:hint="eastAsia" w:ascii="仿宋" w:hAnsi="仿宋" w:eastAsia="仿宋" w:cs="仿宋"/>
          <w:sz w:val="24"/>
        </w:rPr>
        <w:t>。保护单元山水空间特色，营造独特城市形态，落实上位规划对总体空间建筑形态的相关要求，细化高度分区、重要节点和轴线控制等相关内容。</w:t>
      </w:r>
      <w:r>
        <w:rPr>
          <w:rFonts w:hint="eastAsia" w:ascii="仿宋" w:hAnsi="仿宋" w:eastAsia="仿宋" w:cs="仿宋"/>
          <w:b/>
          <w:bCs/>
          <w:sz w:val="24"/>
        </w:rPr>
        <w:t>二是单元内划定重点地区，开展重点地区城市设计。</w:t>
      </w:r>
      <w:r>
        <w:rPr>
          <w:rFonts w:hint="eastAsia" w:ascii="仿宋" w:hAnsi="仿宋" w:eastAsia="仿宋" w:cs="仿宋"/>
          <w:sz w:val="24"/>
        </w:rPr>
        <w:t>落实单元层面概念性城市设计要求，细化深化城市详细设计，并以控规法定要求落实为法定文本和图集。按照统一数字化标准完成单元层面的概念性城市设计三维模型和重点地区城市设计三维模型并入库。</w:t>
      </w:r>
    </w:p>
    <w:p>
      <w:pPr>
        <w:pStyle w:val="33"/>
        <w:snapToGrid w:val="0"/>
        <w:spacing w:line="550" w:lineRule="exact"/>
        <w:ind w:firstLine="482" w:firstLineChars="200"/>
        <w:rPr>
          <w:rFonts w:ascii="仿宋" w:hAnsi="仿宋" w:eastAsia="仿宋" w:cs="仿宋"/>
          <w:b/>
          <w:kern w:val="0"/>
          <w:sz w:val="24"/>
          <w:szCs w:val="24"/>
        </w:rPr>
      </w:pPr>
    </w:p>
    <w:p>
      <w:pPr>
        <w:tabs>
          <w:tab w:val="left" w:pos="0"/>
        </w:tabs>
        <w:snapToGrid w:val="0"/>
        <w:spacing w:line="550" w:lineRule="exact"/>
        <w:ind w:firstLine="482" w:firstLineChars="200"/>
        <w:rPr>
          <w:rFonts w:ascii="仿宋" w:hAnsi="仿宋" w:eastAsia="仿宋" w:cs="仿宋"/>
          <w:b/>
          <w:sz w:val="24"/>
        </w:rPr>
      </w:pP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（四）项目成果要求</w:t>
      </w:r>
    </w:p>
    <w:p>
      <w:pPr>
        <w:pStyle w:val="2"/>
        <w:snapToGrid w:val="0"/>
        <w:spacing w:line="550" w:lineRule="exact"/>
        <w:rPr>
          <w:rFonts w:ascii="仿宋" w:hAnsi="仿宋" w:eastAsia="仿宋" w:cs="仿宋"/>
        </w:rPr>
      </w:pPr>
      <w:r>
        <w:rPr>
          <w:rFonts w:hint="eastAsia" w:ascii="仿宋" w:hAnsi="仿宋" w:eastAsia="仿宋" w:cs="仿宋"/>
        </w:rPr>
        <w:t>1、最终成果应包括：※总报告/文本、规划说明和附件（基础资料汇编、专题研究、各阶段审查材料及研究结论摘要等）。</w:t>
      </w:r>
    </w:p>
    <w:p>
      <w:pPr>
        <w:pStyle w:val="2"/>
        <w:snapToGrid w:val="0"/>
        <w:spacing w:line="550" w:lineRule="exact"/>
        <w:rPr>
          <w:rFonts w:ascii="仿宋" w:hAnsi="仿宋" w:eastAsia="仿宋" w:cs="仿宋"/>
        </w:rPr>
      </w:pPr>
      <w:r>
        <w:rPr>
          <w:rFonts w:hint="eastAsia" w:ascii="仿宋" w:hAnsi="仿宋" w:eastAsia="仿宋" w:cs="仿宋"/>
        </w:rPr>
        <w:t>2、※成果提交要求。</w:t>
      </w:r>
    </w:p>
    <w:p>
      <w:pPr>
        <w:pStyle w:val="2"/>
        <w:snapToGrid w:val="0"/>
        <w:spacing w:line="550" w:lineRule="exact"/>
        <w:rPr>
          <w:rFonts w:ascii="仿宋" w:hAnsi="仿宋" w:eastAsia="仿宋" w:cs="仿宋"/>
        </w:rPr>
      </w:pPr>
      <w:r>
        <w:rPr>
          <w:rFonts w:hint="eastAsia" w:ascii="仿宋" w:hAnsi="仿宋" w:eastAsia="仿宋" w:cs="仿宋"/>
        </w:rPr>
        <w:t>（1）中间成果稿提交纸质版</w:t>
      </w:r>
      <w:r>
        <w:rPr>
          <w:rFonts w:hint="eastAsia" w:ascii="仿宋" w:hAnsi="仿宋" w:eastAsia="仿宋" w:cs="仿宋"/>
          <w:u w:val="single"/>
        </w:rPr>
        <w:t xml:space="preserve">  25 </w:t>
      </w:r>
      <w:r>
        <w:rPr>
          <w:rFonts w:hint="eastAsia" w:ascii="仿宋" w:hAnsi="仿宋" w:eastAsia="仿宋" w:cs="仿宋"/>
        </w:rPr>
        <w:t>套，电子文档（光盘）</w:t>
      </w:r>
      <w:r>
        <w:rPr>
          <w:rFonts w:hint="eastAsia" w:ascii="仿宋" w:hAnsi="仿宋" w:eastAsia="仿宋" w:cs="仿宋"/>
          <w:u w:val="single"/>
        </w:rPr>
        <w:t>2</w:t>
      </w:r>
      <w:r>
        <w:rPr>
          <w:rFonts w:hint="eastAsia" w:ascii="仿宋" w:hAnsi="仿宋" w:eastAsia="仿宋" w:cs="仿宋"/>
        </w:rPr>
        <w:t>套；</w:t>
      </w:r>
    </w:p>
    <w:p>
      <w:pPr>
        <w:pStyle w:val="2"/>
        <w:snapToGrid w:val="0"/>
        <w:spacing w:line="550" w:lineRule="exact"/>
        <w:rPr>
          <w:rFonts w:ascii="仿宋" w:hAnsi="仿宋" w:eastAsia="仿宋" w:cs="仿宋"/>
        </w:rPr>
      </w:pPr>
      <w:r>
        <w:rPr>
          <w:rFonts w:hint="eastAsia" w:ascii="仿宋" w:hAnsi="仿宋" w:eastAsia="仿宋" w:cs="仿宋"/>
        </w:rPr>
        <w:t>（2）送审稿提交纸质版</w:t>
      </w:r>
      <w:r>
        <w:rPr>
          <w:rFonts w:hint="eastAsia" w:ascii="仿宋" w:hAnsi="仿宋" w:eastAsia="仿宋" w:cs="仿宋"/>
          <w:u w:val="single"/>
        </w:rPr>
        <w:t xml:space="preserve"> 25 </w:t>
      </w:r>
      <w:r>
        <w:rPr>
          <w:rFonts w:hint="eastAsia" w:ascii="仿宋" w:hAnsi="仿宋" w:eastAsia="仿宋" w:cs="仿宋"/>
        </w:rPr>
        <w:t>套，电子文档（光盘）</w:t>
      </w:r>
      <w:r>
        <w:rPr>
          <w:rFonts w:hint="eastAsia" w:ascii="仿宋" w:hAnsi="仿宋" w:eastAsia="仿宋" w:cs="仿宋"/>
          <w:u w:val="single"/>
        </w:rPr>
        <w:t xml:space="preserve"> 2 </w:t>
      </w:r>
      <w:r>
        <w:rPr>
          <w:rFonts w:hint="eastAsia" w:ascii="仿宋" w:hAnsi="仿宋" w:eastAsia="仿宋" w:cs="仿宋"/>
        </w:rPr>
        <w:t>套；</w:t>
      </w:r>
    </w:p>
    <w:p>
      <w:pPr>
        <w:pStyle w:val="2"/>
        <w:snapToGrid w:val="0"/>
        <w:spacing w:line="550" w:lineRule="exact"/>
        <w:rPr>
          <w:rFonts w:ascii="仿宋" w:hAnsi="仿宋" w:eastAsia="仿宋" w:cs="仿宋"/>
        </w:rPr>
      </w:pPr>
      <w:r>
        <w:rPr>
          <w:rFonts w:hint="eastAsia" w:ascii="仿宋" w:hAnsi="仿宋" w:eastAsia="仿宋" w:cs="仿宋"/>
        </w:rPr>
        <w:t>（3）报批稿提交纸质版</w:t>
      </w:r>
      <w:r>
        <w:rPr>
          <w:rFonts w:hint="eastAsia" w:ascii="仿宋" w:hAnsi="仿宋" w:eastAsia="仿宋" w:cs="仿宋"/>
          <w:u w:val="single"/>
        </w:rPr>
        <w:t xml:space="preserve"> 6 </w:t>
      </w:r>
      <w:r>
        <w:rPr>
          <w:rFonts w:hint="eastAsia" w:ascii="仿宋" w:hAnsi="仿宋" w:eastAsia="仿宋" w:cs="仿宋"/>
        </w:rPr>
        <w:t>套，电子文档（光盘）</w:t>
      </w:r>
      <w:r>
        <w:rPr>
          <w:rFonts w:hint="eastAsia" w:ascii="仿宋" w:hAnsi="仿宋" w:eastAsia="仿宋" w:cs="仿宋"/>
          <w:u w:val="single"/>
        </w:rPr>
        <w:t xml:space="preserve"> 6 </w:t>
      </w:r>
      <w:r>
        <w:rPr>
          <w:rFonts w:hint="eastAsia" w:ascii="仿宋" w:hAnsi="仿宋" w:eastAsia="仿宋" w:cs="仿宋"/>
        </w:rPr>
        <w:t>套；</w:t>
      </w:r>
    </w:p>
    <w:p>
      <w:pPr>
        <w:pStyle w:val="2"/>
        <w:snapToGrid w:val="0"/>
        <w:spacing w:line="550" w:lineRule="exact"/>
        <w:rPr>
          <w:rFonts w:ascii="仿宋" w:hAnsi="仿宋" w:eastAsia="仿宋" w:cs="仿宋"/>
          <w:color w:val="FF0000"/>
        </w:rPr>
      </w:pPr>
      <w:r>
        <w:rPr>
          <w:rFonts w:hint="eastAsia" w:ascii="仿宋" w:hAnsi="仿宋" w:eastAsia="仿宋" w:cs="仿宋"/>
        </w:rPr>
        <w:t>（4）最终成果提交纸质版</w:t>
      </w:r>
      <w:r>
        <w:rPr>
          <w:rFonts w:hint="eastAsia" w:ascii="仿宋" w:hAnsi="仿宋" w:eastAsia="仿宋" w:cs="仿宋"/>
          <w:u w:val="single"/>
        </w:rPr>
        <w:t xml:space="preserve"> 6 </w:t>
      </w:r>
      <w:r>
        <w:rPr>
          <w:rFonts w:hint="eastAsia" w:ascii="仿宋" w:hAnsi="仿宋" w:eastAsia="仿宋" w:cs="仿宋"/>
        </w:rPr>
        <w:t>套，电子文档（光盘）</w:t>
      </w:r>
      <w:r>
        <w:rPr>
          <w:rFonts w:hint="eastAsia" w:ascii="仿宋" w:hAnsi="仿宋" w:eastAsia="仿宋" w:cs="仿宋"/>
          <w:u w:val="single"/>
        </w:rPr>
        <w:t xml:space="preserve"> 6 </w:t>
      </w:r>
      <w:r>
        <w:rPr>
          <w:rFonts w:hint="eastAsia" w:ascii="仿宋" w:hAnsi="仿宋" w:eastAsia="仿宋" w:cs="仿宋"/>
        </w:rPr>
        <w:t>套。</w:t>
      </w:r>
    </w:p>
    <w:p>
      <w:pPr>
        <w:pStyle w:val="2"/>
        <w:snapToGrid w:val="0"/>
        <w:spacing w:line="550" w:lineRule="exact"/>
        <w:rPr>
          <w:rFonts w:ascii="仿宋" w:hAnsi="仿宋" w:eastAsia="仿宋" w:cs="仿宋"/>
        </w:rPr>
      </w:pPr>
      <w:r>
        <w:rPr>
          <w:rFonts w:hint="eastAsia" w:ascii="仿宋" w:hAnsi="仿宋" w:eastAsia="仿宋" w:cs="仿宋"/>
        </w:rPr>
        <w:t>3、电子文档：包括文本电子文档（doc、ppt、pdf格式）以及图纸电子文档（dwg格式、jpg格式、GIS格式），供存档之用（含dwg格式、jpg格式、GIS格式，并符合规划和自然资源“一张图”成果入库等有关要求且电子文件必须为可编辑状态）。</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（五）进度要求</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中间成果稿提交时间</w:t>
      </w:r>
      <w:r>
        <w:rPr>
          <w:rFonts w:hint="eastAsia" w:ascii="仿宋" w:hAnsi="仿宋" w:eastAsia="仿宋" w:cs="仿宋"/>
          <w:sz w:val="24"/>
          <w:u w:val="single"/>
        </w:rPr>
        <w:t xml:space="preserve"> 2022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9</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30  </w:t>
      </w:r>
      <w:r>
        <w:rPr>
          <w:rFonts w:hint="eastAsia" w:ascii="仿宋" w:hAnsi="仿宋" w:eastAsia="仿宋" w:cs="仿宋"/>
          <w:sz w:val="24"/>
        </w:rPr>
        <w:t>日前；</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送审</w:t>
      </w:r>
      <w:r>
        <w:rPr>
          <w:rFonts w:hint="eastAsia" w:ascii="仿宋" w:hAnsi="仿宋" w:eastAsia="仿宋" w:cs="仿宋"/>
          <w:sz w:val="24"/>
          <w:lang w:val="en-US" w:eastAsia="zh-CN"/>
        </w:rPr>
        <w:t>成果</w:t>
      </w:r>
      <w:r>
        <w:rPr>
          <w:rFonts w:hint="eastAsia" w:ascii="仿宋" w:hAnsi="仿宋" w:eastAsia="仿宋" w:cs="仿宋"/>
          <w:sz w:val="24"/>
        </w:rPr>
        <w:t>提交时间</w:t>
      </w:r>
      <w:r>
        <w:rPr>
          <w:rFonts w:hint="eastAsia" w:ascii="仿宋" w:hAnsi="仿宋" w:eastAsia="仿宋" w:cs="仿宋"/>
          <w:sz w:val="24"/>
          <w:u w:val="single"/>
        </w:rPr>
        <w:t xml:space="preserve">  2022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12</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10</w:t>
      </w:r>
      <w:r>
        <w:rPr>
          <w:rFonts w:hint="eastAsia" w:ascii="仿宋" w:hAnsi="仿宋" w:eastAsia="仿宋" w:cs="仿宋"/>
          <w:sz w:val="24"/>
          <w:u w:val="single"/>
        </w:rPr>
        <w:t xml:space="preserve"> </w:t>
      </w:r>
      <w:r>
        <w:rPr>
          <w:rFonts w:hint="eastAsia" w:ascii="仿宋" w:hAnsi="仿宋" w:eastAsia="仿宋" w:cs="仿宋"/>
          <w:sz w:val="24"/>
        </w:rPr>
        <w:t>日前；</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※报批稿/项目完成时间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日前；</w:t>
      </w:r>
      <w:bookmarkStart w:id="403" w:name="_GoBack"/>
      <w:bookmarkEnd w:id="403"/>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最终成果提交时间批复后或出具结题通知一个月内。</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(六)其他要求</w:t>
      </w:r>
    </w:p>
    <w:p>
      <w:pPr>
        <w:tabs>
          <w:tab w:val="left" w:pos="0"/>
        </w:tabs>
        <w:snapToGrid w:val="0"/>
        <w:spacing w:line="540" w:lineRule="exact"/>
        <w:ind w:firstLine="480" w:firstLineChars="200"/>
        <w:rPr>
          <w:rFonts w:ascii="仿宋" w:hAnsi="仿宋" w:eastAsia="仿宋" w:cs="仿宋"/>
          <w:sz w:val="24"/>
        </w:rPr>
      </w:pPr>
    </w:p>
    <w:p>
      <w:pPr>
        <w:pStyle w:val="139"/>
        <w:widowControl w:val="0"/>
        <w:adjustRightInd w:val="0"/>
        <w:snapToGrid w:val="0"/>
        <w:spacing w:line="550" w:lineRule="exact"/>
        <w:ind w:firstLine="480" w:firstLineChars="200"/>
        <w:jc w:val="both"/>
        <w:rPr>
          <w:rFonts w:ascii="仿宋" w:hAnsi="仿宋" w:eastAsia="仿宋" w:cs="仿宋"/>
          <w:sz w:val="24"/>
          <w:szCs w:val="24"/>
        </w:rPr>
      </w:pPr>
      <w:r>
        <w:rPr>
          <w:rFonts w:hint="eastAsia" w:ascii="仿宋" w:hAnsi="仿宋" w:eastAsia="仿宋" w:cs="仿宋"/>
          <w:sz w:val="24"/>
          <w:szCs w:val="24"/>
        </w:rPr>
        <w:t>二、合同金额</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本合同金额为人民币(大写)</w:t>
      </w:r>
      <w:r>
        <w:rPr>
          <w:rFonts w:hint="eastAsia" w:ascii="仿宋" w:hAnsi="仿宋" w:eastAsia="仿宋" w:cs="仿宋"/>
          <w:sz w:val="24"/>
          <w:u w:val="single"/>
        </w:rPr>
        <w:t xml:space="preserve">      </w:t>
      </w:r>
      <w:r>
        <w:rPr>
          <w:rFonts w:hint="eastAsia" w:ascii="仿宋" w:hAnsi="仿宋" w:eastAsia="仿宋" w:cs="仿宋"/>
          <w:sz w:val="24"/>
        </w:rPr>
        <w:t>元整（¥</w:t>
      </w:r>
      <w:r>
        <w:rPr>
          <w:rFonts w:hint="eastAsia" w:ascii="仿宋" w:hAnsi="仿宋" w:eastAsia="仿宋" w:cs="仿宋"/>
          <w:sz w:val="24"/>
          <w:u w:val="single"/>
        </w:rPr>
        <w:t xml:space="preserve">      </w:t>
      </w:r>
      <w:r>
        <w:rPr>
          <w:rFonts w:hint="eastAsia" w:ascii="仿宋" w:hAnsi="仿宋" w:eastAsia="仿宋" w:cs="仿宋"/>
          <w:sz w:val="24"/>
        </w:rPr>
        <w:t>元）。</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本合同金额为乙方完成本项目所需的一切费用，甲方不再向乙方支付其它任何费用，乙方也不得要求甲方支付其他任何费用。</w:t>
      </w:r>
    </w:p>
    <w:p>
      <w:pPr>
        <w:pStyle w:val="139"/>
        <w:widowControl w:val="0"/>
        <w:tabs>
          <w:tab w:val="left" w:pos="5340"/>
        </w:tabs>
        <w:adjustRightInd w:val="0"/>
        <w:snapToGrid w:val="0"/>
        <w:spacing w:line="550" w:lineRule="exact"/>
        <w:ind w:firstLine="480" w:firstLineChars="200"/>
        <w:jc w:val="both"/>
        <w:rPr>
          <w:rFonts w:ascii="仿宋" w:hAnsi="仿宋" w:eastAsia="仿宋" w:cs="仿宋"/>
          <w:sz w:val="24"/>
          <w:szCs w:val="24"/>
        </w:rPr>
      </w:pPr>
      <w:r>
        <w:rPr>
          <w:rFonts w:hint="eastAsia" w:ascii="仿宋" w:hAnsi="仿宋" w:eastAsia="仿宋" w:cs="仿宋"/>
          <w:sz w:val="24"/>
          <w:szCs w:val="24"/>
        </w:rPr>
        <w:t>三、基础资料及保密要求</w:t>
      </w:r>
      <w:r>
        <w:rPr>
          <w:rFonts w:hint="eastAsia" w:ascii="仿宋" w:hAnsi="仿宋" w:eastAsia="仿宋" w:cs="仿宋"/>
          <w:sz w:val="24"/>
          <w:szCs w:val="24"/>
        </w:rPr>
        <w:tab/>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1、甲方应及时向乙方提供项目开展所必需的有关基础资料，但乙方应提前将甲方需要提交的基础资料清单发送给甲方确认，乙方在项目开展时应首先完成现状调研和项目基础资料的汇编工作并提交甲方确认。</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2、本项目的基础资料及成果归甲方所有，乙方对基础资料及成果负有保密责任。乙方不得将由甲方提供的有关合同或本项目有关的文件、计划、数据、图纸等基础资料以及成果提供给与履行本合同无关的任何其他人或用于其它与编制项目无关用途。乙方对于其可能接触了解基础资料及成果的员工，以及与乙方存在有本项目业务合作关系的第三方，均须签订保密协议，由该等员工（包括从乙方离职但了解甲方信息的人员）、本项目合作关系的第三方承担本协议项下的保密义务，且乙方对该等员工和第三方的泄密行为向甲方承担一切相应法律责任。乙方在使用基础资料过程中，如违反有关保密的法律、法规及规定以及甲方的要求，甲方有权收回基础资料，无条件终止乙方的使用权，乙方承担相应的法律责任。</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3、本合同终止或解除后，乙方应在甲方要求的时间内将甲方提供的全部基础资料退还给甲方。</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4、乙方的保密期限为永久。</w:t>
      </w:r>
    </w:p>
    <w:p>
      <w:pPr>
        <w:pStyle w:val="139"/>
        <w:widowControl w:val="0"/>
        <w:adjustRightInd w:val="0"/>
        <w:snapToGrid w:val="0"/>
        <w:spacing w:line="550" w:lineRule="exact"/>
        <w:ind w:firstLine="480" w:firstLineChars="200"/>
        <w:jc w:val="both"/>
        <w:rPr>
          <w:rFonts w:ascii="仿宋" w:hAnsi="仿宋" w:eastAsia="仿宋" w:cs="仿宋"/>
          <w:sz w:val="24"/>
          <w:szCs w:val="24"/>
        </w:rPr>
      </w:pPr>
      <w:r>
        <w:rPr>
          <w:rFonts w:hint="eastAsia" w:ascii="仿宋" w:hAnsi="仿宋" w:eastAsia="仿宋" w:cs="仿宋"/>
          <w:sz w:val="24"/>
          <w:szCs w:val="24"/>
        </w:rPr>
        <w:t>四、知识产权</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乙方应保证提供服务过程中不会侵犯任何第三方的知识产权，并保证甲方及甲方利益相关方免于遭受任何第三方基于本合同交付成果而提起任何知识产权诉讼。</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本项目的成果知识产权归甲方所有，未经甲方书面同意，乙方无权使用上述成果用于其他用途，更无权转让或许可他人使用。</w:t>
      </w:r>
    </w:p>
    <w:p>
      <w:pPr>
        <w:pStyle w:val="139"/>
        <w:widowControl w:val="0"/>
        <w:adjustRightInd w:val="0"/>
        <w:snapToGrid w:val="0"/>
        <w:spacing w:line="550" w:lineRule="exact"/>
        <w:ind w:firstLine="480" w:firstLineChars="200"/>
        <w:jc w:val="both"/>
        <w:rPr>
          <w:rFonts w:ascii="仿宋" w:hAnsi="仿宋" w:eastAsia="仿宋" w:cs="仿宋"/>
          <w:sz w:val="24"/>
          <w:szCs w:val="24"/>
        </w:rPr>
      </w:pPr>
      <w:r>
        <w:rPr>
          <w:rFonts w:hint="eastAsia" w:ascii="仿宋" w:hAnsi="仿宋" w:eastAsia="仿宋" w:cs="仿宋"/>
          <w:sz w:val="24"/>
          <w:szCs w:val="24"/>
        </w:rPr>
        <w:t>五、履行主体</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1、本合同范围的服务，应由乙方直接提供，未经甲方事先书面同意，乙方不得将本合同范围的服务全部转包或部分分包给第三方。</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2、如有未经甲方同意的转包或分包行为，甲方有权解除合同，并有权要求乙方赔偿给甲方带来的所有损失。</w:t>
      </w:r>
    </w:p>
    <w:p>
      <w:pPr>
        <w:pStyle w:val="139"/>
        <w:widowControl w:val="0"/>
        <w:adjustRightInd w:val="0"/>
        <w:snapToGrid w:val="0"/>
        <w:spacing w:line="550" w:lineRule="exact"/>
        <w:ind w:firstLine="480" w:firstLineChars="200"/>
        <w:jc w:val="both"/>
        <w:rPr>
          <w:rFonts w:ascii="仿宋" w:hAnsi="仿宋" w:eastAsia="仿宋" w:cs="仿宋"/>
          <w:sz w:val="24"/>
          <w:szCs w:val="24"/>
        </w:rPr>
      </w:pPr>
      <w:r>
        <w:rPr>
          <w:rFonts w:hint="eastAsia" w:ascii="仿宋" w:hAnsi="仿宋" w:eastAsia="仿宋" w:cs="仿宋"/>
          <w:sz w:val="24"/>
          <w:szCs w:val="24"/>
        </w:rPr>
        <w:t>六、合同履行时间、履行方式及履行地点</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1、履行时间：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bookmarkStart w:id="394" w:name="OLE_LINK1"/>
      <w:bookmarkStart w:id="395" w:name="OLE_LINK2"/>
      <w:r>
        <w:rPr>
          <w:rFonts w:hint="eastAsia" w:ascii="仿宋" w:hAnsi="仿宋" w:eastAsia="仿宋" w:cs="仿宋"/>
          <w:sz w:val="24"/>
          <w:u w:val="single"/>
        </w:rPr>
        <w:t xml:space="preserve">   </w:t>
      </w:r>
      <w:r>
        <w:rPr>
          <w:rFonts w:hint="eastAsia" w:ascii="仿宋" w:hAnsi="仿宋" w:eastAsia="仿宋" w:cs="仿宋"/>
          <w:sz w:val="24"/>
        </w:rPr>
        <w:t>日</w:t>
      </w:r>
      <w:bookmarkEnd w:id="394"/>
      <w:bookmarkEnd w:id="395"/>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2、履行方式：提供服务、完成合同所列工作任务</w:t>
      </w:r>
    </w:p>
    <w:p>
      <w:pPr>
        <w:snapToGrid w:val="0"/>
        <w:spacing w:line="550" w:lineRule="exact"/>
        <w:ind w:firstLine="480" w:firstLineChars="200"/>
        <w:rPr>
          <w:rFonts w:ascii="仿宋" w:hAnsi="仿宋" w:eastAsia="仿宋" w:cs="仿宋"/>
          <w:sz w:val="24"/>
        </w:rPr>
      </w:pPr>
      <w:r>
        <w:rPr>
          <w:rFonts w:hint="eastAsia" w:ascii="仿宋" w:hAnsi="仿宋" w:eastAsia="仿宋" w:cs="仿宋"/>
          <w:sz w:val="24"/>
        </w:rPr>
        <w:t>3、履行地点：杭州市</w:t>
      </w:r>
    </w:p>
    <w:p>
      <w:pPr>
        <w:pStyle w:val="139"/>
        <w:widowControl w:val="0"/>
        <w:adjustRightInd w:val="0"/>
        <w:snapToGrid w:val="0"/>
        <w:spacing w:line="550" w:lineRule="exact"/>
        <w:ind w:firstLine="480" w:firstLineChars="200"/>
        <w:jc w:val="both"/>
        <w:rPr>
          <w:rFonts w:ascii="仿宋" w:hAnsi="仿宋" w:eastAsia="仿宋" w:cs="仿宋"/>
          <w:sz w:val="24"/>
          <w:szCs w:val="24"/>
        </w:rPr>
      </w:pPr>
      <w:r>
        <w:rPr>
          <w:rFonts w:hint="eastAsia" w:ascii="仿宋" w:hAnsi="仿宋" w:eastAsia="仿宋" w:cs="仿宋"/>
          <w:sz w:val="24"/>
          <w:szCs w:val="24"/>
        </w:rPr>
        <w:t>七、成果验收</w:t>
      </w:r>
    </w:p>
    <w:p>
      <w:pPr>
        <w:snapToGrid w:val="0"/>
        <w:spacing w:line="550" w:lineRule="exact"/>
        <w:ind w:firstLine="480" w:firstLineChars="200"/>
        <w:rPr>
          <w:rFonts w:ascii="仿宋" w:hAnsi="仿宋" w:eastAsia="仿宋" w:cs="仿宋"/>
          <w:sz w:val="24"/>
        </w:rPr>
      </w:pPr>
      <w:r>
        <w:rPr>
          <w:rFonts w:hint="eastAsia" w:ascii="仿宋" w:hAnsi="仿宋" w:eastAsia="仿宋" w:cs="仿宋"/>
          <w:sz w:val="24"/>
        </w:rPr>
        <w:t>技术服</w:t>
      </w:r>
      <w:r>
        <w:rPr>
          <w:rFonts w:hint="eastAsia" w:ascii="仿宋" w:hAnsi="仿宋" w:eastAsia="仿宋" w:cs="仿宋"/>
          <w:kern w:val="0"/>
          <w:sz w:val="24"/>
        </w:rPr>
        <w:t>务最终成果达到了本合同第一条所列的要求，采用专家及部门审查方式验收。</w:t>
      </w:r>
    </w:p>
    <w:p>
      <w:pPr>
        <w:pStyle w:val="139"/>
        <w:widowControl w:val="0"/>
        <w:adjustRightInd w:val="0"/>
        <w:snapToGrid w:val="0"/>
        <w:spacing w:line="550" w:lineRule="exact"/>
        <w:ind w:firstLine="480" w:firstLineChars="200"/>
        <w:jc w:val="both"/>
        <w:rPr>
          <w:rFonts w:ascii="仿宋" w:hAnsi="仿宋" w:eastAsia="仿宋" w:cs="仿宋"/>
          <w:sz w:val="24"/>
          <w:szCs w:val="24"/>
        </w:rPr>
      </w:pPr>
      <w:r>
        <w:rPr>
          <w:rFonts w:hint="eastAsia" w:ascii="仿宋" w:hAnsi="仿宋" w:eastAsia="仿宋" w:cs="仿宋"/>
          <w:sz w:val="24"/>
          <w:szCs w:val="24"/>
        </w:rPr>
        <w:t>八、款项支付</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※付款方式</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1、合同生效后</w:t>
      </w:r>
      <w:r>
        <w:rPr>
          <w:rFonts w:ascii="仿宋" w:hAnsi="仿宋" w:eastAsia="仿宋" w:cs="仿宋"/>
          <w:sz w:val="24"/>
        </w:rPr>
        <w:t>7</w:t>
      </w:r>
      <w:r>
        <w:rPr>
          <w:rFonts w:hint="eastAsia" w:ascii="仿宋" w:hAnsi="仿宋" w:eastAsia="仿宋" w:cs="仿宋"/>
          <w:sz w:val="24"/>
        </w:rPr>
        <w:t>日内，甲方支付设计费人民币          (大写)</w:t>
      </w:r>
      <w:r>
        <w:rPr>
          <w:rFonts w:hint="eastAsia" w:ascii="仿宋" w:hAnsi="仿宋" w:eastAsia="仿宋" w:cs="仿宋"/>
          <w:sz w:val="24"/>
          <w:u w:val="single"/>
        </w:rPr>
        <w:t xml:space="preserve">      </w:t>
      </w:r>
      <w:r>
        <w:rPr>
          <w:rFonts w:hint="eastAsia" w:ascii="仿宋" w:hAnsi="仿宋" w:eastAsia="仿宋" w:cs="仿宋"/>
          <w:sz w:val="24"/>
        </w:rPr>
        <w:t>元整（¥</w:t>
      </w:r>
      <w:r>
        <w:rPr>
          <w:rFonts w:hint="eastAsia" w:ascii="仿宋" w:hAnsi="仿宋" w:eastAsia="仿宋" w:cs="仿宋"/>
          <w:sz w:val="24"/>
          <w:u w:val="single"/>
        </w:rPr>
        <w:t xml:space="preserve">      </w:t>
      </w:r>
      <w:r>
        <w:rPr>
          <w:rFonts w:hint="eastAsia" w:ascii="仿宋" w:hAnsi="仿宋" w:eastAsia="仿宋" w:cs="仿宋"/>
          <w:sz w:val="24"/>
        </w:rPr>
        <w:t>元）。</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2、乙方按照双方进度约定完成中间成果后，并经甲方组织专家和部门审查达到技术要求的，甲方在出具审核同意的会议纪要后支付设计费人民币(大写)</w:t>
      </w:r>
      <w:r>
        <w:rPr>
          <w:rFonts w:hint="eastAsia" w:ascii="仿宋" w:hAnsi="仿宋" w:eastAsia="仿宋" w:cs="仿宋"/>
          <w:sz w:val="24"/>
          <w:u w:val="single"/>
        </w:rPr>
        <w:t xml:space="preserve">      </w:t>
      </w:r>
      <w:r>
        <w:rPr>
          <w:rFonts w:hint="eastAsia" w:ascii="仿宋" w:hAnsi="仿宋" w:eastAsia="仿宋" w:cs="仿宋"/>
          <w:sz w:val="24"/>
        </w:rPr>
        <w:t>元整（¥</w:t>
      </w:r>
      <w:r>
        <w:rPr>
          <w:rFonts w:hint="eastAsia" w:ascii="仿宋" w:hAnsi="仿宋" w:eastAsia="仿宋" w:cs="仿宋"/>
          <w:sz w:val="24"/>
          <w:u w:val="single"/>
        </w:rPr>
        <w:t xml:space="preserve">      </w:t>
      </w:r>
      <w:r>
        <w:rPr>
          <w:rFonts w:hint="eastAsia" w:ascii="仿宋" w:hAnsi="仿宋" w:eastAsia="仿宋" w:cs="仿宋"/>
          <w:sz w:val="24"/>
        </w:rPr>
        <w:t>元）。</w:t>
      </w:r>
    </w:p>
    <w:p>
      <w:pPr>
        <w:tabs>
          <w:tab w:val="left" w:pos="0"/>
        </w:tabs>
        <w:snapToGrid w:val="0"/>
        <w:spacing w:line="550" w:lineRule="exact"/>
        <w:ind w:left="162" w:leftChars="77" w:firstLine="357" w:firstLineChars="149"/>
        <w:rPr>
          <w:rFonts w:ascii="仿宋" w:hAnsi="仿宋" w:eastAsia="仿宋" w:cs="仿宋"/>
          <w:sz w:val="24"/>
        </w:rPr>
      </w:pPr>
      <w:r>
        <w:rPr>
          <w:rFonts w:hint="eastAsia" w:ascii="仿宋" w:hAnsi="仿宋" w:eastAsia="仿宋" w:cs="仿宋"/>
          <w:sz w:val="24"/>
        </w:rPr>
        <w:t>3、乙方提交最终成果，甲方经审查书面确认后支付设计</w:t>
      </w:r>
    </w:p>
    <w:p>
      <w:pPr>
        <w:tabs>
          <w:tab w:val="left" w:pos="0"/>
        </w:tabs>
        <w:snapToGrid w:val="0"/>
        <w:spacing w:line="550" w:lineRule="exact"/>
        <w:ind w:left="120" w:hanging="120" w:hangingChars="50"/>
        <w:rPr>
          <w:rFonts w:ascii="仿宋" w:hAnsi="仿宋" w:eastAsia="仿宋" w:cs="仿宋"/>
          <w:sz w:val="24"/>
        </w:rPr>
      </w:pPr>
      <w:r>
        <w:rPr>
          <w:rFonts w:hint="eastAsia" w:ascii="仿宋" w:hAnsi="仿宋" w:eastAsia="仿宋" w:cs="仿宋"/>
          <w:sz w:val="24"/>
        </w:rPr>
        <w:t>费人民币(大写)</w:t>
      </w:r>
      <w:r>
        <w:rPr>
          <w:rFonts w:hint="eastAsia" w:ascii="仿宋" w:hAnsi="仿宋" w:eastAsia="仿宋" w:cs="仿宋"/>
          <w:sz w:val="24"/>
          <w:u w:val="single"/>
        </w:rPr>
        <w:t xml:space="preserve">      </w:t>
      </w:r>
      <w:r>
        <w:rPr>
          <w:rFonts w:hint="eastAsia" w:ascii="仿宋" w:hAnsi="仿宋" w:eastAsia="仿宋" w:cs="仿宋"/>
          <w:sz w:val="24"/>
        </w:rPr>
        <w:t>元整（¥</w:t>
      </w:r>
      <w:r>
        <w:rPr>
          <w:rFonts w:hint="eastAsia" w:ascii="仿宋" w:hAnsi="仿宋" w:eastAsia="仿宋" w:cs="仿宋"/>
          <w:sz w:val="24"/>
          <w:u w:val="single"/>
        </w:rPr>
        <w:t xml:space="preserve">      </w:t>
      </w:r>
      <w:r>
        <w:rPr>
          <w:rFonts w:hint="eastAsia" w:ascii="仿宋" w:hAnsi="仿宋" w:eastAsia="仿宋" w:cs="仿宋"/>
          <w:sz w:val="24"/>
        </w:rPr>
        <w:t>元）。</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上述甲方的付款义务均以乙方开具符合税务部门以及甲方要求的发票为前提，乙方延迟开具发票的，甲方有权延迟支付相应的款项并且无需承担任何违约责任。</w:t>
      </w:r>
    </w:p>
    <w:p>
      <w:pPr>
        <w:pStyle w:val="139"/>
        <w:widowControl w:val="0"/>
        <w:adjustRightInd w:val="0"/>
        <w:snapToGrid w:val="0"/>
        <w:spacing w:line="550" w:lineRule="exact"/>
        <w:ind w:firstLine="480" w:firstLineChars="200"/>
        <w:jc w:val="both"/>
        <w:rPr>
          <w:rFonts w:ascii="仿宋" w:hAnsi="仿宋" w:eastAsia="仿宋" w:cs="仿宋"/>
          <w:sz w:val="24"/>
          <w:szCs w:val="24"/>
        </w:rPr>
      </w:pPr>
      <w:r>
        <w:rPr>
          <w:rFonts w:hint="eastAsia" w:ascii="仿宋" w:hAnsi="仿宋" w:eastAsia="仿宋" w:cs="仿宋"/>
          <w:sz w:val="24"/>
          <w:szCs w:val="24"/>
        </w:rPr>
        <w:t>九、税费及专家费</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kern w:val="0"/>
          <w:sz w:val="24"/>
          <w:lang w:val="zh-CN"/>
        </w:rPr>
        <w:t>本合同执行中相关的一切税费由乙方负担，各环节成果审查产生的专家评审费由甲方承担，但是非因甲方原因造成验收不通过的，重新验收的相关费用由乙方承担。</w:t>
      </w:r>
    </w:p>
    <w:p>
      <w:pPr>
        <w:pStyle w:val="139"/>
        <w:widowControl w:val="0"/>
        <w:adjustRightInd w:val="0"/>
        <w:snapToGrid w:val="0"/>
        <w:spacing w:line="550" w:lineRule="exact"/>
        <w:ind w:firstLine="480" w:firstLineChars="200"/>
        <w:jc w:val="both"/>
        <w:rPr>
          <w:rFonts w:ascii="仿宋" w:hAnsi="仿宋" w:eastAsia="仿宋" w:cs="仿宋"/>
          <w:sz w:val="24"/>
          <w:szCs w:val="24"/>
        </w:rPr>
      </w:pPr>
      <w:r>
        <w:rPr>
          <w:rFonts w:hint="eastAsia" w:ascii="仿宋" w:hAnsi="仿宋" w:eastAsia="仿宋" w:cs="仿宋"/>
          <w:sz w:val="24"/>
          <w:szCs w:val="24"/>
        </w:rPr>
        <w:t>十、质量保证及后续服务</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1、各阶段审查前乙方须按照合同约定的进度要求提前向甲方提交申请审查单，待甲方确认达到阶段成果要求后，进入审查程序。</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2、乙方应按本合同约定内容以及招标文件规定向甲方提供服务，若出现由于乙方不按进度、技术要求履行合同而导致项目进展缓慢、成果质量达不到要求的情况，甲方有权向乙方采取告诫、约谈、发出整改通知单、解除或终止合同、要求赔偿等有关措施。</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3、乙方提供服务期间，应按照甲方的要求负责免费提供项目内容修改和调整服务（内容包括合同技术要求，以及项目审查会议意见要求）。如出现因乙方原因造成的逾期或未按修改调整要求进行调整的，甲方有权向乙方发出整改通知单，乙方应在整改期限内完成整改；若乙方未能在整改期限内完成整改的，甲方有权解除合同，停止合同款项的支付，并要求乙方返还已支付的合同款项。如乙方收到3次以上整改通知单的，则甲方将乙方项目组及其成员列入不良行为记录名单，在三年内禁止参加甲方的采购活动，并抄告行业监管部门。</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4、乙方在服务质量保证期内，应对出现的质量及安全问题负责及时处理解决，相关费用由乙方承担。</w:t>
      </w:r>
    </w:p>
    <w:p>
      <w:pPr>
        <w:pStyle w:val="139"/>
        <w:widowControl w:val="0"/>
        <w:adjustRightInd w:val="0"/>
        <w:snapToGrid w:val="0"/>
        <w:spacing w:line="550" w:lineRule="exact"/>
        <w:ind w:firstLine="480" w:firstLineChars="200"/>
        <w:jc w:val="both"/>
        <w:rPr>
          <w:rFonts w:ascii="仿宋" w:hAnsi="仿宋" w:eastAsia="仿宋" w:cs="仿宋"/>
          <w:sz w:val="24"/>
          <w:szCs w:val="24"/>
        </w:rPr>
      </w:pPr>
      <w:r>
        <w:rPr>
          <w:rFonts w:hint="eastAsia" w:ascii="仿宋" w:hAnsi="仿宋" w:eastAsia="仿宋" w:cs="仿宋"/>
          <w:sz w:val="24"/>
          <w:szCs w:val="24"/>
        </w:rPr>
        <w:t>十一、违约责任</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1、甲方应向乙方提供基础资料及文件，并对其准确性负责，甲方不得要求乙方违反国家有关标准进行规划设计。</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2、乙方须依法取得相应资质证书承揽国土空间规划编制工作，应按国家标准和合同约定的技术要求进行规划设计，按合同规定的内容、时间及份数向甲方交付规划设计文件，并对提交的规划成果质量负责。若乙方出现违反本条款规定的行为，依照《城乡规划法》第六十二条、《浙江省城乡规划条例》第五十七条的规定，甲方有权报告给相关部门依法处理。</w:t>
      </w:r>
    </w:p>
    <w:p>
      <w:pPr>
        <w:autoSpaceDE w:val="0"/>
        <w:autoSpaceDN w:val="0"/>
        <w:snapToGrid w:val="0"/>
        <w:spacing w:line="56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乙方不能在合同约定时间提交全部最终成果资料的，自逾期之日起，向甲方每日偿付合同总价款万分之六的违约金，同时不解除合同交货责任；逾期超过三十天的，甲方有权解除本合同，并可要求乙方偿付合同总价款20%的违约金，同时乙方应退回全部已支付价款。</w:t>
      </w:r>
    </w:p>
    <w:p>
      <w:pPr>
        <w:autoSpaceDE w:val="0"/>
        <w:autoSpaceDN w:val="0"/>
        <w:snapToGrid w:val="0"/>
        <w:spacing w:line="56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乙方提供的成果质量验收不合格的，乙方应负责无偿重新提供，直至达到验收要求。因成果质量不符合合同要求给甲方造成损失的，甲方有权解除本合同，并可要求乙方偿付合同总价款20%的违约金，同时乙方应退回全部已支付价款。</w:t>
      </w:r>
    </w:p>
    <w:p>
      <w:pPr>
        <w:tabs>
          <w:tab w:val="left" w:pos="0"/>
        </w:tabs>
        <w:snapToGrid w:val="0"/>
        <w:spacing w:line="55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5、因甲方原因逾期支付合同款的，自逾期之日起，向乙方每日偿付所需支付货款的万分之六的违约金，同时不解除合同付款责任。</w:t>
      </w:r>
    </w:p>
    <w:p>
      <w:pPr>
        <w:autoSpaceDE w:val="0"/>
        <w:autoSpaceDN w:val="0"/>
        <w:snapToGrid w:val="0"/>
        <w:spacing w:line="56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6、乙方擅自将本合同的标的转包或者部分分包给第三方的，甲方有权解除合同，并可要求乙方偿付合同总价款20%的违约金，同时乙方应退回全部已支付价款。</w:t>
      </w:r>
    </w:p>
    <w:p>
      <w:pPr>
        <w:autoSpaceDE w:val="0"/>
        <w:autoSpaceDN w:val="0"/>
        <w:snapToGrid w:val="0"/>
        <w:spacing w:line="56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7、如发生违约事件，守约方要求违约方支付违约金时，须以书面方式通知违约方，内容包括违约事件、违约金、支付时间和方式等；违约方在收到上述通知后，应于5个工作日内书面答复对方，并支付违约金。如双方不能就此达成一致意见，将按照本合同所规定的争议解决条款解决双方的纠纷。</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kern w:val="0"/>
          <w:sz w:val="24"/>
          <w:lang w:val="zh-CN"/>
        </w:rPr>
        <w:t>8、</w:t>
      </w:r>
      <w:r>
        <w:rPr>
          <w:rFonts w:hint="eastAsia" w:ascii="仿宋" w:hAnsi="仿宋" w:eastAsia="仿宋" w:cs="仿宋"/>
          <w:sz w:val="24"/>
        </w:rPr>
        <w:t>付款按财政政策以及甲方的要求执行，因乙方迟延履行、乙方在本合同项下存在违约行为以及不符合财政资金支付时间要求等原因造成不能及时支付款的，甲方不承担任何责任。</w:t>
      </w:r>
    </w:p>
    <w:p>
      <w:pPr>
        <w:pStyle w:val="139"/>
        <w:widowControl w:val="0"/>
        <w:adjustRightInd w:val="0"/>
        <w:snapToGrid w:val="0"/>
        <w:spacing w:line="550" w:lineRule="exact"/>
        <w:ind w:firstLine="480" w:firstLineChars="200"/>
        <w:jc w:val="both"/>
        <w:rPr>
          <w:rFonts w:ascii="仿宋" w:hAnsi="仿宋" w:eastAsia="仿宋" w:cs="仿宋"/>
          <w:sz w:val="24"/>
          <w:szCs w:val="24"/>
        </w:rPr>
      </w:pPr>
      <w:r>
        <w:rPr>
          <w:rFonts w:hint="eastAsia" w:ascii="仿宋" w:hAnsi="仿宋" w:eastAsia="仿宋" w:cs="仿宋"/>
          <w:sz w:val="24"/>
          <w:szCs w:val="24"/>
        </w:rPr>
        <w:t>十二、不可抗力事件处理</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1、在合同有效期内，任何一方因不可抗力事件导致不能履行合同，则合同履行期可延长，其延长期与不可抗力影响期相同。</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2、不可抗力事件发生后，应立即通知对方，并寄送有关权威机构出具的证明。</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3、不可抗力事件延续120天以上，双方可通过友好协商，确定是否继续履行合同。</w:t>
      </w:r>
    </w:p>
    <w:p>
      <w:pPr>
        <w:pStyle w:val="139"/>
        <w:widowControl w:val="0"/>
        <w:adjustRightInd w:val="0"/>
        <w:snapToGrid w:val="0"/>
        <w:spacing w:line="550" w:lineRule="exact"/>
        <w:ind w:firstLine="480" w:firstLineChars="200"/>
        <w:jc w:val="both"/>
        <w:rPr>
          <w:rFonts w:ascii="仿宋" w:hAnsi="仿宋" w:eastAsia="仿宋" w:cs="仿宋"/>
          <w:sz w:val="24"/>
          <w:szCs w:val="24"/>
        </w:rPr>
      </w:pPr>
      <w:r>
        <w:rPr>
          <w:rFonts w:hint="eastAsia" w:ascii="仿宋" w:hAnsi="仿宋" w:eastAsia="仿宋" w:cs="仿宋"/>
          <w:sz w:val="24"/>
          <w:szCs w:val="24"/>
        </w:rPr>
        <w:t>十三、争议解决</w:t>
      </w:r>
    </w:p>
    <w:p>
      <w:pPr>
        <w:snapToGrid w:val="0"/>
        <w:spacing w:line="540" w:lineRule="exact"/>
        <w:ind w:firstLine="480" w:firstLineChars="200"/>
        <w:rPr>
          <w:rFonts w:ascii="仿宋" w:hAnsi="仿宋" w:eastAsia="仿宋" w:cs="仿宋"/>
          <w:sz w:val="24"/>
        </w:rPr>
      </w:pPr>
      <w:r>
        <w:rPr>
          <w:rFonts w:hint="eastAsia" w:ascii="仿宋" w:hAnsi="仿宋" w:eastAsia="仿宋" w:cs="仿宋"/>
          <w:sz w:val="24"/>
        </w:rPr>
        <w:t>在本合同履行过程中发生争议，双方应当协商解决，如协商不成，任何一方有权向甲方所在地人民法院诉讼解决。</w:t>
      </w:r>
    </w:p>
    <w:p>
      <w:pPr>
        <w:pStyle w:val="139"/>
        <w:widowControl w:val="0"/>
        <w:adjustRightInd w:val="0"/>
        <w:snapToGrid w:val="0"/>
        <w:spacing w:line="550" w:lineRule="exact"/>
        <w:ind w:firstLine="480" w:firstLineChars="200"/>
        <w:jc w:val="both"/>
        <w:rPr>
          <w:rFonts w:ascii="仿宋" w:hAnsi="仿宋" w:eastAsia="仿宋" w:cs="仿宋"/>
          <w:sz w:val="24"/>
          <w:szCs w:val="24"/>
        </w:rPr>
      </w:pPr>
      <w:r>
        <w:rPr>
          <w:rFonts w:hint="eastAsia" w:ascii="仿宋" w:hAnsi="仿宋" w:eastAsia="仿宋" w:cs="仿宋"/>
          <w:sz w:val="24"/>
          <w:szCs w:val="24"/>
        </w:rPr>
        <w:t>十四、合同生效及其它</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1、合同经双方法定代表人或授权代表签字并加盖单位公章后生效。</w:t>
      </w:r>
    </w:p>
    <w:p>
      <w:pPr>
        <w:tabs>
          <w:tab w:val="left" w:pos="0"/>
        </w:tabs>
        <w:snapToGrid w:val="0"/>
        <w:spacing w:line="550" w:lineRule="exact"/>
        <w:ind w:firstLine="480" w:firstLineChars="200"/>
        <w:rPr>
          <w:rFonts w:ascii="仿宋" w:hAnsi="仿宋" w:eastAsia="仿宋" w:cs="仿宋"/>
          <w:sz w:val="24"/>
        </w:rPr>
      </w:pPr>
      <w:r>
        <w:rPr>
          <w:rFonts w:hint="eastAsia" w:ascii="仿宋" w:hAnsi="仿宋" w:eastAsia="仿宋" w:cs="仿宋"/>
          <w:sz w:val="24"/>
        </w:rPr>
        <w:t>2、合同执行中涉及采购资金和采购内容修改或补充的，另行签订补充协议，方可作为主合同不可分割的一部分。</w:t>
      </w:r>
    </w:p>
    <w:p>
      <w:pPr>
        <w:tabs>
          <w:tab w:val="left" w:pos="0"/>
        </w:tabs>
        <w:snapToGrid w:val="0"/>
        <w:spacing w:line="550" w:lineRule="exact"/>
        <w:ind w:firstLine="480" w:firstLineChars="200"/>
        <w:rPr>
          <w:rFonts w:ascii="仿宋" w:hAnsi="仿宋" w:eastAsia="仿宋" w:cs="仿宋"/>
          <w:kern w:val="0"/>
          <w:sz w:val="24"/>
          <w:lang w:val="zh-CN"/>
        </w:rPr>
      </w:pPr>
      <w:r>
        <w:rPr>
          <w:rFonts w:hint="eastAsia" w:ascii="仿宋" w:hAnsi="仿宋" w:eastAsia="仿宋" w:cs="仿宋"/>
          <w:sz w:val="24"/>
        </w:rPr>
        <w:t>3、本合同正本一式捌份，具有同等法律效力，甲方执肆份、乙方执贰份、鉴证方执贰份。</w:t>
      </w:r>
      <w:r>
        <w:rPr>
          <w:rFonts w:hint="eastAsia" w:ascii="仿宋" w:hAnsi="仿宋" w:eastAsia="仿宋" w:cs="仿宋"/>
          <w:kern w:val="0"/>
          <w:sz w:val="24"/>
          <w:lang w:val="zh-CN"/>
        </w:rPr>
        <w:t>（以下无正文）</w:t>
      </w:r>
    </w:p>
    <w:p>
      <w:pPr>
        <w:widowControl/>
        <w:jc w:val="left"/>
        <w:rPr>
          <w:rFonts w:ascii="仿宋_GB2312" w:hAnsi="华文仿宋" w:eastAsia="仿宋_GB2312" w:cs="仿宋_GB2312"/>
          <w:sz w:val="32"/>
          <w:szCs w:val="32"/>
        </w:rPr>
      </w:pPr>
      <w:r>
        <w:rPr>
          <w:rFonts w:ascii="仿宋_GB2312" w:hAnsi="华文仿宋" w:eastAsia="仿宋_GB2312" w:cs="仿宋_GB2312"/>
          <w:sz w:val="32"/>
          <w:szCs w:val="32"/>
        </w:rPr>
        <w:br w:type="page"/>
      </w:r>
    </w:p>
    <w:tbl>
      <w:tblPr>
        <w:tblStyle w:val="64"/>
        <w:tblpPr w:leftFromText="180" w:rightFromText="180" w:vertAnchor="page" w:horzAnchor="margin" w:tblpXSpec="center" w:tblpY="2071"/>
        <w:tblW w:w="895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761"/>
        <w:gridCol w:w="2062"/>
        <w:gridCol w:w="1737"/>
        <w:gridCol w:w="826"/>
        <w:gridCol w:w="1574"/>
        <w:gridCol w:w="199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4" w:hRule="atLeast"/>
        </w:trPr>
        <w:tc>
          <w:tcPr>
            <w:tcW w:w="761" w:type="dxa"/>
            <w:vMerge w:val="restart"/>
            <w:textDirection w:val="tbRlV"/>
            <w:vAlign w:val="center"/>
          </w:tcPr>
          <w:p>
            <w:pPr>
              <w:spacing w:line="480" w:lineRule="exact"/>
              <w:jc w:val="center"/>
              <w:rPr>
                <w:rFonts w:ascii="仿宋" w:hAnsi="仿宋" w:eastAsia="仿宋" w:cs="仿宋"/>
                <w:spacing w:val="90"/>
                <w:sz w:val="24"/>
              </w:rPr>
            </w:pPr>
            <w:r>
              <w:rPr>
                <w:rFonts w:hint="eastAsia" w:ascii="仿宋" w:hAnsi="仿宋" w:eastAsia="仿宋" w:cs="仿宋"/>
                <w:spacing w:val="90"/>
                <w:sz w:val="24"/>
              </w:rPr>
              <w:t>委托人（甲方）</w:t>
            </w:r>
          </w:p>
        </w:tc>
        <w:tc>
          <w:tcPr>
            <w:tcW w:w="2062" w:type="dxa"/>
            <w:vAlign w:val="center"/>
          </w:tcPr>
          <w:p>
            <w:pPr>
              <w:spacing w:line="480" w:lineRule="exact"/>
              <w:jc w:val="center"/>
              <w:rPr>
                <w:rFonts w:ascii="仿宋" w:hAnsi="仿宋" w:eastAsia="仿宋" w:cs="仿宋"/>
                <w:sz w:val="24"/>
              </w:rPr>
            </w:pPr>
            <w:r>
              <w:rPr>
                <w:rFonts w:hint="eastAsia" w:ascii="仿宋" w:hAnsi="仿宋" w:eastAsia="仿宋" w:cs="仿宋"/>
                <w:sz w:val="24"/>
              </w:rPr>
              <w:t>名称（或姓名）</w:t>
            </w:r>
          </w:p>
        </w:tc>
        <w:tc>
          <w:tcPr>
            <w:tcW w:w="4136" w:type="dxa"/>
            <w:gridSpan w:val="3"/>
            <w:vAlign w:val="center"/>
          </w:tcPr>
          <w:p>
            <w:pPr>
              <w:spacing w:line="480" w:lineRule="exact"/>
              <w:rPr>
                <w:rFonts w:ascii="仿宋" w:hAnsi="仿宋" w:eastAsia="仿宋" w:cs="仿宋"/>
                <w:sz w:val="24"/>
              </w:rPr>
            </w:pPr>
            <w:r>
              <w:rPr>
                <w:rFonts w:hint="eastAsia" w:ascii="仿宋" w:hAnsi="仿宋" w:eastAsia="仿宋" w:cs="仿宋"/>
                <w:sz w:val="24"/>
              </w:rPr>
              <w:t>（签章）</w:t>
            </w:r>
          </w:p>
        </w:tc>
        <w:tc>
          <w:tcPr>
            <w:tcW w:w="1998" w:type="dxa"/>
            <w:vMerge w:val="restart"/>
          </w:tcPr>
          <w:p>
            <w:pPr>
              <w:spacing w:line="480" w:lineRule="exact"/>
              <w:rPr>
                <w:rFonts w:ascii="仿宋" w:hAnsi="仿宋" w:eastAsia="仿宋" w:cs="仿宋"/>
                <w:spacing w:val="-8"/>
                <w:sz w:val="24"/>
              </w:rPr>
            </w:pPr>
            <w:r>
              <w:rPr>
                <w:rFonts w:hint="eastAsia" w:ascii="仿宋" w:hAnsi="仿宋" w:eastAsia="仿宋" w:cs="仿宋"/>
                <w:spacing w:val="-8"/>
                <w:sz w:val="24"/>
              </w:rPr>
              <w:t>技术合同专用章</w:t>
            </w:r>
          </w:p>
          <w:p>
            <w:pPr>
              <w:spacing w:line="480" w:lineRule="exact"/>
              <w:jc w:val="center"/>
              <w:rPr>
                <w:rFonts w:ascii="仿宋" w:hAnsi="仿宋" w:eastAsia="仿宋" w:cs="仿宋"/>
                <w:sz w:val="24"/>
              </w:rPr>
            </w:pPr>
            <w:r>
              <w:rPr>
                <w:rFonts w:hint="eastAsia" w:ascii="仿宋" w:hAnsi="仿宋" w:eastAsia="仿宋" w:cs="仿宋"/>
                <w:sz w:val="24"/>
              </w:rPr>
              <w:t>或</w:t>
            </w:r>
          </w:p>
          <w:p>
            <w:pPr>
              <w:spacing w:line="480" w:lineRule="exact"/>
              <w:jc w:val="center"/>
              <w:rPr>
                <w:rFonts w:ascii="仿宋" w:hAnsi="仿宋" w:eastAsia="仿宋" w:cs="仿宋"/>
                <w:spacing w:val="10"/>
                <w:sz w:val="24"/>
              </w:rPr>
            </w:pPr>
            <w:r>
              <w:rPr>
                <w:rFonts w:hint="eastAsia" w:ascii="仿宋" w:hAnsi="仿宋" w:eastAsia="仿宋" w:cs="仿宋"/>
                <w:spacing w:val="10"/>
                <w:sz w:val="24"/>
              </w:rPr>
              <w:t>单位公章</w:t>
            </w:r>
          </w:p>
          <w:p>
            <w:pPr>
              <w:spacing w:line="480" w:lineRule="exact"/>
              <w:jc w:val="center"/>
              <w:rPr>
                <w:rFonts w:ascii="仿宋" w:hAnsi="仿宋" w:eastAsia="仿宋" w:cs="仿宋"/>
                <w:spacing w:val="10"/>
                <w:sz w:val="24"/>
              </w:rPr>
            </w:pPr>
          </w:p>
          <w:p>
            <w:pPr>
              <w:spacing w:line="480" w:lineRule="exact"/>
              <w:jc w:val="center"/>
              <w:rPr>
                <w:rFonts w:ascii="仿宋" w:hAnsi="仿宋" w:eastAsia="仿宋" w:cs="仿宋"/>
                <w:spacing w:val="10"/>
                <w:sz w:val="24"/>
              </w:rPr>
            </w:pPr>
          </w:p>
          <w:p>
            <w:pPr>
              <w:spacing w:line="480" w:lineRule="exact"/>
              <w:jc w:val="center"/>
              <w:rPr>
                <w:rFonts w:ascii="仿宋" w:hAnsi="仿宋" w:eastAsia="仿宋" w:cs="仿宋"/>
                <w:spacing w:val="10"/>
                <w:sz w:val="24"/>
              </w:rPr>
            </w:pPr>
          </w:p>
          <w:p>
            <w:pPr>
              <w:spacing w:line="480" w:lineRule="exact"/>
              <w:jc w:val="center"/>
              <w:rPr>
                <w:rFonts w:ascii="仿宋" w:hAnsi="仿宋" w:eastAsia="仿宋" w:cs="仿宋"/>
                <w:spacing w:val="10"/>
                <w:sz w:val="24"/>
              </w:rPr>
            </w:pPr>
          </w:p>
          <w:p>
            <w:pPr>
              <w:spacing w:line="480" w:lineRule="exact"/>
              <w:ind w:firstLine="570" w:firstLineChars="250"/>
              <w:rPr>
                <w:rFonts w:ascii="仿宋" w:hAnsi="仿宋" w:eastAsia="仿宋" w:cs="仿宋"/>
                <w:spacing w:val="-6"/>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22" w:hRule="atLeast"/>
        </w:trPr>
        <w:tc>
          <w:tcPr>
            <w:tcW w:w="761" w:type="dxa"/>
            <w:vMerge w:val="continue"/>
          </w:tcPr>
          <w:p>
            <w:pPr>
              <w:spacing w:line="480" w:lineRule="exact"/>
              <w:rPr>
                <w:rFonts w:ascii="仿宋" w:hAnsi="仿宋" w:eastAsia="仿宋" w:cs="仿宋"/>
                <w:sz w:val="24"/>
              </w:rPr>
            </w:pPr>
          </w:p>
        </w:tc>
        <w:tc>
          <w:tcPr>
            <w:tcW w:w="2062" w:type="dxa"/>
            <w:vAlign w:val="center"/>
          </w:tcPr>
          <w:p>
            <w:pPr>
              <w:spacing w:line="480" w:lineRule="exact"/>
              <w:jc w:val="center"/>
              <w:rPr>
                <w:rFonts w:ascii="仿宋" w:hAnsi="仿宋" w:eastAsia="仿宋" w:cs="仿宋"/>
                <w:sz w:val="24"/>
              </w:rPr>
            </w:pPr>
            <w:r>
              <w:rPr>
                <w:rFonts w:hint="eastAsia" w:ascii="仿宋" w:hAnsi="仿宋" w:eastAsia="仿宋" w:cs="仿宋"/>
                <w:sz w:val="24"/>
              </w:rPr>
              <w:t>法定代表人或受委托人</w:t>
            </w:r>
          </w:p>
        </w:tc>
        <w:tc>
          <w:tcPr>
            <w:tcW w:w="4136" w:type="dxa"/>
            <w:gridSpan w:val="3"/>
            <w:vAlign w:val="center"/>
          </w:tcPr>
          <w:p>
            <w:pPr>
              <w:spacing w:line="480" w:lineRule="exact"/>
              <w:rPr>
                <w:rFonts w:ascii="仿宋" w:hAnsi="仿宋" w:eastAsia="仿宋" w:cs="仿宋"/>
                <w:sz w:val="24"/>
              </w:rPr>
            </w:pPr>
            <w:r>
              <w:rPr>
                <w:rFonts w:hint="eastAsia" w:ascii="仿宋" w:hAnsi="仿宋" w:eastAsia="仿宋" w:cs="仿宋"/>
                <w:sz w:val="24"/>
              </w:rPr>
              <w:t>（签章）</w:t>
            </w:r>
          </w:p>
        </w:tc>
        <w:tc>
          <w:tcPr>
            <w:tcW w:w="1998" w:type="dxa"/>
            <w:vMerge w:val="continue"/>
          </w:tcPr>
          <w:p>
            <w:pPr>
              <w:spacing w:line="480" w:lineRule="exact"/>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8" w:hRule="atLeast"/>
        </w:trPr>
        <w:tc>
          <w:tcPr>
            <w:tcW w:w="761" w:type="dxa"/>
            <w:vMerge w:val="continue"/>
          </w:tcPr>
          <w:p>
            <w:pPr>
              <w:spacing w:line="480" w:lineRule="exact"/>
              <w:rPr>
                <w:rFonts w:ascii="仿宋" w:hAnsi="仿宋" w:eastAsia="仿宋" w:cs="仿宋"/>
                <w:sz w:val="24"/>
              </w:rPr>
            </w:pPr>
          </w:p>
        </w:tc>
        <w:tc>
          <w:tcPr>
            <w:tcW w:w="2062" w:type="dxa"/>
            <w:vAlign w:val="center"/>
          </w:tcPr>
          <w:p>
            <w:pPr>
              <w:spacing w:line="480" w:lineRule="exact"/>
              <w:jc w:val="center"/>
              <w:rPr>
                <w:rFonts w:ascii="仿宋" w:hAnsi="仿宋" w:eastAsia="仿宋" w:cs="仿宋"/>
                <w:sz w:val="24"/>
              </w:rPr>
            </w:pPr>
            <w:r>
              <w:rPr>
                <w:rFonts w:hint="eastAsia" w:ascii="仿宋" w:hAnsi="仿宋" w:eastAsia="仿宋" w:cs="仿宋"/>
                <w:sz w:val="24"/>
              </w:rPr>
              <w:t>联系（经办人）</w:t>
            </w:r>
          </w:p>
        </w:tc>
        <w:tc>
          <w:tcPr>
            <w:tcW w:w="4136" w:type="dxa"/>
            <w:gridSpan w:val="3"/>
            <w:vAlign w:val="center"/>
          </w:tcPr>
          <w:p>
            <w:pPr>
              <w:spacing w:line="480" w:lineRule="exact"/>
              <w:rPr>
                <w:rFonts w:ascii="仿宋" w:hAnsi="仿宋" w:eastAsia="仿宋" w:cs="仿宋"/>
                <w:sz w:val="24"/>
              </w:rPr>
            </w:pPr>
            <w:r>
              <w:rPr>
                <w:rFonts w:hint="eastAsia" w:ascii="仿宋" w:hAnsi="仿宋" w:eastAsia="仿宋" w:cs="仿宋"/>
                <w:sz w:val="24"/>
              </w:rPr>
              <w:t>（签章）</w:t>
            </w:r>
          </w:p>
        </w:tc>
        <w:tc>
          <w:tcPr>
            <w:tcW w:w="1998" w:type="dxa"/>
            <w:vMerge w:val="continue"/>
          </w:tcPr>
          <w:p>
            <w:pPr>
              <w:spacing w:line="480" w:lineRule="exact"/>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22" w:hRule="atLeast"/>
        </w:trPr>
        <w:tc>
          <w:tcPr>
            <w:tcW w:w="761" w:type="dxa"/>
            <w:vMerge w:val="continue"/>
          </w:tcPr>
          <w:p>
            <w:pPr>
              <w:spacing w:line="480" w:lineRule="exact"/>
              <w:rPr>
                <w:rFonts w:ascii="仿宋" w:hAnsi="仿宋" w:eastAsia="仿宋" w:cs="仿宋"/>
                <w:sz w:val="24"/>
              </w:rPr>
            </w:pPr>
          </w:p>
        </w:tc>
        <w:tc>
          <w:tcPr>
            <w:tcW w:w="2062" w:type="dxa"/>
            <w:vAlign w:val="center"/>
          </w:tcPr>
          <w:p>
            <w:pPr>
              <w:spacing w:line="480" w:lineRule="exact"/>
              <w:jc w:val="center"/>
              <w:rPr>
                <w:rFonts w:ascii="仿宋" w:hAnsi="仿宋" w:eastAsia="仿宋" w:cs="仿宋"/>
                <w:spacing w:val="34"/>
                <w:sz w:val="24"/>
              </w:rPr>
            </w:pPr>
            <w:r>
              <w:rPr>
                <w:rFonts w:hint="eastAsia" w:ascii="仿宋" w:hAnsi="仿宋" w:eastAsia="仿宋" w:cs="仿宋"/>
                <w:spacing w:val="34"/>
                <w:sz w:val="24"/>
              </w:rPr>
              <w:t>住所</w:t>
            </w:r>
          </w:p>
          <w:p>
            <w:pPr>
              <w:spacing w:line="480" w:lineRule="exact"/>
              <w:jc w:val="center"/>
              <w:rPr>
                <w:rFonts w:ascii="仿宋" w:hAnsi="仿宋" w:eastAsia="仿宋" w:cs="仿宋"/>
                <w:spacing w:val="16"/>
                <w:sz w:val="24"/>
              </w:rPr>
            </w:pPr>
            <w:r>
              <w:rPr>
                <w:rFonts w:hint="eastAsia" w:ascii="仿宋" w:hAnsi="仿宋" w:eastAsia="仿宋" w:cs="仿宋"/>
                <w:spacing w:val="16"/>
                <w:sz w:val="24"/>
              </w:rPr>
              <w:t>（通讯地址）</w:t>
            </w:r>
          </w:p>
        </w:tc>
        <w:tc>
          <w:tcPr>
            <w:tcW w:w="1737" w:type="dxa"/>
          </w:tcPr>
          <w:p>
            <w:pPr>
              <w:spacing w:line="480" w:lineRule="exact"/>
              <w:rPr>
                <w:rFonts w:ascii="仿宋" w:hAnsi="仿宋" w:eastAsia="仿宋" w:cs="仿宋"/>
                <w:sz w:val="24"/>
              </w:rPr>
            </w:pPr>
          </w:p>
        </w:tc>
        <w:tc>
          <w:tcPr>
            <w:tcW w:w="826" w:type="dxa"/>
            <w:vAlign w:val="center"/>
          </w:tcPr>
          <w:p>
            <w:pPr>
              <w:spacing w:line="480" w:lineRule="exact"/>
              <w:jc w:val="center"/>
              <w:rPr>
                <w:rFonts w:ascii="仿宋" w:hAnsi="仿宋" w:eastAsia="仿宋" w:cs="仿宋"/>
                <w:spacing w:val="8"/>
                <w:sz w:val="24"/>
              </w:rPr>
            </w:pPr>
            <w:r>
              <w:rPr>
                <w:rFonts w:hint="eastAsia" w:ascii="仿宋" w:hAnsi="仿宋" w:eastAsia="仿宋" w:cs="仿宋"/>
                <w:spacing w:val="8"/>
                <w:sz w:val="24"/>
              </w:rPr>
              <w:t>邮政编码</w:t>
            </w:r>
          </w:p>
        </w:tc>
        <w:tc>
          <w:tcPr>
            <w:tcW w:w="1574" w:type="dxa"/>
          </w:tcPr>
          <w:p>
            <w:pPr>
              <w:spacing w:line="480" w:lineRule="exact"/>
              <w:rPr>
                <w:rFonts w:ascii="仿宋" w:hAnsi="仿宋" w:eastAsia="仿宋" w:cs="仿宋"/>
                <w:sz w:val="24"/>
              </w:rPr>
            </w:pPr>
          </w:p>
        </w:tc>
        <w:tc>
          <w:tcPr>
            <w:tcW w:w="1998" w:type="dxa"/>
            <w:vMerge w:val="continue"/>
          </w:tcPr>
          <w:p>
            <w:pPr>
              <w:spacing w:line="480" w:lineRule="exact"/>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90" w:hRule="atLeast"/>
        </w:trPr>
        <w:tc>
          <w:tcPr>
            <w:tcW w:w="761" w:type="dxa"/>
            <w:vMerge w:val="continue"/>
          </w:tcPr>
          <w:p>
            <w:pPr>
              <w:spacing w:line="480" w:lineRule="exact"/>
              <w:rPr>
                <w:rFonts w:ascii="仿宋" w:hAnsi="仿宋" w:eastAsia="仿宋" w:cs="仿宋"/>
                <w:sz w:val="24"/>
              </w:rPr>
            </w:pPr>
          </w:p>
        </w:tc>
        <w:tc>
          <w:tcPr>
            <w:tcW w:w="2062" w:type="dxa"/>
            <w:vAlign w:val="center"/>
          </w:tcPr>
          <w:p>
            <w:pPr>
              <w:spacing w:line="480" w:lineRule="exact"/>
              <w:jc w:val="center"/>
              <w:rPr>
                <w:rFonts w:ascii="仿宋" w:hAnsi="仿宋" w:eastAsia="仿宋" w:cs="仿宋"/>
                <w:spacing w:val="28"/>
                <w:sz w:val="24"/>
              </w:rPr>
            </w:pPr>
            <w:r>
              <w:rPr>
                <w:rFonts w:hint="eastAsia" w:ascii="仿宋" w:hAnsi="仿宋" w:eastAsia="仿宋" w:cs="仿宋"/>
                <w:spacing w:val="28"/>
                <w:sz w:val="24"/>
              </w:rPr>
              <w:t>电话</w:t>
            </w:r>
          </w:p>
        </w:tc>
        <w:tc>
          <w:tcPr>
            <w:tcW w:w="1737" w:type="dxa"/>
          </w:tcPr>
          <w:p>
            <w:pPr>
              <w:spacing w:line="480" w:lineRule="exact"/>
              <w:rPr>
                <w:rFonts w:ascii="仿宋" w:hAnsi="仿宋" w:eastAsia="仿宋" w:cs="仿宋"/>
                <w:sz w:val="24"/>
              </w:rPr>
            </w:pPr>
          </w:p>
        </w:tc>
        <w:tc>
          <w:tcPr>
            <w:tcW w:w="826" w:type="dxa"/>
            <w:vAlign w:val="center"/>
          </w:tcPr>
          <w:p>
            <w:pPr>
              <w:spacing w:line="480" w:lineRule="exact"/>
              <w:jc w:val="center"/>
              <w:rPr>
                <w:rFonts w:ascii="仿宋" w:hAnsi="仿宋" w:eastAsia="仿宋" w:cs="仿宋"/>
                <w:sz w:val="24"/>
              </w:rPr>
            </w:pPr>
            <w:r>
              <w:rPr>
                <w:rFonts w:hint="eastAsia" w:ascii="仿宋" w:hAnsi="仿宋" w:eastAsia="仿宋" w:cs="仿宋"/>
                <w:sz w:val="24"/>
              </w:rPr>
              <w:t>传真</w:t>
            </w:r>
          </w:p>
        </w:tc>
        <w:tc>
          <w:tcPr>
            <w:tcW w:w="1574" w:type="dxa"/>
          </w:tcPr>
          <w:p>
            <w:pPr>
              <w:spacing w:line="480" w:lineRule="exact"/>
              <w:rPr>
                <w:rFonts w:ascii="仿宋" w:hAnsi="仿宋" w:eastAsia="仿宋" w:cs="仿宋"/>
                <w:sz w:val="24"/>
              </w:rPr>
            </w:pPr>
          </w:p>
        </w:tc>
        <w:tc>
          <w:tcPr>
            <w:tcW w:w="1998" w:type="dxa"/>
            <w:vMerge w:val="continue"/>
          </w:tcPr>
          <w:p>
            <w:pPr>
              <w:spacing w:line="480" w:lineRule="exact"/>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22" w:hRule="atLeast"/>
        </w:trPr>
        <w:tc>
          <w:tcPr>
            <w:tcW w:w="761" w:type="dxa"/>
            <w:vMerge w:val="restart"/>
            <w:textDirection w:val="tbRlV"/>
            <w:vAlign w:val="center"/>
          </w:tcPr>
          <w:p>
            <w:pPr>
              <w:spacing w:line="480" w:lineRule="exact"/>
              <w:jc w:val="center"/>
              <w:rPr>
                <w:rFonts w:ascii="仿宋" w:hAnsi="仿宋" w:eastAsia="仿宋" w:cs="仿宋"/>
                <w:spacing w:val="42"/>
                <w:sz w:val="24"/>
              </w:rPr>
            </w:pPr>
            <w:r>
              <w:rPr>
                <w:rFonts w:hint="eastAsia" w:ascii="仿宋" w:hAnsi="仿宋" w:eastAsia="仿宋" w:cs="仿宋"/>
                <w:spacing w:val="42"/>
                <w:sz w:val="24"/>
              </w:rPr>
              <w:t>受托人（乙方）</w:t>
            </w:r>
          </w:p>
        </w:tc>
        <w:tc>
          <w:tcPr>
            <w:tcW w:w="2062" w:type="dxa"/>
            <w:vAlign w:val="center"/>
          </w:tcPr>
          <w:p>
            <w:pPr>
              <w:spacing w:line="480" w:lineRule="exact"/>
              <w:jc w:val="center"/>
              <w:rPr>
                <w:rFonts w:ascii="仿宋" w:hAnsi="仿宋" w:eastAsia="仿宋" w:cs="仿宋"/>
                <w:sz w:val="24"/>
              </w:rPr>
            </w:pPr>
            <w:r>
              <w:rPr>
                <w:rFonts w:hint="eastAsia" w:ascii="仿宋" w:hAnsi="仿宋" w:eastAsia="仿宋" w:cs="仿宋"/>
                <w:sz w:val="24"/>
              </w:rPr>
              <w:t>名称（或姓名）</w:t>
            </w:r>
          </w:p>
        </w:tc>
        <w:tc>
          <w:tcPr>
            <w:tcW w:w="4136" w:type="dxa"/>
            <w:gridSpan w:val="3"/>
            <w:vAlign w:val="center"/>
          </w:tcPr>
          <w:p>
            <w:pPr>
              <w:spacing w:line="480" w:lineRule="exact"/>
              <w:rPr>
                <w:rFonts w:ascii="仿宋" w:hAnsi="仿宋" w:eastAsia="仿宋" w:cs="仿宋"/>
                <w:sz w:val="24"/>
              </w:rPr>
            </w:pPr>
            <w:r>
              <w:rPr>
                <w:rFonts w:hint="eastAsia" w:ascii="仿宋" w:hAnsi="仿宋" w:eastAsia="仿宋" w:cs="仿宋"/>
                <w:sz w:val="24"/>
              </w:rPr>
              <w:t>（签章）</w:t>
            </w:r>
          </w:p>
        </w:tc>
        <w:tc>
          <w:tcPr>
            <w:tcW w:w="1998" w:type="dxa"/>
            <w:vMerge w:val="restart"/>
          </w:tcPr>
          <w:p>
            <w:pPr>
              <w:spacing w:line="480" w:lineRule="exact"/>
              <w:rPr>
                <w:rFonts w:ascii="仿宋" w:hAnsi="仿宋" w:eastAsia="仿宋" w:cs="仿宋"/>
                <w:spacing w:val="-8"/>
                <w:sz w:val="24"/>
              </w:rPr>
            </w:pPr>
            <w:r>
              <w:rPr>
                <w:rFonts w:hint="eastAsia" w:ascii="仿宋" w:hAnsi="仿宋" w:eastAsia="仿宋" w:cs="仿宋"/>
                <w:spacing w:val="-8"/>
                <w:sz w:val="24"/>
              </w:rPr>
              <w:t>技术合同专用章</w:t>
            </w:r>
          </w:p>
          <w:p>
            <w:pPr>
              <w:spacing w:line="480" w:lineRule="exact"/>
              <w:jc w:val="center"/>
              <w:rPr>
                <w:rFonts w:ascii="仿宋" w:hAnsi="仿宋" w:eastAsia="仿宋" w:cs="仿宋"/>
                <w:sz w:val="24"/>
              </w:rPr>
            </w:pPr>
            <w:r>
              <w:rPr>
                <w:rFonts w:hint="eastAsia" w:ascii="仿宋" w:hAnsi="仿宋" w:eastAsia="仿宋" w:cs="仿宋"/>
                <w:sz w:val="24"/>
              </w:rPr>
              <w:t>或</w:t>
            </w:r>
          </w:p>
          <w:p>
            <w:pPr>
              <w:spacing w:line="480" w:lineRule="exact"/>
              <w:jc w:val="center"/>
              <w:rPr>
                <w:rFonts w:ascii="仿宋" w:hAnsi="仿宋" w:eastAsia="仿宋" w:cs="仿宋"/>
                <w:spacing w:val="10"/>
                <w:sz w:val="24"/>
              </w:rPr>
            </w:pPr>
            <w:r>
              <w:rPr>
                <w:rFonts w:hint="eastAsia" w:ascii="仿宋" w:hAnsi="仿宋" w:eastAsia="仿宋" w:cs="仿宋"/>
                <w:spacing w:val="10"/>
                <w:sz w:val="24"/>
              </w:rPr>
              <w:t>单位公章</w:t>
            </w:r>
          </w:p>
          <w:p>
            <w:pPr>
              <w:spacing w:line="480" w:lineRule="exact"/>
              <w:rPr>
                <w:rFonts w:ascii="仿宋" w:hAnsi="仿宋" w:eastAsia="仿宋" w:cs="仿宋"/>
                <w:sz w:val="24"/>
              </w:rPr>
            </w:pPr>
          </w:p>
          <w:p>
            <w:pPr>
              <w:spacing w:line="480" w:lineRule="exact"/>
              <w:rPr>
                <w:rFonts w:ascii="仿宋" w:hAnsi="仿宋" w:eastAsia="仿宋" w:cs="仿宋"/>
                <w:sz w:val="24"/>
              </w:rPr>
            </w:pPr>
          </w:p>
          <w:p>
            <w:pPr>
              <w:spacing w:line="480" w:lineRule="exact"/>
              <w:rPr>
                <w:rFonts w:ascii="仿宋" w:hAnsi="仿宋" w:eastAsia="仿宋" w:cs="仿宋"/>
                <w:sz w:val="24"/>
              </w:rPr>
            </w:pPr>
          </w:p>
          <w:p>
            <w:pPr>
              <w:spacing w:line="480" w:lineRule="exact"/>
              <w:rPr>
                <w:rFonts w:ascii="仿宋" w:hAnsi="仿宋" w:eastAsia="仿宋" w:cs="仿宋"/>
                <w:sz w:val="24"/>
              </w:rPr>
            </w:pPr>
          </w:p>
          <w:p>
            <w:pPr>
              <w:spacing w:line="480" w:lineRule="exact"/>
              <w:rPr>
                <w:rFonts w:ascii="仿宋" w:hAnsi="仿宋" w:eastAsia="仿宋" w:cs="仿宋"/>
                <w:sz w:val="24"/>
              </w:rPr>
            </w:pPr>
          </w:p>
          <w:p>
            <w:pPr>
              <w:spacing w:line="480" w:lineRule="exact"/>
              <w:rPr>
                <w:rFonts w:ascii="仿宋" w:hAnsi="仿宋" w:eastAsia="仿宋" w:cs="仿宋"/>
                <w:sz w:val="24"/>
              </w:rPr>
            </w:pPr>
          </w:p>
          <w:p>
            <w:pPr>
              <w:spacing w:line="480" w:lineRule="exact"/>
              <w:rPr>
                <w:rFonts w:ascii="仿宋" w:hAnsi="仿宋" w:eastAsia="仿宋" w:cs="仿宋"/>
                <w:sz w:val="24"/>
              </w:rPr>
            </w:pPr>
          </w:p>
          <w:p>
            <w:pPr>
              <w:spacing w:line="480" w:lineRule="exact"/>
              <w:ind w:firstLine="600" w:firstLineChars="250"/>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4" w:hRule="atLeast"/>
        </w:trPr>
        <w:tc>
          <w:tcPr>
            <w:tcW w:w="761" w:type="dxa"/>
            <w:vMerge w:val="continue"/>
          </w:tcPr>
          <w:p>
            <w:pPr>
              <w:spacing w:line="480" w:lineRule="exact"/>
              <w:rPr>
                <w:rFonts w:ascii="仿宋" w:hAnsi="仿宋" w:eastAsia="仿宋" w:cs="仿宋"/>
                <w:sz w:val="24"/>
              </w:rPr>
            </w:pPr>
          </w:p>
        </w:tc>
        <w:tc>
          <w:tcPr>
            <w:tcW w:w="2062" w:type="dxa"/>
            <w:vAlign w:val="center"/>
          </w:tcPr>
          <w:p>
            <w:pPr>
              <w:spacing w:line="480" w:lineRule="exact"/>
              <w:jc w:val="center"/>
              <w:rPr>
                <w:rFonts w:ascii="仿宋" w:hAnsi="仿宋" w:eastAsia="仿宋" w:cs="仿宋"/>
                <w:sz w:val="24"/>
              </w:rPr>
            </w:pPr>
            <w:r>
              <w:rPr>
                <w:rFonts w:hint="eastAsia" w:ascii="仿宋" w:hAnsi="仿宋" w:eastAsia="仿宋" w:cs="仿宋"/>
                <w:sz w:val="24"/>
              </w:rPr>
              <w:t>法定代表人或受委托人</w:t>
            </w:r>
          </w:p>
        </w:tc>
        <w:tc>
          <w:tcPr>
            <w:tcW w:w="4136" w:type="dxa"/>
            <w:gridSpan w:val="3"/>
            <w:vAlign w:val="center"/>
          </w:tcPr>
          <w:p>
            <w:pPr>
              <w:spacing w:line="480" w:lineRule="exact"/>
              <w:rPr>
                <w:rFonts w:ascii="仿宋" w:hAnsi="仿宋" w:eastAsia="仿宋" w:cs="仿宋"/>
                <w:sz w:val="24"/>
              </w:rPr>
            </w:pPr>
            <w:r>
              <w:rPr>
                <w:rFonts w:hint="eastAsia" w:ascii="仿宋" w:hAnsi="仿宋" w:eastAsia="仿宋" w:cs="仿宋"/>
                <w:sz w:val="24"/>
              </w:rPr>
              <w:t>（签章）</w:t>
            </w:r>
          </w:p>
        </w:tc>
        <w:tc>
          <w:tcPr>
            <w:tcW w:w="1998" w:type="dxa"/>
            <w:vMerge w:val="continue"/>
          </w:tcPr>
          <w:p>
            <w:pPr>
              <w:spacing w:line="480" w:lineRule="exact"/>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22" w:hRule="atLeast"/>
        </w:trPr>
        <w:tc>
          <w:tcPr>
            <w:tcW w:w="761" w:type="dxa"/>
            <w:vMerge w:val="continue"/>
          </w:tcPr>
          <w:p>
            <w:pPr>
              <w:spacing w:line="480" w:lineRule="exact"/>
              <w:rPr>
                <w:rFonts w:ascii="仿宋" w:hAnsi="仿宋" w:eastAsia="仿宋" w:cs="仿宋"/>
                <w:sz w:val="24"/>
              </w:rPr>
            </w:pPr>
          </w:p>
        </w:tc>
        <w:tc>
          <w:tcPr>
            <w:tcW w:w="2062" w:type="dxa"/>
            <w:vAlign w:val="center"/>
          </w:tcPr>
          <w:p>
            <w:pPr>
              <w:spacing w:line="480" w:lineRule="exact"/>
              <w:jc w:val="center"/>
              <w:rPr>
                <w:rFonts w:ascii="仿宋" w:hAnsi="仿宋" w:eastAsia="仿宋" w:cs="仿宋"/>
                <w:sz w:val="24"/>
              </w:rPr>
            </w:pPr>
            <w:r>
              <w:rPr>
                <w:rFonts w:hint="eastAsia" w:ascii="仿宋" w:hAnsi="仿宋" w:eastAsia="仿宋" w:cs="仿宋"/>
                <w:sz w:val="24"/>
              </w:rPr>
              <w:t>联系（经办人）</w:t>
            </w:r>
          </w:p>
        </w:tc>
        <w:tc>
          <w:tcPr>
            <w:tcW w:w="4136" w:type="dxa"/>
            <w:gridSpan w:val="3"/>
            <w:vAlign w:val="center"/>
          </w:tcPr>
          <w:p>
            <w:pPr>
              <w:spacing w:line="480" w:lineRule="exact"/>
              <w:rPr>
                <w:rFonts w:ascii="仿宋" w:hAnsi="仿宋" w:eastAsia="仿宋" w:cs="仿宋"/>
                <w:sz w:val="24"/>
              </w:rPr>
            </w:pPr>
            <w:r>
              <w:rPr>
                <w:rFonts w:hint="eastAsia" w:ascii="仿宋" w:hAnsi="仿宋" w:eastAsia="仿宋" w:cs="仿宋"/>
                <w:sz w:val="24"/>
              </w:rPr>
              <w:t>（签章）</w:t>
            </w:r>
          </w:p>
        </w:tc>
        <w:tc>
          <w:tcPr>
            <w:tcW w:w="1998" w:type="dxa"/>
            <w:vMerge w:val="continue"/>
          </w:tcPr>
          <w:p>
            <w:pPr>
              <w:spacing w:line="480" w:lineRule="exact"/>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794" w:hRule="atLeast"/>
        </w:trPr>
        <w:tc>
          <w:tcPr>
            <w:tcW w:w="761" w:type="dxa"/>
            <w:vMerge w:val="continue"/>
          </w:tcPr>
          <w:p>
            <w:pPr>
              <w:spacing w:line="480" w:lineRule="exact"/>
              <w:rPr>
                <w:rFonts w:ascii="仿宋" w:hAnsi="仿宋" w:eastAsia="仿宋" w:cs="仿宋"/>
                <w:sz w:val="24"/>
              </w:rPr>
            </w:pPr>
          </w:p>
        </w:tc>
        <w:tc>
          <w:tcPr>
            <w:tcW w:w="2062" w:type="dxa"/>
            <w:vAlign w:val="center"/>
          </w:tcPr>
          <w:p>
            <w:pPr>
              <w:spacing w:line="480" w:lineRule="exact"/>
              <w:jc w:val="center"/>
              <w:rPr>
                <w:rFonts w:ascii="仿宋" w:hAnsi="仿宋" w:eastAsia="仿宋" w:cs="仿宋"/>
                <w:spacing w:val="34"/>
                <w:sz w:val="24"/>
              </w:rPr>
            </w:pPr>
            <w:r>
              <w:rPr>
                <w:rFonts w:hint="eastAsia" w:ascii="仿宋" w:hAnsi="仿宋" w:eastAsia="仿宋" w:cs="仿宋"/>
                <w:spacing w:val="34"/>
                <w:sz w:val="24"/>
              </w:rPr>
              <w:t>住所</w:t>
            </w:r>
          </w:p>
          <w:p>
            <w:pPr>
              <w:spacing w:line="480" w:lineRule="exact"/>
              <w:jc w:val="center"/>
              <w:rPr>
                <w:rFonts w:ascii="仿宋" w:hAnsi="仿宋" w:eastAsia="仿宋" w:cs="仿宋"/>
                <w:sz w:val="24"/>
              </w:rPr>
            </w:pPr>
            <w:r>
              <w:rPr>
                <w:rFonts w:hint="eastAsia" w:ascii="仿宋" w:hAnsi="仿宋" w:eastAsia="仿宋" w:cs="仿宋"/>
                <w:spacing w:val="16"/>
                <w:sz w:val="24"/>
              </w:rPr>
              <w:t>（通讯地址）</w:t>
            </w:r>
          </w:p>
        </w:tc>
        <w:tc>
          <w:tcPr>
            <w:tcW w:w="1737" w:type="dxa"/>
          </w:tcPr>
          <w:p>
            <w:pPr>
              <w:spacing w:line="480" w:lineRule="exact"/>
              <w:rPr>
                <w:rFonts w:ascii="仿宋" w:hAnsi="仿宋" w:eastAsia="仿宋" w:cs="仿宋"/>
                <w:sz w:val="24"/>
              </w:rPr>
            </w:pPr>
          </w:p>
        </w:tc>
        <w:tc>
          <w:tcPr>
            <w:tcW w:w="826" w:type="dxa"/>
            <w:vAlign w:val="center"/>
          </w:tcPr>
          <w:p>
            <w:pPr>
              <w:spacing w:line="480" w:lineRule="exact"/>
              <w:jc w:val="center"/>
              <w:rPr>
                <w:rFonts w:ascii="仿宋" w:hAnsi="仿宋" w:eastAsia="仿宋" w:cs="仿宋"/>
                <w:sz w:val="24"/>
              </w:rPr>
            </w:pPr>
            <w:r>
              <w:rPr>
                <w:rFonts w:hint="eastAsia" w:ascii="仿宋" w:hAnsi="仿宋" w:eastAsia="仿宋" w:cs="仿宋"/>
                <w:spacing w:val="8"/>
                <w:sz w:val="24"/>
              </w:rPr>
              <w:t>邮政编码</w:t>
            </w:r>
          </w:p>
        </w:tc>
        <w:tc>
          <w:tcPr>
            <w:tcW w:w="1574" w:type="dxa"/>
          </w:tcPr>
          <w:p>
            <w:pPr>
              <w:spacing w:line="480" w:lineRule="exact"/>
              <w:rPr>
                <w:rFonts w:ascii="仿宋" w:hAnsi="仿宋" w:eastAsia="仿宋" w:cs="仿宋"/>
                <w:sz w:val="24"/>
              </w:rPr>
            </w:pPr>
          </w:p>
        </w:tc>
        <w:tc>
          <w:tcPr>
            <w:tcW w:w="1998" w:type="dxa"/>
            <w:vMerge w:val="continue"/>
          </w:tcPr>
          <w:p>
            <w:pPr>
              <w:spacing w:line="480" w:lineRule="exact"/>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22" w:hRule="atLeast"/>
        </w:trPr>
        <w:tc>
          <w:tcPr>
            <w:tcW w:w="761" w:type="dxa"/>
            <w:vMerge w:val="continue"/>
          </w:tcPr>
          <w:p>
            <w:pPr>
              <w:spacing w:line="480" w:lineRule="exact"/>
              <w:rPr>
                <w:rFonts w:ascii="仿宋" w:hAnsi="仿宋" w:eastAsia="仿宋" w:cs="仿宋"/>
                <w:sz w:val="24"/>
              </w:rPr>
            </w:pPr>
          </w:p>
        </w:tc>
        <w:tc>
          <w:tcPr>
            <w:tcW w:w="2062" w:type="dxa"/>
            <w:vAlign w:val="center"/>
          </w:tcPr>
          <w:p>
            <w:pPr>
              <w:spacing w:line="480" w:lineRule="exact"/>
              <w:jc w:val="center"/>
              <w:rPr>
                <w:rFonts w:ascii="仿宋" w:hAnsi="仿宋" w:eastAsia="仿宋" w:cs="仿宋"/>
                <w:spacing w:val="42"/>
                <w:sz w:val="24"/>
              </w:rPr>
            </w:pPr>
            <w:r>
              <w:rPr>
                <w:rFonts w:hint="eastAsia" w:ascii="仿宋" w:hAnsi="仿宋" w:eastAsia="仿宋" w:cs="仿宋"/>
                <w:spacing w:val="42"/>
                <w:sz w:val="24"/>
              </w:rPr>
              <w:t>电话</w:t>
            </w:r>
          </w:p>
        </w:tc>
        <w:tc>
          <w:tcPr>
            <w:tcW w:w="1737" w:type="dxa"/>
          </w:tcPr>
          <w:p>
            <w:pPr>
              <w:spacing w:line="480" w:lineRule="exact"/>
              <w:rPr>
                <w:rFonts w:ascii="仿宋" w:hAnsi="仿宋" w:eastAsia="仿宋" w:cs="仿宋"/>
                <w:sz w:val="24"/>
              </w:rPr>
            </w:pPr>
          </w:p>
        </w:tc>
        <w:tc>
          <w:tcPr>
            <w:tcW w:w="826" w:type="dxa"/>
            <w:vAlign w:val="center"/>
          </w:tcPr>
          <w:p>
            <w:pPr>
              <w:spacing w:line="480" w:lineRule="exact"/>
              <w:jc w:val="center"/>
              <w:rPr>
                <w:rFonts w:ascii="仿宋" w:hAnsi="仿宋" w:eastAsia="仿宋" w:cs="仿宋"/>
                <w:sz w:val="24"/>
              </w:rPr>
            </w:pPr>
            <w:r>
              <w:rPr>
                <w:rFonts w:hint="eastAsia" w:ascii="仿宋" w:hAnsi="仿宋" w:eastAsia="仿宋" w:cs="仿宋"/>
                <w:sz w:val="24"/>
              </w:rPr>
              <w:t>传真</w:t>
            </w:r>
          </w:p>
        </w:tc>
        <w:tc>
          <w:tcPr>
            <w:tcW w:w="1574" w:type="dxa"/>
          </w:tcPr>
          <w:p>
            <w:pPr>
              <w:spacing w:line="480" w:lineRule="exact"/>
              <w:rPr>
                <w:rFonts w:ascii="仿宋" w:hAnsi="仿宋" w:eastAsia="仿宋" w:cs="仿宋"/>
                <w:sz w:val="24"/>
              </w:rPr>
            </w:pPr>
          </w:p>
        </w:tc>
        <w:tc>
          <w:tcPr>
            <w:tcW w:w="1998" w:type="dxa"/>
            <w:vMerge w:val="continue"/>
          </w:tcPr>
          <w:p>
            <w:pPr>
              <w:spacing w:line="480" w:lineRule="exact"/>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9" w:hRule="atLeast"/>
        </w:trPr>
        <w:tc>
          <w:tcPr>
            <w:tcW w:w="761" w:type="dxa"/>
            <w:vMerge w:val="continue"/>
          </w:tcPr>
          <w:p>
            <w:pPr>
              <w:spacing w:line="480" w:lineRule="exact"/>
              <w:rPr>
                <w:rFonts w:ascii="仿宋" w:hAnsi="仿宋" w:eastAsia="仿宋" w:cs="仿宋"/>
                <w:sz w:val="24"/>
              </w:rPr>
            </w:pPr>
          </w:p>
        </w:tc>
        <w:tc>
          <w:tcPr>
            <w:tcW w:w="2062" w:type="dxa"/>
            <w:vAlign w:val="center"/>
          </w:tcPr>
          <w:p>
            <w:pPr>
              <w:spacing w:line="480" w:lineRule="exact"/>
              <w:jc w:val="center"/>
              <w:rPr>
                <w:rFonts w:ascii="仿宋" w:hAnsi="仿宋" w:eastAsia="仿宋" w:cs="仿宋"/>
                <w:sz w:val="24"/>
              </w:rPr>
            </w:pPr>
            <w:r>
              <w:rPr>
                <w:rFonts w:hint="eastAsia" w:ascii="仿宋" w:hAnsi="仿宋" w:eastAsia="仿宋" w:cs="仿宋"/>
                <w:sz w:val="24"/>
              </w:rPr>
              <w:t>开户银行</w:t>
            </w:r>
          </w:p>
        </w:tc>
        <w:tc>
          <w:tcPr>
            <w:tcW w:w="4136" w:type="dxa"/>
            <w:gridSpan w:val="3"/>
          </w:tcPr>
          <w:p>
            <w:pPr>
              <w:spacing w:line="480" w:lineRule="exact"/>
              <w:rPr>
                <w:rFonts w:ascii="仿宋" w:hAnsi="仿宋" w:eastAsia="仿宋" w:cs="仿宋"/>
                <w:sz w:val="24"/>
              </w:rPr>
            </w:pPr>
          </w:p>
        </w:tc>
        <w:tc>
          <w:tcPr>
            <w:tcW w:w="1998" w:type="dxa"/>
            <w:vMerge w:val="continue"/>
          </w:tcPr>
          <w:p>
            <w:pPr>
              <w:spacing w:line="480" w:lineRule="exact"/>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5" w:hRule="atLeast"/>
        </w:trPr>
        <w:tc>
          <w:tcPr>
            <w:tcW w:w="761" w:type="dxa"/>
            <w:vMerge w:val="continue"/>
          </w:tcPr>
          <w:p>
            <w:pPr>
              <w:spacing w:line="480" w:lineRule="exact"/>
              <w:rPr>
                <w:rFonts w:ascii="仿宋" w:hAnsi="仿宋" w:eastAsia="仿宋" w:cs="仿宋"/>
                <w:sz w:val="24"/>
              </w:rPr>
            </w:pPr>
          </w:p>
        </w:tc>
        <w:tc>
          <w:tcPr>
            <w:tcW w:w="2062" w:type="dxa"/>
            <w:vAlign w:val="center"/>
          </w:tcPr>
          <w:p>
            <w:pPr>
              <w:spacing w:line="480" w:lineRule="exact"/>
              <w:jc w:val="center"/>
              <w:rPr>
                <w:rFonts w:ascii="仿宋" w:hAnsi="仿宋" w:eastAsia="仿宋" w:cs="仿宋"/>
                <w:sz w:val="24"/>
              </w:rPr>
            </w:pPr>
            <w:r>
              <w:rPr>
                <w:rFonts w:hint="eastAsia" w:ascii="仿宋" w:hAnsi="仿宋" w:eastAsia="仿宋" w:cs="仿宋"/>
                <w:spacing w:val="38"/>
                <w:sz w:val="24"/>
              </w:rPr>
              <w:t>帐号</w:t>
            </w:r>
          </w:p>
        </w:tc>
        <w:tc>
          <w:tcPr>
            <w:tcW w:w="4136" w:type="dxa"/>
            <w:gridSpan w:val="3"/>
          </w:tcPr>
          <w:p>
            <w:pPr>
              <w:spacing w:line="480" w:lineRule="exact"/>
              <w:rPr>
                <w:rFonts w:ascii="仿宋" w:hAnsi="仿宋" w:eastAsia="仿宋" w:cs="仿宋"/>
                <w:sz w:val="24"/>
              </w:rPr>
            </w:pPr>
          </w:p>
        </w:tc>
        <w:tc>
          <w:tcPr>
            <w:tcW w:w="1998" w:type="dxa"/>
            <w:vMerge w:val="continue"/>
          </w:tcPr>
          <w:p>
            <w:pPr>
              <w:spacing w:line="480" w:lineRule="exact"/>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1" w:hRule="atLeast"/>
        </w:trPr>
        <w:tc>
          <w:tcPr>
            <w:tcW w:w="761" w:type="dxa"/>
            <w:vMerge w:val="restart"/>
            <w:vAlign w:val="center"/>
          </w:tcPr>
          <w:p>
            <w:pPr>
              <w:spacing w:line="480" w:lineRule="exact"/>
              <w:jc w:val="center"/>
              <w:rPr>
                <w:rFonts w:ascii="仿宋" w:hAnsi="仿宋" w:eastAsia="仿宋" w:cs="仿宋"/>
                <w:sz w:val="24"/>
              </w:rPr>
            </w:pPr>
            <w:r>
              <w:rPr>
                <w:rFonts w:hint="eastAsia" w:ascii="仿宋" w:hAnsi="仿宋" w:eastAsia="仿宋" w:cs="仿宋"/>
                <w:sz w:val="24"/>
              </w:rPr>
              <w:t>鉴</w:t>
            </w:r>
          </w:p>
          <w:p>
            <w:pPr>
              <w:spacing w:line="480" w:lineRule="exact"/>
              <w:jc w:val="center"/>
              <w:rPr>
                <w:rFonts w:ascii="仿宋" w:hAnsi="仿宋" w:eastAsia="仿宋" w:cs="仿宋"/>
                <w:sz w:val="24"/>
              </w:rPr>
            </w:pPr>
            <w:r>
              <w:rPr>
                <w:rFonts w:hint="eastAsia" w:ascii="仿宋" w:hAnsi="仿宋" w:eastAsia="仿宋" w:cs="仿宋"/>
                <w:sz w:val="24"/>
              </w:rPr>
              <w:t>证</w:t>
            </w:r>
          </w:p>
          <w:p>
            <w:pPr>
              <w:spacing w:line="480" w:lineRule="exact"/>
              <w:jc w:val="center"/>
              <w:rPr>
                <w:rFonts w:ascii="仿宋" w:hAnsi="仿宋" w:eastAsia="仿宋" w:cs="仿宋"/>
                <w:sz w:val="24"/>
              </w:rPr>
            </w:pPr>
            <w:r>
              <w:rPr>
                <w:rFonts w:hint="eastAsia" w:ascii="仿宋" w:hAnsi="仿宋" w:eastAsia="仿宋" w:cs="仿宋"/>
                <w:sz w:val="24"/>
              </w:rPr>
              <w:t>方</w:t>
            </w:r>
          </w:p>
        </w:tc>
        <w:tc>
          <w:tcPr>
            <w:tcW w:w="2062" w:type="dxa"/>
            <w:vAlign w:val="center"/>
          </w:tcPr>
          <w:p>
            <w:pPr>
              <w:spacing w:line="480" w:lineRule="exact"/>
              <w:jc w:val="center"/>
              <w:rPr>
                <w:rFonts w:ascii="仿宋" w:hAnsi="仿宋" w:eastAsia="仿宋" w:cs="仿宋"/>
                <w:spacing w:val="38"/>
                <w:sz w:val="24"/>
              </w:rPr>
            </w:pPr>
            <w:r>
              <w:rPr>
                <w:rFonts w:hint="eastAsia" w:ascii="仿宋" w:hAnsi="仿宋" w:eastAsia="仿宋" w:cs="仿宋"/>
                <w:sz w:val="24"/>
              </w:rPr>
              <w:t>名称（或姓名）</w:t>
            </w:r>
          </w:p>
        </w:tc>
        <w:tc>
          <w:tcPr>
            <w:tcW w:w="4136" w:type="dxa"/>
            <w:gridSpan w:val="3"/>
            <w:vAlign w:val="center"/>
          </w:tcPr>
          <w:p>
            <w:pPr>
              <w:spacing w:line="480" w:lineRule="exact"/>
              <w:rPr>
                <w:rFonts w:ascii="仿宋" w:hAnsi="仿宋" w:eastAsia="仿宋" w:cs="仿宋"/>
                <w:sz w:val="24"/>
              </w:rPr>
            </w:pPr>
            <w:r>
              <w:rPr>
                <w:rFonts w:hint="eastAsia" w:ascii="仿宋" w:hAnsi="仿宋" w:eastAsia="仿宋" w:cs="仿宋"/>
                <w:sz w:val="24"/>
              </w:rPr>
              <w:t>（签章）</w:t>
            </w:r>
          </w:p>
        </w:tc>
        <w:tc>
          <w:tcPr>
            <w:tcW w:w="1998" w:type="dxa"/>
            <w:vMerge w:val="restart"/>
          </w:tcPr>
          <w:p>
            <w:pPr>
              <w:spacing w:line="480" w:lineRule="exact"/>
              <w:rPr>
                <w:rFonts w:ascii="仿宋" w:hAnsi="仿宋" w:eastAsia="仿宋" w:cs="仿宋"/>
                <w:spacing w:val="-8"/>
                <w:sz w:val="24"/>
              </w:rPr>
            </w:pPr>
            <w:r>
              <w:rPr>
                <w:rFonts w:hint="eastAsia" w:ascii="仿宋" w:hAnsi="仿宋" w:eastAsia="仿宋" w:cs="仿宋"/>
                <w:spacing w:val="-8"/>
                <w:sz w:val="24"/>
              </w:rPr>
              <w:t>技术合同专用章</w:t>
            </w:r>
          </w:p>
          <w:p>
            <w:pPr>
              <w:spacing w:line="480" w:lineRule="exact"/>
              <w:jc w:val="center"/>
              <w:rPr>
                <w:rFonts w:ascii="仿宋" w:hAnsi="仿宋" w:eastAsia="仿宋" w:cs="仿宋"/>
                <w:sz w:val="24"/>
              </w:rPr>
            </w:pPr>
            <w:r>
              <w:rPr>
                <w:rFonts w:hint="eastAsia" w:ascii="仿宋" w:hAnsi="仿宋" w:eastAsia="仿宋" w:cs="仿宋"/>
                <w:sz w:val="24"/>
              </w:rPr>
              <w:t>或</w:t>
            </w:r>
          </w:p>
          <w:p>
            <w:pPr>
              <w:spacing w:line="480" w:lineRule="exact"/>
              <w:jc w:val="center"/>
              <w:rPr>
                <w:rFonts w:ascii="仿宋" w:hAnsi="仿宋" w:eastAsia="仿宋" w:cs="仿宋"/>
                <w:spacing w:val="10"/>
                <w:sz w:val="24"/>
              </w:rPr>
            </w:pPr>
            <w:r>
              <w:rPr>
                <w:rFonts w:hint="eastAsia" w:ascii="仿宋" w:hAnsi="仿宋" w:eastAsia="仿宋" w:cs="仿宋"/>
                <w:spacing w:val="10"/>
                <w:sz w:val="24"/>
              </w:rPr>
              <w:t>单位公章</w:t>
            </w:r>
          </w:p>
          <w:p>
            <w:pPr>
              <w:spacing w:line="480" w:lineRule="exact"/>
              <w:jc w:val="center"/>
              <w:rPr>
                <w:rFonts w:ascii="仿宋" w:hAnsi="仿宋" w:eastAsia="仿宋" w:cs="仿宋"/>
                <w:spacing w:val="-6"/>
                <w:sz w:val="24"/>
              </w:rPr>
            </w:pPr>
          </w:p>
          <w:p>
            <w:pPr>
              <w:spacing w:line="480" w:lineRule="exact"/>
              <w:jc w:val="center"/>
              <w:rPr>
                <w:rFonts w:ascii="仿宋" w:hAnsi="仿宋" w:eastAsia="仿宋" w:cs="仿宋"/>
                <w:spacing w:val="1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97" w:hRule="atLeast"/>
        </w:trPr>
        <w:tc>
          <w:tcPr>
            <w:tcW w:w="761" w:type="dxa"/>
            <w:vMerge w:val="continue"/>
          </w:tcPr>
          <w:p>
            <w:pPr>
              <w:spacing w:line="480" w:lineRule="exact"/>
              <w:rPr>
                <w:rFonts w:ascii="仿宋" w:hAnsi="仿宋" w:eastAsia="仿宋" w:cs="仿宋"/>
                <w:sz w:val="24"/>
              </w:rPr>
            </w:pPr>
          </w:p>
        </w:tc>
        <w:tc>
          <w:tcPr>
            <w:tcW w:w="2062" w:type="dxa"/>
            <w:vAlign w:val="center"/>
          </w:tcPr>
          <w:p>
            <w:pPr>
              <w:spacing w:line="480" w:lineRule="exact"/>
              <w:jc w:val="center"/>
              <w:rPr>
                <w:rFonts w:ascii="仿宋" w:hAnsi="仿宋" w:eastAsia="仿宋" w:cs="仿宋"/>
                <w:spacing w:val="38"/>
                <w:sz w:val="24"/>
              </w:rPr>
            </w:pPr>
            <w:r>
              <w:rPr>
                <w:rFonts w:hint="eastAsia" w:ascii="仿宋" w:hAnsi="仿宋" w:eastAsia="仿宋" w:cs="仿宋"/>
                <w:sz w:val="24"/>
              </w:rPr>
              <w:t>项目负责人</w:t>
            </w:r>
          </w:p>
        </w:tc>
        <w:tc>
          <w:tcPr>
            <w:tcW w:w="4136" w:type="dxa"/>
            <w:gridSpan w:val="3"/>
            <w:vAlign w:val="center"/>
          </w:tcPr>
          <w:p>
            <w:pPr>
              <w:spacing w:line="480" w:lineRule="exact"/>
              <w:rPr>
                <w:rFonts w:ascii="仿宋" w:hAnsi="仿宋" w:eastAsia="仿宋" w:cs="仿宋"/>
                <w:sz w:val="24"/>
              </w:rPr>
            </w:pPr>
            <w:r>
              <w:rPr>
                <w:rFonts w:hint="eastAsia" w:ascii="仿宋" w:hAnsi="仿宋" w:eastAsia="仿宋" w:cs="仿宋"/>
                <w:sz w:val="24"/>
              </w:rPr>
              <w:t>（签章）</w:t>
            </w:r>
          </w:p>
        </w:tc>
        <w:tc>
          <w:tcPr>
            <w:tcW w:w="1998" w:type="dxa"/>
            <w:vMerge w:val="continue"/>
          </w:tcPr>
          <w:p>
            <w:pPr>
              <w:spacing w:line="480" w:lineRule="exact"/>
              <w:rPr>
                <w:rFonts w:ascii="仿宋" w:hAnsi="仿宋" w:eastAsia="仿宋" w:cs="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6" w:hRule="atLeast"/>
        </w:trPr>
        <w:tc>
          <w:tcPr>
            <w:tcW w:w="761" w:type="dxa"/>
            <w:vMerge w:val="continue"/>
          </w:tcPr>
          <w:p>
            <w:pPr>
              <w:spacing w:line="480" w:lineRule="exact"/>
              <w:rPr>
                <w:rFonts w:ascii="仿宋" w:hAnsi="仿宋" w:eastAsia="仿宋" w:cs="仿宋"/>
                <w:sz w:val="24"/>
              </w:rPr>
            </w:pPr>
          </w:p>
        </w:tc>
        <w:tc>
          <w:tcPr>
            <w:tcW w:w="2062" w:type="dxa"/>
            <w:vAlign w:val="center"/>
          </w:tcPr>
          <w:p>
            <w:pPr>
              <w:spacing w:line="480" w:lineRule="exact"/>
              <w:jc w:val="center"/>
              <w:rPr>
                <w:rFonts w:ascii="仿宋" w:hAnsi="仿宋" w:eastAsia="仿宋" w:cs="仿宋"/>
                <w:spacing w:val="38"/>
                <w:sz w:val="24"/>
              </w:rPr>
            </w:pPr>
            <w:r>
              <w:rPr>
                <w:rFonts w:hint="eastAsia" w:ascii="仿宋" w:hAnsi="仿宋" w:eastAsia="仿宋" w:cs="仿宋"/>
                <w:spacing w:val="38"/>
                <w:sz w:val="24"/>
              </w:rPr>
              <w:t>电话</w:t>
            </w:r>
          </w:p>
        </w:tc>
        <w:tc>
          <w:tcPr>
            <w:tcW w:w="1737" w:type="dxa"/>
            <w:vAlign w:val="center"/>
          </w:tcPr>
          <w:p>
            <w:pPr>
              <w:spacing w:line="480" w:lineRule="exact"/>
              <w:jc w:val="center"/>
              <w:rPr>
                <w:rFonts w:ascii="仿宋" w:hAnsi="仿宋" w:eastAsia="仿宋" w:cs="仿宋"/>
                <w:sz w:val="24"/>
              </w:rPr>
            </w:pPr>
          </w:p>
        </w:tc>
        <w:tc>
          <w:tcPr>
            <w:tcW w:w="826" w:type="dxa"/>
            <w:vAlign w:val="center"/>
          </w:tcPr>
          <w:p>
            <w:pPr>
              <w:spacing w:line="480" w:lineRule="exact"/>
              <w:jc w:val="center"/>
              <w:rPr>
                <w:rFonts w:ascii="仿宋" w:hAnsi="仿宋" w:eastAsia="仿宋" w:cs="仿宋"/>
                <w:sz w:val="24"/>
              </w:rPr>
            </w:pPr>
            <w:r>
              <w:rPr>
                <w:rFonts w:hint="eastAsia" w:ascii="仿宋" w:hAnsi="仿宋" w:eastAsia="仿宋" w:cs="仿宋"/>
                <w:sz w:val="24"/>
              </w:rPr>
              <w:t>传真</w:t>
            </w:r>
          </w:p>
        </w:tc>
        <w:tc>
          <w:tcPr>
            <w:tcW w:w="1574" w:type="dxa"/>
          </w:tcPr>
          <w:p>
            <w:pPr>
              <w:spacing w:line="480" w:lineRule="exact"/>
              <w:rPr>
                <w:rFonts w:ascii="仿宋" w:hAnsi="仿宋" w:eastAsia="仿宋" w:cs="仿宋"/>
                <w:sz w:val="24"/>
              </w:rPr>
            </w:pPr>
          </w:p>
        </w:tc>
        <w:tc>
          <w:tcPr>
            <w:tcW w:w="1998" w:type="dxa"/>
            <w:vMerge w:val="continue"/>
          </w:tcPr>
          <w:p>
            <w:pPr>
              <w:spacing w:line="480" w:lineRule="exact"/>
              <w:rPr>
                <w:rFonts w:ascii="仿宋" w:hAnsi="仿宋" w:eastAsia="仿宋" w:cs="仿宋"/>
                <w:sz w:val="24"/>
              </w:rPr>
            </w:pPr>
          </w:p>
        </w:tc>
      </w:tr>
    </w:tbl>
    <w:p>
      <w:pPr>
        <w:spacing w:line="20" w:lineRule="exact"/>
      </w:pPr>
    </w:p>
    <w:p>
      <w:pPr>
        <w:rPr>
          <w:rFonts w:ascii="仿宋" w:hAnsi="仿宋" w:eastAsia="仿宋" w:cs="仿宋_GB2312"/>
          <w:b/>
          <w:sz w:val="36"/>
          <w:szCs w:val="20"/>
        </w:rPr>
      </w:pPr>
      <w:r>
        <w:rPr>
          <w:rFonts w:hint="eastAsia" w:ascii="仿宋" w:hAnsi="仿宋" w:eastAsia="仿宋" w:cs="仿宋_GB2312"/>
          <w:b/>
          <w:sz w:val="36"/>
          <w:szCs w:val="20"/>
        </w:rPr>
        <w:br w:type="page"/>
      </w:r>
    </w:p>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cs="仿宋_GB2312"/>
        </w:rPr>
      </w:pPr>
      <w:r>
        <w:rPr>
          <w:rFonts w:hint="eastAsia" w:ascii="仿宋_GB2312" w:hAnsi="仿宋" w:eastAsia="仿宋_GB2312" w:cs="仿宋_GB2312"/>
          <w:sz w:val="24"/>
        </w:rPr>
        <w:t>（1）营业执照</w:t>
      </w:r>
      <w:r>
        <w:rPr>
          <w:rFonts w:ascii="仿宋_GB2312" w:hAnsi="仿宋" w:eastAsia="仿宋_GB2312" w:cs="仿宋_GB2312"/>
          <w:sz w:val="24"/>
        </w:rPr>
        <w:t>……</w:t>
      </w:r>
      <w:r>
        <w:rPr>
          <w:rFonts w:hint="eastAsia" w:ascii="仿宋_GB2312" w:hAnsi="仿宋" w:eastAsia="仿宋_GB2312" w:cs="仿宋_GB2312"/>
          <w:sz w:val="24"/>
        </w:rPr>
        <w:t>…</w:t>
      </w:r>
      <w:r>
        <w:rPr>
          <w:rFonts w:ascii="仿宋_GB2312" w:hAnsi="仿宋" w:eastAsia="仿宋_GB2312" w:cs="仿宋_GB2312"/>
          <w:sz w:val="24"/>
        </w:rPr>
        <w:t>…</w:t>
      </w:r>
      <w:r>
        <w:rPr>
          <w:rFonts w:hint="eastAsia" w:ascii="仿宋_GB2312" w:hAnsi="仿宋" w:eastAsia="仿宋_GB2312" w:cs="仿宋_GB2312"/>
          <w:sz w:val="24"/>
        </w:rPr>
        <w:t>……</w:t>
      </w:r>
      <w:r>
        <w:rPr>
          <w:rFonts w:ascii="仿宋_GB2312" w:hAnsi="仿宋" w:eastAsia="仿宋_GB2312" w:cs="仿宋_GB2312"/>
          <w:sz w:val="24"/>
        </w:rPr>
        <w:t>…</w:t>
      </w:r>
      <w:r>
        <w:rPr>
          <w:rFonts w:hint="eastAsia" w:ascii="仿宋_GB2312" w:hAnsi="仿宋" w:eastAsia="仿宋_GB2312" w:cs="仿宋_GB2312"/>
          <w:sz w:val="24"/>
        </w:rPr>
        <w:t>……</w:t>
      </w:r>
      <w:r>
        <w:rPr>
          <w:rFonts w:ascii="仿宋_GB2312" w:hAnsi="仿宋" w:eastAsia="仿宋_GB2312" w:cs="仿宋_GB2312"/>
          <w:sz w:val="24"/>
        </w:rPr>
        <w:t>…</w:t>
      </w:r>
      <w:r>
        <w:rPr>
          <w:rFonts w:hint="eastAsia" w:ascii="仿宋_GB2312" w:hAnsi="仿宋" w:eastAsia="仿宋_GB2312" w:cs="仿宋_GB2312"/>
          <w:sz w:val="24"/>
        </w:rPr>
        <w:t>……</w:t>
      </w:r>
      <w:r>
        <w:rPr>
          <w:rFonts w:ascii="仿宋_GB2312" w:hAnsi="仿宋" w:eastAsia="仿宋_GB2312" w:cs="仿宋_GB2312"/>
          <w:sz w:val="24"/>
        </w:rPr>
        <w:t>…</w:t>
      </w:r>
      <w:r>
        <w:rPr>
          <w:rFonts w:hint="eastAsia" w:ascii="仿宋_GB2312" w:hAnsi="仿宋" w:eastAsia="仿宋_GB2312" w:cs="仿宋_GB2312"/>
          <w:sz w:val="24"/>
        </w:rPr>
        <w:t>……</w:t>
      </w:r>
      <w:r>
        <w:rPr>
          <w:rFonts w:ascii="仿宋_GB2312" w:hAnsi="仿宋" w:eastAsia="仿宋_GB2312" w:cs="仿宋_GB2312"/>
          <w:sz w:val="24"/>
        </w:rPr>
        <w:t>…</w:t>
      </w:r>
      <w:r>
        <w:rPr>
          <w:rFonts w:hint="eastAsia" w:ascii="仿宋_GB2312" w:hAnsi="仿宋" w:eastAsia="仿宋_GB2312" w:cs="仿宋_GB2312"/>
          <w:sz w:val="24"/>
        </w:rPr>
        <w:t>……</w:t>
      </w:r>
      <w:r>
        <w:rPr>
          <w:rFonts w:ascii="仿宋_GB2312" w:hAnsi="仿宋" w:eastAsia="仿宋_GB2312" w:cs="仿宋_GB2312"/>
          <w:sz w:val="24"/>
        </w:rPr>
        <w:t>…</w:t>
      </w:r>
      <w:r>
        <w:rPr>
          <w:rFonts w:hint="eastAsia" w:ascii="仿宋_GB2312" w:hAnsi="仿宋" w:eastAsia="仿宋_GB2312" w:cs="仿宋_GB2312"/>
          <w:sz w:val="24"/>
        </w:rPr>
        <w:t>……</w:t>
      </w:r>
      <w:r>
        <w:rPr>
          <w:rFonts w:ascii="仿宋_GB2312" w:hAnsi="仿宋" w:eastAsia="仿宋_GB2312" w:cs="仿宋_GB2312"/>
          <w:sz w:val="24"/>
        </w:rPr>
        <w:t>…</w:t>
      </w:r>
      <w:r>
        <w:rPr>
          <w:rFonts w:hint="eastAsia" w:ascii="仿宋_GB2312" w:hAnsi="仿宋" w:eastAsia="仿宋_GB2312" w:cs="仿宋_GB2312"/>
          <w:sz w:val="24"/>
        </w:rPr>
        <w:t>……（页码）</w:t>
      </w:r>
    </w:p>
    <w:p>
      <w:pPr>
        <w:snapToGrid w:val="0"/>
        <w:spacing w:line="360" w:lineRule="auto"/>
        <w:rPr>
          <w:rFonts w:cs="仿宋_GB2312"/>
        </w:rPr>
      </w:pPr>
      <w:r>
        <w:rPr>
          <w:rFonts w:hint="eastAsia" w:ascii="仿宋_GB2312" w:hAnsi="仿宋" w:eastAsia="仿宋_GB2312" w:cs="仿宋_GB2312"/>
          <w:sz w:val="24"/>
        </w:rPr>
        <w:t>（2）</w:t>
      </w:r>
      <w:r>
        <w:rPr>
          <w:rFonts w:ascii="仿宋_GB2312" w:hAnsi="仿宋" w:eastAsia="仿宋_GB2312" w:cs="仿宋_GB2312"/>
          <w:sz w:val="24"/>
        </w:rPr>
        <w:t>授权委托书或法定代表人（单位负责人、自然人本人）身份证明</w:t>
      </w:r>
      <w:r>
        <w:rPr>
          <w:rFonts w:hint="eastAsia" w:cs="仿宋_GB2312"/>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（3）</w:t>
      </w:r>
      <w:r>
        <w:rPr>
          <w:rFonts w:ascii="仿宋_GB2312" w:hAnsi="仿宋" w:eastAsia="仿宋_GB2312" w:cs="仿宋_GB2312"/>
          <w:sz w:val="24"/>
        </w:rPr>
        <w:t>符合参加政府采购活动应当具备的一般条件的承诺函……</w:t>
      </w:r>
      <w:r>
        <w:rPr>
          <w:rFonts w:hint="eastAsia" w:ascii="仿宋_GB2312" w:hAnsi="仿宋" w:eastAsia="仿宋_GB2312" w:cs="仿宋_GB2312"/>
          <w:sz w:val="24"/>
        </w:rPr>
        <w:t>………（页码）</w:t>
      </w:r>
    </w:p>
    <w:p>
      <w:pPr>
        <w:snapToGrid w:val="0"/>
        <w:spacing w:line="360" w:lineRule="auto"/>
        <w:ind w:left="720" w:hanging="720" w:hangingChars="300"/>
        <w:rPr>
          <w:rFonts w:ascii="仿宋_GB2312" w:hAnsi="仿宋" w:eastAsia="仿宋_GB2312" w:cs="仿宋_GB2312"/>
          <w:sz w:val="24"/>
        </w:rPr>
      </w:pPr>
      <w:r>
        <w:rPr>
          <w:rFonts w:hint="eastAsia" w:ascii="仿宋_GB2312" w:hAnsi="仿宋" w:eastAsia="仿宋_GB2312" w:cs="仿宋_GB2312"/>
          <w:sz w:val="24"/>
        </w:rPr>
        <w:t>（4</w:t>
      </w:r>
      <w:r>
        <w:rPr>
          <w:rFonts w:ascii="仿宋_GB2312" w:hAnsi="仿宋" w:eastAsia="仿宋_GB2312" w:cs="仿宋_GB2312"/>
          <w:sz w:val="24"/>
        </w:rPr>
        <w:t>）</w:t>
      </w:r>
      <w:r>
        <w:rPr>
          <w:rFonts w:hint="eastAsia" w:ascii="仿宋_GB2312" w:hAnsi="仿宋" w:eastAsia="仿宋_GB2312" w:cs="仿宋_GB2312"/>
          <w:sz w:val="24"/>
        </w:rPr>
        <w:t>投标供应商不属于公益一类事业单位、使用事业编制且由财政拨款保障的群团组织的承诺函</w:t>
      </w:r>
      <w:r>
        <w:rPr>
          <w:rFonts w:ascii="仿宋_GB2312" w:hAnsi="仿宋" w:eastAsia="仿宋_GB2312" w:cs="仿宋_GB2312"/>
          <w:sz w:val="24"/>
        </w:rPr>
        <w:t>……</w:t>
      </w:r>
      <w:r>
        <w:rPr>
          <w:rFonts w:hint="eastAsia" w:ascii="仿宋_GB2312" w:hAnsi="仿宋" w:eastAsia="仿宋_GB2312" w:cs="仿宋_GB2312"/>
          <w:sz w:val="24"/>
        </w:rPr>
        <w:t>………</w:t>
      </w:r>
      <w:r>
        <w:rPr>
          <w:rFonts w:ascii="仿宋_GB2312" w:hAnsi="仿宋" w:eastAsia="仿宋_GB2312" w:cs="仿宋_GB2312"/>
          <w:sz w:val="24"/>
        </w:rPr>
        <w:t>……</w:t>
      </w:r>
      <w:r>
        <w:rPr>
          <w:rFonts w:hint="eastAsia" w:ascii="仿宋_GB2312" w:hAnsi="仿宋" w:eastAsia="仿宋_GB2312" w:cs="仿宋_GB2312"/>
          <w:sz w:val="24"/>
        </w:rPr>
        <w:t>………</w:t>
      </w:r>
      <w:r>
        <w:rPr>
          <w:rFonts w:ascii="仿宋_GB2312" w:hAnsi="仿宋" w:eastAsia="仿宋_GB2312" w:cs="仿宋_GB2312"/>
          <w:sz w:val="24"/>
        </w:rPr>
        <w:t>……</w:t>
      </w:r>
      <w:r>
        <w:rPr>
          <w:rFonts w:hint="eastAsia" w:ascii="仿宋_GB2312" w:hAnsi="仿宋" w:eastAsia="仿宋_GB2312" w:cs="仿宋_GB2312"/>
          <w:sz w:val="24"/>
        </w:rPr>
        <w:t>………</w:t>
      </w:r>
      <w:r>
        <w:rPr>
          <w:rFonts w:ascii="仿宋_GB2312" w:hAnsi="仿宋" w:eastAsia="仿宋_GB2312" w:cs="仿宋_GB2312"/>
          <w:sz w:val="24"/>
        </w:rPr>
        <w:t>……</w:t>
      </w:r>
      <w:r>
        <w:rPr>
          <w:rFonts w:hint="eastAsia" w:ascii="仿宋_GB2312" w:hAnsi="仿宋" w:eastAsia="仿宋_GB2312" w:cs="仿宋_GB2312"/>
          <w:sz w:val="24"/>
        </w:rPr>
        <w:t>………</w:t>
      </w:r>
      <w:r>
        <w:rPr>
          <w:rFonts w:ascii="仿宋_GB2312" w:hAnsi="仿宋" w:eastAsia="仿宋_GB2312" w:cs="仿宋_GB2312"/>
          <w:sz w:val="24"/>
        </w:rPr>
        <w:t>……</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（5</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（6</w:t>
      </w:r>
      <w:r>
        <w:rPr>
          <w:rFonts w:ascii="仿宋_GB2312" w:hAnsi="仿宋" w:eastAsia="仿宋_GB2312" w:cs="仿宋_GB2312"/>
          <w:sz w:val="24"/>
        </w:rPr>
        <w:t>）本项目的特定资格要求……</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numPr>
          <w:ilvl w:val="0"/>
          <w:numId w:val="4"/>
        </w:numPr>
        <w:snapToGrid w:val="0"/>
        <w:spacing w:line="360" w:lineRule="auto"/>
        <w:ind w:right="480"/>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hint="eastAsia" w:ascii="仿宋_GB2312" w:hAnsi="仿宋" w:eastAsia="仿宋_GB2312" w:cs="仿宋_GB2312"/>
          <w:b/>
          <w:kern w:val="0"/>
          <w:sz w:val="32"/>
          <w:szCs w:val="32"/>
        </w:rPr>
        <w:t>营业执照</w:t>
      </w:r>
    </w:p>
    <w:p>
      <w:pPr>
        <w:pStyle w:val="2"/>
        <w:rPr>
          <w:rFonts w:ascii="仿宋" w:hAnsi="仿宋" w:eastAsia="仿宋" w:cs="仿宋"/>
        </w:rPr>
      </w:pPr>
      <w:r>
        <w:rPr>
          <w:rFonts w:hint="eastAsia" w:ascii="仿宋" w:hAnsi="仿宋" w:eastAsia="仿宋" w:cs="仿宋"/>
        </w:rPr>
        <w:t>说明：1、法人、其他组织或者自然人投标的须提供：</w:t>
      </w:r>
    </w:p>
    <w:p>
      <w:pPr>
        <w:pStyle w:val="2"/>
        <w:rPr>
          <w:rFonts w:ascii="仿宋" w:hAnsi="仿宋" w:eastAsia="仿宋" w:cs="仿宋"/>
        </w:rPr>
      </w:pPr>
      <w:r>
        <w:rPr>
          <w:rFonts w:hint="eastAsia" w:ascii="仿宋" w:hAnsi="仿宋" w:eastAsia="仿宋" w:cs="仿宋"/>
        </w:rPr>
        <w:t>（1）投标人为法人的，应提交营业执照或法人登记证书的复印件；</w:t>
      </w:r>
    </w:p>
    <w:p>
      <w:pPr>
        <w:pStyle w:val="2"/>
        <w:rPr>
          <w:rFonts w:ascii="仿宋" w:hAnsi="仿宋" w:eastAsia="仿宋" w:cs="仿宋"/>
        </w:rPr>
      </w:pPr>
      <w:r>
        <w:rPr>
          <w:rFonts w:hint="eastAsia" w:ascii="仿宋" w:hAnsi="仿宋" w:eastAsia="仿宋" w:cs="仿宋"/>
        </w:rPr>
        <w:t>（2）投标人为非法人组织的，应提交依法登记证书复印件；</w:t>
      </w:r>
    </w:p>
    <w:p>
      <w:pPr>
        <w:pStyle w:val="2"/>
        <w:rPr>
          <w:rFonts w:ascii="仿宋" w:hAnsi="仿宋" w:eastAsia="仿宋" w:cs="仿宋"/>
        </w:rPr>
      </w:pPr>
      <w:r>
        <w:rPr>
          <w:rFonts w:hint="eastAsia" w:ascii="仿宋" w:hAnsi="仿宋" w:eastAsia="仿宋" w:cs="仿宋"/>
        </w:rPr>
        <w:t>（3）投标人为个体工商户的，应提交个体工商户营业执照复印件；</w:t>
      </w:r>
    </w:p>
    <w:p>
      <w:pPr>
        <w:pStyle w:val="2"/>
        <w:rPr>
          <w:rFonts w:ascii="仿宋" w:hAnsi="仿宋" w:eastAsia="仿宋" w:cs="仿宋"/>
        </w:rPr>
      </w:pPr>
      <w:r>
        <w:rPr>
          <w:rFonts w:hint="eastAsia" w:ascii="仿宋" w:hAnsi="仿宋" w:eastAsia="仿宋" w:cs="仿宋"/>
        </w:rPr>
        <w:t>（4）投标人为自然人的，应提交自然人的身份证明复印件；</w:t>
      </w:r>
    </w:p>
    <w:p>
      <w:pPr>
        <w:pStyle w:val="2"/>
        <w:ind w:firstLine="643"/>
        <w:rPr>
          <w:rFonts w:ascii="仿宋_GB2312" w:hAnsi="仿宋" w:eastAsia="仿宋_GB2312" w:cs="仿宋_GB2312"/>
          <w:b/>
          <w:kern w:val="0"/>
          <w:sz w:val="32"/>
          <w:szCs w:val="32"/>
        </w:rPr>
      </w:pPr>
    </w:p>
    <w:p>
      <w:pPr>
        <w:pStyle w:val="2"/>
        <w:ind w:firstLine="643"/>
        <w:rPr>
          <w:rFonts w:ascii="仿宋_GB2312" w:hAnsi="仿宋" w:eastAsia="仿宋_GB2312" w:cs="仿宋_GB2312"/>
          <w:b/>
          <w:kern w:val="0"/>
          <w:sz w:val="32"/>
          <w:szCs w:val="32"/>
        </w:rPr>
      </w:pPr>
    </w:p>
    <w:p>
      <w:pPr>
        <w:pStyle w:val="2"/>
        <w:ind w:firstLine="643"/>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br w:type="page"/>
      </w: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t xml:space="preserve">                               </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杭州市规划和自然资源局、华诚工程咨询集团有限公司</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lang w:eastAsia="zh-CN"/>
        </w:rPr>
        <w:t>杭州市余杭区未来科技城单元控制性详细规划及重点地区城市设计</w:t>
      </w:r>
      <w:r>
        <w:rPr>
          <w:rFonts w:hint="eastAsia" w:ascii="仿宋_GB2312" w:hAnsi="仿宋" w:eastAsia="仿宋_GB2312" w:cs="仿宋_GB2312"/>
          <w:sz w:val="24"/>
        </w:rPr>
        <w:t>【招标编号：</w:t>
      </w:r>
      <w:r>
        <w:rPr>
          <w:rFonts w:hint="eastAsia" w:ascii="仿宋_GB2312" w:hAnsi="仿宋" w:eastAsia="仿宋_GB2312"/>
          <w:sz w:val="24"/>
        </w:rPr>
        <w:t>HCZX-22189</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lang w:val="zh-CN"/>
        </w:rPr>
        <w:t xml:space="preserve">      </w:t>
      </w:r>
      <w:r>
        <w:rPr>
          <w:rFonts w:ascii="仿宋_GB2312" w:hAnsi="仿宋" w:eastAsia="仿宋_GB2312" w:cs="仿宋_GB2312"/>
          <w:b/>
          <w:kern w:val="0"/>
          <w:sz w:val="32"/>
          <w:szCs w:val="32"/>
        </w:rPr>
        <w:t xml:space="preserve"> </w:t>
      </w: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杭州市规划和自然资源局、华诚工程咨询集团有限公司</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lang w:eastAsia="zh-CN"/>
        </w:rPr>
        <w:t>杭州市余杭区未来科技城单元控制性详细规划及重点地区城市设计</w:t>
      </w:r>
      <w:r>
        <w:rPr>
          <w:rFonts w:hint="eastAsia" w:ascii="仿宋_GB2312" w:hAnsi="仿宋" w:eastAsia="仿宋_GB2312" w:cs="仿宋_GB2312"/>
          <w:sz w:val="24"/>
        </w:rPr>
        <w:t>【招标编号：</w:t>
      </w:r>
      <w:r>
        <w:rPr>
          <w:rFonts w:hint="eastAsia" w:ascii="仿宋_GB2312" w:hAnsi="仿宋" w:eastAsia="仿宋_GB2312"/>
          <w:sz w:val="24"/>
        </w:rPr>
        <w:t>HCZX-22189</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8"/>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8"/>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w:t>
      </w:r>
      <w:r>
        <w:rPr>
          <w:rFonts w:ascii="仿宋_GB2312" w:hAnsi="仿宋" w:eastAsia="仿宋_GB2312" w:cs="仿宋_GB2312"/>
          <w:b/>
          <w:kern w:val="0"/>
          <w:sz w:val="32"/>
          <w:szCs w:val="32"/>
        </w:rPr>
        <w:t>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杭州市规划和自然资源局、华诚工程咨询集团有限公司：</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lang w:eastAsia="zh-CN"/>
        </w:rPr>
        <w:t>杭州市余杭区未来科技城单元控制性详细规划及重点地区城市设计</w:t>
      </w:r>
      <w:r>
        <w:rPr>
          <w:rFonts w:hint="eastAsia" w:ascii="仿宋_GB2312" w:hAnsi="仿宋" w:eastAsia="仿宋_GB2312" w:cs="仿宋_GB2312"/>
          <w:sz w:val="24"/>
        </w:rPr>
        <w:t>【招标编号：</w:t>
      </w:r>
      <w:r>
        <w:rPr>
          <w:rFonts w:hint="eastAsia" w:ascii="仿宋_GB2312" w:hAnsi="仿宋" w:eastAsia="仿宋_GB2312"/>
          <w:sz w:val="24"/>
        </w:rPr>
        <w:t>HCZX-22189</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4"/>
        <w:snapToGrid w:val="0"/>
        <w:spacing w:line="600" w:lineRule="exact"/>
        <w:rPr>
          <w:rFonts w:ascii="仿宋_GB2312" w:hAnsi="仿宋" w:eastAsia="仿宋_GB2312" w:cs="仿宋_GB2312"/>
          <w:bCs w:val="0"/>
          <w:kern w:val="0"/>
          <w:sz w:val="32"/>
          <w:szCs w:val="32"/>
        </w:rPr>
      </w:pPr>
      <w:r>
        <w:rPr>
          <w:rFonts w:hint="eastAsia" w:ascii="仿宋_GB2312" w:hAnsi="仿宋" w:eastAsia="仿宋_GB2312" w:cs="仿宋_GB2312"/>
          <w:bCs w:val="0"/>
          <w:kern w:val="0"/>
          <w:sz w:val="32"/>
          <w:szCs w:val="32"/>
        </w:rPr>
        <w:t>四、投标供应商不属于公益一类事业单位、使用事业编制且由财政拨款保障的群团组织的承诺函</w:t>
      </w:r>
    </w:p>
    <w:p>
      <w:pPr>
        <w:snapToGrid w:val="0"/>
        <w:spacing w:before="50" w:after="50" w:line="360" w:lineRule="auto"/>
        <w:jc w:val="left"/>
        <w:rPr>
          <w:rFonts w:ascii="仿宋_GB2312" w:hAnsi="仿宋" w:eastAsia="仿宋_GB2312" w:cs="仿宋_GB2312"/>
          <w:sz w:val="24"/>
        </w:rPr>
      </w:pPr>
      <w:r>
        <w:rPr>
          <w:rFonts w:hint="eastAsia" w:ascii="仿宋_GB2312" w:hAnsi="仿宋" w:eastAsia="仿宋_GB2312" w:cs="仿宋_GB2312"/>
          <w:sz w:val="24"/>
        </w:rPr>
        <w:t>杭州市规划和自然资源局、华诚工程咨询集团有限公司：</w:t>
      </w:r>
    </w:p>
    <w:p>
      <w:pPr>
        <w:snapToGrid w:val="0"/>
        <w:spacing w:before="50" w:after="50" w:line="360" w:lineRule="auto"/>
        <w:ind w:firstLine="470" w:firstLineChars="196"/>
        <w:jc w:val="left"/>
        <w:rPr>
          <w:rFonts w:ascii="仿宋_GB2312" w:hAnsi="仿宋" w:eastAsia="仿宋_GB2312" w:cs="仿宋_GB2312"/>
          <w:sz w:val="24"/>
        </w:rPr>
      </w:pPr>
      <w:r>
        <w:rPr>
          <w:rFonts w:hint="eastAsia" w:ascii="仿宋_GB2312" w:hAnsi="仿宋" w:eastAsia="仿宋_GB2312" w:cs="仿宋_GB2312"/>
          <w:sz w:val="24"/>
        </w:rPr>
        <w:t>我方郑重承诺，我单位不属于公益一类事业单位、使用事业编制且由财政拨款保障的群团组织，可承接</w:t>
      </w:r>
      <w:r>
        <w:rPr>
          <w:rFonts w:hint="eastAsia" w:ascii="仿宋_GB2312" w:hAnsi="仿宋" w:eastAsia="仿宋_GB2312" w:cs="仿宋_GB2312"/>
          <w:sz w:val="24"/>
          <w:lang w:eastAsia="zh-CN"/>
        </w:rPr>
        <w:t>杭州市余杭区未来科技城单元控制性详细规划及重点地区城市设计</w:t>
      </w:r>
      <w:r>
        <w:rPr>
          <w:rFonts w:hint="eastAsia" w:ascii="仿宋_GB2312" w:hAnsi="仿宋" w:eastAsia="仿宋_GB2312" w:cs="仿宋_GB2312"/>
          <w:sz w:val="24"/>
        </w:rPr>
        <w:t>的相关服务内容。如有虚假或隐瞒，愿意承担一切后果。</w:t>
      </w:r>
    </w:p>
    <w:p>
      <w:pPr>
        <w:snapToGrid w:val="0"/>
        <w:spacing w:before="50" w:after="50" w:line="360" w:lineRule="auto"/>
        <w:ind w:firstLine="470" w:firstLineChars="196"/>
        <w:jc w:val="left"/>
        <w:rPr>
          <w:rFonts w:ascii="仿宋_GB2312" w:hAnsi="仿宋" w:eastAsia="仿宋_GB2312" w:cs="仿宋_GB2312"/>
          <w:sz w:val="24"/>
        </w:rPr>
      </w:pPr>
    </w:p>
    <w:p>
      <w:pPr>
        <w:snapToGrid w:val="0"/>
        <w:spacing w:before="50" w:after="50" w:line="360" w:lineRule="auto"/>
        <w:ind w:firstLine="470" w:firstLineChars="196"/>
        <w:jc w:val="left"/>
        <w:rPr>
          <w:rFonts w:ascii="仿宋_GB2312" w:hAnsi="仿宋" w:eastAsia="仿宋_GB2312" w:cs="仿宋_GB2312"/>
          <w:sz w:val="24"/>
        </w:rPr>
      </w:pPr>
      <w:r>
        <w:rPr>
          <w:rFonts w:hint="eastAsia" w:ascii="仿宋_GB2312" w:hAnsi="仿宋" w:eastAsia="仿宋_GB2312" w:cs="仿宋_GB2312"/>
          <w:sz w:val="24"/>
        </w:rPr>
        <w:t>特此承诺！</w:t>
      </w:r>
    </w:p>
    <w:p>
      <w:pPr>
        <w:snapToGrid w:val="0"/>
        <w:spacing w:before="50" w:after="50" w:line="360" w:lineRule="auto"/>
        <w:ind w:firstLine="470" w:firstLineChars="196"/>
        <w:jc w:val="left"/>
        <w:rPr>
          <w:rFonts w:ascii="仿宋_GB2312" w:hAnsi="仿宋" w:eastAsia="仿宋_GB2312" w:cs="仿宋_GB2312"/>
          <w:sz w:val="24"/>
        </w:rPr>
      </w:pPr>
    </w:p>
    <w:p>
      <w:pPr>
        <w:snapToGrid w:val="0"/>
        <w:spacing w:before="50" w:after="50" w:line="360" w:lineRule="auto"/>
        <w:ind w:firstLine="470" w:firstLineChars="196"/>
        <w:jc w:val="left"/>
        <w:rPr>
          <w:rFonts w:ascii="仿宋_GB2312" w:hAnsi="仿宋" w:eastAsia="仿宋_GB2312" w:cs="仿宋_GB2312"/>
          <w:sz w:val="24"/>
        </w:rPr>
      </w:pPr>
      <w:r>
        <w:rPr>
          <w:rFonts w:hint="eastAsia" w:ascii="仿宋_GB2312" w:hAnsi="仿宋" w:eastAsia="仿宋_GB2312" w:cs="仿宋_GB2312"/>
          <w:sz w:val="24"/>
        </w:rPr>
        <w:t>供应商名称（盖章） ：</w:t>
      </w:r>
    </w:p>
    <w:p>
      <w:pPr>
        <w:snapToGrid w:val="0"/>
        <w:spacing w:before="50" w:after="50" w:line="360" w:lineRule="auto"/>
        <w:ind w:firstLine="470" w:firstLineChars="196"/>
        <w:jc w:val="left"/>
        <w:rPr>
          <w:rFonts w:ascii="仿宋_GB2312" w:hAnsi="仿宋" w:eastAsia="仿宋_GB2312" w:cs="仿宋_GB2312"/>
          <w:sz w:val="24"/>
        </w:rPr>
      </w:pPr>
      <w:r>
        <w:rPr>
          <w:rFonts w:hint="eastAsia" w:ascii="仿宋_GB2312" w:hAnsi="仿宋" w:eastAsia="仿宋_GB2312" w:cs="仿宋_GB2312"/>
          <w:sz w:val="24"/>
        </w:rPr>
        <w:t>法定代表人或其授权代表（签字或盖章）：</w:t>
      </w:r>
    </w:p>
    <w:p>
      <w:pPr>
        <w:snapToGrid w:val="0"/>
        <w:spacing w:before="50" w:after="50" w:line="360" w:lineRule="auto"/>
        <w:ind w:firstLine="470" w:firstLineChars="196"/>
        <w:jc w:val="left"/>
        <w:rPr>
          <w:rFonts w:ascii="仿宋_GB2312" w:hAnsi="仿宋" w:eastAsia="仿宋_GB2312" w:cs="仿宋_GB2312"/>
          <w:sz w:val="24"/>
        </w:rPr>
      </w:pPr>
    </w:p>
    <w:p>
      <w:pPr>
        <w:snapToGrid w:val="0"/>
        <w:spacing w:before="50" w:after="50" w:line="360" w:lineRule="auto"/>
        <w:ind w:firstLine="470" w:firstLineChars="196"/>
        <w:jc w:val="left"/>
        <w:rPr>
          <w:rFonts w:ascii="仿宋_GB2312" w:hAnsi="仿宋" w:eastAsia="仿宋_GB2312" w:cs="仿宋_GB2312"/>
          <w:sz w:val="24"/>
        </w:rPr>
      </w:pPr>
      <w:r>
        <w:rPr>
          <w:rFonts w:hint="eastAsia" w:ascii="仿宋_GB2312" w:hAnsi="仿宋" w:eastAsia="仿宋_GB2312" w:cs="仿宋_GB2312"/>
          <w:sz w:val="24"/>
        </w:rPr>
        <w:t>日期：     年  月  日</w:t>
      </w: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五、落实政府采购政策需满足的资格要求</w:t>
      </w:r>
    </w:p>
    <w:p>
      <w:pPr>
        <w:spacing w:line="360" w:lineRule="auto"/>
        <w:rPr>
          <w:rFonts w:ascii="仿宋_GB2312" w:hAnsi="仿宋" w:eastAsia="仿宋_GB2312" w:cs="仿宋_GB2312"/>
          <w:b/>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jc w:val="center"/>
        <w:rPr>
          <w:rFonts w:ascii="仿宋_GB2312" w:hAnsi="仿宋" w:eastAsia="仿宋_GB2312" w:cs="仿宋_GB2312"/>
          <w:b/>
          <w:sz w:val="24"/>
        </w:rPr>
      </w:pPr>
      <w:r>
        <w:rPr>
          <w:rFonts w:ascii="仿宋_GB2312" w:hAnsi="仿宋" w:eastAsia="仿宋_GB2312" w:cs="仿宋_GB2312"/>
          <w:b/>
          <w:sz w:val="24"/>
        </w:rPr>
        <w:t xml:space="preserve">    </w:t>
      </w:r>
    </w:p>
    <w:p>
      <w:pPr>
        <w:jc w:val="center"/>
        <w:rPr>
          <w:rFonts w:hint="eastAsia" w:ascii="仿宋_GB2312" w:hAnsi="仿宋" w:eastAsia="仿宋_GB2312" w:cs="仿宋_GB2312"/>
          <w:b/>
          <w:kern w:val="0"/>
          <w:sz w:val="32"/>
          <w:szCs w:val="32"/>
          <w:lang w:val="zh-CN"/>
        </w:rPr>
      </w:pPr>
    </w:p>
    <w:p>
      <w:pPr>
        <w:jc w:val="center"/>
        <w:rPr>
          <w:rFonts w:hint="eastAsia"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lang w:eastAsia="zh-CN"/>
        </w:rPr>
        <w:t>杭州市余杭区未来科技城单元控制性详细规划及重点地区城市设计</w:t>
      </w:r>
      <w:r>
        <w:rPr>
          <w:rFonts w:hint="eastAsia" w:ascii="仿宋_GB2312" w:hAnsi="仿宋" w:eastAsia="仿宋_GB2312" w:cs="仿宋_GB2312"/>
          <w:sz w:val="24"/>
        </w:rPr>
        <w:t>【招标编号：</w:t>
      </w:r>
      <w:r>
        <w:rPr>
          <w:rFonts w:hint="eastAsia" w:ascii="仿宋_GB2312" w:hAnsi="仿宋" w:eastAsia="仿宋_GB2312"/>
          <w:sz w:val="24"/>
        </w:rPr>
        <w:t>HCZX-22189</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微企业合同金额达到</w:t>
      </w:r>
      <w:r>
        <w:rPr>
          <w:rFonts w:ascii="仿宋_GB2312" w:hAnsi="仿宋" w:eastAsia="仿宋_GB2312"/>
          <w:sz w:val="24"/>
          <w:u w:val="single"/>
        </w:rPr>
        <w:t xml:space="preserve"> </w:t>
      </w:r>
      <w:r>
        <w:rPr>
          <w:rFonts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b/>
          <w:kern w:val="0"/>
          <w:sz w:val="32"/>
          <w:szCs w:val="32"/>
        </w:rPr>
      </w:pPr>
      <w:r>
        <w:rPr>
          <w:rFonts w:ascii="仿宋_GB2312" w:hAnsi="仿宋" w:eastAsia="仿宋_GB2312" w:cs="仿宋_GB2312"/>
          <w:kern w:val="0"/>
          <w:sz w:val="24"/>
          <w:lang w:val="zh-CN"/>
        </w:rPr>
        <w:t xml:space="preserve">                                               日期：  年  月   日</w:t>
      </w: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br w:type="page"/>
      </w: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2</w:t>
      </w:r>
      <w:r>
        <w:rPr>
          <w:rFonts w:ascii="仿宋_GB2312" w:hAnsi="仿宋" w:eastAsia="仿宋_GB2312" w:cs="仿宋_GB2312"/>
          <w:sz w:val="24"/>
        </w:rPr>
        <w:t>）联合协议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3</w:t>
      </w:r>
      <w:r>
        <w:rPr>
          <w:rFonts w:ascii="仿宋_GB2312" w:hAnsi="仿宋" w:eastAsia="仿宋_GB2312" w:cs="仿宋_GB2312"/>
          <w:sz w:val="24"/>
        </w:rPr>
        <w:t>）分包意向协议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4</w:t>
      </w:r>
      <w:r>
        <w:rPr>
          <w:rFonts w:ascii="仿宋_GB2312" w:hAnsi="仿宋" w:eastAsia="仿宋_GB2312" w:cs="仿宋_GB2312"/>
          <w:sz w:val="24"/>
        </w:rPr>
        <w:t>）符合性审查资料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5</w:t>
      </w:r>
      <w:r>
        <w:rPr>
          <w:rFonts w:ascii="仿宋_GB2312" w:hAnsi="仿宋" w:eastAsia="仿宋_GB2312" w:cs="仿宋_GB2312"/>
          <w:sz w:val="24"/>
        </w:rPr>
        <w:t>）评标标准相应的商务技术资料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hint="eastAsia" w:ascii="仿宋_GB2312" w:hAnsi="仿宋" w:eastAsia="仿宋_GB2312" w:cs="仿宋_GB2312"/>
          <w:sz w:val="24"/>
          <w:lang w:val="en-US" w:eastAsia="zh-CN"/>
        </w:rPr>
        <w:t>6</w:t>
      </w:r>
      <w:r>
        <w:rPr>
          <w:rFonts w:ascii="仿宋_GB2312" w:hAnsi="仿宋" w:eastAsia="仿宋_GB2312" w:cs="仿宋_GB2312"/>
          <w:sz w:val="24"/>
        </w:rPr>
        <w:t>）商务技术偏离表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lang w:val="en-US" w:eastAsia="zh-CN"/>
        </w:rPr>
        <w:t>7</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rPr>
          <w:rFonts w:hint="eastAsia"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杭州市规划和自然资源局、华诚工程咨询集团有限公司：</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w:t>
      </w:r>
      <w:r>
        <w:rPr>
          <w:rFonts w:hint="eastAsia" w:ascii="仿宋_GB2312" w:hAnsi="仿宋" w:eastAsia="仿宋_GB2312" w:cs="仿宋_GB2312"/>
          <w:sz w:val="24"/>
          <w:lang w:eastAsia="zh-CN"/>
        </w:rPr>
        <w:t>杭州市余杭区未来科技城单元控制性详细规划及重点地区城市设计</w:t>
      </w:r>
      <w:r>
        <w:rPr>
          <w:rFonts w:hint="eastAsia" w:ascii="仿宋_GB2312" w:hAnsi="仿宋" w:eastAsia="仿宋_GB2312" w:cs="仿宋_GB2312"/>
          <w:sz w:val="24"/>
        </w:rPr>
        <w:t>【招标编号：</w:t>
      </w:r>
      <w:r>
        <w:rPr>
          <w:rFonts w:hint="eastAsia" w:ascii="仿宋_GB2312" w:hAnsi="仿宋" w:eastAsia="仿宋_GB2312"/>
          <w:sz w:val="24"/>
        </w:rPr>
        <w:t>HCZX-22189</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pStyle w:val="63"/>
        <w:ind w:firstLine="480"/>
        <w:rPr>
          <w:rFonts w:ascii="仿宋_GB2312" w:hAnsi="仿宋" w:eastAsia="仿宋_GB2312" w:cs="仿宋_GB2312"/>
          <w:sz w:val="24"/>
        </w:rPr>
      </w:pPr>
      <w:r>
        <w:rPr>
          <w:rFonts w:hint="eastAsia" w:ascii="仿宋_GB2312" w:hAnsi="仿宋" w:eastAsia="仿宋_GB2312" w:cs="仿宋_GB2312"/>
          <w:sz w:val="24"/>
        </w:rPr>
        <w:t>2.1.1营业执照</w:t>
      </w:r>
    </w:p>
    <w:p>
      <w:pPr>
        <w:pStyle w:val="63"/>
        <w:ind w:firstLine="480"/>
        <w:rPr>
          <w:rFonts w:ascii="仿宋_GB2312" w:hAnsi="仿宋" w:eastAsia="仿宋_GB2312" w:cs="仿宋_GB2312"/>
          <w:sz w:val="24"/>
        </w:rPr>
      </w:pPr>
      <w:r>
        <w:rPr>
          <w:rFonts w:hint="eastAsia" w:ascii="仿宋_GB2312" w:hAnsi="仿宋" w:eastAsia="仿宋_GB2312" w:cs="仿宋_GB2312"/>
          <w:sz w:val="24"/>
        </w:rPr>
        <w:t>2.2.2</w:t>
      </w:r>
      <w:r>
        <w:rPr>
          <w:rFonts w:ascii="仿宋_GB2312" w:hAnsi="仿宋" w:eastAsia="仿宋_GB2312" w:cs="仿宋_GB2312"/>
          <w:sz w:val="24"/>
        </w:rPr>
        <w:t>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w:t>
      </w:r>
      <w:r>
        <w:rPr>
          <w:rFonts w:hint="eastAsia" w:ascii="仿宋_GB2312" w:hAnsi="仿宋" w:eastAsia="仿宋_GB2312" w:cs="仿宋_GB2312"/>
          <w:sz w:val="24"/>
        </w:rPr>
        <w:t>3符合参加政府采购活动应当具备的一般条件的承诺函；</w:t>
      </w:r>
    </w:p>
    <w:p>
      <w:pPr>
        <w:snapToGrid w:val="0"/>
        <w:spacing w:line="360" w:lineRule="auto"/>
        <w:ind w:left="420" w:leftChars="200" w:firstLine="480" w:firstLineChars="200"/>
        <w:rPr>
          <w:rFonts w:ascii="仿宋_GB2312" w:hAnsi="仿宋" w:eastAsia="仿宋_GB2312" w:cs="仿宋_GB2312"/>
          <w:sz w:val="24"/>
        </w:rPr>
      </w:pPr>
      <w:r>
        <w:rPr>
          <w:rFonts w:hint="eastAsia" w:ascii="仿宋_GB2312" w:hAnsi="仿宋" w:eastAsia="仿宋_GB2312" w:cs="仿宋_GB2312"/>
          <w:sz w:val="24"/>
        </w:rPr>
        <w:t>2.1.4投标供应商不属于公益一类事业单位、使用事业编制且由财政拨款保障的群团组织的承诺函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w:t>
      </w:r>
      <w:r>
        <w:rPr>
          <w:rFonts w:hint="eastAsia" w:ascii="仿宋_GB2312" w:hAnsi="仿宋" w:eastAsia="仿宋_GB2312" w:cs="仿宋_GB2312"/>
          <w:sz w:val="24"/>
        </w:rPr>
        <w:t>5</w:t>
      </w:r>
      <w:r>
        <w:rPr>
          <w:rFonts w:ascii="仿宋_GB2312" w:hAnsi="仿宋" w:eastAsia="仿宋_GB2312" w:cs="仿宋_GB2312"/>
          <w:sz w:val="24"/>
        </w:rPr>
        <w:t>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w:t>
      </w:r>
      <w:r>
        <w:rPr>
          <w:rFonts w:hint="eastAsia" w:ascii="仿宋_GB2312" w:hAnsi="仿宋" w:eastAsia="仿宋_GB2312" w:cs="仿宋_GB2312"/>
          <w:sz w:val="24"/>
        </w:rPr>
        <w:t>6</w:t>
      </w:r>
      <w:r>
        <w:rPr>
          <w:rFonts w:ascii="仿宋_GB2312" w:hAnsi="仿宋" w:eastAsia="仿宋_GB2312" w:cs="仿宋_GB2312"/>
          <w:sz w:val="24"/>
        </w:rPr>
        <w:t>本项目的特定资格要求</w:t>
      </w:r>
      <w:r>
        <w:rPr>
          <w:rFonts w:hint="eastAsia" w:ascii="仿宋_GB2312" w:hAnsi="仿宋" w:eastAsia="仿宋_GB2312" w:cs="仿宋_GB2312"/>
          <w:sz w:val="24"/>
        </w:rPr>
        <w:t>。</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2</w:t>
      </w:r>
      <w:r>
        <w:rPr>
          <w:rFonts w:ascii="仿宋_GB2312" w:hAnsi="仿宋" w:eastAsia="仿宋_GB2312" w:cs="仿宋_GB2312"/>
          <w:sz w:val="24"/>
        </w:rPr>
        <w:t>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3</w:t>
      </w:r>
      <w:r>
        <w:rPr>
          <w:rFonts w:ascii="仿宋_GB2312" w:hAnsi="仿宋" w:eastAsia="仿宋_GB2312" w:cs="仿宋_GB2312"/>
          <w:sz w:val="24"/>
        </w:rPr>
        <w:t>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4</w:t>
      </w:r>
      <w:r>
        <w:rPr>
          <w:rFonts w:ascii="仿宋_GB2312" w:hAnsi="仿宋" w:eastAsia="仿宋_GB2312" w:cs="仿宋_GB2312"/>
          <w:sz w:val="24"/>
        </w:rPr>
        <w:t>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5</w:t>
      </w:r>
      <w:r>
        <w:rPr>
          <w:rFonts w:ascii="仿宋_GB2312" w:hAnsi="仿宋" w:eastAsia="仿宋_GB2312" w:cs="仿宋_GB2312"/>
          <w:sz w:val="24"/>
        </w:rPr>
        <w:t>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6</w:t>
      </w:r>
      <w:r>
        <w:rPr>
          <w:rFonts w:ascii="仿宋_GB2312" w:hAnsi="仿宋" w:eastAsia="仿宋_GB2312" w:cs="仿宋_GB2312"/>
          <w:sz w:val="24"/>
        </w:rPr>
        <w:t>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hint="eastAsia" w:ascii="仿宋_GB2312" w:hAnsi="仿宋" w:eastAsia="仿宋_GB2312" w:cs="仿宋_GB2312"/>
          <w:sz w:val="24"/>
        </w:rPr>
        <w:t>7</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投标人名称（电子签名）：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both"/>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二、</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lang w:eastAsia="zh-CN"/>
        </w:rPr>
        <w:t>杭州市余杭区未来科技城单元控制性详细规划及重点地区城市设计</w:t>
      </w:r>
      <w:r>
        <w:rPr>
          <w:rFonts w:hint="eastAsia" w:ascii="仿宋_GB2312" w:hAnsi="仿宋" w:eastAsia="仿宋_GB2312" w:cs="仿宋_GB2312"/>
          <w:sz w:val="24"/>
        </w:rPr>
        <w:t>【招标编号：</w:t>
      </w:r>
      <w:r>
        <w:rPr>
          <w:rFonts w:hint="eastAsia" w:ascii="仿宋_GB2312" w:hAnsi="仿宋" w:eastAsia="仿宋_GB2312"/>
          <w:sz w:val="24"/>
        </w:rPr>
        <w:t>HCZX-22189</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w:t>
      </w:r>
      <w:r>
        <w:rPr>
          <w:rFonts w:hint="eastAsia" w:ascii="仿宋_GB2312" w:hAnsi="仿宋" w:eastAsia="仿宋_GB2312" w:cs="仿宋_GB2312"/>
          <w:kern w:val="0"/>
          <w:sz w:val="24"/>
          <w:lang w:val="en-US" w:eastAsia="zh-CN"/>
        </w:rPr>
        <w:t>服务</w:t>
      </w:r>
      <w:r>
        <w:rPr>
          <w:rFonts w:hint="eastAsia" w:ascii="仿宋_GB2312" w:hAnsi="仿宋" w:eastAsia="仿宋_GB2312" w:cs="仿宋_GB2312"/>
          <w:kern w:val="0"/>
          <w:sz w:val="24"/>
        </w:rPr>
        <w:t>由小微企业</w:t>
      </w:r>
      <w:r>
        <w:rPr>
          <w:rFonts w:hint="eastAsia" w:ascii="仿宋_GB2312" w:hAnsi="仿宋" w:eastAsia="仿宋_GB2312" w:cs="仿宋_GB2312"/>
          <w:kern w:val="0"/>
          <w:sz w:val="24"/>
          <w:lang w:val="en-US" w:eastAsia="zh-CN"/>
        </w:rPr>
        <w:t>承接</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w:t>
      </w:r>
      <w:r>
        <w:rPr>
          <w:rFonts w:hint="eastAsia" w:ascii="仿宋_GB2312" w:hAnsi="仿宋" w:eastAsia="仿宋_GB2312" w:cs="仿宋_GB2312"/>
          <w:b/>
          <w:kern w:val="0"/>
          <w:sz w:val="24"/>
          <w:lang w:val="en-US" w:eastAsia="zh-CN"/>
        </w:rPr>
        <w:t>服务</w:t>
      </w:r>
      <w:r>
        <w:rPr>
          <w:rFonts w:hint="eastAsia" w:ascii="仿宋_GB2312" w:hAnsi="仿宋" w:eastAsia="仿宋_GB2312" w:cs="仿宋_GB2312"/>
          <w:b/>
          <w:kern w:val="0"/>
          <w:sz w:val="24"/>
          <w:lang w:val="zh-CN"/>
        </w:rPr>
        <w:t>全部由小微企业</w:t>
      </w:r>
      <w:r>
        <w:rPr>
          <w:rFonts w:hint="eastAsia" w:ascii="仿宋_GB2312" w:hAnsi="仿宋" w:eastAsia="仿宋_GB2312" w:cs="仿宋_GB2312"/>
          <w:b/>
          <w:kern w:val="0"/>
          <w:sz w:val="24"/>
          <w:lang w:val="en-US" w:eastAsia="zh-CN"/>
        </w:rPr>
        <w:t>承接</w:t>
      </w:r>
      <w:r>
        <w:rPr>
          <w:rFonts w:hint="eastAsia" w:ascii="仿宋_GB2312" w:hAnsi="仿宋" w:eastAsia="仿宋_GB2312" w:cs="仿宋_GB2312"/>
          <w:b/>
          <w:kern w:val="0"/>
          <w:sz w:val="24"/>
          <w:lang w:val="zh-CN"/>
        </w:rPr>
        <w:t>，且其合同份额占到合同总金额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lang w:eastAsia="zh-CN"/>
        </w:rPr>
        <w:t>杭州市余杭区未来科技城单元控制性详细规划及重点地区城市设计</w:t>
      </w:r>
      <w:r>
        <w:rPr>
          <w:rFonts w:hint="eastAsia" w:ascii="仿宋_GB2312" w:hAnsi="仿宋" w:eastAsia="仿宋_GB2312" w:cs="仿宋_GB2312"/>
          <w:sz w:val="24"/>
        </w:rPr>
        <w:t>【招标编号：</w:t>
      </w:r>
      <w:r>
        <w:rPr>
          <w:rFonts w:hint="eastAsia" w:ascii="仿宋_GB2312" w:hAnsi="仿宋" w:eastAsia="仿宋_GB2312"/>
          <w:sz w:val="24"/>
        </w:rPr>
        <w:t>HCZX-22189</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hint="eastAsia" w:ascii="仿宋_GB2312" w:hAnsi="仿宋" w:eastAsia="仿宋_GB2312" w:cs="仿宋_GB2312"/>
          <w:kern w:val="0"/>
          <w:sz w:val="24"/>
          <w:u w:val="single"/>
        </w:rPr>
        <w:t xml:space="preserve">   XX工作内容  </w:t>
      </w:r>
      <w:r>
        <w:rPr>
          <w:rFonts w:ascii="仿宋_GB2312" w:hAnsi="仿宋" w:eastAsia="仿宋_GB2312"/>
          <w:u w:val="single"/>
        </w:rPr>
        <w:t xml:space="preserve">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w:t>
      </w:r>
      <w:r>
        <w:rPr>
          <w:rFonts w:hint="eastAsia" w:ascii="仿宋_GB2312" w:hAnsi="仿宋" w:eastAsia="仿宋_GB2312" w:cs="仿宋_GB2312"/>
          <w:kern w:val="0"/>
          <w:sz w:val="24"/>
          <w:u w:val="single"/>
          <w:lang w:val="en-US" w:eastAsia="zh-CN"/>
        </w:rPr>
        <w:t>服务</w:t>
      </w:r>
      <w:r>
        <w:rPr>
          <w:rFonts w:hint="eastAsia" w:ascii="仿宋_GB2312" w:hAnsi="仿宋" w:eastAsia="仿宋_GB2312" w:cs="仿宋_GB2312"/>
          <w:kern w:val="0"/>
          <w:sz w:val="24"/>
          <w:u w:val="single"/>
        </w:rPr>
        <w:t>全部由小微企业</w:t>
      </w:r>
      <w:r>
        <w:rPr>
          <w:rFonts w:hint="eastAsia" w:ascii="仿宋_GB2312" w:hAnsi="仿宋" w:eastAsia="仿宋_GB2312" w:cs="仿宋_GB2312"/>
          <w:kern w:val="0"/>
          <w:sz w:val="24"/>
          <w:u w:val="single"/>
          <w:lang w:val="en-US" w:eastAsia="zh-CN"/>
        </w:rPr>
        <w:t>承接</w:t>
      </w:r>
      <w:r>
        <w:rPr>
          <w:rFonts w:hint="eastAsia" w:ascii="仿宋_GB2312" w:hAnsi="仿宋" w:eastAsia="仿宋_GB2312" w:cs="仿宋_GB2312"/>
          <w:kern w:val="0"/>
          <w:sz w:val="24"/>
          <w:u w:val="single"/>
        </w:rPr>
        <w:t>，</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w:t>
      </w:r>
      <w:r>
        <w:rPr>
          <w:rFonts w:hint="eastAsia" w:ascii="仿宋_GB2312" w:hAnsi="仿宋" w:eastAsia="仿宋_GB2312" w:cs="仿宋_GB2312"/>
          <w:b/>
          <w:kern w:val="0"/>
          <w:sz w:val="24"/>
          <w:lang w:val="en-US" w:eastAsia="zh-CN"/>
        </w:rPr>
        <w:t>服务</w:t>
      </w:r>
      <w:r>
        <w:rPr>
          <w:rFonts w:hint="eastAsia" w:ascii="仿宋_GB2312" w:hAnsi="仿宋" w:eastAsia="仿宋_GB2312" w:cs="仿宋_GB2312"/>
          <w:b/>
          <w:kern w:val="0"/>
          <w:sz w:val="24"/>
          <w:lang w:val="zh-CN"/>
        </w:rPr>
        <w:t>全部由小微企业</w:t>
      </w:r>
      <w:r>
        <w:rPr>
          <w:rFonts w:hint="eastAsia" w:ascii="仿宋_GB2312" w:hAnsi="仿宋" w:eastAsia="仿宋_GB2312" w:cs="仿宋_GB2312"/>
          <w:b/>
          <w:kern w:val="0"/>
          <w:sz w:val="24"/>
          <w:lang w:val="en-US" w:eastAsia="zh-CN"/>
        </w:rPr>
        <w:t>承接</w:t>
      </w:r>
      <w:r>
        <w:rPr>
          <w:rFonts w:hint="eastAsia" w:ascii="仿宋_GB2312" w:hAnsi="仿宋" w:eastAsia="仿宋_GB2312" w:cs="仿宋_GB2312"/>
          <w:b/>
          <w:kern w:val="0"/>
          <w:sz w:val="24"/>
          <w:lang w:val="zh-CN"/>
        </w:rPr>
        <w:t>，且其合同份额占到合同总金额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hint="eastAsia" w:ascii="仿宋_GB2312" w:hAnsi="仿宋" w:eastAsia="仿宋_GB2312" w:cs="仿宋_GB2312"/>
          <w:b/>
          <w:kern w:val="0"/>
          <w:sz w:val="24"/>
        </w:rPr>
        <w:t>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四、符合性审查资料</w:t>
      </w:r>
    </w:p>
    <w:p>
      <w:pPr>
        <w:jc w:val="center"/>
        <w:rPr>
          <w:rFonts w:ascii="仿宋_GB2312" w:hAnsi="仿宋" w:eastAsia="仿宋_GB2312" w:cs="仿宋_GB2312"/>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5"/>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系指实质性要求条款，招标文件无其它实质性要求的，无需提供）</w:t>
            </w:r>
          </w:p>
        </w:tc>
        <w:tc>
          <w:tcPr>
            <w:tcW w:w="1418" w:type="dxa"/>
          </w:tcPr>
          <w:p>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五、评标标准相应的商务技术资料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杭州市规划和自然资源局、华诚工程咨询集团有限公司</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杭州市规划和自然资源局、华诚工程咨询集团有限公司</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lang w:eastAsia="zh-CN"/>
        </w:rPr>
        <w:t>杭州市余杭区未来科技城单元控制性详细规划及重点地区城市设计</w:t>
      </w:r>
      <w:r>
        <w:rPr>
          <w:rFonts w:hint="eastAsia" w:ascii="仿宋_GB2312" w:hAnsi="仿宋" w:eastAsia="仿宋_GB2312" w:cs="仿宋_GB2312"/>
          <w:kern w:val="0"/>
          <w:sz w:val="24"/>
          <w:lang w:val="zh-CN"/>
        </w:rPr>
        <w:t>【招标编号：</w:t>
      </w:r>
      <w:r>
        <w:rPr>
          <w:rFonts w:hint="eastAsia" w:ascii="仿宋_GB2312" w:hAnsi="仿宋" w:eastAsia="仿宋_GB2312"/>
          <w:sz w:val="24"/>
        </w:rPr>
        <w:t>HCZX-22189</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141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843" w:type="dxa"/>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3118"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993"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1559"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1984"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3119" w:type="dxa"/>
            <w:vAlign w:val="center"/>
          </w:tcPr>
          <w:p>
            <w:pPr>
              <w:spacing w:line="360" w:lineRule="auto"/>
              <w:jc w:val="center"/>
              <w:rPr>
                <w:rFonts w:ascii="仿宋_GB2312" w:hAnsi="仿宋" w:eastAsia="仿宋_GB2312"/>
                <w:b/>
                <w:sz w:val="24"/>
              </w:rPr>
            </w:pPr>
          </w:p>
          <w:p>
            <w:pPr>
              <w:spacing w:line="360" w:lineRule="auto"/>
              <w:jc w:val="center"/>
              <w:rPr>
                <w:rFonts w:ascii="仿宋_GB2312" w:hAnsi="仿宋" w:eastAsia="仿宋_GB2312" w:cs="仿宋_GB2312"/>
                <w:b/>
                <w:sz w:val="24"/>
              </w:rPr>
            </w:pPr>
            <w:r>
              <w:rPr>
                <w:rFonts w:hint="eastAsia" w:ascii="仿宋_GB2312" w:hAnsi="仿宋" w:eastAsia="仿宋_GB2312"/>
                <w:b/>
                <w:sz w:val="24"/>
              </w:rPr>
              <w:t>服务要求（年限）</w:t>
            </w:r>
          </w:p>
          <w:p>
            <w:pPr>
              <w:spacing w:line="360" w:lineRule="auto"/>
              <w:jc w:val="center"/>
              <w:rPr>
                <w:rFonts w:ascii="仿宋_GB2312" w:hAnsi="仿宋"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843" w:type="dxa"/>
            <w:vAlign w:val="center"/>
          </w:tcPr>
          <w:p>
            <w:pPr>
              <w:snapToGrid w:val="0"/>
              <w:spacing w:line="360" w:lineRule="auto"/>
              <w:jc w:val="center"/>
              <w:rPr>
                <w:rFonts w:ascii="仿宋_GB2312" w:hAnsi="仿宋" w:eastAsia="仿宋_GB2312" w:cs="仿宋_GB2312"/>
                <w:sz w:val="24"/>
              </w:rPr>
            </w:pPr>
          </w:p>
        </w:tc>
        <w:tc>
          <w:tcPr>
            <w:tcW w:w="3118" w:type="dxa"/>
            <w:vAlign w:val="center"/>
          </w:tcPr>
          <w:p>
            <w:pPr>
              <w:snapToGrid w:val="0"/>
              <w:spacing w:line="360" w:lineRule="auto"/>
              <w:jc w:val="center"/>
              <w:rPr>
                <w:rFonts w:ascii="仿宋_GB2312" w:hAnsi="仿宋" w:eastAsia="仿宋_GB2312" w:cs="仿宋_GB2312"/>
                <w:sz w:val="24"/>
              </w:rPr>
            </w:pPr>
          </w:p>
        </w:tc>
        <w:tc>
          <w:tcPr>
            <w:tcW w:w="993" w:type="dxa"/>
            <w:vAlign w:val="center"/>
          </w:tcPr>
          <w:p>
            <w:pPr>
              <w:snapToGrid w:val="0"/>
              <w:spacing w:line="360" w:lineRule="auto"/>
              <w:jc w:val="center"/>
              <w:rPr>
                <w:rFonts w:ascii="仿宋_GB2312" w:hAnsi="仿宋" w:eastAsia="仿宋_GB2312" w:cs="仿宋_GB2312"/>
                <w:sz w:val="24"/>
              </w:rPr>
            </w:pPr>
          </w:p>
        </w:tc>
        <w:tc>
          <w:tcPr>
            <w:tcW w:w="1559" w:type="dxa"/>
            <w:vAlign w:val="center"/>
          </w:tcPr>
          <w:p>
            <w:pPr>
              <w:spacing w:line="360" w:lineRule="auto"/>
              <w:jc w:val="center"/>
              <w:rPr>
                <w:rFonts w:ascii="仿宋_GB2312" w:hAnsi="仿宋" w:eastAsia="仿宋_GB2312" w:cs="仿宋_GB2312"/>
                <w:sz w:val="24"/>
              </w:rPr>
            </w:pPr>
          </w:p>
        </w:tc>
        <w:tc>
          <w:tcPr>
            <w:tcW w:w="1984" w:type="dxa"/>
            <w:vAlign w:val="center"/>
          </w:tcPr>
          <w:p>
            <w:pPr>
              <w:spacing w:line="360" w:lineRule="auto"/>
              <w:jc w:val="center"/>
              <w:rPr>
                <w:rFonts w:ascii="仿宋_GB2312" w:hAnsi="仿宋" w:eastAsia="仿宋_GB2312" w:cs="仿宋_GB2312"/>
                <w:sz w:val="24"/>
              </w:rPr>
            </w:pPr>
          </w:p>
        </w:tc>
        <w:tc>
          <w:tcPr>
            <w:tcW w:w="311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655" w:type="dxa"/>
            <w:gridSpan w:val="4"/>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655" w:type="dxa"/>
            <w:gridSpan w:val="4"/>
            <w:vAlign w:val="center"/>
          </w:tcPr>
          <w:p>
            <w:pPr>
              <w:spacing w:line="360" w:lineRule="auto"/>
              <w:jc w:val="center"/>
              <w:rPr>
                <w:rFonts w:ascii="仿宋_GB2312" w:hAnsi="仿宋" w:eastAsia="仿宋_GB2312" w:cs="仿宋_GB2312"/>
                <w:sz w:val="24"/>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仿宋" w:eastAsia="仿宋_GB2312" w:cs="仿宋_GB2312"/>
          <w:b/>
          <w:sz w:val="24"/>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pStyle w:val="692"/>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5"/>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5"/>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4"/>
        <w:keepNext w:val="0"/>
        <w:keepLines w:val="0"/>
        <w:pageBreakBefore/>
        <w:widowControl/>
        <w:spacing w:before="100" w:beforeAutospacing="1" w:after="100" w:afterAutospacing="1" w:line="360" w:lineRule="auto"/>
        <w:ind w:left="1290" w:firstLine="3092" w:firstLineChars="700"/>
        <w:rPr>
          <w:rFonts w:ascii="仿宋_GB2312" w:hAnsi="仿宋" w:eastAsia="仿宋_GB2312"/>
        </w:rPr>
      </w:pPr>
      <w:bookmarkStart w:id="396" w:name="_Toc465665161"/>
      <w:r>
        <w:rPr>
          <w:rFonts w:hint="eastAsia" w:ascii="仿宋_GB2312" w:hAnsi="仿宋" w:eastAsia="仿宋_GB2312"/>
        </w:rPr>
        <w:t>附件</w:t>
      </w:r>
      <w:bookmarkEnd w:id="396"/>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7" w:name="OLE_LINK14"/>
      <w:bookmarkStart w:id="398" w:name="OLE_LINK13"/>
      <w:r>
        <w:rPr>
          <w:rFonts w:hint="eastAsia" w:ascii="仿宋_GB2312" w:hAnsi="仿宋" w:eastAsia="仿宋_GB2312"/>
          <w:b/>
          <w:spacing w:val="6"/>
          <w:sz w:val="32"/>
          <w:szCs w:val="32"/>
        </w:rPr>
        <w:t>残疾人福利性单位声明函</w:t>
      </w:r>
    </w:p>
    <w:bookmarkEnd w:id="397"/>
    <w:bookmarkEnd w:id="398"/>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spacing w:line="360" w:lineRule="auto"/>
        <w:rPr>
          <w:rFonts w:ascii="仿宋_GB2312" w:hAnsi="仿宋" w:eastAsia="仿宋_GB2312"/>
          <w:sz w:val="24"/>
          <w:u w:val="dotted"/>
        </w:rPr>
      </w:pPr>
      <w:r>
        <w:rPr>
          <w:rFonts w:ascii="仿宋_GB2312" w:hAnsi="仿宋" w:eastAsia="仿宋_GB2312"/>
          <w:sz w:val="24"/>
          <w:u w:val="dotted"/>
        </w:rPr>
        <w:t xml:space="preserve">                                                      </w:t>
      </w: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spacing w:line="360" w:lineRule="auto"/>
        <w:rPr>
          <w:rFonts w:ascii="仿宋_GB2312" w:hAnsi="仿宋" w:eastAsia="仿宋_GB2312"/>
          <w:sz w:val="24"/>
          <w:u w:val="single"/>
        </w:rPr>
      </w:pPr>
      <w:r>
        <w:rPr>
          <w:rFonts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杭州市规划和自然资源局、华诚工程咨询集团有限公司</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lang w:eastAsia="zh-CN"/>
        </w:rPr>
        <w:t>杭州市余杭区未来科技城单元控制性详细规划及重点地区城市设计</w:t>
      </w:r>
      <w:r>
        <w:rPr>
          <w:rFonts w:hint="eastAsia" w:ascii="仿宋_GB2312" w:hAnsi="仿宋" w:eastAsia="仿宋_GB2312" w:cs="仿宋_GB2312"/>
          <w:sz w:val="24"/>
        </w:rPr>
        <w:t>项目</w:t>
      </w:r>
      <w:r>
        <w:rPr>
          <w:rFonts w:hint="eastAsia" w:ascii="仿宋" w:hAnsi="仿宋" w:eastAsia="仿宋" w:cs="仿宋_GB2312"/>
          <w:sz w:val="24"/>
        </w:rPr>
        <w:t>【招标编号：HCZX-22189</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_GB2312" w:hAnsi="仿宋" w:eastAsia="仿宋_GB2312" w:cs="仿宋_GB2312"/>
          <w:b/>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hint="eastAsia" w:ascii="仿宋_GB2312" w:hAnsi="宋体" w:eastAsia="仿宋_GB2312"/>
          <w:sz w:val="24"/>
          <w:u w:val="single"/>
        </w:rPr>
        <w:t>杭州市规划和自然资源局</w:t>
      </w:r>
      <w:r>
        <w:rPr>
          <w:rFonts w:hint="eastAsia" w:ascii="仿宋_GB2312" w:hAnsi="宋体" w:eastAsia="仿宋_GB2312"/>
          <w:sz w:val="24"/>
        </w:rPr>
        <w:t>的</w:t>
      </w:r>
      <w:r>
        <w:rPr>
          <w:rFonts w:ascii="仿宋_GB2312" w:hAnsi="宋体" w:eastAsia="仿宋_GB2312"/>
          <w:sz w:val="24"/>
          <w:u w:val="single"/>
        </w:rPr>
        <w:t xml:space="preserve"> </w:t>
      </w:r>
      <w:r>
        <w:rPr>
          <w:rFonts w:hint="eastAsia" w:ascii="仿宋_GB2312" w:hAnsi="宋体" w:eastAsia="仿宋_GB2312"/>
          <w:sz w:val="24"/>
          <w:u w:val="single"/>
          <w:lang w:eastAsia="zh-CN"/>
        </w:rPr>
        <w:t>杭州市余杭区未来科技城单元控制性详细规划及重点地区城市设计</w:t>
      </w:r>
      <w:r>
        <w:rPr>
          <w:rFonts w:hint="eastAsia" w:ascii="仿宋_GB2312" w:hAnsi="宋体" w:eastAsia="仿宋_GB2312"/>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u w:val="single"/>
        </w:rPr>
        <w:t xml:space="preserve">1. </w:t>
      </w:r>
      <w:r>
        <w:rPr>
          <w:rFonts w:hint="eastAsia" w:ascii="仿宋_GB2312" w:hAnsi="宋体" w:eastAsia="仿宋_GB2312"/>
          <w:sz w:val="24"/>
          <w:u w:val="single"/>
          <w:lang w:eastAsia="zh-CN"/>
        </w:rPr>
        <w:t>杭州市余杭区未来科技城单元控制性详细规划及重点地区城市设计</w:t>
      </w:r>
      <w:r>
        <w:rPr>
          <w:rFonts w:hint="eastAsia" w:ascii="仿宋_GB2312" w:hAnsi="宋体" w:eastAsia="仿宋_GB2312"/>
          <w:sz w:val="24"/>
          <w:u w:val="single"/>
        </w:rPr>
        <w:t>，</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其他未列明行业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bCs/>
          <w:sz w:val="24"/>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方正小标宋_GBK">
    <w:altName w:val="Arial Unicode MS"/>
    <w:panose1 w:val="02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bookmarkStart w:id="399" w:name="_Toc91899912"/>
    <w:bookmarkStart w:id="400" w:name="_Toc36110187"/>
    <w:bookmarkStart w:id="401" w:name="_Toc131845147"/>
    <w:bookmarkStart w:id="402" w:name="_Toc164085800"/>
    <w:r>
      <w:rPr>
        <w:rFonts w:hint="eastAsia" w:ascii="仿宋_GB2312" w:eastAsia="仿宋_GB2312"/>
        <w:kern w:val="0"/>
        <w:szCs w:val="21"/>
      </w:rPr>
      <w:t xml:space="preserve"> 页</w:t>
    </w:r>
    <w:bookmarkEnd w:id="399"/>
    <w:bookmarkEnd w:id="400"/>
    <w:bookmarkEnd w:id="401"/>
    <w:bookmarkEnd w:id="40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rPr>
    </w:pPr>
    <w:r>
      <w:fldChar w:fldCharType="begin"/>
    </w:r>
    <w:r>
      <w:rPr>
        <w:rStyle w:val="74"/>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EE5BA"/>
    <w:multiLevelType w:val="singleLevel"/>
    <w:tmpl w:val="821EE5BA"/>
    <w:lvl w:ilvl="0" w:tentative="0">
      <w:start w:val="1"/>
      <w:numFmt w:val="chineseCounting"/>
      <w:suff w:val="space"/>
      <w:lvlText w:val="%1、"/>
      <w:lvlJc w:val="left"/>
      <w:pPr>
        <w:ind w:left="3411" w:firstLine="0"/>
      </w:pPr>
      <w:rPr>
        <w:rFonts w:hint="eastAsia"/>
      </w:rPr>
    </w:lvl>
  </w:abstractNum>
  <w:abstractNum w:abstractNumId="1">
    <w:nsid w:val="8AE967F5"/>
    <w:multiLevelType w:val="singleLevel"/>
    <w:tmpl w:val="8AE967F5"/>
    <w:lvl w:ilvl="0" w:tentative="0">
      <w:start w:val="1"/>
      <w:numFmt w:val="chineseCounting"/>
      <w:suff w:val="nothing"/>
      <w:lvlText w:val="%1、"/>
      <w:lvlJc w:val="left"/>
      <w:rPr>
        <w:rFonts w:hint="eastAsia"/>
      </w:rPr>
    </w:lvl>
  </w:abstractNum>
  <w:abstractNum w:abstractNumId="2">
    <w:nsid w:val="DEF8E0E9"/>
    <w:multiLevelType w:val="singleLevel"/>
    <w:tmpl w:val="DEF8E0E9"/>
    <w:lvl w:ilvl="0" w:tentative="0">
      <w:start w:val="2"/>
      <w:numFmt w:val="chineseCounting"/>
      <w:suff w:val="nothing"/>
      <w:lvlText w:val="（%1）"/>
      <w:lvlJc w:val="left"/>
      <w:rPr>
        <w:rFonts w:hint="eastAsia"/>
      </w:rPr>
    </w:lvl>
  </w:abstractNum>
  <w:abstractNum w:abstractNumId="3">
    <w:nsid w:val="05111AAC"/>
    <w:multiLevelType w:val="multilevel"/>
    <w:tmpl w:val="05111AAC"/>
    <w:lvl w:ilvl="0" w:tentative="0">
      <w:start w:val="1"/>
      <w:numFmt w:val="decimal"/>
      <w:lvlText w:val="%1."/>
      <w:lvlJc w:val="left"/>
      <w:pPr>
        <w:ind w:left="425" w:hanging="425"/>
      </w:pPr>
      <w:rPr>
        <w:rFonts w:hint="eastAsia"/>
      </w:rPr>
    </w:lvl>
    <w:lvl w:ilvl="1" w:tentative="0">
      <w:start w:val="1"/>
      <w:numFmt w:val="decimal"/>
      <w:lvlText w:val="%1.%2."/>
      <w:lvlJc w:val="left"/>
      <w:pPr>
        <w:ind w:left="3828"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jZDM5N2ExMzgwZGY3NTZlYWMzMTYyMGMzNjNhNj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204"/>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9F1"/>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2D3"/>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947"/>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0DA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5B4"/>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152"/>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864"/>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198A"/>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979"/>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826"/>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009"/>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57"/>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7E5"/>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B01"/>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309"/>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83F"/>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EDE"/>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83A"/>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49AD"/>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94C"/>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1C43"/>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09B"/>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FB0"/>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D96"/>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955"/>
    <w:rsid w:val="00D45C61"/>
    <w:rsid w:val="00D45DDC"/>
    <w:rsid w:val="00D5064C"/>
    <w:rsid w:val="00D50C94"/>
    <w:rsid w:val="00D511E7"/>
    <w:rsid w:val="00D517ED"/>
    <w:rsid w:val="00D5251C"/>
    <w:rsid w:val="00D52F56"/>
    <w:rsid w:val="00D539DA"/>
    <w:rsid w:val="00D53E52"/>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E58"/>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C34"/>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1C4B"/>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393105"/>
    <w:rsid w:val="035908D5"/>
    <w:rsid w:val="036634D2"/>
    <w:rsid w:val="03DD35E4"/>
    <w:rsid w:val="03DD389B"/>
    <w:rsid w:val="04076900"/>
    <w:rsid w:val="041A5A3B"/>
    <w:rsid w:val="042311BA"/>
    <w:rsid w:val="04243AF0"/>
    <w:rsid w:val="042B157A"/>
    <w:rsid w:val="048F763B"/>
    <w:rsid w:val="049F330E"/>
    <w:rsid w:val="04AA775C"/>
    <w:rsid w:val="04AF1889"/>
    <w:rsid w:val="04F66F48"/>
    <w:rsid w:val="05234EE7"/>
    <w:rsid w:val="05251E14"/>
    <w:rsid w:val="057C15F6"/>
    <w:rsid w:val="05A16594"/>
    <w:rsid w:val="05A7762D"/>
    <w:rsid w:val="060E5941"/>
    <w:rsid w:val="06110FAF"/>
    <w:rsid w:val="064272A8"/>
    <w:rsid w:val="06493CA7"/>
    <w:rsid w:val="065A6178"/>
    <w:rsid w:val="066F1CF3"/>
    <w:rsid w:val="06930BB8"/>
    <w:rsid w:val="06E1268F"/>
    <w:rsid w:val="07245D42"/>
    <w:rsid w:val="07264C62"/>
    <w:rsid w:val="0779354C"/>
    <w:rsid w:val="08061376"/>
    <w:rsid w:val="08452D77"/>
    <w:rsid w:val="084D3D7F"/>
    <w:rsid w:val="086401F8"/>
    <w:rsid w:val="08751CAA"/>
    <w:rsid w:val="087E4C40"/>
    <w:rsid w:val="08D66AD6"/>
    <w:rsid w:val="08DA33A3"/>
    <w:rsid w:val="08E80F13"/>
    <w:rsid w:val="09335624"/>
    <w:rsid w:val="0944690F"/>
    <w:rsid w:val="09535675"/>
    <w:rsid w:val="095F057D"/>
    <w:rsid w:val="09642282"/>
    <w:rsid w:val="096B5044"/>
    <w:rsid w:val="09733572"/>
    <w:rsid w:val="09772C16"/>
    <w:rsid w:val="098353B5"/>
    <w:rsid w:val="09A92330"/>
    <w:rsid w:val="09B06B87"/>
    <w:rsid w:val="09C13146"/>
    <w:rsid w:val="09E04166"/>
    <w:rsid w:val="0A1C0718"/>
    <w:rsid w:val="0A3E7710"/>
    <w:rsid w:val="0A5B7E63"/>
    <w:rsid w:val="0AA374A5"/>
    <w:rsid w:val="0AAB7649"/>
    <w:rsid w:val="0ABC5606"/>
    <w:rsid w:val="0AC56FC3"/>
    <w:rsid w:val="0B30404E"/>
    <w:rsid w:val="0B4C6C14"/>
    <w:rsid w:val="0B631A88"/>
    <w:rsid w:val="0B683D45"/>
    <w:rsid w:val="0B7F3F11"/>
    <w:rsid w:val="0B884417"/>
    <w:rsid w:val="0BB22443"/>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920E6"/>
    <w:rsid w:val="101B6F87"/>
    <w:rsid w:val="10646583"/>
    <w:rsid w:val="107D4B15"/>
    <w:rsid w:val="108A3C80"/>
    <w:rsid w:val="109E0F35"/>
    <w:rsid w:val="10C26171"/>
    <w:rsid w:val="10F33360"/>
    <w:rsid w:val="10FC16EA"/>
    <w:rsid w:val="110F1D40"/>
    <w:rsid w:val="11266F33"/>
    <w:rsid w:val="1145675F"/>
    <w:rsid w:val="115743CE"/>
    <w:rsid w:val="118733C4"/>
    <w:rsid w:val="118963A1"/>
    <w:rsid w:val="11C6522A"/>
    <w:rsid w:val="11E104CC"/>
    <w:rsid w:val="11E20309"/>
    <w:rsid w:val="11F45F21"/>
    <w:rsid w:val="12255233"/>
    <w:rsid w:val="123677D6"/>
    <w:rsid w:val="12530213"/>
    <w:rsid w:val="127723A9"/>
    <w:rsid w:val="12862074"/>
    <w:rsid w:val="12883966"/>
    <w:rsid w:val="129E45B4"/>
    <w:rsid w:val="12D81596"/>
    <w:rsid w:val="12D94912"/>
    <w:rsid w:val="13072A44"/>
    <w:rsid w:val="135A29C2"/>
    <w:rsid w:val="135F4BE2"/>
    <w:rsid w:val="139B1A0A"/>
    <w:rsid w:val="139D25C7"/>
    <w:rsid w:val="13BF3CE4"/>
    <w:rsid w:val="141008D8"/>
    <w:rsid w:val="14125FE6"/>
    <w:rsid w:val="143F5126"/>
    <w:rsid w:val="146D271E"/>
    <w:rsid w:val="14982588"/>
    <w:rsid w:val="149A5AD9"/>
    <w:rsid w:val="14A7619D"/>
    <w:rsid w:val="14F8232F"/>
    <w:rsid w:val="150536C3"/>
    <w:rsid w:val="150A30ED"/>
    <w:rsid w:val="150C1963"/>
    <w:rsid w:val="150D7953"/>
    <w:rsid w:val="151447A0"/>
    <w:rsid w:val="154A6454"/>
    <w:rsid w:val="15762120"/>
    <w:rsid w:val="15EF3DB9"/>
    <w:rsid w:val="16A8729C"/>
    <w:rsid w:val="16B33777"/>
    <w:rsid w:val="16BC70A7"/>
    <w:rsid w:val="16C6339E"/>
    <w:rsid w:val="16CA00E1"/>
    <w:rsid w:val="172F2D79"/>
    <w:rsid w:val="17557BEF"/>
    <w:rsid w:val="17D349C1"/>
    <w:rsid w:val="1830729E"/>
    <w:rsid w:val="1870062C"/>
    <w:rsid w:val="18734A75"/>
    <w:rsid w:val="18817102"/>
    <w:rsid w:val="18830A15"/>
    <w:rsid w:val="18852B28"/>
    <w:rsid w:val="188B5321"/>
    <w:rsid w:val="19932372"/>
    <w:rsid w:val="19A20DD5"/>
    <w:rsid w:val="19A660BD"/>
    <w:rsid w:val="19AE03F1"/>
    <w:rsid w:val="1A071A03"/>
    <w:rsid w:val="1A1F16AE"/>
    <w:rsid w:val="1A3B5C77"/>
    <w:rsid w:val="1A984BAD"/>
    <w:rsid w:val="1A9D0BB2"/>
    <w:rsid w:val="1AA87F3A"/>
    <w:rsid w:val="1AB8220E"/>
    <w:rsid w:val="1AE4166C"/>
    <w:rsid w:val="1AF06CFB"/>
    <w:rsid w:val="1AF11B8D"/>
    <w:rsid w:val="1B11359C"/>
    <w:rsid w:val="1B2A271F"/>
    <w:rsid w:val="1B4C0051"/>
    <w:rsid w:val="1B530544"/>
    <w:rsid w:val="1B713184"/>
    <w:rsid w:val="1B9569CF"/>
    <w:rsid w:val="1BA209CF"/>
    <w:rsid w:val="1BB4777D"/>
    <w:rsid w:val="1BD75AB8"/>
    <w:rsid w:val="1C0459C2"/>
    <w:rsid w:val="1C1B3B4A"/>
    <w:rsid w:val="1C88086E"/>
    <w:rsid w:val="1D266CE1"/>
    <w:rsid w:val="1D3963AF"/>
    <w:rsid w:val="1D6A673C"/>
    <w:rsid w:val="1D9247AE"/>
    <w:rsid w:val="1DB567EC"/>
    <w:rsid w:val="1DB606D8"/>
    <w:rsid w:val="1DF51A98"/>
    <w:rsid w:val="1E3D060F"/>
    <w:rsid w:val="1E3F7D2E"/>
    <w:rsid w:val="1E4134E4"/>
    <w:rsid w:val="1E5062B3"/>
    <w:rsid w:val="1E523514"/>
    <w:rsid w:val="1E714A66"/>
    <w:rsid w:val="1E802593"/>
    <w:rsid w:val="1EA703CC"/>
    <w:rsid w:val="1EB7330C"/>
    <w:rsid w:val="1F0A0FF3"/>
    <w:rsid w:val="1F5771FF"/>
    <w:rsid w:val="1FA22B66"/>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2B4481"/>
    <w:rsid w:val="245375B0"/>
    <w:rsid w:val="24642C0A"/>
    <w:rsid w:val="24B22173"/>
    <w:rsid w:val="24B95AD9"/>
    <w:rsid w:val="24BE24DA"/>
    <w:rsid w:val="24CF5825"/>
    <w:rsid w:val="24D663E6"/>
    <w:rsid w:val="24D77F2B"/>
    <w:rsid w:val="2587443C"/>
    <w:rsid w:val="258B00E2"/>
    <w:rsid w:val="25A917A6"/>
    <w:rsid w:val="25BE27CC"/>
    <w:rsid w:val="25F74A5C"/>
    <w:rsid w:val="2628662C"/>
    <w:rsid w:val="262D45DE"/>
    <w:rsid w:val="26A53EF9"/>
    <w:rsid w:val="26A94201"/>
    <w:rsid w:val="26AC274F"/>
    <w:rsid w:val="27044A29"/>
    <w:rsid w:val="271D34C8"/>
    <w:rsid w:val="27420C2D"/>
    <w:rsid w:val="276142BF"/>
    <w:rsid w:val="27783712"/>
    <w:rsid w:val="27907362"/>
    <w:rsid w:val="28333E1D"/>
    <w:rsid w:val="28454BD6"/>
    <w:rsid w:val="28455253"/>
    <w:rsid w:val="28551971"/>
    <w:rsid w:val="285B1C53"/>
    <w:rsid w:val="289F7086"/>
    <w:rsid w:val="28C32028"/>
    <w:rsid w:val="28CC490F"/>
    <w:rsid w:val="28DE40AA"/>
    <w:rsid w:val="29150D11"/>
    <w:rsid w:val="292559B5"/>
    <w:rsid w:val="29345E77"/>
    <w:rsid w:val="294C65AD"/>
    <w:rsid w:val="29555577"/>
    <w:rsid w:val="29806583"/>
    <w:rsid w:val="298B3C4C"/>
    <w:rsid w:val="29E8280E"/>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374F5B"/>
    <w:rsid w:val="2CE82D6F"/>
    <w:rsid w:val="2D040005"/>
    <w:rsid w:val="2D2B489E"/>
    <w:rsid w:val="2D343236"/>
    <w:rsid w:val="2DD15014"/>
    <w:rsid w:val="2DD6064D"/>
    <w:rsid w:val="2DF72DE4"/>
    <w:rsid w:val="2E0220AF"/>
    <w:rsid w:val="2E466157"/>
    <w:rsid w:val="2E4B082A"/>
    <w:rsid w:val="2E5D4E86"/>
    <w:rsid w:val="2E5D790B"/>
    <w:rsid w:val="2E9A3C18"/>
    <w:rsid w:val="2EBB0FEE"/>
    <w:rsid w:val="2EC63002"/>
    <w:rsid w:val="2F0A6B38"/>
    <w:rsid w:val="2F2564F1"/>
    <w:rsid w:val="2F946CCB"/>
    <w:rsid w:val="2FD25781"/>
    <w:rsid w:val="2FFD7934"/>
    <w:rsid w:val="30733ACD"/>
    <w:rsid w:val="308C3862"/>
    <w:rsid w:val="309379D8"/>
    <w:rsid w:val="30952E04"/>
    <w:rsid w:val="30A270F7"/>
    <w:rsid w:val="30AA3F63"/>
    <w:rsid w:val="30C005BE"/>
    <w:rsid w:val="30DF1478"/>
    <w:rsid w:val="30EC586F"/>
    <w:rsid w:val="319C6071"/>
    <w:rsid w:val="31A6397F"/>
    <w:rsid w:val="31AC537E"/>
    <w:rsid w:val="31E3679B"/>
    <w:rsid w:val="31E732FD"/>
    <w:rsid w:val="32517576"/>
    <w:rsid w:val="32BE5C2C"/>
    <w:rsid w:val="32DB67B5"/>
    <w:rsid w:val="32DE6539"/>
    <w:rsid w:val="32F87F41"/>
    <w:rsid w:val="32FB6478"/>
    <w:rsid w:val="33263B3F"/>
    <w:rsid w:val="33307E45"/>
    <w:rsid w:val="336963EB"/>
    <w:rsid w:val="33816EEB"/>
    <w:rsid w:val="33EB55CD"/>
    <w:rsid w:val="33EC4C02"/>
    <w:rsid w:val="340D2360"/>
    <w:rsid w:val="340F07FD"/>
    <w:rsid w:val="3410665D"/>
    <w:rsid w:val="34211214"/>
    <w:rsid w:val="342A490D"/>
    <w:rsid w:val="342E63AB"/>
    <w:rsid w:val="34744190"/>
    <w:rsid w:val="34950E68"/>
    <w:rsid w:val="34986E94"/>
    <w:rsid w:val="34AB6505"/>
    <w:rsid w:val="34AF62C9"/>
    <w:rsid w:val="34CB4388"/>
    <w:rsid w:val="34DA79F4"/>
    <w:rsid w:val="34FA6E12"/>
    <w:rsid w:val="358D5588"/>
    <w:rsid w:val="363A3B40"/>
    <w:rsid w:val="365302AE"/>
    <w:rsid w:val="36607A0A"/>
    <w:rsid w:val="36646F24"/>
    <w:rsid w:val="366E227C"/>
    <w:rsid w:val="366F2E0D"/>
    <w:rsid w:val="367B6A5C"/>
    <w:rsid w:val="36A74ADA"/>
    <w:rsid w:val="36AD60D5"/>
    <w:rsid w:val="36B0799D"/>
    <w:rsid w:val="36B224F9"/>
    <w:rsid w:val="36EC0CC9"/>
    <w:rsid w:val="373F410B"/>
    <w:rsid w:val="37726A56"/>
    <w:rsid w:val="37AA75FE"/>
    <w:rsid w:val="37B77B77"/>
    <w:rsid w:val="37EE7094"/>
    <w:rsid w:val="38296C89"/>
    <w:rsid w:val="383002EB"/>
    <w:rsid w:val="38586797"/>
    <w:rsid w:val="38650511"/>
    <w:rsid w:val="389F5471"/>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797113"/>
    <w:rsid w:val="3D830958"/>
    <w:rsid w:val="3D8734BB"/>
    <w:rsid w:val="3D973F79"/>
    <w:rsid w:val="3D9A11D4"/>
    <w:rsid w:val="3DA16D89"/>
    <w:rsid w:val="3DA364BE"/>
    <w:rsid w:val="3DE041CB"/>
    <w:rsid w:val="3E0D48F6"/>
    <w:rsid w:val="3E1868B4"/>
    <w:rsid w:val="3E377251"/>
    <w:rsid w:val="3E42664B"/>
    <w:rsid w:val="3E5A7334"/>
    <w:rsid w:val="3E7B5D6B"/>
    <w:rsid w:val="3E843E66"/>
    <w:rsid w:val="3E8F51FE"/>
    <w:rsid w:val="3E926F87"/>
    <w:rsid w:val="3E9A59DE"/>
    <w:rsid w:val="3E9B697F"/>
    <w:rsid w:val="3EAF4836"/>
    <w:rsid w:val="3EC33DFA"/>
    <w:rsid w:val="3F060E16"/>
    <w:rsid w:val="3F1D1096"/>
    <w:rsid w:val="3F2F0234"/>
    <w:rsid w:val="3F6363FE"/>
    <w:rsid w:val="3F730AEC"/>
    <w:rsid w:val="3F756B8F"/>
    <w:rsid w:val="3F95482B"/>
    <w:rsid w:val="4019356B"/>
    <w:rsid w:val="40592157"/>
    <w:rsid w:val="406E1CAE"/>
    <w:rsid w:val="40A0133A"/>
    <w:rsid w:val="40C31A53"/>
    <w:rsid w:val="40FF545D"/>
    <w:rsid w:val="410067C8"/>
    <w:rsid w:val="41321EB4"/>
    <w:rsid w:val="418F0D2A"/>
    <w:rsid w:val="419C43EF"/>
    <w:rsid w:val="41A7004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4EE0365"/>
    <w:rsid w:val="451B225C"/>
    <w:rsid w:val="452410C9"/>
    <w:rsid w:val="45317DFB"/>
    <w:rsid w:val="4553667F"/>
    <w:rsid w:val="456D3CE4"/>
    <w:rsid w:val="456D49C1"/>
    <w:rsid w:val="4579042C"/>
    <w:rsid w:val="457F0571"/>
    <w:rsid w:val="45851176"/>
    <w:rsid w:val="45C63B94"/>
    <w:rsid w:val="45C650AA"/>
    <w:rsid w:val="45E866C5"/>
    <w:rsid w:val="460E7DA5"/>
    <w:rsid w:val="46422483"/>
    <w:rsid w:val="4659254A"/>
    <w:rsid w:val="465B0637"/>
    <w:rsid w:val="465E3F0D"/>
    <w:rsid w:val="466A16E6"/>
    <w:rsid w:val="46893F2B"/>
    <w:rsid w:val="46C4686E"/>
    <w:rsid w:val="477B778F"/>
    <w:rsid w:val="478203EC"/>
    <w:rsid w:val="479A505F"/>
    <w:rsid w:val="47B025FA"/>
    <w:rsid w:val="47EA3C4F"/>
    <w:rsid w:val="4809698F"/>
    <w:rsid w:val="4811697D"/>
    <w:rsid w:val="487A3E25"/>
    <w:rsid w:val="487E368D"/>
    <w:rsid w:val="488B5503"/>
    <w:rsid w:val="48937E21"/>
    <w:rsid w:val="489A0361"/>
    <w:rsid w:val="48B94FF3"/>
    <w:rsid w:val="48E37AAB"/>
    <w:rsid w:val="48FD4B4C"/>
    <w:rsid w:val="48FF3701"/>
    <w:rsid w:val="490A68E0"/>
    <w:rsid w:val="491055FE"/>
    <w:rsid w:val="49207CBB"/>
    <w:rsid w:val="495F5B3E"/>
    <w:rsid w:val="496F77D7"/>
    <w:rsid w:val="497654FD"/>
    <w:rsid w:val="499D69D0"/>
    <w:rsid w:val="49B64211"/>
    <w:rsid w:val="49F6167F"/>
    <w:rsid w:val="4A00525B"/>
    <w:rsid w:val="4A064FA0"/>
    <w:rsid w:val="4A16615C"/>
    <w:rsid w:val="4A4424D7"/>
    <w:rsid w:val="4AB82D0F"/>
    <w:rsid w:val="4ADE012D"/>
    <w:rsid w:val="4AEB7664"/>
    <w:rsid w:val="4AFD7C19"/>
    <w:rsid w:val="4B0567D1"/>
    <w:rsid w:val="4B236AAE"/>
    <w:rsid w:val="4B707271"/>
    <w:rsid w:val="4B9739F7"/>
    <w:rsid w:val="4BCA69F6"/>
    <w:rsid w:val="4BEE2503"/>
    <w:rsid w:val="4C1258E3"/>
    <w:rsid w:val="4C1F3EFD"/>
    <w:rsid w:val="4C245A30"/>
    <w:rsid w:val="4C4A4B7E"/>
    <w:rsid w:val="4CB6685F"/>
    <w:rsid w:val="4CC367FE"/>
    <w:rsid w:val="4D077F3C"/>
    <w:rsid w:val="4D123355"/>
    <w:rsid w:val="4D2A3B31"/>
    <w:rsid w:val="4D312C52"/>
    <w:rsid w:val="4D905305"/>
    <w:rsid w:val="4D9505B9"/>
    <w:rsid w:val="4D964A72"/>
    <w:rsid w:val="4D9C1254"/>
    <w:rsid w:val="4DF54091"/>
    <w:rsid w:val="4E146393"/>
    <w:rsid w:val="4E793892"/>
    <w:rsid w:val="4E800872"/>
    <w:rsid w:val="4EC569ED"/>
    <w:rsid w:val="4ED50EA1"/>
    <w:rsid w:val="4EEC050C"/>
    <w:rsid w:val="4F0127F7"/>
    <w:rsid w:val="4F104EC3"/>
    <w:rsid w:val="4F47354A"/>
    <w:rsid w:val="4F8A34D7"/>
    <w:rsid w:val="4F911C54"/>
    <w:rsid w:val="4FE625E0"/>
    <w:rsid w:val="5021480F"/>
    <w:rsid w:val="503620FE"/>
    <w:rsid w:val="50962ECB"/>
    <w:rsid w:val="50A42E38"/>
    <w:rsid w:val="50A4577F"/>
    <w:rsid w:val="50B73D1F"/>
    <w:rsid w:val="50BD5BC9"/>
    <w:rsid w:val="50C11EEE"/>
    <w:rsid w:val="50E97CFC"/>
    <w:rsid w:val="50FA4028"/>
    <w:rsid w:val="510D65B7"/>
    <w:rsid w:val="511157AB"/>
    <w:rsid w:val="5142540C"/>
    <w:rsid w:val="51711B25"/>
    <w:rsid w:val="518832C8"/>
    <w:rsid w:val="51A0432A"/>
    <w:rsid w:val="51A86090"/>
    <w:rsid w:val="51B7396D"/>
    <w:rsid w:val="522E4CC3"/>
    <w:rsid w:val="5244713B"/>
    <w:rsid w:val="52615633"/>
    <w:rsid w:val="52977FD4"/>
    <w:rsid w:val="52A25790"/>
    <w:rsid w:val="52A96B6F"/>
    <w:rsid w:val="52B45975"/>
    <w:rsid w:val="52D94AA4"/>
    <w:rsid w:val="52EA3A62"/>
    <w:rsid w:val="52F50BB8"/>
    <w:rsid w:val="52FC18C1"/>
    <w:rsid w:val="53097272"/>
    <w:rsid w:val="53544462"/>
    <w:rsid w:val="5397158E"/>
    <w:rsid w:val="53F07DF8"/>
    <w:rsid w:val="54013861"/>
    <w:rsid w:val="54487265"/>
    <w:rsid w:val="544D6070"/>
    <w:rsid w:val="54605E1E"/>
    <w:rsid w:val="54B3506A"/>
    <w:rsid w:val="54CA0D16"/>
    <w:rsid w:val="54DD4057"/>
    <w:rsid w:val="54E7490F"/>
    <w:rsid w:val="550764A4"/>
    <w:rsid w:val="550B2BF6"/>
    <w:rsid w:val="550E4E14"/>
    <w:rsid w:val="55214EB5"/>
    <w:rsid w:val="55364EFD"/>
    <w:rsid w:val="555D4828"/>
    <w:rsid w:val="557A4C8B"/>
    <w:rsid w:val="558931E1"/>
    <w:rsid w:val="55923347"/>
    <w:rsid w:val="55925180"/>
    <w:rsid w:val="55983B1B"/>
    <w:rsid w:val="55A8376B"/>
    <w:rsid w:val="55DC29B6"/>
    <w:rsid w:val="55DD4241"/>
    <w:rsid w:val="561C28E9"/>
    <w:rsid w:val="566B6D1E"/>
    <w:rsid w:val="56803504"/>
    <w:rsid w:val="568F568F"/>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AF70D7"/>
    <w:rsid w:val="59F80043"/>
    <w:rsid w:val="5A09252F"/>
    <w:rsid w:val="5A0B2778"/>
    <w:rsid w:val="5A2A7C7B"/>
    <w:rsid w:val="5A3E2560"/>
    <w:rsid w:val="5A5D3B6E"/>
    <w:rsid w:val="5A637A76"/>
    <w:rsid w:val="5A6D33BA"/>
    <w:rsid w:val="5A792B1F"/>
    <w:rsid w:val="5A874767"/>
    <w:rsid w:val="5AAD6F28"/>
    <w:rsid w:val="5AD63A24"/>
    <w:rsid w:val="5B2E1A1D"/>
    <w:rsid w:val="5B4119E9"/>
    <w:rsid w:val="5B843A1C"/>
    <w:rsid w:val="5B873E3F"/>
    <w:rsid w:val="5C02690E"/>
    <w:rsid w:val="5C196DA7"/>
    <w:rsid w:val="5C2A048C"/>
    <w:rsid w:val="5C80234E"/>
    <w:rsid w:val="5C817C69"/>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C10CE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E6BBF"/>
    <w:rsid w:val="61F94C26"/>
    <w:rsid w:val="62000E56"/>
    <w:rsid w:val="624F3E49"/>
    <w:rsid w:val="62632286"/>
    <w:rsid w:val="62885958"/>
    <w:rsid w:val="62A112D7"/>
    <w:rsid w:val="62B1351D"/>
    <w:rsid w:val="62F40B65"/>
    <w:rsid w:val="62FA3514"/>
    <w:rsid w:val="62FC2CFE"/>
    <w:rsid w:val="63024505"/>
    <w:rsid w:val="635B1DB5"/>
    <w:rsid w:val="636107D1"/>
    <w:rsid w:val="63711FED"/>
    <w:rsid w:val="63880DDC"/>
    <w:rsid w:val="638D750D"/>
    <w:rsid w:val="63991438"/>
    <w:rsid w:val="63AC6CC0"/>
    <w:rsid w:val="64055776"/>
    <w:rsid w:val="64240056"/>
    <w:rsid w:val="643E143A"/>
    <w:rsid w:val="64545489"/>
    <w:rsid w:val="648B6EEF"/>
    <w:rsid w:val="64C158BF"/>
    <w:rsid w:val="64CE2EAA"/>
    <w:rsid w:val="653C3090"/>
    <w:rsid w:val="65854376"/>
    <w:rsid w:val="658767BE"/>
    <w:rsid w:val="65892531"/>
    <w:rsid w:val="65AD6941"/>
    <w:rsid w:val="66195831"/>
    <w:rsid w:val="662E75B1"/>
    <w:rsid w:val="66342C2E"/>
    <w:rsid w:val="663E784C"/>
    <w:rsid w:val="665532DC"/>
    <w:rsid w:val="668B6A45"/>
    <w:rsid w:val="672F3F24"/>
    <w:rsid w:val="673E055F"/>
    <w:rsid w:val="67551CE3"/>
    <w:rsid w:val="675537E8"/>
    <w:rsid w:val="67A22552"/>
    <w:rsid w:val="67B22DCC"/>
    <w:rsid w:val="67BE71AA"/>
    <w:rsid w:val="67D90273"/>
    <w:rsid w:val="67DE5875"/>
    <w:rsid w:val="67E55852"/>
    <w:rsid w:val="67EB1AB4"/>
    <w:rsid w:val="67FA1285"/>
    <w:rsid w:val="680D52AE"/>
    <w:rsid w:val="68551F4F"/>
    <w:rsid w:val="687C10C9"/>
    <w:rsid w:val="68840C16"/>
    <w:rsid w:val="68876EFB"/>
    <w:rsid w:val="68884654"/>
    <w:rsid w:val="689F444F"/>
    <w:rsid w:val="68B96DBB"/>
    <w:rsid w:val="68CA2805"/>
    <w:rsid w:val="68E937A3"/>
    <w:rsid w:val="693E15D3"/>
    <w:rsid w:val="69627681"/>
    <w:rsid w:val="6977531D"/>
    <w:rsid w:val="69A67DB5"/>
    <w:rsid w:val="69CC2BFF"/>
    <w:rsid w:val="69FD55B8"/>
    <w:rsid w:val="6A0B1C62"/>
    <w:rsid w:val="6A2406C8"/>
    <w:rsid w:val="6A3209D6"/>
    <w:rsid w:val="6A7D40BB"/>
    <w:rsid w:val="6A92640A"/>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1F1145"/>
    <w:rsid w:val="6E652CEA"/>
    <w:rsid w:val="6E8335BD"/>
    <w:rsid w:val="6E8E12EF"/>
    <w:rsid w:val="6E972936"/>
    <w:rsid w:val="6ECE5F81"/>
    <w:rsid w:val="6ED25FB7"/>
    <w:rsid w:val="6ED338CF"/>
    <w:rsid w:val="6ED446C5"/>
    <w:rsid w:val="6F2A7D94"/>
    <w:rsid w:val="6F8331F1"/>
    <w:rsid w:val="6FAE1A09"/>
    <w:rsid w:val="6FD75BF8"/>
    <w:rsid w:val="707723D0"/>
    <w:rsid w:val="70F5661B"/>
    <w:rsid w:val="71360107"/>
    <w:rsid w:val="713B688E"/>
    <w:rsid w:val="71575856"/>
    <w:rsid w:val="71D43752"/>
    <w:rsid w:val="71EF1D0B"/>
    <w:rsid w:val="71F1796A"/>
    <w:rsid w:val="72154626"/>
    <w:rsid w:val="72191711"/>
    <w:rsid w:val="72262B5D"/>
    <w:rsid w:val="72283FF7"/>
    <w:rsid w:val="722E7212"/>
    <w:rsid w:val="723A0474"/>
    <w:rsid w:val="725923E4"/>
    <w:rsid w:val="72864BF7"/>
    <w:rsid w:val="729023FC"/>
    <w:rsid w:val="72B42609"/>
    <w:rsid w:val="72F346C7"/>
    <w:rsid w:val="73415AB2"/>
    <w:rsid w:val="73C0646E"/>
    <w:rsid w:val="742222F5"/>
    <w:rsid w:val="74476126"/>
    <w:rsid w:val="74706664"/>
    <w:rsid w:val="747F3682"/>
    <w:rsid w:val="749C4185"/>
    <w:rsid w:val="75067759"/>
    <w:rsid w:val="752C46EB"/>
    <w:rsid w:val="752E6DCD"/>
    <w:rsid w:val="753B103F"/>
    <w:rsid w:val="7551380D"/>
    <w:rsid w:val="75600BE5"/>
    <w:rsid w:val="75621536"/>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8F56168"/>
    <w:rsid w:val="7904172F"/>
    <w:rsid w:val="790F7E27"/>
    <w:rsid w:val="79126F39"/>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0210A0"/>
    <w:rsid w:val="7B094952"/>
    <w:rsid w:val="7B257FFD"/>
    <w:rsid w:val="7B2E6262"/>
    <w:rsid w:val="7B343476"/>
    <w:rsid w:val="7B5A2978"/>
    <w:rsid w:val="7B5A7E4C"/>
    <w:rsid w:val="7B667AF9"/>
    <w:rsid w:val="7B7468F8"/>
    <w:rsid w:val="7BA61C9C"/>
    <w:rsid w:val="7BEE0103"/>
    <w:rsid w:val="7C0A0FE4"/>
    <w:rsid w:val="7C0D0F69"/>
    <w:rsid w:val="7C1E1C48"/>
    <w:rsid w:val="7C254906"/>
    <w:rsid w:val="7C590818"/>
    <w:rsid w:val="7C7C10F6"/>
    <w:rsid w:val="7C853BEA"/>
    <w:rsid w:val="7C881368"/>
    <w:rsid w:val="7CE27788"/>
    <w:rsid w:val="7D0C32F1"/>
    <w:rsid w:val="7D0F408D"/>
    <w:rsid w:val="7D491C6C"/>
    <w:rsid w:val="7D5429C0"/>
    <w:rsid w:val="7D6E6D43"/>
    <w:rsid w:val="7DB57A34"/>
    <w:rsid w:val="7DE60973"/>
    <w:rsid w:val="7DEF0916"/>
    <w:rsid w:val="7DF30FF9"/>
    <w:rsid w:val="7E1E5218"/>
    <w:rsid w:val="7E3830CF"/>
    <w:rsid w:val="7E9A4E1F"/>
    <w:rsid w:val="7EA7723A"/>
    <w:rsid w:val="7EF56FBB"/>
    <w:rsid w:val="7F0768EB"/>
    <w:rsid w:val="7F143BEC"/>
    <w:rsid w:val="7F715AF2"/>
    <w:rsid w:val="7F886E69"/>
    <w:rsid w:val="7F9FEE1B"/>
    <w:rsid w:val="BB7FA927"/>
    <w:rsid w:val="EFEFD165"/>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4"/>
    <w:qFormat/>
    <w:uiPriority w:val="0"/>
    <w:pPr>
      <w:spacing w:line="480" w:lineRule="exact"/>
      <w:ind w:firstLine="480" w:firstLineChars="200"/>
    </w:pPr>
    <w:rPr>
      <w:rFonts w:ascii="宋体" w:hAnsi="宋体"/>
      <w:sz w:val="24"/>
    </w:rPr>
  </w:style>
  <w:style w:type="paragraph" w:customStyle="1" w:styleId="3">
    <w:name w:val="正文文本首行缩进 2"/>
    <w:basedOn w:val="2"/>
    <w:qFormat/>
    <w:uiPriority w:val="99"/>
    <w:pPr>
      <w:spacing w:line="200" w:lineRule="atLeast"/>
      <w:ind w:firstLine="420"/>
    </w:pPr>
    <w:rPr>
      <w:rFonts w:hAnsi="Courier New"/>
      <w:spacing w:val="-4"/>
      <w:sz w:val="18"/>
    </w:rPr>
  </w:style>
  <w:style w:type="paragraph" w:styleId="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cs="Arial"/>
    </w:rPr>
  </w:style>
  <w:style w:type="paragraph" w:styleId="42">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5"/>
    <w:qFormat/>
    <w:uiPriority w:val="0"/>
    <w:rPr>
      <w:b/>
      <w:bCs/>
    </w:rPr>
  </w:style>
  <w:style w:type="paragraph" w:styleId="62">
    <w:name w:val="Body Text First Indent"/>
    <w:basedOn w:val="25"/>
    <w:next w:val="52"/>
    <w:link w:val="320"/>
    <w:qFormat/>
    <w:uiPriority w:val="0"/>
    <w:pPr>
      <w:ind w:firstLine="420"/>
    </w:pPr>
    <w:rPr>
      <w:rFonts w:hAnsi="Calibri" w:cs="Times New Roman"/>
      <w:snapToGrid/>
      <w:szCs w:val="20"/>
    </w:rPr>
  </w:style>
  <w:style w:type="paragraph" w:styleId="63">
    <w:name w:val="Body Text First Indent 2"/>
    <w:basedOn w:val="2"/>
    <w:link w:val="12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字符"/>
    <w:link w:val="63"/>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1"/>
    <w:qFormat/>
    <w:uiPriority w:val="0"/>
    <w:rPr>
      <w:rFonts w:ascii="Arial" w:hAnsi="Arial" w:eastAsia="黑体" w:cs="Arial"/>
      <w:snapToGrid w:val="0"/>
      <w:kern w:val="0"/>
      <w:szCs w:val="21"/>
    </w:rPr>
  </w:style>
  <w:style w:type="character" w:customStyle="1" w:styleId="12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6"/>
    <w:qFormat/>
    <w:uiPriority w:val="0"/>
    <w:rPr>
      <w:rFonts w:ascii="宋体"/>
      <w:kern w:val="2"/>
      <w:sz w:val="24"/>
      <w:szCs w:val="21"/>
      <w:lang w:val="zh-CN"/>
    </w:rPr>
  </w:style>
  <w:style w:type="character" w:customStyle="1" w:styleId="181">
    <w:name w:val="标题 9 字符"/>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1"/>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4"/>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8"/>
    <w:qFormat/>
    <w:uiPriority w:val="0"/>
    <w:rPr>
      <w:rFonts w:ascii="黑体" w:hAnsi="Courier New" w:eastAsia="黑体"/>
    </w:rPr>
  </w:style>
  <w:style w:type="character" w:customStyle="1" w:styleId="301">
    <w:name w:val="正文文本 2 字符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1"/>
    <w:qFormat/>
    <w:uiPriority w:val="0"/>
    <w:rPr>
      <w:b/>
      <w:bCs/>
      <w:kern w:val="2"/>
      <w:sz w:val="24"/>
      <w:szCs w:val="24"/>
    </w:rPr>
  </w:style>
  <w:style w:type="character" w:customStyle="1" w:styleId="307">
    <w:name w:val="正文文本缩进 2 字符"/>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1"/>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字符"/>
    <w:link w:val="62"/>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qFormat/>
    <w:uiPriority w:val="0"/>
    <w:rPr>
      <w:kern w:val="2"/>
      <w:sz w:val="21"/>
      <w:szCs w:val="24"/>
    </w:rPr>
  </w:style>
  <w:style w:type="character" w:customStyle="1" w:styleId="344">
    <w:name w:val="签名 字符"/>
    <w:link w:val="43"/>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2"/>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7"/>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7"/>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7"/>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4"/>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8"/>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36893</Words>
  <Characters>38621</Characters>
  <Lines>314</Lines>
  <Paragraphs>88</Paragraphs>
  <TotalTime>24</TotalTime>
  <ScaleCrop>false</ScaleCrop>
  <LinksUpToDate>false</LinksUpToDate>
  <CharactersWithSpaces>43044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2022-06-14T10:32:00Z</dcterms:created>
  <dc:creator>玥</dc:creator>
  <cp:lastModifiedBy>JYang、Z</cp:lastModifiedBy>
  <cp:lastPrinted>2021-12-27T11:06:00Z</cp:lastPrinted>
  <dcterms:modified xsi:type="dcterms:W3CDTF">2022-07-22T09:13:19Z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