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2022年第19届亚运会组委会</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cs="宋体"/>
          <w:b/>
          <w:color w:val="auto"/>
          <w:sz w:val="48"/>
          <w:szCs w:val="48"/>
          <w:highlight w:val="none"/>
          <w:lang w:eastAsia="zh-CN"/>
        </w:rPr>
        <w:t>智能交通设施（场馆周边）</w:t>
      </w:r>
      <w:r>
        <w:rPr>
          <w:rFonts w:hint="eastAsia" w:ascii="宋体" w:hAnsi="宋体" w:eastAsia="宋体" w:cs="宋体"/>
          <w:b/>
          <w:color w:val="auto"/>
          <w:sz w:val="48"/>
          <w:szCs w:val="48"/>
          <w:highlight w:val="none"/>
        </w:rPr>
        <w:t>项目</w:t>
      </w: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ZJWS2022-YWH1120</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2022年第19届亚运会组委会</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eastAsia="zh-CN"/>
        </w:rPr>
        <w:t>浙江五石中正工程咨询有限公司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十九</w:t>
      </w:r>
      <w:r>
        <w:rPr>
          <w:rFonts w:hint="eastAsia" w:ascii="宋体" w:hAnsi="宋体" w:eastAsia="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2022年第19届亚运会组委会智能交通设施（场馆周边）</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ZJWS2022-YWH1120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智能交通设施（场馆周边）</w:t>
      </w:r>
      <w:r>
        <w:rPr>
          <w:rFonts w:hint="eastAsia" w:ascii="宋体" w:hAnsi="宋体" w:cs="宋体"/>
          <w:b w:val="0"/>
          <w:bCs/>
          <w:color w:val="auto"/>
          <w:sz w:val="24"/>
          <w:highlight w:val="none"/>
        </w:rPr>
        <w:t>项目</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4570000</w:t>
      </w:r>
    </w:p>
    <w:p>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3268800</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2022年第19届亚运会组委会</w:t>
      </w:r>
      <w:r>
        <w:rPr>
          <w:rFonts w:hint="eastAsia" w:hAnsi="宋体" w:cs="宋体"/>
          <w:b w:val="0"/>
          <w:bCs/>
          <w:color w:val="auto"/>
          <w:sz w:val="24"/>
          <w:highlight w:val="none"/>
          <w:lang w:eastAsia="zh-CN"/>
        </w:rPr>
        <w:t>智能交通设施（场馆周边）</w:t>
      </w:r>
      <w:r>
        <w:rPr>
          <w:rFonts w:hint="eastAsia" w:hAnsi="宋体" w:cs="宋体"/>
          <w:b w:val="0"/>
          <w:bCs/>
          <w:color w:val="auto"/>
          <w:sz w:val="24"/>
          <w:highlight w:val="none"/>
        </w:rPr>
        <w:t>项目</w:t>
      </w:r>
      <w:r>
        <w:rPr>
          <w:rFonts w:hint="eastAsia" w:hAnsi="宋体" w:cs="宋体"/>
          <w:bCs/>
          <w:snapToGrid/>
          <w:color w:val="auto"/>
          <w:kern w:val="2"/>
          <w:sz w:val="24"/>
          <w:szCs w:val="24"/>
          <w:highlight w:val="none"/>
        </w:rPr>
        <w:t>主要内容：奥体场馆群安保圈层交通保障，按照《杭州亚运会竞赛场馆安保工作指南》工作部署和“以面保点、以外保内”的原则，对圈层内交通科技设备进行必要合理的提升补充，提升智能交通感知能力，在奥体场馆群安保圈层范围以</w:t>
      </w:r>
      <w:r>
        <w:rPr>
          <w:rFonts w:hint="eastAsia" w:hAnsi="宋体" w:cs="宋体"/>
          <w:bCs/>
          <w:snapToGrid/>
          <w:color w:val="auto"/>
          <w:kern w:val="2"/>
          <w:sz w:val="24"/>
          <w:szCs w:val="24"/>
          <w:highlight w:val="none"/>
          <w:lang w:val="en-US" w:eastAsia="zh-CN"/>
        </w:rPr>
        <w:t>租赁</w:t>
      </w:r>
      <w:r>
        <w:rPr>
          <w:rFonts w:hint="eastAsia" w:hAnsi="宋体" w:cs="宋体"/>
          <w:bCs/>
          <w:snapToGrid/>
          <w:color w:val="auto"/>
          <w:kern w:val="2"/>
          <w:sz w:val="24"/>
          <w:szCs w:val="24"/>
          <w:highlight w:val="none"/>
        </w:rPr>
        <w:t>方式增加9套高点监控（AR球机）、6套地面监控（400万像素高清球）、</w:t>
      </w:r>
      <w:r>
        <w:rPr>
          <w:rFonts w:hint="eastAsia" w:hAnsi="宋体" w:cs="宋体"/>
          <w:bCs/>
          <w:snapToGrid/>
          <w:color w:val="auto"/>
          <w:kern w:val="2"/>
          <w:sz w:val="24"/>
          <w:szCs w:val="24"/>
          <w:highlight w:val="none"/>
          <w:lang w:val="en-US" w:eastAsia="zh-CN"/>
        </w:rPr>
        <w:t>188</w:t>
      </w:r>
      <w:r>
        <w:rPr>
          <w:rFonts w:hint="eastAsia" w:hAnsi="宋体" w:cs="宋体"/>
          <w:bCs/>
          <w:snapToGrid/>
          <w:color w:val="auto"/>
          <w:kern w:val="2"/>
          <w:sz w:val="24"/>
          <w:szCs w:val="24"/>
          <w:highlight w:val="none"/>
        </w:rPr>
        <w:t>套车辆卡口（900万像素高清卡口）相机。</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2023年</w:t>
      </w:r>
      <w:r>
        <w:rPr>
          <w:rFonts w:hint="eastAsia" w:ascii="宋体" w:hAnsi="宋体" w:cs="宋体"/>
          <w:b w:val="0"/>
          <w:bCs/>
          <w:color w:val="auto"/>
          <w:highlight w:val="none"/>
          <w:lang w:val="en-US" w:eastAsia="zh-CN"/>
        </w:rPr>
        <w:t>8</w:t>
      </w:r>
      <w:r>
        <w:rPr>
          <w:rFonts w:hint="eastAsia" w:ascii="宋体" w:hAnsi="宋体" w:cs="宋体"/>
          <w:b w:val="0"/>
          <w:bCs/>
          <w:color w:val="auto"/>
          <w:highlight w:val="none"/>
        </w:rPr>
        <w:t>月1日前完成租赁设备进场、</w:t>
      </w:r>
      <w:r>
        <w:rPr>
          <w:rFonts w:hint="eastAsia" w:ascii="宋体" w:hAnsi="宋体" w:cs="宋体"/>
          <w:b w:val="0"/>
          <w:bCs/>
          <w:color w:val="auto"/>
          <w:highlight w:val="none"/>
          <w:lang w:val="en-US" w:eastAsia="zh-CN"/>
        </w:rPr>
        <w:t>安装</w:t>
      </w:r>
      <w:r>
        <w:rPr>
          <w:rFonts w:hint="eastAsia" w:ascii="宋体" w:hAnsi="宋体" w:cs="宋体"/>
          <w:b w:val="0"/>
          <w:bCs/>
          <w:color w:val="auto"/>
          <w:highlight w:val="none"/>
        </w:rPr>
        <w:t>、调试，2023年</w:t>
      </w:r>
      <w:r>
        <w:rPr>
          <w:rFonts w:hint="eastAsia" w:ascii="宋体" w:hAnsi="宋体" w:cs="宋体"/>
          <w:b w:val="0"/>
          <w:bCs/>
          <w:color w:val="auto"/>
          <w:highlight w:val="none"/>
          <w:lang w:val="en-US" w:eastAsia="zh-CN"/>
        </w:rPr>
        <w:t>8</w:t>
      </w:r>
      <w:r>
        <w:rPr>
          <w:rFonts w:hint="eastAsia" w:ascii="宋体" w:hAnsi="宋体" w:cs="宋体"/>
          <w:b w:val="0"/>
          <w:bCs/>
          <w:color w:val="auto"/>
          <w:highlight w:val="none"/>
        </w:rPr>
        <w:t>月</w:t>
      </w:r>
      <w:r>
        <w:rPr>
          <w:rFonts w:hint="eastAsia" w:ascii="宋体" w:hAnsi="宋体" w:cs="宋体"/>
          <w:b w:val="0"/>
          <w:bCs/>
          <w:color w:val="auto"/>
          <w:highlight w:val="none"/>
          <w:lang w:val="en-US" w:eastAsia="zh-CN"/>
        </w:rPr>
        <w:t>1</w:t>
      </w:r>
      <w:r>
        <w:rPr>
          <w:rFonts w:hint="eastAsia" w:ascii="宋体" w:hAnsi="宋体" w:cs="宋体"/>
          <w:b w:val="0"/>
          <w:bCs/>
          <w:color w:val="auto"/>
          <w:highlight w:val="none"/>
        </w:rPr>
        <w:t>日至2023年1</w:t>
      </w:r>
      <w:r>
        <w:rPr>
          <w:rFonts w:hint="eastAsia" w:ascii="宋体" w:hAnsi="宋体" w:cs="宋体"/>
          <w:b w:val="0"/>
          <w:bCs/>
          <w:color w:val="auto"/>
          <w:highlight w:val="none"/>
          <w:lang w:val="en-US" w:eastAsia="zh-CN"/>
        </w:rPr>
        <w:t>1</w:t>
      </w:r>
      <w:r>
        <w:rPr>
          <w:rFonts w:hint="eastAsia" w:ascii="宋体" w:hAnsi="宋体" w:cs="宋体"/>
          <w:b w:val="0"/>
          <w:bCs/>
          <w:color w:val="auto"/>
          <w:highlight w:val="none"/>
        </w:rPr>
        <w:t>月</w:t>
      </w:r>
      <w:r>
        <w:rPr>
          <w:rFonts w:hint="eastAsia" w:ascii="宋体" w:hAnsi="宋体" w:cs="宋体"/>
          <w:b w:val="0"/>
          <w:bCs/>
          <w:color w:val="auto"/>
          <w:highlight w:val="none"/>
          <w:lang w:val="en-US" w:eastAsia="zh-CN"/>
        </w:rPr>
        <w:t>30</w:t>
      </w:r>
      <w:r>
        <w:rPr>
          <w:rFonts w:hint="eastAsia" w:ascii="宋体" w:hAnsi="宋体" w:cs="宋体"/>
          <w:b w:val="0"/>
          <w:bCs/>
          <w:color w:val="auto"/>
          <w:highlight w:val="none"/>
        </w:rPr>
        <w:t>日期间正式运行。</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称：2022年第19届亚运会组委会</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浙江省杭州市上城区富春路150号昆仑中心B座</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w:t>
      </w:r>
      <w:r>
        <w:rPr>
          <w:rFonts w:hint="eastAsia" w:ascii="宋体" w:hAnsi="宋体" w:cs="宋体"/>
          <w:color w:val="auto"/>
          <w:sz w:val="24"/>
          <w:highlight w:val="none"/>
        </w:rPr>
        <w:t xml:space="preserve">老师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项目联系方式（询问）：0571-85256422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质疑联系人：李老师</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质疑联系方式：0571-85253571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浙江五石中正工程咨询有限公司</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址：杭州市拱墅区白石巷318号中国人力资源产业园北楼512室</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盛宇轩；邹正英；石晓琳</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15658033007</w:t>
      </w:r>
      <w:bookmarkStart w:id="432" w:name="_GoBack"/>
      <w:bookmarkEnd w:id="432"/>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高琳</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质疑联系方式：0571-85340710</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智能交通设施（场馆周边）</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租赁和商务服务业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杭州市拱墅区白石巷318号中国人力资源服务产业园北楼5楼512室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盛工，15658033007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纸质投标文件一套：请各投标人于投标截止时间后邮寄或现场递交，（邮寄地址：</w:t>
            </w:r>
            <w:r>
              <w:rPr>
                <w:rFonts w:hint="eastAsia" w:ascii="宋体" w:hAnsi="宋体" w:eastAsia="宋体" w:cs="宋体"/>
                <w:color w:val="auto"/>
                <w:kern w:val="28"/>
                <w:sz w:val="24"/>
                <w:szCs w:val="24"/>
                <w:highlight w:val="none"/>
                <w:u w:val="single"/>
              </w:rPr>
              <w:t>杭州市拱墅区白石巷318号中国人力资源服务产业园北楼5楼512室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lang w:val="en-US" w:eastAsia="zh-CN"/>
              </w:rPr>
              <w:t>盛</w:t>
            </w:r>
            <w:r>
              <w:rPr>
                <w:rFonts w:hint="eastAsia" w:ascii="宋体" w:hAnsi="宋体" w:eastAsia="宋体" w:cs="宋体"/>
                <w:color w:val="auto"/>
                <w:kern w:val="28"/>
                <w:sz w:val="24"/>
                <w:szCs w:val="24"/>
                <w:highlight w:val="none"/>
                <w:u w:val="single"/>
                <w:lang w:eastAsia="zh-CN"/>
              </w:rPr>
              <w:t>工</w:t>
            </w:r>
            <w:r>
              <w:rPr>
                <w:rFonts w:hint="eastAsia" w:ascii="宋体" w:hAnsi="宋体" w:eastAsia="宋体" w:cs="宋体"/>
                <w:color w:val="auto"/>
                <w:kern w:val="28"/>
                <w:sz w:val="24"/>
                <w:szCs w:val="24"/>
                <w:highlight w:val="none"/>
                <w:u w:val="single"/>
              </w:rPr>
              <w:t>，</w:t>
            </w:r>
            <w:r>
              <w:rPr>
                <w:rFonts w:hint="eastAsia" w:ascii="宋体" w:hAnsi="宋体" w:eastAsia="宋体" w:cs="宋体"/>
                <w:color w:val="auto"/>
                <w:kern w:val="28"/>
                <w:sz w:val="24"/>
                <w:szCs w:val="24"/>
                <w:highlight w:val="none"/>
                <w:u w:val="single"/>
                <w:lang w:val="en-US" w:eastAsia="zh-CN"/>
              </w:rPr>
              <w:t>15658033007</w:t>
            </w:r>
            <w:r>
              <w:rPr>
                <w:rFonts w:hint="eastAsia" w:ascii="宋体" w:hAnsi="宋体" w:eastAsia="宋体" w:cs="宋体"/>
                <w:color w:val="auto"/>
                <w:sz w:val="24"/>
                <w:highlight w:val="none"/>
              </w:rPr>
              <w:t>）。注：纸质投标文件仅作为存档使用。将投标文件的资格文件、商务技术文件、报价文件三部分装订成册。纸质投标文件不作为备份投标文件。</w:t>
            </w:r>
          </w:p>
          <w:p>
            <w:pPr>
              <w:pStyle w:val="33"/>
              <w:spacing w:line="360" w:lineRule="auto"/>
              <w:rPr>
                <w:rFonts w:hint="eastAsia" w:hAnsi="宋体" w:cs="宋体"/>
                <w:b/>
                <w:color w:val="auto"/>
                <w:sz w:val="24"/>
                <w:szCs w:val="24"/>
                <w:highlight w:val="none"/>
              </w:rPr>
            </w:pPr>
            <w:r>
              <w:rPr>
                <w:rFonts w:hint="eastAsia" w:ascii="宋体" w:hAnsi="宋体" w:eastAsia="宋体" w:cs="宋体"/>
                <w:color w:val="auto"/>
                <w:sz w:val="24"/>
                <w:highlight w:val="none"/>
              </w:rPr>
              <w:t>第一中标候选人在评标结束后2天内向采购代理机构提供</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套纸质版投标文件，并确保纸质投标文件与最终上传电子加密投标文件一致，因纸质投标文件与电子投标文件不一致产生的一切结果，均由中标候选人承担。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hint="eastAsia" w:ascii="宋体" w:hAnsi="宋体" w:cs="宋体"/>
                <w:color w:val="auto"/>
                <w:sz w:val="24"/>
                <w:highlight w:val="none"/>
                <w:lang w:val="en-US" w:eastAsia="zh-CN"/>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招标服务费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本项目的采购代理服务费由中标人支付。计费标准：</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1）以中标（成交）金额为计费基准，按照《关于杭州市招标代理服务收费管理有关问题的通知》(杭价费[2003]148号)文件下浮率67%计算的收费标准计取。</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2）结算方式及时间为：在领取成交通知书时由成交人一次性向采购代理机构付清。</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开户名：浙江五石中正工程咨询有限公司</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开户银行：中国工商银行杭州潮王路支行</w:t>
            </w:r>
          </w:p>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账号：1202003209900014176</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w:t>
      </w:r>
      <w:r>
        <w:rPr>
          <w:rFonts w:hint="eastAsia" w:ascii="宋体" w:hAnsi="宋体" w:cs="宋体"/>
          <w:color w:val="auto"/>
          <w:sz w:val="24"/>
          <w:highlight w:val="none"/>
          <w:lang w:val="en-US" w:eastAsia="zh-CN"/>
        </w:rPr>
        <w:t>标需求标</w:t>
      </w:r>
      <w:r>
        <w:rPr>
          <w:rFonts w:hint="eastAsia" w:ascii="宋体" w:hAnsi="宋体" w:cs="宋体"/>
          <w:color w:val="auto"/>
          <w:sz w:val="24"/>
          <w:highlight w:val="none"/>
        </w:rPr>
        <w:t>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中小企业声明函</w:t>
      </w:r>
      <w:r>
        <w:rPr>
          <w:rFonts w:hint="eastAsia" w:ascii="宋体" w:hAnsi="宋体" w:cs="宋体"/>
          <w:color w:val="auto"/>
          <w:sz w:val="24"/>
          <w:highlight w:val="none"/>
        </w:rPr>
        <w:t>。</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w:t>
      </w:r>
      <w:r>
        <w:rPr>
          <w:rFonts w:hint="eastAsia" w:ascii="宋体" w:hAnsi="宋体" w:cs="宋体"/>
          <w:color w:val="auto"/>
          <w:kern w:val="0"/>
          <w:sz w:val="24"/>
          <w:highlight w:val="none"/>
          <w:lang w:eastAsia="zh-CN"/>
        </w:rPr>
        <w:t>，并在签订之日起2个工作日内将政府采购合同在浙江政府采购网上公告</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ind w:firstLine="48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8"/>
      <w:bookmarkEnd w:id="16"/>
      <w:bookmarkStart w:id="17" w:name="_Hlt75236011"/>
      <w:bookmarkEnd w:id="17"/>
      <w:bookmarkStart w:id="18" w:name="_Hlt68073093"/>
      <w:bookmarkEnd w:id="18"/>
      <w:bookmarkStart w:id="19" w:name="_Hlt68403820"/>
      <w:bookmarkEnd w:id="19"/>
      <w:bookmarkStart w:id="20" w:name="_Hlt74730295"/>
      <w:bookmarkEnd w:id="20"/>
      <w:bookmarkStart w:id="21" w:name="_Hlt74707468"/>
      <w:bookmarkEnd w:id="21"/>
      <w:bookmarkStart w:id="22" w:name="_Hlt68057669"/>
      <w:bookmarkEnd w:id="22"/>
      <w:bookmarkStart w:id="23" w:name="_Hlt68072990"/>
      <w:bookmarkEnd w:id="23"/>
      <w:bookmarkStart w:id="24" w:name="_Hlt75236290"/>
      <w:bookmarkEnd w:id="24"/>
      <w:bookmarkStart w:id="25" w:name="_Hlt74729768"/>
      <w:bookmarkEnd w:id="25"/>
      <w:bookmarkStart w:id="26" w:name="_Hlt75236101"/>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ind w:firstLine="480" w:firstLineChars="200"/>
        <w:jc w:val="left"/>
        <w:rPr>
          <w:rFonts w:hint="eastAsia" w:ascii="宋体" w:hAnsi="宋体" w:eastAsia="宋体" w:cs="宋体"/>
          <w:color w:val="auto"/>
          <w:sz w:val="24"/>
          <w:szCs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一、奥体场馆群安保圈层智能交通设施明细及说明</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高点监控（AR球机）：用于准确实时感知要人警卫、通勤线路的大范围交通态势掌握，支撑实战指挥和决策。目前安保圈层内缺少此类设备，根据实际需求在本项目内增加9套设备。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地面监控：用于要人警卫、通勤线路相关路口、路段交通节点实时态势感知。因安保圈层道路仍有交通监控盲点，故在本项目内增加6套设备。</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高清车辆卡口：用于进出奥体场馆群安保圈层机动车过车感知，采集记录车辆通过时间、点位、车牌号码、车辆图片、驾驶人图像等数据；支撑进出车辆数、在途量、出行强度等数据分析及重点车辆防控和预警。共计</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rPr>
        <w:t>个路口需增加设备</w:t>
      </w:r>
      <w:r>
        <w:rPr>
          <w:rFonts w:hint="eastAsia" w:ascii="宋体" w:hAnsi="宋体" w:eastAsia="宋体" w:cs="宋体"/>
          <w:color w:val="auto"/>
          <w:sz w:val="24"/>
          <w:szCs w:val="24"/>
          <w:highlight w:val="none"/>
          <w:lang w:val="en-US" w:eastAsia="zh-CN"/>
        </w:rPr>
        <w:t>188</w:t>
      </w:r>
      <w:r>
        <w:rPr>
          <w:rFonts w:hint="eastAsia" w:ascii="宋体" w:hAnsi="宋体" w:eastAsia="宋体" w:cs="宋体"/>
          <w:color w:val="auto"/>
          <w:sz w:val="24"/>
          <w:szCs w:val="24"/>
          <w:highlight w:val="none"/>
        </w:rPr>
        <w:t>套。</w:t>
      </w:r>
    </w:p>
    <w:p>
      <w:pPr>
        <w:numPr>
          <w:ilvl w:val="-1"/>
          <w:numId w:val="0"/>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、技术要求（▲为本项目实质性条款</w:t>
      </w:r>
      <w:r>
        <w:rPr>
          <w:rFonts w:hint="eastAsia" w:ascii="宋体" w:hAnsi="宋体" w:cs="宋体"/>
          <w:color w:val="auto"/>
          <w:sz w:val="24"/>
          <w:szCs w:val="24"/>
          <w:highlight w:val="none"/>
          <w:lang w:eastAsia="zh-CN"/>
        </w:rPr>
        <w:t>；</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为重要参数</w:t>
      </w:r>
      <w:r>
        <w:rPr>
          <w:rFonts w:hint="eastAsia" w:ascii="宋体" w:hAnsi="宋体" w:eastAsia="宋体" w:cs="宋体"/>
          <w:color w:val="auto"/>
          <w:sz w:val="24"/>
          <w:szCs w:val="24"/>
          <w:highlight w:val="none"/>
        </w:rPr>
        <w:t>）</w:t>
      </w:r>
      <w:bookmarkStart w:id="28" w:name="_Hlk98930777"/>
    </w:p>
    <w:p>
      <w:pPr>
        <w:spacing w:line="360" w:lineRule="auto"/>
        <w:ind w:firstLine="480" w:firstLineChars="200"/>
        <w:jc w:val="left"/>
        <w:outlineLvl w:val="2"/>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租赁</w:t>
      </w:r>
      <w:r>
        <w:rPr>
          <w:rFonts w:hint="eastAsia" w:ascii="宋体" w:hAnsi="宋体" w:eastAsia="宋体" w:cs="宋体"/>
          <w:color w:val="auto"/>
          <w:sz w:val="24"/>
          <w:highlight w:val="none"/>
        </w:rPr>
        <w:t>标的</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33"/>
        <w:gridCol w:w="1745"/>
        <w:gridCol w:w="4715"/>
        <w:gridCol w:w="800"/>
        <w:gridCol w:w="75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833"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74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71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规格参数</w:t>
            </w:r>
          </w:p>
        </w:tc>
        <w:tc>
          <w:tcPr>
            <w:tcW w:w="800"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54"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33"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4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卡口相机</w:t>
            </w:r>
          </w:p>
        </w:tc>
        <w:tc>
          <w:tcPr>
            <w:tcW w:w="4715" w:type="dxa"/>
            <w:shd w:val="clear" w:color="auto" w:fill="auto"/>
            <w:vAlign w:val="center"/>
          </w:tcPr>
          <w:p>
            <w:pPr>
              <w:spacing w:line="360" w:lineRule="auto"/>
              <w:rPr>
                <w:rFonts w:hint="eastAsia"/>
                <w:color w:val="auto"/>
                <w:highlight w:val="none"/>
              </w:rPr>
            </w:pPr>
            <w:r>
              <w:rPr>
                <w:rFonts w:hint="eastAsia"/>
                <w:color w:val="auto"/>
                <w:highlight w:val="none"/>
              </w:rPr>
              <w:t>1.像素：不低于900万；</w:t>
            </w:r>
          </w:p>
          <w:p>
            <w:pPr>
              <w:spacing w:line="360" w:lineRule="auto"/>
              <w:rPr>
                <w:rFonts w:hint="eastAsia"/>
                <w:color w:val="auto"/>
                <w:highlight w:val="none"/>
              </w:rPr>
            </w:pPr>
            <w:r>
              <w:rPr>
                <w:rFonts w:hint="eastAsia"/>
                <w:color w:val="auto"/>
                <w:highlight w:val="none"/>
              </w:rPr>
              <w:t>2.采用1"英寸全局曝光CMOS（GMOS）传感器；</w:t>
            </w:r>
          </w:p>
          <w:p>
            <w:pPr>
              <w:spacing w:line="360" w:lineRule="auto"/>
              <w:rPr>
                <w:rFonts w:hint="eastAsia"/>
                <w:color w:val="auto"/>
                <w:highlight w:val="none"/>
              </w:rPr>
            </w:pPr>
            <w:r>
              <w:rPr>
                <w:rFonts w:hint="eastAsia"/>
                <w:color w:val="auto"/>
                <w:highlight w:val="none"/>
              </w:rPr>
              <w:t>3.相机包含摄像机（内置偏振镜）、高清镜头、室外防护罩、风扇、内置补光灯、电源适配器、相机内置防雷模块、安装万向节等；</w:t>
            </w:r>
          </w:p>
          <w:p>
            <w:pPr>
              <w:spacing w:line="360" w:lineRule="auto"/>
              <w:rPr>
                <w:rFonts w:hint="eastAsia"/>
                <w:color w:val="auto"/>
                <w:highlight w:val="none"/>
              </w:rPr>
            </w:pPr>
            <w:r>
              <w:rPr>
                <w:rFonts w:hint="eastAsia"/>
                <w:color w:val="auto"/>
                <w:highlight w:val="none"/>
              </w:rPr>
              <w:t>4.图片格式：JPEG</w:t>
            </w:r>
          </w:p>
          <w:p>
            <w:pPr>
              <w:spacing w:line="360" w:lineRule="auto"/>
              <w:rPr>
                <w:rFonts w:hint="eastAsia"/>
                <w:color w:val="auto"/>
                <w:highlight w:val="none"/>
              </w:rPr>
            </w:pPr>
            <w:r>
              <w:rPr>
                <w:rFonts w:hint="eastAsia"/>
                <w:color w:val="auto"/>
                <w:highlight w:val="none"/>
              </w:rPr>
              <w:t>●5.通讯接口：不少于2个RS-485接口；不少于1个RS-232接口；</w:t>
            </w:r>
          </w:p>
          <w:p>
            <w:pPr>
              <w:spacing w:line="360" w:lineRule="auto"/>
              <w:rPr>
                <w:rFonts w:hint="eastAsia"/>
                <w:color w:val="auto"/>
                <w:highlight w:val="none"/>
              </w:rPr>
            </w:pPr>
            <w:r>
              <w:rPr>
                <w:rFonts w:hint="eastAsia"/>
                <w:color w:val="auto"/>
                <w:highlight w:val="none"/>
              </w:rPr>
              <w:t>6.终端接入：支持；</w:t>
            </w:r>
          </w:p>
          <w:p>
            <w:pPr>
              <w:spacing w:line="360" w:lineRule="auto"/>
              <w:rPr>
                <w:rFonts w:hint="eastAsia"/>
                <w:color w:val="auto"/>
                <w:highlight w:val="none"/>
              </w:rPr>
            </w:pPr>
            <w:r>
              <w:rPr>
                <w:rFonts w:hint="eastAsia"/>
                <w:color w:val="auto"/>
                <w:highlight w:val="none"/>
              </w:rPr>
              <w:t>7.视频压缩标准：H.265/H.264/MJPEG；</w:t>
            </w:r>
          </w:p>
          <w:p>
            <w:pPr>
              <w:spacing w:line="360" w:lineRule="auto"/>
              <w:rPr>
                <w:rFonts w:hint="eastAsia"/>
                <w:color w:val="auto"/>
                <w:highlight w:val="none"/>
              </w:rPr>
            </w:pPr>
            <w:r>
              <w:rPr>
                <w:rFonts w:hint="eastAsia"/>
                <w:color w:val="auto"/>
                <w:highlight w:val="none"/>
              </w:rPr>
              <w:t>●8.支持智能识别功能：内置视频识别功能，支持车牌识别、视频触发、车身颜色识别、车型识别，通行车辆信息捕获和违法检测功能；</w:t>
            </w:r>
          </w:p>
          <w:p>
            <w:pPr>
              <w:spacing w:line="360" w:lineRule="auto"/>
              <w:rPr>
                <w:rFonts w:hint="eastAsia"/>
                <w:color w:val="auto"/>
                <w:highlight w:val="none"/>
              </w:rPr>
            </w:pPr>
            <w:r>
              <w:rPr>
                <w:rFonts w:hint="eastAsia"/>
                <w:color w:val="auto"/>
                <w:highlight w:val="none"/>
              </w:rPr>
              <w:t>9.防护等级：不低于IP65。</w:t>
            </w:r>
          </w:p>
          <w:p>
            <w:pPr>
              <w:spacing w:line="360" w:lineRule="auto"/>
              <w:rPr>
                <w:rFonts w:hint="eastAsia"/>
                <w:color w:val="auto"/>
                <w:highlight w:val="none"/>
              </w:rPr>
            </w:pPr>
            <w:r>
              <w:rPr>
                <w:rFonts w:hint="eastAsia"/>
                <w:color w:val="auto"/>
                <w:highlight w:val="none"/>
              </w:rPr>
              <w:t>补光产品</w:t>
            </w:r>
          </w:p>
          <w:p>
            <w:pPr>
              <w:spacing w:line="360" w:lineRule="auto"/>
              <w:rPr>
                <w:rFonts w:hint="eastAsia"/>
                <w:color w:val="auto"/>
                <w:highlight w:val="none"/>
              </w:rPr>
            </w:pPr>
            <w:r>
              <w:rPr>
                <w:rFonts w:hint="eastAsia"/>
                <w:color w:val="auto"/>
                <w:highlight w:val="none"/>
              </w:rPr>
              <w:t>1.符合环保要求；</w:t>
            </w:r>
          </w:p>
          <w:p>
            <w:pPr>
              <w:spacing w:line="360" w:lineRule="auto"/>
              <w:rPr>
                <w:rFonts w:hint="eastAsia"/>
                <w:color w:val="auto"/>
                <w:highlight w:val="none"/>
              </w:rPr>
            </w:pPr>
            <w:r>
              <w:rPr>
                <w:rFonts w:hint="eastAsia"/>
                <w:color w:val="auto"/>
                <w:highlight w:val="none"/>
              </w:rPr>
              <w:t>●2.灯型：多功能一体型：支持暖光LED频闪、暖光LED爆闪、红外氙气爆闪等模式；</w:t>
            </w:r>
          </w:p>
          <w:p>
            <w:pPr>
              <w:spacing w:line="360" w:lineRule="auto"/>
              <w:rPr>
                <w:rFonts w:hint="eastAsia"/>
                <w:color w:val="auto"/>
                <w:highlight w:val="none"/>
              </w:rPr>
            </w:pPr>
            <w:r>
              <w:rPr>
                <w:rFonts w:hint="eastAsia"/>
                <w:color w:val="auto"/>
                <w:highlight w:val="none"/>
              </w:rPr>
              <w:t>3.灯珠数量：不少于24颗；</w:t>
            </w:r>
          </w:p>
          <w:p>
            <w:pPr>
              <w:spacing w:line="360" w:lineRule="auto"/>
              <w:rPr>
                <w:rFonts w:hint="eastAsia"/>
                <w:color w:val="auto"/>
                <w:highlight w:val="none"/>
              </w:rPr>
            </w:pPr>
            <w:r>
              <w:rPr>
                <w:rFonts w:hint="eastAsia"/>
                <w:color w:val="auto"/>
                <w:highlight w:val="none"/>
              </w:rPr>
              <w:t>4.回电时间：≤67ms；</w:t>
            </w:r>
          </w:p>
          <w:p>
            <w:pPr>
              <w:spacing w:line="360" w:lineRule="auto"/>
              <w:rPr>
                <w:rFonts w:hint="eastAsia"/>
                <w:color w:val="auto"/>
                <w:highlight w:val="none"/>
              </w:rPr>
            </w:pPr>
            <w:r>
              <w:rPr>
                <w:rFonts w:hint="eastAsia"/>
                <w:color w:val="auto"/>
                <w:highlight w:val="none"/>
              </w:rPr>
              <w:t>5.工作模式：可支持爆闪、频闪；</w:t>
            </w:r>
          </w:p>
          <w:p>
            <w:pPr>
              <w:spacing w:line="360" w:lineRule="auto"/>
              <w:rPr>
                <w:rFonts w:hint="eastAsia"/>
                <w:color w:val="auto"/>
                <w:highlight w:val="none"/>
              </w:rPr>
            </w:pPr>
            <w:r>
              <w:rPr>
                <w:rFonts w:hint="eastAsia"/>
                <w:color w:val="auto"/>
                <w:highlight w:val="none"/>
              </w:rPr>
              <w:t>6.防护等级：不低于IP65。</w:t>
            </w:r>
          </w:p>
          <w:p>
            <w:pPr>
              <w:spacing w:line="360" w:lineRule="auto"/>
              <w:rPr>
                <w:rFonts w:hint="eastAsia"/>
                <w:color w:val="auto"/>
                <w:highlight w:val="none"/>
              </w:rPr>
            </w:pPr>
            <w:r>
              <w:rPr>
                <w:rFonts w:hint="eastAsia"/>
                <w:color w:val="auto"/>
                <w:highlight w:val="none"/>
              </w:rPr>
              <w:t>终端</w:t>
            </w:r>
          </w:p>
          <w:p>
            <w:pPr>
              <w:spacing w:line="360" w:lineRule="auto"/>
              <w:rPr>
                <w:rFonts w:hint="eastAsia"/>
                <w:color w:val="auto"/>
                <w:highlight w:val="none"/>
              </w:rPr>
            </w:pPr>
            <w:r>
              <w:rPr>
                <w:rFonts w:hint="eastAsia"/>
                <w:color w:val="auto"/>
                <w:highlight w:val="none"/>
              </w:rPr>
              <w:t>●1.内置不少于8个10M/100M以太网口；</w:t>
            </w:r>
          </w:p>
          <w:p>
            <w:pPr>
              <w:spacing w:line="360" w:lineRule="auto"/>
              <w:rPr>
                <w:rFonts w:hint="eastAsia"/>
                <w:color w:val="auto"/>
                <w:highlight w:val="none"/>
              </w:rPr>
            </w:pPr>
            <w:r>
              <w:rPr>
                <w:rFonts w:hint="eastAsia"/>
                <w:color w:val="auto"/>
                <w:highlight w:val="none"/>
              </w:rPr>
              <w:t>2.不少于2T硬盘；</w:t>
            </w:r>
          </w:p>
          <w:p>
            <w:pPr>
              <w:spacing w:line="360" w:lineRule="auto"/>
              <w:rPr>
                <w:rFonts w:hint="eastAsia"/>
                <w:color w:val="auto"/>
                <w:highlight w:val="none"/>
              </w:rPr>
            </w:pPr>
            <w:r>
              <w:rPr>
                <w:rFonts w:hint="eastAsia"/>
                <w:color w:val="auto"/>
                <w:highlight w:val="none"/>
              </w:rPr>
              <w:t>●3.支持图片合成、断网续传、自动注册、黑白名单导入导出、数据防删改功能；</w:t>
            </w:r>
          </w:p>
          <w:p>
            <w:pPr>
              <w:numPr>
                <w:ilvl w:val="0"/>
                <w:numId w:val="1"/>
              </w:numPr>
              <w:spacing w:line="360" w:lineRule="auto"/>
              <w:rPr>
                <w:rFonts w:hint="eastAsia"/>
                <w:color w:val="auto"/>
                <w:highlight w:val="none"/>
              </w:rPr>
            </w:pPr>
            <w:r>
              <w:rPr>
                <w:rFonts w:hint="eastAsia"/>
                <w:color w:val="auto"/>
                <w:highlight w:val="none"/>
              </w:rPr>
              <w:t>支持跨网段远程升级、配置前端摄像机。</w:t>
            </w:r>
          </w:p>
          <w:p>
            <w:pPr>
              <w:pStyle w:val="28"/>
              <w:numPr>
                <w:ilvl w:val="-1"/>
                <w:numId w:val="0"/>
              </w:numPr>
              <w:ind w:left="143" w:leftChars="68" w:firstLine="0" w:firstLineChars="0"/>
              <w:rPr>
                <w:rFonts w:hint="eastAsia"/>
                <w:color w:val="auto"/>
                <w:highlight w:val="none"/>
              </w:rPr>
            </w:pPr>
            <w:r>
              <w:rPr>
                <w:rFonts w:hint="eastAsia" w:ascii="仿宋" w:hAnsi="仿宋" w:eastAsia="仿宋" w:cs="仿宋"/>
                <w:color w:val="auto"/>
                <w:kern w:val="0"/>
                <w:sz w:val="24"/>
                <w:szCs w:val="28"/>
                <w:highlight w:val="none"/>
                <w:lang w:val="en-US" w:eastAsia="zh-CN"/>
              </w:rPr>
              <w:t>注：投标供应商所投产品需满足上述功能和质量要求，可提供优于或等于上述功能和质量要求产品。</w:t>
            </w:r>
          </w:p>
        </w:tc>
        <w:tc>
          <w:tcPr>
            <w:tcW w:w="800"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188</w:t>
            </w:r>
          </w:p>
        </w:tc>
        <w:tc>
          <w:tcPr>
            <w:tcW w:w="754"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33"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4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AR高点监控</w:t>
            </w:r>
          </w:p>
        </w:tc>
        <w:tc>
          <w:tcPr>
            <w:tcW w:w="4715" w:type="dxa"/>
            <w:shd w:val="clear" w:color="auto" w:fill="auto"/>
            <w:vAlign w:val="center"/>
          </w:tcPr>
          <w:p>
            <w:pPr>
              <w:spacing w:line="360" w:lineRule="auto"/>
              <w:rPr>
                <w:rFonts w:hint="eastAsia"/>
                <w:color w:val="auto"/>
                <w:highlight w:val="none"/>
              </w:rPr>
            </w:pPr>
            <w:r>
              <w:rPr>
                <w:rFonts w:hint="eastAsia"/>
                <w:color w:val="auto"/>
                <w:highlight w:val="none"/>
              </w:rPr>
              <w:t>1.像素：【全景】不低于1600万；【球机】不低于400万；</w:t>
            </w:r>
          </w:p>
          <w:p>
            <w:pPr>
              <w:spacing w:line="360" w:lineRule="auto"/>
              <w:rPr>
                <w:rFonts w:hint="eastAsia"/>
                <w:color w:val="auto"/>
                <w:highlight w:val="none"/>
              </w:rPr>
            </w:pPr>
            <w:r>
              <w:rPr>
                <w:rFonts w:hint="eastAsia"/>
                <w:color w:val="auto"/>
                <w:highlight w:val="none"/>
              </w:rPr>
              <w:t>2.传感器类型：全景1/1.8英寸CMOS细节1/1.8英寸CMOS；</w:t>
            </w:r>
          </w:p>
          <w:p>
            <w:pPr>
              <w:spacing w:line="360" w:lineRule="auto"/>
              <w:rPr>
                <w:rFonts w:hint="eastAsia"/>
                <w:color w:val="auto"/>
                <w:highlight w:val="none"/>
              </w:rPr>
            </w:pPr>
            <w:r>
              <w:rPr>
                <w:rFonts w:hint="eastAsia"/>
                <w:color w:val="auto"/>
                <w:highlight w:val="none"/>
              </w:rPr>
              <w:t>●3.最低照度可达【全景】彩色：0.001Lux，黑白：0.0001Lux；【球机】彩色：0.001Lux，黑白：0.0001Lux；</w:t>
            </w:r>
          </w:p>
          <w:p>
            <w:pPr>
              <w:spacing w:line="360" w:lineRule="auto"/>
              <w:rPr>
                <w:rFonts w:hint="eastAsia"/>
                <w:color w:val="auto"/>
                <w:highlight w:val="none"/>
              </w:rPr>
            </w:pPr>
            <w:r>
              <w:rPr>
                <w:rFonts w:hint="eastAsia"/>
                <w:color w:val="auto"/>
                <w:highlight w:val="none"/>
              </w:rPr>
              <w:t>●4.最大补光距离：【球机】不低于400米；</w:t>
            </w:r>
          </w:p>
          <w:p>
            <w:pPr>
              <w:spacing w:line="360" w:lineRule="auto"/>
              <w:rPr>
                <w:rFonts w:hint="eastAsia"/>
                <w:color w:val="auto"/>
                <w:highlight w:val="none"/>
              </w:rPr>
            </w:pPr>
            <w:r>
              <w:rPr>
                <w:rFonts w:hint="eastAsia"/>
                <w:color w:val="auto"/>
                <w:highlight w:val="none"/>
              </w:rPr>
              <w:t>●5.镜头焦距：【全景】不低于2.8mm【球机】不低于5.5mm~220mm；</w:t>
            </w:r>
          </w:p>
          <w:p>
            <w:pPr>
              <w:spacing w:line="360" w:lineRule="auto"/>
              <w:rPr>
                <w:rFonts w:hint="eastAsia"/>
                <w:color w:val="auto"/>
                <w:highlight w:val="none"/>
              </w:rPr>
            </w:pPr>
            <w:r>
              <w:rPr>
                <w:rFonts w:hint="eastAsia"/>
                <w:color w:val="auto"/>
                <w:highlight w:val="none"/>
              </w:rPr>
              <w:t>6.镜头类型：【全景】支持定焦；【球机】支持变焦；</w:t>
            </w:r>
          </w:p>
          <w:p>
            <w:pPr>
              <w:spacing w:line="360" w:lineRule="auto"/>
              <w:rPr>
                <w:rFonts w:hint="eastAsia"/>
                <w:color w:val="auto"/>
                <w:highlight w:val="none"/>
              </w:rPr>
            </w:pPr>
            <w:r>
              <w:rPr>
                <w:rFonts w:hint="eastAsia"/>
                <w:color w:val="auto"/>
                <w:highlight w:val="none"/>
              </w:rPr>
              <w:t>7.模拟输出接口：支持不少于1路模拟输出接口；</w:t>
            </w:r>
          </w:p>
          <w:p>
            <w:pPr>
              <w:spacing w:line="360" w:lineRule="auto"/>
              <w:rPr>
                <w:rFonts w:hint="eastAsia"/>
                <w:color w:val="auto"/>
                <w:highlight w:val="none"/>
              </w:rPr>
            </w:pPr>
            <w:r>
              <w:rPr>
                <w:rFonts w:hint="eastAsia"/>
                <w:color w:val="auto"/>
                <w:highlight w:val="none"/>
              </w:rPr>
              <w:t>8.音频输入：支持不少于2路音频输入；</w:t>
            </w:r>
          </w:p>
          <w:p>
            <w:pPr>
              <w:spacing w:line="360" w:lineRule="auto"/>
              <w:rPr>
                <w:rFonts w:hint="eastAsia"/>
                <w:color w:val="auto"/>
                <w:highlight w:val="none"/>
              </w:rPr>
            </w:pPr>
            <w:r>
              <w:rPr>
                <w:rFonts w:hint="eastAsia"/>
                <w:color w:val="auto"/>
                <w:highlight w:val="none"/>
              </w:rPr>
              <w:t>9.音频输出：支持不少于2路音频输出；</w:t>
            </w:r>
          </w:p>
          <w:p>
            <w:pPr>
              <w:spacing w:line="360" w:lineRule="auto"/>
              <w:rPr>
                <w:rFonts w:hint="eastAsia"/>
                <w:color w:val="auto"/>
                <w:highlight w:val="none"/>
              </w:rPr>
            </w:pPr>
            <w:r>
              <w:rPr>
                <w:rFonts w:hint="eastAsia"/>
                <w:color w:val="auto"/>
                <w:highlight w:val="none"/>
              </w:rPr>
              <w:t>10.报警输入：支持不少于7路报警输入；</w:t>
            </w:r>
          </w:p>
          <w:p>
            <w:pPr>
              <w:spacing w:line="360" w:lineRule="auto"/>
              <w:rPr>
                <w:rFonts w:hint="eastAsia"/>
                <w:color w:val="auto"/>
                <w:highlight w:val="none"/>
              </w:rPr>
            </w:pPr>
            <w:r>
              <w:rPr>
                <w:rFonts w:hint="eastAsia"/>
                <w:color w:val="auto"/>
                <w:highlight w:val="none"/>
              </w:rPr>
              <w:t>11.报警输出：支持不少于3路报警输出；</w:t>
            </w:r>
          </w:p>
          <w:p>
            <w:pPr>
              <w:spacing w:line="360" w:lineRule="auto"/>
              <w:rPr>
                <w:rFonts w:hint="eastAsia"/>
                <w:color w:val="auto"/>
                <w:highlight w:val="none"/>
              </w:rPr>
            </w:pPr>
            <w:r>
              <w:rPr>
                <w:rFonts w:hint="eastAsia"/>
                <w:color w:val="auto"/>
                <w:highlight w:val="none"/>
              </w:rPr>
              <w:t>12.防护等级：不低于IP66；</w:t>
            </w:r>
          </w:p>
          <w:p>
            <w:pPr>
              <w:spacing w:line="360" w:lineRule="auto"/>
              <w:rPr>
                <w:rFonts w:hint="eastAsia"/>
                <w:color w:val="auto"/>
                <w:highlight w:val="none"/>
              </w:rPr>
            </w:pPr>
            <w:r>
              <w:rPr>
                <w:rFonts w:hint="eastAsia"/>
                <w:color w:val="auto"/>
                <w:highlight w:val="none"/>
              </w:rPr>
              <w:t>终端</w:t>
            </w:r>
          </w:p>
          <w:p>
            <w:pPr>
              <w:spacing w:line="360" w:lineRule="auto"/>
              <w:rPr>
                <w:rFonts w:hint="eastAsia"/>
                <w:color w:val="auto"/>
                <w:highlight w:val="none"/>
              </w:rPr>
            </w:pPr>
            <w:r>
              <w:rPr>
                <w:rFonts w:hint="eastAsia"/>
                <w:color w:val="auto"/>
                <w:highlight w:val="none"/>
              </w:rPr>
              <w:t>●1.内置不少于2个10M/100M/1000M自适应以太网口；</w:t>
            </w:r>
          </w:p>
          <w:p>
            <w:pPr>
              <w:spacing w:line="360" w:lineRule="auto"/>
              <w:rPr>
                <w:rFonts w:hint="eastAsia"/>
                <w:color w:val="auto"/>
                <w:highlight w:val="none"/>
              </w:rPr>
            </w:pPr>
            <w:r>
              <w:rPr>
                <w:rFonts w:hint="eastAsia"/>
                <w:color w:val="auto"/>
                <w:highlight w:val="none"/>
              </w:rPr>
              <w:t>2.不少于4T硬盘；</w:t>
            </w:r>
          </w:p>
          <w:p>
            <w:pPr>
              <w:spacing w:line="360" w:lineRule="auto"/>
              <w:rPr>
                <w:rFonts w:hint="eastAsia"/>
                <w:color w:val="auto"/>
                <w:highlight w:val="none"/>
              </w:rPr>
            </w:pPr>
            <w:r>
              <w:rPr>
                <w:rFonts w:hint="eastAsia"/>
                <w:color w:val="auto"/>
                <w:highlight w:val="none"/>
              </w:rPr>
              <w:t>●3.支持图片合成、断网续传、自动注册、黑白名单导入导出、数据防删改功能；</w:t>
            </w:r>
          </w:p>
          <w:p>
            <w:pPr>
              <w:numPr>
                <w:ilvl w:val="-1"/>
                <w:numId w:val="0"/>
              </w:num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支持跨网段远程升级、配置前端摄像机。</w:t>
            </w:r>
          </w:p>
          <w:p>
            <w:pPr>
              <w:pStyle w:val="28"/>
              <w:numPr>
                <w:ilvl w:val="-1"/>
                <w:numId w:val="0"/>
              </w:numPr>
              <w:ind w:left="0" w:leftChars="0" w:firstLine="0" w:firstLineChars="0"/>
              <w:rPr>
                <w:rFonts w:hint="eastAsia"/>
                <w:color w:val="auto"/>
                <w:highlight w:val="none"/>
              </w:rPr>
            </w:pPr>
            <w:r>
              <w:rPr>
                <w:rFonts w:hint="eastAsia" w:ascii="仿宋" w:hAnsi="仿宋" w:eastAsia="仿宋" w:cs="仿宋"/>
                <w:color w:val="auto"/>
                <w:kern w:val="0"/>
                <w:sz w:val="24"/>
                <w:szCs w:val="28"/>
                <w:highlight w:val="none"/>
                <w:lang w:val="en-US" w:eastAsia="zh-CN"/>
              </w:rPr>
              <w:t>注：投标供应商所投产品需满足上述功能和质量要求，可提供优于或等于上述功能和质量要求产品。</w:t>
            </w:r>
          </w:p>
        </w:tc>
        <w:tc>
          <w:tcPr>
            <w:tcW w:w="800"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754"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33"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4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地面监控</w:t>
            </w:r>
          </w:p>
        </w:tc>
        <w:tc>
          <w:tcPr>
            <w:tcW w:w="4715" w:type="dxa"/>
            <w:shd w:val="clear" w:color="auto" w:fill="auto"/>
            <w:vAlign w:val="center"/>
          </w:tcPr>
          <w:p>
            <w:pPr>
              <w:spacing w:line="360" w:lineRule="auto"/>
              <w:rPr>
                <w:rFonts w:hint="eastAsia"/>
                <w:color w:val="auto"/>
                <w:highlight w:val="none"/>
              </w:rPr>
            </w:pPr>
            <w:r>
              <w:rPr>
                <w:rFonts w:hint="eastAsia"/>
                <w:color w:val="auto"/>
                <w:highlight w:val="none"/>
              </w:rPr>
              <w:t>1.像素：不低于400万；</w:t>
            </w:r>
          </w:p>
          <w:p>
            <w:pPr>
              <w:spacing w:line="360" w:lineRule="auto"/>
              <w:rPr>
                <w:rFonts w:hint="eastAsia"/>
                <w:color w:val="auto"/>
                <w:highlight w:val="none"/>
              </w:rPr>
            </w:pPr>
            <w:r>
              <w:rPr>
                <w:rFonts w:hint="eastAsia"/>
                <w:color w:val="auto"/>
                <w:highlight w:val="none"/>
              </w:rPr>
              <w:t>●2.光学倍率：不低于40倍；</w:t>
            </w:r>
          </w:p>
          <w:p>
            <w:pPr>
              <w:spacing w:line="360" w:lineRule="auto"/>
              <w:rPr>
                <w:rFonts w:hint="eastAsia"/>
                <w:color w:val="auto"/>
                <w:highlight w:val="none"/>
              </w:rPr>
            </w:pPr>
            <w:r>
              <w:rPr>
                <w:rFonts w:hint="eastAsia"/>
                <w:color w:val="auto"/>
                <w:highlight w:val="none"/>
              </w:rPr>
              <w:t>3.数字倍率：不低于16倍；</w:t>
            </w:r>
          </w:p>
          <w:p>
            <w:pPr>
              <w:spacing w:line="360" w:lineRule="auto"/>
              <w:rPr>
                <w:rFonts w:hint="eastAsia"/>
                <w:color w:val="auto"/>
                <w:highlight w:val="none"/>
              </w:rPr>
            </w:pPr>
            <w:r>
              <w:rPr>
                <w:rFonts w:hint="eastAsia"/>
                <w:color w:val="auto"/>
                <w:highlight w:val="none"/>
              </w:rPr>
              <w:t>●4.旋转范围：水平不低于480度；垂直不低于120度；</w:t>
            </w:r>
          </w:p>
          <w:p>
            <w:pPr>
              <w:spacing w:line="360" w:lineRule="auto"/>
              <w:rPr>
                <w:rFonts w:hint="eastAsia"/>
                <w:color w:val="auto"/>
                <w:highlight w:val="none"/>
              </w:rPr>
            </w:pPr>
            <w:r>
              <w:rPr>
                <w:rFonts w:hint="eastAsia"/>
                <w:color w:val="auto"/>
                <w:highlight w:val="none"/>
              </w:rPr>
              <w:t>5.预置位：可支持不少于300个预置位；</w:t>
            </w:r>
          </w:p>
          <w:p>
            <w:pPr>
              <w:spacing w:line="360" w:lineRule="auto"/>
              <w:rPr>
                <w:rFonts w:hint="eastAsia"/>
                <w:color w:val="auto"/>
                <w:highlight w:val="none"/>
              </w:rPr>
            </w:pPr>
            <w:r>
              <w:rPr>
                <w:rFonts w:hint="eastAsia"/>
                <w:color w:val="auto"/>
                <w:highlight w:val="none"/>
              </w:rPr>
              <w:t>6.通讯协议：支持中国安防行业协议、Pelco P/D，协议支持自动识别；</w:t>
            </w:r>
          </w:p>
          <w:p>
            <w:pPr>
              <w:spacing w:line="360" w:lineRule="auto"/>
              <w:rPr>
                <w:rFonts w:hint="eastAsia"/>
                <w:color w:val="auto"/>
                <w:highlight w:val="none"/>
              </w:rPr>
            </w:pPr>
            <w:r>
              <w:rPr>
                <w:rFonts w:hint="eastAsia"/>
                <w:color w:val="auto"/>
                <w:highlight w:val="none"/>
              </w:rPr>
              <w:t>●7.最低照度不低于彩色0.001Lux，黑白0.0001Lux；</w:t>
            </w:r>
          </w:p>
          <w:p>
            <w:pPr>
              <w:spacing w:line="360" w:lineRule="auto"/>
              <w:rPr>
                <w:rFonts w:hint="eastAsia"/>
                <w:color w:val="auto"/>
                <w:highlight w:val="none"/>
              </w:rPr>
            </w:pPr>
            <w:r>
              <w:rPr>
                <w:rFonts w:hint="eastAsia"/>
                <w:color w:val="auto"/>
                <w:highlight w:val="none"/>
              </w:rPr>
              <w:t>8.防护等级：不低于IP66</w:t>
            </w:r>
          </w:p>
          <w:p>
            <w:pPr>
              <w:spacing w:line="360" w:lineRule="auto"/>
              <w:rPr>
                <w:rFonts w:hint="eastAsia"/>
                <w:color w:val="auto"/>
                <w:highlight w:val="none"/>
              </w:rPr>
            </w:pPr>
            <w:r>
              <w:rPr>
                <w:rFonts w:hint="eastAsia"/>
                <w:color w:val="auto"/>
                <w:highlight w:val="none"/>
              </w:rPr>
              <w:t>终端</w:t>
            </w:r>
          </w:p>
          <w:p>
            <w:pPr>
              <w:spacing w:line="360" w:lineRule="auto"/>
              <w:rPr>
                <w:rFonts w:hint="eastAsia"/>
                <w:color w:val="auto"/>
                <w:highlight w:val="none"/>
              </w:rPr>
            </w:pPr>
            <w:r>
              <w:rPr>
                <w:rFonts w:hint="eastAsia"/>
                <w:color w:val="auto"/>
                <w:highlight w:val="none"/>
              </w:rPr>
              <w:t>●1.内置不少于2个10M/100M/1000M自适应以太网口；</w:t>
            </w:r>
          </w:p>
          <w:p>
            <w:pPr>
              <w:spacing w:line="360" w:lineRule="auto"/>
              <w:rPr>
                <w:rFonts w:hint="eastAsia"/>
                <w:color w:val="auto"/>
                <w:highlight w:val="none"/>
              </w:rPr>
            </w:pPr>
            <w:r>
              <w:rPr>
                <w:rFonts w:hint="eastAsia"/>
                <w:color w:val="auto"/>
                <w:highlight w:val="none"/>
              </w:rPr>
              <w:t>2.不少于4T硬盘；</w:t>
            </w:r>
          </w:p>
          <w:p>
            <w:pPr>
              <w:spacing w:line="360" w:lineRule="auto"/>
              <w:rPr>
                <w:rFonts w:hint="eastAsia"/>
                <w:color w:val="auto"/>
                <w:highlight w:val="none"/>
              </w:rPr>
            </w:pPr>
            <w:r>
              <w:rPr>
                <w:rFonts w:hint="eastAsia"/>
                <w:color w:val="auto"/>
                <w:highlight w:val="none"/>
              </w:rPr>
              <w:t>●3.支持图片合成、断网续传、自动注册、黑白名单导入导出、数据防删改功能；</w:t>
            </w:r>
          </w:p>
          <w:p>
            <w:pPr>
              <w:numPr>
                <w:ilvl w:val="0"/>
                <w:numId w:val="1"/>
              </w:numPr>
              <w:spacing w:line="360" w:lineRule="auto"/>
              <w:rPr>
                <w:rFonts w:hint="eastAsia"/>
                <w:color w:val="auto"/>
                <w:highlight w:val="none"/>
              </w:rPr>
            </w:pPr>
            <w:r>
              <w:rPr>
                <w:rFonts w:hint="eastAsia"/>
                <w:color w:val="auto"/>
                <w:highlight w:val="none"/>
              </w:rPr>
              <w:t>支持跨网段远程升级、配置前端摄像机。</w:t>
            </w:r>
          </w:p>
          <w:p>
            <w:pPr>
              <w:pStyle w:val="28"/>
              <w:numPr>
                <w:ilvl w:val="-1"/>
                <w:numId w:val="0"/>
              </w:numPr>
              <w:ind w:left="0" w:leftChars="0" w:firstLine="0" w:firstLineChars="0"/>
              <w:rPr>
                <w:rFonts w:hint="eastAsia"/>
                <w:color w:val="auto"/>
                <w:highlight w:val="none"/>
              </w:rPr>
            </w:pPr>
            <w:r>
              <w:rPr>
                <w:rFonts w:hint="eastAsia" w:ascii="仿宋" w:hAnsi="仿宋" w:eastAsia="仿宋" w:cs="仿宋"/>
                <w:color w:val="auto"/>
                <w:kern w:val="0"/>
                <w:sz w:val="24"/>
                <w:szCs w:val="28"/>
                <w:highlight w:val="none"/>
                <w:lang w:val="en-US" w:eastAsia="zh-CN"/>
              </w:rPr>
              <w:t>注：投标供应商所投产品需满足上述功能和质量要求，可提供优于或等于上述功能和质量要求产品。</w:t>
            </w:r>
          </w:p>
        </w:tc>
        <w:tc>
          <w:tcPr>
            <w:tcW w:w="800"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54"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bl>
    <w:p>
      <w:pPr>
        <w:spacing w:line="360" w:lineRule="auto"/>
        <w:ind w:firstLine="480" w:firstLineChars="200"/>
        <w:jc w:val="left"/>
        <w:outlineLvl w:val="2"/>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r>
        <w:rPr>
          <w:rFonts w:hint="eastAsia" w:ascii="宋体" w:hAnsi="宋体" w:eastAsia="宋体" w:cs="宋体"/>
          <w:color w:val="auto"/>
          <w:sz w:val="24"/>
          <w:highlight w:val="none"/>
          <w:u w:val="none"/>
          <w:lang w:eastAsia="zh-Hans"/>
        </w:rPr>
        <w:t>.</w:t>
      </w:r>
      <w:r>
        <w:rPr>
          <w:rFonts w:hint="eastAsia" w:ascii="宋体" w:hAnsi="宋体" w:eastAsia="宋体" w:cs="宋体"/>
          <w:color w:val="auto"/>
          <w:sz w:val="24"/>
          <w:highlight w:val="none"/>
          <w:u w:val="none"/>
        </w:rPr>
        <w:t>备品备件</w:t>
      </w:r>
    </w:p>
    <w:p>
      <w:pPr>
        <w:spacing w:line="360" w:lineRule="auto"/>
        <w:ind w:firstLine="480" w:firstLineChars="200"/>
        <w:jc w:val="left"/>
        <w:outlineLvl w:val="2"/>
        <w:rPr>
          <w:rFonts w:hint="eastAsia" w:ascii="宋体" w:hAnsi="宋体" w:eastAsia="宋体" w:cs="宋体"/>
          <w:color w:val="auto"/>
          <w:sz w:val="24"/>
          <w:highlight w:val="none"/>
          <w:u w:val="single"/>
          <w:lang w:eastAsia="zh-Hans"/>
        </w:rPr>
      </w:pPr>
      <w:r>
        <w:rPr>
          <w:rFonts w:hint="eastAsia" w:ascii="宋体" w:hAnsi="宋体" w:eastAsia="宋体" w:cs="宋体"/>
          <w:color w:val="auto"/>
          <w:sz w:val="24"/>
          <w:highlight w:val="none"/>
          <w:u w:val="none"/>
          <w:lang w:eastAsia="zh-Hans"/>
        </w:rPr>
        <w:t>投标人需提供的备品备件</w:t>
      </w:r>
      <w:r>
        <w:rPr>
          <w:rFonts w:hint="eastAsia" w:ascii="宋体" w:hAnsi="宋体" w:eastAsia="宋体" w:cs="宋体"/>
          <w:color w:val="auto"/>
          <w:sz w:val="24"/>
          <w:highlight w:val="none"/>
          <w:u w:val="none"/>
        </w:rPr>
        <w:t>清单如下</w:t>
      </w:r>
      <w:r>
        <w:rPr>
          <w:rFonts w:hint="eastAsia" w:ascii="宋体" w:hAnsi="宋体" w:eastAsia="宋体" w:cs="宋体"/>
          <w:color w:val="auto"/>
          <w:sz w:val="24"/>
          <w:highlight w:val="none"/>
          <w:u w:val="none"/>
          <w:lang w:eastAsia="zh-Hans"/>
        </w:rPr>
        <w:t>：</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05"/>
        <w:gridCol w:w="1649"/>
        <w:gridCol w:w="4550"/>
        <w:gridCol w:w="792"/>
        <w:gridCol w:w="73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jc w:val="center"/>
        </w:trPr>
        <w:tc>
          <w:tcPr>
            <w:tcW w:w="80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550"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规格参数</w:t>
            </w:r>
          </w:p>
        </w:tc>
        <w:tc>
          <w:tcPr>
            <w:tcW w:w="792"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2"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0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卡口相机</w:t>
            </w:r>
          </w:p>
        </w:tc>
        <w:tc>
          <w:tcPr>
            <w:tcW w:w="4550"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1.像素：不低于900万；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2.采用1"英寸全局曝光CMOS（GMOS）传感器；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3.相机包含摄像机（内置偏振镜）、高清镜头、室外防护罩、风扇、内置补光灯、电源适配器、相机内置防雷模块、安装万向节等；</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4.图片格式：JPEG</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5.通讯接口：不少于2个RS-485接口；不少于1个RS-232接口；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6.终端接入：支持；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7.视频压缩标准：H.265/H.264/MJPEG；</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8.支持智能识别功能：内置视频识别功能，支持车牌识别、视频触发、车身颜色识别、车型识别，通行车辆信息捕获和违法检测功能；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9.防护等级：不低于IP65。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补光产品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1.符合环保要求；</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2.灯型：多功能一体型：支持暖光LED频闪、暖光LED爆闪、红外氙气爆闪等模式；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3.灯珠数量：不少于24颗；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4.回电时间：≤67ms；</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5.工作模式：可支持爆闪、频闪；</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6.防护等级：不低于IP65。</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终端</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1.内置不少于8个10M/100M以太网口；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2.不少于2T硬盘；</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3.支持图片合成、断网续传、自动注册、黑白名单导入导出、数据防删改功能；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4.支持跨网段远程升级、配置前端摄像机。</w:t>
            </w:r>
          </w:p>
        </w:tc>
        <w:tc>
          <w:tcPr>
            <w:tcW w:w="792"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732"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0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AR高点监控</w:t>
            </w:r>
          </w:p>
        </w:tc>
        <w:tc>
          <w:tcPr>
            <w:tcW w:w="4550"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1.像素：【全景】不低于1600万；【球机】不低于400万；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2.传感器类型：全景1/1.8英寸CMOS细节1/1.8英寸CMOS；</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3.最低照度可达【全景】彩色：0.001Lux，黑白：0.0001Lux；【球机】彩色：0.001Lux，黑白：0.0001Lux；</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4.最大补光距离：【球机】不低于400米；</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5.镜头焦距：【全景】不低于2.8mm【球机】不低于5.5mm~220mm；</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6.镜头类型：【全景】支持定焦；【球机】支持变焦；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7.模拟输出接口：支持不少于1路模拟输出接口；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8.音频输入：支持不少于2路音频输入；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9.音频输出：支持不少于2路音频输出；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10.报警输入：支持不少于7路报警输入；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11.报警输出：支持不少于3路报警输出；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12.防护等级：不低于IP66；</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终端</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1.内置不少于2个10M/100M/1000M自适应以太网口；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2.不少于4T硬盘；</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3.支持图片合成、断网续传、自动注册、黑白名单导入导出、数据防删改功能；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4.支持跨网段远程升级、配置前端摄像机。</w:t>
            </w:r>
          </w:p>
        </w:tc>
        <w:tc>
          <w:tcPr>
            <w:tcW w:w="792"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32"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05"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49"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地面监控</w:t>
            </w:r>
          </w:p>
        </w:tc>
        <w:tc>
          <w:tcPr>
            <w:tcW w:w="4550"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1.像素：不低于400万；</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2.光学倍率：不低于40倍；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3.数字倍率：不低于16倍；</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4.旋转范围：水平不低于480度；垂直不低于120度；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5.预置位：可支持不少于300个预置位；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6.通讯协议：支持中国安防行业协议、Pelco P/D，协议支持自动识别；</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7.最低照度不低于彩色0.001Lux，黑白0.0001Lux；</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8.防护等级：不低于IP66</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终端</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1.内置不少于2个10M/100M/1000M自适应以太网口；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2.不少于4T硬盘；</w:t>
            </w:r>
          </w:p>
          <w:p>
            <w:pPr>
              <w:spacing w:line="360" w:lineRule="auto"/>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3.支持图片合成、断网续传、自动注册、黑白名单导入导出、数据防删改功能；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4.支持跨网段远程升级、配置前端摄像机。</w:t>
            </w:r>
          </w:p>
        </w:tc>
        <w:tc>
          <w:tcPr>
            <w:tcW w:w="792" w:type="dxa"/>
            <w:shd w:val="clear" w:color="auto" w:fill="auto"/>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32" w:type="dxa"/>
            <w:shd w:val="clear" w:color="auto" w:fill="auto"/>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05" w:type="dxa"/>
            <w:vMerge w:val="restart"/>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49" w:type="dxa"/>
            <w:vMerge w:val="restart"/>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辅材</w:t>
            </w:r>
          </w:p>
        </w:tc>
        <w:tc>
          <w:tcPr>
            <w:tcW w:w="4550" w:type="dxa"/>
            <w:shd w:val="clear" w:color="auto" w:fill="auto"/>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Hans"/>
              </w:rPr>
              <w:t>抱杆机箱、网桥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数量均不少于</w:t>
            </w:r>
            <w:r>
              <w:rPr>
                <w:rFonts w:hint="eastAsia" w:ascii="宋体" w:hAnsi="宋体" w:eastAsia="宋体" w:cs="宋体"/>
                <w:color w:val="auto"/>
                <w:sz w:val="24"/>
                <w:szCs w:val="24"/>
                <w:highlight w:val="none"/>
              </w:rPr>
              <w:t>10个。</w:t>
            </w:r>
          </w:p>
        </w:tc>
        <w:tc>
          <w:tcPr>
            <w:tcW w:w="792" w:type="dxa"/>
            <w:shd w:val="clear" w:color="auto" w:fill="auto"/>
            <w:vAlign w:val="center"/>
          </w:tcPr>
          <w:p>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10</w:t>
            </w:r>
          </w:p>
        </w:tc>
        <w:tc>
          <w:tcPr>
            <w:tcW w:w="732" w:type="dxa"/>
            <w:shd w:val="clear" w:color="auto" w:fill="auto"/>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个</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05" w:type="dxa"/>
            <w:vMerge w:val="continue"/>
            <w:shd w:val="clear" w:color="auto" w:fill="auto"/>
            <w:vAlign w:val="center"/>
          </w:tcPr>
          <w:p>
            <w:pPr>
              <w:jc w:val="center"/>
              <w:rPr>
                <w:rFonts w:hint="eastAsia" w:ascii="宋体" w:hAnsi="宋体" w:eastAsia="宋体" w:cs="宋体"/>
                <w:color w:val="auto"/>
                <w:sz w:val="24"/>
                <w:szCs w:val="24"/>
                <w:highlight w:val="none"/>
              </w:rPr>
            </w:pPr>
          </w:p>
        </w:tc>
        <w:tc>
          <w:tcPr>
            <w:tcW w:w="1649" w:type="dxa"/>
            <w:vMerge w:val="continue"/>
            <w:shd w:val="clear" w:color="auto" w:fill="auto"/>
            <w:vAlign w:val="center"/>
          </w:tcPr>
          <w:p>
            <w:pPr>
              <w:jc w:val="center"/>
              <w:rPr>
                <w:rFonts w:hint="eastAsia" w:ascii="宋体" w:hAnsi="宋体" w:eastAsia="宋体" w:cs="宋体"/>
                <w:color w:val="auto"/>
                <w:sz w:val="24"/>
                <w:highlight w:val="none"/>
                <w:lang w:eastAsia="zh-Hans"/>
              </w:rPr>
            </w:pPr>
          </w:p>
        </w:tc>
        <w:tc>
          <w:tcPr>
            <w:tcW w:w="4550" w:type="dxa"/>
            <w:shd w:val="clear" w:color="auto" w:fill="auto"/>
            <w:vAlign w:val="center"/>
          </w:tcPr>
          <w:p>
            <w:p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线缆</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eastAsia="zh-Hans"/>
              </w:rPr>
              <w:t>RVV22-3*2.5线缆、RVV3*1线缆、网线等，数量均不少于3000米。</w:t>
            </w:r>
          </w:p>
        </w:tc>
        <w:tc>
          <w:tcPr>
            <w:tcW w:w="792" w:type="dxa"/>
            <w:shd w:val="clear" w:color="auto" w:fill="auto"/>
            <w:vAlign w:val="center"/>
          </w:tcPr>
          <w:p>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3000</w:t>
            </w:r>
          </w:p>
        </w:tc>
        <w:tc>
          <w:tcPr>
            <w:tcW w:w="732" w:type="dxa"/>
            <w:shd w:val="clear" w:color="auto" w:fill="auto"/>
            <w:vAlign w:val="center"/>
          </w:tcPr>
          <w:p>
            <w:pPr>
              <w:spacing w:line="360" w:lineRule="auto"/>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米</w:t>
            </w:r>
          </w:p>
        </w:tc>
      </w:tr>
    </w:tbl>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注：备品备件的型号需与</w:t>
      </w:r>
      <w:r>
        <w:rPr>
          <w:rFonts w:hint="eastAsia" w:ascii="宋体" w:hAnsi="宋体" w:cs="宋体"/>
          <w:color w:val="auto"/>
          <w:sz w:val="24"/>
          <w:szCs w:val="24"/>
          <w:highlight w:val="none"/>
          <w:lang w:val="en-US" w:eastAsia="zh-CN"/>
        </w:rPr>
        <w:t>租赁</w:t>
      </w:r>
      <w:r>
        <w:rPr>
          <w:rFonts w:hint="eastAsia" w:ascii="宋体" w:hAnsi="宋体" w:eastAsia="宋体" w:cs="宋体"/>
          <w:color w:val="auto"/>
          <w:sz w:val="24"/>
          <w:szCs w:val="24"/>
          <w:highlight w:val="none"/>
        </w:rPr>
        <w:t>标的的型号保持一致。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本项目点位情况如下：</w:t>
      </w:r>
    </w:p>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监控点位：</w:t>
      </w:r>
    </w:p>
    <w:tbl>
      <w:tblPr>
        <w:tblStyle w:val="62"/>
        <w:tblW w:w="8511" w:type="dxa"/>
        <w:tblInd w:w="355" w:type="dxa"/>
        <w:tblLayout w:type="fixed"/>
        <w:tblCellMar>
          <w:top w:w="0" w:type="dxa"/>
          <w:left w:w="108" w:type="dxa"/>
          <w:bottom w:w="0" w:type="dxa"/>
          <w:right w:w="108" w:type="dxa"/>
        </w:tblCellMar>
      </w:tblPr>
      <w:tblGrid>
        <w:gridCol w:w="822"/>
        <w:gridCol w:w="3778"/>
        <w:gridCol w:w="2522"/>
        <w:gridCol w:w="1389"/>
      </w:tblGrid>
      <w:tr>
        <w:tblPrEx>
          <w:tblCellMar>
            <w:top w:w="0" w:type="dxa"/>
            <w:left w:w="108" w:type="dxa"/>
            <w:bottom w:w="0" w:type="dxa"/>
            <w:right w:w="108"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点位</w:t>
            </w:r>
          </w:p>
        </w:tc>
        <w:tc>
          <w:tcPr>
            <w:tcW w:w="252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监控数量（个）</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w:t>
            </w:r>
          </w:p>
        </w:tc>
      </w:tr>
      <w:tr>
        <w:tblPrEx>
          <w:tblCellMar>
            <w:top w:w="0" w:type="dxa"/>
            <w:left w:w="108" w:type="dxa"/>
            <w:bottom w:w="0" w:type="dxa"/>
            <w:right w:w="108" w:type="dxa"/>
          </w:tblCellMar>
        </w:tblPrEx>
        <w:trPr>
          <w:trHeight w:val="22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江南大道智慧之门</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（奥体西兴立交区域感知）</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14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奔竞大道信达中心</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（奥体中心内部通道路况视野、奥体中心西侧路况视野、奥体中心南侧路况视野）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22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机场城市大道（滨盛-闻涛）路段</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（奥体安保圈主通道路况）</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292"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机场城市大道（丹枫-转盘）路段</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（奥体安保圈主通道路况）</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28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机场转盘江南大道进口</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（奥体西兴立交地面车流感知）</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机场转盘奔竞大道进口</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（奥体西兴立交地面车流感知）</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奔竞大道市心路口财富中心（奥体棋院视野）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奔竞大道博奥路口利一花园</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（奥体训练馆视野）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奔竞大道城市之门</w:t>
            </w:r>
          </w:p>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（奥体中心体育馆、游泳馆视野）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海青路观澜路口誉港城（视野奥体中心游泳馆）</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新增</w:t>
            </w:r>
          </w:p>
        </w:tc>
      </w:tr>
    </w:tbl>
    <w:p>
      <w:pPr>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卡口点位：</w:t>
      </w:r>
    </w:p>
    <w:tbl>
      <w:tblPr>
        <w:tblStyle w:val="62"/>
        <w:tblW w:w="8459" w:type="dxa"/>
        <w:jc w:val="center"/>
        <w:tblLayout w:type="fixed"/>
        <w:tblCellMar>
          <w:top w:w="0" w:type="dxa"/>
          <w:left w:w="108" w:type="dxa"/>
          <w:bottom w:w="0" w:type="dxa"/>
          <w:right w:w="108" w:type="dxa"/>
        </w:tblCellMar>
      </w:tblPr>
      <w:tblGrid>
        <w:gridCol w:w="843"/>
        <w:gridCol w:w="3989"/>
        <w:gridCol w:w="1843"/>
        <w:gridCol w:w="1784"/>
      </w:tblGrid>
      <w:tr>
        <w:tblPrEx>
          <w:tblCellMar>
            <w:top w:w="0" w:type="dxa"/>
            <w:left w:w="108" w:type="dxa"/>
            <w:bottom w:w="0" w:type="dxa"/>
            <w:right w:w="108" w:type="dxa"/>
          </w:tblCellMar>
        </w:tblPrEx>
        <w:trPr>
          <w:trHeight w:val="602"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路口名称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卡口设备数量（套）</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w:t>
            </w:r>
          </w:p>
        </w:tc>
      </w:tr>
      <w:tr>
        <w:tblPrEx>
          <w:tblCellMar>
            <w:top w:w="0" w:type="dxa"/>
            <w:left w:w="108" w:type="dxa"/>
            <w:bottom w:w="0" w:type="dxa"/>
            <w:right w:w="108" w:type="dxa"/>
          </w:tblCellMar>
        </w:tblPrEx>
        <w:trPr>
          <w:trHeight w:val="312"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博奥路-利一路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利一路-丹华路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市心北路-平澜路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167"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奔竞大道-国博中心1号门</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博奥路-观澜路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飞虹路-盈丰路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金鸡路-利一路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民和路-利一路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民和路-平澜路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奔竞大道-博奥路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奔竞大道-金鸡路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市心北路-奔竞大道</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奔竞大道-民和路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民和路-观澜路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金鸡路-观澜路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飞虹路-民和路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金鸡路-利二路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金鸡路-盈丰路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金鸡路-皓月路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金鸡路-利丰路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金鸡路-机场城市大道</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博奥路-利二路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博奥路-利丰路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博奥路-机场城市大道</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民和路-利二路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民和路-盈丰路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机场城市大道-民和路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民和路-扬帆路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奥体街飞虹路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丹枫路扬帆路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奔竞大道扬帆路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w:t>
            </w:r>
          </w:p>
        </w:tc>
      </w:tr>
    </w:tbl>
    <w:p>
      <w:pPr>
        <w:ind w:firstLine="480" w:firstLineChars="0"/>
        <w:jc w:val="left"/>
        <w:outlineLvl w:val="2"/>
        <w:rPr>
          <w:rFonts w:hint="eastAsia" w:ascii="宋体" w:hAnsi="宋体" w:eastAsia="宋体" w:cs="宋体"/>
          <w:color w:val="auto"/>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0"/>
          <w:sz w:val="24"/>
          <w:szCs w:val="28"/>
          <w:highlight w:val="none"/>
          <w:lang w:val="en-US" w:eastAsia="zh-CN"/>
        </w:rPr>
        <w:t>注：以上所有标的皆为智能交通设施</w:t>
      </w:r>
      <w:r>
        <w:rPr>
          <w:rFonts w:hint="eastAsia" w:ascii="宋体" w:hAnsi="宋体" w:eastAsia="宋体" w:cs="宋体"/>
          <w:color w:val="auto"/>
          <w:kern w:val="0"/>
          <w:sz w:val="24"/>
          <w:szCs w:val="28"/>
          <w:highlight w:val="none"/>
        </w:rPr>
        <w:t>实际需求</w:t>
      </w:r>
      <w:r>
        <w:rPr>
          <w:rFonts w:hint="eastAsia" w:ascii="宋体" w:hAnsi="宋体" w:eastAsia="宋体" w:cs="宋体"/>
          <w:color w:val="auto"/>
          <w:kern w:val="0"/>
          <w:sz w:val="24"/>
          <w:szCs w:val="28"/>
          <w:highlight w:val="none"/>
          <w:lang w:eastAsia="zh-CN"/>
        </w:rPr>
        <w:t>，</w:t>
      </w:r>
      <w:r>
        <w:rPr>
          <w:rFonts w:hint="eastAsia" w:ascii="宋体" w:hAnsi="宋体" w:eastAsia="宋体" w:cs="宋体"/>
          <w:color w:val="auto"/>
          <w:kern w:val="0"/>
          <w:sz w:val="24"/>
          <w:szCs w:val="28"/>
          <w:highlight w:val="none"/>
          <w:lang w:val="en-US" w:eastAsia="zh-CN"/>
        </w:rPr>
        <w:t>供应商</w:t>
      </w:r>
      <w:r>
        <w:rPr>
          <w:rFonts w:hint="eastAsia" w:ascii="宋体" w:hAnsi="宋体" w:cs="宋体"/>
          <w:color w:val="auto"/>
          <w:kern w:val="0"/>
          <w:sz w:val="24"/>
          <w:szCs w:val="28"/>
          <w:highlight w:val="none"/>
          <w:lang w:val="en-US" w:eastAsia="zh-CN"/>
        </w:rPr>
        <w:t>需完成设备进场、安装并完成调试具备符合采购人要求的使用功能和质量要求后，交付采购人使用开始计算租赁服务期限。</w:t>
      </w:r>
      <w:r>
        <w:rPr>
          <w:rFonts w:hint="eastAsia" w:ascii="宋体" w:hAnsi="宋体" w:eastAsia="宋体" w:cs="宋体"/>
          <w:color w:val="auto"/>
          <w:kern w:val="0"/>
          <w:sz w:val="24"/>
          <w:szCs w:val="28"/>
          <w:highlight w:val="none"/>
          <w:lang w:val="en-US" w:eastAsia="zh-CN"/>
        </w:rPr>
        <w:t>在响应需求时应结合</w:t>
      </w:r>
      <w:r>
        <w:rPr>
          <w:rFonts w:hint="eastAsia" w:ascii="宋体" w:hAnsi="宋体" w:cs="宋体"/>
          <w:color w:val="auto"/>
          <w:kern w:val="0"/>
          <w:sz w:val="24"/>
          <w:szCs w:val="28"/>
          <w:highlight w:val="none"/>
          <w:lang w:val="en-US" w:eastAsia="zh-CN"/>
        </w:rPr>
        <w:t>各点位和路口</w:t>
      </w:r>
      <w:r>
        <w:rPr>
          <w:rFonts w:hint="eastAsia" w:ascii="宋体" w:hAnsi="宋体" w:eastAsia="宋体" w:cs="宋体"/>
          <w:color w:val="auto"/>
          <w:kern w:val="0"/>
          <w:sz w:val="24"/>
          <w:szCs w:val="28"/>
          <w:highlight w:val="none"/>
          <w:lang w:val="en-US" w:eastAsia="zh-CN"/>
        </w:rPr>
        <w:t>实际</w:t>
      </w:r>
      <w:r>
        <w:rPr>
          <w:rFonts w:hint="eastAsia" w:ascii="宋体" w:hAnsi="宋体" w:cs="宋体"/>
          <w:color w:val="auto"/>
          <w:kern w:val="0"/>
          <w:sz w:val="24"/>
          <w:szCs w:val="28"/>
          <w:highlight w:val="none"/>
          <w:lang w:val="en-US" w:eastAsia="zh-CN"/>
        </w:rPr>
        <w:t>进行安装</w:t>
      </w:r>
      <w:r>
        <w:rPr>
          <w:rFonts w:hint="eastAsia" w:ascii="宋体" w:hAnsi="宋体" w:eastAsia="宋体" w:cs="宋体"/>
          <w:color w:val="auto"/>
          <w:kern w:val="0"/>
          <w:sz w:val="24"/>
          <w:szCs w:val="28"/>
          <w:highlight w:val="none"/>
          <w:lang w:val="en-US" w:eastAsia="zh-CN"/>
        </w:rPr>
        <w:t>。</w:t>
      </w:r>
      <w:r>
        <w:rPr>
          <w:rFonts w:hint="eastAsia" w:ascii="宋体" w:hAnsi="宋体" w:cs="宋体"/>
          <w:color w:val="auto"/>
          <w:kern w:val="0"/>
          <w:sz w:val="24"/>
          <w:szCs w:val="28"/>
          <w:highlight w:val="none"/>
          <w:lang w:val="en-US" w:eastAsia="zh-CN"/>
        </w:rPr>
        <w:t>并在</w:t>
      </w:r>
      <w:r>
        <w:rPr>
          <w:rFonts w:hint="eastAsia" w:ascii="宋体" w:hAnsi="宋体" w:eastAsia="宋体" w:cs="宋体"/>
          <w:color w:val="auto"/>
          <w:kern w:val="0"/>
          <w:sz w:val="24"/>
          <w:szCs w:val="28"/>
          <w:highlight w:val="none"/>
        </w:rPr>
        <w:t>运行期间提</w:t>
      </w:r>
      <w:r>
        <w:rPr>
          <w:rFonts w:hint="eastAsia" w:ascii="宋体" w:hAnsi="宋体" w:eastAsia="宋体" w:cs="宋体"/>
          <w:color w:val="auto"/>
          <w:szCs w:val="24"/>
          <w:highlight w:val="none"/>
        </w:rPr>
        <w:t>运行期间</w:t>
      </w:r>
      <w:r>
        <w:rPr>
          <w:rFonts w:hint="eastAsia" w:ascii="宋体" w:hAnsi="宋体" w:eastAsia="宋体" w:cs="宋体"/>
          <w:color w:val="auto"/>
          <w:szCs w:val="24"/>
          <w:highlight w:val="none"/>
          <w:lang w:val="en-US" w:eastAsia="zh-CN"/>
        </w:rPr>
        <w:t>保证</w:t>
      </w:r>
      <w:r>
        <w:rPr>
          <w:rFonts w:hint="eastAsia" w:ascii="宋体" w:hAnsi="宋体" w:eastAsia="宋体" w:cs="宋体"/>
          <w:color w:val="auto"/>
          <w:szCs w:val="24"/>
          <w:highlight w:val="none"/>
        </w:rPr>
        <w:t>7*24小时</w:t>
      </w:r>
      <w:r>
        <w:rPr>
          <w:rFonts w:hint="eastAsia" w:ascii="宋体" w:hAnsi="宋体" w:eastAsia="宋体" w:cs="宋体"/>
          <w:color w:val="auto"/>
          <w:szCs w:val="24"/>
          <w:highlight w:val="none"/>
          <w:lang w:val="en-US" w:eastAsia="zh-CN"/>
        </w:rPr>
        <w:t>随时响应</w:t>
      </w:r>
      <w:r>
        <w:rPr>
          <w:rFonts w:hint="eastAsia" w:ascii="宋体" w:hAnsi="宋体" w:eastAsia="宋体" w:cs="宋体"/>
          <w:color w:val="auto"/>
          <w:szCs w:val="24"/>
          <w:highlight w:val="none"/>
        </w:rPr>
        <w:t>，实时解决出现的故障。</w:t>
      </w:r>
      <w:r>
        <w:rPr>
          <w:rFonts w:hint="eastAsia" w:ascii="宋体" w:hAnsi="宋体" w:eastAsia="宋体" w:cs="宋体"/>
          <w:color w:val="auto"/>
          <w:kern w:val="2"/>
          <w:sz w:val="24"/>
          <w:szCs w:val="24"/>
          <w:highlight w:val="none"/>
          <w:lang w:val="en-US" w:eastAsia="zh-CN"/>
        </w:rPr>
        <w:t>出现</w:t>
      </w:r>
      <w:r>
        <w:rPr>
          <w:rFonts w:hint="eastAsia" w:ascii="宋体" w:hAnsi="宋体" w:eastAsia="宋体" w:cs="宋体"/>
          <w:color w:val="auto"/>
          <w:kern w:val="2"/>
          <w:sz w:val="24"/>
          <w:szCs w:val="24"/>
          <w:highlight w:val="none"/>
        </w:rPr>
        <w:t>故障，</w:t>
      </w:r>
      <w:r>
        <w:rPr>
          <w:rFonts w:hint="eastAsia" w:ascii="宋体" w:hAnsi="宋体" w:eastAsia="宋体" w:cs="宋体"/>
          <w:color w:val="auto"/>
          <w:kern w:val="2"/>
          <w:sz w:val="24"/>
          <w:szCs w:val="24"/>
          <w:highlight w:val="none"/>
          <w:lang w:val="en-US" w:eastAsia="zh-CN"/>
        </w:rPr>
        <w:t>保证</w:t>
      </w:r>
      <w:r>
        <w:rPr>
          <w:rFonts w:hint="eastAsia" w:ascii="宋体" w:hAnsi="宋体" w:eastAsia="宋体" w:cs="宋体"/>
          <w:color w:val="auto"/>
          <w:kern w:val="2"/>
          <w:sz w:val="24"/>
          <w:szCs w:val="24"/>
          <w:highlight w:val="none"/>
        </w:rPr>
        <w:t>1小时</w:t>
      </w:r>
      <w:r>
        <w:rPr>
          <w:rFonts w:hint="eastAsia" w:ascii="宋体" w:hAnsi="宋体" w:eastAsia="宋体" w:cs="宋体"/>
          <w:color w:val="auto"/>
          <w:kern w:val="2"/>
          <w:sz w:val="24"/>
          <w:szCs w:val="24"/>
          <w:highlight w:val="none"/>
          <w:lang w:val="en-US" w:eastAsia="zh-CN"/>
        </w:rPr>
        <w:t>内</w:t>
      </w:r>
      <w:r>
        <w:rPr>
          <w:rFonts w:hint="eastAsia" w:ascii="宋体" w:hAnsi="宋体" w:eastAsia="宋体" w:cs="宋体"/>
          <w:color w:val="auto"/>
          <w:kern w:val="2"/>
          <w:sz w:val="24"/>
          <w:szCs w:val="24"/>
          <w:highlight w:val="none"/>
        </w:rPr>
        <w:t>响应，4小时内到达现场，48小时恢复系统正常运行。</w:t>
      </w:r>
      <w:r>
        <w:rPr>
          <w:rFonts w:hint="eastAsia" w:ascii="宋体" w:hAnsi="宋体" w:eastAsia="宋体" w:cs="宋体"/>
          <w:color w:val="auto"/>
          <w:kern w:val="0"/>
          <w:sz w:val="24"/>
          <w:szCs w:val="28"/>
          <w:highlight w:val="none"/>
        </w:rPr>
        <w:t>实时解决出现的故障及时响应采购方的服务要求。</w:t>
      </w:r>
    </w:p>
    <w:p>
      <w:pPr>
        <w:spacing w:line="360" w:lineRule="auto"/>
        <w:rPr>
          <w:rFonts w:hint="eastAsia" w:ascii="宋体" w:hAnsi="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商务要求</w:t>
      </w:r>
    </w:p>
    <w:bookmarkEnd w:id="28"/>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1.交付（实施）的时间（期限）：</w:t>
      </w:r>
      <w:r>
        <w:rPr>
          <w:rFonts w:hint="eastAsia" w:ascii="宋体" w:hAnsi="宋体" w:eastAsia="宋体" w:cs="宋体"/>
          <w:color w:val="auto"/>
          <w:kern w:val="0"/>
          <w:sz w:val="24"/>
          <w:szCs w:val="28"/>
          <w:highlight w:val="none"/>
        </w:rPr>
        <w:t>2023年</w:t>
      </w:r>
      <w:r>
        <w:rPr>
          <w:rFonts w:hint="eastAsia" w:ascii="宋体" w:hAnsi="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月1日前完成租赁设备进场、</w:t>
      </w:r>
      <w:r>
        <w:rPr>
          <w:rFonts w:hint="eastAsia" w:ascii="宋体" w:hAnsi="宋体" w:cs="宋体"/>
          <w:color w:val="auto"/>
          <w:kern w:val="0"/>
          <w:sz w:val="24"/>
          <w:szCs w:val="28"/>
          <w:highlight w:val="none"/>
          <w:lang w:val="en-US" w:eastAsia="zh-CN"/>
        </w:rPr>
        <w:t>安装</w:t>
      </w:r>
      <w:r>
        <w:rPr>
          <w:rFonts w:hint="eastAsia" w:ascii="宋体" w:hAnsi="宋体" w:eastAsia="宋体" w:cs="宋体"/>
          <w:color w:val="auto"/>
          <w:kern w:val="0"/>
          <w:sz w:val="24"/>
          <w:szCs w:val="28"/>
          <w:highlight w:val="none"/>
        </w:rPr>
        <w:t>、调试</w:t>
      </w:r>
      <w:r>
        <w:rPr>
          <w:rFonts w:hint="eastAsia" w:ascii="宋体" w:hAnsi="宋体" w:cs="宋体"/>
          <w:color w:val="auto"/>
          <w:kern w:val="0"/>
          <w:sz w:val="24"/>
          <w:szCs w:val="28"/>
          <w:highlight w:val="none"/>
          <w:lang w:val="en-US" w:eastAsia="zh-CN"/>
        </w:rPr>
        <w:t>及服务结束后1个月内设备拆除</w:t>
      </w:r>
      <w:r>
        <w:rPr>
          <w:rFonts w:hint="eastAsia" w:ascii="宋体" w:hAnsi="宋体" w:eastAsia="宋体" w:cs="宋体"/>
          <w:color w:val="auto"/>
          <w:kern w:val="0"/>
          <w:sz w:val="24"/>
          <w:szCs w:val="28"/>
          <w:highlight w:val="none"/>
        </w:rPr>
        <w:t>，2023年</w:t>
      </w:r>
      <w:r>
        <w:rPr>
          <w:rFonts w:hint="eastAsia" w:ascii="宋体" w:hAnsi="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月</w:t>
      </w:r>
      <w:r>
        <w:rPr>
          <w:rFonts w:hint="eastAsia" w:ascii="宋体" w:hAnsi="宋体" w:eastAsia="宋体" w:cs="宋体"/>
          <w:color w:val="auto"/>
          <w:kern w:val="0"/>
          <w:sz w:val="24"/>
          <w:szCs w:val="28"/>
          <w:highlight w:val="none"/>
          <w:lang w:val="en-US" w:eastAsia="zh-CN"/>
        </w:rPr>
        <w:t>1</w:t>
      </w:r>
      <w:r>
        <w:rPr>
          <w:rFonts w:hint="eastAsia" w:ascii="宋体" w:hAnsi="宋体" w:eastAsia="宋体" w:cs="宋体"/>
          <w:color w:val="auto"/>
          <w:kern w:val="0"/>
          <w:sz w:val="24"/>
          <w:szCs w:val="28"/>
          <w:highlight w:val="none"/>
        </w:rPr>
        <w:t>日至2023年1</w:t>
      </w:r>
      <w:r>
        <w:rPr>
          <w:rFonts w:hint="eastAsia" w:ascii="宋体" w:hAnsi="宋体" w:eastAsia="宋体" w:cs="宋体"/>
          <w:color w:val="auto"/>
          <w:kern w:val="0"/>
          <w:sz w:val="24"/>
          <w:szCs w:val="28"/>
          <w:highlight w:val="none"/>
          <w:lang w:val="en-US" w:eastAsia="zh-CN"/>
        </w:rPr>
        <w:t>1</w:t>
      </w:r>
      <w:r>
        <w:rPr>
          <w:rFonts w:hint="eastAsia" w:ascii="宋体" w:hAnsi="宋体" w:eastAsia="宋体" w:cs="宋体"/>
          <w:color w:val="auto"/>
          <w:kern w:val="0"/>
          <w:sz w:val="24"/>
          <w:szCs w:val="28"/>
          <w:highlight w:val="none"/>
        </w:rPr>
        <w:t>月</w:t>
      </w:r>
      <w:r>
        <w:rPr>
          <w:rFonts w:hint="eastAsia" w:ascii="宋体" w:hAnsi="宋体" w:eastAsia="宋体" w:cs="宋体"/>
          <w:color w:val="auto"/>
          <w:kern w:val="0"/>
          <w:sz w:val="24"/>
          <w:szCs w:val="28"/>
          <w:highlight w:val="none"/>
          <w:lang w:val="en-US" w:eastAsia="zh-CN"/>
        </w:rPr>
        <w:t>30</w:t>
      </w:r>
      <w:r>
        <w:rPr>
          <w:rFonts w:hint="eastAsia" w:ascii="宋体" w:hAnsi="宋体" w:eastAsia="宋体" w:cs="宋体"/>
          <w:color w:val="auto"/>
          <w:kern w:val="0"/>
          <w:sz w:val="24"/>
          <w:szCs w:val="28"/>
          <w:highlight w:val="none"/>
        </w:rPr>
        <w:t>日期间正式运行</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2.交付（实施）的地点（范围）：安装至采购人指定地点。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3.付款条件（进度和方式）</w:t>
      </w:r>
    </w:p>
    <w:tbl>
      <w:tblPr>
        <w:tblStyle w:val="62"/>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5387"/>
        <w:gridCol w:w="175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174"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87"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1751"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23" w:hRule="atLeast"/>
          <w:jc w:val="center"/>
        </w:trPr>
        <w:tc>
          <w:tcPr>
            <w:tcW w:w="117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87" w:type="dxa"/>
            <w:vAlign w:val="top"/>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合同签订后且</w:t>
            </w:r>
            <w:r>
              <w:rPr>
                <w:rFonts w:hint="eastAsia" w:ascii="宋体" w:hAnsi="宋体" w:eastAsia="宋体" w:cs="宋体"/>
                <w:color w:val="auto"/>
                <w:kern w:val="0"/>
                <w:sz w:val="24"/>
                <w:szCs w:val="28"/>
                <w:highlight w:val="none"/>
              </w:rPr>
              <w:t>采购</w:t>
            </w:r>
            <w:r>
              <w:rPr>
                <w:rFonts w:hint="eastAsia" w:ascii="宋体" w:hAnsi="宋体" w:cs="宋体"/>
                <w:color w:val="auto"/>
                <w:kern w:val="0"/>
                <w:sz w:val="24"/>
                <w:szCs w:val="28"/>
                <w:highlight w:val="none"/>
                <w:lang w:val="en-US" w:eastAsia="zh-CN"/>
              </w:rPr>
              <w:t>人</w:t>
            </w:r>
            <w:r>
              <w:rPr>
                <w:rFonts w:hint="eastAsia" w:ascii="宋体" w:hAnsi="宋体" w:eastAsia="宋体" w:cs="宋体"/>
                <w:color w:val="auto"/>
                <w:sz w:val="24"/>
                <w:highlight w:val="none"/>
              </w:rPr>
              <w:t>完成财政资金审批手续后5个工作日内，采购人向投标人支付合同总价的40%；同时，投标人缴纳合同总价1%</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eastAsia="zh-CN"/>
              </w:rPr>
              <w:t>。</w:t>
            </w:r>
          </w:p>
        </w:tc>
        <w:tc>
          <w:tcPr>
            <w:tcW w:w="1751"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607" w:hRule="atLeast"/>
          <w:jc w:val="center"/>
        </w:trPr>
        <w:tc>
          <w:tcPr>
            <w:tcW w:w="117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87" w:type="dxa"/>
            <w:vAlign w:val="top"/>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供应商完成全部</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并验收合格后，凭双方签字盖章的验收意见及相关验收报告、</w:t>
            </w:r>
            <w:r>
              <w:rPr>
                <w:rFonts w:hint="eastAsia" w:ascii="宋体" w:hAnsi="宋体" w:eastAsia="宋体" w:cs="宋体"/>
                <w:iCs w:val="0"/>
                <w:color w:val="auto"/>
                <w:sz w:val="24"/>
                <w:highlight w:val="none"/>
                <w:lang w:val="en-US" w:eastAsia="zh-CN"/>
              </w:rPr>
              <w:t>采购</w:t>
            </w:r>
            <w:r>
              <w:rPr>
                <w:rFonts w:hint="eastAsia" w:ascii="宋体" w:hAnsi="宋体" w:eastAsia="宋体" w:cs="宋体"/>
                <w:iCs w:val="0"/>
                <w:color w:val="auto"/>
                <w:sz w:val="24"/>
                <w:szCs w:val="22"/>
                <w:highlight w:val="none"/>
              </w:rPr>
              <w:t>文件</w:t>
            </w:r>
            <w:r>
              <w:rPr>
                <w:rFonts w:hint="eastAsia" w:ascii="宋体" w:hAnsi="宋体" w:eastAsia="宋体" w:cs="宋体"/>
                <w:color w:val="auto"/>
                <w:sz w:val="24"/>
                <w:highlight w:val="none"/>
                <w:lang w:eastAsia="zh-CN"/>
              </w:rPr>
              <w:t>、</w:t>
            </w:r>
            <w:r>
              <w:rPr>
                <w:rFonts w:hint="eastAsia" w:ascii="宋体" w:hAnsi="宋体" w:eastAsia="宋体" w:cs="宋体"/>
                <w:iCs w:val="0"/>
                <w:color w:val="auto"/>
                <w:sz w:val="24"/>
                <w:szCs w:val="22"/>
                <w:highlight w:val="none"/>
              </w:rPr>
              <w:t>投标文件</w:t>
            </w:r>
            <w:r>
              <w:rPr>
                <w:rFonts w:hint="eastAsia" w:ascii="宋体" w:hAnsi="宋体" w:eastAsia="宋体" w:cs="宋体"/>
                <w:color w:val="auto"/>
                <w:sz w:val="24"/>
                <w:highlight w:val="none"/>
                <w:lang w:eastAsia="zh-CN"/>
              </w:rPr>
              <w:t>、</w:t>
            </w:r>
            <w:r>
              <w:rPr>
                <w:rFonts w:hint="eastAsia" w:ascii="宋体" w:hAnsi="宋体" w:eastAsia="宋体" w:cs="宋体"/>
                <w:iCs w:val="0"/>
                <w:color w:val="auto"/>
                <w:sz w:val="24"/>
                <w:szCs w:val="22"/>
                <w:highlight w:val="none"/>
              </w:rPr>
              <w:t>采购合同</w:t>
            </w:r>
            <w:r>
              <w:rPr>
                <w:rFonts w:hint="eastAsia" w:ascii="宋体" w:hAnsi="宋体" w:eastAsia="宋体" w:cs="宋体"/>
                <w:iCs w:val="0"/>
                <w:color w:val="auto"/>
                <w:sz w:val="24"/>
                <w:szCs w:val="22"/>
                <w:highlight w:val="none"/>
                <w:lang w:eastAsia="zh-CN"/>
              </w:rPr>
              <w:t>、</w:t>
            </w:r>
            <w:r>
              <w:rPr>
                <w:rFonts w:hint="eastAsia" w:ascii="宋体" w:hAnsi="宋体" w:eastAsia="宋体" w:cs="宋体"/>
                <w:color w:val="auto"/>
                <w:kern w:val="0"/>
                <w:sz w:val="24"/>
                <w:highlight w:val="none"/>
              </w:rPr>
              <w:t>产品拍照图片、产品说明书、产品合格证、</w:t>
            </w:r>
            <w:r>
              <w:rPr>
                <w:rFonts w:hint="eastAsia" w:ascii="宋体" w:hAnsi="宋体" w:eastAsia="宋体" w:cs="宋体"/>
                <w:color w:val="auto"/>
                <w:sz w:val="24"/>
                <w:szCs w:val="24"/>
                <w:highlight w:val="none"/>
                <w:lang w:val="en-US" w:eastAsia="zh-CN"/>
              </w:rPr>
              <w:t>安全性(接地)检测报告、</w:t>
            </w:r>
            <w:r>
              <w:rPr>
                <w:rFonts w:hint="eastAsia" w:ascii="宋体" w:hAnsi="宋体" w:eastAsia="宋体" w:cs="宋体"/>
                <w:color w:val="auto"/>
                <w:sz w:val="24"/>
                <w:highlight w:val="none"/>
                <w:lang w:val="zh-CN"/>
              </w:rPr>
              <w:t>第三方检测机构出具的检测报告</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使用操作手册及各种文档资料等。</w:t>
            </w:r>
            <w:r>
              <w:rPr>
                <w:rFonts w:hint="eastAsia" w:ascii="宋体" w:hAnsi="宋体" w:eastAsia="宋体" w:cs="宋体"/>
                <w:bCs w:val="0"/>
                <w:color w:val="auto"/>
                <w:sz w:val="24"/>
                <w:highlight w:val="none"/>
                <w:lang w:val="zh-CN"/>
              </w:rPr>
              <w:t>采购人完成财政资金审批手续后</w:t>
            </w:r>
            <w:r>
              <w:rPr>
                <w:rFonts w:ascii="宋体" w:hAnsi="宋体" w:eastAsia="宋体" w:cs="宋体"/>
                <w:color w:val="auto"/>
                <w:sz w:val="24"/>
                <w:szCs w:val="24"/>
                <w:highlight w:val="none"/>
              </w:rPr>
              <w:t>根据合同单价结合实际租赁数量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天数</w:t>
            </w:r>
            <w:r>
              <w:rPr>
                <w:rFonts w:hint="eastAsia" w:ascii="宋体" w:hAnsi="宋体" w:eastAsia="宋体" w:cs="宋体"/>
                <w:color w:val="auto"/>
                <w:sz w:val="24"/>
                <w:highlight w:val="none"/>
              </w:rPr>
              <w:t xml:space="preserve">结算剩余应付的合同款项，同时扣除违约金。双方确认，采购人按前两款结算并向投标人支付的款项总额不超过合同总价。    </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zh-CN"/>
              </w:rPr>
              <w:t>前述采购人按</w:t>
            </w:r>
            <w:r>
              <w:rPr>
                <w:rFonts w:hint="eastAsia" w:ascii="宋体" w:hAnsi="宋体" w:eastAsia="宋体" w:cs="宋体"/>
                <w:color w:val="auto"/>
                <w:sz w:val="24"/>
                <w:highlight w:val="none"/>
              </w:rPr>
              <w:t>投标人根据合同单价及供货数量结算</w:t>
            </w:r>
            <w:r>
              <w:rPr>
                <w:rFonts w:hint="eastAsia" w:ascii="宋体" w:hAnsi="宋体" w:eastAsia="宋体" w:cs="宋体"/>
                <w:color w:val="auto"/>
                <w:sz w:val="24"/>
                <w:highlight w:val="none"/>
                <w:lang w:val="zh-CN"/>
              </w:rPr>
              <w:t>付款的方式不影响</w:t>
            </w:r>
            <w:r>
              <w:rPr>
                <w:rFonts w:hint="eastAsia" w:ascii="宋体" w:hAnsi="宋体" w:eastAsia="宋体" w:cs="宋体"/>
                <w:color w:val="auto"/>
                <w:sz w:val="24"/>
                <w:highlight w:val="none"/>
              </w:rPr>
              <w:t>采购人向投标人再行收取因投标人未全面按照合同约定履行而产生的违约金</w:t>
            </w:r>
            <w:r>
              <w:rPr>
                <w:rFonts w:hint="eastAsia" w:ascii="宋体" w:hAnsi="宋体" w:eastAsia="宋体" w:cs="宋体"/>
                <w:color w:val="auto"/>
                <w:highlight w:val="none"/>
                <w:lang w:eastAsia="zh-CN"/>
              </w:rPr>
              <w:t>。</w:t>
            </w:r>
          </w:p>
        </w:tc>
        <w:tc>
          <w:tcPr>
            <w:tcW w:w="1751"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国库转账支付</w:t>
            </w:r>
          </w:p>
        </w:tc>
      </w:tr>
    </w:tbl>
    <w:p>
      <w:pPr>
        <w:spacing w:line="360" w:lineRule="auto"/>
        <w:ind w:left="210" w:leftChars="100"/>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双方确认，采购人按前款结算并向投标人支付的款项总额不超过合同总价。</w:t>
      </w:r>
    </w:p>
    <w:p>
      <w:pPr>
        <w:spacing w:line="360" w:lineRule="auto"/>
        <w:ind w:left="210" w:left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（除满足上述约定的付款条件外，按财政及采购人规定办理完成相关手续后5个工作日内采购人方有义务予以支付。）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4.服务要求</w:t>
      </w:r>
    </w:p>
    <w:p>
      <w:pPr>
        <w:pStyle w:val="788"/>
        <w:ind w:firstLine="480" w:firstLineChars="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b/>
          <w:color w:val="auto"/>
          <w:szCs w:val="24"/>
          <w:highlight w:val="none"/>
        </w:rPr>
        <w:t>质量要求：所供的产品符合国家技术规范和质量标准。</w:t>
      </w:r>
    </w:p>
    <w:p>
      <w:pPr>
        <w:pStyle w:val="788"/>
        <w:ind w:firstLine="480" w:firstLineChars="0"/>
        <w:rPr>
          <w:rFonts w:hint="eastAsia" w:ascii="宋体" w:hAnsi="宋体" w:eastAsia="宋体" w:cs="宋体"/>
          <w:snapToGrid w:val="0"/>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kern w:val="0"/>
          <w:sz w:val="24"/>
          <w:szCs w:val="28"/>
          <w:highlight w:val="none"/>
        </w:rPr>
        <w:t>2023年</w:t>
      </w:r>
      <w:r>
        <w:rPr>
          <w:rFonts w:hint="eastAsia" w:ascii="宋体" w:hAnsi="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月1日前完成租赁设备进场、</w:t>
      </w:r>
      <w:r>
        <w:rPr>
          <w:rFonts w:hint="eastAsia" w:ascii="宋体" w:hAnsi="宋体" w:cs="宋体"/>
          <w:color w:val="auto"/>
          <w:kern w:val="0"/>
          <w:sz w:val="24"/>
          <w:szCs w:val="28"/>
          <w:highlight w:val="none"/>
          <w:lang w:val="en-US" w:eastAsia="zh-CN"/>
        </w:rPr>
        <w:t>安装</w:t>
      </w:r>
      <w:r>
        <w:rPr>
          <w:rFonts w:hint="eastAsia" w:ascii="宋体" w:hAnsi="宋体" w:eastAsia="宋体" w:cs="宋体"/>
          <w:color w:val="auto"/>
          <w:kern w:val="0"/>
          <w:sz w:val="24"/>
          <w:szCs w:val="28"/>
          <w:highlight w:val="none"/>
        </w:rPr>
        <w:t>、调试，正式运行期间响应方须</w:t>
      </w:r>
      <w:r>
        <w:rPr>
          <w:rFonts w:hint="eastAsia" w:ascii="宋体" w:hAnsi="宋体" w:eastAsia="宋体" w:cs="宋体"/>
          <w:color w:val="auto"/>
          <w:kern w:val="0"/>
          <w:sz w:val="24"/>
          <w:szCs w:val="28"/>
          <w:highlight w:val="none"/>
          <w:lang w:val="en-US" w:eastAsia="zh-CN"/>
        </w:rPr>
        <w:t>组建</w:t>
      </w:r>
      <w:r>
        <w:rPr>
          <w:rFonts w:hint="eastAsia" w:ascii="宋体" w:hAnsi="宋体" w:eastAsia="宋体" w:cs="宋体"/>
          <w:color w:val="auto"/>
          <w:kern w:val="0"/>
          <w:sz w:val="24"/>
          <w:szCs w:val="28"/>
          <w:highlight w:val="none"/>
        </w:rPr>
        <w:t>有完善的运维保障小组，及时响应采购方的服务要求。</w:t>
      </w:r>
    </w:p>
    <w:p>
      <w:pPr>
        <w:pStyle w:val="788"/>
        <w:ind w:firstLine="48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3）响应方需提供产品质量保证，产品质量有问题如缺扣等问题无条件更换。</w:t>
      </w:r>
    </w:p>
    <w:p>
      <w:pPr>
        <w:pStyle w:val="788"/>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主要设备需要准备配品配件，运行期间</w:t>
      </w:r>
      <w:r>
        <w:rPr>
          <w:rFonts w:hint="eastAsia" w:ascii="宋体" w:hAnsi="宋体" w:eastAsia="宋体" w:cs="宋体"/>
          <w:color w:val="auto"/>
          <w:szCs w:val="24"/>
          <w:highlight w:val="none"/>
          <w:lang w:val="en-US" w:eastAsia="zh-CN"/>
        </w:rPr>
        <w:t>保证</w:t>
      </w:r>
      <w:r>
        <w:rPr>
          <w:rFonts w:hint="eastAsia" w:ascii="宋体" w:hAnsi="宋体" w:eastAsia="宋体" w:cs="宋体"/>
          <w:color w:val="auto"/>
          <w:szCs w:val="24"/>
          <w:highlight w:val="none"/>
        </w:rPr>
        <w:t>7*24小时</w:t>
      </w:r>
      <w:r>
        <w:rPr>
          <w:rFonts w:hint="eastAsia" w:ascii="宋体" w:hAnsi="宋体" w:eastAsia="宋体" w:cs="宋体"/>
          <w:color w:val="auto"/>
          <w:szCs w:val="24"/>
          <w:highlight w:val="none"/>
          <w:lang w:val="en-US" w:eastAsia="zh-CN"/>
        </w:rPr>
        <w:t>随时响应</w:t>
      </w:r>
      <w:r>
        <w:rPr>
          <w:rFonts w:hint="eastAsia" w:ascii="宋体" w:hAnsi="宋体" w:eastAsia="宋体" w:cs="宋体"/>
          <w:color w:val="auto"/>
          <w:szCs w:val="24"/>
          <w:highlight w:val="none"/>
        </w:rPr>
        <w:t>，实时解决出现的故障。</w:t>
      </w:r>
    </w:p>
    <w:p>
      <w:pPr>
        <w:pStyle w:val="788"/>
        <w:ind w:firstLine="48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kern w:val="2"/>
          <w:sz w:val="24"/>
          <w:szCs w:val="24"/>
          <w:highlight w:val="none"/>
          <w:lang w:val="en-US" w:eastAsia="zh-CN"/>
        </w:rPr>
        <w:t>出现</w:t>
      </w:r>
      <w:r>
        <w:rPr>
          <w:rFonts w:hint="eastAsia" w:ascii="宋体" w:hAnsi="宋体" w:eastAsia="宋体" w:cs="宋体"/>
          <w:color w:val="auto"/>
          <w:kern w:val="2"/>
          <w:sz w:val="24"/>
          <w:szCs w:val="24"/>
          <w:highlight w:val="none"/>
        </w:rPr>
        <w:t>故障，</w:t>
      </w:r>
      <w:r>
        <w:rPr>
          <w:rFonts w:hint="eastAsia" w:ascii="宋体" w:hAnsi="宋体" w:eastAsia="宋体" w:cs="宋体"/>
          <w:color w:val="auto"/>
          <w:kern w:val="2"/>
          <w:sz w:val="24"/>
          <w:szCs w:val="24"/>
          <w:highlight w:val="none"/>
          <w:lang w:val="en-US" w:eastAsia="zh-CN"/>
        </w:rPr>
        <w:t>供应商应保证</w:t>
      </w:r>
      <w:r>
        <w:rPr>
          <w:rFonts w:hint="eastAsia" w:ascii="宋体" w:hAnsi="宋体" w:eastAsia="宋体" w:cs="宋体"/>
          <w:color w:val="auto"/>
          <w:kern w:val="2"/>
          <w:sz w:val="24"/>
          <w:szCs w:val="24"/>
          <w:highlight w:val="none"/>
        </w:rPr>
        <w:t>1小时</w:t>
      </w:r>
      <w:r>
        <w:rPr>
          <w:rFonts w:hint="eastAsia" w:ascii="宋体" w:hAnsi="宋体" w:eastAsia="宋体" w:cs="宋体"/>
          <w:color w:val="auto"/>
          <w:kern w:val="2"/>
          <w:sz w:val="24"/>
          <w:szCs w:val="24"/>
          <w:highlight w:val="none"/>
          <w:lang w:val="en-US" w:eastAsia="zh-CN"/>
        </w:rPr>
        <w:t>内</w:t>
      </w:r>
      <w:r>
        <w:rPr>
          <w:rFonts w:hint="eastAsia" w:ascii="宋体" w:hAnsi="宋体" w:eastAsia="宋体" w:cs="宋体"/>
          <w:color w:val="auto"/>
          <w:kern w:val="2"/>
          <w:sz w:val="24"/>
          <w:szCs w:val="24"/>
          <w:highlight w:val="none"/>
        </w:rPr>
        <w:t>响应，4小时内到达现场，48小时恢复系统正常运行。</w:t>
      </w:r>
    </w:p>
    <w:p>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备品备件清单</w:t>
      </w:r>
    </w:p>
    <w:tbl>
      <w:tblPr>
        <w:tblStyle w:val="62"/>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467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74"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78"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备用品名称</w:t>
            </w:r>
          </w:p>
        </w:tc>
        <w:tc>
          <w:tcPr>
            <w:tcW w:w="1985" w:type="dxa"/>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78"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卡口相机</w:t>
            </w:r>
          </w:p>
        </w:tc>
        <w:tc>
          <w:tcPr>
            <w:tcW w:w="198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78"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AR高点监控</w:t>
            </w:r>
          </w:p>
        </w:tc>
        <w:tc>
          <w:tcPr>
            <w:tcW w:w="198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78"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地面监控</w:t>
            </w:r>
          </w:p>
        </w:tc>
        <w:tc>
          <w:tcPr>
            <w:tcW w:w="198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3个</w:t>
            </w:r>
          </w:p>
        </w:tc>
      </w:tr>
    </w:tbl>
    <w:p>
      <w:pPr>
        <w:pStyle w:val="788"/>
        <w:ind w:firstLine="480" w:firstLineChars="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）供应商需建立24小时值班制度，并配备1名项目负责人，负责与采购人对接，对接处理技术及其他售后问题，以保证采购人的正常使用。项目负责人具有类似项目实施经验（</w:t>
      </w:r>
      <w:r>
        <w:rPr>
          <w:rFonts w:hint="eastAsia" w:ascii="宋体" w:hAnsi="宋体" w:eastAsia="宋体" w:cs="宋体"/>
          <w:color w:val="auto"/>
          <w:szCs w:val="24"/>
          <w:highlight w:val="none"/>
          <w:lang w:val="en-US" w:eastAsia="zh-CN"/>
        </w:rPr>
        <w:t>需提供</w:t>
      </w:r>
      <w:r>
        <w:rPr>
          <w:rFonts w:hint="eastAsia" w:ascii="宋体" w:hAnsi="宋体" w:eastAsia="宋体" w:cs="宋体"/>
          <w:color w:val="auto"/>
          <w:szCs w:val="24"/>
          <w:highlight w:val="none"/>
        </w:rPr>
        <w:t>合同及业主证明</w:t>
      </w:r>
      <w:r>
        <w:rPr>
          <w:rFonts w:hint="eastAsia" w:ascii="宋体" w:hAnsi="宋体" w:eastAsia="宋体" w:cs="宋体"/>
          <w:color w:val="auto"/>
          <w:szCs w:val="24"/>
          <w:highlight w:val="none"/>
          <w:lang w:val="en-US" w:eastAsia="zh-CN"/>
        </w:rPr>
        <w:t>作为证明材料</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租赁</w:t>
      </w:r>
      <w:r>
        <w:rPr>
          <w:rFonts w:hint="eastAsia" w:ascii="宋体" w:hAnsi="宋体" w:eastAsia="宋体" w:cs="宋体"/>
          <w:color w:val="auto"/>
          <w:szCs w:val="24"/>
          <w:highlight w:val="none"/>
        </w:rPr>
        <w:t>期内，项目人员需对产品进行特定巡检、维修、维护、清洁、保养。</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5.其他商务要求：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8"/>
          <w:highlight w:val="none"/>
        </w:rPr>
        <w:t>投标报价包含为完成本项目可能发生的各项服务费（包括但不限于运输、搬运、搭建、组装、调试</w:t>
      </w:r>
      <w:r>
        <w:rPr>
          <w:rFonts w:hint="eastAsia" w:ascii="宋体" w:hAnsi="宋体" w:eastAsia="宋体" w:cs="宋体"/>
          <w:color w:val="auto"/>
          <w:kern w:val="0"/>
          <w:sz w:val="24"/>
          <w:szCs w:val="28"/>
          <w:highlight w:val="none"/>
          <w:lang w:eastAsia="zh-CN"/>
        </w:rPr>
        <w:t>、</w:t>
      </w:r>
      <w:r>
        <w:rPr>
          <w:rFonts w:hint="eastAsia" w:ascii="宋体" w:hAnsi="宋体" w:eastAsia="宋体" w:cs="宋体"/>
          <w:color w:val="auto"/>
          <w:kern w:val="0"/>
          <w:sz w:val="24"/>
          <w:szCs w:val="28"/>
          <w:highlight w:val="none"/>
          <w:lang w:val="en-US" w:eastAsia="zh-CN"/>
        </w:rPr>
        <w:t>后续拆除</w:t>
      </w:r>
      <w:r>
        <w:rPr>
          <w:rFonts w:hint="eastAsia" w:ascii="宋体" w:hAnsi="宋体" w:eastAsia="宋体" w:cs="宋体"/>
          <w:color w:val="auto"/>
          <w:kern w:val="0"/>
          <w:sz w:val="24"/>
          <w:szCs w:val="28"/>
          <w:highlight w:val="none"/>
        </w:rPr>
        <w:t>等费用）、人员（工资、加班费、奖金、津贴及《劳动合同法》各类社会保险、人员的交通费、食宿费、办公费等）、税金等为完成本项目各项服务可能发生的全部费用。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租赁服务期结束，</w:t>
      </w:r>
      <w:r>
        <w:rPr>
          <w:rFonts w:hint="eastAsia" w:ascii="宋体" w:hAnsi="宋体" w:eastAsia="宋体" w:cs="宋体"/>
          <w:color w:val="auto"/>
          <w:kern w:val="0"/>
          <w:sz w:val="24"/>
          <w:szCs w:val="28"/>
          <w:highlight w:val="none"/>
        </w:rPr>
        <w:t>无任何服务质量和服务问题，</w:t>
      </w:r>
      <w:r>
        <w:rPr>
          <w:rFonts w:hint="eastAsia" w:ascii="宋体" w:hAnsi="宋体" w:cs="宋体"/>
          <w:color w:val="auto"/>
          <w:kern w:val="0"/>
          <w:sz w:val="24"/>
          <w:szCs w:val="28"/>
          <w:highlight w:val="none"/>
          <w:lang w:val="en-US" w:eastAsia="zh-CN"/>
        </w:rPr>
        <w:t>经</w:t>
      </w:r>
      <w:r>
        <w:rPr>
          <w:rFonts w:hint="eastAsia" w:ascii="宋体" w:hAnsi="宋体" w:eastAsia="宋体" w:cs="宋体"/>
          <w:color w:val="auto"/>
          <w:kern w:val="0"/>
          <w:sz w:val="24"/>
          <w:szCs w:val="28"/>
          <w:highlight w:val="none"/>
        </w:rPr>
        <w:t>验收合格后，采购人于收到中标人退还履约保证金申请之日起5个工作日凭双方签字盖章的验收意见，原额（无息）归还履约保证金。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（七）采购项目的其他要求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1.验收方案："具体详见履约验收方案"。</w:t>
      </w:r>
    </w:p>
    <w:p>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w:t>
      </w:r>
      <w:r>
        <w:rPr>
          <w:rFonts w:hint="eastAsia" w:ascii="宋体" w:hAnsi="宋体" w:eastAsia="宋体" w:cs="宋体"/>
          <w:color w:val="auto"/>
          <w:sz w:val="24"/>
          <w:highlight w:val="none"/>
        </w:rPr>
        <w:t>合同签订后5个工作日内，采购人向投标人支付合同总价的40%；同时，收取合同总价1%履约保证金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鼓励和支持供应商以银行、保险公司出具的保函形式提供履约保证金。履约期满，通过验收合格后凭双方签字盖章的验收意见，采购人于收到供应商退还履约保证金申请之日起5个工作日内退还。</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、履约验收方案</w:t>
      </w:r>
    </w:p>
    <w:tbl>
      <w:tblPr>
        <w:tblStyle w:val="62"/>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70"/>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验收内容</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核对产品的型号、参数、数量等是否与合同及投标文件承诺相符，检查资料是否提供了所有产品拍照图片、说明书、产品合格证、质保承诺函。</w:t>
            </w:r>
            <w:r>
              <w:rPr>
                <w:rFonts w:hint="eastAsia" w:ascii="宋体" w:hAnsi="宋体" w:eastAsia="宋体" w:cs="宋体"/>
                <w:color w:val="auto"/>
                <w:sz w:val="24"/>
                <w:highlight w:val="none"/>
                <w:lang w:val="zh-CN"/>
              </w:rPr>
              <w:t>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送货</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项目按送货要求完成供货、安装、调试、并在规定的时间内送达。</w:t>
            </w:r>
          </w:p>
        </w:tc>
      </w:tr>
    </w:tbl>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验收资料要求包括（不限于）以下内容：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 xml:space="preserve">文件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4）到货核验清单（经采购经办人、复核人、供应商三方签字盖章）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5）产品拍照图片、产品说明书、产品合格证、质保承诺函。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安全性(接地)检测报告、</w:t>
      </w:r>
      <w:r>
        <w:rPr>
          <w:rFonts w:hint="eastAsia" w:ascii="宋体" w:hAnsi="宋体" w:eastAsia="宋体" w:cs="宋体"/>
          <w:color w:val="auto"/>
          <w:sz w:val="24"/>
          <w:highlight w:val="none"/>
          <w:lang w:val="zh-CN"/>
        </w:rPr>
        <w:t>第三方检测机构出具的检测报告</w:t>
      </w:r>
    </w:p>
    <w:p>
      <w:pPr>
        <w:numPr>
          <w:ilvl w:val="-1"/>
          <w:numId w:val="0"/>
        </w:numPr>
        <w:spacing w:line="360" w:lineRule="auto"/>
        <w:ind w:firstLine="480" w:firstLineChars="200"/>
        <w:jc w:val="left"/>
        <w:rPr>
          <w:rFonts w:hint="eastAsia" w:ascii="宋体" w:hAnsi="宋体" w:eastAsia="宋体" w:cs="宋体"/>
          <w:iCs w:val="0"/>
          <w:color w:val="auto"/>
          <w:sz w:val="24"/>
          <w:szCs w:val="24"/>
          <w:highlight w:val="none"/>
        </w:rPr>
      </w:pPr>
      <w:r>
        <w:rPr>
          <w:rFonts w:hint="eastAsia" w:ascii="宋体" w:hAnsi="宋体" w:eastAsia="宋体" w:cs="宋体"/>
          <w:iCs w:val="0"/>
          <w:color w:val="auto"/>
          <w:sz w:val="24"/>
          <w:szCs w:val="24"/>
          <w:highlight w:val="none"/>
          <w:lang w:val="en-US" w:eastAsia="zh-CN"/>
        </w:rPr>
        <w:t>7）</w:t>
      </w:r>
      <w:r>
        <w:rPr>
          <w:rFonts w:hint="eastAsia" w:ascii="宋体" w:hAnsi="宋体" w:eastAsia="宋体" w:cs="宋体"/>
          <w:color w:val="auto"/>
          <w:sz w:val="24"/>
          <w:highlight w:val="none"/>
        </w:rPr>
        <w:t>人员清单、人员社保缴纳证明、人员变更审批表（如有）；</w:t>
      </w:r>
    </w:p>
    <w:p>
      <w:pPr>
        <w:spacing w:line="360" w:lineRule="auto"/>
        <w:ind w:firstLine="480" w:firstLineChars="200"/>
        <w:jc w:val="left"/>
        <w:rPr>
          <w:rFonts w:hint="eastAsia" w:ascii="宋体" w:hAnsi="宋体" w:eastAsia="宋体" w:cs="宋体"/>
          <w:iCs w:val="0"/>
          <w:color w:val="auto"/>
          <w:sz w:val="24"/>
          <w:szCs w:val="24"/>
          <w:highlight w:val="none"/>
        </w:rPr>
      </w:pPr>
      <w:r>
        <w:rPr>
          <w:rFonts w:hint="eastAsia" w:ascii="宋体" w:hAnsi="宋体" w:cs="宋体"/>
          <w:iCs w:val="0"/>
          <w:color w:val="auto"/>
          <w:sz w:val="24"/>
          <w:szCs w:val="24"/>
          <w:highlight w:val="none"/>
          <w:lang w:val="en-US" w:eastAsia="zh-CN"/>
        </w:rPr>
        <w:t>8</w:t>
      </w:r>
      <w:r>
        <w:rPr>
          <w:rFonts w:hint="eastAsia" w:ascii="宋体" w:hAnsi="宋体" w:eastAsia="宋体" w:cs="宋体"/>
          <w:iCs w:val="0"/>
          <w:color w:val="auto"/>
          <w:sz w:val="24"/>
          <w:szCs w:val="24"/>
          <w:highlight w:val="none"/>
        </w:rPr>
        <w:t>）其他需提供的相关材料。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（六）履约验收标准：根据采购文件确定的技术指标或者服务要求确定验收指标和标准。未进行相应约定的，应当符合国家强制性规定、政策要求、安全标准、行业或企业有关标准等。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（七）履约验收其他事项：无</w:t>
      </w:r>
    </w:p>
    <w:p>
      <w:pPr>
        <w:spacing w:line="240" w:lineRule="auto"/>
        <w:jc w:val="left"/>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4478"/>
      <w:bookmarkEnd w:id="29"/>
      <w:bookmarkStart w:id="30" w:name="_Toc184313272"/>
      <w:bookmarkEnd w:id="30"/>
      <w:bookmarkStart w:id="31" w:name="_Toc184314448"/>
      <w:bookmarkEnd w:id="31"/>
      <w:bookmarkStart w:id="32" w:name="_Toc184308085"/>
      <w:bookmarkEnd w:id="32"/>
      <w:bookmarkStart w:id="33" w:name="_Toc184308091"/>
      <w:bookmarkEnd w:id="33"/>
      <w:bookmarkStart w:id="34" w:name="_Toc184314412"/>
      <w:bookmarkEnd w:id="34"/>
      <w:bookmarkStart w:id="35" w:name="_Toc184310325"/>
      <w:bookmarkEnd w:id="35"/>
      <w:bookmarkStart w:id="36" w:name="_Toc184310310"/>
      <w:bookmarkEnd w:id="36"/>
      <w:bookmarkStart w:id="37" w:name="_Toc184308068"/>
      <w:bookmarkEnd w:id="37"/>
      <w:bookmarkStart w:id="38" w:name="_Toc184313306"/>
      <w:bookmarkEnd w:id="38"/>
      <w:bookmarkStart w:id="39" w:name="_Toc184310276"/>
      <w:bookmarkEnd w:id="39"/>
      <w:bookmarkStart w:id="40" w:name="_Toc184314456"/>
      <w:bookmarkEnd w:id="40"/>
      <w:bookmarkStart w:id="41" w:name="_Toc184308086"/>
      <w:bookmarkEnd w:id="41"/>
      <w:bookmarkStart w:id="42" w:name="_Toc184314434"/>
      <w:bookmarkEnd w:id="42"/>
      <w:bookmarkStart w:id="43" w:name="_Toc184312091"/>
      <w:bookmarkEnd w:id="43"/>
      <w:bookmarkStart w:id="44" w:name="_Toc184312100"/>
      <w:bookmarkEnd w:id="44"/>
      <w:bookmarkStart w:id="45" w:name="_Toc184312132"/>
      <w:bookmarkEnd w:id="45"/>
      <w:bookmarkStart w:id="46" w:name="_Toc184308042"/>
      <w:bookmarkEnd w:id="46"/>
      <w:bookmarkStart w:id="47" w:name="_Toc184314476"/>
      <w:bookmarkEnd w:id="47"/>
      <w:bookmarkStart w:id="48" w:name="_Toc184314417"/>
      <w:bookmarkEnd w:id="48"/>
      <w:bookmarkStart w:id="49" w:name="_Toc184313261"/>
      <w:bookmarkEnd w:id="49"/>
      <w:bookmarkStart w:id="50" w:name="_Toc184312136"/>
      <w:bookmarkEnd w:id="50"/>
      <w:bookmarkStart w:id="51" w:name="_Toc184314447"/>
      <w:bookmarkEnd w:id="51"/>
      <w:bookmarkStart w:id="52" w:name="_Toc184308076"/>
      <w:bookmarkEnd w:id="52"/>
      <w:bookmarkStart w:id="53" w:name="_Toc184310335"/>
      <w:bookmarkEnd w:id="53"/>
      <w:bookmarkStart w:id="54" w:name="_Toc184314414"/>
      <w:bookmarkEnd w:id="54"/>
      <w:bookmarkStart w:id="55" w:name="_Toc184314422"/>
      <w:bookmarkEnd w:id="55"/>
      <w:bookmarkStart w:id="56" w:name="_Toc184312109"/>
      <w:bookmarkEnd w:id="56"/>
      <w:bookmarkStart w:id="57" w:name="_Toc184312094"/>
      <w:bookmarkEnd w:id="57"/>
      <w:bookmarkStart w:id="58" w:name="_Toc184313256"/>
      <w:bookmarkEnd w:id="58"/>
      <w:bookmarkStart w:id="59" w:name="_Toc184314442"/>
      <w:bookmarkEnd w:id="59"/>
      <w:bookmarkStart w:id="60" w:name="_Toc184308087"/>
      <w:bookmarkEnd w:id="60"/>
      <w:bookmarkStart w:id="61" w:name="_Toc184314423"/>
      <w:bookmarkEnd w:id="61"/>
      <w:bookmarkStart w:id="62" w:name="_Toc184312097"/>
      <w:bookmarkEnd w:id="62"/>
      <w:bookmarkStart w:id="63" w:name="_Toc184314435"/>
      <w:bookmarkEnd w:id="63"/>
      <w:bookmarkStart w:id="64" w:name="_Toc184312106"/>
      <w:bookmarkEnd w:id="64"/>
      <w:bookmarkStart w:id="65" w:name="_Toc184314466"/>
      <w:bookmarkEnd w:id="65"/>
      <w:bookmarkStart w:id="66" w:name="_Toc184313258"/>
      <w:bookmarkEnd w:id="66"/>
      <w:bookmarkStart w:id="67" w:name="_Toc184314449"/>
      <w:bookmarkEnd w:id="67"/>
      <w:bookmarkStart w:id="68" w:name="_Toc184312103"/>
      <w:bookmarkEnd w:id="68"/>
      <w:bookmarkStart w:id="69" w:name="_Toc184310328"/>
      <w:bookmarkEnd w:id="69"/>
      <w:bookmarkStart w:id="70" w:name="_Toc184308052"/>
      <w:bookmarkEnd w:id="70"/>
      <w:bookmarkStart w:id="71" w:name="_Toc184314418"/>
      <w:bookmarkEnd w:id="71"/>
      <w:bookmarkStart w:id="72" w:name="_Toc184308048"/>
      <w:bookmarkEnd w:id="72"/>
      <w:bookmarkStart w:id="73" w:name="_Toc184312122"/>
      <w:bookmarkEnd w:id="73"/>
      <w:bookmarkStart w:id="74" w:name="_Toc184310274"/>
      <w:bookmarkEnd w:id="74"/>
      <w:bookmarkStart w:id="75" w:name="_Toc184313291"/>
      <w:bookmarkEnd w:id="75"/>
      <w:bookmarkStart w:id="76" w:name="_Toc184314460"/>
      <w:bookmarkEnd w:id="76"/>
      <w:bookmarkStart w:id="77" w:name="_Toc184313286"/>
      <w:bookmarkEnd w:id="77"/>
      <w:bookmarkStart w:id="78" w:name="_Toc184310308"/>
      <w:bookmarkEnd w:id="78"/>
      <w:bookmarkStart w:id="79" w:name="_Toc184314464"/>
      <w:bookmarkEnd w:id="79"/>
      <w:bookmarkStart w:id="80" w:name="_Toc184310275"/>
      <w:bookmarkEnd w:id="80"/>
      <w:bookmarkStart w:id="81" w:name="_Toc184313307"/>
      <w:bookmarkEnd w:id="81"/>
      <w:bookmarkStart w:id="82" w:name="_Toc184314424"/>
      <w:bookmarkEnd w:id="82"/>
      <w:bookmarkStart w:id="83" w:name="_Toc184314480"/>
      <w:bookmarkEnd w:id="83"/>
      <w:bookmarkStart w:id="84" w:name="_Toc184313310"/>
      <w:bookmarkEnd w:id="84"/>
      <w:bookmarkStart w:id="85" w:name="_Toc184312137"/>
      <w:bookmarkEnd w:id="85"/>
      <w:bookmarkStart w:id="86" w:name="_Toc184314479"/>
      <w:bookmarkEnd w:id="86"/>
      <w:bookmarkStart w:id="87" w:name="_Toc184312133"/>
      <w:bookmarkEnd w:id="87"/>
      <w:bookmarkStart w:id="88" w:name="_Toc184313250"/>
      <w:bookmarkEnd w:id="88"/>
      <w:bookmarkStart w:id="89" w:name="_Toc184312092"/>
      <w:bookmarkEnd w:id="89"/>
      <w:bookmarkStart w:id="90" w:name="_Toc184308088"/>
      <w:bookmarkEnd w:id="90"/>
      <w:bookmarkStart w:id="91" w:name="_Toc184310291"/>
      <w:bookmarkEnd w:id="91"/>
      <w:bookmarkStart w:id="92" w:name="_Toc184314469"/>
      <w:bookmarkEnd w:id="92"/>
      <w:bookmarkStart w:id="93" w:name="_Toc184313302"/>
      <w:bookmarkEnd w:id="93"/>
      <w:bookmarkStart w:id="94" w:name="_Toc184308044"/>
      <w:bookmarkEnd w:id="94"/>
      <w:bookmarkStart w:id="95" w:name="_Toc184308096"/>
      <w:bookmarkEnd w:id="95"/>
      <w:bookmarkStart w:id="96" w:name="_Toc184312134"/>
      <w:bookmarkEnd w:id="96"/>
      <w:bookmarkStart w:id="97" w:name="_Toc184308107"/>
      <w:bookmarkEnd w:id="97"/>
      <w:bookmarkStart w:id="98" w:name="_Toc184312108"/>
      <w:bookmarkEnd w:id="98"/>
      <w:bookmarkStart w:id="99" w:name="_Toc184314471"/>
      <w:bookmarkEnd w:id="99"/>
      <w:bookmarkStart w:id="100" w:name="_Toc184313251"/>
      <w:bookmarkEnd w:id="100"/>
      <w:bookmarkStart w:id="101" w:name="_Toc184313309"/>
      <w:bookmarkEnd w:id="101"/>
      <w:bookmarkStart w:id="102" w:name="_Toc184313298"/>
      <w:bookmarkEnd w:id="102"/>
      <w:bookmarkStart w:id="103" w:name="_Toc184314436"/>
      <w:bookmarkEnd w:id="103"/>
      <w:bookmarkStart w:id="104" w:name="_Toc184308057"/>
      <w:bookmarkEnd w:id="104"/>
      <w:bookmarkStart w:id="105" w:name="_Toc184313297"/>
      <w:bookmarkEnd w:id="105"/>
      <w:bookmarkStart w:id="106" w:name="_Toc184312072"/>
      <w:bookmarkEnd w:id="106"/>
      <w:bookmarkStart w:id="107" w:name="_Toc184310309"/>
      <w:bookmarkEnd w:id="107"/>
      <w:bookmarkStart w:id="108" w:name="_Toc184308108"/>
      <w:bookmarkEnd w:id="108"/>
      <w:bookmarkStart w:id="109" w:name="_Toc184308069"/>
      <w:bookmarkEnd w:id="109"/>
      <w:bookmarkStart w:id="110" w:name="_Toc184310327"/>
      <w:bookmarkEnd w:id="110"/>
      <w:bookmarkStart w:id="111" w:name="_Toc184310285"/>
      <w:bookmarkEnd w:id="111"/>
      <w:bookmarkStart w:id="112" w:name="_Toc184314427"/>
      <w:bookmarkEnd w:id="112"/>
      <w:bookmarkStart w:id="113" w:name="_Toc184310300"/>
      <w:bookmarkEnd w:id="113"/>
      <w:bookmarkStart w:id="114" w:name="_Toc184312113"/>
      <w:bookmarkEnd w:id="114"/>
      <w:bookmarkStart w:id="115" w:name="_Toc184308037"/>
      <w:bookmarkEnd w:id="115"/>
      <w:bookmarkStart w:id="116" w:name="_Toc184308095"/>
      <w:bookmarkEnd w:id="116"/>
      <w:bookmarkStart w:id="117" w:name="_Toc184310319"/>
      <w:bookmarkEnd w:id="117"/>
      <w:bookmarkStart w:id="118" w:name="_Toc184314482"/>
      <w:bookmarkEnd w:id="118"/>
      <w:bookmarkStart w:id="119" w:name="_Toc184310320"/>
      <w:bookmarkEnd w:id="119"/>
      <w:bookmarkStart w:id="120" w:name="_Toc184314459"/>
      <w:bookmarkEnd w:id="120"/>
      <w:bookmarkStart w:id="121" w:name="_Toc184312084"/>
      <w:bookmarkEnd w:id="121"/>
      <w:bookmarkStart w:id="122" w:name="_Toc184308072"/>
      <w:bookmarkEnd w:id="122"/>
      <w:bookmarkStart w:id="123" w:name="_Toc184308073"/>
      <w:bookmarkEnd w:id="123"/>
      <w:bookmarkStart w:id="124" w:name="_Toc184313244"/>
      <w:bookmarkEnd w:id="124"/>
      <w:bookmarkStart w:id="125" w:name="_Toc184312112"/>
      <w:bookmarkEnd w:id="125"/>
      <w:bookmarkStart w:id="126" w:name="_Toc184313284"/>
      <w:bookmarkEnd w:id="126"/>
      <w:bookmarkStart w:id="127" w:name="_Toc184312089"/>
      <w:bookmarkEnd w:id="127"/>
      <w:bookmarkStart w:id="128" w:name="_Toc184312121"/>
      <w:bookmarkEnd w:id="128"/>
      <w:bookmarkStart w:id="129" w:name="_Toc184314432"/>
      <w:bookmarkEnd w:id="129"/>
      <w:bookmarkStart w:id="130" w:name="_Toc184314463"/>
      <w:bookmarkEnd w:id="130"/>
      <w:bookmarkStart w:id="131" w:name="_Toc184308036"/>
      <w:bookmarkEnd w:id="131"/>
      <w:bookmarkStart w:id="132" w:name="_Toc184312125"/>
      <w:bookmarkEnd w:id="132"/>
      <w:bookmarkStart w:id="133" w:name="_Toc184310298"/>
      <w:bookmarkEnd w:id="133"/>
      <w:bookmarkStart w:id="134" w:name="_Toc184312104"/>
      <w:bookmarkEnd w:id="134"/>
      <w:bookmarkStart w:id="135" w:name="_Toc184314453"/>
      <w:bookmarkEnd w:id="135"/>
      <w:bookmarkStart w:id="136" w:name="_Toc184312139"/>
      <w:bookmarkEnd w:id="136"/>
      <w:bookmarkStart w:id="137" w:name="_Toc184312086"/>
      <w:bookmarkEnd w:id="137"/>
      <w:bookmarkStart w:id="138" w:name="_Toc184308062"/>
      <w:bookmarkEnd w:id="138"/>
      <w:bookmarkStart w:id="139" w:name="_Toc184312081"/>
      <w:bookmarkEnd w:id="139"/>
      <w:bookmarkStart w:id="140" w:name="_Toc184310342"/>
      <w:bookmarkEnd w:id="140"/>
      <w:bookmarkStart w:id="141" w:name="_Toc184308071"/>
      <w:bookmarkEnd w:id="141"/>
      <w:bookmarkStart w:id="142" w:name="_Toc184308049"/>
      <w:bookmarkEnd w:id="142"/>
      <w:bookmarkStart w:id="143" w:name="_Toc184310323"/>
      <w:bookmarkEnd w:id="143"/>
      <w:bookmarkStart w:id="144" w:name="_Toc184308099"/>
      <w:bookmarkEnd w:id="144"/>
      <w:bookmarkStart w:id="145" w:name="_Toc184313264"/>
      <w:bookmarkEnd w:id="145"/>
      <w:bookmarkStart w:id="146" w:name="_Toc184313253"/>
      <w:bookmarkEnd w:id="146"/>
      <w:bookmarkStart w:id="147" w:name="_Toc184312130"/>
      <w:bookmarkEnd w:id="147"/>
      <w:bookmarkStart w:id="148" w:name="_Toc184313304"/>
      <w:bookmarkEnd w:id="148"/>
      <w:bookmarkStart w:id="149" w:name="_Toc184312115"/>
      <w:bookmarkEnd w:id="149"/>
      <w:bookmarkStart w:id="150" w:name="_Toc184310289"/>
      <w:bookmarkEnd w:id="150"/>
      <w:bookmarkStart w:id="151" w:name="_Toc184308105"/>
      <w:bookmarkEnd w:id="151"/>
      <w:bookmarkStart w:id="152" w:name="_Toc184314450"/>
      <w:bookmarkEnd w:id="152"/>
      <w:bookmarkStart w:id="153" w:name="_Toc184313276"/>
      <w:bookmarkEnd w:id="153"/>
      <w:bookmarkStart w:id="154" w:name="_Toc184314419"/>
      <w:bookmarkEnd w:id="154"/>
      <w:bookmarkStart w:id="155" w:name="_Toc184310278"/>
      <w:bookmarkEnd w:id="155"/>
      <w:bookmarkStart w:id="156" w:name="_Toc184313299"/>
      <w:bookmarkEnd w:id="156"/>
      <w:bookmarkStart w:id="157" w:name="_Toc184313290"/>
      <w:bookmarkEnd w:id="157"/>
      <w:bookmarkStart w:id="158" w:name="_Toc184310303"/>
      <w:bookmarkEnd w:id="158"/>
      <w:bookmarkStart w:id="159" w:name="_Toc184314465"/>
      <w:bookmarkEnd w:id="159"/>
      <w:bookmarkStart w:id="160" w:name="_Toc184313270"/>
      <w:bookmarkEnd w:id="160"/>
      <w:bookmarkStart w:id="161" w:name="_Toc184313296"/>
      <w:bookmarkEnd w:id="161"/>
      <w:bookmarkStart w:id="162" w:name="_Toc184312082"/>
      <w:bookmarkEnd w:id="162"/>
      <w:bookmarkStart w:id="163" w:name="_Toc184312123"/>
      <w:bookmarkEnd w:id="163"/>
      <w:bookmarkStart w:id="164" w:name="_Toc184312078"/>
      <w:bookmarkEnd w:id="164"/>
      <w:bookmarkStart w:id="165" w:name="_Toc184310279"/>
      <w:bookmarkEnd w:id="165"/>
      <w:bookmarkStart w:id="166" w:name="_Toc184312090"/>
      <w:bookmarkEnd w:id="166"/>
      <w:bookmarkStart w:id="167" w:name="_Toc184308054"/>
      <w:bookmarkEnd w:id="167"/>
      <w:bookmarkStart w:id="168" w:name="_Toc184308103"/>
      <w:bookmarkEnd w:id="168"/>
      <w:bookmarkStart w:id="169" w:name="_Toc184308078"/>
      <w:bookmarkEnd w:id="169"/>
      <w:bookmarkStart w:id="170" w:name="_Toc184310321"/>
      <w:bookmarkEnd w:id="170"/>
      <w:bookmarkStart w:id="171" w:name="_Toc184313260"/>
      <w:bookmarkEnd w:id="171"/>
      <w:bookmarkStart w:id="172" w:name="_Toc184308064"/>
      <w:bookmarkEnd w:id="172"/>
      <w:bookmarkStart w:id="173" w:name="_Toc184308079"/>
      <w:bookmarkEnd w:id="173"/>
      <w:bookmarkStart w:id="174" w:name="_Toc184312116"/>
      <w:bookmarkEnd w:id="174"/>
      <w:bookmarkStart w:id="175" w:name="_Toc184308045"/>
      <w:bookmarkEnd w:id="175"/>
      <w:bookmarkStart w:id="176" w:name="_Toc184308059"/>
      <w:bookmarkEnd w:id="176"/>
      <w:bookmarkStart w:id="177" w:name="_Toc184313293"/>
      <w:bookmarkEnd w:id="177"/>
      <w:bookmarkStart w:id="178" w:name="_Toc184313241"/>
      <w:bookmarkEnd w:id="178"/>
      <w:bookmarkStart w:id="179" w:name="_Toc184308053"/>
      <w:bookmarkEnd w:id="179"/>
      <w:bookmarkStart w:id="180" w:name="_Toc184308094"/>
      <w:bookmarkEnd w:id="180"/>
      <w:bookmarkStart w:id="181" w:name="_Toc184313238"/>
      <w:bookmarkEnd w:id="181"/>
      <w:bookmarkStart w:id="182" w:name="_Toc184308083"/>
      <w:bookmarkEnd w:id="182"/>
      <w:bookmarkStart w:id="183" w:name="_Toc184308067"/>
      <w:bookmarkEnd w:id="183"/>
      <w:bookmarkStart w:id="184" w:name="_Toc184308092"/>
      <w:bookmarkEnd w:id="184"/>
      <w:bookmarkStart w:id="185" w:name="_Toc184313267"/>
      <w:bookmarkEnd w:id="185"/>
      <w:bookmarkStart w:id="186" w:name="_Toc184308074"/>
      <w:bookmarkEnd w:id="186"/>
      <w:bookmarkStart w:id="187" w:name="_Toc184313281"/>
      <w:bookmarkEnd w:id="187"/>
      <w:bookmarkStart w:id="188" w:name="_Toc184312101"/>
      <w:bookmarkEnd w:id="188"/>
      <w:bookmarkStart w:id="189" w:name="_Toc184314455"/>
      <w:bookmarkEnd w:id="189"/>
      <w:bookmarkStart w:id="190" w:name="_Toc184313243"/>
      <w:bookmarkEnd w:id="190"/>
      <w:bookmarkStart w:id="191" w:name="_Toc184313274"/>
      <w:bookmarkEnd w:id="191"/>
      <w:bookmarkStart w:id="192" w:name="_Toc184308040"/>
      <w:bookmarkEnd w:id="192"/>
      <w:bookmarkStart w:id="193" w:name="_Toc184308061"/>
      <w:bookmarkEnd w:id="193"/>
      <w:bookmarkStart w:id="194" w:name="_Toc184310313"/>
      <w:bookmarkEnd w:id="194"/>
      <w:bookmarkStart w:id="195" w:name="_Toc184310337"/>
      <w:bookmarkEnd w:id="195"/>
      <w:bookmarkStart w:id="196" w:name="_Toc184312120"/>
      <w:bookmarkEnd w:id="196"/>
      <w:bookmarkStart w:id="197" w:name="_Toc184312110"/>
      <w:bookmarkEnd w:id="197"/>
      <w:bookmarkStart w:id="198" w:name="_Toc184312102"/>
      <w:bookmarkEnd w:id="198"/>
      <w:bookmarkStart w:id="199" w:name="_Toc184308098"/>
      <w:bookmarkEnd w:id="199"/>
      <w:bookmarkStart w:id="200" w:name="_Toc184312095"/>
      <w:bookmarkEnd w:id="200"/>
      <w:bookmarkStart w:id="201" w:name="_Toc184308041"/>
      <w:bookmarkEnd w:id="201"/>
      <w:bookmarkStart w:id="202" w:name="_Toc184313245"/>
      <w:bookmarkEnd w:id="202"/>
      <w:bookmarkStart w:id="203" w:name="_Toc184313266"/>
      <w:bookmarkEnd w:id="203"/>
      <w:bookmarkStart w:id="204" w:name="_Toc184314443"/>
      <w:bookmarkEnd w:id="204"/>
      <w:bookmarkStart w:id="205" w:name="_Toc184313308"/>
      <w:bookmarkEnd w:id="205"/>
      <w:bookmarkStart w:id="206" w:name="_Toc184310317"/>
      <w:bookmarkEnd w:id="206"/>
      <w:bookmarkStart w:id="207" w:name="_Toc184314441"/>
      <w:bookmarkEnd w:id="207"/>
      <w:bookmarkStart w:id="208" w:name="_Toc184312107"/>
      <w:bookmarkEnd w:id="208"/>
      <w:bookmarkStart w:id="209" w:name="_Toc184312135"/>
      <w:bookmarkEnd w:id="209"/>
      <w:bookmarkStart w:id="210" w:name="_Toc184313248"/>
      <w:bookmarkEnd w:id="210"/>
      <w:bookmarkStart w:id="211" w:name="_Toc184310307"/>
      <w:bookmarkEnd w:id="211"/>
      <w:bookmarkStart w:id="212" w:name="_Toc184313247"/>
      <w:bookmarkEnd w:id="212"/>
      <w:bookmarkStart w:id="213" w:name="_Toc184308055"/>
      <w:bookmarkEnd w:id="213"/>
      <w:bookmarkStart w:id="214" w:name="_Toc184310334"/>
      <w:bookmarkEnd w:id="214"/>
      <w:bookmarkStart w:id="215" w:name="_Toc184312071"/>
      <w:bookmarkEnd w:id="215"/>
      <w:bookmarkStart w:id="216" w:name="_Toc184310282"/>
      <w:bookmarkEnd w:id="216"/>
      <w:bookmarkStart w:id="217" w:name="_Toc184308066"/>
      <w:bookmarkEnd w:id="217"/>
      <w:bookmarkStart w:id="218" w:name="_Toc184312096"/>
      <w:bookmarkEnd w:id="218"/>
      <w:bookmarkStart w:id="219" w:name="_Toc184308038"/>
      <w:bookmarkEnd w:id="219"/>
      <w:bookmarkStart w:id="220" w:name="_Toc184312074"/>
      <w:bookmarkEnd w:id="220"/>
      <w:bookmarkStart w:id="221" w:name="_Toc184310273"/>
      <w:bookmarkEnd w:id="221"/>
      <w:bookmarkStart w:id="222" w:name="_Toc184313277"/>
      <w:bookmarkEnd w:id="222"/>
      <w:bookmarkStart w:id="223" w:name="_Toc184313239"/>
      <w:bookmarkEnd w:id="223"/>
      <w:bookmarkStart w:id="224" w:name="_Toc184308077"/>
      <w:bookmarkEnd w:id="224"/>
      <w:bookmarkStart w:id="225" w:name="_Toc184310318"/>
      <w:bookmarkEnd w:id="225"/>
      <w:bookmarkStart w:id="226" w:name="_Toc184313269"/>
      <w:bookmarkEnd w:id="226"/>
      <w:bookmarkStart w:id="227" w:name="_Toc184312124"/>
      <w:bookmarkEnd w:id="227"/>
      <w:bookmarkStart w:id="228" w:name="_Toc184310336"/>
      <w:bookmarkEnd w:id="228"/>
      <w:bookmarkStart w:id="229" w:name="_Toc184314461"/>
      <w:bookmarkEnd w:id="229"/>
      <w:bookmarkStart w:id="230" w:name="_Toc184314428"/>
      <w:bookmarkEnd w:id="230"/>
      <w:bookmarkStart w:id="231" w:name="_Toc184310280"/>
      <w:bookmarkEnd w:id="231"/>
      <w:bookmarkStart w:id="232" w:name="_Toc184312126"/>
      <w:bookmarkEnd w:id="232"/>
      <w:bookmarkStart w:id="233" w:name="_Toc184310316"/>
      <w:bookmarkEnd w:id="233"/>
      <w:bookmarkStart w:id="234" w:name="_Toc184310288"/>
      <w:bookmarkEnd w:id="234"/>
      <w:bookmarkStart w:id="235" w:name="_Toc184310322"/>
      <w:bookmarkEnd w:id="235"/>
      <w:bookmarkStart w:id="236" w:name="_Toc184313278"/>
      <w:bookmarkEnd w:id="236"/>
      <w:bookmarkStart w:id="237" w:name="_Toc184314410"/>
      <w:bookmarkEnd w:id="237"/>
      <w:bookmarkStart w:id="238" w:name="_Toc184308070"/>
      <w:bookmarkEnd w:id="238"/>
      <w:bookmarkStart w:id="239" w:name="_Toc184308093"/>
      <w:bookmarkEnd w:id="239"/>
      <w:bookmarkStart w:id="240" w:name="_Toc184310326"/>
      <w:bookmarkEnd w:id="240"/>
      <w:bookmarkStart w:id="241" w:name="_Toc184312128"/>
      <w:bookmarkEnd w:id="241"/>
      <w:bookmarkStart w:id="242" w:name="_Toc184310295"/>
      <w:bookmarkEnd w:id="242"/>
      <w:bookmarkStart w:id="243" w:name="_Toc184314425"/>
      <w:bookmarkEnd w:id="243"/>
      <w:bookmarkStart w:id="244" w:name="_Toc184314468"/>
      <w:bookmarkEnd w:id="244"/>
      <w:bookmarkStart w:id="245" w:name="_Toc184314413"/>
      <w:bookmarkEnd w:id="245"/>
      <w:bookmarkStart w:id="246" w:name="_Toc184313282"/>
      <w:bookmarkEnd w:id="246"/>
      <w:bookmarkStart w:id="247" w:name="_Toc184314411"/>
      <w:bookmarkEnd w:id="247"/>
      <w:bookmarkStart w:id="248" w:name="_Toc184314416"/>
      <w:bookmarkEnd w:id="248"/>
      <w:bookmarkStart w:id="249" w:name="_Toc184310330"/>
      <w:bookmarkEnd w:id="249"/>
      <w:bookmarkStart w:id="250" w:name="_Toc184313305"/>
      <w:bookmarkEnd w:id="250"/>
      <w:bookmarkStart w:id="251" w:name="_Toc184314462"/>
      <w:bookmarkEnd w:id="251"/>
      <w:bookmarkStart w:id="252" w:name="_Toc184310293"/>
      <w:bookmarkEnd w:id="252"/>
      <w:bookmarkStart w:id="253" w:name="_Toc184310277"/>
      <w:bookmarkEnd w:id="253"/>
      <w:bookmarkStart w:id="254" w:name="_Toc184310283"/>
      <w:bookmarkEnd w:id="254"/>
      <w:bookmarkStart w:id="255" w:name="_Toc184314431"/>
      <w:bookmarkEnd w:id="255"/>
      <w:bookmarkStart w:id="256" w:name="_Toc184314437"/>
      <w:bookmarkEnd w:id="256"/>
      <w:bookmarkStart w:id="257" w:name="_Toc184312069"/>
      <w:bookmarkEnd w:id="257"/>
      <w:bookmarkStart w:id="258" w:name="_Toc184314481"/>
      <w:bookmarkEnd w:id="258"/>
      <w:bookmarkStart w:id="259" w:name="_Toc184312105"/>
      <w:bookmarkEnd w:id="259"/>
      <w:bookmarkStart w:id="260" w:name="_Toc184310301"/>
      <w:bookmarkEnd w:id="260"/>
      <w:bookmarkStart w:id="261" w:name="_Toc184314475"/>
      <w:bookmarkEnd w:id="261"/>
      <w:bookmarkStart w:id="262" w:name="_Toc184314429"/>
      <w:bookmarkEnd w:id="262"/>
      <w:bookmarkStart w:id="263" w:name="_Toc184313280"/>
      <w:bookmarkEnd w:id="263"/>
      <w:bookmarkStart w:id="264" w:name="_Toc184314473"/>
      <w:bookmarkEnd w:id="264"/>
      <w:bookmarkStart w:id="265" w:name="_Toc184310324"/>
      <w:bookmarkEnd w:id="265"/>
      <w:bookmarkStart w:id="266" w:name="_Toc184310343"/>
      <w:bookmarkEnd w:id="266"/>
      <w:bookmarkStart w:id="267" w:name="_Toc184313263"/>
      <w:bookmarkEnd w:id="267"/>
      <w:bookmarkStart w:id="268" w:name="_Toc184308081"/>
      <w:bookmarkEnd w:id="268"/>
      <w:bookmarkStart w:id="269" w:name="_Toc184310306"/>
      <w:bookmarkEnd w:id="269"/>
      <w:bookmarkStart w:id="270" w:name="_Toc184312093"/>
      <w:bookmarkEnd w:id="270"/>
      <w:bookmarkStart w:id="271" w:name="_Toc184312080"/>
      <w:bookmarkEnd w:id="271"/>
      <w:bookmarkStart w:id="272" w:name="_Toc184313254"/>
      <w:bookmarkEnd w:id="272"/>
      <w:bookmarkStart w:id="273" w:name="_Toc184313246"/>
      <w:bookmarkEnd w:id="273"/>
      <w:bookmarkStart w:id="274" w:name="_Toc184313294"/>
      <w:bookmarkEnd w:id="274"/>
      <w:bookmarkStart w:id="275" w:name="_Toc184314452"/>
      <w:bookmarkEnd w:id="275"/>
      <w:bookmarkStart w:id="276" w:name="_Toc184310299"/>
      <w:bookmarkEnd w:id="276"/>
      <w:bookmarkStart w:id="277" w:name="_Toc184308089"/>
      <w:bookmarkEnd w:id="277"/>
      <w:bookmarkStart w:id="278" w:name="_Toc184313289"/>
      <w:bookmarkEnd w:id="278"/>
      <w:bookmarkStart w:id="279" w:name="_Toc184313242"/>
      <w:bookmarkEnd w:id="279"/>
      <w:bookmarkStart w:id="280" w:name="_Toc184314439"/>
      <w:bookmarkEnd w:id="280"/>
      <w:bookmarkStart w:id="281" w:name="_Toc184312118"/>
      <w:bookmarkEnd w:id="281"/>
      <w:bookmarkStart w:id="282" w:name="_Toc184314470"/>
      <w:bookmarkEnd w:id="282"/>
      <w:bookmarkStart w:id="283" w:name="_Toc184310302"/>
      <w:bookmarkEnd w:id="283"/>
      <w:bookmarkStart w:id="284" w:name="_Toc184312131"/>
      <w:bookmarkEnd w:id="284"/>
      <w:bookmarkStart w:id="285" w:name="_Toc184312119"/>
      <w:bookmarkEnd w:id="285"/>
      <w:bookmarkStart w:id="286" w:name="_Toc184314420"/>
      <w:bookmarkEnd w:id="286"/>
      <w:bookmarkStart w:id="287" w:name="_Toc184314426"/>
      <w:bookmarkEnd w:id="287"/>
      <w:bookmarkStart w:id="288" w:name="_Toc184308080"/>
      <w:bookmarkEnd w:id="288"/>
      <w:bookmarkStart w:id="289" w:name="_Toc184308102"/>
      <w:bookmarkEnd w:id="289"/>
      <w:bookmarkStart w:id="290" w:name="_Toc184312138"/>
      <w:bookmarkEnd w:id="290"/>
      <w:bookmarkStart w:id="291" w:name="_Toc184308063"/>
      <w:bookmarkEnd w:id="291"/>
      <w:bookmarkStart w:id="292" w:name="_Toc184310339"/>
      <w:bookmarkEnd w:id="292"/>
      <w:bookmarkStart w:id="293" w:name="_Toc184314451"/>
      <w:bookmarkEnd w:id="293"/>
      <w:bookmarkStart w:id="294" w:name="_Toc184313283"/>
      <w:bookmarkEnd w:id="294"/>
      <w:bookmarkStart w:id="295" w:name="_Toc184310290"/>
      <w:bookmarkEnd w:id="295"/>
      <w:bookmarkStart w:id="296" w:name="_Toc184313259"/>
      <w:bookmarkEnd w:id="296"/>
      <w:bookmarkStart w:id="297" w:name="_Toc184313273"/>
      <w:bookmarkEnd w:id="297"/>
      <w:bookmarkStart w:id="298" w:name="_Toc184312087"/>
      <w:bookmarkEnd w:id="298"/>
      <w:bookmarkStart w:id="299" w:name="_Toc184312077"/>
      <w:bookmarkEnd w:id="299"/>
      <w:bookmarkStart w:id="300" w:name="_Toc184312088"/>
      <w:bookmarkEnd w:id="300"/>
      <w:bookmarkStart w:id="301" w:name="_Toc184310284"/>
      <w:bookmarkEnd w:id="301"/>
      <w:bookmarkStart w:id="302" w:name="_Toc184312070"/>
      <w:bookmarkEnd w:id="302"/>
      <w:bookmarkStart w:id="303" w:name="_Toc184313271"/>
      <w:bookmarkEnd w:id="303"/>
      <w:bookmarkStart w:id="304" w:name="_Toc184313292"/>
      <w:bookmarkEnd w:id="304"/>
      <w:bookmarkStart w:id="305" w:name="_Toc184308051"/>
      <w:bookmarkEnd w:id="305"/>
      <w:bookmarkStart w:id="306" w:name="_Toc184312079"/>
      <w:bookmarkEnd w:id="306"/>
      <w:bookmarkStart w:id="307" w:name="_Toc184308104"/>
      <w:bookmarkEnd w:id="307"/>
      <w:bookmarkStart w:id="308" w:name="_Toc184312127"/>
      <w:bookmarkEnd w:id="308"/>
      <w:bookmarkStart w:id="309" w:name="_Toc184313240"/>
      <w:bookmarkEnd w:id="309"/>
      <w:bookmarkStart w:id="310" w:name="_Toc184313268"/>
      <w:bookmarkEnd w:id="310"/>
      <w:bookmarkStart w:id="311" w:name="_Toc184313249"/>
      <w:bookmarkEnd w:id="311"/>
      <w:bookmarkStart w:id="312" w:name="_Toc184314467"/>
      <w:bookmarkEnd w:id="312"/>
      <w:bookmarkStart w:id="313" w:name="_Toc184312083"/>
      <w:bookmarkEnd w:id="313"/>
      <w:bookmarkStart w:id="314" w:name="_Toc184310287"/>
      <w:bookmarkEnd w:id="314"/>
      <w:bookmarkStart w:id="315" w:name="_Toc184314444"/>
      <w:bookmarkEnd w:id="315"/>
      <w:bookmarkStart w:id="316" w:name="_Toc184310338"/>
      <w:bookmarkEnd w:id="316"/>
      <w:bookmarkStart w:id="317" w:name="_Toc184308043"/>
      <w:bookmarkEnd w:id="317"/>
      <w:bookmarkStart w:id="318" w:name="_Toc184312068"/>
      <w:bookmarkEnd w:id="318"/>
      <w:bookmarkStart w:id="319" w:name="_Toc184310272"/>
      <w:bookmarkEnd w:id="319"/>
      <w:bookmarkStart w:id="320" w:name="_Toc184310281"/>
      <w:bookmarkEnd w:id="320"/>
      <w:bookmarkStart w:id="321" w:name="_Toc184308047"/>
      <w:bookmarkEnd w:id="321"/>
      <w:bookmarkStart w:id="322" w:name="_Toc184312098"/>
      <w:bookmarkEnd w:id="322"/>
      <w:bookmarkStart w:id="323" w:name="_Toc184313285"/>
      <w:bookmarkEnd w:id="323"/>
      <w:bookmarkStart w:id="324" w:name="_Toc184314438"/>
      <w:bookmarkEnd w:id="324"/>
      <w:bookmarkStart w:id="325" w:name="_Toc184310333"/>
      <w:bookmarkEnd w:id="325"/>
      <w:bookmarkStart w:id="326" w:name="_Toc184312129"/>
      <w:bookmarkEnd w:id="326"/>
      <w:bookmarkStart w:id="327" w:name="_Toc184314454"/>
      <w:bookmarkEnd w:id="327"/>
      <w:bookmarkStart w:id="328" w:name="_Toc184308101"/>
      <w:bookmarkEnd w:id="328"/>
      <w:bookmarkStart w:id="329" w:name="_Toc184310292"/>
      <w:bookmarkEnd w:id="329"/>
      <w:bookmarkStart w:id="330" w:name="_Toc184310304"/>
      <w:bookmarkEnd w:id="330"/>
      <w:bookmarkStart w:id="331" w:name="_Toc184308065"/>
      <w:bookmarkEnd w:id="331"/>
      <w:bookmarkStart w:id="332" w:name="_Toc184308082"/>
      <w:bookmarkEnd w:id="332"/>
      <w:bookmarkStart w:id="333" w:name="_Toc184313255"/>
      <w:bookmarkEnd w:id="333"/>
      <w:bookmarkStart w:id="334" w:name="_Toc184310312"/>
      <w:bookmarkEnd w:id="334"/>
      <w:bookmarkStart w:id="335" w:name="_Toc184314457"/>
      <w:bookmarkEnd w:id="335"/>
      <w:bookmarkStart w:id="336" w:name="_Toc184312114"/>
      <w:bookmarkEnd w:id="336"/>
      <w:bookmarkStart w:id="337" w:name="_Toc184313275"/>
      <w:bookmarkEnd w:id="337"/>
      <w:bookmarkStart w:id="338" w:name="_Toc184310331"/>
      <w:bookmarkEnd w:id="338"/>
      <w:bookmarkStart w:id="339" w:name="_Toc184314474"/>
      <w:bookmarkEnd w:id="339"/>
      <w:bookmarkStart w:id="340" w:name="_Toc184312099"/>
      <w:bookmarkEnd w:id="340"/>
      <w:bookmarkStart w:id="341" w:name="_Toc184308060"/>
      <w:bookmarkEnd w:id="341"/>
      <w:bookmarkStart w:id="342" w:name="_Toc184312111"/>
      <w:bookmarkEnd w:id="342"/>
      <w:bookmarkStart w:id="343" w:name="_Toc184308090"/>
      <w:bookmarkEnd w:id="343"/>
      <w:bookmarkStart w:id="344" w:name="_Toc184313262"/>
      <w:bookmarkEnd w:id="344"/>
      <w:bookmarkStart w:id="345" w:name="_Toc184312073"/>
      <w:bookmarkEnd w:id="345"/>
      <w:bookmarkStart w:id="346" w:name="_Toc184313301"/>
      <w:bookmarkEnd w:id="346"/>
      <w:bookmarkStart w:id="347" w:name="_Toc184314472"/>
      <w:bookmarkEnd w:id="347"/>
      <w:bookmarkStart w:id="348" w:name="_Toc184313257"/>
      <w:bookmarkEnd w:id="348"/>
      <w:bookmarkStart w:id="349" w:name="_Toc184310286"/>
      <w:bookmarkEnd w:id="349"/>
      <w:bookmarkStart w:id="350" w:name="_Toc184310296"/>
      <w:bookmarkEnd w:id="350"/>
      <w:bookmarkStart w:id="351" w:name="_Toc184310311"/>
      <w:bookmarkEnd w:id="351"/>
      <w:bookmarkStart w:id="352" w:name="_Toc184310314"/>
      <w:bookmarkEnd w:id="352"/>
      <w:bookmarkStart w:id="353" w:name="_Toc184310344"/>
      <w:bookmarkEnd w:id="353"/>
      <w:bookmarkStart w:id="354" w:name="_Toc184308106"/>
      <w:bookmarkEnd w:id="354"/>
      <w:bookmarkStart w:id="355" w:name="_Toc184310315"/>
      <w:bookmarkEnd w:id="355"/>
      <w:bookmarkStart w:id="356" w:name="_Toc184313279"/>
      <w:bookmarkEnd w:id="356"/>
      <w:bookmarkStart w:id="357" w:name="_Toc184308058"/>
      <w:bookmarkEnd w:id="357"/>
      <w:bookmarkStart w:id="358" w:name="_Toc184314421"/>
      <w:bookmarkEnd w:id="358"/>
      <w:bookmarkStart w:id="359" w:name="_Toc184310305"/>
      <w:bookmarkEnd w:id="359"/>
      <w:bookmarkStart w:id="360" w:name="_Toc184308097"/>
      <w:bookmarkEnd w:id="360"/>
      <w:bookmarkStart w:id="361" w:name="_Toc184313303"/>
      <w:bookmarkEnd w:id="361"/>
      <w:bookmarkStart w:id="362" w:name="_Toc184310294"/>
      <w:bookmarkEnd w:id="362"/>
      <w:bookmarkStart w:id="363" w:name="_Toc184310332"/>
      <w:bookmarkEnd w:id="363"/>
      <w:bookmarkStart w:id="364" w:name="_Toc184310329"/>
      <w:bookmarkEnd w:id="364"/>
      <w:bookmarkStart w:id="365" w:name="_Toc184308039"/>
      <w:bookmarkEnd w:id="365"/>
      <w:bookmarkStart w:id="366" w:name="_Toc184314458"/>
      <w:bookmarkEnd w:id="366"/>
      <w:bookmarkStart w:id="367" w:name="_Toc184310340"/>
      <w:bookmarkEnd w:id="367"/>
      <w:bookmarkStart w:id="368" w:name="_Toc184313300"/>
      <w:bookmarkEnd w:id="368"/>
      <w:bookmarkStart w:id="369" w:name="_Toc184312075"/>
      <w:bookmarkEnd w:id="369"/>
      <w:bookmarkStart w:id="370" w:name="_Toc184314477"/>
      <w:bookmarkEnd w:id="370"/>
      <w:bookmarkStart w:id="371" w:name="_Toc184312117"/>
      <w:bookmarkEnd w:id="371"/>
      <w:bookmarkStart w:id="372" w:name="_Toc184308075"/>
      <w:bookmarkEnd w:id="372"/>
      <w:bookmarkStart w:id="373" w:name="_Toc184308084"/>
      <w:bookmarkEnd w:id="373"/>
      <w:bookmarkStart w:id="374" w:name="_Toc184308056"/>
      <w:bookmarkEnd w:id="374"/>
      <w:bookmarkStart w:id="375" w:name="_Toc184310341"/>
      <w:bookmarkEnd w:id="375"/>
      <w:bookmarkStart w:id="376" w:name="_Toc184314446"/>
      <w:bookmarkEnd w:id="376"/>
      <w:bookmarkStart w:id="377" w:name="_Toc184308046"/>
      <w:bookmarkEnd w:id="377"/>
      <w:bookmarkStart w:id="378" w:name="_Toc184308050"/>
      <w:bookmarkEnd w:id="378"/>
      <w:bookmarkStart w:id="379" w:name="_Toc184308100"/>
      <w:bookmarkEnd w:id="379"/>
      <w:bookmarkStart w:id="380" w:name="_Toc184312067"/>
      <w:bookmarkEnd w:id="380"/>
      <w:bookmarkStart w:id="381" w:name="_Toc184314440"/>
      <w:bookmarkEnd w:id="381"/>
      <w:bookmarkStart w:id="382" w:name="_Toc184313265"/>
      <w:bookmarkEnd w:id="382"/>
      <w:bookmarkStart w:id="383" w:name="_Toc184314415"/>
      <w:bookmarkEnd w:id="383"/>
      <w:bookmarkStart w:id="384" w:name="_Toc184314433"/>
      <w:bookmarkEnd w:id="384"/>
      <w:bookmarkStart w:id="385" w:name="_Toc184313295"/>
      <w:bookmarkEnd w:id="385"/>
      <w:bookmarkStart w:id="386" w:name="_Toc184314445"/>
      <w:bookmarkEnd w:id="386"/>
      <w:bookmarkStart w:id="387" w:name="_Toc184312076"/>
      <w:bookmarkEnd w:id="387"/>
      <w:bookmarkStart w:id="388" w:name="_Toc184314430"/>
      <w:bookmarkEnd w:id="388"/>
      <w:bookmarkStart w:id="389" w:name="_Toc184310297"/>
      <w:bookmarkEnd w:id="389"/>
      <w:bookmarkStart w:id="390" w:name="_Toc184313288"/>
      <w:bookmarkEnd w:id="390"/>
      <w:bookmarkStart w:id="391" w:name="_Toc184312085"/>
      <w:bookmarkEnd w:id="391"/>
      <w:bookmarkStart w:id="392" w:name="_Toc184313287"/>
      <w:bookmarkEnd w:id="392"/>
      <w:bookmarkStart w:id="393" w:name="_Toc184313252"/>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1405" w:tblpY="6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5088"/>
        <w:gridCol w:w="950"/>
        <w:gridCol w:w="10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088"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9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050"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550"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5"/>
            <w:vAlign w:val="center"/>
          </w:tcPr>
          <w:p>
            <w:pPr>
              <w:snapToGrid w:val="0"/>
              <w:spacing w:line="360" w:lineRule="auto"/>
              <w:jc w:val="center"/>
              <w:rPr>
                <w:rFonts w:hint="eastAsia" w:cs="仿宋_GB2312" w:asciiTheme="minorEastAsia" w:hAnsiTheme="minorEastAsia" w:eastAsiaTheme="minorEastAsia"/>
                <w:bCs/>
                <w:color w:val="auto"/>
                <w:sz w:val="24"/>
                <w:highlight w:val="none"/>
                <w:lang w:val="en-US" w:eastAsia="zh-CN"/>
              </w:rPr>
            </w:pPr>
            <w:r>
              <w:rPr>
                <w:rFonts w:hint="eastAsia" w:cs="仿宋_GB2312" w:asciiTheme="minorEastAsia" w:hAnsiTheme="minorEastAsia" w:eastAsiaTheme="minorEastAsia"/>
                <w:bCs/>
                <w:color w:val="auto"/>
                <w:sz w:val="24"/>
                <w:highlight w:val="none"/>
                <w:lang w:val="en-US" w:eastAsia="zh-CN"/>
              </w:rPr>
              <w:t>商务分（6分）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088" w:type="dxa"/>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供应商类似项目建设的成功经验（</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w:t>
            </w:r>
          </w:p>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至投标截止时间前三年以来，供应商承担类似项目实施的成功经验情况，</w:t>
            </w:r>
            <w:r>
              <w:rPr>
                <w:rFonts w:hint="eastAsia" w:ascii="宋体" w:hAnsi="宋体" w:eastAsia="宋体" w:cs="宋体"/>
                <w:color w:val="auto"/>
                <w:sz w:val="24"/>
                <w:highlight w:val="none"/>
                <w:lang w:val="zh-CN"/>
              </w:rPr>
              <w:t>结合</w:t>
            </w:r>
            <w:r>
              <w:rPr>
                <w:rFonts w:hint="eastAsia" w:ascii="宋体" w:hAnsi="宋体" w:eastAsia="宋体" w:cs="宋体"/>
                <w:color w:val="auto"/>
                <w:sz w:val="24"/>
                <w:highlight w:val="none"/>
              </w:rPr>
              <w:t>已完成的项目案例和用户反应情况，依照供应商同时提供的</w:t>
            </w:r>
            <w:r>
              <w:rPr>
                <w:rFonts w:hint="eastAsia" w:ascii="宋体" w:hAnsi="宋体" w:eastAsia="宋体" w:cs="宋体"/>
                <w:color w:val="auto"/>
                <w:sz w:val="24"/>
                <w:highlight w:val="none"/>
                <w:lang w:val="zh-CN"/>
              </w:rPr>
              <w:t>合同</w:t>
            </w:r>
            <w:r>
              <w:rPr>
                <w:rFonts w:hint="eastAsia" w:ascii="宋体" w:hAnsi="宋体" w:eastAsia="宋体" w:cs="宋体"/>
                <w:color w:val="auto"/>
                <w:sz w:val="24"/>
                <w:highlight w:val="none"/>
              </w:rPr>
              <w:t>和用户验收报告，每个案例得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cs="仿宋_GB2312" w:asciiTheme="minorEastAsia" w:hAnsiTheme="minorEastAsia" w:eastAsiaTheme="minorEastAsia"/>
                <w:color w:val="auto"/>
                <w:sz w:val="24"/>
                <w:highlight w:val="none"/>
              </w:rPr>
              <w:t>证明材料</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提供合同</w:t>
            </w:r>
            <w:r>
              <w:rPr>
                <w:rFonts w:hint="eastAsia" w:cs="仿宋_GB2312" w:asciiTheme="minorEastAsia" w:hAnsiTheme="minorEastAsia" w:eastAsiaTheme="minorEastAsia"/>
                <w:color w:val="auto"/>
                <w:sz w:val="24"/>
                <w:highlight w:val="none"/>
                <w:lang w:val="en-US" w:eastAsia="zh-CN"/>
              </w:rPr>
              <w:t>扫描</w:t>
            </w:r>
            <w:r>
              <w:rPr>
                <w:rFonts w:hint="eastAsia" w:cs="仿宋_GB2312" w:asciiTheme="minorEastAsia" w:hAnsiTheme="minorEastAsia" w:eastAsiaTheme="minorEastAsia"/>
                <w:color w:val="auto"/>
                <w:sz w:val="24"/>
                <w:highlight w:val="none"/>
              </w:rPr>
              <w:t>件及验收报告。</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5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55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088" w:type="dxa"/>
            <w:vAlign w:val="top"/>
          </w:tcPr>
          <w:p>
            <w:pPr>
              <w:snapToGrid w:val="0"/>
              <w:spacing w:line="360" w:lineRule="auto"/>
              <w:jc w:val="left"/>
              <w:rPr>
                <w:color w:val="auto"/>
                <w:highlight w:val="none"/>
              </w:rPr>
            </w:pP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投标人具有ISO9001质量管理体系认证证书、ISO14001环境管理体系认证证书、ISO20000信息技术服务管理体系认证证书、ISO27001信息安全管理体系认证证书，证书均在有效期内；</w:t>
            </w:r>
          </w:p>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以上每提供1个，得</w:t>
            </w:r>
            <w:r>
              <w:rPr>
                <w:rFonts w:cs="仿宋_GB2312" w:asciiTheme="minorEastAsia" w:hAnsiTheme="minorEastAsia" w:eastAsiaTheme="minorEastAsia"/>
                <w:color w:val="auto"/>
                <w:sz w:val="24"/>
                <w:highlight w:val="none"/>
              </w:rPr>
              <w:t>1</w:t>
            </w:r>
            <w:r>
              <w:rPr>
                <w:rFonts w:hint="eastAsia" w:cs="仿宋_GB2312" w:asciiTheme="minorEastAsia" w:hAnsiTheme="minorEastAsia" w:eastAsiaTheme="minorEastAsia"/>
                <w:color w:val="auto"/>
                <w:sz w:val="24"/>
                <w:highlight w:val="none"/>
              </w:rPr>
              <w:t>分，最高得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p>
          <w:p>
            <w:pPr>
              <w:snapToGrid w:val="0"/>
              <w:spacing w:line="360" w:lineRule="auto"/>
              <w:jc w:val="left"/>
              <w:rPr>
                <w:rFonts w:hint="eastAsia" w:ascii="宋体" w:hAnsi="宋体" w:eastAsia="宋体" w:cs="宋体"/>
                <w:color w:val="auto"/>
                <w:sz w:val="24"/>
                <w:highlight w:val="none"/>
              </w:rPr>
            </w:pPr>
            <w:r>
              <w:rPr>
                <w:rFonts w:hint="eastAsia" w:cs="仿宋_GB2312" w:asciiTheme="minorEastAsia" w:hAnsiTheme="minorEastAsia" w:eastAsiaTheme="minorEastAsia"/>
                <w:color w:val="auto"/>
                <w:sz w:val="24"/>
                <w:highlight w:val="none"/>
              </w:rPr>
              <w:t>证明材料：投标文件中提供相应证书</w:t>
            </w:r>
            <w:r>
              <w:rPr>
                <w:rFonts w:hint="eastAsia" w:cs="仿宋_GB2312" w:asciiTheme="minorEastAsia" w:hAnsiTheme="minorEastAsia" w:eastAsiaTheme="minorEastAsia"/>
                <w:color w:val="auto"/>
                <w:sz w:val="24"/>
                <w:highlight w:val="none"/>
                <w:lang w:val="en-US" w:eastAsia="zh-CN"/>
              </w:rPr>
              <w:t>扫描件</w:t>
            </w:r>
            <w:r>
              <w:rPr>
                <w:rFonts w:hint="eastAsia" w:cs="仿宋_GB2312" w:asciiTheme="minorEastAsia" w:hAnsiTheme="minorEastAsia" w:eastAsiaTheme="minorEastAsia"/>
                <w:color w:val="auto"/>
                <w:sz w:val="24"/>
                <w:highlight w:val="none"/>
              </w:rPr>
              <w:t>，证书须在有效期内，未按要求提供证明材料的不得分。</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5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55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企业资信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5"/>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技术分（74分）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1</w:t>
            </w:r>
          </w:p>
        </w:tc>
        <w:tc>
          <w:tcPr>
            <w:tcW w:w="5088" w:type="dxa"/>
          </w:tcPr>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重点</w:t>
            </w:r>
            <w:r>
              <w:rPr>
                <w:rFonts w:hint="eastAsia" w:cs="仿宋_GB2312" w:asciiTheme="minorEastAsia" w:hAnsiTheme="minorEastAsia" w:eastAsiaTheme="minorEastAsia"/>
                <w:color w:val="auto"/>
                <w:sz w:val="24"/>
                <w:highlight w:val="none"/>
              </w:rPr>
              <w:t>技术条款响应程度：</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为重要参数</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全部满足招标文件明确的</w:t>
            </w:r>
            <w:r>
              <w:rPr>
                <w:rFonts w:hint="eastAsia" w:cs="仿宋_GB2312" w:asciiTheme="minorEastAsia" w:hAnsiTheme="minorEastAsia" w:eastAsiaTheme="minorEastAsia"/>
                <w:color w:val="auto"/>
                <w:sz w:val="24"/>
                <w:highlight w:val="none"/>
                <w:lang w:val="en-US" w:eastAsia="zh-CN"/>
              </w:rPr>
              <w:t>重点</w:t>
            </w:r>
            <w:r>
              <w:rPr>
                <w:rFonts w:hint="eastAsia" w:cs="仿宋_GB2312" w:asciiTheme="minorEastAsia" w:hAnsiTheme="minorEastAsia" w:eastAsiaTheme="minorEastAsia"/>
                <w:color w:val="auto"/>
                <w:sz w:val="24"/>
                <w:highlight w:val="none"/>
              </w:rPr>
              <w:t>技术要求的得满分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重要参数</w:t>
            </w:r>
            <w:r>
              <w:rPr>
                <w:rFonts w:hint="eastAsia" w:cs="仿宋_GB2312" w:asciiTheme="minorEastAsia" w:hAnsiTheme="minorEastAsia" w:eastAsiaTheme="minorEastAsia"/>
                <w:color w:val="auto"/>
                <w:sz w:val="24"/>
                <w:highlight w:val="none"/>
              </w:rPr>
              <w:t>技术条款低于技术要求（负偏离）的每</w:t>
            </w:r>
            <w:r>
              <w:rPr>
                <w:rFonts w:hint="eastAsia" w:cs="仿宋_GB2312" w:asciiTheme="minorEastAsia" w:hAnsiTheme="minorEastAsia" w:eastAsiaTheme="minorEastAsia"/>
                <w:color w:val="auto"/>
                <w:sz w:val="24"/>
                <w:highlight w:val="none"/>
                <w:lang w:val="en-US" w:eastAsia="zh-CN"/>
              </w:rPr>
              <w:t>标注“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”符号一</w:t>
            </w:r>
            <w:r>
              <w:rPr>
                <w:rFonts w:hint="eastAsia" w:cs="仿宋_GB2312" w:asciiTheme="minorEastAsia" w:hAnsiTheme="minorEastAsia" w:eastAsiaTheme="minorEastAsia"/>
                <w:color w:val="auto"/>
                <w:sz w:val="24"/>
                <w:highlight w:val="none"/>
              </w:rPr>
              <w:t>项扣3分，扣完为止。</w:t>
            </w:r>
          </w:p>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说明：投标人未提供</w:t>
            </w:r>
            <w:r>
              <w:rPr>
                <w:rFonts w:hint="eastAsia" w:cs="仿宋_GB2312" w:asciiTheme="minorEastAsia" w:hAnsiTheme="minorEastAsia" w:eastAsiaTheme="minorEastAsia"/>
                <w:color w:val="auto"/>
                <w:sz w:val="24"/>
                <w:highlight w:val="none"/>
                <w:lang w:val="en-US" w:eastAsia="zh-CN"/>
              </w:rPr>
              <w:t>有效的证明材料</w:t>
            </w:r>
            <w:r>
              <w:rPr>
                <w:rFonts w:hint="eastAsia" w:cs="仿宋_GB2312" w:asciiTheme="minorEastAsia" w:hAnsiTheme="minorEastAsia" w:eastAsiaTheme="minorEastAsia"/>
                <w:color w:val="auto"/>
                <w:sz w:val="24"/>
                <w:highlight w:val="none"/>
              </w:rPr>
              <w:t>或</w:t>
            </w:r>
            <w:r>
              <w:rPr>
                <w:rFonts w:hint="eastAsia" w:cs="仿宋_GB2312" w:asciiTheme="minorEastAsia" w:hAnsiTheme="minorEastAsia" w:eastAsiaTheme="minorEastAsia"/>
                <w:color w:val="auto"/>
                <w:sz w:val="24"/>
                <w:highlight w:val="none"/>
                <w:lang w:val="en-US" w:eastAsia="zh-CN"/>
              </w:rPr>
              <w:t>证明材料</w:t>
            </w:r>
            <w:r>
              <w:rPr>
                <w:rFonts w:hint="eastAsia" w:cs="仿宋_GB2312" w:asciiTheme="minorEastAsia" w:hAnsiTheme="minorEastAsia" w:eastAsiaTheme="minorEastAsia"/>
                <w:color w:val="auto"/>
                <w:sz w:val="24"/>
                <w:highlight w:val="none"/>
              </w:rPr>
              <w:t>不能体现其技术指标符合技术条款要求的，应被视为负偏离。</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10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550" w:type="dxa"/>
            <w:vMerge w:val="restart"/>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技术参数响应程度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5088" w:type="dxa"/>
          </w:tcPr>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普通技术条款响应程度：</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全面满足招标文件明确的技术要求的得满分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技术条款低于技术要求（负偏离）的每项扣</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分，扣完为止。</w:t>
            </w:r>
          </w:p>
          <w:p>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说明：投标人未提供</w:t>
            </w:r>
            <w:r>
              <w:rPr>
                <w:rFonts w:hint="eastAsia" w:cs="仿宋_GB2312" w:asciiTheme="minorEastAsia" w:hAnsiTheme="minorEastAsia" w:eastAsiaTheme="minorEastAsia"/>
                <w:color w:val="auto"/>
                <w:sz w:val="24"/>
                <w:highlight w:val="none"/>
                <w:lang w:val="en-US" w:eastAsia="zh-CN"/>
              </w:rPr>
              <w:t>有效的证明材料</w:t>
            </w:r>
            <w:r>
              <w:rPr>
                <w:rFonts w:hint="eastAsia" w:cs="仿宋_GB2312" w:asciiTheme="minorEastAsia" w:hAnsiTheme="minorEastAsia" w:eastAsiaTheme="minorEastAsia"/>
                <w:color w:val="auto"/>
                <w:sz w:val="24"/>
                <w:highlight w:val="none"/>
              </w:rPr>
              <w:t>或</w:t>
            </w:r>
            <w:r>
              <w:rPr>
                <w:rFonts w:hint="eastAsia" w:cs="仿宋_GB2312" w:asciiTheme="minorEastAsia" w:hAnsiTheme="minorEastAsia" w:eastAsiaTheme="minorEastAsia"/>
                <w:color w:val="auto"/>
                <w:sz w:val="24"/>
                <w:highlight w:val="none"/>
                <w:lang w:val="en-US" w:eastAsia="zh-CN"/>
              </w:rPr>
              <w:t>证明材料</w:t>
            </w:r>
            <w:r>
              <w:rPr>
                <w:rFonts w:hint="eastAsia" w:cs="仿宋_GB2312" w:asciiTheme="minorEastAsia" w:hAnsiTheme="minorEastAsia" w:eastAsiaTheme="minorEastAsia"/>
                <w:color w:val="auto"/>
                <w:sz w:val="24"/>
                <w:highlight w:val="none"/>
              </w:rPr>
              <w:t>不能体现其技术指标符合技术条款要求的，应被视为负偏离。</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10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55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5088" w:type="dxa"/>
          </w:tcPr>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服务</w:t>
            </w:r>
            <w:r>
              <w:rPr>
                <w:rFonts w:hint="eastAsia" w:cs="仿宋_GB2312" w:asciiTheme="minorEastAsia" w:hAnsiTheme="minorEastAsia" w:eastAsiaTheme="minorEastAsia"/>
                <w:color w:val="auto"/>
                <w:sz w:val="24"/>
                <w:highlight w:val="none"/>
                <w:lang w:val="zh-CN"/>
              </w:rPr>
              <w:t>方案（</w:t>
            </w:r>
            <w:r>
              <w:rPr>
                <w:rFonts w:hint="eastAsia" w:cs="仿宋_GB2312" w:asciiTheme="minorEastAsia" w:hAnsiTheme="minorEastAsia" w:eastAsiaTheme="minorEastAsia"/>
                <w:color w:val="auto"/>
                <w:sz w:val="24"/>
                <w:highlight w:val="none"/>
                <w:lang w:val="en-US" w:eastAsia="zh-CN"/>
              </w:rPr>
              <w:t>12</w:t>
            </w:r>
            <w:r>
              <w:rPr>
                <w:rFonts w:hint="eastAsia" w:cs="仿宋_GB2312" w:asciiTheme="minorEastAsia" w:hAnsiTheme="minorEastAsia" w:eastAsiaTheme="minorEastAsia"/>
                <w:color w:val="auto"/>
                <w:sz w:val="24"/>
                <w:highlight w:val="none"/>
                <w:lang w:val="zh-CN"/>
              </w:rPr>
              <w:t>分）：</w:t>
            </w:r>
          </w:p>
          <w:p>
            <w:pPr>
              <w:snapToGrid w:val="0"/>
              <w:spacing w:line="360" w:lineRule="auto"/>
              <w:jc w:val="lef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供应商提供的供货、安装调试方案是否具体、详细、可行、有针对性</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根据提供的方案内容进行评分，内容完整、措施有效、符合采购人实际视为合理，满足得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val="en-US" w:eastAsia="zh-CN"/>
              </w:rPr>
              <w:t>不满足</w:t>
            </w:r>
            <w:r>
              <w:rPr>
                <w:rFonts w:hint="eastAsia" w:cs="仿宋_GB2312" w:asciiTheme="minorEastAsia" w:hAnsiTheme="minorEastAsia" w:eastAsiaTheme="minorEastAsia"/>
                <w:color w:val="auto"/>
                <w:sz w:val="24"/>
                <w:highlight w:val="none"/>
              </w:rPr>
              <w:t>不得分</w:t>
            </w:r>
            <w:r>
              <w:rPr>
                <w:rFonts w:hint="eastAsia" w:cs="仿宋_GB2312" w:asciiTheme="minorEastAsia" w:hAnsiTheme="minorEastAsia" w:eastAsiaTheme="minorEastAsia"/>
                <w:color w:val="auto"/>
                <w:sz w:val="24"/>
                <w:highlight w:val="none"/>
                <w:lang w:eastAsia="zh-CN"/>
              </w:rPr>
              <w:t>。</w:t>
            </w:r>
          </w:p>
          <w:p>
            <w:pPr>
              <w:snapToGrid w:val="0"/>
              <w:spacing w:line="360" w:lineRule="auto"/>
              <w:jc w:val="left"/>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2）租赁期间的服务</w:t>
            </w:r>
            <w:r>
              <w:rPr>
                <w:rFonts w:hint="eastAsia" w:cs="仿宋_GB2312" w:asciiTheme="minorEastAsia" w:hAnsiTheme="minorEastAsia" w:eastAsiaTheme="minorEastAsia"/>
                <w:color w:val="auto"/>
                <w:sz w:val="24"/>
                <w:highlight w:val="none"/>
              </w:rPr>
              <w:t>方案是否具体、详细、可行、有针对性</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根据提供的方案内容进行评分，内容完整、措施有效、符合采购人实际视为合理，满足得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val="en-US" w:eastAsia="zh-CN"/>
              </w:rPr>
              <w:t>不满足</w:t>
            </w:r>
            <w:r>
              <w:rPr>
                <w:rFonts w:hint="eastAsia" w:cs="仿宋_GB2312" w:asciiTheme="minorEastAsia" w:hAnsiTheme="minorEastAsia" w:eastAsiaTheme="minorEastAsia"/>
                <w:color w:val="auto"/>
                <w:sz w:val="24"/>
                <w:highlight w:val="none"/>
              </w:rPr>
              <w:t>不得分</w:t>
            </w:r>
            <w:r>
              <w:rPr>
                <w:rFonts w:hint="eastAsia" w:cs="仿宋_GB2312" w:asciiTheme="minorEastAsia" w:hAnsiTheme="minorEastAsia" w:eastAsiaTheme="minorEastAsia"/>
                <w:color w:val="auto"/>
                <w:sz w:val="24"/>
                <w:highlight w:val="none"/>
                <w:lang w:eastAsia="zh-CN"/>
              </w:rPr>
              <w:t>。</w:t>
            </w:r>
          </w:p>
          <w:p>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3）租赁期间出现设备故障的应急解决方案是否</w:t>
            </w:r>
            <w:r>
              <w:rPr>
                <w:rFonts w:hint="eastAsia" w:cs="仿宋_GB2312" w:asciiTheme="minorEastAsia" w:hAnsiTheme="minorEastAsia" w:eastAsiaTheme="minorEastAsia"/>
                <w:color w:val="auto"/>
                <w:sz w:val="24"/>
                <w:highlight w:val="none"/>
              </w:rPr>
              <w:t>具体、详细、可行、有针对性</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根据提供的方案内容进行评分，内容完整、措施有效、符合采购人实际视为合理，满足得</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val="en-US" w:eastAsia="zh-CN"/>
              </w:rPr>
              <w:t>不满足</w:t>
            </w:r>
            <w:r>
              <w:rPr>
                <w:rFonts w:hint="eastAsia" w:cs="仿宋_GB2312" w:asciiTheme="minorEastAsia" w:hAnsiTheme="minorEastAsia" w:eastAsiaTheme="minorEastAsia"/>
                <w:color w:val="auto"/>
                <w:sz w:val="24"/>
                <w:highlight w:val="none"/>
              </w:rPr>
              <w:t>不得分</w:t>
            </w:r>
            <w:r>
              <w:rPr>
                <w:rFonts w:hint="eastAsia" w:cs="仿宋_GB2312" w:asciiTheme="minorEastAsia" w:hAnsiTheme="minorEastAsia" w:eastAsiaTheme="minorEastAsia"/>
                <w:color w:val="auto"/>
                <w:sz w:val="24"/>
                <w:highlight w:val="none"/>
                <w:lang w:eastAsia="zh-CN"/>
              </w:rPr>
              <w:t>。</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10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5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5088" w:type="dxa"/>
          </w:tcPr>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根据项目实施计划明确程度及合理性</w:t>
            </w:r>
            <w:r>
              <w:rPr>
                <w:rFonts w:hint="eastAsia" w:cs="仿宋_GB2312" w:asciiTheme="minorEastAsia" w:hAnsiTheme="minorEastAsia" w:eastAsiaTheme="minorEastAsia"/>
                <w:color w:val="auto"/>
                <w:sz w:val="24"/>
                <w:highlight w:val="none"/>
                <w:lang w:val="en-US" w:eastAsia="zh-CN"/>
              </w:rPr>
              <w:t>评审。</w:t>
            </w:r>
            <w:r>
              <w:rPr>
                <w:rFonts w:hint="eastAsia" w:cs="仿宋_GB2312" w:asciiTheme="minorEastAsia" w:hAnsiTheme="minorEastAsia" w:eastAsiaTheme="minorEastAsia"/>
                <w:color w:val="auto"/>
                <w:sz w:val="24"/>
                <w:highlight w:val="none"/>
              </w:rPr>
              <w:t>实施计划节点明确、时间安排符合采购要求的得</w:t>
            </w:r>
            <w:r>
              <w:rPr>
                <w:rFonts w:hint="eastAsia" w:cs="仿宋_GB2312" w:asciiTheme="minorEastAsia" w:hAnsiTheme="minorEastAsia" w:eastAsiaTheme="minorEastAsia"/>
                <w:color w:val="auto"/>
                <w:sz w:val="24"/>
                <w:highlight w:val="none"/>
                <w:lang w:val="en-US" w:eastAsia="zh-CN"/>
              </w:rPr>
              <w:t>3分</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不符合</w:t>
            </w:r>
            <w:r>
              <w:rPr>
                <w:rFonts w:hint="eastAsia" w:cs="仿宋_GB2312" w:asciiTheme="minorEastAsia" w:hAnsiTheme="minorEastAsia" w:eastAsiaTheme="minorEastAsia"/>
                <w:color w:val="auto"/>
                <w:sz w:val="24"/>
                <w:highlight w:val="none"/>
              </w:rPr>
              <w:t>的不得分。</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0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5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5088" w:type="dxa"/>
          </w:tcPr>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租赁</w:t>
            </w:r>
            <w:r>
              <w:rPr>
                <w:rFonts w:hint="eastAsia" w:cs="仿宋_GB2312" w:asciiTheme="minorEastAsia" w:hAnsiTheme="minorEastAsia" w:eastAsiaTheme="minorEastAsia"/>
                <w:color w:val="auto"/>
                <w:sz w:val="24"/>
                <w:highlight w:val="none"/>
              </w:rPr>
              <w:t>期内的服务响应方案（</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供应商</w:t>
            </w:r>
            <w:r>
              <w:rPr>
                <w:rFonts w:hint="eastAsia" w:cs="仿宋_GB2312" w:asciiTheme="minorEastAsia" w:hAnsiTheme="minorEastAsia" w:eastAsiaTheme="minorEastAsia"/>
                <w:color w:val="auto"/>
                <w:sz w:val="24"/>
                <w:highlight w:val="none"/>
                <w:lang w:val="en-US" w:eastAsia="zh-CN"/>
              </w:rPr>
              <w:t>承诺</w:t>
            </w:r>
            <w:r>
              <w:rPr>
                <w:rFonts w:hint="eastAsia" w:cs="仿宋_GB2312" w:asciiTheme="minorEastAsia" w:hAnsiTheme="minorEastAsia" w:eastAsiaTheme="minorEastAsia"/>
                <w:color w:val="auto"/>
                <w:sz w:val="24"/>
                <w:highlight w:val="none"/>
              </w:rPr>
              <w:t>建立24小时值班制度并配备1名项目负责人，负责与采购人对接，对接处理技术及其他售后问题</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满足采购需求的得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val="en-US" w:eastAsia="zh-CN"/>
              </w:rPr>
              <w:t>不满足</w:t>
            </w:r>
            <w:r>
              <w:rPr>
                <w:rFonts w:hint="eastAsia" w:cs="仿宋_GB2312" w:asciiTheme="minorEastAsia" w:hAnsiTheme="minorEastAsia" w:eastAsiaTheme="minorEastAsia"/>
                <w:color w:val="auto"/>
                <w:sz w:val="24"/>
                <w:highlight w:val="none"/>
              </w:rPr>
              <w:t>不得分。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有明确承诺</w:t>
            </w:r>
            <w:r>
              <w:rPr>
                <w:rFonts w:hint="eastAsia" w:cs="仿宋_GB2312" w:asciiTheme="minorEastAsia" w:hAnsiTheme="minorEastAsia" w:eastAsiaTheme="minorEastAsia"/>
                <w:color w:val="auto"/>
                <w:sz w:val="24"/>
                <w:highlight w:val="none"/>
                <w:lang w:val="en-US" w:eastAsia="zh-CN"/>
              </w:rPr>
              <w:t>若</w:t>
            </w:r>
            <w:r>
              <w:rPr>
                <w:rFonts w:hint="eastAsia" w:cs="仿宋_GB2312" w:asciiTheme="minorEastAsia" w:hAnsiTheme="minorEastAsia" w:eastAsiaTheme="minorEastAsia"/>
                <w:color w:val="auto"/>
                <w:kern w:val="2"/>
                <w:sz w:val="24"/>
                <w:szCs w:val="24"/>
                <w:highlight w:val="none"/>
                <w:lang w:val="en-US" w:eastAsia="zh-CN"/>
              </w:rPr>
              <w:t>出现</w:t>
            </w:r>
            <w:r>
              <w:rPr>
                <w:rFonts w:hint="eastAsia" w:cs="仿宋_GB2312" w:asciiTheme="minorEastAsia" w:hAnsiTheme="minorEastAsia" w:eastAsiaTheme="minorEastAsia"/>
                <w:color w:val="auto"/>
                <w:kern w:val="2"/>
                <w:sz w:val="24"/>
                <w:szCs w:val="24"/>
                <w:highlight w:val="none"/>
              </w:rPr>
              <w:t>故障，</w:t>
            </w:r>
            <w:r>
              <w:rPr>
                <w:rFonts w:hint="eastAsia" w:cs="仿宋_GB2312" w:asciiTheme="minorEastAsia" w:hAnsiTheme="minorEastAsia" w:eastAsiaTheme="minorEastAsia"/>
                <w:color w:val="auto"/>
                <w:kern w:val="2"/>
                <w:sz w:val="24"/>
                <w:szCs w:val="24"/>
                <w:highlight w:val="none"/>
                <w:lang w:val="en-US" w:eastAsia="zh-CN"/>
              </w:rPr>
              <w:t>保证</w:t>
            </w:r>
            <w:r>
              <w:rPr>
                <w:rFonts w:hint="eastAsia" w:cs="仿宋_GB2312" w:asciiTheme="minorEastAsia" w:hAnsiTheme="minorEastAsia" w:eastAsiaTheme="minorEastAsia"/>
                <w:color w:val="auto"/>
                <w:kern w:val="2"/>
                <w:sz w:val="24"/>
                <w:szCs w:val="24"/>
                <w:highlight w:val="none"/>
              </w:rPr>
              <w:t>1小时</w:t>
            </w:r>
            <w:r>
              <w:rPr>
                <w:rFonts w:hint="eastAsia" w:cs="仿宋_GB2312" w:asciiTheme="minorEastAsia" w:hAnsiTheme="minorEastAsia" w:eastAsiaTheme="minorEastAsia"/>
                <w:color w:val="auto"/>
                <w:kern w:val="2"/>
                <w:sz w:val="24"/>
                <w:szCs w:val="24"/>
                <w:highlight w:val="none"/>
                <w:lang w:val="en-US" w:eastAsia="zh-CN"/>
              </w:rPr>
              <w:t>内</w:t>
            </w:r>
            <w:r>
              <w:rPr>
                <w:rFonts w:hint="eastAsia" w:cs="仿宋_GB2312" w:asciiTheme="minorEastAsia" w:hAnsiTheme="minorEastAsia" w:eastAsiaTheme="minorEastAsia"/>
                <w:color w:val="auto"/>
                <w:kern w:val="2"/>
                <w:sz w:val="24"/>
                <w:szCs w:val="24"/>
                <w:highlight w:val="none"/>
              </w:rPr>
              <w:t>响应，4小时内到达现场，48小时恢复系统正常运行</w:t>
            </w:r>
            <w:r>
              <w:rPr>
                <w:rFonts w:hint="eastAsia" w:cs="仿宋_GB2312" w:asciiTheme="minorEastAsia" w:hAnsiTheme="minorEastAsia" w:eastAsiaTheme="minorEastAsia"/>
                <w:color w:val="auto"/>
                <w:sz w:val="24"/>
                <w:highlight w:val="none"/>
              </w:rPr>
              <w:t>的得</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分。</w:t>
            </w:r>
            <w:r>
              <w:rPr>
                <w:rFonts w:hint="eastAsia" w:cs="仿宋_GB2312" w:asciiTheme="minorEastAsia" w:hAnsiTheme="minorEastAsia" w:eastAsiaTheme="minorEastAsia"/>
                <w:color w:val="auto"/>
                <w:sz w:val="24"/>
                <w:highlight w:val="none"/>
                <w:lang w:val="en-US" w:eastAsia="zh-CN"/>
              </w:rPr>
              <w:t>不符合</w:t>
            </w:r>
            <w:r>
              <w:rPr>
                <w:rFonts w:hint="eastAsia" w:cs="仿宋_GB2312" w:asciiTheme="minorEastAsia" w:hAnsiTheme="minorEastAsia" w:eastAsiaTheme="minorEastAsia"/>
                <w:color w:val="auto"/>
                <w:sz w:val="24"/>
                <w:highlight w:val="none"/>
              </w:rPr>
              <w:t>的不得分。</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0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5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5088" w:type="dxa"/>
          </w:tcPr>
          <w:p>
            <w:pPr>
              <w:snapToGrid w:val="0"/>
              <w:spacing w:line="288"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根据投标人对本项目实施时的安全保证措施、质量保证方案、安装完毕后功能测试方案进行评审。</w:t>
            </w:r>
            <w:r>
              <w:rPr>
                <w:rFonts w:ascii="宋体" w:hAnsi="宋体" w:eastAsia="宋体"/>
                <w:color w:val="auto"/>
                <w:sz w:val="24"/>
                <w:szCs w:val="24"/>
                <w:highlight w:val="none"/>
              </w:rPr>
              <w:t xml:space="preserve"> </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eastAsia="宋体"/>
                <w:color w:val="auto"/>
                <w:sz w:val="24"/>
                <w:szCs w:val="24"/>
                <w:highlight w:val="none"/>
              </w:rPr>
              <w:t>每项措施或方案符合采购需求、能保障业务安全、稳定运行的得</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分，不符合的不得分。最高得</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分。</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55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088" w:type="dxa"/>
          </w:tcPr>
          <w:p>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项目负责人资质（2分）：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项目负责人具有自20</w:t>
            </w:r>
            <w:r>
              <w:rPr>
                <w:rFonts w:hint="eastAsia" w:cs="仿宋_GB2312" w:asciiTheme="minorEastAsia" w:hAnsiTheme="minorEastAsia" w:eastAsiaTheme="minorEastAsia"/>
                <w:color w:val="auto"/>
                <w:sz w:val="24"/>
                <w:highlight w:val="none"/>
                <w:lang w:val="en-US" w:eastAsia="zh-CN"/>
              </w:rPr>
              <w:t>20</w:t>
            </w:r>
            <w:r>
              <w:rPr>
                <w:rFonts w:hint="eastAsia" w:cs="仿宋_GB2312" w:asciiTheme="minorEastAsia" w:hAnsiTheme="minorEastAsia" w:eastAsiaTheme="minorEastAsia"/>
                <w:color w:val="auto"/>
                <w:sz w:val="24"/>
                <w:highlight w:val="none"/>
              </w:rPr>
              <w:t>年1月1日起至今（以合同签订之日为准）类似项目工作经验的得2分。(提供合同及业主证明</w:t>
            </w:r>
            <w:r>
              <w:rPr>
                <w:rFonts w:hint="eastAsia" w:cs="仿宋_GB2312" w:asciiTheme="minorEastAsia" w:hAnsiTheme="minorEastAsia" w:eastAsiaTheme="minorEastAsia"/>
                <w:color w:val="auto"/>
                <w:sz w:val="24"/>
                <w:highlight w:val="none"/>
                <w:lang w:eastAsia="zh-CN"/>
              </w:rPr>
              <w:t>并加盖公章作为评定依据）</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0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5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项目负责人资质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088" w:type="dxa"/>
          </w:tcPr>
          <w:p>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产品备品（4分）：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根据投标人备品储备的情况进行评定，若投标人</w:t>
            </w:r>
            <w:r>
              <w:rPr>
                <w:rFonts w:hint="eastAsia" w:cs="仿宋_GB2312" w:asciiTheme="minorEastAsia" w:hAnsiTheme="minorEastAsia" w:eastAsiaTheme="minorEastAsia"/>
                <w:color w:val="auto"/>
                <w:sz w:val="24"/>
                <w:highlight w:val="none"/>
                <w:lang w:val="en-US" w:eastAsia="zh-CN"/>
              </w:rPr>
              <w:t>承诺满足需求中备品备件要求及数量的</w:t>
            </w:r>
            <w:r>
              <w:rPr>
                <w:rFonts w:hint="eastAsia" w:cs="仿宋_GB2312" w:asciiTheme="minorEastAsia" w:hAnsiTheme="minorEastAsia" w:eastAsiaTheme="minorEastAsia"/>
                <w:color w:val="auto"/>
                <w:sz w:val="24"/>
                <w:highlight w:val="none"/>
                <w:lang w:eastAsia="zh-CN"/>
              </w:rPr>
              <w:t>得4分，</w:t>
            </w:r>
            <w:r>
              <w:rPr>
                <w:rFonts w:hint="eastAsia" w:cs="仿宋_GB2312" w:asciiTheme="minorEastAsia" w:hAnsiTheme="minorEastAsia" w:eastAsiaTheme="minorEastAsia"/>
                <w:color w:val="auto"/>
                <w:sz w:val="24"/>
                <w:highlight w:val="none"/>
                <w:lang w:val="en-US" w:eastAsia="zh-CN"/>
              </w:rPr>
              <w:t>不满足不得分</w:t>
            </w:r>
            <w:r>
              <w:rPr>
                <w:rFonts w:hint="eastAsia" w:cs="仿宋_GB2312" w:asciiTheme="minorEastAsia" w:hAnsiTheme="minorEastAsia" w:eastAsiaTheme="minorEastAsia"/>
                <w:color w:val="auto"/>
                <w:sz w:val="24"/>
                <w:highlight w:val="none"/>
                <w:lang w:eastAsia="zh-CN"/>
              </w:rPr>
              <w:t>。</w:t>
            </w:r>
          </w:p>
        </w:tc>
        <w:tc>
          <w:tcPr>
            <w:tcW w:w="9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05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55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备品情况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4" w:type="dxa"/>
            <w:gridSpan w:val="5"/>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价格分（20分）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5088" w:type="dxa"/>
          </w:tcPr>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有效投标报价的最低价作为评标基准价，其最低报价为满分；按［投标报价得分=（评标基准价/投标报价）*权重］的计算公式计算。</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评标过程中，不得去掉报价中的最高报价和最低报价。</w:t>
            </w:r>
          </w:p>
          <w:p>
            <w:pPr>
              <w:snapToGrid w:val="0"/>
              <w:spacing w:line="360" w:lineRule="auto"/>
              <w:jc w:val="left"/>
              <w:rPr>
                <w:rFonts w:hint="eastAsia"/>
                <w:color w:val="auto"/>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20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%的扣除，用扣除后的价格参加评审。</w:t>
            </w:r>
          </w:p>
        </w:tc>
        <w:tc>
          <w:tcPr>
            <w:tcW w:w="950"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1050"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客观分</w:t>
            </w:r>
          </w:p>
        </w:tc>
        <w:tc>
          <w:tcPr>
            <w:tcW w:w="1550"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394" w:name="第五部分"/>
      <w:bookmarkStart w:id="395"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adjustRightInd w:val="0"/>
        <w:rPr>
          <w:rFonts w:hint="eastAsia" w:ascii="楷体" w:hAnsi="楷体" w:eastAsia="仿宋"/>
          <w:color w:val="auto"/>
          <w:sz w:val="24"/>
          <w:highlight w:val="none"/>
        </w:rPr>
      </w:pPr>
      <w:r>
        <w:rPr>
          <w:rFonts w:hint="eastAsia" w:ascii="楷体" w:hAnsi="楷体" w:eastAsia="仿宋"/>
          <w:color w:val="auto"/>
          <w:sz w:val="24"/>
          <w:highlight w:val="none"/>
        </w:rPr>
        <w:t>合同编号：</w:t>
      </w:r>
    </w:p>
    <w:p>
      <w:pPr>
        <w:pStyle w:val="4"/>
        <w:jc w:val="center"/>
        <w:rPr>
          <w:color w:val="auto"/>
          <w:sz w:val="32"/>
          <w:szCs w:val="32"/>
          <w:highlight w:val="none"/>
        </w:rPr>
      </w:pPr>
      <w:bookmarkStart w:id="396" w:name="_Toc25861"/>
      <w:r>
        <w:rPr>
          <w:rFonts w:hint="eastAsia"/>
          <w:color w:val="auto"/>
          <w:sz w:val="32"/>
          <w:szCs w:val="32"/>
          <w:highlight w:val="none"/>
        </w:rPr>
        <w:t>服务合同</w:t>
      </w:r>
      <w:bookmarkEnd w:id="396"/>
    </w:p>
    <w:p>
      <w:pPr>
        <w:spacing w:after="0" w:line="360" w:lineRule="auto"/>
        <w:rPr>
          <w:rFonts w:ascii="仿宋_GB2312" w:eastAsia="仿宋_GB2312"/>
          <w:b/>
          <w:color w:val="auto"/>
          <w:sz w:val="24"/>
          <w:szCs w:val="24"/>
          <w:highlight w:val="none"/>
        </w:rPr>
      </w:pPr>
      <w:bookmarkStart w:id="397" w:name="_Hlk9779940"/>
      <w:r>
        <w:rPr>
          <w:rFonts w:hint="eastAsia" w:ascii="仿宋_GB2312" w:eastAsia="仿宋_GB2312"/>
          <w:b/>
          <w:color w:val="auto"/>
          <w:sz w:val="24"/>
          <w:szCs w:val="24"/>
          <w:highlight w:val="none"/>
        </w:rPr>
        <w:t>甲方：2022年第19届亚运会组委会</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地址：杭州市上城区富春路150号昆仑中心B座</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授权代表：</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联系人/经办人：</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p>
      <w:pPr>
        <w:tabs>
          <w:tab w:val="left" w:pos="6237"/>
          <w:tab w:val="left" w:pos="6521"/>
        </w:tabs>
        <w:spacing w:after="0" w:line="360" w:lineRule="auto"/>
        <w:rPr>
          <w:rFonts w:ascii="仿宋_GB2312" w:eastAsia="仿宋_GB2312"/>
          <w:color w:val="auto"/>
          <w:sz w:val="24"/>
          <w:highlight w:val="none"/>
        </w:rPr>
      </w:pPr>
      <w:r>
        <w:rPr>
          <w:rFonts w:hint="eastAsia" w:ascii="仿宋_GB2312" w:eastAsia="仿宋_GB2312"/>
          <w:color w:val="auto"/>
          <w:sz w:val="24"/>
          <w:highlight w:val="none"/>
        </w:rPr>
        <w:t>电子邮件：</w:t>
      </w:r>
    </w:p>
    <w:p>
      <w:pPr>
        <w:tabs>
          <w:tab w:val="left" w:pos="6237"/>
          <w:tab w:val="left" w:pos="6521"/>
        </w:tabs>
        <w:spacing w:after="0" w:line="360" w:lineRule="auto"/>
        <w:rPr>
          <w:rFonts w:ascii="仿宋_GB2312" w:eastAsia="仿宋_GB2312"/>
          <w:color w:val="auto"/>
          <w:sz w:val="24"/>
          <w:highlight w:val="none"/>
        </w:rPr>
      </w:pPr>
    </w:p>
    <w:p>
      <w:pPr>
        <w:spacing w:after="0" w:line="360" w:lineRule="auto"/>
        <w:rPr>
          <w:rFonts w:ascii="仿宋_GB2312" w:eastAsia="仿宋_GB2312"/>
          <w:b/>
          <w:color w:val="auto"/>
          <w:sz w:val="24"/>
          <w:szCs w:val="24"/>
          <w:highlight w:val="none"/>
        </w:rPr>
      </w:pPr>
      <w:r>
        <w:rPr>
          <w:rFonts w:hint="eastAsia" w:ascii="仿宋_GB2312" w:eastAsia="仿宋_GB2312"/>
          <w:b/>
          <w:color w:val="auto"/>
          <w:sz w:val="24"/>
          <w:szCs w:val="24"/>
          <w:highlight w:val="none"/>
        </w:rPr>
        <w:t>乙方：</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地址：</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法定代表人：</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统一社会信用代码：</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授权代表： </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联系人：</w:t>
      </w:r>
    </w:p>
    <w:p>
      <w:pPr>
        <w:spacing w:after="0" w:line="360" w:lineRule="auto"/>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p>
      <w:pPr>
        <w:spacing w:after="0" w:line="360" w:lineRule="auto"/>
        <w:textAlignment w:val="bottom"/>
        <w:rPr>
          <w:rFonts w:ascii="仿宋_GB2312" w:eastAsia="仿宋_GB2312"/>
          <w:color w:val="auto"/>
          <w:sz w:val="24"/>
          <w:highlight w:val="none"/>
        </w:rPr>
      </w:pPr>
      <w:r>
        <w:rPr>
          <w:rFonts w:hint="eastAsia" w:ascii="仿宋_GB2312" w:eastAsia="仿宋_GB2312"/>
          <w:color w:val="auto"/>
          <w:sz w:val="24"/>
          <w:highlight w:val="none"/>
        </w:rPr>
        <w:t>电子邮件：</w:t>
      </w:r>
    </w:p>
    <w:p>
      <w:pPr>
        <w:spacing w:after="0" w:line="360" w:lineRule="auto"/>
        <w:textAlignment w:val="bottom"/>
        <w:rPr>
          <w:rFonts w:ascii="仿宋_GB2312" w:eastAsia="仿宋_GB2312"/>
          <w:color w:val="auto"/>
          <w:sz w:val="24"/>
          <w:highlight w:val="none"/>
        </w:rPr>
      </w:pP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根据《中华人民共和国民法典》等法律法规，通过</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公开招标</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方式</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甲乙双方经谈判和协商，就甲方委托乙方承担</w:t>
      </w:r>
      <w:r>
        <w:rPr>
          <w:rFonts w:hint="eastAsia" w:ascii="仿宋" w:hAnsi="仿宋" w:eastAsia="仿宋" w:cs="仿宋"/>
          <w:bCs/>
          <w:color w:val="auto"/>
          <w:highlight w:val="none"/>
        </w:rPr>
        <w:t>【</w:t>
      </w:r>
      <w:r>
        <w:rPr>
          <w:rFonts w:hint="default" w:ascii="仿宋_GB2312" w:hAnsi="Times New Roman" w:eastAsia="仿宋_GB2312" w:cs="Times New Roman"/>
          <w:bCs w:val="0"/>
          <w:color w:val="auto"/>
          <w:sz w:val="24"/>
          <w:highlight w:val="none"/>
          <w:lang w:eastAsia="zh-CN"/>
        </w:rPr>
        <w:t>智能交通设施（场馆周边）</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服务项目，达成以下协议：</w:t>
      </w:r>
      <w:bookmarkEnd w:id="397"/>
    </w:p>
    <w:p>
      <w:pPr>
        <w:pStyle w:val="9"/>
        <w:ind w:firstLine="520"/>
        <w:rPr>
          <w:color w:val="auto"/>
          <w:highlight w:val="none"/>
        </w:rPr>
      </w:pPr>
      <w:bookmarkStart w:id="398" w:name="_Hlk9795510"/>
      <w:r>
        <w:rPr>
          <w:rFonts w:hint="eastAsia"/>
          <w:color w:val="auto"/>
          <w:highlight w:val="none"/>
        </w:rPr>
        <w:t>一、定义</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在本合同中，除非上下文另有说明，下列词语分别具有本条所指含义：</w:t>
      </w:r>
    </w:p>
    <w:p>
      <w:pPr>
        <w:numPr>
          <w:ilvl w:val="0"/>
          <w:numId w:val="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“杭州亚组委”，指2022年第19届亚运会组委会。</w:t>
      </w:r>
    </w:p>
    <w:p>
      <w:pPr>
        <w:numPr>
          <w:ilvl w:val="0"/>
          <w:numId w:val="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“亚奥理事会”，指亚洲奥林匹克理事会。</w:t>
      </w:r>
    </w:p>
    <w:p>
      <w:pPr>
        <w:numPr>
          <w:ilvl w:val="0"/>
          <w:numId w:val="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“杭州亚运会”，指2022年第19届亚洲运动会。</w:t>
      </w:r>
    </w:p>
    <w:p>
      <w:pPr>
        <w:numPr>
          <w:ilvl w:val="0"/>
          <w:numId w:val="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“工作日”，指中国法定节假日、休息日之外的日期。</w:t>
      </w:r>
    </w:p>
    <w:p>
      <w:pPr>
        <w:numPr>
          <w:ilvl w:val="0"/>
          <w:numId w:val="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“年”、“月”，指公历年、月；按照年、月、日计算期间的，开始的当日不计入，自下一日开始计算；按照年、月计算期间的，到期月的对应日为期间的最后一日；没有对应日的，月末日为期间的最后一日。</w:t>
      </w:r>
    </w:p>
    <w:p>
      <w:pPr>
        <w:numPr>
          <w:ilvl w:val="0"/>
          <w:numId w:val="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“元”，指中国法定货币人民币元。</w:t>
      </w:r>
      <w:bookmarkEnd w:id="398"/>
      <w:r>
        <w:rPr>
          <w:rFonts w:hint="eastAsia" w:ascii="仿宋_GB2312" w:hAnsi="宋体" w:eastAsia="仿宋_GB2312" w:cs="宋体"/>
          <w:color w:val="auto"/>
          <w:sz w:val="24"/>
          <w:highlight w:val="none"/>
        </w:rPr>
        <w:t xml:space="preserve">  </w:t>
      </w:r>
    </w:p>
    <w:p>
      <w:pPr>
        <w:pStyle w:val="9"/>
        <w:ind w:firstLine="520"/>
        <w:rPr>
          <w:color w:val="auto"/>
          <w:highlight w:val="none"/>
        </w:rPr>
      </w:pPr>
      <w:r>
        <w:rPr>
          <w:rFonts w:hint="eastAsia"/>
          <w:color w:val="auto"/>
          <w:highlight w:val="none"/>
        </w:rPr>
        <w:t>二、 服务内容与期限</w:t>
      </w:r>
    </w:p>
    <w:p>
      <w:pPr>
        <w:numPr>
          <w:ilvl w:val="0"/>
          <w:numId w:val="3"/>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甲方委托乙方提供</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智能交通设施（场馆周边）</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val="en-US" w:eastAsia="zh-CN"/>
        </w:rPr>
        <w:t>租赁</w:t>
      </w:r>
      <w:r>
        <w:rPr>
          <w:rFonts w:hint="eastAsia" w:ascii="仿宋_GB2312" w:hAnsi="宋体" w:eastAsia="仿宋_GB2312" w:cs="宋体"/>
          <w:color w:val="auto"/>
          <w:sz w:val="24"/>
          <w:highlight w:val="none"/>
        </w:rPr>
        <w:t>服务（以下称“</w:t>
      </w:r>
      <w:r>
        <w:rPr>
          <w:rFonts w:hint="eastAsia" w:ascii="仿宋_GB2312" w:hAnsi="宋体" w:eastAsia="仿宋_GB2312" w:cs="宋体"/>
          <w:bCs w:val="0"/>
          <w:color w:val="auto"/>
          <w:sz w:val="24"/>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_GB2312" w:hAnsi="宋体" w:eastAsia="仿宋_GB2312" w:cs="宋体"/>
          <w:bCs w:val="0"/>
          <w:color w:val="auto"/>
          <w:sz w:val="24"/>
          <w:highlight w:val="none"/>
        </w:rPr>
        <w:t>】</w:t>
      </w:r>
      <w:r>
        <w:rPr>
          <w:rFonts w:hint="eastAsia" w:ascii="仿宋_GB2312" w:hAnsi="宋体" w:eastAsia="仿宋_GB2312" w:cs="宋体"/>
          <w:bCs w:val="0"/>
          <w:color w:val="auto"/>
          <w:sz w:val="24"/>
          <w:highlight w:val="none"/>
          <w:lang w:val="en-US" w:eastAsia="zh-CN"/>
        </w:rPr>
        <w:t>租赁</w:t>
      </w:r>
      <w:r>
        <w:rPr>
          <w:rFonts w:hint="eastAsia" w:ascii="仿宋_GB2312" w:hAnsi="宋体" w:eastAsia="仿宋_GB2312" w:cs="宋体"/>
          <w:color w:val="auto"/>
          <w:sz w:val="24"/>
          <w:highlight w:val="none"/>
        </w:rPr>
        <w:t>服务”），乙方接受甲方委托。乙方提供服务的具体内容为：</w:t>
      </w:r>
    </w:p>
    <w:p>
      <w:pPr>
        <w:spacing w:after="0" w:line="360" w:lineRule="auto"/>
        <w:ind w:firstLine="480" w:firstLineChars="200"/>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rPr>
        <w:t>1.1</w:t>
      </w:r>
      <w:r>
        <w:rPr>
          <w:rFonts w:hint="eastAsia" w:ascii="仿宋_GB2312" w:hAnsi="宋体" w:eastAsia="仿宋_GB2312" w:cs="宋体"/>
          <w:color w:val="auto"/>
          <w:sz w:val="24"/>
          <w:highlight w:val="none"/>
          <w:lang w:val="en-US" w:eastAsia="zh-CN"/>
        </w:rPr>
        <w:t xml:space="preserve"> 在奥体场馆群安保圈层搭建9套高点监控（AR球机），用于准确实时感知要人警卫、通勤线路的大范围交通态势掌握，支撑实战指挥和决策。</w:t>
      </w:r>
    </w:p>
    <w:p>
      <w:pPr>
        <w:spacing w:after="0" w:line="360" w:lineRule="auto"/>
        <w:ind w:firstLine="480" w:firstLineChars="200"/>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rPr>
        <w:t>1.2</w:t>
      </w:r>
      <w:r>
        <w:rPr>
          <w:rFonts w:hint="eastAsia" w:ascii="仿宋_GB2312" w:hAnsi="宋体" w:eastAsia="仿宋_GB2312" w:cs="宋体"/>
          <w:color w:val="auto"/>
          <w:sz w:val="24"/>
          <w:highlight w:val="none"/>
          <w:lang w:val="en-US" w:eastAsia="zh-CN"/>
        </w:rPr>
        <w:t xml:space="preserve"> 在奥体场馆群安保圈层增加6套地面监控，用于要人警卫、通勤线路相关路口、路段交通节点实时态势感知。</w:t>
      </w:r>
    </w:p>
    <w:p>
      <w:pPr>
        <w:spacing w:after="0" w:line="360" w:lineRule="auto"/>
        <w:ind w:firstLine="480" w:firstLineChars="200"/>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3 在奥体场馆群安保圈层增加188套高清车辆卡口，用于进出奥体场馆群安保圈层机动车过车感知，采集记录车辆通过时间、点位、车牌号码、车辆图片、驾驶人图像等数据；支撑进出车辆数、在途量、出行强度等数据分析及重点车辆防控和预警。</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本项目点位情况如下：</w:t>
      </w:r>
    </w:p>
    <w:p>
      <w:pPr>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监控点位：</w:t>
      </w:r>
    </w:p>
    <w:tbl>
      <w:tblPr>
        <w:tblStyle w:val="62"/>
        <w:tblW w:w="8511" w:type="dxa"/>
        <w:tblInd w:w="355" w:type="dxa"/>
        <w:tblLayout w:type="fixed"/>
        <w:tblCellMar>
          <w:top w:w="0" w:type="dxa"/>
          <w:left w:w="108" w:type="dxa"/>
          <w:bottom w:w="0" w:type="dxa"/>
          <w:right w:w="108" w:type="dxa"/>
        </w:tblCellMar>
      </w:tblPr>
      <w:tblGrid>
        <w:gridCol w:w="822"/>
        <w:gridCol w:w="3778"/>
        <w:gridCol w:w="2522"/>
        <w:gridCol w:w="1389"/>
      </w:tblGrid>
      <w:tr>
        <w:tblPrEx>
          <w:tblCellMar>
            <w:top w:w="0" w:type="dxa"/>
            <w:left w:w="108" w:type="dxa"/>
            <w:bottom w:w="0" w:type="dxa"/>
            <w:right w:w="108" w:type="dxa"/>
          </w:tblCellMar>
        </w:tblPrEx>
        <w:trPr>
          <w:trHeight w:val="9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点位</w:t>
            </w:r>
          </w:p>
        </w:tc>
        <w:tc>
          <w:tcPr>
            <w:tcW w:w="252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监控数量（个）</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需求</w:t>
            </w:r>
          </w:p>
        </w:tc>
      </w:tr>
      <w:tr>
        <w:tblPrEx>
          <w:tblCellMar>
            <w:top w:w="0" w:type="dxa"/>
            <w:left w:w="108" w:type="dxa"/>
            <w:bottom w:w="0" w:type="dxa"/>
            <w:right w:w="108" w:type="dxa"/>
          </w:tblCellMar>
        </w:tblPrEx>
        <w:trPr>
          <w:trHeight w:val="22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江南大道智慧之门</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（奥体西兴立交区域感知）</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14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奔竞大道信达中心</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（奥体中心内部通道路况视野、奥体中心西侧路况视野、奥体中心南侧路况视野）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22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机场城市大道（滨盛-闻涛）路段</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（奥体安保圈主通道路况）</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292"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机场城市大道（丹枫-转盘）路段</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（奥体安保圈主通道路况）</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28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机场转盘江南大道进口</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（奥体西兴立交地面车流感知）</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机场转盘奔竞大道进口</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（奥体西兴立交地面车流感知）</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1（1根立杆）</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奔竞大道市心路口财富中心（奥体棋院视野）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奔竞大道博奥路口利一花园</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（奥体训练馆视野）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奔竞大道城市之门</w:t>
            </w:r>
          </w:p>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（奥体中心体育馆、游泳馆视野）</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r>
        <w:tblPrEx>
          <w:tblCellMar>
            <w:top w:w="0" w:type="dxa"/>
            <w:left w:w="108" w:type="dxa"/>
            <w:bottom w:w="0" w:type="dxa"/>
            <w:right w:w="108" w:type="dxa"/>
          </w:tblCellMar>
        </w:tblPrEx>
        <w:trPr>
          <w:trHeight w:val="428"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海青路观澜路口誉港城（视野奥体中心游泳馆）</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2（高点，安装支架）</w:t>
            </w:r>
          </w:p>
        </w:tc>
        <w:tc>
          <w:tcPr>
            <w:tcW w:w="1389"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新增</w:t>
            </w:r>
          </w:p>
        </w:tc>
      </w:tr>
    </w:tbl>
    <w:p>
      <w:pPr>
        <w:spacing w:line="6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卡口点位：</w:t>
      </w:r>
    </w:p>
    <w:tbl>
      <w:tblPr>
        <w:tblStyle w:val="62"/>
        <w:tblW w:w="8459" w:type="dxa"/>
        <w:jc w:val="center"/>
        <w:tblLayout w:type="fixed"/>
        <w:tblCellMar>
          <w:top w:w="0" w:type="dxa"/>
          <w:left w:w="108" w:type="dxa"/>
          <w:bottom w:w="0" w:type="dxa"/>
          <w:right w:w="108" w:type="dxa"/>
        </w:tblCellMar>
      </w:tblPr>
      <w:tblGrid>
        <w:gridCol w:w="843"/>
        <w:gridCol w:w="3989"/>
        <w:gridCol w:w="1843"/>
        <w:gridCol w:w="1784"/>
      </w:tblGrid>
      <w:tr>
        <w:tblPrEx>
          <w:tblCellMar>
            <w:top w:w="0" w:type="dxa"/>
            <w:left w:w="108" w:type="dxa"/>
            <w:bottom w:w="0" w:type="dxa"/>
            <w:right w:w="108" w:type="dxa"/>
          </w:tblCellMar>
        </w:tblPrEx>
        <w:trPr>
          <w:trHeight w:val="602"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路口名称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卡口设备数量（套）</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需求</w:t>
            </w:r>
          </w:p>
        </w:tc>
      </w:tr>
      <w:tr>
        <w:tblPrEx>
          <w:tblCellMar>
            <w:top w:w="0" w:type="dxa"/>
            <w:left w:w="108" w:type="dxa"/>
            <w:bottom w:w="0" w:type="dxa"/>
            <w:right w:w="108" w:type="dxa"/>
          </w:tblCellMar>
        </w:tblPrEx>
        <w:trPr>
          <w:trHeight w:val="312"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博奥路-利一路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利一路-丹华路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市心北路-平澜路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167"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奔竞大道-国博中心1号门</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博奥路-观澜路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飞虹路-盈丰路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金鸡路-利一路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民和路-利一路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民和路-平澜路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奔竞大道-博奥路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奔竞大道-金鸡路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市心北路-奔竞大道</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奔竞大道-民和路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民和路-观澜路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金鸡路-观澜路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飞虹路-民和路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金鸡路-利二路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金鸡路-盈丰路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金鸡路-皓月路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金鸡路-利丰路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金鸡路-机场城市大道</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博奥路-利二路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博奥路-利丰路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博奥路-机场城市大道</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民和路-利二路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民和路-盈丰路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机场城市大道-民和路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民和路-扬帆路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奥体街飞虹路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丹枫路扬帆路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r>
        <w:tblPrEx>
          <w:tblCellMar>
            <w:top w:w="0" w:type="dxa"/>
            <w:left w:w="108" w:type="dxa"/>
            <w:bottom w:w="0" w:type="dxa"/>
            <w:right w:w="108" w:type="dxa"/>
          </w:tblCellMar>
        </w:tblPrEx>
        <w:trPr>
          <w:trHeight w:val="314" w:hRule="atLeast"/>
          <w:jc w:val="center"/>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3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奔竞大道扬帆路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增加</w:t>
            </w:r>
          </w:p>
        </w:tc>
      </w:tr>
    </w:tbl>
    <w:p>
      <w:pPr>
        <w:numPr>
          <w:ilvl w:val="0"/>
          <w:numId w:val="3"/>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乙方提供</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服务的地点为：</w:t>
      </w:r>
      <w:r>
        <w:rPr>
          <w:rFonts w:hint="eastAsia" w:ascii="仿宋_GB2312" w:hAnsi="宋体" w:eastAsia="仿宋_GB2312" w:cs="宋体"/>
          <w:color w:val="auto"/>
          <w:sz w:val="24"/>
          <w:highlight w:val="none"/>
          <w:lang w:val="en-US" w:eastAsia="zh-CN"/>
        </w:rPr>
        <w:t>甲方指定地点</w:t>
      </w:r>
    </w:p>
    <w:p>
      <w:pPr>
        <w:numPr>
          <w:ilvl w:val="0"/>
          <w:numId w:val="3"/>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乙方提供</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服务的方式为：</w:t>
      </w:r>
      <w:r>
        <w:rPr>
          <w:rFonts w:hint="eastAsia" w:ascii="仿宋_GB2312" w:hAnsi="宋体" w:eastAsia="仿宋_GB2312" w:cs="宋体"/>
          <w:color w:val="auto"/>
          <w:sz w:val="24"/>
          <w:highlight w:val="none"/>
          <w:lang w:val="en-US" w:eastAsia="zh-CN"/>
        </w:rPr>
        <w:t>指定设备出租、搭建、调试、运维及服务期结束后1个月内的设备拆除。</w:t>
      </w:r>
    </w:p>
    <w:p>
      <w:pPr>
        <w:numPr>
          <w:ilvl w:val="0"/>
          <w:numId w:val="3"/>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乙方提供</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服务的具体要求为：</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1）质量要求：所供的产品符合国家技术规范和质量标准。</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2）2023年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月1日前完成租赁设备进场、搭建、调试，正式运行期间</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有完善的运维保障小组，及时响应</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的服务要求。</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需提供产品质量保证，产品质量有问题如缺扣等问题无条件更换。</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主要设备需要准备配品配件，运行期间</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rPr>
        <w:t>7*24小时</w:t>
      </w:r>
      <w:r>
        <w:rPr>
          <w:rFonts w:hint="eastAsia" w:ascii="仿宋" w:hAnsi="仿宋" w:eastAsia="仿宋" w:cs="仿宋"/>
          <w:color w:val="auto"/>
          <w:sz w:val="24"/>
          <w:szCs w:val="24"/>
          <w:highlight w:val="none"/>
          <w:lang w:val="en-US" w:eastAsia="zh-CN"/>
        </w:rPr>
        <w:t>随时响应</w:t>
      </w:r>
      <w:r>
        <w:rPr>
          <w:rFonts w:hint="eastAsia" w:ascii="仿宋" w:hAnsi="仿宋" w:eastAsia="仿宋" w:cs="仿宋"/>
          <w:color w:val="auto"/>
          <w:sz w:val="24"/>
          <w:szCs w:val="24"/>
          <w:highlight w:val="none"/>
        </w:rPr>
        <w:t>，实时解决出现的故障。</w:t>
      </w:r>
    </w:p>
    <w:p>
      <w:pPr>
        <w:spacing w:line="360" w:lineRule="auto"/>
        <w:ind w:firstLine="480" w:firstLineChars="20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4）出现</w:t>
      </w:r>
      <w:r>
        <w:rPr>
          <w:rFonts w:hint="eastAsia" w:ascii="仿宋" w:hAnsi="仿宋" w:eastAsia="仿宋" w:cs="仿宋"/>
          <w:color w:val="auto"/>
          <w:sz w:val="24"/>
          <w:szCs w:val="24"/>
          <w:highlight w:val="none"/>
        </w:rPr>
        <w:t>故障，</w:t>
      </w:r>
      <w:r>
        <w:rPr>
          <w:rFonts w:hint="eastAsia" w:ascii="仿宋" w:hAnsi="仿宋" w:eastAsia="仿宋" w:cs="仿宋"/>
          <w:color w:val="auto"/>
          <w:sz w:val="24"/>
          <w:szCs w:val="24"/>
          <w:highlight w:val="none"/>
          <w:lang w:val="en-US" w:eastAsia="zh-CN"/>
        </w:rPr>
        <w:t>供应商应保证</w:t>
      </w:r>
      <w:r>
        <w:rPr>
          <w:rFonts w:hint="eastAsia" w:ascii="仿宋" w:hAnsi="仿宋" w:eastAsia="仿宋" w:cs="仿宋"/>
          <w:color w:val="auto"/>
          <w:sz w:val="24"/>
          <w:szCs w:val="24"/>
          <w:highlight w:val="none"/>
        </w:rPr>
        <w:t>1小时</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响应，4小时内到达现场，48小时恢复系统正常运行。</w:t>
      </w:r>
    </w:p>
    <w:p>
      <w:pPr>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备品备件清单</w:t>
      </w:r>
    </w:p>
    <w:tbl>
      <w:tblPr>
        <w:tblStyle w:val="62"/>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467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74" w:type="dxa"/>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78" w:type="dxa"/>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备用品名称</w:t>
            </w:r>
          </w:p>
        </w:tc>
        <w:tc>
          <w:tcPr>
            <w:tcW w:w="1985" w:type="dxa"/>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678"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卡口相机</w:t>
            </w:r>
          </w:p>
        </w:tc>
        <w:tc>
          <w:tcPr>
            <w:tcW w:w="1985"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678"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AR高点监控</w:t>
            </w:r>
          </w:p>
        </w:tc>
        <w:tc>
          <w:tcPr>
            <w:tcW w:w="1985"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678"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地面监控</w:t>
            </w:r>
          </w:p>
        </w:tc>
        <w:tc>
          <w:tcPr>
            <w:tcW w:w="1985" w:type="dxa"/>
            <w:vAlign w:val="center"/>
          </w:tcPr>
          <w:p>
            <w:pP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3个</w:t>
            </w:r>
          </w:p>
        </w:tc>
      </w:tr>
    </w:tbl>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需建立24小时值班制度，并配备1名项目负责人，负责与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对接，对接处理技术及其他售后问题，以保证</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的正常使用。项目负责人具有类似项目实施经验（</w:t>
      </w:r>
      <w:r>
        <w:rPr>
          <w:rFonts w:hint="eastAsia" w:ascii="仿宋" w:hAnsi="仿宋" w:eastAsia="仿宋" w:cs="仿宋"/>
          <w:color w:val="auto"/>
          <w:sz w:val="24"/>
          <w:szCs w:val="24"/>
          <w:highlight w:val="none"/>
          <w:lang w:val="en-US" w:eastAsia="zh-CN"/>
        </w:rPr>
        <w:t>需提供</w:t>
      </w:r>
      <w:r>
        <w:rPr>
          <w:rFonts w:hint="eastAsia" w:ascii="仿宋" w:hAnsi="仿宋" w:eastAsia="仿宋" w:cs="仿宋"/>
          <w:color w:val="auto"/>
          <w:sz w:val="24"/>
          <w:szCs w:val="24"/>
          <w:highlight w:val="none"/>
        </w:rPr>
        <w:t>合同及业主证明</w:t>
      </w:r>
      <w:r>
        <w:rPr>
          <w:rFonts w:hint="eastAsia" w:ascii="仿宋" w:hAnsi="仿宋" w:eastAsia="仿宋" w:cs="仿宋"/>
          <w:color w:val="auto"/>
          <w:sz w:val="24"/>
          <w:szCs w:val="24"/>
          <w:highlight w:val="none"/>
          <w:lang w:val="en-US" w:eastAsia="zh-CN"/>
        </w:rPr>
        <w:t>作为证明材料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租赁</w:t>
      </w:r>
      <w:r>
        <w:rPr>
          <w:rFonts w:hint="eastAsia" w:ascii="仿宋" w:hAnsi="仿宋" w:eastAsia="仿宋" w:cs="仿宋"/>
          <w:color w:val="auto"/>
          <w:sz w:val="24"/>
          <w:szCs w:val="24"/>
          <w:highlight w:val="none"/>
        </w:rPr>
        <w:t>期内，项目人员需对产品进行特定巡检、维修、维护、清洁、保养。</w:t>
      </w:r>
    </w:p>
    <w:p>
      <w:pPr>
        <w:numPr>
          <w:ilvl w:val="0"/>
          <w:numId w:val="3"/>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乙方提供</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服务的时间</w:t>
      </w:r>
      <w:r>
        <w:rPr>
          <w:rFonts w:hint="eastAsia" w:ascii="仿宋_GB2312" w:eastAsia="仿宋_GB2312"/>
          <w:color w:val="auto"/>
          <w:sz w:val="24"/>
          <w:szCs w:val="24"/>
          <w:highlight w:val="none"/>
        </w:rPr>
        <w:t>自【</w:t>
      </w:r>
      <w:r>
        <w:rPr>
          <w:rFonts w:hint="eastAsia" w:ascii="仿宋_GB2312" w:eastAsia="仿宋_GB2312"/>
          <w:color w:val="auto"/>
          <w:sz w:val="24"/>
          <w:szCs w:val="24"/>
          <w:highlight w:val="none"/>
          <w:lang w:val="en-US" w:eastAsia="zh-CN"/>
        </w:rPr>
        <w:t>2023</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lang w:val="en-US" w:eastAsia="zh-CN"/>
        </w:rPr>
        <w:t>8</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】日起，至【</w:t>
      </w:r>
      <w:r>
        <w:rPr>
          <w:rFonts w:hint="eastAsia" w:ascii="仿宋_GB2312" w:eastAsia="仿宋_GB2312"/>
          <w:color w:val="auto"/>
          <w:sz w:val="24"/>
          <w:szCs w:val="24"/>
          <w:highlight w:val="none"/>
          <w:lang w:val="en-US" w:eastAsia="zh-CN"/>
        </w:rPr>
        <w:t>2023</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lang w:val="en-US" w:eastAsia="zh-CN"/>
        </w:rPr>
        <w:t>11</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lang w:val="en-US" w:eastAsia="zh-CN"/>
        </w:rPr>
        <w:t>30</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日</w:t>
      </w:r>
      <w:r>
        <w:rPr>
          <w:rFonts w:ascii="仿宋_GB2312" w:eastAsia="仿宋_GB2312"/>
          <w:color w:val="auto"/>
          <w:sz w:val="24"/>
          <w:szCs w:val="24"/>
          <w:highlight w:val="none"/>
        </w:rPr>
        <w:t>止</w:t>
      </w:r>
      <w:r>
        <w:rPr>
          <w:rFonts w:hint="eastAsia" w:ascii="仿宋_GB2312" w:hAnsi="宋体" w:eastAsia="仿宋_GB2312" w:cs="宋体"/>
          <w:color w:val="auto"/>
          <w:sz w:val="24"/>
          <w:highlight w:val="none"/>
        </w:rPr>
        <w:t>。</w:t>
      </w:r>
    </w:p>
    <w:p>
      <w:pPr>
        <w:pStyle w:val="9"/>
        <w:ind w:firstLine="520"/>
        <w:rPr>
          <w:color w:val="auto"/>
          <w:highlight w:val="none"/>
        </w:rPr>
      </w:pPr>
      <w:r>
        <w:rPr>
          <w:rFonts w:hint="eastAsia"/>
          <w:color w:val="auto"/>
          <w:highlight w:val="none"/>
        </w:rPr>
        <w:t>三、服务费用</w:t>
      </w:r>
    </w:p>
    <w:p>
      <w:pPr>
        <w:spacing w:after="0" w:line="360" w:lineRule="auto"/>
        <w:ind w:firstLine="480" w:firstLineChars="200"/>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rPr>
        <w:t>乙方提供</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服务的总费用为人民币</w:t>
      </w:r>
      <w:r>
        <w:rPr>
          <w:rFonts w:hint="eastAsia" w:ascii="仿宋_GB2312" w:eastAsia="仿宋_GB2312"/>
          <w:color w:val="auto"/>
          <w:sz w:val="24"/>
          <w:szCs w:val="24"/>
          <w:highlight w:val="none"/>
        </w:rPr>
        <w:t>【    】元（大写：【    】元整）</w:t>
      </w:r>
      <w:r>
        <w:rPr>
          <w:rFonts w:hint="eastAsia" w:ascii="仿宋_GB2312" w:hAnsi="宋体" w:eastAsia="仿宋_GB2312" w:cs="宋体"/>
          <w:color w:val="auto"/>
          <w:sz w:val="24"/>
          <w:highlight w:val="none"/>
        </w:rPr>
        <w:t>。</w:t>
      </w:r>
      <w:r>
        <w:rPr>
          <w:rFonts w:hint="eastAsia" w:ascii="仿宋_GB2312" w:hAnsi="宋体" w:eastAsia="仿宋_GB2312" w:cs="宋体"/>
          <w:color w:val="auto"/>
          <w:sz w:val="24"/>
          <w:highlight w:val="none"/>
          <w:lang w:val="en-US" w:eastAsia="zh-CN"/>
        </w:rPr>
        <w:t>报价明细及单价详见附件。</w:t>
      </w:r>
    </w:p>
    <w:p>
      <w:pPr>
        <w:spacing w:after="0"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前款所述费用包括乙方提供</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服务的全部费用</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包括但不限于运输、搬运、搭建、组装、调试、后续拆除等费用</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人员（工资、加班费、奖金、津贴及《劳动合同法》各类社会保险、人员的交通费、食宿费、办公费等</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税金等为完成本项目各项服务可能发生的全部费用。</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租赁服务期结束，无任何服务质量和服务问题，经验收合格后，</w:t>
      </w:r>
      <w:r>
        <w:rPr>
          <w:rFonts w:hint="eastAsia" w:ascii="仿宋_GB2312" w:hAnsi="宋体" w:eastAsia="仿宋_GB2312" w:cs="宋体"/>
          <w:color w:val="auto"/>
          <w:sz w:val="24"/>
          <w:highlight w:val="none"/>
          <w:lang w:val="en-US" w:eastAsia="zh-CN"/>
        </w:rPr>
        <w:t>甲方</w:t>
      </w:r>
      <w:r>
        <w:rPr>
          <w:rFonts w:hint="eastAsia" w:ascii="仿宋_GB2312" w:hAnsi="宋体" w:eastAsia="仿宋_GB2312" w:cs="宋体"/>
          <w:color w:val="auto"/>
          <w:sz w:val="24"/>
          <w:highlight w:val="none"/>
        </w:rPr>
        <w:t>于收到</w:t>
      </w:r>
      <w:r>
        <w:rPr>
          <w:rFonts w:hint="eastAsia" w:ascii="仿宋_GB2312" w:hAnsi="宋体" w:eastAsia="仿宋_GB2312" w:cs="宋体"/>
          <w:color w:val="auto"/>
          <w:sz w:val="24"/>
          <w:highlight w:val="none"/>
          <w:lang w:val="en-US" w:eastAsia="zh-CN"/>
        </w:rPr>
        <w:t>乙方</w:t>
      </w:r>
      <w:r>
        <w:rPr>
          <w:rFonts w:hint="eastAsia" w:ascii="仿宋_GB2312" w:hAnsi="宋体" w:eastAsia="仿宋_GB2312" w:cs="宋体"/>
          <w:color w:val="auto"/>
          <w:sz w:val="24"/>
          <w:highlight w:val="none"/>
        </w:rPr>
        <w:t>退还履约保证金申请之日起5个工作日凭双方签字盖章的验收意见，原额（无息）归还履约保证金。除合同另有明文</w:t>
      </w:r>
      <w:r>
        <w:rPr>
          <w:rFonts w:ascii="仿宋_GB2312" w:hAnsi="宋体" w:eastAsia="仿宋_GB2312" w:cs="宋体"/>
          <w:color w:val="auto"/>
          <w:sz w:val="24"/>
          <w:highlight w:val="none"/>
        </w:rPr>
        <w:t>约定</w:t>
      </w:r>
      <w:r>
        <w:rPr>
          <w:rFonts w:hint="eastAsia" w:ascii="仿宋_GB2312" w:hAnsi="宋体" w:eastAsia="仿宋_GB2312" w:cs="宋体"/>
          <w:color w:val="auto"/>
          <w:sz w:val="24"/>
          <w:highlight w:val="none"/>
        </w:rPr>
        <w:t>外，甲方不再向乙方支付其他任何费用。</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本合同执行中相关的一切税费均由乙方承担。</w:t>
      </w:r>
    </w:p>
    <w:p>
      <w:pPr>
        <w:pStyle w:val="9"/>
        <w:ind w:firstLine="520"/>
        <w:rPr>
          <w:color w:val="auto"/>
          <w:highlight w:val="none"/>
        </w:rPr>
      </w:pPr>
      <w:r>
        <w:rPr>
          <w:rFonts w:hint="eastAsia"/>
          <w:color w:val="auto"/>
          <w:highlight w:val="none"/>
        </w:rPr>
        <w:t>四、服务方案及变更</w:t>
      </w:r>
    </w:p>
    <w:p>
      <w:pPr>
        <w:numPr>
          <w:ilvl w:val="0"/>
          <w:numId w:val="4"/>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乙方应当根据甲方的需求编制</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服务的服务方案并提交甲方书面确认。经甲方书面确认的服务方案是本协议的有效组成部分。乙方服务方案未经甲方书面确认的，乙方不得擅自实施，否则一切后果由乙方承担。</w:t>
      </w:r>
    </w:p>
    <w:p>
      <w:pPr>
        <w:numPr>
          <w:ilvl w:val="0"/>
          <w:numId w:val="4"/>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甲方有权根据实际情况对</w:t>
      </w:r>
      <w:r>
        <w:rPr>
          <w:rFonts w:hint="eastAsia" w:ascii="仿宋" w:hAnsi="仿宋" w:eastAsia="仿宋" w:cs="仿宋"/>
          <w:bCs/>
          <w:color w:val="auto"/>
          <w:highlight w:val="none"/>
        </w:rPr>
        <w:t>【</w:t>
      </w:r>
      <w:r>
        <w:rPr>
          <w:rFonts w:hint="eastAsia" w:ascii="仿宋_GB2312" w:hAnsi="宋体" w:eastAsia="仿宋_GB2312" w:cs="宋体"/>
          <w:bCs w:val="0"/>
          <w:color w:val="auto"/>
          <w:sz w:val="24"/>
          <w:highlight w:val="none"/>
          <w:lang w:eastAsia="zh-CN"/>
        </w:rPr>
        <w:t>智能交通设施</w:t>
      </w:r>
      <w:r>
        <w:rPr>
          <w:rFonts w:hint="eastAsia" w:ascii="仿宋" w:hAnsi="仿宋" w:eastAsia="仿宋" w:cs="仿宋"/>
          <w:bCs/>
          <w:color w:val="auto"/>
          <w:highlight w:val="none"/>
        </w:rPr>
        <w:t>】</w:t>
      </w:r>
      <w:r>
        <w:rPr>
          <w:rFonts w:hint="eastAsia" w:ascii="仿宋_GB2312" w:hAnsi="宋体" w:eastAsia="仿宋_GB2312" w:cs="宋体"/>
          <w:color w:val="auto"/>
          <w:sz w:val="24"/>
          <w:highlight w:val="none"/>
        </w:rPr>
        <w:t>服务的地点、具体要求、时间等予以变更，在不超过本协议约定服务内容的前提下，乙方应当无条件接受该变更，且不收取额外费用。甲方应当于变更前【</w:t>
      </w: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】日书面通知乙方。</w:t>
      </w:r>
    </w:p>
    <w:p>
      <w:pPr>
        <w:pStyle w:val="9"/>
        <w:ind w:firstLine="520"/>
        <w:rPr>
          <w:color w:val="auto"/>
          <w:highlight w:val="none"/>
        </w:rPr>
      </w:pPr>
      <w:r>
        <w:rPr>
          <w:rFonts w:hint="eastAsia"/>
          <w:color w:val="auto"/>
          <w:highlight w:val="none"/>
        </w:rPr>
        <w:t>五、甲方的权利与义务</w:t>
      </w:r>
    </w:p>
    <w:p>
      <w:pPr>
        <w:numPr>
          <w:ilvl w:val="0"/>
          <w:numId w:val="5"/>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甲方应当为乙方工作提供良好的外部条件，并按照合同约定支付款项。</w:t>
      </w:r>
    </w:p>
    <w:p>
      <w:pPr>
        <w:numPr>
          <w:ilvl w:val="0"/>
          <w:numId w:val="5"/>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甲方应当按双方约定的内容和时间，向乙方提供与项目有关的资料。</w:t>
      </w:r>
    </w:p>
    <w:p>
      <w:pPr>
        <w:numPr>
          <w:ilvl w:val="0"/>
          <w:numId w:val="5"/>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甲方应授权一名熟悉本项目情况的项目代表</w:t>
      </w:r>
      <w:r>
        <w:rPr>
          <w:rFonts w:ascii="仿宋_GB2312" w:hAnsi="宋体" w:eastAsia="仿宋_GB2312" w:cs="宋体"/>
          <w:color w:val="auto"/>
          <w:sz w:val="24"/>
          <w:highlight w:val="none"/>
        </w:rPr>
        <w:t>【  】</w:t>
      </w:r>
      <w:r>
        <w:rPr>
          <w:rFonts w:hint="eastAsia" w:ascii="仿宋_GB2312" w:hAnsi="宋体" w:eastAsia="仿宋_GB2312" w:cs="宋体"/>
          <w:color w:val="auto"/>
          <w:sz w:val="24"/>
          <w:highlight w:val="none"/>
        </w:rPr>
        <w:t>，负责与乙方联系。更换代表，要提前通知乙方。</w:t>
      </w:r>
    </w:p>
    <w:p>
      <w:pPr>
        <w:numPr>
          <w:ilvl w:val="0"/>
          <w:numId w:val="5"/>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甲方对乙方提供的服务方案具有审定权、修改权，并有权在不超过本协议约定服务内容的前提下要求乙方按甲方要求修改服务方案及内容。</w:t>
      </w:r>
    </w:p>
    <w:p>
      <w:pPr>
        <w:numPr>
          <w:ilvl w:val="0"/>
          <w:numId w:val="5"/>
        </w:numPr>
        <w:spacing w:after="0" w:line="360" w:lineRule="auto"/>
        <w:ind w:firstLine="480" w:firstLineChars="200"/>
        <w:rPr>
          <w:rFonts w:ascii="仿宋_GB2312" w:hAnsi="宋体" w:eastAsia="仿宋_GB2312" w:cs="宋体"/>
          <w:color w:val="auto"/>
          <w:sz w:val="24"/>
          <w:highlight w:val="none"/>
        </w:rPr>
      </w:pPr>
      <w:bookmarkStart w:id="399" w:name="OLE_LINK12"/>
      <w:r>
        <w:rPr>
          <w:rFonts w:hint="eastAsia" w:ascii="仿宋_GB2312" w:hAnsi="宋体" w:eastAsia="仿宋_GB2312" w:cs="宋体"/>
          <w:color w:val="auto"/>
          <w:sz w:val="24"/>
          <w:highlight w:val="none"/>
        </w:rPr>
        <w:t>甲方有权随时对乙方服务情况进行监督、检查。</w:t>
      </w:r>
    </w:p>
    <w:bookmarkEnd w:id="399"/>
    <w:p>
      <w:pPr>
        <w:pStyle w:val="9"/>
        <w:ind w:firstLine="520"/>
        <w:rPr>
          <w:color w:val="auto"/>
          <w:highlight w:val="none"/>
        </w:rPr>
      </w:pPr>
      <w:r>
        <w:rPr>
          <w:rFonts w:hint="eastAsia"/>
          <w:color w:val="auto"/>
          <w:highlight w:val="none"/>
        </w:rPr>
        <w:t>六、乙方的权利与义务</w:t>
      </w:r>
    </w:p>
    <w:p>
      <w:pPr>
        <w:numPr>
          <w:ilvl w:val="0"/>
          <w:numId w:val="6"/>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乙方应指派一名授权项目代表【  】，负责与甲方的联络。更换代表应至少提前两天书面通知甲方。</w:t>
      </w:r>
    </w:p>
    <w:p>
      <w:pPr>
        <w:numPr>
          <w:ilvl w:val="0"/>
          <w:numId w:val="6"/>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乙方向甲方委派项目组人员为</w:t>
      </w:r>
      <w:r>
        <w:rPr>
          <w:rFonts w:hint="eastAsia" w:ascii="仿宋_GB2312" w:hAnsi="宋体" w:eastAsia="仿宋_GB2312" w:cs="宋体"/>
          <w:color w:val="auto"/>
          <w:kern w:val="2"/>
          <w:sz w:val="24"/>
          <w:szCs w:val="24"/>
          <w:highlight w:val="none"/>
        </w:rPr>
        <w:t>：</w:t>
      </w:r>
      <w:r>
        <w:rPr>
          <w:rFonts w:hint="eastAsia" w:ascii="仿宋" w:hAnsi="仿宋" w:eastAsia="仿宋" w:cs="仿宋"/>
          <w:bCs/>
          <w:color w:val="auto"/>
          <w:sz w:val="24"/>
          <w:szCs w:val="24"/>
          <w:highlight w:val="none"/>
        </w:rPr>
        <w:t>【        】</w:t>
      </w:r>
      <w:r>
        <w:rPr>
          <w:rFonts w:hint="eastAsia" w:ascii="仿宋_GB2312" w:hAnsi="宋体" w:eastAsia="仿宋_GB2312" w:cs="宋体"/>
          <w:color w:val="auto"/>
          <w:sz w:val="24"/>
          <w:highlight w:val="none"/>
        </w:rPr>
        <w:t>，项目组人员应当固定，乙方保证项目组人员具备完成此次</w:t>
      </w:r>
      <w:r>
        <w:rPr>
          <w:rFonts w:ascii="仿宋_GB2312" w:hAnsi="宋体" w:eastAsia="仿宋_GB2312" w:cs="宋体"/>
          <w:color w:val="auto"/>
          <w:sz w:val="24"/>
          <w:highlight w:val="none"/>
        </w:rPr>
        <w:t>服务</w:t>
      </w:r>
      <w:r>
        <w:rPr>
          <w:rFonts w:hint="eastAsia" w:ascii="仿宋_GB2312" w:hAnsi="宋体" w:eastAsia="仿宋_GB2312" w:cs="宋体"/>
          <w:color w:val="auto"/>
          <w:sz w:val="24"/>
          <w:highlight w:val="none"/>
        </w:rPr>
        <w:t>的相关资质、经验、技术等条件，乙方更换人员必须经甲方书面同意，否则甲方有权解除合同。</w:t>
      </w:r>
    </w:p>
    <w:p>
      <w:pPr>
        <w:numPr>
          <w:ilvl w:val="0"/>
          <w:numId w:val="6"/>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乙方在履行本合同义务的期间，应运用合理的技能，认真、勤奋地工作，按照合同约定的内容及时间完成服务。</w:t>
      </w:r>
    </w:p>
    <w:p>
      <w:pPr>
        <w:numPr>
          <w:ilvl w:val="0"/>
          <w:numId w:val="6"/>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乙方须负责本合同服务所需的一切政府相关部门报批工作，承担全部费用，如有必要甲方应予以积极配合。</w:t>
      </w:r>
    </w:p>
    <w:p>
      <w:pPr>
        <w:numPr>
          <w:ilvl w:val="0"/>
          <w:numId w:val="6"/>
        </w:numPr>
        <w:spacing w:after="0" w:line="360" w:lineRule="auto"/>
        <w:ind w:firstLine="480" w:firstLineChars="200"/>
        <w:rPr>
          <w:rFonts w:ascii="仿宋_GB2312" w:hAnsi="宋体" w:eastAsia="仿宋_GB2312" w:cs="宋体"/>
          <w:b/>
          <w:color w:val="auto"/>
          <w:sz w:val="24"/>
          <w:highlight w:val="none"/>
        </w:rPr>
      </w:pPr>
      <w:r>
        <w:rPr>
          <w:rFonts w:hint="eastAsia" w:ascii="仿宋_GB2312" w:hAnsi="宋体" w:eastAsia="仿宋_GB2312" w:cs="宋体"/>
          <w:color w:val="auto"/>
          <w:sz w:val="24"/>
          <w:highlight w:val="none"/>
        </w:rPr>
        <w:t>乙方负责服务期间的安全工作，</w:t>
      </w:r>
      <w:r>
        <w:rPr>
          <w:rFonts w:hint="eastAsia" w:ascii="仿宋_GB2312" w:hAnsi="宋体" w:eastAsia="仿宋_GB2312" w:cs="宋体"/>
          <w:color w:val="auto"/>
          <w:sz w:val="24"/>
          <w:highlight w:val="none"/>
          <w:u w:val="single"/>
        </w:rPr>
        <w:t>应提出应急预案及安保方案（包括但不限于交通、火灾等），并在服务正式开始前【 】日交甲方备案；该方案由乙方执行，</w:t>
      </w:r>
      <w:r>
        <w:rPr>
          <w:rFonts w:hint="eastAsia" w:ascii="仿宋_GB2312" w:hAnsi="宋体" w:eastAsia="仿宋_GB2312" w:cs="宋体"/>
          <w:color w:val="auto"/>
          <w:sz w:val="24"/>
          <w:highlight w:val="none"/>
        </w:rPr>
        <w:t>如因乙方原因导致人身、财产损害或消防事故等，乙方应承担全部责任。</w:t>
      </w:r>
      <w:r>
        <w:rPr>
          <w:rFonts w:hint="eastAsia" w:ascii="仿宋_GB2312" w:hAnsi="宋体" w:eastAsia="仿宋_GB2312" w:cs="宋体"/>
          <w:b/>
          <w:color w:val="auto"/>
          <w:sz w:val="24"/>
          <w:highlight w:val="none"/>
        </w:rPr>
        <w:t>（注：请确认是否需要提交应急预案及安保方案，若无必要可删除本款下划线部分。）</w:t>
      </w:r>
    </w:p>
    <w:p>
      <w:pPr>
        <w:numPr>
          <w:ilvl w:val="0"/>
          <w:numId w:val="6"/>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乙方在工作准备及实施过程中，应接受甲方任何形式的了解、询问、检查，及时与甲方沟通工作完成情况。</w:t>
      </w:r>
    </w:p>
    <w:p>
      <w:pPr>
        <w:numPr>
          <w:ilvl w:val="255"/>
          <w:numId w:val="0"/>
        </w:numPr>
        <w:spacing w:after="0" w:line="360" w:lineRule="auto"/>
        <w:ind w:firstLine="480" w:firstLineChars="200"/>
        <w:rPr>
          <w:rFonts w:ascii="仿宋_GB2312" w:hAnsi="宋体" w:eastAsia="仿宋_GB2312" w:cs="宋体"/>
          <w:bCs/>
          <w:color w:val="auto"/>
          <w:sz w:val="24"/>
          <w:highlight w:val="none"/>
        </w:rPr>
      </w:pPr>
      <w:r>
        <w:rPr>
          <w:rFonts w:hint="eastAsia" w:ascii="仿宋_GB2312" w:hAnsi="宋体" w:eastAsia="仿宋_GB2312" w:cs="宋体"/>
          <w:bCs/>
          <w:color w:val="auto"/>
          <w:sz w:val="24"/>
          <w:highlight w:val="none"/>
        </w:rPr>
        <w:t>7. 乙方负责服务期间的疫情防控工作，应根据国家及地方防疫政策制定疫情防控工作方案，并在服务正式开始前【  】日提交甲方备案；该方案由乙方执行，活动举办地及其周边地区风险等级出现变化的，需对活动的疫情防控措施进行动态调整，如因疫情防控工作落实不到位导致人身、财产损害或造成社会不良影响等，乙方应承担全部责任。</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2" w:firstLineChars="200"/>
        <w:textAlignment w:val="auto"/>
        <w:rPr>
          <w:rFonts w:ascii="仿宋_GB2312" w:hAnsi="宋体" w:eastAsia="仿宋_GB2312" w:cs="宋体"/>
          <w:b/>
          <w:color w:val="auto"/>
          <w:sz w:val="24"/>
          <w:highlight w:val="none"/>
        </w:rPr>
      </w:pPr>
      <w:r>
        <w:rPr>
          <w:rFonts w:hint="eastAsia" w:ascii="仿宋_GB2312" w:hAnsi="宋体" w:eastAsia="仿宋_GB2312" w:cs="宋体"/>
          <w:b/>
          <w:color w:val="auto"/>
          <w:sz w:val="24"/>
          <w:highlight w:val="none"/>
          <w:lang w:val="en-US" w:eastAsia="zh-CN"/>
        </w:rPr>
        <w:t xml:space="preserve">8. </w:t>
      </w:r>
      <w:r>
        <w:rPr>
          <w:rFonts w:hint="eastAsia" w:ascii="仿宋_GB2312" w:hAnsi="宋体" w:eastAsia="仿宋_GB2312" w:cs="宋体"/>
          <w:b/>
          <w:color w:val="auto"/>
          <w:sz w:val="24"/>
          <w:highlight w:val="none"/>
        </w:rPr>
        <w:t>其它</w:t>
      </w:r>
      <w:r>
        <w:rPr>
          <w:rFonts w:hint="eastAsia" w:ascii="仿宋_GB2312" w:hAnsi="宋体" w:eastAsia="仿宋_GB2312" w:cs="宋体"/>
          <w:b/>
          <w:color w:val="auto"/>
          <w:kern w:val="2"/>
          <w:sz w:val="24"/>
          <w:szCs w:val="24"/>
          <w:highlight w:val="none"/>
        </w:rPr>
        <w:t>：（注：按双方协商内容在合同签署过程中补充填写。）</w:t>
      </w:r>
    </w:p>
    <w:p>
      <w:pPr>
        <w:pStyle w:val="9"/>
        <w:ind w:firstLine="520"/>
        <w:rPr>
          <w:color w:val="auto"/>
          <w:highlight w:val="none"/>
        </w:rPr>
      </w:pPr>
      <w:r>
        <w:rPr>
          <w:rFonts w:hint="eastAsia"/>
          <w:color w:val="auto"/>
          <w:highlight w:val="none"/>
        </w:rPr>
        <w:t>七、验收</w:t>
      </w:r>
    </w:p>
    <w:p>
      <w:pPr>
        <w:numPr>
          <w:ilvl w:val="0"/>
          <w:numId w:val="7"/>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验收</w:t>
      </w:r>
      <w:r>
        <w:rPr>
          <w:rFonts w:ascii="仿宋_GB2312" w:hAnsi="宋体" w:eastAsia="仿宋_GB2312" w:cs="宋体"/>
          <w:color w:val="auto"/>
          <w:sz w:val="24"/>
          <w:highlight w:val="none"/>
        </w:rPr>
        <w:t>标准</w:t>
      </w:r>
      <w:r>
        <w:rPr>
          <w:rFonts w:hint="eastAsia" w:ascii="仿宋_GB2312" w:hAnsi="宋体" w:eastAsia="仿宋_GB2312" w:cs="宋体"/>
          <w:color w:val="auto"/>
          <w:sz w:val="24"/>
          <w:highlight w:val="none"/>
          <w:lang w:eastAsia="zh-CN"/>
        </w:rPr>
        <w:t>：</w:t>
      </w:r>
    </w:p>
    <w:tbl>
      <w:tblPr>
        <w:tblStyle w:val="62"/>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70"/>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验收内容</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核对产品的型号、参数、数量等是否与合同及投标文件承诺相符，检查资料是否提供了所有产品产品拍照图片、说明书、产品合格证、质保承诺函。</w:t>
            </w:r>
            <w:r>
              <w:rPr>
                <w:rFonts w:hint="eastAsia" w:ascii="仿宋" w:hAnsi="仿宋" w:eastAsia="仿宋" w:cs="仿宋"/>
                <w:color w:val="auto"/>
                <w:sz w:val="24"/>
                <w:highlight w:val="none"/>
                <w:lang w:val="zh-CN"/>
              </w:rPr>
              <w:t>第三方检测机构出具的检测报告。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送货</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项目按送货要求完成供货、安装、调试、并在规定的时间内送达。</w:t>
            </w:r>
          </w:p>
        </w:tc>
      </w:tr>
    </w:tbl>
    <w:p>
      <w:pPr>
        <w:numPr>
          <w:ilvl w:val="0"/>
          <w:numId w:val="0"/>
        </w:numPr>
        <w:spacing w:after="0"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验收资料要求包括（不限于）以下内容：</w:t>
      </w:r>
    </w:p>
    <w:p>
      <w:pPr>
        <w:numPr>
          <w:ilvl w:val="0"/>
          <w:numId w:val="0"/>
        </w:numPr>
        <w:spacing w:after="0" w:line="360" w:lineRule="auto"/>
        <w:ind w:left="0" w:leftChars="0" w:firstLine="420" w:firstLineChars="175"/>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采购</w:t>
      </w:r>
      <w:r>
        <w:rPr>
          <w:rFonts w:hint="eastAsia" w:ascii="仿宋_GB2312" w:hAnsi="宋体" w:eastAsia="仿宋_GB2312" w:cs="宋体"/>
          <w:color w:val="auto"/>
          <w:sz w:val="24"/>
          <w:highlight w:val="none"/>
        </w:rPr>
        <w:t xml:space="preserve">文件 </w:t>
      </w:r>
    </w:p>
    <w:p>
      <w:pPr>
        <w:numPr>
          <w:ilvl w:val="0"/>
          <w:numId w:val="0"/>
        </w:numPr>
        <w:spacing w:after="0" w:line="360" w:lineRule="auto"/>
        <w:ind w:left="0" w:leftChars="0" w:firstLine="420" w:firstLineChars="175"/>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2）投标文件</w:t>
      </w:r>
    </w:p>
    <w:p>
      <w:pPr>
        <w:numPr>
          <w:ilvl w:val="0"/>
          <w:numId w:val="0"/>
        </w:numPr>
        <w:spacing w:after="0" w:line="360" w:lineRule="auto"/>
        <w:ind w:left="0" w:leftChars="0" w:firstLine="420" w:firstLineChars="175"/>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3）采购合同</w:t>
      </w:r>
    </w:p>
    <w:p>
      <w:pPr>
        <w:numPr>
          <w:ilvl w:val="0"/>
          <w:numId w:val="0"/>
        </w:numPr>
        <w:spacing w:after="0" w:line="360" w:lineRule="auto"/>
        <w:ind w:left="0" w:leftChars="0" w:firstLine="420" w:firstLineChars="175"/>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4）到货核验清单（经采购经办人、复核人、供应商三方签字盖章）</w:t>
      </w:r>
    </w:p>
    <w:p>
      <w:pPr>
        <w:numPr>
          <w:ilvl w:val="0"/>
          <w:numId w:val="0"/>
        </w:numPr>
        <w:spacing w:after="0" w:line="360" w:lineRule="auto"/>
        <w:ind w:left="0" w:leftChars="0" w:firstLine="420" w:firstLineChars="175"/>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5）产品拍照图片、产品说明书、产品合格证、质保承诺函。</w:t>
      </w:r>
    </w:p>
    <w:p>
      <w:pPr>
        <w:numPr>
          <w:ilvl w:val="0"/>
          <w:numId w:val="0"/>
        </w:numPr>
        <w:spacing w:after="0" w:line="360" w:lineRule="auto"/>
        <w:ind w:left="0" w:leftChars="0" w:firstLine="420" w:firstLineChars="175"/>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w:t>
      </w:r>
      <w:r>
        <w:rPr>
          <w:rFonts w:hint="eastAsia" w:ascii="仿宋_GB2312" w:hAnsi="宋体" w:eastAsia="仿宋_GB2312" w:cs="宋体"/>
          <w:color w:val="auto"/>
          <w:sz w:val="24"/>
          <w:highlight w:val="none"/>
          <w:lang w:val="en-US" w:eastAsia="zh-CN"/>
        </w:rPr>
        <w:t>安全性(接地)检测报告、</w:t>
      </w:r>
      <w:r>
        <w:rPr>
          <w:rFonts w:hint="eastAsia" w:ascii="仿宋_GB2312" w:hAnsi="宋体" w:eastAsia="仿宋_GB2312" w:cs="宋体"/>
          <w:color w:val="auto"/>
          <w:sz w:val="24"/>
          <w:highlight w:val="none"/>
          <w:lang w:val="zh-CN"/>
        </w:rPr>
        <w:t>第三方检测机构出具的检测报告</w:t>
      </w:r>
    </w:p>
    <w:p>
      <w:pPr>
        <w:numPr>
          <w:ilvl w:val="0"/>
          <w:numId w:val="0"/>
        </w:numPr>
        <w:spacing w:after="0" w:line="360" w:lineRule="auto"/>
        <w:ind w:left="0" w:leftChars="0" w:firstLine="420" w:firstLineChars="175"/>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rPr>
        <w:t>人员清单、人员社保缴纳证明、人员变更审批表（如有）；</w:t>
      </w:r>
    </w:p>
    <w:p>
      <w:pPr>
        <w:numPr>
          <w:ilvl w:val="0"/>
          <w:numId w:val="0"/>
        </w:numPr>
        <w:spacing w:after="0" w:line="360" w:lineRule="auto"/>
        <w:ind w:left="0" w:leftChars="0" w:firstLine="420" w:firstLineChars="175"/>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rPr>
        <w:t>）其他需提供的相关材料。</w:t>
      </w:r>
    </w:p>
    <w:p>
      <w:pPr>
        <w:numPr>
          <w:ilvl w:val="0"/>
          <w:numId w:val="7"/>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乙方服务完成后（或按照付款进度安排验收时间），须向甲方发出验收申请，申请包括书面验收申请、相关说明、报告等，甲方收到乙方申请后组织进行验收。该验收的结果为本合同付款依据。</w:t>
      </w:r>
    </w:p>
    <w:p>
      <w:pPr>
        <w:numPr>
          <w:ilvl w:val="0"/>
          <w:numId w:val="7"/>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本</w:t>
      </w:r>
      <w:r>
        <w:rPr>
          <w:rFonts w:ascii="仿宋_GB2312" w:hAnsi="宋体" w:eastAsia="仿宋_GB2312" w:cs="宋体"/>
          <w:color w:val="auto"/>
          <w:sz w:val="24"/>
          <w:highlight w:val="none"/>
        </w:rPr>
        <w:t>合同</w:t>
      </w:r>
      <w:r>
        <w:rPr>
          <w:rFonts w:hint="eastAsia" w:ascii="仿宋_GB2312" w:hAnsi="宋体" w:eastAsia="仿宋_GB2312" w:cs="宋体"/>
          <w:color w:val="auto"/>
          <w:sz w:val="24"/>
          <w:highlight w:val="none"/>
        </w:rPr>
        <w:t>第十五条相应的违约责任。</w:t>
      </w:r>
    </w:p>
    <w:p>
      <w:pPr>
        <w:numPr>
          <w:ilvl w:val="0"/>
          <w:numId w:val="7"/>
        </w:numPr>
        <w:spacing w:after="0" w:line="360" w:lineRule="auto"/>
        <w:ind w:firstLine="48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服务成果未通过甲方验收，甲方有权要求乙方进行整改，相关费用（包括但不限于重新组织验收等费用）由乙方承担；如乙方未在甲方要求期限内整改完成或整改后仍不合格或已经无法整改的，甲方有权要求乙方承担本</w:t>
      </w:r>
      <w:r>
        <w:rPr>
          <w:rFonts w:ascii="仿宋_GB2312" w:hAnsi="宋体" w:eastAsia="仿宋_GB2312" w:cs="宋体"/>
          <w:color w:val="auto"/>
          <w:sz w:val="24"/>
          <w:highlight w:val="none"/>
        </w:rPr>
        <w:t>合同</w:t>
      </w:r>
      <w:r>
        <w:rPr>
          <w:rFonts w:hint="eastAsia" w:ascii="仿宋_GB2312" w:hAnsi="宋体" w:eastAsia="仿宋_GB2312" w:cs="宋体"/>
          <w:color w:val="auto"/>
          <w:sz w:val="24"/>
          <w:highlight w:val="none"/>
        </w:rPr>
        <w:t>第十五条相应的违约责任。</w:t>
      </w:r>
    </w:p>
    <w:p>
      <w:pPr>
        <w:pStyle w:val="9"/>
        <w:ind w:firstLine="520"/>
        <w:rPr>
          <w:color w:val="auto"/>
          <w:highlight w:val="none"/>
        </w:rPr>
      </w:pPr>
      <w:r>
        <w:rPr>
          <w:rFonts w:hint="eastAsia"/>
          <w:color w:val="auto"/>
          <w:highlight w:val="none"/>
        </w:rPr>
        <w:t>八、付款时间及方式</w:t>
      </w:r>
    </w:p>
    <w:p>
      <w:pPr>
        <w:numPr>
          <w:ilvl w:val="0"/>
          <w:numId w:val="8"/>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甲方按照以下时间向乙方支付服务费用：</w:t>
      </w:r>
      <w:r>
        <w:rPr>
          <w:rFonts w:hint="eastAsia" w:ascii="仿宋_GB2312" w:hAnsi="宋体" w:eastAsia="仿宋_GB2312" w:cs="宋体"/>
          <w:b/>
          <w:color w:val="auto"/>
          <w:sz w:val="24"/>
          <w:highlight w:val="none"/>
        </w:rPr>
        <w:t>（注：根据双方实际协商结果修改。</w:t>
      </w:r>
      <w:r>
        <w:rPr>
          <w:rFonts w:ascii="仿宋_GB2312" w:hAnsi="宋体" w:eastAsia="仿宋_GB2312" w:cs="宋体"/>
          <w:b/>
          <w:color w:val="auto"/>
          <w:sz w:val="24"/>
          <w:highlight w:val="none"/>
        </w:rPr>
        <w:t>若分多期付款则增加相应的付款条款约定</w:t>
      </w:r>
      <w:r>
        <w:rPr>
          <w:rFonts w:hint="eastAsia" w:ascii="仿宋_GB2312" w:hAnsi="宋体" w:eastAsia="仿宋_GB2312" w:cs="宋体"/>
          <w:b/>
          <w:color w:val="auto"/>
          <w:sz w:val="24"/>
          <w:highlight w:val="none"/>
        </w:rPr>
        <w:t>）</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1.1合同生效后</w:t>
      </w:r>
      <w:bookmarkStart w:id="400" w:name="_Hlk9796201"/>
      <w:r>
        <w:rPr>
          <w:rFonts w:hint="eastAsia" w:ascii="仿宋_GB2312" w:hAnsi="宋体" w:eastAsia="仿宋_GB2312" w:cs="宋体"/>
          <w:color w:val="auto"/>
          <w:sz w:val="24"/>
          <w:highlight w:val="none"/>
        </w:rPr>
        <w:t>且甲方完成财政资金审批手续后</w:t>
      </w:r>
      <w:r>
        <w:rPr>
          <w:rFonts w:hint="eastAsia" w:ascii="仿宋_GB2312" w:hAnsi="宋体" w:eastAsia="仿宋_GB2312" w:cs="宋体"/>
          <w:color w:val="auto"/>
          <w:sz w:val="24"/>
          <w:szCs w:val="24"/>
          <w:highlight w:val="none"/>
        </w:rPr>
        <w:t>【</w:t>
      </w:r>
      <w:r>
        <w:rPr>
          <w:rFonts w:hint="eastAsia" w:ascii="仿宋_GB2312" w:hAnsi="宋体" w:eastAsia="仿宋_GB2312" w:cs="宋体"/>
          <w:color w:val="auto"/>
          <w:sz w:val="24"/>
          <w:szCs w:val="24"/>
          <w:highlight w:val="none"/>
          <w:lang w:val="en-US" w:eastAsia="zh-CN"/>
        </w:rPr>
        <w:t>5</w:t>
      </w:r>
      <w:r>
        <w:rPr>
          <w:rFonts w:hint="eastAsia" w:ascii="仿宋_GB2312" w:hAnsi="宋体" w:eastAsia="仿宋_GB2312" w:cs="宋体"/>
          <w:color w:val="auto"/>
          <w:sz w:val="24"/>
          <w:szCs w:val="24"/>
          <w:highlight w:val="none"/>
        </w:rPr>
        <w:t>】</w:t>
      </w:r>
      <w:r>
        <w:rPr>
          <w:rFonts w:hint="eastAsia" w:ascii="仿宋_GB2312" w:hAnsi="宋体" w:eastAsia="仿宋_GB2312" w:cs="宋体"/>
          <w:color w:val="auto"/>
          <w:sz w:val="24"/>
          <w:highlight w:val="none"/>
        </w:rPr>
        <w:t>日内</w:t>
      </w:r>
      <w:bookmarkEnd w:id="400"/>
      <w:r>
        <w:rPr>
          <w:rFonts w:hint="eastAsia" w:ascii="仿宋_GB2312" w:hAnsi="宋体" w:eastAsia="仿宋_GB2312" w:cs="宋体"/>
          <w:color w:val="auto"/>
          <w:sz w:val="24"/>
          <w:highlight w:val="none"/>
        </w:rPr>
        <w:t>，支付合同总价款的</w:t>
      </w:r>
      <w:r>
        <w:rPr>
          <w:rFonts w:hint="eastAsia" w:ascii="仿宋_GB2312" w:hAnsi="宋体" w:eastAsia="仿宋_GB2312" w:cs="宋体"/>
          <w:color w:val="auto"/>
          <w:sz w:val="24"/>
          <w:szCs w:val="24"/>
          <w:highlight w:val="none"/>
        </w:rPr>
        <w:t>【</w:t>
      </w:r>
      <w:r>
        <w:rPr>
          <w:rFonts w:hint="eastAsia" w:ascii="仿宋_GB2312" w:hAnsi="宋体" w:eastAsia="仿宋_GB2312" w:cs="宋体"/>
          <w:color w:val="auto"/>
          <w:sz w:val="24"/>
          <w:szCs w:val="24"/>
          <w:highlight w:val="none"/>
          <w:lang w:val="en-US" w:eastAsia="zh-CN"/>
        </w:rPr>
        <w:t>40</w:t>
      </w:r>
      <w:r>
        <w:rPr>
          <w:rFonts w:hint="eastAsia" w:ascii="仿宋_GB2312" w:eastAsia="仿宋_GB2312"/>
          <w:color w:val="auto"/>
          <w:sz w:val="24"/>
          <w:szCs w:val="24"/>
          <w:highlight w:val="none"/>
        </w:rPr>
        <w:t>%】</w:t>
      </w:r>
      <w:r>
        <w:rPr>
          <w:rFonts w:hint="eastAsia" w:ascii="仿宋_GB2312" w:hAnsi="宋体" w:eastAsia="仿宋_GB2312" w:cs="宋体"/>
          <w:color w:val="auto"/>
          <w:sz w:val="24"/>
          <w:highlight w:val="none"/>
        </w:rPr>
        <w:t>，即</w:t>
      </w:r>
      <w:r>
        <w:rPr>
          <w:rFonts w:hint="eastAsia" w:ascii="仿宋_GB2312" w:eastAsia="仿宋_GB2312"/>
          <w:color w:val="auto"/>
          <w:sz w:val="24"/>
          <w:szCs w:val="24"/>
          <w:highlight w:val="none"/>
        </w:rPr>
        <w:t>【    】元（大写：【    】元整）</w:t>
      </w:r>
      <w:r>
        <w:rPr>
          <w:rFonts w:hint="eastAsia" w:ascii="仿宋_GB2312" w:hAnsi="宋体" w:eastAsia="仿宋_GB2312" w:cs="宋体"/>
          <w:color w:val="auto"/>
          <w:sz w:val="24"/>
          <w:highlight w:val="none"/>
        </w:rPr>
        <w:t>；</w:t>
      </w:r>
    </w:p>
    <w:p>
      <w:pPr>
        <w:spacing w:after="0" w:line="360" w:lineRule="auto"/>
        <w:ind w:firstLine="480" w:firstLineChars="200"/>
        <w:rPr>
          <w:rFonts w:ascii="仿宋_GB2312" w:eastAsia="仿宋_GB2312"/>
          <w:color w:val="auto"/>
          <w:sz w:val="24"/>
          <w:szCs w:val="24"/>
          <w:highlight w:val="none"/>
        </w:rPr>
      </w:pPr>
      <w:r>
        <w:rPr>
          <w:rFonts w:hint="eastAsia" w:ascii="仿宋_GB2312" w:hAnsi="宋体" w:eastAsia="仿宋_GB2312" w:cs="宋体"/>
          <w:color w:val="auto"/>
          <w:sz w:val="24"/>
          <w:highlight w:val="none"/>
        </w:rPr>
        <w:t>1.2乙方服务经甲方验收合格，服务期满后且甲方完成财政资金审批手续后</w:t>
      </w:r>
      <w:r>
        <w:rPr>
          <w:rFonts w:hint="eastAsia" w:ascii="仿宋_GB2312" w:hAnsi="宋体" w:eastAsia="仿宋_GB2312" w:cs="宋体"/>
          <w:color w:val="auto"/>
          <w:sz w:val="24"/>
          <w:szCs w:val="24"/>
          <w:highlight w:val="none"/>
        </w:rPr>
        <w:t>【</w:t>
      </w:r>
      <w:r>
        <w:rPr>
          <w:rFonts w:hint="eastAsia" w:ascii="仿宋_GB2312" w:hAnsi="宋体" w:eastAsia="仿宋_GB2312" w:cs="宋体"/>
          <w:color w:val="auto"/>
          <w:sz w:val="24"/>
          <w:szCs w:val="24"/>
          <w:highlight w:val="none"/>
          <w:lang w:val="en-US" w:eastAsia="zh-CN"/>
        </w:rPr>
        <w:t>5</w:t>
      </w:r>
      <w:r>
        <w:rPr>
          <w:rFonts w:hint="eastAsia" w:ascii="仿宋_GB2312" w:hAnsi="宋体" w:eastAsia="仿宋_GB2312" w:cs="宋体"/>
          <w:color w:val="auto"/>
          <w:sz w:val="24"/>
          <w:szCs w:val="24"/>
          <w:highlight w:val="none"/>
        </w:rPr>
        <w:t>】</w:t>
      </w:r>
      <w:r>
        <w:rPr>
          <w:rFonts w:hint="eastAsia" w:ascii="仿宋_GB2312" w:hAnsi="宋体" w:eastAsia="仿宋_GB2312" w:cs="宋体"/>
          <w:color w:val="auto"/>
          <w:sz w:val="24"/>
          <w:highlight w:val="none"/>
        </w:rPr>
        <w:t>日内，</w:t>
      </w:r>
      <w:r>
        <w:rPr>
          <w:rFonts w:ascii="宋体" w:hAnsi="宋体" w:eastAsia="宋体" w:cs="宋体"/>
          <w:color w:val="auto"/>
          <w:sz w:val="24"/>
          <w:szCs w:val="24"/>
          <w:highlight w:val="none"/>
        </w:rPr>
        <w:t>根据合同单价结合实际租赁数量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天数</w:t>
      </w:r>
      <w:r>
        <w:rPr>
          <w:rFonts w:ascii="宋体" w:hAnsi="宋体" w:eastAsia="宋体" w:cs="宋体"/>
          <w:color w:val="auto"/>
          <w:sz w:val="24"/>
          <w:szCs w:val="24"/>
          <w:highlight w:val="none"/>
        </w:rPr>
        <w:t>进行尾款结算,但尾款结算金额不超过</w:t>
      </w:r>
      <w:r>
        <w:rPr>
          <w:rFonts w:hint="eastAsia" w:ascii="仿宋_GB2312" w:hAnsi="宋体" w:eastAsia="仿宋_GB2312" w:cs="宋体"/>
          <w:color w:val="auto"/>
          <w:sz w:val="24"/>
          <w:highlight w:val="none"/>
        </w:rPr>
        <w:t>合同总价款的</w:t>
      </w:r>
      <w:r>
        <w:rPr>
          <w:rFonts w:hint="eastAsia" w:ascii="仿宋_GB2312" w:hAnsi="宋体" w:eastAsia="仿宋_GB2312" w:cs="宋体"/>
          <w:color w:val="auto"/>
          <w:sz w:val="24"/>
          <w:szCs w:val="24"/>
          <w:highlight w:val="none"/>
        </w:rPr>
        <w:t>【</w:t>
      </w:r>
      <w:r>
        <w:rPr>
          <w:rFonts w:hint="eastAsia" w:ascii="仿宋_GB2312" w:hAnsi="宋体" w:eastAsia="仿宋_GB2312" w:cs="宋体"/>
          <w:color w:val="auto"/>
          <w:sz w:val="24"/>
          <w:szCs w:val="24"/>
          <w:highlight w:val="none"/>
          <w:lang w:val="en-US" w:eastAsia="zh-CN"/>
        </w:rPr>
        <w:t>60</w:t>
      </w:r>
      <w:r>
        <w:rPr>
          <w:rFonts w:hint="eastAsia" w:ascii="仿宋_GB2312" w:eastAsia="仿宋_GB2312"/>
          <w:color w:val="auto"/>
          <w:sz w:val="24"/>
          <w:szCs w:val="24"/>
          <w:highlight w:val="none"/>
        </w:rPr>
        <w:t>%】</w:t>
      </w:r>
      <w:r>
        <w:rPr>
          <w:rFonts w:hint="eastAsia" w:ascii="仿宋_GB2312" w:hAnsi="宋体" w:eastAsia="仿宋_GB2312" w:cs="宋体"/>
          <w:color w:val="auto"/>
          <w:sz w:val="24"/>
          <w:highlight w:val="none"/>
        </w:rPr>
        <w:t>，即</w:t>
      </w:r>
      <w:r>
        <w:rPr>
          <w:rFonts w:hint="eastAsia" w:ascii="仿宋_GB2312" w:eastAsia="仿宋_GB2312"/>
          <w:color w:val="auto"/>
          <w:sz w:val="24"/>
          <w:szCs w:val="24"/>
          <w:highlight w:val="none"/>
        </w:rPr>
        <w:t>【    】元（大写：【    】元整）</w:t>
      </w:r>
      <w:r>
        <w:rPr>
          <w:rFonts w:ascii="仿宋_GB2312" w:eastAsia="仿宋_GB2312"/>
          <w:color w:val="auto"/>
          <w:sz w:val="24"/>
          <w:szCs w:val="24"/>
          <w:highlight w:val="none"/>
        </w:rPr>
        <w:t>；</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szCs w:val="24"/>
          <w:highlight w:val="none"/>
        </w:rPr>
        <w:t>1</w:t>
      </w:r>
      <w:r>
        <w:rPr>
          <w:rFonts w:ascii="仿宋_GB2312" w:eastAsia="仿宋_GB2312"/>
          <w:bCs/>
          <w:color w:val="auto"/>
          <w:sz w:val="24"/>
          <w:highlight w:val="none"/>
        </w:rPr>
        <w:t>.3</w:t>
      </w:r>
      <w:r>
        <w:rPr>
          <w:rFonts w:hint="eastAsia" w:ascii="仿宋_GB2312" w:eastAsia="仿宋_GB2312"/>
          <w:bCs/>
          <w:color w:val="auto"/>
          <w:sz w:val="24"/>
          <w:highlight w:val="none"/>
        </w:rPr>
        <w:t>合同生效后【</w:t>
      </w:r>
      <w:r>
        <w:rPr>
          <w:rFonts w:hint="eastAsia" w:ascii="仿宋_GB2312" w:eastAsia="仿宋_GB2312"/>
          <w:bCs/>
          <w:color w:val="auto"/>
          <w:sz w:val="24"/>
          <w:highlight w:val="none"/>
          <w:lang w:val="en-US" w:eastAsia="zh-CN"/>
        </w:rPr>
        <w:t>5</w:t>
      </w:r>
      <w:r>
        <w:rPr>
          <w:rFonts w:hint="eastAsia" w:ascii="仿宋_GB2312" w:eastAsia="仿宋_GB2312"/>
          <w:bCs/>
          <w:color w:val="auto"/>
          <w:sz w:val="24"/>
          <w:highlight w:val="none"/>
        </w:rPr>
        <w:t>】日内乙方应向甲方提交合同总金额百分之【</w:t>
      </w:r>
      <w:r>
        <w:rPr>
          <w:rFonts w:hint="eastAsia" w:ascii="仿宋_GB2312" w:eastAsia="仿宋_GB2312"/>
          <w:bCs/>
          <w:color w:val="auto"/>
          <w:sz w:val="24"/>
          <w:highlight w:val="none"/>
          <w:lang w:val="en-US" w:eastAsia="zh-CN"/>
        </w:rPr>
        <w:t>壹</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1</w:t>
      </w:r>
      <w:r>
        <w:rPr>
          <w:rFonts w:hint="eastAsia" w:ascii="仿宋_GB2312" w:eastAsia="仿宋_GB2312"/>
          <w:bCs/>
          <w:color w:val="auto"/>
          <w:sz w:val="24"/>
          <w:highlight w:val="none"/>
        </w:rPr>
        <w:t>】%）的履约保证金，乙方自主选择以支票、汇票、本票或者金融机构、担保机构出具的保函等非现金形式提交或缴纳保证金，每逾期一日，乙方应向甲方支付合同总金额千分之一（1‰）的违约金。履约保证金在合同履行完毕且确认乙方无违约行为后由甲方在【</w:t>
      </w:r>
      <w:r>
        <w:rPr>
          <w:rFonts w:hint="eastAsia" w:ascii="仿宋_GB2312" w:eastAsia="仿宋_GB2312"/>
          <w:bCs/>
          <w:color w:val="auto"/>
          <w:sz w:val="24"/>
          <w:highlight w:val="none"/>
          <w:lang w:val="en-US" w:eastAsia="zh-CN"/>
        </w:rPr>
        <w:t>5</w:t>
      </w:r>
      <w:r>
        <w:rPr>
          <w:rFonts w:hint="eastAsia" w:ascii="仿宋_GB2312" w:eastAsia="仿宋_GB2312"/>
          <w:bCs/>
          <w:color w:val="auto"/>
          <w:sz w:val="24"/>
          <w:highlight w:val="none"/>
        </w:rPr>
        <w:t>】个工作日内无息退回乙方。</w:t>
      </w:r>
      <w:r>
        <w:rPr>
          <w:rFonts w:hint="eastAsia" w:ascii="仿宋_GB2312" w:eastAsia="仿宋_GB2312"/>
          <w:b/>
          <w:bCs/>
          <w:color w:val="auto"/>
          <w:sz w:val="24"/>
          <w:highlight w:val="none"/>
        </w:rPr>
        <w:t>（注：投标人履约验收评价总分为100分的，采购人应当免收履约保证金；评价总分在100分以下或者暂无评分的，收取履约保证金为合同总价1%）</w:t>
      </w:r>
    </w:p>
    <w:p>
      <w:pPr>
        <w:numPr>
          <w:ilvl w:val="0"/>
          <w:numId w:val="8"/>
        </w:numPr>
        <w:spacing w:after="0" w:line="360" w:lineRule="auto"/>
        <w:ind w:firstLine="480" w:firstLineChars="200"/>
        <w:rPr>
          <w:rFonts w:ascii="仿宋_GB2312" w:hAnsi="宋体" w:eastAsia="仿宋_GB2312" w:cs="宋体"/>
          <w:color w:val="auto"/>
          <w:sz w:val="24"/>
          <w:highlight w:val="none"/>
        </w:rPr>
      </w:pPr>
      <w:bookmarkStart w:id="401" w:name="_Hlk9796315"/>
      <w:bookmarkStart w:id="402" w:name="_Hlk9791897"/>
      <w:r>
        <w:rPr>
          <w:rFonts w:hint="eastAsia" w:ascii="仿宋_GB2312" w:hAnsi="宋体" w:eastAsia="仿宋_GB2312" w:cs="宋体"/>
          <w:color w:val="auto"/>
          <w:sz w:val="24"/>
          <w:highlight w:val="none"/>
        </w:rPr>
        <w:t>甲方付款前，乙方须提供正规合法的等额发票，否则甲方有权拒绝付款，且不因此承担任何违约责任</w:t>
      </w:r>
      <w:bookmarkEnd w:id="401"/>
      <w:r>
        <w:rPr>
          <w:rFonts w:hint="eastAsia" w:ascii="仿宋_GB2312" w:hAnsi="宋体" w:eastAsia="仿宋_GB2312" w:cs="宋体"/>
          <w:color w:val="auto"/>
          <w:sz w:val="24"/>
          <w:highlight w:val="none"/>
        </w:rPr>
        <w:t>。</w:t>
      </w:r>
    </w:p>
    <w:bookmarkEnd w:id="402"/>
    <w:p>
      <w:pPr>
        <w:numPr>
          <w:ilvl w:val="0"/>
          <w:numId w:val="8"/>
        </w:numPr>
        <w:spacing w:after="0" w:line="360" w:lineRule="auto"/>
        <w:ind w:firstLine="480" w:firstLineChars="200"/>
        <w:rPr>
          <w:rFonts w:ascii="仿宋_GB2312" w:hAnsi="宋体" w:eastAsia="仿宋_GB2312" w:cs="宋体"/>
          <w:color w:val="auto"/>
          <w:sz w:val="24"/>
          <w:highlight w:val="none"/>
        </w:rPr>
      </w:pPr>
      <w:bookmarkStart w:id="403" w:name="_Hlk9781773"/>
      <w:r>
        <w:rPr>
          <w:rFonts w:hint="eastAsia" w:ascii="仿宋_GB2312" w:eastAsia="仿宋_GB2312"/>
          <w:bCs/>
          <w:color w:val="auto"/>
          <w:sz w:val="24"/>
          <w:highlight w:val="none"/>
        </w:rPr>
        <w:t>付款方式为【银行转账】，乙方银行账户信息：</w:t>
      </w:r>
    </w:p>
    <w:bookmarkEnd w:id="403"/>
    <w:p>
      <w:pPr>
        <w:tabs>
          <w:tab w:val="left" w:pos="315"/>
        </w:tabs>
        <w:spacing w:after="0" w:line="360" w:lineRule="auto"/>
        <w:ind w:left="480"/>
        <w:rPr>
          <w:rFonts w:ascii="仿宋_GB2312" w:eastAsia="仿宋_GB2312"/>
          <w:bCs/>
          <w:color w:val="auto"/>
          <w:sz w:val="24"/>
          <w:highlight w:val="none"/>
        </w:rPr>
      </w:pPr>
      <w:r>
        <w:rPr>
          <w:rFonts w:hint="eastAsia" w:ascii="仿宋_GB2312" w:eastAsia="仿宋_GB2312"/>
          <w:bCs/>
          <w:color w:val="auto"/>
          <w:sz w:val="24"/>
          <w:highlight w:val="none"/>
        </w:rPr>
        <w:t>开户银行：</w:t>
      </w:r>
    </w:p>
    <w:p>
      <w:pPr>
        <w:tabs>
          <w:tab w:val="left" w:pos="315"/>
        </w:tabs>
        <w:spacing w:after="0" w:line="360" w:lineRule="auto"/>
        <w:ind w:left="480"/>
        <w:rPr>
          <w:rFonts w:ascii="仿宋_GB2312" w:eastAsia="仿宋_GB2312"/>
          <w:bCs/>
          <w:color w:val="auto"/>
          <w:sz w:val="24"/>
          <w:highlight w:val="none"/>
        </w:rPr>
      </w:pPr>
      <w:r>
        <w:rPr>
          <w:rFonts w:hint="eastAsia" w:ascii="仿宋_GB2312" w:eastAsia="仿宋_GB2312"/>
          <w:bCs/>
          <w:color w:val="auto"/>
          <w:sz w:val="24"/>
          <w:highlight w:val="none"/>
        </w:rPr>
        <w:t>开 户 名：</w:t>
      </w:r>
    </w:p>
    <w:p>
      <w:pPr>
        <w:tabs>
          <w:tab w:val="left" w:pos="315"/>
        </w:tabs>
        <w:spacing w:after="0" w:line="360" w:lineRule="auto"/>
        <w:ind w:left="480"/>
        <w:rPr>
          <w:rFonts w:ascii="仿宋_GB2312" w:eastAsia="仿宋_GB2312"/>
          <w:bCs/>
          <w:color w:val="auto"/>
          <w:sz w:val="24"/>
          <w:highlight w:val="none"/>
        </w:rPr>
      </w:pPr>
      <w:r>
        <w:rPr>
          <w:rFonts w:hint="eastAsia" w:ascii="仿宋_GB2312" w:eastAsia="仿宋_GB2312"/>
          <w:bCs/>
          <w:color w:val="auto"/>
          <w:sz w:val="24"/>
          <w:highlight w:val="none"/>
        </w:rPr>
        <w:t>账    号：</w:t>
      </w:r>
    </w:p>
    <w:p>
      <w:pPr>
        <w:pStyle w:val="9"/>
        <w:ind w:firstLine="520"/>
        <w:rPr>
          <w:color w:val="auto"/>
          <w:highlight w:val="none"/>
        </w:rPr>
      </w:pPr>
      <w:r>
        <w:rPr>
          <w:rFonts w:hint="eastAsia"/>
          <w:color w:val="auto"/>
          <w:highlight w:val="none"/>
        </w:rPr>
        <w:t>九、可持续发展</w:t>
      </w:r>
    </w:p>
    <w:p>
      <w:pPr>
        <w:numPr>
          <w:ilvl w:val="0"/>
          <w:numId w:val="9"/>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认可可持续发展是规划和筹办亚运会的关键因素，也认可甲方对该等事项的高度重视。乙方应将可持续发展作为其核心理念和基础性原则，乙方行使权利或获取利益应遵守甲方制定的可持续采购指南及其他类似文件。</w:t>
      </w:r>
    </w:p>
    <w:p>
      <w:pPr>
        <w:numPr>
          <w:ilvl w:val="0"/>
          <w:numId w:val="9"/>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乙方应确保其依据本合同提供的产品/服务符合甲方可持续发展相关政策与指南，并与甲方紧密合作，确保甲方实现亚运会关于可持续发展的目标。</w:t>
      </w:r>
    </w:p>
    <w:p>
      <w:pPr>
        <w:numPr>
          <w:ilvl w:val="0"/>
          <w:numId w:val="9"/>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乙方承诺将在履行本合同过程中降低资源和能源消耗，减少污染，保护自然生态，促进环境友好；保障劳动者权益、不得强制劳动，不得贪污贿赂/商业贿赂，保护公平竞争，促进社会和谐。</w:t>
      </w:r>
    </w:p>
    <w:p>
      <w:pPr>
        <w:pStyle w:val="9"/>
        <w:ind w:firstLine="520"/>
        <w:rPr>
          <w:color w:val="auto"/>
          <w:highlight w:val="none"/>
        </w:rPr>
      </w:pPr>
      <w:r>
        <w:rPr>
          <w:rFonts w:hint="eastAsia"/>
          <w:color w:val="auto"/>
          <w:highlight w:val="none"/>
        </w:rPr>
        <w:t>十、无市场开发权</w:t>
      </w:r>
    </w:p>
    <w:p>
      <w:pPr>
        <w:numPr>
          <w:ilvl w:val="0"/>
          <w:numId w:val="10"/>
        </w:numPr>
        <w:spacing w:after="0" w:line="360" w:lineRule="auto"/>
        <w:ind w:firstLine="480" w:firstLineChars="200"/>
        <w:rPr>
          <w:rFonts w:ascii="仿宋_GB2312" w:hAnsi="宋体" w:eastAsia="仿宋_GB2312" w:cs="宋体"/>
          <w:color w:val="auto"/>
          <w:sz w:val="24"/>
          <w:highlight w:val="none"/>
        </w:rPr>
      </w:pPr>
      <w:bookmarkStart w:id="404" w:name="_Hlk9796729"/>
      <w:bookmarkStart w:id="405" w:name="_Hlk9792343"/>
      <w:r>
        <w:rPr>
          <w:rFonts w:hint="eastAsia" w:ascii="仿宋_GB2312" w:hAnsi="宋体" w:eastAsia="仿宋_GB2312" w:cs="宋体"/>
          <w:color w:val="auto"/>
          <w:sz w:val="24"/>
          <w:highlight w:val="none"/>
        </w:rPr>
        <w:t>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numPr>
          <w:ilvl w:val="0"/>
          <w:numId w:val="10"/>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乙方承诺，将严格遵守亚运会标志保护和知识产权保护等方面的法律法规和市场开发的相关规则，坚持依法诚信经营，全面履行合同义务；未经权利人许可，不得从事以下行为：</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2.1自行或者协助任何第三方为商业目的（含潜在商业目的）使用亚运会标志或近似标志。</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2.2自行或者协助任何第三方通过明示或暗示的方式，从事任何可能使人误认为与亚运会相关联的市场营销活动，包括但不限于：将其商品、服务与亚运会或者亚运会运动相关联；声称其为杭州亚运会选择、批准、保证、优选或同意的或使用类似词语；出版或发行其为杭州亚运会提供商品或服务的任何声明(无论真实与否)等。</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2.3自行或协助任何第三方干扰亚奥理事会或杭州亚组委市场开发合作伙伴等有权主体的市场开发活动。</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2.4自行或协助任何第三方从事与亚运会参赛运动员、教练员、官员有关的任何其他形式的市场开发活动。</w:t>
      </w:r>
    </w:p>
    <w:p>
      <w:pPr>
        <w:numPr>
          <w:ilvl w:val="0"/>
          <w:numId w:val="10"/>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知晓，乙方若从事或协助第三方从事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pPr>
        <w:numPr>
          <w:ilvl w:val="0"/>
          <w:numId w:val="10"/>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本条约定自本合同生效之日起即应履行，长期有效，并且不受本合同期限届满、提前终止或本合同中其他条款的无效或履行完毕等情形的影响。</w:t>
      </w:r>
    </w:p>
    <w:bookmarkEnd w:id="404"/>
    <w:p>
      <w:pPr>
        <w:pStyle w:val="9"/>
        <w:ind w:firstLine="520"/>
        <w:rPr>
          <w:color w:val="auto"/>
          <w:highlight w:val="none"/>
        </w:rPr>
      </w:pPr>
      <w:r>
        <w:rPr>
          <w:rFonts w:hint="eastAsia"/>
          <w:color w:val="auto"/>
          <w:highlight w:val="none"/>
        </w:rPr>
        <w:t>十一、亚运会市场开发特别条款</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鉴于甲方正在与各有关企业就赞助杭州亚运会事宜进行市场开发谈判，本合同中所涉的全部或者部分服务将有可能由赞助企业（包括官方合作伙伴、官方赞助商、官方供应商，下同）提供赞助。</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如本合同中所涉的全部或者部分服务由赞助企业提供赞助的，甲方有权就该赞助部分停止向乙方采购，并根据乙方实际提供的服务支付费用。</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甲方就赞助部分停止向乙方采购的，应当书面通知乙方，甲方无需承担违约责任。</w:t>
      </w:r>
    </w:p>
    <w:bookmarkEnd w:id="405"/>
    <w:p>
      <w:pPr>
        <w:pStyle w:val="9"/>
        <w:ind w:firstLine="520"/>
        <w:rPr>
          <w:color w:val="auto"/>
          <w:highlight w:val="none"/>
        </w:rPr>
      </w:pPr>
      <w:bookmarkStart w:id="406" w:name="_Hlk9796835"/>
      <w:r>
        <w:rPr>
          <w:rFonts w:hint="eastAsia"/>
          <w:color w:val="auto"/>
          <w:highlight w:val="none"/>
        </w:rPr>
        <w:t>十二、保密义务</w:t>
      </w:r>
    </w:p>
    <w:p>
      <w:pPr>
        <w:numPr>
          <w:ilvl w:val="0"/>
          <w:numId w:val="11"/>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w:t>
      </w:r>
      <w:r>
        <w:rPr>
          <w:rFonts w:ascii="仿宋_GB2312" w:hAnsi="宋体" w:eastAsia="仿宋_GB2312" w:cs="宋体"/>
          <w:color w:val="auto"/>
          <w:sz w:val="24"/>
          <w:highlight w:val="none"/>
        </w:rPr>
        <w:t>承诺</w:t>
      </w:r>
      <w:r>
        <w:rPr>
          <w:rFonts w:hint="eastAsia" w:ascii="仿宋_GB2312" w:hAnsi="宋体" w:eastAsia="仿宋_GB2312" w:cs="宋体"/>
          <w:color w:val="auto"/>
          <w:sz w:val="24"/>
          <w:highlight w:val="none"/>
        </w:rPr>
        <w:t>，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w:t>
      </w:r>
      <w:r>
        <w:rPr>
          <w:rFonts w:hint="eastAsia" w:ascii="仿宋_GB2312" w:hAnsi="宋体" w:eastAsia="仿宋_GB2312" w:cs="宋体"/>
          <w:color w:val="auto"/>
          <w:sz w:val="24"/>
          <w:szCs w:val="24"/>
          <w:highlight w:val="none"/>
        </w:rPr>
        <w:t>，且在披露相关保密信息时，乙方必须最低限度地披露保密信息并尽量确保有关部门对该等</w:t>
      </w:r>
      <w:r>
        <w:rPr>
          <w:rFonts w:ascii="仿宋_GB2312" w:hAnsi="宋体" w:eastAsia="仿宋_GB2312" w:cs="宋体"/>
          <w:color w:val="auto"/>
          <w:sz w:val="24"/>
          <w:szCs w:val="24"/>
          <w:highlight w:val="none"/>
        </w:rPr>
        <w:t>保密信息</w:t>
      </w:r>
      <w:r>
        <w:rPr>
          <w:rFonts w:hint="eastAsia" w:ascii="仿宋_GB2312" w:hAnsi="宋体" w:eastAsia="仿宋_GB2312" w:cs="宋体"/>
          <w:color w:val="auto"/>
          <w:sz w:val="24"/>
          <w:szCs w:val="24"/>
          <w:highlight w:val="none"/>
        </w:rPr>
        <w:t>予以保密</w:t>
      </w:r>
      <w:r>
        <w:rPr>
          <w:rFonts w:hint="eastAsia" w:ascii="仿宋_GB2312" w:hAnsi="宋体" w:eastAsia="仿宋_GB2312" w:cs="宋体"/>
          <w:color w:val="auto"/>
          <w:sz w:val="24"/>
          <w:highlight w:val="none"/>
        </w:rPr>
        <w:t>。</w:t>
      </w:r>
    </w:p>
    <w:p>
      <w:pPr>
        <w:numPr>
          <w:ilvl w:val="0"/>
          <w:numId w:val="11"/>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w:t>
      </w:r>
      <w:r>
        <w:rPr>
          <w:rFonts w:ascii="仿宋_GB2312" w:hAnsi="宋体" w:eastAsia="仿宋_GB2312" w:cs="宋体"/>
          <w:color w:val="auto"/>
          <w:sz w:val="24"/>
          <w:highlight w:val="none"/>
        </w:rPr>
        <w:t>承诺</w:t>
      </w:r>
      <w:r>
        <w:rPr>
          <w:rFonts w:hint="eastAsia" w:ascii="仿宋_GB2312" w:hAnsi="宋体" w:eastAsia="仿宋_GB2312" w:cs="宋体"/>
          <w:color w:val="auto"/>
          <w:sz w:val="24"/>
          <w:highlight w:val="none"/>
        </w:rPr>
        <w:t>仅为本合同目的向其确有知悉必要的员工披露甲方提供的保密</w:t>
      </w:r>
      <w:r>
        <w:rPr>
          <w:rFonts w:ascii="仿宋_GB2312" w:hAnsi="宋体" w:eastAsia="仿宋_GB2312" w:cs="宋体"/>
          <w:color w:val="auto"/>
          <w:sz w:val="24"/>
          <w:highlight w:val="none"/>
        </w:rPr>
        <w:t>信息</w:t>
      </w:r>
      <w:r>
        <w:rPr>
          <w:rFonts w:hint="eastAsia" w:ascii="仿宋_GB2312" w:hAnsi="宋体" w:eastAsia="仿宋_GB2312" w:cs="宋体"/>
          <w:color w:val="auto"/>
          <w:sz w:val="24"/>
          <w:highlight w:val="none"/>
        </w:rPr>
        <w:t>，但同时须指示其员工遵守本条规定的保密及不披露义务。乙方</w:t>
      </w:r>
      <w:r>
        <w:rPr>
          <w:rFonts w:ascii="仿宋_GB2312" w:hAnsi="宋体" w:eastAsia="仿宋_GB2312" w:cs="宋体"/>
          <w:color w:val="auto"/>
          <w:sz w:val="24"/>
          <w:highlight w:val="none"/>
        </w:rPr>
        <w:t>承诺</w:t>
      </w:r>
      <w:r>
        <w:rPr>
          <w:rFonts w:hint="eastAsia" w:ascii="仿宋_GB2312" w:hAnsi="宋体" w:eastAsia="仿宋_GB2312" w:cs="宋体"/>
          <w:color w:val="auto"/>
          <w:sz w:val="24"/>
          <w:highlight w:val="none"/>
        </w:rPr>
        <w:t>仅为本合同目的而复制和使用保密</w:t>
      </w:r>
      <w:r>
        <w:rPr>
          <w:rFonts w:ascii="仿宋_GB2312" w:hAnsi="宋体" w:eastAsia="仿宋_GB2312" w:cs="宋体"/>
          <w:color w:val="auto"/>
          <w:sz w:val="24"/>
          <w:highlight w:val="none"/>
        </w:rPr>
        <w:t>信息</w:t>
      </w:r>
      <w:r>
        <w:rPr>
          <w:rFonts w:hint="eastAsia" w:ascii="仿宋_GB2312" w:hAnsi="宋体" w:eastAsia="仿宋_GB2312" w:cs="宋体"/>
          <w:color w:val="auto"/>
          <w:sz w:val="24"/>
          <w:highlight w:val="none"/>
        </w:rPr>
        <w:t>。乙方应确保接触或可能接触保密信息的员工及其他第三方通过单方承诺，接受本条的同等约束。上述员工或者其他第三方违反保密义务而造成的保密信息泄露或者不正当利用或者其他任何形式泄密，均视为乙方的违约行为。</w:t>
      </w:r>
    </w:p>
    <w:p>
      <w:pPr>
        <w:numPr>
          <w:ilvl w:val="0"/>
          <w:numId w:val="11"/>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本合同保密范围，即为甲方保密信息，包括但不限于甲方的具有保密性质的信息、文件和资料，无论其表现形式如何，也无论通过何种方式取得，包括但不限于：</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3.1本合同全部条款或因履行本合同或在本合同履行期间获得的或收到的具有保密性质的信息、文件和资料。</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3.2与甲方的事务、运作、活动、计划和决策等相关的信息，包括但不限于所有与亚运会相关的法律、财务、技术、经营、商业和创作信息。</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3.3与亚运会人员相关的所有信息。</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3.4与亚运会合作伙伴相关的所有信息。</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3.5涉及甲方的所有商业秘密、专有技术、技术参数、工艺、流程和方法等。</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3.6乙方受托工作中涉及的一切不对外公开或者没有对外公开的信息。</w:t>
      </w:r>
    </w:p>
    <w:p>
      <w:pPr>
        <w:numPr>
          <w:ilvl w:val="0"/>
          <w:numId w:val="11"/>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numPr>
          <w:ilvl w:val="0"/>
          <w:numId w:val="11"/>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条规定自乙方接触到本合同所称保密信息之日起即应履行，并且不受本合同期限届满、提前终止或本合同中其他条款的无效或履行完毕等情形的影响。如在此期限内因乙方之外的原因致使保密信息泄露或进入公共领域，则乙方对该信息的保密责任在泄露或公开之日起终止。</w:t>
      </w:r>
    </w:p>
    <w:p>
      <w:pPr>
        <w:numPr>
          <w:ilvl w:val="0"/>
          <w:numId w:val="11"/>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乙方对于本合同的签订、履行负有保密义务，非经甲方书面同意，乙方不得向合同双方当事人之外的任何第三方披露合同内容，并不得以甲方合作伙伴、供应商、服务商等各种名义对外宣传。</w:t>
      </w:r>
    </w:p>
    <w:p>
      <w:pPr>
        <w:widowControl w:val="0"/>
        <w:numPr>
          <w:ilvl w:val="0"/>
          <w:numId w:val="11"/>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若乙方违反上述约定的保密义务（包括但不限于乙方</w:t>
      </w:r>
      <w:r>
        <w:rPr>
          <w:rFonts w:hint="eastAsia" w:ascii="仿宋_GB2312" w:hAnsi="宋体" w:eastAsia="仿宋_GB2312" w:cs="宋体"/>
          <w:color w:val="auto"/>
          <w:sz w:val="24"/>
          <w:highlight w:val="none"/>
          <w:lang w:bidi="ar"/>
        </w:rPr>
        <w:t>员工违反保密义务而造成的保密信息泄露或者不正当利用或者其他任何形式泄密）</w:t>
      </w:r>
      <w:r>
        <w:rPr>
          <w:rFonts w:hint="eastAsia" w:ascii="仿宋_GB2312" w:hAnsi="宋体" w:eastAsia="仿宋_GB2312" w:cs="宋体"/>
          <w:color w:val="auto"/>
          <w:sz w:val="24"/>
          <w:highlight w:val="none"/>
        </w:rPr>
        <w:t>，应立即停止侵害、消除影响、赔礼道歉、赔偿损失，并按照合同总金额的百分之三十（30%）支付违约金，如实际损失超过前述违约金的，乙方需赔偿超过违约金部分的实际损失。</w:t>
      </w:r>
    </w:p>
    <w:bookmarkEnd w:id="406"/>
    <w:p>
      <w:pPr>
        <w:pStyle w:val="9"/>
        <w:ind w:firstLine="520"/>
        <w:rPr>
          <w:color w:val="auto"/>
          <w:highlight w:val="none"/>
        </w:rPr>
      </w:pPr>
      <w:r>
        <w:rPr>
          <w:rFonts w:hint="eastAsia"/>
          <w:color w:val="auto"/>
          <w:highlight w:val="none"/>
        </w:rPr>
        <w:t>十三、知识产权</w:t>
      </w:r>
    </w:p>
    <w:p>
      <w:pPr>
        <w:numPr>
          <w:ilvl w:val="0"/>
          <w:numId w:val="12"/>
        </w:numPr>
        <w:spacing w:after="0" w:line="360" w:lineRule="auto"/>
        <w:ind w:firstLine="480" w:firstLineChars="200"/>
        <w:rPr>
          <w:rFonts w:ascii="仿宋_GB2312" w:hAnsi="宋体" w:eastAsia="仿宋_GB2312" w:cs="宋体"/>
          <w:color w:val="auto"/>
          <w:sz w:val="24"/>
          <w:highlight w:val="none"/>
        </w:rPr>
      </w:pPr>
      <w:bookmarkStart w:id="407" w:name="_Hlk9796856"/>
      <w:bookmarkStart w:id="408" w:name="_Hlk9792396"/>
      <w:r>
        <w:rPr>
          <w:rFonts w:hint="eastAsia" w:ascii="仿宋_GB2312" w:hAnsi="宋体" w:eastAsia="仿宋_GB2312" w:cs="宋体"/>
          <w:color w:val="auto"/>
          <w:sz w:val="24"/>
          <w:highlight w:val="none"/>
        </w:rPr>
        <w:t>双方确认，对所有保密信息、亚运会标志和授权称谓、以及由保密信息、亚运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bookmarkEnd w:id="407"/>
    <w:p>
      <w:pPr>
        <w:numPr>
          <w:ilvl w:val="0"/>
          <w:numId w:val="12"/>
        </w:numPr>
        <w:spacing w:after="0" w:line="360" w:lineRule="auto"/>
        <w:ind w:firstLine="48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基于本合同所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numPr>
          <w:ilvl w:val="0"/>
          <w:numId w:val="12"/>
        </w:numPr>
        <w:spacing w:after="0" w:line="360" w:lineRule="auto"/>
        <w:ind w:firstLine="480" w:firstLineChars="200"/>
        <w:rPr>
          <w:rFonts w:ascii="仿宋_GB2312" w:hAnsi="宋体" w:eastAsia="仿宋_GB2312" w:cs="宋体"/>
          <w:color w:val="auto"/>
          <w:sz w:val="24"/>
          <w:highlight w:val="none"/>
        </w:rPr>
      </w:pPr>
      <w:bookmarkStart w:id="409" w:name="_Hlk9797137"/>
      <w:r>
        <w:rPr>
          <w:rFonts w:hint="eastAsia" w:ascii="仿宋_GB2312" w:hAnsi="宋体" w:eastAsia="仿宋_GB2312" w:cs="宋体"/>
          <w:color w:val="auto"/>
          <w:sz w:val="24"/>
          <w:highlight w:val="none"/>
        </w:rPr>
        <w:t>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w:t>
      </w:r>
      <w:r>
        <w:rPr>
          <w:rFonts w:hint="eastAsia" w:ascii="仿宋_GB2312" w:hAnsi="宋体" w:eastAsia="仿宋_GB2312" w:cs="宋体"/>
          <w:color w:val="auto"/>
          <w:sz w:val="24"/>
          <w:szCs w:val="24"/>
          <w:highlight w:val="none"/>
        </w:rPr>
        <w:t>任）</w:t>
      </w:r>
      <w:r>
        <w:rPr>
          <w:rFonts w:hint="eastAsia" w:ascii="仿宋" w:hAnsi="仿宋" w:eastAsia="仿宋" w:cs="仿宋"/>
          <w:color w:val="auto"/>
          <w:sz w:val="24"/>
          <w:highlight w:val="none"/>
        </w:rPr>
        <w:t>。</w:t>
      </w:r>
    </w:p>
    <w:p>
      <w:pPr>
        <w:numPr>
          <w:ilvl w:val="0"/>
          <w:numId w:val="1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如乙方发现任何交付成果的知识产权可能有瑕疵，应立即书面通知甲方，并立即采取一切必要措施使交付成果合法化。</w:t>
      </w:r>
    </w:p>
    <w:p>
      <w:pPr>
        <w:numPr>
          <w:ilvl w:val="0"/>
          <w:numId w:val="12"/>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本条规定自本合同生效之日起即应履行，长期有效，并且不受本合同期限届满、提前终止或本合同中其他条款的无效或履行完毕等情形的影响</w:t>
      </w:r>
      <w:bookmarkEnd w:id="408"/>
      <w:r>
        <w:rPr>
          <w:rFonts w:hint="eastAsia" w:ascii="仿宋_GB2312" w:hAnsi="宋体" w:eastAsia="仿宋_GB2312" w:cs="宋体"/>
          <w:color w:val="auto"/>
          <w:sz w:val="24"/>
          <w:highlight w:val="none"/>
        </w:rPr>
        <w:t>。</w:t>
      </w:r>
    </w:p>
    <w:bookmarkEnd w:id="409"/>
    <w:p>
      <w:pPr>
        <w:pStyle w:val="9"/>
        <w:ind w:firstLine="520"/>
        <w:rPr>
          <w:color w:val="auto"/>
          <w:highlight w:val="none"/>
        </w:rPr>
      </w:pPr>
      <w:r>
        <w:rPr>
          <w:rFonts w:hint="eastAsia"/>
          <w:color w:val="auto"/>
          <w:highlight w:val="none"/>
        </w:rPr>
        <w:t>十四、合同的转让、变更及解除</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未经甲方事先书面同意，乙方不得将本合同的权利或义务全部或部分转让给第三人。否则，甲方有权解除本合同并追究乙方的违约责任。</w:t>
      </w:r>
    </w:p>
    <w:p>
      <w:pPr>
        <w:widowControl w:val="0"/>
        <w:spacing w:after="0" w:line="360" w:lineRule="auto"/>
        <w:ind w:firstLine="480" w:firstLineChars="200"/>
        <w:jc w:val="both"/>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双方协商一致，可以变更、解除本合同。任何一方欲变更、解除本合同，必须提前十五日以书面形式提出，双方协商一致后签署补充协议。</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除本合同另有约定外，一方有下列情形之一的，另一方可以解除本合同：</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3.1因不可抗力致使不能实现本合同的目的。</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3.2在履行期限届满之前，一方明确表示或者以自己的行为表明不履行主要</w:t>
      </w:r>
      <w:r>
        <w:rPr>
          <w:rFonts w:hint="eastAsia" w:ascii="仿宋_GB2312" w:eastAsia="仿宋_GB2312"/>
          <w:color w:val="auto"/>
          <w:sz w:val="24"/>
          <w:szCs w:val="24"/>
          <w:highlight w:val="none"/>
        </w:rPr>
        <w:t>义务</w:t>
      </w:r>
      <w:r>
        <w:rPr>
          <w:rFonts w:hint="eastAsia" w:ascii="仿宋_GB2312" w:hAnsi="宋体" w:eastAsia="仿宋_GB2312" w:cs="宋体"/>
          <w:color w:val="auto"/>
          <w:sz w:val="24"/>
          <w:highlight w:val="none"/>
        </w:rPr>
        <w:t>。</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3.3一方迟延履行主要义务，经催告后在合理期限内仍未履行。</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3.4一方存在违反合同约定、不达约定标准情况的，且经过限期整改/纠正但仍未达到约定标准。</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3.5一方迟延履行义务或者有其他违约行为致使不能实现合同目的。</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3.6法律规定或本合同约定的其他情形。</w:t>
      </w:r>
    </w:p>
    <w:p>
      <w:pPr>
        <w:pStyle w:val="9"/>
        <w:ind w:firstLine="520"/>
        <w:rPr>
          <w:color w:val="auto"/>
          <w:highlight w:val="none"/>
        </w:rPr>
      </w:pPr>
      <w:r>
        <w:rPr>
          <w:rFonts w:hint="eastAsia"/>
          <w:color w:val="auto"/>
          <w:highlight w:val="none"/>
        </w:rPr>
        <w:t>十五、违约责任</w:t>
      </w:r>
    </w:p>
    <w:p>
      <w:pPr>
        <w:numPr>
          <w:ilvl w:val="0"/>
          <w:numId w:val="13"/>
        </w:numPr>
        <w:spacing w:after="0" w:line="360" w:lineRule="auto"/>
        <w:ind w:firstLine="480" w:firstLineChars="200"/>
        <w:rPr>
          <w:rFonts w:ascii="仿宋_GB2312" w:hAnsi="宋体" w:eastAsia="仿宋_GB2312" w:cs="宋体"/>
          <w:color w:val="auto"/>
          <w:sz w:val="24"/>
          <w:highlight w:val="none"/>
        </w:rPr>
      </w:pPr>
      <w:bookmarkStart w:id="410" w:name="_Hlk9797280"/>
      <w:bookmarkStart w:id="411" w:name="_Hlk9793083"/>
      <w:r>
        <w:rPr>
          <w:rFonts w:hint="eastAsia" w:ascii="仿宋_GB2312" w:hAnsi="宋体" w:eastAsia="仿宋_GB2312"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pPr>
        <w:numPr>
          <w:ilvl w:val="0"/>
          <w:numId w:val="13"/>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如果甲方未按照合同约定支付价款，乙方有权要求其每天承担应付未付金额千分之一（1‰）的违约金，但违约金总额不超过合同总金额的百分之十（10%）；除本合同另有约定外，如果乙方未能按照本合同约定履行义务</w:t>
      </w:r>
      <w:r>
        <w:rPr>
          <w:rFonts w:ascii="仿宋_GB2312" w:hAnsi="宋体" w:eastAsia="仿宋_GB2312" w:cs="宋体"/>
          <w:color w:val="auto"/>
          <w:sz w:val="24"/>
          <w:highlight w:val="none"/>
        </w:rPr>
        <w:t>或</w:t>
      </w:r>
      <w:r>
        <w:rPr>
          <w:rFonts w:hint="eastAsia" w:ascii="仿宋_GB2312" w:hAnsi="宋体" w:eastAsia="仿宋_GB2312" w:cs="宋体"/>
          <w:color w:val="auto"/>
          <w:sz w:val="24"/>
          <w:highlight w:val="none"/>
        </w:rPr>
        <w:t>无正当理由擅自解除本合同，甲方有权要求其承担合同总金额百分之十（10%）的违约金。</w:t>
      </w:r>
    </w:p>
    <w:bookmarkEnd w:id="410"/>
    <w:p>
      <w:pPr>
        <w:numPr>
          <w:ilvl w:val="0"/>
          <w:numId w:val="13"/>
        </w:numPr>
        <w:spacing w:after="0" w:line="360" w:lineRule="auto"/>
        <w:ind w:firstLine="480"/>
        <w:rPr>
          <w:rFonts w:ascii="仿宋_GB2312" w:hAnsi="宋体" w:eastAsia="仿宋_GB2312" w:cs="宋体"/>
          <w:color w:val="auto"/>
          <w:sz w:val="24"/>
          <w:highlight w:val="none"/>
        </w:rPr>
      </w:pPr>
      <w:r>
        <w:rPr>
          <w:rFonts w:hint="eastAsia" w:ascii="仿宋_GB2312" w:eastAsia="仿宋_GB2312"/>
          <w:color w:val="auto"/>
          <w:sz w:val="24"/>
          <w:szCs w:val="24"/>
          <w:highlight w:val="none"/>
        </w:rPr>
        <w:t>如因乙方未经甲方事先书面同意，乙方将本合同的权利或义务全部或部分转让或分包给第三人或违反相关法律规定或侵犯第三方合法权利而使甲方遭受损失的，乙方应承担全部责任，甲方有权解除本合同并要求乙方返还全部已收款项并赔偿甲方由此所遭受全部经济损失</w:t>
      </w:r>
      <w:r>
        <w:rPr>
          <w:rFonts w:ascii="仿宋_GB2312" w:eastAsia="仿宋_GB2312"/>
          <w:color w:val="auto"/>
          <w:sz w:val="24"/>
          <w:szCs w:val="24"/>
          <w:highlight w:val="none"/>
        </w:rPr>
        <w:t>。</w:t>
      </w:r>
    </w:p>
    <w:p>
      <w:pPr>
        <w:numPr>
          <w:ilvl w:val="0"/>
          <w:numId w:val="13"/>
        </w:numPr>
        <w:spacing w:after="0" w:line="360" w:lineRule="auto"/>
        <w:ind w:firstLine="48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乙方服务经甲方验收不合格的，甲方有权要求乙方限期整改，乙方未在甲方要求期限内整改完成或整改后仍不合格或已不能整改的，甲方有权</w:t>
      </w:r>
      <w:r>
        <w:rPr>
          <w:rFonts w:ascii="仿宋_GB2312" w:hAnsi="宋体" w:eastAsia="仿宋_GB2312" w:cs="宋体"/>
          <w:color w:val="auto"/>
          <w:sz w:val="24"/>
          <w:highlight w:val="none"/>
        </w:rPr>
        <w:t>拒绝</w:t>
      </w:r>
      <w:r>
        <w:rPr>
          <w:rFonts w:hint="eastAsia" w:ascii="仿宋_GB2312" w:hAnsi="宋体" w:eastAsia="仿宋_GB2312" w:cs="宋体"/>
          <w:color w:val="auto"/>
          <w:sz w:val="24"/>
          <w:highlight w:val="none"/>
        </w:rPr>
        <w:t>支付未</w:t>
      </w:r>
      <w:r>
        <w:rPr>
          <w:rFonts w:ascii="仿宋_GB2312" w:hAnsi="宋体" w:eastAsia="仿宋_GB2312" w:cs="宋体"/>
          <w:color w:val="auto"/>
          <w:sz w:val="24"/>
          <w:highlight w:val="none"/>
        </w:rPr>
        <w:t>支</w:t>
      </w:r>
      <w:r>
        <w:rPr>
          <w:rFonts w:hint="eastAsia" w:ascii="仿宋_GB2312" w:hAnsi="宋体" w:eastAsia="仿宋_GB2312" w:cs="宋体"/>
          <w:color w:val="auto"/>
          <w:sz w:val="24"/>
          <w:highlight w:val="none"/>
        </w:rPr>
        <w:t>付</w:t>
      </w:r>
      <w:r>
        <w:rPr>
          <w:rFonts w:ascii="仿宋_GB2312" w:hAnsi="宋体" w:eastAsia="仿宋_GB2312" w:cs="宋体"/>
          <w:color w:val="auto"/>
          <w:sz w:val="24"/>
          <w:highlight w:val="none"/>
        </w:rPr>
        <w:t>的</w:t>
      </w:r>
      <w:r>
        <w:rPr>
          <w:rFonts w:hint="eastAsia" w:ascii="仿宋_GB2312" w:hAnsi="宋体" w:eastAsia="仿宋_GB2312" w:cs="宋体"/>
          <w:color w:val="auto"/>
          <w:sz w:val="24"/>
          <w:highlight w:val="none"/>
        </w:rPr>
        <w:t>款项并解除合同，同时可要求乙方退还已收取</w:t>
      </w:r>
      <w:r>
        <w:rPr>
          <w:rFonts w:ascii="仿宋_GB2312" w:hAnsi="宋体" w:eastAsia="仿宋_GB2312" w:cs="宋体"/>
          <w:color w:val="auto"/>
          <w:sz w:val="24"/>
          <w:highlight w:val="none"/>
        </w:rPr>
        <w:t>款项</w:t>
      </w:r>
      <w:r>
        <w:rPr>
          <w:rFonts w:hint="eastAsia" w:ascii="仿宋_GB2312" w:hAnsi="宋体" w:eastAsia="仿宋_GB2312" w:cs="宋体"/>
          <w:color w:val="auto"/>
          <w:sz w:val="24"/>
          <w:highlight w:val="none"/>
        </w:rPr>
        <w:t>并承担合同总金额百分之十（10%）的违约金。</w:t>
      </w:r>
    </w:p>
    <w:p>
      <w:pPr>
        <w:numPr>
          <w:ilvl w:val="0"/>
          <w:numId w:val="13"/>
        </w:numPr>
        <w:spacing w:after="0" w:line="360" w:lineRule="auto"/>
        <w:ind w:firstLine="480" w:firstLineChars="200"/>
        <w:rPr>
          <w:rFonts w:ascii="仿宋_GB2312" w:hAnsi="宋体" w:eastAsia="仿宋_GB2312" w:cs="宋体"/>
          <w:color w:val="auto"/>
          <w:sz w:val="24"/>
          <w:highlight w:val="none"/>
        </w:rPr>
      </w:pPr>
      <w:bookmarkStart w:id="412" w:name="_Hlk9793595"/>
      <w:r>
        <w:rPr>
          <w:rFonts w:hint="eastAsia" w:ascii="仿宋_GB2312" w:hAnsi="宋体" w:eastAsia="仿宋_GB2312" w:cs="宋体"/>
          <w:color w:val="auto"/>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bookmarkEnd w:id="412"/>
      <w:r>
        <w:rPr>
          <w:rFonts w:hint="eastAsia" w:ascii="仿宋_GB2312" w:hAnsi="宋体" w:eastAsia="仿宋_GB2312" w:cs="宋体"/>
          <w:color w:val="auto"/>
          <w:sz w:val="24"/>
          <w:highlight w:val="none"/>
        </w:rPr>
        <w:t>。</w:t>
      </w:r>
    </w:p>
    <w:bookmarkEnd w:id="411"/>
    <w:p>
      <w:pPr>
        <w:pStyle w:val="9"/>
        <w:ind w:firstLine="520"/>
        <w:rPr>
          <w:color w:val="auto"/>
          <w:highlight w:val="none"/>
        </w:rPr>
      </w:pPr>
      <w:r>
        <w:rPr>
          <w:rFonts w:hint="eastAsia"/>
          <w:color w:val="auto"/>
          <w:highlight w:val="none"/>
        </w:rPr>
        <w:t>十六、不可抗力</w:t>
      </w:r>
    </w:p>
    <w:p>
      <w:pPr>
        <w:numPr>
          <w:ilvl w:val="0"/>
          <w:numId w:val="14"/>
        </w:numPr>
        <w:spacing w:after="0" w:line="360" w:lineRule="auto"/>
        <w:ind w:firstLine="48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不可抗力是指不能预见、不能避免且不能克服的</w:t>
      </w:r>
      <w:r>
        <w:rPr>
          <w:rFonts w:ascii="仿宋" w:hAnsi="仿宋" w:eastAsia="仿宋" w:cs="仿宋"/>
          <w:color w:val="auto"/>
          <w:sz w:val="24"/>
          <w:szCs w:val="24"/>
          <w:highlight w:val="none"/>
        </w:rPr>
        <w:t>客观情况</w:t>
      </w:r>
      <w:r>
        <w:rPr>
          <w:rFonts w:hint="eastAsia" w:ascii="仿宋_GB2312" w:hAnsi="宋体" w:eastAsia="仿宋_GB2312" w:cs="宋体"/>
          <w:color w:val="auto"/>
          <w:sz w:val="24"/>
          <w:highlight w:val="none"/>
        </w:rPr>
        <w:t>，包括但不限于地震、台风、海啸、瘟疫、火灾、洪水、重大疫情、政府行为、战争、恐怖袭击、蓄意破坏等客观情况。鉴于新型冠状病毒疫情在本合同签署时已经存在，并非不能预见事项。除非在本合同履行过程中该疫情影响范围或严重程度进一步扩大，致使本合同无法履行，否则乙方不得援引该疫情作为不可抗力因素。</w:t>
      </w:r>
    </w:p>
    <w:p>
      <w:pPr>
        <w:numPr>
          <w:ilvl w:val="0"/>
          <w:numId w:val="14"/>
        </w:num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本合同项下任何一方对于因不可抗力致使本合同不能履行或不能全部履行而给对方造成的任何损失不承担违约责任。</w:t>
      </w:r>
    </w:p>
    <w:p>
      <w:pPr>
        <w:numPr>
          <w:ilvl w:val="0"/>
          <w:numId w:val="14"/>
        </w:numPr>
        <w:spacing w:after="0" w:line="360" w:lineRule="auto"/>
        <w:ind w:firstLine="480"/>
        <w:rPr>
          <w:rFonts w:ascii="仿宋_GB2312" w:hAnsi="宋体" w:eastAsia="仿宋_GB2312" w:cs="宋体"/>
          <w:color w:val="auto"/>
          <w:sz w:val="24"/>
          <w:highlight w:val="none"/>
        </w:rPr>
      </w:pPr>
      <w:bookmarkStart w:id="413" w:name="_Hlk9797624"/>
      <w:r>
        <w:rPr>
          <w:rFonts w:hint="eastAsia" w:ascii="仿宋_GB2312" w:hAnsi="宋体" w:eastAsia="仿宋_GB2312" w:cs="宋体"/>
          <w:color w:val="auto"/>
          <w:sz w:val="24"/>
          <w:highlight w:val="none"/>
        </w:rPr>
        <w:t>如果发生不可抗力事件，则受影响的一方应采取积极有效的措施以减少因本合同不能履行或不能全部履行而给对方造成的损失，并应在不可抗力事件发生后三个工作日内通知对方，并在十五日内出具官方证明文件。</w:t>
      </w:r>
    </w:p>
    <w:bookmarkEnd w:id="413"/>
    <w:p>
      <w:pPr>
        <w:numPr>
          <w:ilvl w:val="0"/>
          <w:numId w:val="14"/>
        </w:numPr>
        <w:spacing w:after="0" w:line="360" w:lineRule="auto"/>
        <w:ind w:firstLine="480" w:firstLineChars="200"/>
        <w:rPr>
          <w:rFonts w:ascii="仿宋_GB2312" w:hAnsi="宋体" w:eastAsia="仿宋_GB2312" w:cs="宋体"/>
          <w:color w:val="auto"/>
          <w:sz w:val="24"/>
          <w:highlight w:val="none"/>
        </w:rPr>
      </w:pPr>
      <w:bookmarkStart w:id="414" w:name="_Hlk9797673"/>
      <w:r>
        <w:rPr>
          <w:rFonts w:hint="eastAsia" w:ascii="仿宋_GB2312" w:hAnsi="宋体" w:eastAsia="仿宋_GB2312" w:cs="宋体"/>
          <w:color w:val="auto"/>
          <w:sz w:val="24"/>
          <w:highlight w:val="none"/>
        </w:rPr>
        <w:t>不可抗力影响因素消失以后，双方应协商是否继续履行合同。如果不可抗力因素对合同一方的义务产生实质性、无法补救的影响，导致合同已无法履行，双方应通过书面形式终止本合同</w:t>
      </w:r>
      <w:bookmarkEnd w:id="414"/>
      <w:r>
        <w:rPr>
          <w:rFonts w:hint="eastAsia" w:ascii="仿宋_GB2312" w:hAnsi="宋体" w:eastAsia="仿宋_GB2312" w:cs="宋体"/>
          <w:color w:val="auto"/>
          <w:sz w:val="24"/>
          <w:highlight w:val="none"/>
        </w:rPr>
        <w:t>。</w:t>
      </w:r>
    </w:p>
    <w:p>
      <w:pPr>
        <w:numPr>
          <w:ilvl w:val="0"/>
          <w:numId w:val="14"/>
        </w:numPr>
        <w:spacing w:after="0" w:line="360" w:lineRule="auto"/>
        <w:ind w:firstLine="480" w:firstLineChars="200"/>
        <w:rPr>
          <w:rFonts w:ascii="仿宋_GB2312" w:hAnsi="宋体" w:eastAsia="仿宋_GB2312" w:cs="宋体"/>
          <w:color w:val="auto"/>
          <w:sz w:val="24"/>
          <w:highlight w:val="none"/>
        </w:rPr>
      </w:pPr>
      <w:bookmarkStart w:id="415" w:name="_Hlk9797653"/>
      <w:r>
        <w:rPr>
          <w:rFonts w:hint="eastAsia" w:ascii="仿宋_GB2312" w:hAnsi="宋体" w:eastAsia="仿宋_GB2312" w:cs="宋体"/>
          <w:color w:val="auto"/>
          <w:sz w:val="24"/>
          <w:highlight w:val="none"/>
        </w:rPr>
        <w:t>如果因本条所述原因导致本合同被提前终止，则任何一方均无需继续履行其在本合同项下的义务，也无需为此向另一方承担任何责任；但双方应根据诚实信用原则，合理确定本合同终止前甲方</w:t>
      </w:r>
      <w:r>
        <w:rPr>
          <w:rFonts w:hint="eastAsia" w:ascii="仿宋_GB2312" w:eastAsia="仿宋_GB2312"/>
          <w:color w:val="auto"/>
          <w:sz w:val="24"/>
          <w:szCs w:val="24"/>
          <w:highlight w:val="none"/>
        </w:rPr>
        <w:t>基于本合同应当向乙方</w:t>
      </w:r>
      <w:r>
        <w:rPr>
          <w:rFonts w:hint="eastAsia" w:ascii="仿宋_GB2312" w:hAnsi="宋体" w:eastAsia="仿宋_GB2312" w:cs="宋体"/>
          <w:color w:val="auto"/>
          <w:sz w:val="24"/>
          <w:highlight w:val="none"/>
        </w:rPr>
        <w:t>支付的费用，并进行相应的结算。但一方延迟履行后发生不可抗力的，不能免除该方的责任</w:t>
      </w:r>
      <w:bookmarkEnd w:id="415"/>
      <w:r>
        <w:rPr>
          <w:rFonts w:hint="eastAsia" w:ascii="仿宋_GB2312" w:hAnsi="宋体" w:eastAsia="仿宋_GB2312" w:cs="宋体"/>
          <w:color w:val="auto"/>
          <w:sz w:val="24"/>
          <w:highlight w:val="none"/>
        </w:rPr>
        <w:t>。</w:t>
      </w:r>
    </w:p>
    <w:p>
      <w:pPr>
        <w:pStyle w:val="9"/>
        <w:ind w:firstLine="520"/>
        <w:rPr>
          <w:color w:val="auto"/>
          <w:highlight w:val="none"/>
        </w:rPr>
      </w:pPr>
      <w:r>
        <w:rPr>
          <w:rFonts w:hint="eastAsia"/>
          <w:color w:val="auto"/>
          <w:highlight w:val="none"/>
        </w:rPr>
        <w:t>十七</w:t>
      </w:r>
      <w:r>
        <w:rPr>
          <w:color w:val="auto"/>
          <w:highlight w:val="none"/>
        </w:rPr>
        <w:t>、通知与送达</w:t>
      </w:r>
    </w:p>
    <w:p>
      <w:pPr>
        <w:pStyle w:val="255"/>
        <w:spacing w:line="360" w:lineRule="auto"/>
        <w:ind w:firstLine="424" w:firstLineChars="177"/>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甲、乙双方关于本合同履行及相关事宜的通知，应当按照合同首部载明的联络方式发出。当面递交的，自联系人签字确认之时视为送达；快递或挂号信形式寄送的，自发出之日起满五日或签收之日视为送达，以早到者为准；通过电子邮件发送的，电子邮件到达对方</w:t>
      </w:r>
      <w:r>
        <w:rPr>
          <w:rFonts w:ascii="仿宋_GB2312" w:hAnsi="宋体" w:eastAsia="仿宋_GB2312" w:cs="宋体"/>
          <w:color w:val="auto"/>
          <w:sz w:val="24"/>
          <w:highlight w:val="none"/>
        </w:rPr>
        <w:t>指定的</w:t>
      </w:r>
      <w:r>
        <w:rPr>
          <w:rFonts w:hint="eastAsia" w:ascii="仿宋_GB2312" w:hAnsi="宋体" w:eastAsia="仿宋_GB2312" w:cs="宋体"/>
          <w:color w:val="auto"/>
          <w:sz w:val="24"/>
          <w:highlight w:val="none"/>
        </w:rPr>
        <w:t>收件系统之时视为送达。任何一方的通讯方式发生变更的，应于变更后三日内通知对方，否则自行承担一切不利后果。</w:t>
      </w:r>
    </w:p>
    <w:p>
      <w:pPr>
        <w:pStyle w:val="255"/>
        <w:spacing w:line="360" w:lineRule="auto"/>
        <w:ind w:firstLineChars="175"/>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乙方确认合同首部载明地址为其有效通讯地址，甲方以及法院、仲裁机构以快递方式向乙方该地址发出书面函件及诉讼、仲裁文书的，自发出日（邮戳）次日起满五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pStyle w:val="9"/>
        <w:ind w:firstLine="520"/>
        <w:rPr>
          <w:color w:val="auto"/>
          <w:highlight w:val="none"/>
        </w:rPr>
      </w:pPr>
      <w:r>
        <w:rPr>
          <w:rFonts w:hint="eastAsia"/>
          <w:color w:val="auto"/>
          <w:highlight w:val="none"/>
        </w:rPr>
        <w:t>十</w:t>
      </w:r>
      <w:r>
        <w:rPr>
          <w:color w:val="auto"/>
          <w:highlight w:val="none"/>
        </w:rPr>
        <w:t>八</w:t>
      </w:r>
      <w:r>
        <w:rPr>
          <w:rFonts w:hint="eastAsia"/>
          <w:color w:val="auto"/>
          <w:highlight w:val="none"/>
        </w:rPr>
        <w:t>、法律适用与争议解决</w:t>
      </w:r>
    </w:p>
    <w:p>
      <w:pPr>
        <w:spacing w:after="0" w:line="360" w:lineRule="auto"/>
        <w:ind w:firstLine="480" w:firstLineChars="200"/>
        <w:rPr>
          <w:rFonts w:ascii="仿宋_GB2312" w:hAnsi="宋体" w:eastAsia="仿宋_GB2312" w:cs="宋体"/>
          <w:color w:val="auto"/>
          <w:sz w:val="24"/>
          <w:highlight w:val="none"/>
        </w:rPr>
      </w:pPr>
      <w:bookmarkStart w:id="416" w:name="_Hlk9793648"/>
      <w:r>
        <w:rPr>
          <w:rFonts w:hint="eastAsia" w:ascii="仿宋_GB2312" w:hAnsi="宋体" w:eastAsia="仿宋_GB2312" w:cs="宋体"/>
          <w:color w:val="auto"/>
          <w:sz w:val="24"/>
          <w:highlight w:val="none"/>
        </w:rPr>
        <w:t>1</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本合同应适用中国法律并应根据中国法律解释（仅为本合同之目的，不包括香港、澳门、台湾地区）。</w:t>
      </w:r>
    </w:p>
    <w:p>
      <w:pPr>
        <w:spacing w:after="0" w:line="360" w:lineRule="auto"/>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2</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因本合同引起的或与本合同有关的任何争议，双方应当协商解决。经双方协商不能解决的，均提请杭州仲裁委员会,按照其仲裁规则进行仲裁，仲裁语言应当为中文。仲裁裁决是终局的，对双方均有约束力。</w:t>
      </w:r>
    </w:p>
    <w:p>
      <w:pPr>
        <w:pStyle w:val="9"/>
        <w:ind w:firstLine="520"/>
        <w:rPr>
          <w:color w:val="auto"/>
          <w:highlight w:val="none"/>
        </w:rPr>
      </w:pPr>
      <w:r>
        <w:rPr>
          <w:rFonts w:hint="eastAsia"/>
          <w:color w:val="auto"/>
          <w:highlight w:val="none"/>
        </w:rPr>
        <w:t>十九、审计与监督</w:t>
      </w:r>
    </w:p>
    <w:p>
      <w:pPr>
        <w:tabs>
          <w:tab w:val="left" w:pos="525"/>
        </w:tabs>
        <w:spacing w:after="0" w:line="360" w:lineRule="auto"/>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双方应自觉接受审计与监督，并确保合同履行过程中无违法违规行为，不侵犯任何第三方的合法权益。</w:t>
      </w:r>
    </w:p>
    <w:bookmarkEnd w:id="416"/>
    <w:p>
      <w:pPr>
        <w:pStyle w:val="9"/>
        <w:ind w:firstLine="520"/>
        <w:rPr>
          <w:color w:val="auto"/>
          <w:highlight w:val="none"/>
        </w:rPr>
      </w:pPr>
      <w:r>
        <w:rPr>
          <w:rFonts w:hint="eastAsia"/>
          <w:color w:val="auto"/>
          <w:highlight w:val="none"/>
        </w:rPr>
        <w:t>二十、其他</w:t>
      </w:r>
    </w:p>
    <w:p>
      <w:pPr>
        <w:spacing w:after="0" w:line="360" w:lineRule="auto"/>
        <w:ind w:left="48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本合同由甲乙双方签字盖章之日起生效。</w:t>
      </w:r>
    </w:p>
    <w:p>
      <w:pPr>
        <w:spacing w:after="0" w:line="360" w:lineRule="auto"/>
        <w:ind w:firstLine="480" w:firstLineChars="200"/>
        <w:rPr>
          <w:rFonts w:ascii="仿宋_GB2312" w:hAnsi="宋体" w:eastAsia="仿宋_GB2312" w:cs="宋体"/>
          <w:color w:val="auto"/>
          <w:sz w:val="24"/>
          <w:highlight w:val="none"/>
        </w:rPr>
      </w:pPr>
      <w:bookmarkStart w:id="417" w:name="_Hlk9793715"/>
      <w:r>
        <w:rPr>
          <w:rFonts w:ascii="仿宋_GB2312" w:hAnsi="宋体" w:eastAsia="仿宋_GB2312" w:cs="宋体"/>
          <w:color w:val="auto"/>
          <w:sz w:val="24"/>
          <w:highlight w:val="none"/>
        </w:rPr>
        <w:t>2.</w:t>
      </w:r>
      <w:r>
        <w:rPr>
          <w:rFonts w:hint="eastAsia" w:ascii="仿宋_GB2312" w:hAnsi="宋体" w:eastAsia="仿宋_GB2312" w:cs="宋体"/>
          <w:color w:val="auto"/>
          <w:sz w:val="24"/>
          <w:highlight w:val="none"/>
        </w:rPr>
        <w:t>对本合同的任何修改和补充均应以补充协议的形式作出，由双方签字盖章后生效。本合同的附件、补充协议与本合同具有同等法律效力。</w:t>
      </w:r>
    </w:p>
    <w:p>
      <w:pPr>
        <w:spacing w:after="0" w:line="360" w:lineRule="auto"/>
        <w:ind w:firstLine="482" w:firstLineChars="200"/>
        <w:rPr>
          <w:rFonts w:ascii="仿宋_GB2312" w:hAnsi="宋体" w:eastAsia="仿宋_GB2312" w:cs="宋体"/>
          <w:b/>
          <w:bCs/>
          <w:color w:val="auto"/>
          <w:sz w:val="24"/>
          <w:highlight w:val="none"/>
        </w:rPr>
      </w:pPr>
      <w:bookmarkStart w:id="418" w:name="_Hlk9797714"/>
      <w:r>
        <w:rPr>
          <w:rFonts w:hint="eastAsia" w:ascii="仿宋_GB2312" w:hAnsi="宋体" w:eastAsia="仿宋_GB2312" w:cs="宋体"/>
          <w:b/>
          <w:color w:val="auto"/>
          <w:kern w:val="2"/>
          <w:sz w:val="24"/>
          <w:szCs w:val="24"/>
          <w:highlight w:val="none"/>
        </w:rPr>
        <w:t>3</w:t>
      </w:r>
      <w:r>
        <w:rPr>
          <w:rFonts w:ascii="仿宋_GB2312" w:hAnsi="宋体" w:eastAsia="仿宋_GB2312" w:cs="宋体"/>
          <w:b/>
          <w:color w:val="auto"/>
          <w:kern w:val="2"/>
          <w:sz w:val="24"/>
          <w:szCs w:val="24"/>
          <w:highlight w:val="none"/>
        </w:rPr>
        <w:t>.</w:t>
      </w:r>
      <w:r>
        <w:rPr>
          <w:rFonts w:hint="eastAsia" w:ascii="仿宋_GB2312" w:hAnsi="宋体" w:eastAsia="仿宋_GB2312" w:cs="宋体"/>
          <w:b/>
          <w:color w:val="auto"/>
          <w:kern w:val="2"/>
          <w:sz w:val="24"/>
          <w:szCs w:val="24"/>
          <w:highlight w:val="none"/>
        </w:rPr>
        <w:t>采购编号为【</w:t>
      </w:r>
      <w:r>
        <w:rPr>
          <w:rFonts w:hint="eastAsia" w:ascii="仿宋_GB2312" w:hAnsi="宋体" w:eastAsia="仿宋_GB2312" w:cs="宋体"/>
          <w:b/>
          <w:color w:val="auto"/>
          <w:kern w:val="2"/>
          <w:sz w:val="24"/>
          <w:szCs w:val="24"/>
          <w:highlight w:val="none"/>
          <w:lang w:val="en-US" w:eastAsia="zh-CN"/>
        </w:rPr>
        <w:t>ZJWS2022-YWH1120</w:t>
      </w:r>
      <w:r>
        <w:rPr>
          <w:rFonts w:hint="eastAsia" w:ascii="仿宋_GB2312" w:hAnsi="宋体" w:eastAsia="仿宋_GB2312" w:cs="宋体"/>
          <w:b/>
          <w:color w:val="auto"/>
          <w:kern w:val="2"/>
          <w:sz w:val="24"/>
          <w:szCs w:val="24"/>
          <w:highlight w:val="none"/>
        </w:rPr>
        <w:t>】的采购文件、响应文件、磋商纪要等文件均为本合同的组成部分；采购文件、响应文件、磋商纪要等文件与本合同约定不一致的，以本合同为准</w:t>
      </w:r>
      <w:r>
        <w:rPr>
          <w:rFonts w:hint="eastAsia" w:ascii="仿宋_GB2312" w:hAnsi="宋体" w:eastAsia="仿宋_GB2312" w:cs="宋体"/>
          <w:b/>
          <w:color w:val="auto"/>
          <w:sz w:val="24"/>
          <w:highlight w:val="none"/>
        </w:rPr>
        <w:t>。</w:t>
      </w:r>
      <w:bookmarkStart w:id="419" w:name="_Hlk9782033"/>
      <w:r>
        <w:rPr>
          <w:rFonts w:hint="eastAsia" w:ascii="仿宋_GB2312" w:hAnsi="宋体" w:eastAsia="仿宋_GB2312" w:cs="宋体"/>
          <w:b/>
          <w:color w:val="auto"/>
          <w:sz w:val="24"/>
          <w:highlight w:val="none"/>
        </w:rPr>
        <w:t>（</w:t>
      </w:r>
      <w:r>
        <w:rPr>
          <w:rFonts w:hint="eastAsia" w:ascii="仿宋_GB2312" w:hAnsi="宋体" w:eastAsia="仿宋_GB2312" w:cs="宋体"/>
          <w:b/>
          <w:bCs/>
          <w:color w:val="auto"/>
          <w:sz w:val="24"/>
          <w:highlight w:val="none"/>
        </w:rPr>
        <w:t>注：如该项目不是政府采购方式，则删去本款）</w:t>
      </w:r>
      <w:bookmarkEnd w:id="419"/>
    </w:p>
    <w:bookmarkEnd w:id="418"/>
    <w:p>
      <w:pPr>
        <w:spacing w:after="0" w:line="360" w:lineRule="auto"/>
        <w:ind w:left="480"/>
        <w:rPr>
          <w:rFonts w:ascii="仿宋_GB2312" w:hAnsi="宋体" w:eastAsia="仿宋_GB2312" w:cs="宋体"/>
          <w:color w:val="auto"/>
          <w:sz w:val="24"/>
          <w:highlight w:val="none"/>
        </w:rPr>
      </w:pPr>
      <w:bookmarkStart w:id="420" w:name="_Hlk9782058"/>
      <w:r>
        <w:rPr>
          <w:rFonts w:hint="eastAsia" w:ascii="仿宋_GB2312" w:hAnsi="宋体" w:eastAsia="仿宋_GB2312" w:cs="宋体"/>
          <w:color w:val="auto"/>
          <w:sz w:val="24"/>
          <w:highlight w:val="none"/>
        </w:rPr>
        <w:t>4</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本合同部分无效，不影响其他部分效力的，其他部分仍然有效。</w:t>
      </w:r>
    </w:p>
    <w:p>
      <w:pPr>
        <w:spacing w:after="0" w:line="360" w:lineRule="auto"/>
        <w:ind w:firstLine="424" w:firstLineChars="177"/>
        <w:rPr>
          <w:rFonts w:ascii="仿宋_GB2312" w:hAnsi="宋体" w:eastAsia="仿宋_GB2312" w:cs="宋体"/>
          <w:color w:val="auto"/>
          <w:sz w:val="24"/>
          <w:highlight w:val="none"/>
        </w:rPr>
      </w:pPr>
      <w:bookmarkStart w:id="421" w:name="_Hlk9797757"/>
      <w:r>
        <w:rPr>
          <w:rFonts w:hint="eastAsia" w:ascii="仿宋_GB2312" w:hAnsi="宋体" w:eastAsia="仿宋_GB2312" w:cs="宋体"/>
          <w:color w:val="auto"/>
          <w:sz w:val="24"/>
          <w:highlight w:val="none"/>
        </w:rPr>
        <w:t>5</w:t>
      </w:r>
      <w:r>
        <w:rPr>
          <w:rFonts w:ascii="仿宋_GB2312" w:hAnsi="宋体" w:eastAsia="仿宋_GB2312" w:cs="宋体"/>
          <w:color w:val="auto"/>
          <w:sz w:val="24"/>
          <w:highlight w:val="none"/>
        </w:rPr>
        <w:t>.</w:t>
      </w:r>
      <w:r>
        <w:rPr>
          <w:rFonts w:hint="eastAsia" w:ascii="仿宋_GB2312" w:hAnsi="宋体" w:eastAsia="仿宋_GB2312" w:cs="宋体"/>
          <w:color w:val="auto"/>
          <w:sz w:val="24"/>
          <w:highlight w:val="none"/>
        </w:rPr>
        <w:t>本合同一式【  】份，甲方执【  】份，乙方执【  】份，各份具有同等法律效力</w:t>
      </w:r>
      <w:bookmarkEnd w:id="421"/>
      <w:r>
        <w:rPr>
          <w:rFonts w:hint="eastAsia" w:ascii="仿宋_GB2312" w:hAnsi="宋体" w:eastAsia="仿宋_GB2312" w:cs="宋体"/>
          <w:color w:val="auto"/>
          <w:sz w:val="24"/>
          <w:highlight w:val="none"/>
        </w:rPr>
        <w:t>。</w:t>
      </w:r>
      <w:r>
        <w:rPr>
          <w:rFonts w:hint="eastAsia" w:ascii="仿宋_GB2312" w:eastAsia="仿宋_GB2312"/>
          <w:color w:val="auto"/>
          <w:sz w:val="24"/>
          <w:highlight w:val="none"/>
        </w:rPr>
        <w:t xml:space="preserve">  </w:t>
      </w:r>
    </w:p>
    <w:bookmarkEnd w:id="417"/>
    <w:bookmarkEnd w:id="420"/>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（以下无正文）</w:t>
      </w:r>
    </w:p>
    <w:p>
      <w:pPr>
        <w:spacing w:line="360" w:lineRule="auto"/>
        <w:ind w:firstLine="480" w:firstLineChars="200"/>
        <w:rPr>
          <w:rFonts w:ascii="仿宋_GB2312" w:eastAsia="仿宋_GB2312"/>
          <w:color w:val="auto"/>
          <w:sz w:val="24"/>
          <w:highlight w:val="none"/>
        </w:rPr>
      </w:pPr>
    </w:p>
    <w:p>
      <w:pPr>
        <w:spacing w:line="360" w:lineRule="auto"/>
        <w:ind w:firstLine="482" w:firstLineChars="200"/>
        <w:rPr>
          <w:rFonts w:ascii="仿宋_GB2312" w:eastAsia="仿宋_GB2312"/>
          <w:b/>
          <w:color w:val="auto"/>
          <w:sz w:val="24"/>
          <w:highlight w:val="none"/>
        </w:rPr>
      </w:pPr>
      <w:r>
        <w:rPr>
          <w:rFonts w:ascii="仿宋_GB2312" w:eastAsia="仿宋_GB2312"/>
          <w:b/>
          <w:color w:val="auto"/>
          <w:sz w:val="24"/>
          <w:highlight w:val="none"/>
        </w:rPr>
        <w:br w:type="page"/>
      </w:r>
      <w:r>
        <w:rPr>
          <w:rFonts w:hint="eastAsia" w:ascii="仿宋_GB2312" w:eastAsia="仿宋_GB2312"/>
          <w:b/>
          <w:color w:val="auto"/>
          <w:sz w:val="24"/>
          <w:highlight w:val="none"/>
        </w:rPr>
        <w:t>（本页无正文，为本合同签署页）（注：如另起签署页的，需保留该内容）</w:t>
      </w:r>
    </w:p>
    <w:p>
      <w:pPr>
        <w:spacing w:after="0" w:line="360" w:lineRule="auto"/>
        <w:rPr>
          <w:rFonts w:ascii="仿宋_GB2312" w:eastAsia="仿宋_GB2312"/>
          <w:color w:val="auto"/>
          <w:sz w:val="24"/>
          <w:highlight w:val="none"/>
        </w:rPr>
      </w:pPr>
    </w:p>
    <w:p>
      <w:pPr>
        <w:spacing w:after="0"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甲方（盖章）：2022年第19届亚运会组委会</w:t>
      </w:r>
    </w:p>
    <w:p>
      <w:pPr>
        <w:spacing w:after="0" w:line="360" w:lineRule="auto"/>
        <w:rPr>
          <w:rFonts w:ascii="仿宋_GB2312" w:eastAsia="仿宋_GB2312"/>
          <w:color w:val="auto"/>
          <w:sz w:val="24"/>
          <w:highlight w:val="none"/>
        </w:rPr>
      </w:pPr>
      <w:r>
        <w:rPr>
          <w:rFonts w:hint="eastAsia" w:ascii="仿宋_GB2312" w:eastAsia="仿宋_GB2312"/>
          <w:color w:val="auto"/>
          <w:sz w:val="24"/>
          <w:highlight w:val="none"/>
        </w:rPr>
        <w:t xml:space="preserve">授权代表（签字）：       </w:t>
      </w:r>
    </w:p>
    <w:p>
      <w:pPr>
        <w:spacing w:after="0" w:line="360" w:lineRule="auto"/>
        <w:rPr>
          <w:rFonts w:ascii="仿宋_GB2312" w:eastAsia="仿宋_GB2312"/>
          <w:color w:val="auto"/>
          <w:sz w:val="24"/>
          <w:highlight w:val="none"/>
        </w:rPr>
      </w:pPr>
      <w:r>
        <w:rPr>
          <w:rFonts w:hint="eastAsia" w:ascii="仿宋_GB2312" w:eastAsia="仿宋_GB2312"/>
          <w:color w:val="auto"/>
          <w:sz w:val="24"/>
          <w:highlight w:val="none"/>
        </w:rPr>
        <w:t>签署日期：</w:t>
      </w:r>
    </w:p>
    <w:p>
      <w:pPr>
        <w:spacing w:after="0" w:line="360" w:lineRule="auto"/>
        <w:rPr>
          <w:rFonts w:ascii="仿宋_GB2312" w:eastAsia="仿宋_GB2312"/>
          <w:color w:val="auto"/>
          <w:sz w:val="24"/>
          <w:highlight w:val="none"/>
        </w:rPr>
      </w:pPr>
    </w:p>
    <w:p>
      <w:pPr>
        <w:spacing w:after="0" w:line="360" w:lineRule="auto"/>
        <w:rPr>
          <w:rFonts w:ascii="仿宋_GB2312" w:eastAsia="仿宋_GB2312"/>
          <w:b/>
          <w:bCs/>
          <w:color w:val="auto"/>
          <w:sz w:val="24"/>
          <w:highlight w:val="none"/>
        </w:rPr>
      </w:pPr>
      <w:r>
        <w:rPr>
          <w:rFonts w:hint="eastAsia" w:ascii="仿宋_GB2312" w:eastAsia="仿宋_GB2312"/>
          <w:b/>
          <w:bCs/>
          <w:color w:val="auto"/>
          <w:sz w:val="24"/>
          <w:highlight w:val="none"/>
        </w:rPr>
        <w:t>乙方（盖章）：</w:t>
      </w:r>
    </w:p>
    <w:p>
      <w:pPr>
        <w:spacing w:after="0" w:line="360" w:lineRule="auto"/>
        <w:rPr>
          <w:rFonts w:ascii="仿宋_GB2312" w:eastAsia="仿宋_GB2312"/>
          <w:color w:val="auto"/>
          <w:sz w:val="24"/>
          <w:highlight w:val="none"/>
        </w:rPr>
      </w:pPr>
      <w:r>
        <w:rPr>
          <w:rFonts w:hint="eastAsia" w:ascii="仿宋_GB2312" w:eastAsia="仿宋_GB2312"/>
          <w:color w:val="auto"/>
          <w:sz w:val="24"/>
          <w:highlight w:val="none"/>
        </w:rPr>
        <w:t>法定代表人/授权代表（签字）：</w:t>
      </w:r>
    </w:p>
    <w:p>
      <w:pPr>
        <w:spacing w:after="0" w:line="360" w:lineRule="auto"/>
        <w:rPr>
          <w:rFonts w:ascii="仿宋_GB2312" w:eastAsia="仿宋_GB2312"/>
          <w:color w:val="auto"/>
          <w:sz w:val="32"/>
          <w:szCs w:val="32"/>
          <w:highlight w:val="none"/>
        </w:rPr>
      </w:pPr>
      <w:r>
        <w:rPr>
          <w:rFonts w:hint="eastAsia" w:ascii="仿宋_GB2312" w:eastAsia="仿宋_GB2312"/>
          <w:color w:val="auto"/>
          <w:sz w:val="24"/>
          <w:highlight w:val="none"/>
        </w:rPr>
        <w:t>签署日期：</w:t>
      </w:r>
    </w:p>
    <w:p>
      <w:pPr>
        <w:rPr>
          <w:color w:val="auto"/>
          <w:highlight w:val="none"/>
        </w:rPr>
      </w:pPr>
    </w:p>
    <w:p>
      <w:pPr>
        <w:spacing w:after="0" w:line="240" w:lineRule="auto"/>
        <w:rPr>
          <w:rFonts w:ascii="仿宋_GB2312" w:eastAsia="仿宋_GB2312"/>
          <w:b/>
          <w:color w:val="auto"/>
          <w:sz w:val="24"/>
          <w:highlight w:val="none"/>
        </w:rPr>
      </w:pPr>
      <w:r>
        <w:rPr>
          <w:rFonts w:hint="eastAsia" w:ascii="仿宋" w:hAnsi="仿宋" w:eastAsia="仿宋" w:cs="仿宋"/>
          <w:b/>
          <w:bCs/>
          <w:color w:val="auto"/>
          <w:sz w:val="30"/>
          <w:szCs w:val="30"/>
          <w:highlight w:val="none"/>
        </w:rPr>
        <w:br w:type="page"/>
      </w: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2022年第19届亚运会组委会、</w:t>
      </w:r>
      <w:r>
        <w:rPr>
          <w:rFonts w:hint="eastAsia" w:ascii="宋体" w:hAnsi="宋体" w:cs="宋体"/>
          <w:color w:val="auto"/>
          <w:sz w:val="24"/>
          <w:highlight w:val="none"/>
          <w:lang w:val="en-US" w:eastAsia="zh-CN"/>
        </w:rPr>
        <w:t>浙江五石中正工程咨询有限公司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2022年第19届亚运会组委会智能交通设施（场馆周边）采购项目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ZJWS2022-YWH1120</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2022年第19届亚运会组委会、</w:t>
      </w:r>
      <w:r>
        <w:rPr>
          <w:rFonts w:hint="eastAsia" w:ascii="宋体" w:hAnsi="宋体" w:cs="宋体"/>
          <w:color w:val="auto"/>
          <w:sz w:val="24"/>
          <w:highlight w:val="none"/>
          <w:lang w:val="en-US" w:eastAsia="zh-CN"/>
        </w:rPr>
        <w:t>浙江五石中正工程咨询有限公司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2022年第19届亚运会组委会智能交通设施（场馆周边）采购项目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ZJWS2022-YWH1120</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2" w:name="_Hlk101257010"/>
      <w:r>
        <w:rPr>
          <w:rFonts w:hint="eastAsia" w:ascii="宋体" w:hAnsi="宋体" w:cs="宋体"/>
          <w:color w:val="auto"/>
          <w:sz w:val="24"/>
          <w:highlight w:val="none"/>
        </w:rPr>
        <w:t>（如果有)</w:t>
      </w:r>
      <w:bookmarkEnd w:id="42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2022年第19届亚运会组委会、</w:t>
      </w:r>
      <w:r>
        <w:rPr>
          <w:rFonts w:hint="eastAsia" w:ascii="宋体" w:hAnsi="宋体" w:cs="宋体"/>
          <w:color w:val="auto"/>
          <w:sz w:val="24"/>
          <w:highlight w:val="none"/>
          <w:lang w:val="en-US"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lang w:val="zh-CN" w:eastAsia="zh-CN"/>
        </w:rPr>
        <w:t>2022年第19届亚运会组委会智能交通设施（场馆周边）采购项目</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lang w:val="zh-CN" w:eastAsia="zh-CN"/>
        </w:rPr>
        <w:t>ZJWS2022-YWH1120</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2022年第19届亚运会组委会、</w:t>
      </w:r>
      <w:r>
        <w:rPr>
          <w:rFonts w:hint="eastAsia" w:ascii="宋体" w:hAnsi="宋体" w:cs="宋体"/>
          <w:color w:val="auto"/>
          <w:sz w:val="24"/>
          <w:highlight w:val="none"/>
          <w:lang w:val="en-US"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lang w:val="zh-CN" w:eastAsia="zh-CN"/>
        </w:rPr>
        <w:t>2022年第19届亚运会组委会智能交通设施（场馆周边）采购项目</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lang w:val="zh-CN" w:eastAsia="zh-CN"/>
        </w:rPr>
        <w:t>ZJWS2022-YWH1120</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2022年第19届亚运会组委会、</w:t>
      </w:r>
      <w:r>
        <w:rPr>
          <w:rFonts w:hint="eastAsia" w:ascii="宋体" w:hAnsi="宋体" w:cs="宋体"/>
          <w:color w:val="auto"/>
          <w:sz w:val="24"/>
          <w:highlight w:val="none"/>
          <w:lang w:val="en-US" w:eastAsia="zh-CN"/>
        </w:rPr>
        <w:t>浙江五石中正工程咨询有限公司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2022年第19届亚运会组委会、</w:t>
      </w:r>
      <w:r>
        <w:rPr>
          <w:rFonts w:hint="eastAsia" w:ascii="宋体" w:hAnsi="宋体" w:cs="宋体"/>
          <w:color w:val="auto"/>
          <w:sz w:val="24"/>
          <w:highlight w:val="none"/>
          <w:lang w:val="en-US" w:eastAsia="zh-CN"/>
        </w:rPr>
        <w:t>浙江五石中正工程咨询有限公司</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zh-CN" w:eastAsia="zh-CN"/>
        </w:rPr>
        <w:t>2022年第19届亚运会组委会智能交通设施（场馆周边）采购项目</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lang w:val="zh-CN" w:eastAsia="zh-CN"/>
        </w:rPr>
        <w:t>ZJWS2022-YWH1120</w:t>
      </w:r>
      <w:r>
        <w:rPr>
          <w:rFonts w:hint="eastAsia" w:ascii="宋体" w:hAnsi="宋体" w:cs="宋体"/>
          <w:color w:val="auto"/>
          <w:kern w:val="0"/>
          <w:sz w:val="24"/>
          <w:highlight w:val="none"/>
          <w:lang w:val="zh-CN"/>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21"/>
        <w:gridCol w:w="2931"/>
        <w:gridCol w:w="1475"/>
        <w:gridCol w:w="3175"/>
        <w:gridCol w:w="950"/>
        <w:gridCol w:w="1112"/>
        <w:gridCol w:w="100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2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93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47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317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5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数量</w:t>
            </w:r>
          </w:p>
        </w:tc>
        <w:tc>
          <w:tcPr>
            <w:tcW w:w="1112" w:type="dxa"/>
            <w:vAlign w:val="center"/>
          </w:tcPr>
          <w:p>
            <w:pPr>
              <w:spacing w:line="360" w:lineRule="auto"/>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单价（元/个*天）</w:t>
            </w:r>
          </w:p>
        </w:tc>
        <w:tc>
          <w:tcPr>
            <w:tcW w:w="1000" w:type="dxa"/>
            <w:vAlign w:val="center"/>
          </w:tcPr>
          <w:p>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总价</w:t>
            </w:r>
          </w:p>
        </w:tc>
        <w:tc>
          <w:tcPr>
            <w:tcW w:w="113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21"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卡口相机</w:t>
            </w:r>
          </w:p>
        </w:tc>
        <w:tc>
          <w:tcPr>
            <w:tcW w:w="2931"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安装至采购人指定地点。</w:t>
            </w:r>
          </w:p>
        </w:tc>
        <w:tc>
          <w:tcPr>
            <w:tcW w:w="1475" w:type="dxa"/>
            <w:vAlign w:val="center"/>
          </w:tcPr>
          <w:p>
            <w:pPr>
              <w:snapToGrid w:val="0"/>
              <w:spacing w:line="360" w:lineRule="auto"/>
              <w:jc w:val="center"/>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详见招标文件需求部分</w:t>
            </w:r>
          </w:p>
        </w:tc>
        <w:tc>
          <w:tcPr>
            <w:tcW w:w="3175"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2023年</w:t>
            </w:r>
            <w:r>
              <w:rPr>
                <w:rFonts w:hint="eastAsia" w:ascii="宋体" w:hAnsi="宋体" w:cs="宋体"/>
                <w:color w:val="auto"/>
                <w:sz w:val="24"/>
                <w:highlight w:val="none"/>
                <w:u w:val="none"/>
                <w:lang w:val="en-US" w:eastAsia="zh-CN"/>
              </w:rPr>
              <w:t>8</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日至2023年1</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日期间正式运行。</w:t>
            </w:r>
          </w:p>
        </w:tc>
        <w:tc>
          <w:tcPr>
            <w:tcW w:w="950" w:type="dxa"/>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188个</w:t>
            </w:r>
          </w:p>
        </w:tc>
        <w:tc>
          <w:tcPr>
            <w:tcW w:w="1112" w:type="dxa"/>
            <w:vAlign w:val="center"/>
          </w:tcPr>
          <w:p>
            <w:pPr>
              <w:spacing w:line="360" w:lineRule="auto"/>
              <w:jc w:val="center"/>
              <w:rPr>
                <w:rFonts w:ascii="宋体" w:hAnsi="宋体" w:cs="宋体"/>
                <w:color w:val="auto"/>
                <w:sz w:val="24"/>
                <w:highlight w:val="none"/>
              </w:rPr>
            </w:pPr>
          </w:p>
        </w:tc>
        <w:tc>
          <w:tcPr>
            <w:tcW w:w="1000" w:type="dxa"/>
            <w:vAlign w:val="center"/>
          </w:tcPr>
          <w:p>
            <w:pPr>
              <w:spacing w:line="360" w:lineRule="auto"/>
              <w:jc w:val="center"/>
              <w:rPr>
                <w:rFonts w:ascii="宋体" w:hAnsi="宋体" w:cs="宋体"/>
                <w:color w:val="auto"/>
                <w:sz w:val="24"/>
                <w:highlight w:val="none"/>
              </w:rPr>
            </w:pPr>
          </w:p>
        </w:tc>
        <w:tc>
          <w:tcPr>
            <w:tcW w:w="113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21"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AR高点监控</w:t>
            </w:r>
          </w:p>
        </w:tc>
        <w:tc>
          <w:tcPr>
            <w:tcW w:w="2931"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安装至采购人指定地点。</w:t>
            </w:r>
          </w:p>
        </w:tc>
        <w:tc>
          <w:tcPr>
            <w:tcW w:w="1475"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详见招标文件需求部分</w:t>
            </w:r>
          </w:p>
        </w:tc>
        <w:tc>
          <w:tcPr>
            <w:tcW w:w="3175"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2023年</w:t>
            </w:r>
            <w:r>
              <w:rPr>
                <w:rFonts w:hint="eastAsia" w:ascii="宋体" w:hAnsi="宋体" w:cs="宋体"/>
                <w:color w:val="auto"/>
                <w:sz w:val="24"/>
                <w:highlight w:val="none"/>
                <w:u w:val="none"/>
                <w:lang w:val="en-US" w:eastAsia="zh-CN"/>
              </w:rPr>
              <w:t>8</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日至2023年1</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日期间正式运行。</w:t>
            </w:r>
          </w:p>
        </w:tc>
        <w:tc>
          <w:tcPr>
            <w:tcW w:w="950"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9个</w:t>
            </w:r>
          </w:p>
        </w:tc>
        <w:tc>
          <w:tcPr>
            <w:tcW w:w="1112" w:type="dxa"/>
            <w:vAlign w:val="center"/>
          </w:tcPr>
          <w:p>
            <w:pPr>
              <w:spacing w:line="360" w:lineRule="auto"/>
              <w:jc w:val="center"/>
              <w:rPr>
                <w:rFonts w:ascii="宋体" w:hAnsi="宋体" w:cs="宋体"/>
                <w:color w:val="auto"/>
                <w:sz w:val="24"/>
                <w:highlight w:val="none"/>
              </w:rPr>
            </w:pPr>
          </w:p>
        </w:tc>
        <w:tc>
          <w:tcPr>
            <w:tcW w:w="1000" w:type="dxa"/>
            <w:vAlign w:val="center"/>
          </w:tcPr>
          <w:p>
            <w:pPr>
              <w:spacing w:line="360" w:lineRule="auto"/>
              <w:jc w:val="center"/>
              <w:rPr>
                <w:rFonts w:ascii="宋体" w:hAnsi="宋体" w:cs="宋体"/>
                <w:color w:val="auto"/>
                <w:sz w:val="24"/>
                <w:highlight w:val="none"/>
              </w:rPr>
            </w:pPr>
          </w:p>
        </w:tc>
        <w:tc>
          <w:tcPr>
            <w:tcW w:w="113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621"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地面监控</w:t>
            </w:r>
          </w:p>
        </w:tc>
        <w:tc>
          <w:tcPr>
            <w:tcW w:w="2931"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安装至采购人指定地点。</w:t>
            </w:r>
          </w:p>
        </w:tc>
        <w:tc>
          <w:tcPr>
            <w:tcW w:w="1475"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详见招标文件需求部分</w:t>
            </w:r>
          </w:p>
        </w:tc>
        <w:tc>
          <w:tcPr>
            <w:tcW w:w="3175" w:type="dxa"/>
            <w:vAlign w:val="center"/>
          </w:tcPr>
          <w:p>
            <w:pPr>
              <w:snapToGrid w:val="0"/>
              <w:spacing w:line="360" w:lineRule="auto"/>
              <w:jc w:val="center"/>
              <w:rPr>
                <w:rFonts w:ascii="宋体" w:hAnsi="宋体" w:cs="宋体"/>
                <w:color w:val="auto"/>
                <w:sz w:val="24"/>
                <w:highlight w:val="none"/>
                <w:u w:val="none"/>
              </w:rPr>
            </w:pPr>
            <w:r>
              <w:rPr>
                <w:rFonts w:hint="eastAsia" w:ascii="宋体" w:hAnsi="宋体" w:cs="宋体"/>
                <w:color w:val="auto"/>
                <w:sz w:val="24"/>
                <w:highlight w:val="none"/>
                <w:u w:val="none"/>
              </w:rPr>
              <w:t>2023年</w:t>
            </w:r>
            <w:r>
              <w:rPr>
                <w:rFonts w:hint="eastAsia" w:ascii="宋体" w:hAnsi="宋体" w:cs="宋体"/>
                <w:color w:val="auto"/>
                <w:sz w:val="24"/>
                <w:highlight w:val="none"/>
                <w:u w:val="none"/>
                <w:lang w:val="en-US" w:eastAsia="zh-CN"/>
              </w:rPr>
              <w:t>8</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日至2023年1</w:t>
            </w:r>
            <w:r>
              <w:rPr>
                <w:rFonts w:hint="eastAsia" w:ascii="宋体" w:hAnsi="宋体" w:cs="宋体"/>
                <w:color w:val="auto"/>
                <w:sz w:val="24"/>
                <w:highlight w:val="none"/>
                <w:u w:val="none"/>
                <w:lang w:val="en-US" w:eastAsia="zh-CN"/>
              </w:rPr>
              <w:t>1</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30</w:t>
            </w:r>
            <w:r>
              <w:rPr>
                <w:rFonts w:hint="eastAsia" w:ascii="宋体" w:hAnsi="宋体" w:cs="宋体"/>
                <w:color w:val="auto"/>
                <w:sz w:val="24"/>
                <w:highlight w:val="none"/>
                <w:u w:val="none"/>
              </w:rPr>
              <w:t>日期间正式运行。</w:t>
            </w:r>
          </w:p>
        </w:tc>
        <w:tc>
          <w:tcPr>
            <w:tcW w:w="95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6个</w:t>
            </w:r>
          </w:p>
        </w:tc>
        <w:tc>
          <w:tcPr>
            <w:tcW w:w="1112" w:type="dxa"/>
            <w:vAlign w:val="center"/>
          </w:tcPr>
          <w:p>
            <w:pPr>
              <w:spacing w:line="360" w:lineRule="auto"/>
              <w:jc w:val="center"/>
              <w:rPr>
                <w:rFonts w:ascii="宋体" w:hAnsi="宋体" w:cs="宋体"/>
                <w:color w:val="auto"/>
                <w:sz w:val="24"/>
                <w:highlight w:val="none"/>
              </w:rPr>
            </w:pPr>
          </w:p>
        </w:tc>
        <w:tc>
          <w:tcPr>
            <w:tcW w:w="1000" w:type="dxa"/>
            <w:vAlign w:val="center"/>
          </w:tcPr>
          <w:p>
            <w:pPr>
              <w:spacing w:line="360" w:lineRule="auto"/>
              <w:jc w:val="center"/>
              <w:rPr>
                <w:rFonts w:ascii="宋体" w:hAnsi="宋体" w:cs="宋体"/>
                <w:color w:val="auto"/>
                <w:sz w:val="24"/>
                <w:highlight w:val="none"/>
              </w:rPr>
            </w:pPr>
          </w:p>
        </w:tc>
        <w:tc>
          <w:tcPr>
            <w:tcW w:w="113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44"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372" w:type="dxa"/>
            <w:gridSpan w:val="5"/>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844"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372" w:type="dxa"/>
            <w:gridSpan w:val="5"/>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3" w:name="OLE_LINK13"/>
      <w:bookmarkStart w:id="424" w:name="OLE_LINK14"/>
      <w:r>
        <w:rPr>
          <w:rFonts w:hint="eastAsia" w:ascii="宋体" w:hAnsi="宋体" w:cs="宋体"/>
          <w:b/>
          <w:color w:val="auto"/>
          <w:spacing w:val="6"/>
          <w:sz w:val="32"/>
          <w:szCs w:val="32"/>
          <w:highlight w:val="none"/>
        </w:rPr>
        <w:t>残疾人福利性单位声明函</w:t>
      </w:r>
    </w:p>
    <w:bookmarkEnd w:id="423"/>
    <w:bookmarkEnd w:id="42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2022年第19届亚运会组委会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浙江五石中正工程咨询有限公司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2022年第19届亚运会组委会智能交通设施（场馆周边）采购项目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ZJWS2022-YWH1120</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2022年第19届亚运会组委会智能交通设施（场馆周边）采购项目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ZJWS2022-YWH1120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5"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5"/>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6"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6"/>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7"/>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2022年第19届亚运会组委会智能交通设施（场馆周边）采购项目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ZJWS2022-YWH1120</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2022年第19届亚运会组委会</w:t>
      </w:r>
      <w:r>
        <w:rPr>
          <w:rFonts w:hint="eastAsia" w:ascii="宋体" w:hAnsi="宋体" w:cs="宋体"/>
          <w:color w:val="auto"/>
          <w:sz w:val="24"/>
          <w:highlight w:val="none"/>
        </w:rPr>
        <w:t xml:space="preserve"> 的 </w:t>
      </w:r>
      <w:r>
        <w:rPr>
          <w:rFonts w:hint="eastAsia" w:ascii="宋体" w:hAnsi="宋体" w:cs="宋体"/>
          <w:color w:val="auto"/>
          <w:sz w:val="24"/>
          <w:highlight w:val="none"/>
          <w:u w:val="single"/>
          <w:lang w:eastAsia="zh-CN"/>
        </w:rPr>
        <w:t>2022年第19届亚运会组委会智能交通设施（场馆周边）采购项目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w:t>
      </w:r>
      <w:r>
        <w:rPr>
          <w:rFonts w:hint="eastAsia" w:ascii="宋体" w:hAnsi="宋体" w:cs="宋体"/>
          <w:color w:val="auto"/>
          <w:sz w:val="24"/>
          <w:highlight w:val="none"/>
          <w:lang w:eastAsia="zh-CN"/>
        </w:rPr>
        <w:t>，</w:t>
      </w:r>
      <w:r>
        <w:rPr>
          <w:rFonts w:hint="eastAsia" w:ascii="宋体" w:hAnsi="宋体" w:cs="宋体"/>
          <w:color w:val="auto"/>
          <w:sz w:val="24"/>
          <w:highlight w:val="none"/>
        </w:rPr>
        <w:t>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智能交通设施（场馆周边）</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租赁和商务服务业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8" w:name="_Toc131845147"/>
    <w:bookmarkStart w:id="429" w:name="_Toc164085800"/>
    <w:bookmarkStart w:id="430" w:name="_Toc36110187"/>
    <w:bookmarkStart w:id="431" w:name="_Toc91899912"/>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03137"/>
    <w:multiLevelType w:val="singleLevel"/>
    <w:tmpl w:val="B0E03137"/>
    <w:lvl w:ilvl="0" w:tentative="0">
      <w:start w:val="1"/>
      <w:numFmt w:val="decimal"/>
      <w:suff w:val="space"/>
      <w:lvlText w:val="%1."/>
      <w:lvlJc w:val="left"/>
    </w:lvl>
  </w:abstractNum>
  <w:abstractNum w:abstractNumId="1">
    <w:nsid w:val="C3069CD9"/>
    <w:multiLevelType w:val="singleLevel"/>
    <w:tmpl w:val="C3069CD9"/>
    <w:lvl w:ilvl="0" w:tentative="0">
      <w:start w:val="1"/>
      <w:numFmt w:val="decimal"/>
      <w:suff w:val="space"/>
      <w:lvlText w:val="%1."/>
      <w:lvlJc w:val="left"/>
    </w:lvl>
  </w:abstractNum>
  <w:abstractNum w:abstractNumId="2">
    <w:nsid w:val="CD9E4F4A"/>
    <w:multiLevelType w:val="singleLevel"/>
    <w:tmpl w:val="CD9E4F4A"/>
    <w:lvl w:ilvl="0" w:tentative="0">
      <w:start w:val="1"/>
      <w:numFmt w:val="decimal"/>
      <w:suff w:val="space"/>
      <w:lvlText w:val="%1."/>
      <w:lvlJc w:val="left"/>
    </w:lvl>
  </w:abstractNum>
  <w:abstractNum w:abstractNumId="3">
    <w:nsid w:val="D1F90EB2"/>
    <w:multiLevelType w:val="singleLevel"/>
    <w:tmpl w:val="D1F90EB2"/>
    <w:lvl w:ilvl="0" w:tentative="0">
      <w:start w:val="1"/>
      <w:numFmt w:val="decimal"/>
      <w:suff w:val="space"/>
      <w:lvlText w:val="%1."/>
      <w:lvlJc w:val="left"/>
    </w:lvl>
  </w:abstractNum>
  <w:abstractNum w:abstractNumId="4">
    <w:nsid w:val="E81250E6"/>
    <w:multiLevelType w:val="singleLevel"/>
    <w:tmpl w:val="E81250E6"/>
    <w:lvl w:ilvl="0" w:tentative="0">
      <w:start w:val="4"/>
      <w:numFmt w:val="decimal"/>
      <w:lvlText w:val="%1."/>
      <w:lvlJc w:val="left"/>
      <w:pPr>
        <w:tabs>
          <w:tab w:val="left" w:pos="312"/>
        </w:tabs>
      </w:pPr>
    </w:lvl>
  </w:abstractNum>
  <w:abstractNum w:abstractNumId="5">
    <w:nsid w:val="FE3769E3"/>
    <w:multiLevelType w:val="singleLevel"/>
    <w:tmpl w:val="FE3769E3"/>
    <w:lvl w:ilvl="0" w:tentative="0">
      <w:start w:val="1"/>
      <w:numFmt w:val="decimal"/>
      <w:suff w:val="space"/>
      <w:lvlText w:val="%1."/>
      <w:lvlJc w:val="left"/>
    </w:lvl>
  </w:abstractNum>
  <w:abstractNum w:abstractNumId="6">
    <w:nsid w:val="28FE43E5"/>
    <w:multiLevelType w:val="singleLevel"/>
    <w:tmpl w:val="28FE43E5"/>
    <w:lvl w:ilvl="0" w:tentative="0">
      <w:start w:val="1"/>
      <w:numFmt w:val="decimal"/>
      <w:suff w:val="space"/>
      <w:lvlText w:val="%1."/>
      <w:lvlJc w:val="left"/>
    </w:lvl>
  </w:abstractNum>
  <w:abstractNum w:abstractNumId="7">
    <w:nsid w:val="2AD1616A"/>
    <w:multiLevelType w:val="singleLevel"/>
    <w:tmpl w:val="2AD1616A"/>
    <w:lvl w:ilvl="0" w:tentative="0">
      <w:start w:val="1"/>
      <w:numFmt w:val="decimal"/>
      <w:suff w:val="space"/>
      <w:lvlText w:val="%1."/>
      <w:lvlJc w:val="left"/>
    </w:lvl>
  </w:abstractNum>
  <w:abstractNum w:abstractNumId="8">
    <w:nsid w:val="2D659EB7"/>
    <w:multiLevelType w:val="singleLevel"/>
    <w:tmpl w:val="2D659EB7"/>
    <w:lvl w:ilvl="0" w:tentative="0">
      <w:start w:val="1"/>
      <w:numFmt w:val="decimal"/>
      <w:suff w:val="space"/>
      <w:lvlText w:val="%1."/>
      <w:lvlJc w:val="left"/>
    </w:lvl>
  </w:abstractNum>
  <w:abstractNum w:abstractNumId="9">
    <w:nsid w:val="30E79D00"/>
    <w:multiLevelType w:val="singleLevel"/>
    <w:tmpl w:val="30E79D00"/>
    <w:lvl w:ilvl="0" w:tentative="0">
      <w:start w:val="1"/>
      <w:numFmt w:val="decimal"/>
      <w:suff w:val="space"/>
      <w:lvlText w:val="%1."/>
      <w:lvlJc w:val="left"/>
    </w:lvl>
  </w:abstractNum>
  <w:abstractNum w:abstractNumId="10">
    <w:nsid w:val="46544B8C"/>
    <w:multiLevelType w:val="singleLevel"/>
    <w:tmpl w:val="46544B8C"/>
    <w:lvl w:ilvl="0" w:tentative="0">
      <w:start w:val="1"/>
      <w:numFmt w:val="decimal"/>
      <w:suff w:val="space"/>
      <w:lvlText w:val="%1."/>
      <w:lvlJc w:val="left"/>
    </w:lvl>
  </w:abstractNum>
  <w:abstractNum w:abstractNumId="11">
    <w:nsid w:val="47214FC6"/>
    <w:multiLevelType w:val="singleLevel"/>
    <w:tmpl w:val="47214FC6"/>
    <w:lvl w:ilvl="0" w:tentative="0">
      <w:start w:val="1"/>
      <w:numFmt w:val="decimal"/>
      <w:suff w:val="space"/>
      <w:lvlText w:val="%1."/>
      <w:lvlJc w:val="left"/>
    </w:lvl>
  </w:abstractNum>
  <w:abstractNum w:abstractNumId="12">
    <w:nsid w:val="5BBF8C9A"/>
    <w:multiLevelType w:val="singleLevel"/>
    <w:tmpl w:val="5BBF8C9A"/>
    <w:lvl w:ilvl="0" w:tentative="0">
      <w:start w:val="1"/>
      <w:numFmt w:val="decimal"/>
      <w:suff w:val="space"/>
      <w:lvlText w:val="%1."/>
      <w:lvlJc w:val="left"/>
    </w:lvl>
  </w:abstractNum>
  <w:abstractNum w:abstractNumId="13">
    <w:nsid w:val="77E2233C"/>
    <w:multiLevelType w:val="singleLevel"/>
    <w:tmpl w:val="77E2233C"/>
    <w:lvl w:ilvl="0" w:tentative="0">
      <w:start w:val="1"/>
      <w:numFmt w:val="decimal"/>
      <w:suff w:val="space"/>
      <w:lvlText w:val="%1."/>
      <w:lvlJc w:val="left"/>
    </w:lvl>
  </w:abstractNum>
  <w:num w:numId="1">
    <w:abstractNumId w:val="4"/>
  </w:num>
  <w:num w:numId="2">
    <w:abstractNumId w:val="9"/>
  </w:num>
  <w:num w:numId="3">
    <w:abstractNumId w:val="5"/>
  </w:num>
  <w:num w:numId="4">
    <w:abstractNumId w:val="10"/>
  </w:num>
  <w:num w:numId="5">
    <w:abstractNumId w:val="2"/>
  </w:num>
  <w:num w:numId="6">
    <w:abstractNumId w:val="3"/>
  </w:num>
  <w:num w:numId="7">
    <w:abstractNumId w:val="1"/>
  </w:num>
  <w:num w:numId="8">
    <w:abstractNumId w:val="7"/>
  </w:num>
  <w:num w:numId="9">
    <w:abstractNumId w:val="8"/>
  </w:num>
  <w:num w:numId="10">
    <w:abstractNumId w:val="11"/>
  </w:num>
  <w:num w:numId="11">
    <w:abstractNumId w:val="13"/>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WRlMmJhZmM5MDg5ZGU1ZjM2YmY2NDQ2ZmNmMWEifQ=="/>
    <w:docVar w:name="KSO_WPS_MARK_KEY" w:val="3ef82e9c-566e-43b7-ae10-ee51455230f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2668"/>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405"/>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1D13"/>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5D1E"/>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6A7762"/>
    <w:rsid w:val="039D4CD9"/>
    <w:rsid w:val="03DD35E4"/>
    <w:rsid w:val="04076900"/>
    <w:rsid w:val="041A5A3B"/>
    <w:rsid w:val="042311BA"/>
    <w:rsid w:val="042B157A"/>
    <w:rsid w:val="048F763B"/>
    <w:rsid w:val="049F330E"/>
    <w:rsid w:val="04AA775C"/>
    <w:rsid w:val="04AF1889"/>
    <w:rsid w:val="04F66F48"/>
    <w:rsid w:val="05251E14"/>
    <w:rsid w:val="05402DF5"/>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26E0E"/>
    <w:rsid w:val="09535675"/>
    <w:rsid w:val="095F057D"/>
    <w:rsid w:val="09642282"/>
    <w:rsid w:val="09733572"/>
    <w:rsid w:val="09772C16"/>
    <w:rsid w:val="098353B5"/>
    <w:rsid w:val="09976DD7"/>
    <w:rsid w:val="09A92330"/>
    <w:rsid w:val="09B06B87"/>
    <w:rsid w:val="09C13146"/>
    <w:rsid w:val="09E04166"/>
    <w:rsid w:val="0A1C0718"/>
    <w:rsid w:val="0A3E7710"/>
    <w:rsid w:val="0A5B7E63"/>
    <w:rsid w:val="0A8E63CB"/>
    <w:rsid w:val="0AA374A5"/>
    <w:rsid w:val="0AAB7649"/>
    <w:rsid w:val="0ABC5606"/>
    <w:rsid w:val="0AFE43BE"/>
    <w:rsid w:val="0B30404E"/>
    <w:rsid w:val="0B3E6C1F"/>
    <w:rsid w:val="0B4C6C14"/>
    <w:rsid w:val="0B547599"/>
    <w:rsid w:val="0B631A88"/>
    <w:rsid w:val="0B683D45"/>
    <w:rsid w:val="0B7F3F11"/>
    <w:rsid w:val="0B884417"/>
    <w:rsid w:val="0BF6188C"/>
    <w:rsid w:val="0BF64289"/>
    <w:rsid w:val="0BF73C91"/>
    <w:rsid w:val="0C170175"/>
    <w:rsid w:val="0C1E044F"/>
    <w:rsid w:val="0C571A41"/>
    <w:rsid w:val="0C5B40EC"/>
    <w:rsid w:val="0C5C1171"/>
    <w:rsid w:val="0C5E1CBC"/>
    <w:rsid w:val="0C615B50"/>
    <w:rsid w:val="0C8445DA"/>
    <w:rsid w:val="0C87121B"/>
    <w:rsid w:val="0CC007F7"/>
    <w:rsid w:val="0CC617AC"/>
    <w:rsid w:val="0CE618DF"/>
    <w:rsid w:val="0CFE707A"/>
    <w:rsid w:val="0D063BDA"/>
    <w:rsid w:val="0D08375F"/>
    <w:rsid w:val="0D184CFB"/>
    <w:rsid w:val="0D4A7419"/>
    <w:rsid w:val="0D70335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17341"/>
    <w:rsid w:val="0F4958DC"/>
    <w:rsid w:val="0F515DF7"/>
    <w:rsid w:val="0F596BA8"/>
    <w:rsid w:val="0F6248D2"/>
    <w:rsid w:val="0F693536"/>
    <w:rsid w:val="0F7B0511"/>
    <w:rsid w:val="0F7B76D9"/>
    <w:rsid w:val="0F816ACD"/>
    <w:rsid w:val="0F9832DB"/>
    <w:rsid w:val="0FBF3FD2"/>
    <w:rsid w:val="0FBF7FF3"/>
    <w:rsid w:val="101822F4"/>
    <w:rsid w:val="10646583"/>
    <w:rsid w:val="107D4B15"/>
    <w:rsid w:val="108A3C80"/>
    <w:rsid w:val="10C26171"/>
    <w:rsid w:val="10F33360"/>
    <w:rsid w:val="10FC16EA"/>
    <w:rsid w:val="1106072F"/>
    <w:rsid w:val="110F1D40"/>
    <w:rsid w:val="11266F33"/>
    <w:rsid w:val="118963A1"/>
    <w:rsid w:val="11C6522A"/>
    <w:rsid w:val="11E104CC"/>
    <w:rsid w:val="11E20309"/>
    <w:rsid w:val="12255233"/>
    <w:rsid w:val="12530213"/>
    <w:rsid w:val="127723A9"/>
    <w:rsid w:val="12862074"/>
    <w:rsid w:val="12883966"/>
    <w:rsid w:val="12993698"/>
    <w:rsid w:val="129E45B4"/>
    <w:rsid w:val="129F3F7E"/>
    <w:rsid w:val="12D25339"/>
    <w:rsid w:val="12D81596"/>
    <w:rsid w:val="13072A44"/>
    <w:rsid w:val="135F4BE2"/>
    <w:rsid w:val="139B1A0A"/>
    <w:rsid w:val="139D25C7"/>
    <w:rsid w:val="13BF3CE4"/>
    <w:rsid w:val="141008D8"/>
    <w:rsid w:val="14125FE6"/>
    <w:rsid w:val="142C45C0"/>
    <w:rsid w:val="14555726"/>
    <w:rsid w:val="146D271E"/>
    <w:rsid w:val="14982588"/>
    <w:rsid w:val="149A5AD9"/>
    <w:rsid w:val="14A7619D"/>
    <w:rsid w:val="14F665EE"/>
    <w:rsid w:val="150536C3"/>
    <w:rsid w:val="150C1963"/>
    <w:rsid w:val="151447A0"/>
    <w:rsid w:val="151C6B5E"/>
    <w:rsid w:val="154A6454"/>
    <w:rsid w:val="154F1FA8"/>
    <w:rsid w:val="15762120"/>
    <w:rsid w:val="15A10189"/>
    <w:rsid w:val="16A8729C"/>
    <w:rsid w:val="16B33777"/>
    <w:rsid w:val="16BC70A7"/>
    <w:rsid w:val="16C6339E"/>
    <w:rsid w:val="16EA7BE5"/>
    <w:rsid w:val="172F2D79"/>
    <w:rsid w:val="17557BEF"/>
    <w:rsid w:val="17D349C1"/>
    <w:rsid w:val="17FB2AB5"/>
    <w:rsid w:val="180873B5"/>
    <w:rsid w:val="1830729E"/>
    <w:rsid w:val="1844637C"/>
    <w:rsid w:val="1870062C"/>
    <w:rsid w:val="18817102"/>
    <w:rsid w:val="18830A15"/>
    <w:rsid w:val="18852B28"/>
    <w:rsid w:val="188B5321"/>
    <w:rsid w:val="19151AC7"/>
    <w:rsid w:val="19310EC0"/>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420A1"/>
    <w:rsid w:val="1BA209CF"/>
    <w:rsid w:val="1BB4777D"/>
    <w:rsid w:val="1BD75AB8"/>
    <w:rsid w:val="1C0459C2"/>
    <w:rsid w:val="1C1B3B4A"/>
    <w:rsid w:val="1C2A3ADB"/>
    <w:rsid w:val="1C315AED"/>
    <w:rsid w:val="1C88086E"/>
    <w:rsid w:val="1D012656"/>
    <w:rsid w:val="1D266CE1"/>
    <w:rsid w:val="1D3552B4"/>
    <w:rsid w:val="1D3963AF"/>
    <w:rsid w:val="1D5B6ED0"/>
    <w:rsid w:val="1D6A673C"/>
    <w:rsid w:val="1D9247AE"/>
    <w:rsid w:val="1DB567EC"/>
    <w:rsid w:val="1DEF2B83"/>
    <w:rsid w:val="1DF51A98"/>
    <w:rsid w:val="1E3D060F"/>
    <w:rsid w:val="1E3F7D2E"/>
    <w:rsid w:val="1E4134E4"/>
    <w:rsid w:val="1E5062B3"/>
    <w:rsid w:val="1E523514"/>
    <w:rsid w:val="1E714A66"/>
    <w:rsid w:val="1E802593"/>
    <w:rsid w:val="1E8B6156"/>
    <w:rsid w:val="1EA703CC"/>
    <w:rsid w:val="1EB61C65"/>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2550BC"/>
    <w:rsid w:val="22334A87"/>
    <w:rsid w:val="2234120F"/>
    <w:rsid w:val="2263536D"/>
    <w:rsid w:val="22BE6801"/>
    <w:rsid w:val="231E755B"/>
    <w:rsid w:val="233500BF"/>
    <w:rsid w:val="23377FF7"/>
    <w:rsid w:val="23461C5D"/>
    <w:rsid w:val="236B425F"/>
    <w:rsid w:val="23836192"/>
    <w:rsid w:val="23901F29"/>
    <w:rsid w:val="239C0061"/>
    <w:rsid w:val="23B908A4"/>
    <w:rsid w:val="23BB5F79"/>
    <w:rsid w:val="23E95BEF"/>
    <w:rsid w:val="23FD0064"/>
    <w:rsid w:val="245375B0"/>
    <w:rsid w:val="24642C0A"/>
    <w:rsid w:val="2483249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83439"/>
    <w:rsid w:val="271D34C8"/>
    <w:rsid w:val="273B094A"/>
    <w:rsid w:val="276142BF"/>
    <w:rsid w:val="27783712"/>
    <w:rsid w:val="27907362"/>
    <w:rsid w:val="28333E1D"/>
    <w:rsid w:val="28454BD6"/>
    <w:rsid w:val="28455253"/>
    <w:rsid w:val="28551971"/>
    <w:rsid w:val="285B1C53"/>
    <w:rsid w:val="289F7086"/>
    <w:rsid w:val="28C32028"/>
    <w:rsid w:val="28CC490F"/>
    <w:rsid w:val="28DE40AA"/>
    <w:rsid w:val="28FE11A4"/>
    <w:rsid w:val="290D5AFA"/>
    <w:rsid w:val="29345E77"/>
    <w:rsid w:val="2936350E"/>
    <w:rsid w:val="294C65AD"/>
    <w:rsid w:val="29806583"/>
    <w:rsid w:val="298B3C4C"/>
    <w:rsid w:val="29F26D24"/>
    <w:rsid w:val="2A15033F"/>
    <w:rsid w:val="2A1662C1"/>
    <w:rsid w:val="2A1C7367"/>
    <w:rsid w:val="2A2815FA"/>
    <w:rsid w:val="2A6D6092"/>
    <w:rsid w:val="2A7D76B4"/>
    <w:rsid w:val="2B437463"/>
    <w:rsid w:val="2B6854C5"/>
    <w:rsid w:val="2B7807EE"/>
    <w:rsid w:val="2BA50BF7"/>
    <w:rsid w:val="2BA524BA"/>
    <w:rsid w:val="2BBF00EC"/>
    <w:rsid w:val="2BC37CFD"/>
    <w:rsid w:val="2BCD753B"/>
    <w:rsid w:val="2BD5237F"/>
    <w:rsid w:val="2BE536CE"/>
    <w:rsid w:val="2BE758D9"/>
    <w:rsid w:val="2C09049E"/>
    <w:rsid w:val="2C0A653C"/>
    <w:rsid w:val="2C191F85"/>
    <w:rsid w:val="2C6E3AE6"/>
    <w:rsid w:val="2C9C5508"/>
    <w:rsid w:val="2CE82D6F"/>
    <w:rsid w:val="2D343236"/>
    <w:rsid w:val="2DD15014"/>
    <w:rsid w:val="2DF72DE4"/>
    <w:rsid w:val="2E0220AF"/>
    <w:rsid w:val="2E236184"/>
    <w:rsid w:val="2E440D3E"/>
    <w:rsid w:val="2E4B082A"/>
    <w:rsid w:val="2E5D4E86"/>
    <w:rsid w:val="2E5D790B"/>
    <w:rsid w:val="2E9A3C18"/>
    <w:rsid w:val="2EBB0FEE"/>
    <w:rsid w:val="2EC63002"/>
    <w:rsid w:val="2F0A6B38"/>
    <w:rsid w:val="2F5D1081"/>
    <w:rsid w:val="2F826A65"/>
    <w:rsid w:val="2F946CCB"/>
    <w:rsid w:val="2FD25781"/>
    <w:rsid w:val="2FDC745C"/>
    <w:rsid w:val="2FFD7934"/>
    <w:rsid w:val="3066219E"/>
    <w:rsid w:val="30733ACD"/>
    <w:rsid w:val="308C3862"/>
    <w:rsid w:val="309379D8"/>
    <w:rsid w:val="30A270F7"/>
    <w:rsid w:val="30D36097"/>
    <w:rsid w:val="30DF1478"/>
    <w:rsid w:val="30EC586F"/>
    <w:rsid w:val="314550B7"/>
    <w:rsid w:val="319C6071"/>
    <w:rsid w:val="31AC537E"/>
    <w:rsid w:val="31E3679B"/>
    <w:rsid w:val="31E732FD"/>
    <w:rsid w:val="32517576"/>
    <w:rsid w:val="32BE5C2C"/>
    <w:rsid w:val="32FB6478"/>
    <w:rsid w:val="33263B3F"/>
    <w:rsid w:val="336963EB"/>
    <w:rsid w:val="33816EEB"/>
    <w:rsid w:val="33CA7E69"/>
    <w:rsid w:val="33E12879"/>
    <w:rsid w:val="33EB55CD"/>
    <w:rsid w:val="33EC4C02"/>
    <w:rsid w:val="340D2360"/>
    <w:rsid w:val="3410665D"/>
    <w:rsid w:val="34211214"/>
    <w:rsid w:val="342E63AB"/>
    <w:rsid w:val="34950E68"/>
    <w:rsid w:val="34986E94"/>
    <w:rsid w:val="34AF62C9"/>
    <w:rsid w:val="34CB4388"/>
    <w:rsid w:val="34FA6E12"/>
    <w:rsid w:val="351D1FD7"/>
    <w:rsid w:val="35216CD0"/>
    <w:rsid w:val="354D7158"/>
    <w:rsid w:val="358D5588"/>
    <w:rsid w:val="363A3B40"/>
    <w:rsid w:val="365302AE"/>
    <w:rsid w:val="36607A0A"/>
    <w:rsid w:val="366E227C"/>
    <w:rsid w:val="366F2E0D"/>
    <w:rsid w:val="367B6A5C"/>
    <w:rsid w:val="36A74ADA"/>
    <w:rsid w:val="36AD60D5"/>
    <w:rsid w:val="36B224F9"/>
    <w:rsid w:val="36EC0CC9"/>
    <w:rsid w:val="37144D14"/>
    <w:rsid w:val="373F410B"/>
    <w:rsid w:val="37EE7094"/>
    <w:rsid w:val="38296C89"/>
    <w:rsid w:val="383002EB"/>
    <w:rsid w:val="38586797"/>
    <w:rsid w:val="386A108F"/>
    <w:rsid w:val="389E2BCE"/>
    <w:rsid w:val="38A00F55"/>
    <w:rsid w:val="38BC0149"/>
    <w:rsid w:val="38D87D1C"/>
    <w:rsid w:val="38FF3ECD"/>
    <w:rsid w:val="39636459"/>
    <w:rsid w:val="396B7F6C"/>
    <w:rsid w:val="39B417A9"/>
    <w:rsid w:val="39FC5695"/>
    <w:rsid w:val="3A006D8E"/>
    <w:rsid w:val="3A3651E5"/>
    <w:rsid w:val="3A744481"/>
    <w:rsid w:val="3A8C7BEF"/>
    <w:rsid w:val="3A906246"/>
    <w:rsid w:val="3B2349B7"/>
    <w:rsid w:val="3B583D69"/>
    <w:rsid w:val="3B5A363D"/>
    <w:rsid w:val="3B616CFF"/>
    <w:rsid w:val="3B6259F6"/>
    <w:rsid w:val="3B976654"/>
    <w:rsid w:val="3BC01EFC"/>
    <w:rsid w:val="3BCA786A"/>
    <w:rsid w:val="3BD31E2F"/>
    <w:rsid w:val="3BF15831"/>
    <w:rsid w:val="3C105946"/>
    <w:rsid w:val="3C406CD7"/>
    <w:rsid w:val="3C471448"/>
    <w:rsid w:val="3C5F759A"/>
    <w:rsid w:val="3C6C525A"/>
    <w:rsid w:val="3CCE23CB"/>
    <w:rsid w:val="3CD17D17"/>
    <w:rsid w:val="3D2E2F99"/>
    <w:rsid w:val="3D3C7F39"/>
    <w:rsid w:val="3D440F09"/>
    <w:rsid w:val="3D4504A0"/>
    <w:rsid w:val="3D8734BB"/>
    <w:rsid w:val="3D9A11D4"/>
    <w:rsid w:val="3DA16D89"/>
    <w:rsid w:val="3DA364BE"/>
    <w:rsid w:val="3DE041CB"/>
    <w:rsid w:val="3E0D48F6"/>
    <w:rsid w:val="3E1868B4"/>
    <w:rsid w:val="3E3143FD"/>
    <w:rsid w:val="3E377251"/>
    <w:rsid w:val="3E42664B"/>
    <w:rsid w:val="3E5A7334"/>
    <w:rsid w:val="3E7B5D6B"/>
    <w:rsid w:val="3E843E66"/>
    <w:rsid w:val="3E896089"/>
    <w:rsid w:val="3E8F51FE"/>
    <w:rsid w:val="3E926F87"/>
    <w:rsid w:val="3E9A59DE"/>
    <w:rsid w:val="3EAF4836"/>
    <w:rsid w:val="3EC33DFA"/>
    <w:rsid w:val="3ED4227F"/>
    <w:rsid w:val="3F060E16"/>
    <w:rsid w:val="3F1D1096"/>
    <w:rsid w:val="3F2F0234"/>
    <w:rsid w:val="3F6363FE"/>
    <w:rsid w:val="3F756B8F"/>
    <w:rsid w:val="3F80563C"/>
    <w:rsid w:val="3F95482B"/>
    <w:rsid w:val="4019356B"/>
    <w:rsid w:val="40592157"/>
    <w:rsid w:val="406B5E41"/>
    <w:rsid w:val="406E1CAE"/>
    <w:rsid w:val="40A0133A"/>
    <w:rsid w:val="40B96E09"/>
    <w:rsid w:val="40C31A53"/>
    <w:rsid w:val="40FF545D"/>
    <w:rsid w:val="410067C8"/>
    <w:rsid w:val="418F0D2A"/>
    <w:rsid w:val="41D01505"/>
    <w:rsid w:val="41D20C90"/>
    <w:rsid w:val="42474939"/>
    <w:rsid w:val="424C3C57"/>
    <w:rsid w:val="42613FF3"/>
    <w:rsid w:val="42660D96"/>
    <w:rsid w:val="428667D2"/>
    <w:rsid w:val="42CD1CE0"/>
    <w:rsid w:val="42E1381E"/>
    <w:rsid w:val="42ED6459"/>
    <w:rsid w:val="42FE58DD"/>
    <w:rsid w:val="43174B3D"/>
    <w:rsid w:val="432A7D99"/>
    <w:rsid w:val="434B790E"/>
    <w:rsid w:val="4360274F"/>
    <w:rsid w:val="43884ABF"/>
    <w:rsid w:val="43977AB6"/>
    <w:rsid w:val="439B778F"/>
    <w:rsid w:val="43A3342B"/>
    <w:rsid w:val="43C54774"/>
    <w:rsid w:val="43C77C27"/>
    <w:rsid w:val="43DE09EE"/>
    <w:rsid w:val="44002FAD"/>
    <w:rsid w:val="440A08B6"/>
    <w:rsid w:val="442347E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E83C81"/>
    <w:rsid w:val="48FD4B4C"/>
    <w:rsid w:val="490A68E0"/>
    <w:rsid w:val="490B14D2"/>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897A98"/>
    <w:rsid w:val="4B9739F7"/>
    <w:rsid w:val="4BEE2503"/>
    <w:rsid w:val="4C245A30"/>
    <w:rsid w:val="4C9B1D07"/>
    <w:rsid w:val="4CB6685F"/>
    <w:rsid w:val="4CC367FE"/>
    <w:rsid w:val="4D077F3C"/>
    <w:rsid w:val="4D123355"/>
    <w:rsid w:val="4D2A3B31"/>
    <w:rsid w:val="4D312C52"/>
    <w:rsid w:val="4D5A74CD"/>
    <w:rsid w:val="4D905305"/>
    <w:rsid w:val="4D9329DF"/>
    <w:rsid w:val="4D964A72"/>
    <w:rsid w:val="4D9C1254"/>
    <w:rsid w:val="4DEB45C9"/>
    <w:rsid w:val="4E793892"/>
    <w:rsid w:val="4E800872"/>
    <w:rsid w:val="4EBC7D13"/>
    <w:rsid w:val="4EC569ED"/>
    <w:rsid w:val="4ED50EA1"/>
    <w:rsid w:val="4EEC050C"/>
    <w:rsid w:val="4F0D3CF1"/>
    <w:rsid w:val="4F104EC3"/>
    <w:rsid w:val="4F47354A"/>
    <w:rsid w:val="4F4B2BFF"/>
    <w:rsid w:val="4F911C54"/>
    <w:rsid w:val="4FE625E0"/>
    <w:rsid w:val="5021480F"/>
    <w:rsid w:val="50962ECB"/>
    <w:rsid w:val="50A42E38"/>
    <w:rsid w:val="50A4577F"/>
    <w:rsid w:val="50B73D1F"/>
    <w:rsid w:val="50BC14BC"/>
    <w:rsid w:val="50BD5BC9"/>
    <w:rsid w:val="50C11EEE"/>
    <w:rsid w:val="50E97CFC"/>
    <w:rsid w:val="50FA4028"/>
    <w:rsid w:val="510D65B7"/>
    <w:rsid w:val="511157AB"/>
    <w:rsid w:val="5142540C"/>
    <w:rsid w:val="518832C8"/>
    <w:rsid w:val="518878CC"/>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F6D06"/>
    <w:rsid w:val="53544462"/>
    <w:rsid w:val="5397158E"/>
    <w:rsid w:val="53B76565"/>
    <w:rsid w:val="53EE4E13"/>
    <w:rsid w:val="54013861"/>
    <w:rsid w:val="54487265"/>
    <w:rsid w:val="544D6070"/>
    <w:rsid w:val="54605E1E"/>
    <w:rsid w:val="54A4793A"/>
    <w:rsid w:val="54B3506A"/>
    <w:rsid w:val="54CA0D16"/>
    <w:rsid w:val="54CC4EBF"/>
    <w:rsid w:val="54DD4057"/>
    <w:rsid w:val="54E7490F"/>
    <w:rsid w:val="550764A4"/>
    <w:rsid w:val="550B2BF6"/>
    <w:rsid w:val="55214EB5"/>
    <w:rsid w:val="55364EFD"/>
    <w:rsid w:val="555D4828"/>
    <w:rsid w:val="557A4C8B"/>
    <w:rsid w:val="558931E1"/>
    <w:rsid w:val="55923347"/>
    <w:rsid w:val="55925180"/>
    <w:rsid w:val="55983B1B"/>
    <w:rsid w:val="55A8376B"/>
    <w:rsid w:val="55D32486"/>
    <w:rsid w:val="55DC29B6"/>
    <w:rsid w:val="55DD4241"/>
    <w:rsid w:val="565E26E5"/>
    <w:rsid w:val="566B6D1E"/>
    <w:rsid w:val="57032A2C"/>
    <w:rsid w:val="570F5219"/>
    <w:rsid w:val="575D12B5"/>
    <w:rsid w:val="57610A87"/>
    <w:rsid w:val="577B1140"/>
    <w:rsid w:val="577B4C0F"/>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A2306"/>
    <w:rsid w:val="59C917F7"/>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665F5"/>
    <w:rsid w:val="5E006862"/>
    <w:rsid w:val="5E0207B9"/>
    <w:rsid w:val="5E111E29"/>
    <w:rsid w:val="5E1834A1"/>
    <w:rsid w:val="5E261785"/>
    <w:rsid w:val="5E4A7017"/>
    <w:rsid w:val="5E552BBA"/>
    <w:rsid w:val="5E611C10"/>
    <w:rsid w:val="5E7A0F3F"/>
    <w:rsid w:val="5EFC7377"/>
    <w:rsid w:val="5F06174D"/>
    <w:rsid w:val="5F245B8C"/>
    <w:rsid w:val="5F3A3602"/>
    <w:rsid w:val="5F45733B"/>
    <w:rsid w:val="5F6277C6"/>
    <w:rsid w:val="5F6D0B1D"/>
    <w:rsid w:val="5F8D0B82"/>
    <w:rsid w:val="5FCC5339"/>
    <w:rsid w:val="5FE34A5B"/>
    <w:rsid w:val="5FF637D4"/>
    <w:rsid w:val="5FFE1E36"/>
    <w:rsid w:val="60110E2F"/>
    <w:rsid w:val="60232584"/>
    <w:rsid w:val="607330CE"/>
    <w:rsid w:val="60825176"/>
    <w:rsid w:val="609F2AC4"/>
    <w:rsid w:val="60CF38D6"/>
    <w:rsid w:val="60FA2EE8"/>
    <w:rsid w:val="61054A27"/>
    <w:rsid w:val="610A52BC"/>
    <w:rsid w:val="611D2366"/>
    <w:rsid w:val="61421856"/>
    <w:rsid w:val="615227C4"/>
    <w:rsid w:val="61654E3F"/>
    <w:rsid w:val="6182292A"/>
    <w:rsid w:val="619F7F92"/>
    <w:rsid w:val="61A61690"/>
    <w:rsid w:val="61F86C33"/>
    <w:rsid w:val="61F94C26"/>
    <w:rsid w:val="62000E56"/>
    <w:rsid w:val="624F3E49"/>
    <w:rsid w:val="62632286"/>
    <w:rsid w:val="62885958"/>
    <w:rsid w:val="62F40B65"/>
    <w:rsid w:val="62FC2CFE"/>
    <w:rsid w:val="63024505"/>
    <w:rsid w:val="635600A5"/>
    <w:rsid w:val="635B1DB5"/>
    <w:rsid w:val="63711FED"/>
    <w:rsid w:val="63880DDC"/>
    <w:rsid w:val="638D750D"/>
    <w:rsid w:val="63AC6CC0"/>
    <w:rsid w:val="63C26728"/>
    <w:rsid w:val="64055776"/>
    <w:rsid w:val="64240056"/>
    <w:rsid w:val="642B7600"/>
    <w:rsid w:val="643E143A"/>
    <w:rsid w:val="64491666"/>
    <w:rsid w:val="648B6EEF"/>
    <w:rsid w:val="64C158BF"/>
    <w:rsid w:val="64CE2EAA"/>
    <w:rsid w:val="653C3090"/>
    <w:rsid w:val="65854376"/>
    <w:rsid w:val="658767BE"/>
    <w:rsid w:val="65892531"/>
    <w:rsid w:val="66195831"/>
    <w:rsid w:val="662E75B1"/>
    <w:rsid w:val="66342C2E"/>
    <w:rsid w:val="663E784C"/>
    <w:rsid w:val="664456DA"/>
    <w:rsid w:val="668B6A45"/>
    <w:rsid w:val="67011F07"/>
    <w:rsid w:val="6703077D"/>
    <w:rsid w:val="672F3F24"/>
    <w:rsid w:val="673E055F"/>
    <w:rsid w:val="67551CE3"/>
    <w:rsid w:val="67A22552"/>
    <w:rsid w:val="67B22DCC"/>
    <w:rsid w:val="67BE71AA"/>
    <w:rsid w:val="67D90273"/>
    <w:rsid w:val="67DE5875"/>
    <w:rsid w:val="67E55852"/>
    <w:rsid w:val="67EB1AB4"/>
    <w:rsid w:val="67FA1285"/>
    <w:rsid w:val="680C77E6"/>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A697B"/>
    <w:rsid w:val="6B573233"/>
    <w:rsid w:val="6B5B6274"/>
    <w:rsid w:val="6B935D53"/>
    <w:rsid w:val="6BE46F8A"/>
    <w:rsid w:val="6C196F71"/>
    <w:rsid w:val="6C226FCB"/>
    <w:rsid w:val="6C31226F"/>
    <w:rsid w:val="6C4258A4"/>
    <w:rsid w:val="6C552F0B"/>
    <w:rsid w:val="6C89702F"/>
    <w:rsid w:val="6C8C67B7"/>
    <w:rsid w:val="6C9D744C"/>
    <w:rsid w:val="6D167928"/>
    <w:rsid w:val="6D26299B"/>
    <w:rsid w:val="6D4772EC"/>
    <w:rsid w:val="6D762BD5"/>
    <w:rsid w:val="6D9078AF"/>
    <w:rsid w:val="6DAA3FEF"/>
    <w:rsid w:val="6DC0172B"/>
    <w:rsid w:val="6DCB690C"/>
    <w:rsid w:val="6DD41A5B"/>
    <w:rsid w:val="6DF43C2E"/>
    <w:rsid w:val="6DF51CA3"/>
    <w:rsid w:val="6E7F06E9"/>
    <w:rsid w:val="6E8335BD"/>
    <w:rsid w:val="6E8554E1"/>
    <w:rsid w:val="6E8E12EF"/>
    <w:rsid w:val="6E972936"/>
    <w:rsid w:val="6ED446C5"/>
    <w:rsid w:val="6F2A7D94"/>
    <w:rsid w:val="6F8331F1"/>
    <w:rsid w:val="6FAE1A09"/>
    <w:rsid w:val="6FD75BF8"/>
    <w:rsid w:val="707723D0"/>
    <w:rsid w:val="70C848F6"/>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93127E"/>
    <w:rsid w:val="75D20F1D"/>
    <w:rsid w:val="75DA2C18"/>
    <w:rsid w:val="75F54412"/>
    <w:rsid w:val="761D08E0"/>
    <w:rsid w:val="7640060C"/>
    <w:rsid w:val="76432DB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67075"/>
    <w:rsid w:val="797E66A9"/>
    <w:rsid w:val="798518A4"/>
    <w:rsid w:val="79A67B7C"/>
    <w:rsid w:val="79A97383"/>
    <w:rsid w:val="79E27E8B"/>
    <w:rsid w:val="79EF5B90"/>
    <w:rsid w:val="79F850CE"/>
    <w:rsid w:val="79FD443C"/>
    <w:rsid w:val="7A1D1975"/>
    <w:rsid w:val="7A223A99"/>
    <w:rsid w:val="7A3E5150"/>
    <w:rsid w:val="7A4670D6"/>
    <w:rsid w:val="7A534B63"/>
    <w:rsid w:val="7A615382"/>
    <w:rsid w:val="7A67303B"/>
    <w:rsid w:val="7A862E00"/>
    <w:rsid w:val="7AAB1D04"/>
    <w:rsid w:val="7ABA4368"/>
    <w:rsid w:val="7AD05746"/>
    <w:rsid w:val="7B257FFD"/>
    <w:rsid w:val="7B273D20"/>
    <w:rsid w:val="7B30793B"/>
    <w:rsid w:val="7B343476"/>
    <w:rsid w:val="7B5A2978"/>
    <w:rsid w:val="7B5A7E4C"/>
    <w:rsid w:val="7B667AF9"/>
    <w:rsid w:val="7B703708"/>
    <w:rsid w:val="7B7468F8"/>
    <w:rsid w:val="7BEE0103"/>
    <w:rsid w:val="7C0A0FE4"/>
    <w:rsid w:val="7C254906"/>
    <w:rsid w:val="7C590818"/>
    <w:rsid w:val="7C7C10F6"/>
    <w:rsid w:val="7C853BEA"/>
    <w:rsid w:val="7C881368"/>
    <w:rsid w:val="7CE27788"/>
    <w:rsid w:val="7CE704CD"/>
    <w:rsid w:val="7D0C32F1"/>
    <w:rsid w:val="7D0F408D"/>
    <w:rsid w:val="7D491C6C"/>
    <w:rsid w:val="7D5429C0"/>
    <w:rsid w:val="7D6E6D43"/>
    <w:rsid w:val="7DB57A34"/>
    <w:rsid w:val="7DE60973"/>
    <w:rsid w:val="7DEF0916"/>
    <w:rsid w:val="7DF740E9"/>
    <w:rsid w:val="7E1E5218"/>
    <w:rsid w:val="7E9A4E1F"/>
    <w:rsid w:val="7EA7723A"/>
    <w:rsid w:val="7EEF709B"/>
    <w:rsid w:val="7EF56FBB"/>
    <w:rsid w:val="7F0768EB"/>
    <w:rsid w:val="7F143BEC"/>
    <w:rsid w:val="7F7036CF"/>
    <w:rsid w:val="7F715AF2"/>
    <w:rsid w:val="7F886E69"/>
    <w:rsid w:val="7F9E779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0"/>
    <w:pPr>
      <w:ind w:firstLine="420"/>
    </w:pPr>
    <w:rPr>
      <w:rFonts w:hAnsi="Calibri" w:cs="Times New Roman"/>
      <w:snapToGrid/>
      <w:szCs w:val="20"/>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43081</Words>
  <Characters>45564</Characters>
  <Lines>281</Lines>
  <Paragraphs>79</Paragraphs>
  <TotalTime>110</TotalTime>
  <ScaleCrop>false</ScaleCrop>
  <LinksUpToDate>false</LinksUpToDate>
  <CharactersWithSpaces>49720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雷霆雨露俱是君恩</cp:lastModifiedBy>
  <cp:lastPrinted>2021-12-27T11:06:00Z</cp:lastPrinted>
  <dcterms:modified xsi:type="dcterms:W3CDTF">2023-05-19T06:24:34Z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C799916CB10042559E86888005677069</vt:lpwstr>
  </property>
</Properties>
</file>