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90A56">
      <w:pPr>
        <w:spacing w:line="360" w:lineRule="auto"/>
        <w:rPr>
          <w:rFonts w:ascii="宋体" w:hAnsi="宋体" w:cs="宋体"/>
          <w:b/>
          <w:color w:val="auto"/>
          <w:sz w:val="44"/>
          <w:szCs w:val="44"/>
          <w:highlight w:val="none"/>
        </w:rPr>
      </w:pPr>
    </w:p>
    <w:p w14:paraId="30D009BC">
      <w:pPr>
        <w:pStyle w:val="82"/>
        <w:rPr>
          <w:highlight w:val="none"/>
        </w:rPr>
      </w:pPr>
    </w:p>
    <w:p w14:paraId="2CA81111">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公积金在线客服项目</w:t>
      </w:r>
    </w:p>
    <w:p w14:paraId="6D54F937">
      <w:pPr>
        <w:pStyle w:val="82"/>
        <w:rPr>
          <w:rFonts w:hint="eastAsia"/>
          <w:highlight w:val="none"/>
          <w:lang w:eastAsia="zh-CN"/>
        </w:rPr>
      </w:pPr>
    </w:p>
    <w:p w14:paraId="057FFE7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378CBA5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25D141F">
      <w:pPr>
        <w:snapToGrid w:val="0"/>
        <w:spacing w:line="360" w:lineRule="auto"/>
        <w:jc w:val="center"/>
        <w:rPr>
          <w:rFonts w:hint="eastAsia" w:ascii="宋体" w:hAnsi="宋体" w:cs="宋体"/>
          <w:color w:val="auto"/>
          <w:sz w:val="30"/>
          <w:szCs w:val="30"/>
          <w:highlight w:val="none"/>
        </w:rPr>
      </w:pPr>
    </w:p>
    <w:p w14:paraId="533FBEB5">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 xml:space="preserve">CTZB-2025070012 </w:t>
      </w:r>
    </w:p>
    <w:p w14:paraId="0566BE30">
      <w:pPr>
        <w:adjustRightInd/>
        <w:spacing w:line="360" w:lineRule="auto"/>
        <w:rPr>
          <w:rFonts w:ascii="宋体" w:hAnsi="宋体" w:cs="宋体"/>
          <w:color w:val="auto"/>
          <w:sz w:val="28"/>
          <w:szCs w:val="20"/>
          <w:highlight w:val="none"/>
        </w:rPr>
      </w:pPr>
    </w:p>
    <w:p w14:paraId="3E2666DD">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r>
        <w:rPr>
          <w:rFonts w:hint="eastAsia" w:ascii="宋体" w:hAnsi="宋体" w:cs="宋体"/>
          <w:color w:val="auto"/>
          <w:kern w:val="0"/>
          <w:sz w:val="24"/>
          <w:highlight w:val="none"/>
        </w:rPr>
        <w:drawing>
          <wp:inline distT="0" distB="0" distL="0" distR="0">
            <wp:extent cx="1733550" cy="1371600"/>
            <wp:effectExtent l="0" t="0" r="6350" b="0"/>
            <wp:docPr id="1" name="图片 1" descr="JIEF%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H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IEF%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H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733550" cy="1371600"/>
                    </a:xfrm>
                    <a:prstGeom prst="rect">
                      <a:avLst/>
                    </a:prstGeom>
                    <a:noFill/>
                    <a:ln>
                      <a:noFill/>
                    </a:ln>
                  </pic:spPr>
                </pic:pic>
              </a:graphicData>
            </a:graphic>
          </wp:inline>
        </w:drawing>
      </w:r>
    </w:p>
    <w:p w14:paraId="73F91E98">
      <w:pPr>
        <w:spacing w:line="360" w:lineRule="auto"/>
        <w:jc w:val="center"/>
        <w:rPr>
          <w:rFonts w:ascii="宋体" w:hAnsi="宋体" w:cs="宋体"/>
          <w:b/>
          <w:color w:val="auto"/>
          <w:sz w:val="44"/>
          <w:szCs w:val="44"/>
          <w:highlight w:val="none"/>
        </w:rPr>
      </w:pPr>
    </w:p>
    <w:p w14:paraId="64840B40">
      <w:pPr>
        <w:pStyle w:val="5"/>
        <w:rPr>
          <w:highlight w:val="none"/>
        </w:rPr>
      </w:pPr>
    </w:p>
    <w:p w14:paraId="3ECD1551">
      <w:pPr>
        <w:rPr>
          <w:highlight w:val="none"/>
        </w:rPr>
      </w:pPr>
    </w:p>
    <w:p w14:paraId="0FE03A4D">
      <w:pPr>
        <w:spacing w:line="360" w:lineRule="auto"/>
        <w:rPr>
          <w:rFonts w:ascii="宋体" w:hAnsi="宋体" w:cs="宋体"/>
          <w:color w:val="auto"/>
          <w:sz w:val="24"/>
          <w:highlight w:val="none"/>
        </w:rPr>
      </w:pPr>
    </w:p>
    <w:p w14:paraId="0DF2A4AE">
      <w:pPr>
        <w:spacing w:line="360" w:lineRule="auto"/>
        <w:jc w:val="center"/>
        <w:rPr>
          <w:rFonts w:ascii="宋体" w:hAnsi="宋体" w:cs="宋体"/>
          <w:bCs/>
          <w:color w:val="auto"/>
          <w:sz w:val="32"/>
          <w:szCs w:val="32"/>
          <w:highlight w:val="none"/>
        </w:rPr>
      </w:pPr>
    </w:p>
    <w:p w14:paraId="2A279584">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杭州住房公积金管理中心</w:t>
      </w:r>
    </w:p>
    <w:p w14:paraId="2B07EEA1">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浙江省成套招标代理有限公司</w:t>
      </w:r>
    </w:p>
    <w:p w14:paraId="2C4F8CC1">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55C7877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C241586">
      <w:pPr>
        <w:pStyle w:val="637"/>
        <w:rPr>
          <w:rFonts w:ascii="宋体" w:hAnsi="宋体" w:eastAsia="宋体" w:cs="宋体"/>
          <w:color w:val="auto"/>
          <w:highlight w:val="none"/>
        </w:rPr>
      </w:pPr>
    </w:p>
    <w:p w14:paraId="765AB63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8D063F9">
      <w:pPr>
        <w:spacing w:line="360" w:lineRule="auto"/>
        <w:rPr>
          <w:rFonts w:ascii="宋体" w:hAnsi="宋体" w:cs="宋体"/>
          <w:color w:val="auto"/>
          <w:sz w:val="32"/>
          <w:szCs w:val="32"/>
          <w:highlight w:val="none"/>
        </w:rPr>
      </w:pPr>
    </w:p>
    <w:p w14:paraId="42C6A4F3">
      <w:pPr>
        <w:spacing w:line="360" w:lineRule="auto"/>
        <w:rPr>
          <w:rFonts w:ascii="宋体" w:hAnsi="宋体" w:cs="宋体"/>
          <w:color w:val="auto"/>
          <w:sz w:val="32"/>
          <w:szCs w:val="32"/>
          <w:highlight w:val="none"/>
        </w:rPr>
      </w:pPr>
    </w:p>
    <w:p w14:paraId="1327CC6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A9EC7D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39A706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6DC0C3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7C5E97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7087E4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E082D1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8E97726">
      <w:pPr>
        <w:spacing w:line="360" w:lineRule="auto"/>
        <w:ind w:firstLine="549" w:firstLineChars="229"/>
        <w:rPr>
          <w:rFonts w:ascii="宋体" w:hAnsi="宋体" w:cs="宋体"/>
          <w:color w:val="auto"/>
          <w:sz w:val="24"/>
          <w:highlight w:val="none"/>
        </w:rPr>
      </w:pPr>
    </w:p>
    <w:p w14:paraId="650A8189">
      <w:pPr>
        <w:spacing w:line="360" w:lineRule="auto"/>
        <w:ind w:firstLine="549" w:firstLineChars="229"/>
        <w:rPr>
          <w:rFonts w:ascii="宋体" w:hAnsi="宋体" w:cs="宋体"/>
          <w:color w:val="auto"/>
          <w:sz w:val="24"/>
          <w:highlight w:val="none"/>
        </w:rPr>
      </w:pPr>
    </w:p>
    <w:p w14:paraId="7DAA4406">
      <w:pPr>
        <w:spacing w:line="360" w:lineRule="auto"/>
        <w:ind w:firstLine="549" w:firstLineChars="229"/>
        <w:rPr>
          <w:rFonts w:ascii="宋体" w:hAnsi="宋体" w:cs="宋体"/>
          <w:color w:val="auto"/>
          <w:sz w:val="24"/>
          <w:highlight w:val="none"/>
        </w:rPr>
      </w:pPr>
    </w:p>
    <w:p w14:paraId="16CAA64B">
      <w:pPr>
        <w:spacing w:line="360" w:lineRule="auto"/>
        <w:ind w:firstLine="549" w:firstLineChars="229"/>
        <w:rPr>
          <w:rFonts w:ascii="宋体" w:hAnsi="宋体" w:cs="宋体"/>
          <w:color w:val="auto"/>
          <w:sz w:val="24"/>
          <w:highlight w:val="none"/>
        </w:rPr>
      </w:pPr>
    </w:p>
    <w:p w14:paraId="6605E348">
      <w:pPr>
        <w:spacing w:line="360" w:lineRule="auto"/>
        <w:ind w:firstLine="549" w:firstLineChars="229"/>
        <w:rPr>
          <w:rFonts w:ascii="宋体" w:hAnsi="宋体" w:cs="宋体"/>
          <w:color w:val="auto"/>
          <w:sz w:val="24"/>
          <w:highlight w:val="none"/>
        </w:rPr>
      </w:pPr>
    </w:p>
    <w:p w14:paraId="08B09A42">
      <w:pPr>
        <w:spacing w:line="360" w:lineRule="auto"/>
        <w:ind w:firstLine="549" w:firstLineChars="229"/>
        <w:rPr>
          <w:rFonts w:ascii="宋体" w:hAnsi="宋体" w:cs="宋体"/>
          <w:color w:val="auto"/>
          <w:sz w:val="24"/>
          <w:highlight w:val="none"/>
        </w:rPr>
      </w:pPr>
    </w:p>
    <w:p w14:paraId="7FBE2653">
      <w:pPr>
        <w:spacing w:line="360" w:lineRule="auto"/>
        <w:ind w:firstLine="549" w:firstLineChars="229"/>
        <w:rPr>
          <w:rFonts w:ascii="宋体" w:hAnsi="宋体" w:cs="宋体"/>
          <w:color w:val="auto"/>
          <w:sz w:val="24"/>
          <w:highlight w:val="none"/>
        </w:rPr>
      </w:pPr>
    </w:p>
    <w:p w14:paraId="5D98F52F">
      <w:pPr>
        <w:spacing w:line="360" w:lineRule="auto"/>
        <w:ind w:firstLine="549" w:firstLineChars="229"/>
        <w:rPr>
          <w:rFonts w:ascii="宋体" w:hAnsi="宋体" w:cs="宋体"/>
          <w:color w:val="auto"/>
          <w:sz w:val="24"/>
          <w:highlight w:val="none"/>
        </w:rPr>
      </w:pPr>
    </w:p>
    <w:p w14:paraId="1ABDAD16">
      <w:pPr>
        <w:spacing w:line="360" w:lineRule="auto"/>
        <w:ind w:firstLine="549" w:firstLineChars="229"/>
        <w:rPr>
          <w:rFonts w:ascii="宋体" w:hAnsi="宋体" w:cs="宋体"/>
          <w:color w:val="auto"/>
          <w:sz w:val="24"/>
          <w:highlight w:val="none"/>
        </w:rPr>
      </w:pPr>
    </w:p>
    <w:p w14:paraId="58F92858">
      <w:pPr>
        <w:spacing w:line="360" w:lineRule="auto"/>
        <w:ind w:firstLine="549" w:firstLineChars="229"/>
        <w:rPr>
          <w:rFonts w:ascii="宋体" w:hAnsi="宋体" w:cs="宋体"/>
          <w:color w:val="auto"/>
          <w:sz w:val="24"/>
          <w:highlight w:val="none"/>
        </w:rPr>
      </w:pPr>
    </w:p>
    <w:p w14:paraId="78535F36">
      <w:pPr>
        <w:spacing w:line="360" w:lineRule="auto"/>
        <w:ind w:firstLine="549" w:firstLineChars="229"/>
        <w:rPr>
          <w:rFonts w:ascii="宋体" w:hAnsi="宋体" w:cs="宋体"/>
          <w:color w:val="auto"/>
          <w:sz w:val="24"/>
          <w:highlight w:val="none"/>
        </w:rPr>
      </w:pPr>
    </w:p>
    <w:p w14:paraId="62A64917">
      <w:pPr>
        <w:spacing w:line="360" w:lineRule="auto"/>
        <w:ind w:firstLine="549" w:firstLineChars="229"/>
        <w:rPr>
          <w:rFonts w:ascii="宋体" w:hAnsi="宋体" w:cs="宋体"/>
          <w:color w:val="auto"/>
          <w:sz w:val="24"/>
          <w:highlight w:val="none"/>
        </w:rPr>
      </w:pPr>
    </w:p>
    <w:p w14:paraId="553688DA">
      <w:pPr>
        <w:spacing w:line="360" w:lineRule="auto"/>
        <w:rPr>
          <w:rFonts w:ascii="宋体" w:hAnsi="宋体" w:cs="宋体"/>
          <w:color w:val="auto"/>
          <w:sz w:val="24"/>
          <w:highlight w:val="none"/>
        </w:rPr>
      </w:pPr>
    </w:p>
    <w:p w14:paraId="7EFB6968">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EA1437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6D445F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公积金在线客服项目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https://www.zcygov.cn/）获取（下载）招标文件，并于202</w:t>
      </w:r>
      <w:r>
        <w:rPr>
          <w:rStyle w:val="78"/>
          <w:rFonts w:hint="eastAsia" w:ascii="宋体" w:hAnsi="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7</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25</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14</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30</w:t>
      </w:r>
      <w:r>
        <w:rPr>
          <w:rStyle w:val="78"/>
          <w:rFonts w:hint="eastAsia" w:ascii="宋体" w:hAnsi="宋体" w:eastAsia="宋体" w:cs="宋体"/>
          <w:snapToGrid/>
          <w:color w:val="auto"/>
          <w:kern w:val="2"/>
          <w:sz w:val="24"/>
          <w:szCs w:val="24"/>
          <w:highlight w:val="none"/>
        </w:rPr>
        <w:t>分</w:t>
      </w:r>
      <w:r>
        <w:rPr>
          <w:rStyle w:val="78"/>
          <w:rFonts w:hint="eastAsia" w:ascii="宋体" w:hAnsi="宋体" w:cs="宋体"/>
          <w:bCs/>
          <w:snapToGrid/>
          <w:color w:val="auto"/>
          <w:kern w:val="2"/>
          <w:sz w:val="24"/>
          <w:szCs w:val="24"/>
          <w:highlight w:val="none"/>
          <w:lang w:val="en-US" w:eastAsia="zh-CN"/>
        </w:rPr>
        <w:t>00</w:t>
      </w:r>
      <w:r>
        <w:rPr>
          <w:rStyle w:val="78"/>
          <w:rFonts w:hint="eastAsia" w:ascii="宋体" w:hAnsi="宋体" w:eastAsia="宋体" w:cs="宋体"/>
          <w:bCs/>
          <w:snapToGrid/>
          <w:color w:val="auto"/>
          <w:kern w:val="2"/>
          <w:sz w:val="24"/>
          <w:szCs w:val="24"/>
          <w:highlight w:val="none"/>
        </w:rPr>
        <w:t>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6EB1A5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1D7EC5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Cs/>
          <w:color w:val="auto"/>
          <w:sz w:val="24"/>
          <w:highlight w:val="none"/>
          <w:lang w:eastAsia="zh-CN"/>
        </w:rPr>
        <w:t xml:space="preserve">CTZB-2025070012 </w:t>
      </w:r>
    </w:p>
    <w:p w14:paraId="52F96C9D">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公积金在线客服项目</w:t>
      </w:r>
    </w:p>
    <w:p w14:paraId="67D61D5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Cs/>
          <w:color w:val="auto"/>
          <w:sz w:val="24"/>
          <w:highlight w:val="none"/>
          <w:lang w:val="en-US" w:eastAsia="zh-CN"/>
        </w:rPr>
        <w:t>1100000</w:t>
      </w:r>
    </w:p>
    <w:p w14:paraId="5D5B10DA">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val="en-US" w:eastAsia="zh-CN"/>
        </w:rPr>
        <w:t>1100000</w:t>
      </w:r>
      <w:r>
        <w:rPr>
          <w:rFonts w:hint="eastAsia" w:ascii="宋体" w:hAnsi="宋体" w:cs="宋体"/>
          <w:bCs/>
          <w:color w:val="auto"/>
          <w:sz w:val="24"/>
          <w:highlight w:val="none"/>
        </w:rPr>
        <w:t xml:space="preserve"> </w:t>
      </w:r>
    </w:p>
    <w:p w14:paraId="4CA1D4E6">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56668F8C">
      <w:pPr>
        <w:spacing w:line="360" w:lineRule="auto"/>
        <w:ind w:firstLine="482" w:firstLineChars="200"/>
        <w:rPr>
          <w:rFonts w:hAnsi="宋体" w:cs="宋体"/>
          <w:snapToGrid/>
          <w:color w:val="auto"/>
          <w:kern w:val="2"/>
          <w:sz w:val="24"/>
          <w:szCs w:val="24"/>
          <w:highlight w:val="none"/>
        </w:rPr>
      </w:pPr>
      <w:r>
        <w:rPr>
          <w:rFonts w:hint="eastAsia" w:ascii="宋体" w:hAnsi="宋体" w:eastAsia="宋体" w:cs="宋体"/>
          <w:b/>
          <w:color w:val="000000" w:themeColor="text1"/>
          <w:sz w:val="24"/>
          <w:highlight w:val="none"/>
          <w14:textFill>
            <w14:solidFill>
              <w14:schemeClr w14:val="tx1"/>
            </w14:solidFill>
          </w14:textFill>
        </w:rPr>
        <w:t>简要规格描述或项目基本概况介绍、用途：</w:t>
      </w:r>
      <w:r>
        <w:rPr>
          <w:rFonts w:hint="eastAsia" w:ascii="宋体" w:hAnsi="宋体" w:eastAsia="宋体" w:cs="宋体"/>
          <w:snapToGrid/>
          <w:color w:val="000000" w:themeColor="text1"/>
          <w:kern w:val="2"/>
          <w:sz w:val="24"/>
          <w:szCs w:val="24"/>
          <w:highlight w:val="none"/>
          <w14:textFill>
            <w14:solidFill>
              <w14:schemeClr w14:val="tx1"/>
            </w14:solidFill>
          </w14:textFill>
        </w:rPr>
        <w:t>供应商需提供“</w:t>
      </w:r>
      <w:r>
        <w:rPr>
          <w:rFonts w:hint="eastAsia" w:ascii="宋体" w:hAnsi="宋体" w:cs="宋体"/>
          <w:snapToGrid/>
          <w:color w:val="000000" w:themeColor="text1"/>
          <w:kern w:val="2"/>
          <w:sz w:val="24"/>
          <w:szCs w:val="24"/>
          <w:highlight w:val="none"/>
          <w:lang w:eastAsia="zh-CN"/>
          <w14:textFill>
            <w14:solidFill>
              <w14:schemeClr w14:val="tx1"/>
            </w14:solidFill>
          </w14:textFill>
        </w:rPr>
        <w:t>公积金在线客服</w:t>
      </w:r>
      <w:r>
        <w:rPr>
          <w:rFonts w:hint="eastAsia" w:ascii="宋体" w:hAnsi="宋体" w:eastAsia="宋体" w:cs="宋体"/>
          <w:snapToGrid/>
          <w:color w:val="000000" w:themeColor="text1"/>
          <w:kern w:val="2"/>
          <w:sz w:val="24"/>
          <w:szCs w:val="24"/>
          <w:highlight w:val="none"/>
          <w14:textFill>
            <w14:solidFill>
              <w14:schemeClr w14:val="tx1"/>
            </w14:solidFill>
          </w14:textFill>
        </w:rPr>
        <w:t>”配套系统以及坐席服务人员，通过杭州公积金中心官网、微信公众号、浙江政务服务网、杭州城市大脑APP平台等各类渠道，为杭州市各区、县（市）单位、职工提供公积金业务政策解答、留言回复等服务，保障在线服务的正常运行。具体以招标文件第三部分采购需求为准，供应商可点击本公告下方“浏览采购文件”查看采购需求。</w:t>
      </w:r>
    </w:p>
    <w:p w14:paraId="19BC4086">
      <w:pPr>
        <w:spacing w:line="360" w:lineRule="auto"/>
        <w:ind w:firstLine="482" w:firstLineChars="200"/>
        <w:rPr>
          <w:rFonts w:hint="default" w:ascii="宋体" w:hAnsi="宋体" w:cs="宋体"/>
          <w:color w:val="auto"/>
          <w:highlight w:val="none"/>
          <w:lang w:val="en-US"/>
        </w:rPr>
      </w:pPr>
      <w:r>
        <w:rPr>
          <w:rFonts w:hint="eastAsia" w:ascii="宋体" w:hAnsi="宋体" w:cs="宋体"/>
          <w:b/>
          <w:color w:val="auto"/>
          <w:sz w:val="24"/>
          <w:highlight w:val="none"/>
        </w:rPr>
        <w:t>合同履约</w:t>
      </w:r>
      <w:r>
        <w:rPr>
          <w:rFonts w:hint="eastAsia" w:ascii="宋体" w:hAnsi="宋体" w:cs="宋体"/>
          <w:b/>
          <w:color w:val="auto"/>
          <w:sz w:val="24"/>
          <w:highlight w:val="none"/>
          <w:lang w:val="en-US" w:eastAsia="zh-CN"/>
        </w:rPr>
        <w:t>期限</w:t>
      </w:r>
      <w:r>
        <w:rPr>
          <w:rFonts w:hint="eastAsia" w:ascii="宋体" w:hAnsi="宋体" w:eastAsia="宋体" w:cs="宋体"/>
          <w:snapToGrid/>
          <w:color w:val="auto"/>
          <w:kern w:val="2"/>
          <w:sz w:val="24"/>
          <w:szCs w:val="24"/>
          <w:highlight w:val="none"/>
          <w:lang w:val="en-US" w:eastAsia="zh-CN" w:bidi="ar-SA"/>
        </w:rPr>
        <w:t>：</w:t>
      </w:r>
      <w:r>
        <w:rPr>
          <w:rFonts w:hint="eastAsia" w:ascii="宋体" w:hAnsi="宋体" w:eastAsia="宋体" w:cs="宋体"/>
          <w:snapToGrid/>
          <w:color w:val="000000" w:themeColor="text1"/>
          <w:kern w:val="2"/>
          <w:sz w:val="24"/>
          <w:szCs w:val="24"/>
          <w:highlight w:val="none"/>
          <w14:textFill>
            <w14:solidFill>
              <w14:schemeClr w14:val="tx1"/>
            </w14:solidFill>
          </w14:textFill>
        </w:rPr>
        <w:t>自2025年8月1日起至2026年7月31日止</w:t>
      </w:r>
      <w:r>
        <w:rPr>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w:t>
      </w:r>
    </w:p>
    <w:p w14:paraId="015489C1">
      <w:pPr>
        <w:spacing w:line="360" w:lineRule="auto"/>
        <w:ind w:firstLine="482" w:firstLineChars="200"/>
        <w:rPr>
          <w:rFonts w:ascii="宋体" w:hAnsi="宋体" w:cs="宋体"/>
          <w:b/>
          <w:color w:val="auto"/>
          <w:highlight w:val="none"/>
        </w:rPr>
      </w:pPr>
      <w:r>
        <w:rPr>
          <w:rFonts w:hint="eastAsia" w:ascii="宋体" w:hAnsi="宋体" w:cs="宋体"/>
          <w:b/>
          <w:color w:val="auto"/>
          <w:sz w:val="24"/>
          <w:highlight w:val="none"/>
        </w:rPr>
        <w:t>本项目接受联合体投标：</w:t>
      </w:r>
      <w:sdt>
        <w:sdtPr>
          <w:rPr>
            <w:rFonts w:hint="eastAsia" w:ascii="宋体" w:hAnsi="宋体" w:cs="宋体"/>
            <w:color w:val="auto"/>
            <w:kern w:val="0"/>
            <w:sz w:val="24"/>
            <w:highlight w:val="none"/>
          </w:rPr>
          <w:id w:val="-4418369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b/>
          <w:color w:val="auto"/>
          <w:sz w:val="24"/>
          <w:highlight w:val="none"/>
        </w:rPr>
        <w:t>是；</w:t>
      </w:r>
      <w:sdt>
        <w:sdtPr>
          <w:rPr>
            <w:rFonts w:hint="eastAsia" w:ascii="宋体" w:hAnsi="宋体" w:cs="宋体"/>
            <w:color w:val="auto"/>
            <w:kern w:val="0"/>
            <w:sz w:val="24"/>
            <w:highlight w:val="none"/>
          </w:rPr>
          <w:id w:val="-159162419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b/>
          <w:color w:val="auto"/>
          <w:sz w:val="24"/>
          <w:highlight w:val="none"/>
        </w:rPr>
        <w:t>否</w:t>
      </w:r>
      <w:r>
        <w:rPr>
          <w:rFonts w:hint="eastAsia" w:ascii="宋体" w:hAnsi="宋体" w:cs="宋体"/>
          <w:color w:val="auto"/>
          <w:kern w:val="0"/>
          <w:sz w:val="24"/>
          <w:highlight w:val="none"/>
        </w:rPr>
        <w:t>。</w:t>
      </w:r>
    </w:p>
    <w:p w14:paraId="60114DF3">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申请人的资格要求：</w:t>
      </w:r>
    </w:p>
    <w:p w14:paraId="2399FFC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5264D7C">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57EC6C9">
      <w:pPr>
        <w:spacing w:line="360" w:lineRule="auto"/>
        <w:ind w:firstLine="480" w:firstLineChars="20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 落实政府采购政策需满足的资格要求：</w:t>
      </w:r>
    </w:p>
    <w:p w14:paraId="39B2A3E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7789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6827345">
      <w:pPr>
        <w:spacing w:line="360" w:lineRule="auto"/>
        <w:ind w:firstLine="897" w:firstLineChars="374"/>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4745831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r>
        <w:rPr>
          <w:rFonts w:hint="eastAsia" w:ascii="宋体" w:hAnsi="宋体" w:cs="宋体"/>
          <w:color w:val="auto"/>
          <w:sz w:val="24"/>
          <w:highlight w:val="none"/>
          <w:lang w:eastAsia="zh-CN"/>
        </w:rPr>
        <w:t>；</w:t>
      </w:r>
    </w:p>
    <w:p w14:paraId="2215FD8F">
      <w:pPr>
        <w:spacing w:line="360" w:lineRule="auto"/>
        <w:ind w:firstLine="480" w:firstLineChars="200"/>
        <w:rPr>
          <w:rFonts w:hint="eastAsia" w:eastAsia="宋体"/>
          <w:highlight w:val="none"/>
          <w:lang w:eastAsia="zh-CN"/>
        </w:rPr>
      </w:pPr>
      <w:r>
        <w:rPr>
          <w:rFonts w:hint="eastAsia" w:ascii="宋体" w:hAnsi="宋体" w:cs="宋体"/>
          <w:snapToGrid w:val="0"/>
          <w:color w:val="auto"/>
          <w:kern w:val="28"/>
          <w:sz w:val="24"/>
          <w:szCs w:val="20"/>
          <w:highlight w:val="none"/>
          <w:lang w:val="en-US" w:eastAsia="zh-CN"/>
        </w:rPr>
        <w:t>4</w:t>
      </w:r>
      <w:r>
        <w:rPr>
          <w:rFonts w:hint="eastAsia" w:ascii="宋体" w:hAnsi="宋体" w:cs="宋体"/>
          <w:snapToGrid w:val="0"/>
          <w:color w:val="auto"/>
          <w:kern w:val="28"/>
          <w:sz w:val="24"/>
          <w:szCs w:val="20"/>
          <w:highlight w:val="none"/>
        </w:rPr>
        <w:t xml:space="preserve">. </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r>
        <w:rPr>
          <w:rFonts w:hint="eastAsia" w:ascii="宋体" w:hAnsi="宋体" w:cs="宋体"/>
          <w:i w:val="0"/>
          <w:iCs w:val="0"/>
          <w:caps w:val="0"/>
          <w:color w:val="auto"/>
          <w:spacing w:val="0"/>
          <w:sz w:val="24"/>
          <w:szCs w:val="24"/>
          <w:highlight w:val="none"/>
          <w:u w:val="none"/>
          <w:shd w:val="clear"/>
          <w:lang w:eastAsia="zh-CN"/>
        </w:rPr>
        <w:t>；</w:t>
      </w:r>
    </w:p>
    <w:p w14:paraId="583B3E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5. </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E1385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D58431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272417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0A26A7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E189A8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C2A31F5">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58404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14:paraId="4DA7E9F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D669F59">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14:paraId="65A370D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5B778FA">
      <w:pPr>
        <w:numPr>
          <w:ilvl w:val="0"/>
          <w:numId w:val="2"/>
        </w:num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采购意向公开链接</w:t>
      </w:r>
    </w:p>
    <w:p w14:paraId="78B566F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"https://zfcg.czt.zj.gov.cn/site/detail?categoryCode=ZcyAnnouncement&amp;parentId=600007&amp;articleId=cx7dVU+bLewftx/5xDXR0w==" </w:instrText>
      </w:r>
      <w:r>
        <w:rPr>
          <w:rFonts w:hint="eastAsia" w:ascii="宋体" w:hAnsi="宋体" w:cs="宋体"/>
          <w:color w:val="auto"/>
          <w:sz w:val="24"/>
          <w:highlight w:val="none"/>
          <w:lang w:val="en-US" w:eastAsia="zh-CN"/>
        </w:rPr>
        <w:fldChar w:fldCharType="separate"/>
      </w:r>
      <w:r>
        <w:rPr>
          <w:rStyle w:val="78"/>
          <w:rFonts w:hint="eastAsia" w:ascii="宋体" w:hAnsi="宋体" w:cs="宋体"/>
          <w:sz w:val="24"/>
          <w:highlight w:val="none"/>
          <w:lang w:val="en-US" w:eastAsia="zh-CN"/>
        </w:rPr>
        <w:t>https://</w:t>
      </w:r>
      <w:r>
        <w:rPr>
          <w:rFonts w:hint="eastAsia" w:ascii="宋体" w:hAnsi="宋体" w:cs="宋体"/>
          <w:color w:val="auto"/>
          <w:sz w:val="24"/>
          <w:highlight w:val="none"/>
          <w:lang w:val="en-US" w:eastAsia="zh-CN"/>
        </w:rPr>
        <w:t>zfcg</w:t>
      </w:r>
      <w:r>
        <w:rPr>
          <w:rStyle w:val="78"/>
          <w:rFonts w:hint="eastAsia" w:ascii="宋体" w:hAnsi="宋体" w:cs="宋体"/>
          <w:sz w:val="24"/>
          <w:highlight w:val="none"/>
          <w:lang w:val="en-US" w:eastAsia="zh-CN"/>
        </w:rPr>
        <w:t>.czt.zj.gov.cn/site/detail?categoryCode=ZcyAnnouncement&amp;parentId=600007&amp;articleId=cx7dVU+bLewftx/5xDXR0w==</w:t>
      </w:r>
      <w:r>
        <w:rPr>
          <w:rFonts w:hint="eastAsia" w:ascii="宋体" w:hAnsi="宋体" w:cs="宋体"/>
          <w:color w:val="auto"/>
          <w:sz w:val="24"/>
          <w:highlight w:val="none"/>
          <w:lang w:val="en-US" w:eastAsia="zh-CN"/>
        </w:rPr>
        <w:fldChar w:fldCharType="end"/>
      </w:r>
    </w:p>
    <w:p w14:paraId="5F3045AB">
      <w:pPr>
        <w:numPr>
          <w:ilvl w:val="0"/>
          <w:numId w:val="0"/>
        </w:numPr>
        <w:spacing w:line="360" w:lineRule="auto"/>
        <w:rPr>
          <w:rFonts w:ascii="宋体" w:hAnsi="宋体" w:cs="宋体"/>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 xml:space="preserve">、公告期限 </w:t>
      </w:r>
    </w:p>
    <w:p w14:paraId="7D30B1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53836B8">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、其他补充事宜</w:t>
      </w:r>
    </w:p>
    <w:p w14:paraId="6BFB12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D1432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280C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30CB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D80BCE0">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14:paraId="57CA7C4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2103C1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auto"/>
          <w:sz w:val="24"/>
          <w:highlight w:val="none"/>
        </w:rPr>
        <w:t>称：</w:t>
      </w:r>
      <w:r>
        <w:rPr>
          <w:rFonts w:hint="eastAsia" w:ascii="宋体" w:hAnsi="宋体" w:cs="宋体"/>
          <w:color w:val="auto"/>
          <w:sz w:val="24"/>
          <w:highlight w:val="none"/>
          <w:lang w:eastAsia="zh-CN"/>
        </w:rPr>
        <w:t>杭州住房公积金管理中心</w:t>
      </w:r>
      <w:r>
        <w:rPr>
          <w:rFonts w:hint="eastAsia" w:ascii="宋体" w:hAnsi="宋体" w:cs="宋体"/>
          <w:color w:val="auto"/>
          <w:sz w:val="24"/>
          <w:highlight w:val="none"/>
        </w:rPr>
        <w:t xml:space="preserve"> </w:t>
      </w:r>
    </w:p>
    <w:p w14:paraId="7AE5B02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址：</w:t>
      </w:r>
      <w:r>
        <w:rPr>
          <w:rFonts w:hint="eastAsia" w:ascii="宋体" w:hAnsi="宋体" w:cs="宋体"/>
          <w:color w:val="auto"/>
          <w:sz w:val="24"/>
          <w:highlight w:val="none"/>
          <w:lang w:eastAsia="zh-CN"/>
        </w:rPr>
        <w:t>杭州市上城区延安路126号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w:t>
      </w:r>
    </w:p>
    <w:p w14:paraId="154EA0B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auto"/>
          <w:sz w:val="24"/>
          <w:highlight w:val="none"/>
        </w:rPr>
        <w:t>真： /</w:t>
      </w:r>
    </w:p>
    <w:p w14:paraId="148B8E19">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陈泽锋</w:t>
      </w:r>
    </w:p>
    <w:p w14:paraId="6BD4AB19">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0571-89588434,0571-89588436</w:t>
      </w:r>
    </w:p>
    <w:p w14:paraId="03BF66AD">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陈姗玫</w:t>
      </w:r>
    </w:p>
    <w:p w14:paraId="505B5086">
      <w:p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0571-89588425</w:t>
      </w:r>
    </w:p>
    <w:p w14:paraId="2E4E340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00EBC4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auto"/>
          <w:sz w:val="24"/>
          <w:highlight w:val="none"/>
        </w:rPr>
        <w:t>称：浙江省成套招标代理有限公司</w:t>
      </w:r>
    </w:p>
    <w:p w14:paraId="722D099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auto"/>
          <w:sz w:val="24"/>
          <w:highlight w:val="none"/>
        </w:rPr>
        <w:t>址：杭州市文晖路42号现代置业大厦西楼18层1801室</w:t>
      </w:r>
    </w:p>
    <w:p w14:paraId="40D271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auto"/>
          <w:sz w:val="24"/>
          <w:highlight w:val="none"/>
        </w:rPr>
        <w:t xml:space="preserve">真：4008-266-163转07285           </w:t>
      </w:r>
    </w:p>
    <w:p w14:paraId="76025A4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石晓聪、丁晓俊</w:t>
      </w:r>
      <w:r>
        <w:rPr>
          <w:rFonts w:hint="eastAsia" w:ascii="宋体" w:hAnsi="宋体" w:cs="宋体"/>
          <w:color w:val="auto"/>
          <w:sz w:val="24"/>
          <w:highlight w:val="none"/>
        </w:rPr>
        <w:t xml:space="preserve">          </w:t>
      </w:r>
    </w:p>
    <w:p w14:paraId="714A6A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85830236</w:t>
      </w:r>
      <w:r>
        <w:rPr>
          <w:rFonts w:hint="eastAsia" w:ascii="宋体" w:hAnsi="宋体" w:cs="宋体"/>
          <w:color w:val="auto"/>
          <w:sz w:val="24"/>
          <w:highlight w:val="none"/>
        </w:rPr>
        <w:t>，15757182519</w:t>
      </w:r>
    </w:p>
    <w:p w14:paraId="05AA57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质疑联系人：冯东东              </w:t>
      </w:r>
    </w:p>
    <w:p w14:paraId="3E6AE5E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质疑联系方式：0571-85331293</w:t>
      </w:r>
    </w:p>
    <w:p w14:paraId="24926B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7BF6E2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称：杭州市财政局政府采购监管处/浙江省政府采购行政裁决服务中心（杭州）</w:t>
      </w:r>
    </w:p>
    <w:p w14:paraId="653CB55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址：杭州市上城区清泰街549号城建综合大楼11楼（快递仅限ems或顺丰） </w:t>
      </w:r>
    </w:p>
    <w:p w14:paraId="34D7811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真：/</w:t>
      </w:r>
    </w:p>
    <w:p w14:paraId="19300331">
      <w:pPr>
        <w:spacing w:line="360" w:lineRule="auto"/>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联系人：朱老师</w:t>
      </w:r>
    </w:p>
    <w:p w14:paraId="2B190CC4">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监督投诉电话：0571-87800218</w:t>
      </w:r>
    </w:p>
    <w:p w14:paraId="214D9CFA">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政策咨询电话：沈先生、陈先生，电话：0571-89580457、0571-89580460 政府采购监管部门工作人员</w:t>
      </w:r>
    </w:p>
    <w:p w14:paraId="509C28E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2900BF7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1AF0BC9D">
      <w:pPr>
        <w:widowControl/>
        <w:adjustRightInd/>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608A3CA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EE1352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9"/>
        <w:gridCol w:w="1962"/>
        <w:gridCol w:w="6491"/>
      </w:tblGrid>
      <w:tr w14:paraId="67D3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367" w:type="pct"/>
            <w:vAlign w:val="center"/>
          </w:tcPr>
          <w:p w14:paraId="287F9F6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075" w:type="pct"/>
            <w:vAlign w:val="center"/>
          </w:tcPr>
          <w:p w14:paraId="22E4339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3557" w:type="pct"/>
            <w:vAlign w:val="center"/>
          </w:tcPr>
          <w:p w14:paraId="568DFBE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7B7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367" w:type="pct"/>
            <w:vAlign w:val="center"/>
          </w:tcPr>
          <w:p w14:paraId="304A60E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075" w:type="pct"/>
            <w:vAlign w:val="center"/>
          </w:tcPr>
          <w:p w14:paraId="6DF8B7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3557" w:type="pct"/>
            <w:vAlign w:val="center"/>
          </w:tcPr>
          <w:p w14:paraId="6526ECDC">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158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4" w:hRule="atLeast"/>
          <w:tblHeader/>
        </w:trPr>
        <w:tc>
          <w:tcPr>
            <w:tcW w:w="367" w:type="pct"/>
            <w:vAlign w:val="center"/>
          </w:tcPr>
          <w:p w14:paraId="79FA7337">
            <w:pPr>
              <w:snapToGrid w:val="0"/>
              <w:spacing w:line="360" w:lineRule="auto"/>
              <w:jc w:val="center"/>
              <w:rPr>
                <w:rFonts w:ascii="宋体" w:hAnsi="宋体" w:cs="宋体"/>
                <w:color w:val="auto"/>
                <w:sz w:val="24"/>
                <w:highlight w:val="none"/>
              </w:rPr>
            </w:pPr>
          </w:p>
          <w:p w14:paraId="46210F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075" w:type="pct"/>
            <w:vAlign w:val="center"/>
          </w:tcPr>
          <w:p w14:paraId="7D33730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3557" w:type="pct"/>
            <w:vAlign w:val="center"/>
          </w:tcPr>
          <w:p w14:paraId="3104C24A">
            <w:pPr>
              <w:numPr>
                <w:ilvl w:val="0"/>
                <w:numId w:val="0"/>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val="en-US" w:eastAsia="zh-CN"/>
              </w:rPr>
              <w:t>公积金在线客服项目</w:t>
            </w:r>
            <w:r>
              <w:rPr>
                <w:rFonts w:hint="eastAsia" w:ascii="宋体" w:hAnsi="宋体" w:cs="宋体"/>
                <w:color w:val="auto"/>
                <w:kern w:val="0"/>
                <w:sz w:val="24"/>
                <w:highlight w:val="none"/>
              </w:rPr>
              <w:t>，属于</w:t>
            </w:r>
            <w:r>
              <w:rPr>
                <w:rFonts w:hint="eastAsia" w:ascii="宋体" w:hAnsi="宋体" w:cs="宋体"/>
                <w:b/>
                <w:color w:val="auto"/>
                <w:kern w:val="0"/>
                <w:sz w:val="24"/>
                <w:highlight w:val="none"/>
                <w:u w:val="single"/>
                <w:lang w:eastAsia="zh-CN"/>
              </w:rPr>
              <w:t>信息传输业</w:t>
            </w:r>
            <w:r>
              <w:rPr>
                <w:rFonts w:hint="eastAsia" w:ascii="宋体" w:hAnsi="宋体" w:cs="宋体"/>
                <w:color w:val="auto"/>
                <w:kern w:val="0"/>
                <w:sz w:val="24"/>
                <w:highlight w:val="none"/>
              </w:rPr>
              <w:t>；</w:t>
            </w:r>
          </w:p>
          <w:p w14:paraId="46AF2F4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根据《关于印发中小企业划型标准规定的通知》（工信部联企业〔2011〕300号）第四条规定</w:t>
            </w:r>
            <w:r>
              <w:rPr>
                <w:rFonts w:hint="eastAsia" w:ascii="宋体" w:hAnsi="宋体" w:cs="宋体"/>
                <w:color w:val="auto"/>
                <w:kern w:val="0"/>
                <w:sz w:val="24"/>
                <w:highlight w:val="none"/>
              </w:rPr>
              <w:t>：</w:t>
            </w:r>
          </w:p>
          <w:p w14:paraId="2EC9ACBC">
            <w:pPr>
              <w:snapToGrid w:val="0"/>
              <w:spacing w:line="360" w:lineRule="auto"/>
              <w:rPr>
                <w:rFonts w:ascii="宋体" w:hAnsi="宋体" w:cs="宋体"/>
                <w:color w:val="auto"/>
                <w:highlight w:val="none"/>
              </w:rPr>
            </w:pPr>
            <w:r>
              <w:rPr>
                <w:rFonts w:hint="eastAsia" w:ascii="宋体" w:hAnsi="宋体" w:cs="宋体"/>
                <w:color w:val="auto"/>
                <w:kern w:val="0"/>
                <w:sz w:val="24"/>
                <w:highlight w:val="none"/>
                <w:lang w:val="en-US" w:eastAsia="zh-CN"/>
              </w:rPr>
              <w:t>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tc>
      </w:tr>
      <w:tr w14:paraId="6912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367" w:type="pct"/>
            <w:vAlign w:val="center"/>
          </w:tcPr>
          <w:p w14:paraId="325DF45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075" w:type="pct"/>
            <w:vAlign w:val="center"/>
          </w:tcPr>
          <w:p w14:paraId="019151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3557" w:type="pct"/>
            <w:vAlign w:val="center"/>
          </w:tcPr>
          <w:p w14:paraId="5391C0F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E82BE08">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29AD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tblHeader/>
        </w:trPr>
        <w:tc>
          <w:tcPr>
            <w:tcW w:w="367" w:type="pct"/>
            <w:vAlign w:val="center"/>
          </w:tcPr>
          <w:p w14:paraId="3FF9B44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075" w:type="pct"/>
            <w:vAlign w:val="center"/>
          </w:tcPr>
          <w:p w14:paraId="608220E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3557" w:type="pct"/>
            <w:vAlign w:val="center"/>
          </w:tcPr>
          <w:p w14:paraId="54AAFCA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数据整理</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rPr>
              <w:t>工</w:t>
            </w:r>
            <w:r>
              <w:rPr>
                <w:rFonts w:hint="eastAsia" w:ascii="宋体" w:hAnsi="宋体" w:cs="宋体"/>
                <w:color w:val="auto"/>
                <w:sz w:val="24"/>
                <w:highlight w:val="none"/>
              </w:rPr>
              <w:t>作分包。</w:t>
            </w:r>
          </w:p>
          <w:p w14:paraId="0BC59E0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D23D96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E97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tblHeader/>
        </w:trPr>
        <w:tc>
          <w:tcPr>
            <w:tcW w:w="367" w:type="pct"/>
            <w:vAlign w:val="center"/>
          </w:tcPr>
          <w:p w14:paraId="0C4BCDA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075" w:type="pct"/>
            <w:vAlign w:val="center"/>
          </w:tcPr>
          <w:p w14:paraId="3DC64A4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3557" w:type="pct"/>
            <w:vAlign w:val="center"/>
          </w:tcPr>
          <w:p w14:paraId="78C0E32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634D2B7">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B组织，时间：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B40E0F1">
            <w:pPr>
              <w:spacing w:line="360" w:lineRule="auto"/>
              <w:rPr>
                <w:rFonts w:ascii="宋体" w:hAnsi="宋体" w:cs="宋体"/>
                <w:color w:val="auto"/>
                <w:sz w:val="24"/>
                <w:szCs w:val="20"/>
                <w:highlight w:val="none"/>
              </w:rPr>
            </w:pPr>
            <w:r>
              <w:rPr>
                <w:rFonts w:hint="eastAsia" w:ascii="宋体" w:hAnsi="宋体" w:cs="宋体"/>
                <w:color w:val="auto"/>
                <w:sz w:val="24"/>
                <w:highlight w:val="none"/>
                <w:lang w:val="en-US" w:eastAsia="zh-CN"/>
              </w:rPr>
              <w:t>☐C不统一组织，供应商在获取采购文件后，自行至项目现场考察。地点：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，联系人：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，联系方式：</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tc>
      </w:tr>
      <w:tr w14:paraId="7E40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367" w:type="pct"/>
            <w:vAlign w:val="center"/>
          </w:tcPr>
          <w:p w14:paraId="003991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075" w:type="pct"/>
            <w:vAlign w:val="center"/>
          </w:tcPr>
          <w:p w14:paraId="0375E2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3557" w:type="pct"/>
            <w:vAlign w:val="center"/>
          </w:tcPr>
          <w:p w14:paraId="551FAB8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218021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5A00CA9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043F6B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BAD535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2F31A6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CE2DF41">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013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77CA35D">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D8F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367" w:type="pct"/>
            <w:vAlign w:val="center"/>
          </w:tcPr>
          <w:p w14:paraId="75D09DE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075" w:type="pct"/>
            <w:vAlign w:val="center"/>
          </w:tcPr>
          <w:p w14:paraId="0A9BD9C7">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3557" w:type="pct"/>
            <w:vAlign w:val="center"/>
          </w:tcPr>
          <w:p w14:paraId="32E9349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en-US" w:eastAsia="zh-CN"/>
              </w:rPr>
              <w:t>演示内容录制成视频，以U盘的形式</w:t>
            </w:r>
            <w:r>
              <w:rPr>
                <w:rFonts w:hint="eastAsia" w:ascii="宋体" w:hAnsi="宋体" w:cs="宋体"/>
                <w:color w:val="auto"/>
                <w:kern w:val="0"/>
                <w:sz w:val="24"/>
                <w:highlight w:val="none"/>
              </w:rPr>
              <w:t>递交</w:t>
            </w:r>
            <w:r>
              <w:rPr>
                <w:rFonts w:hint="eastAsia" w:ascii="宋体" w:hAnsi="宋体" w:cs="宋体"/>
                <w:color w:val="auto"/>
                <w:kern w:val="0"/>
                <w:sz w:val="24"/>
                <w:highlight w:val="none"/>
                <w:lang w:val="en-US" w:eastAsia="zh-CN"/>
              </w:rPr>
              <w:t>/邮寄</w:t>
            </w:r>
            <w:r>
              <w:rPr>
                <w:rFonts w:hint="eastAsia" w:ascii="宋体" w:hAnsi="宋体" w:cs="宋体"/>
                <w:color w:val="auto"/>
                <w:kern w:val="0"/>
                <w:sz w:val="24"/>
                <w:highlight w:val="none"/>
                <w:lang w:eastAsia="zh-CN"/>
              </w:rPr>
              <w:t>）</w:t>
            </w:r>
          </w:p>
          <w:p w14:paraId="71880B2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14:paraId="6EA2DE8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47D6A26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A9AFB9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788613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43FED45">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C819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367" w:type="pct"/>
            <w:vMerge w:val="restart"/>
            <w:vAlign w:val="center"/>
          </w:tcPr>
          <w:p w14:paraId="113591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075" w:type="pct"/>
            <w:vMerge w:val="restart"/>
            <w:vAlign w:val="center"/>
          </w:tcPr>
          <w:p w14:paraId="21A311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3557" w:type="pct"/>
            <w:vAlign w:val="center"/>
          </w:tcPr>
          <w:p w14:paraId="6A5653B1">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DA846D6">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6B8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 w:hRule="atLeast"/>
          <w:tblHeader/>
        </w:trPr>
        <w:tc>
          <w:tcPr>
            <w:tcW w:w="367" w:type="pct"/>
            <w:vMerge w:val="continue"/>
            <w:vAlign w:val="center"/>
          </w:tcPr>
          <w:p w14:paraId="79B31006">
            <w:pPr>
              <w:snapToGrid w:val="0"/>
              <w:spacing w:line="360" w:lineRule="auto"/>
              <w:jc w:val="center"/>
              <w:rPr>
                <w:rFonts w:ascii="宋体" w:hAnsi="宋体" w:cs="宋体"/>
                <w:color w:val="auto"/>
                <w:sz w:val="24"/>
                <w:highlight w:val="none"/>
              </w:rPr>
            </w:pPr>
          </w:p>
        </w:tc>
        <w:tc>
          <w:tcPr>
            <w:tcW w:w="1075" w:type="pct"/>
            <w:vMerge w:val="continue"/>
            <w:vAlign w:val="center"/>
          </w:tcPr>
          <w:p w14:paraId="3C69A8AD">
            <w:pPr>
              <w:snapToGrid w:val="0"/>
              <w:spacing w:line="360" w:lineRule="auto"/>
              <w:jc w:val="center"/>
              <w:rPr>
                <w:rFonts w:ascii="宋体" w:hAnsi="宋体" w:cs="宋体"/>
                <w:b/>
                <w:color w:val="auto"/>
                <w:sz w:val="24"/>
                <w:highlight w:val="none"/>
              </w:rPr>
            </w:pPr>
          </w:p>
        </w:tc>
        <w:tc>
          <w:tcPr>
            <w:tcW w:w="3557" w:type="pct"/>
            <w:vAlign w:val="center"/>
          </w:tcPr>
          <w:p w14:paraId="72DEB5D2">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6EC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7" w:type="pct"/>
            <w:vAlign w:val="center"/>
          </w:tcPr>
          <w:p w14:paraId="493147B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075" w:type="pct"/>
            <w:vAlign w:val="center"/>
          </w:tcPr>
          <w:p w14:paraId="204371A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3557" w:type="pct"/>
            <w:vAlign w:val="center"/>
          </w:tcPr>
          <w:p w14:paraId="0CE6F4B5">
            <w:pPr>
              <w:spacing w:line="360" w:lineRule="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F3C5D97">
            <w:pPr>
              <w:pStyle w:val="82"/>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bidi="ar-SA"/>
              </w:rPr>
              <w:t xml:space="preserve">强制采购。产品： </w:t>
            </w:r>
            <w:r>
              <w:rPr>
                <w:rFonts w:hint="eastAsia" w:ascii="宋体" w:hAnsi="宋体" w:eastAsia="宋体" w:cs="宋体"/>
                <w:color w:val="auto"/>
                <w:kern w:val="2"/>
                <w:sz w:val="24"/>
                <w:szCs w:val="24"/>
                <w:highlight w:val="none"/>
                <w:lang w:val="en-US" w:eastAsia="zh-CN" w:bidi="ar-SA"/>
              </w:rPr>
              <w:t xml:space="preserve">   </w:t>
            </w:r>
          </w:p>
          <w:p w14:paraId="7867A5F5">
            <w:pPr>
              <w:pStyle w:val="8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46C50B22">
            <w:pPr>
              <w:pStyle w:val="8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543FED65">
            <w:pPr>
              <w:pStyle w:val="82"/>
              <w:jc w:val="both"/>
              <w:rPr>
                <w:rFonts w:ascii="宋体" w:hAnsi="宋体" w:cs="宋体"/>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DED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367" w:type="pct"/>
            <w:vAlign w:val="center"/>
          </w:tcPr>
          <w:p w14:paraId="3D6CB5E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075" w:type="pct"/>
            <w:vAlign w:val="center"/>
          </w:tcPr>
          <w:p w14:paraId="5BDAE7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3557" w:type="pct"/>
            <w:vAlign w:val="center"/>
          </w:tcPr>
          <w:p w14:paraId="2ABCFA3E">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25FD60F">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547E622">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9FA9A7E">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61B0DB0">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53E29D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297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tblHeader/>
        </w:trPr>
        <w:tc>
          <w:tcPr>
            <w:tcW w:w="367" w:type="pct"/>
            <w:vAlign w:val="center"/>
          </w:tcPr>
          <w:p w14:paraId="463D2C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075" w:type="pct"/>
            <w:vAlign w:val="center"/>
          </w:tcPr>
          <w:p w14:paraId="073F57D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3557" w:type="pct"/>
            <w:vAlign w:val="center"/>
          </w:tcPr>
          <w:p w14:paraId="3CD37181">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145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367" w:type="pct"/>
            <w:vAlign w:val="center"/>
          </w:tcPr>
          <w:p w14:paraId="042EBB0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075" w:type="pct"/>
            <w:vAlign w:val="center"/>
          </w:tcPr>
          <w:p w14:paraId="2CFA2AD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3557" w:type="pct"/>
            <w:vAlign w:val="center"/>
          </w:tcPr>
          <w:p w14:paraId="090ADFED">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杭州市文晖路42号现代置业大厦18楼1801室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石晓聪15757182519</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11BD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367" w:type="pct"/>
            <w:vMerge w:val="restart"/>
            <w:vAlign w:val="center"/>
          </w:tcPr>
          <w:p w14:paraId="3D99B2E6">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1075" w:type="pct"/>
            <w:vMerge w:val="restart"/>
            <w:vAlign w:val="center"/>
          </w:tcPr>
          <w:p w14:paraId="055C353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3557" w:type="pct"/>
            <w:vAlign w:val="center"/>
          </w:tcPr>
          <w:p w14:paraId="57ABE38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199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367" w:type="pct"/>
            <w:vMerge w:val="continue"/>
            <w:vAlign w:val="center"/>
          </w:tcPr>
          <w:p w14:paraId="5ACCD934">
            <w:pPr>
              <w:snapToGrid w:val="0"/>
              <w:spacing w:line="360" w:lineRule="auto"/>
              <w:jc w:val="center"/>
              <w:rPr>
                <w:rFonts w:ascii="宋体" w:hAnsi="宋体" w:cs="宋体"/>
                <w:color w:val="auto"/>
                <w:sz w:val="24"/>
                <w:highlight w:val="none"/>
              </w:rPr>
            </w:pPr>
          </w:p>
        </w:tc>
        <w:tc>
          <w:tcPr>
            <w:tcW w:w="1075" w:type="pct"/>
            <w:vMerge w:val="continue"/>
            <w:vAlign w:val="center"/>
          </w:tcPr>
          <w:p w14:paraId="63FB93C3">
            <w:pPr>
              <w:snapToGrid w:val="0"/>
              <w:spacing w:line="360" w:lineRule="auto"/>
              <w:jc w:val="center"/>
              <w:rPr>
                <w:rFonts w:ascii="宋体" w:hAnsi="宋体" w:cs="宋体"/>
                <w:b/>
                <w:color w:val="auto"/>
                <w:sz w:val="24"/>
                <w:highlight w:val="none"/>
              </w:rPr>
            </w:pPr>
          </w:p>
        </w:tc>
        <w:tc>
          <w:tcPr>
            <w:tcW w:w="3557" w:type="pct"/>
            <w:vAlign w:val="center"/>
          </w:tcPr>
          <w:p w14:paraId="56F1BAF8">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4C37F91">
            <w:pPr>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FEC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70" w:type="dxa"/>
            <w:vAlign w:val="center"/>
          </w:tcPr>
          <w:p w14:paraId="23313A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1962" w:type="dxa"/>
            <w:vAlign w:val="center"/>
          </w:tcPr>
          <w:p w14:paraId="620E6C38">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中标</w:t>
            </w:r>
            <w:r>
              <w:rPr>
                <w:rFonts w:hint="eastAsia" w:ascii="宋体" w:hAnsi="宋体" w:cs="宋体"/>
                <w:b/>
                <w:color w:val="auto"/>
                <w:sz w:val="24"/>
                <w:highlight w:val="none"/>
                <w:lang w:val="en" w:eastAsia="zh-CN"/>
              </w:rPr>
              <w:t>候选人</w:t>
            </w:r>
            <w:r>
              <w:rPr>
                <w:rFonts w:hint="eastAsia" w:cs="仿宋_GB2312" w:asciiTheme="minorEastAsia" w:hAnsiTheme="minorEastAsia" w:eastAsiaTheme="minorEastAsia"/>
                <w:b/>
                <w:color w:val="auto"/>
                <w:sz w:val="24"/>
                <w:highlight w:val="none"/>
                <w:lang w:val="en" w:eastAsia="zh-CN"/>
              </w:rPr>
              <w:t>数量</w:t>
            </w:r>
          </w:p>
        </w:tc>
        <w:tc>
          <w:tcPr>
            <w:tcW w:w="6492" w:type="dxa"/>
            <w:vAlign w:val="center"/>
          </w:tcPr>
          <w:p w14:paraId="39450E33">
            <w:pPr>
              <w:spacing w:line="360" w:lineRule="auto"/>
              <w:rPr>
                <w:rFonts w:hint="eastAsia" w:ascii="宋体" w:hAnsi="宋体" w:cs="宋体"/>
                <w:color w:val="auto"/>
                <w:kern w:val="0"/>
                <w:sz w:val="24"/>
                <w:highlight w:val="none"/>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 1名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1892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70" w:type="dxa"/>
            <w:vAlign w:val="center"/>
          </w:tcPr>
          <w:p w14:paraId="7681D615">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962" w:type="dxa"/>
            <w:vAlign w:val="center"/>
          </w:tcPr>
          <w:p w14:paraId="325BEB6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492" w:type="dxa"/>
            <w:vAlign w:val="center"/>
          </w:tcPr>
          <w:p w14:paraId="5F9E1D50">
            <w:pPr>
              <w:pStyle w:val="81"/>
              <w:snapToGrid w:val="0"/>
              <w:spacing w:line="360" w:lineRule="auto"/>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的采购代理费由中标人支付，计费标准按国家计委关于印发《采购代理服务收费管理暂行办法》的通知计价格[2002]1980号文件标准的80%收取，不足5000元按5000元收取。包含在投标报价总价中，在发出中标通知书后5个工作日内由中标人以汇票/支票/电汇直接支付给采购代理机构。采购代理服务费以</w:t>
            </w:r>
            <w:r>
              <w:rPr>
                <w:rFonts w:hint="eastAsia" w:ascii="宋体" w:hAnsi="宋体" w:eastAsia="宋体" w:cs="宋体"/>
                <w:color w:val="auto"/>
                <w:highlight w:val="none"/>
                <w:u w:val="single"/>
                <w:lang w:val="en-US" w:eastAsia="zh-CN"/>
              </w:rPr>
              <w:t xml:space="preserve"> 中标金额 </w:t>
            </w:r>
            <w:r>
              <w:rPr>
                <w:rFonts w:hint="eastAsia" w:ascii="宋体" w:hAnsi="宋体" w:eastAsia="宋体" w:cs="宋体"/>
                <w:color w:val="auto"/>
                <w:highlight w:val="none"/>
                <w:lang w:val="en-US" w:eastAsia="zh-CN"/>
              </w:rPr>
              <w:t>为计算基数。</w:t>
            </w:r>
          </w:p>
          <w:p w14:paraId="1889E948">
            <w:pPr>
              <w:pStyle w:val="81"/>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支付方式：银行转账（汇款、电汇）或汇（支、本）票等方式</w:t>
            </w:r>
          </w:p>
          <w:p w14:paraId="0931DAE5">
            <w:pPr>
              <w:pStyle w:val="81"/>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收款单位（户名）：浙江省成套招标代理有限公司</w:t>
            </w:r>
          </w:p>
          <w:p w14:paraId="3EC9A440">
            <w:pPr>
              <w:pStyle w:val="81"/>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开户：中信银行杭州西湖支行</w:t>
            </w:r>
          </w:p>
          <w:p w14:paraId="7ED92CB8">
            <w:pPr>
              <w:pStyle w:val="81"/>
              <w:snapToGrid w:val="0"/>
              <w:spacing w:line="360" w:lineRule="auto"/>
              <w:ind w:firstLine="0" w:firstLineChars="0"/>
              <w:rPr>
                <w:rFonts w:hint="eastAsia" w:ascii="宋体" w:hAnsi="宋体" w:cs="宋体"/>
                <w:color w:val="auto"/>
                <w:kern w:val="0"/>
                <w:sz w:val="24"/>
                <w:highlight w:val="none"/>
              </w:rPr>
            </w:pPr>
            <w:r>
              <w:rPr>
                <w:rFonts w:hint="eastAsia" w:ascii="宋体" w:hAnsi="宋体" w:eastAsia="宋体" w:cs="宋体"/>
                <w:color w:val="auto"/>
                <w:highlight w:val="none"/>
              </w:rPr>
              <w:t>账号：7331610182600126385</w:t>
            </w:r>
          </w:p>
        </w:tc>
      </w:tr>
    </w:tbl>
    <w:p w14:paraId="3D833F04">
      <w:pPr>
        <w:snapToGrid w:val="0"/>
        <w:spacing w:line="360" w:lineRule="auto"/>
        <w:jc w:val="center"/>
        <w:rPr>
          <w:rFonts w:ascii="宋体" w:hAnsi="宋体" w:cs="宋体"/>
          <w:b/>
          <w:color w:val="auto"/>
          <w:sz w:val="32"/>
          <w:szCs w:val="20"/>
          <w:highlight w:val="none"/>
        </w:rPr>
      </w:pPr>
    </w:p>
    <w:bookmarkEnd w:id="10"/>
    <w:p w14:paraId="57D2DCD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B79E12">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适用范围</w:t>
      </w:r>
    </w:p>
    <w:p w14:paraId="56BD1C8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numPr>
          <w:ilvl w:val="0"/>
          <w:numId w:val="3"/>
        </w:num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定义</w:t>
      </w:r>
    </w:p>
    <w:p w14:paraId="452AA16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14747639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1474541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2DFB2DE0">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D1C3682">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不会对其加以限制，仍将按照公平竞争原则实施采购）；优先采购向我国企业转让技术、与我国企业签订消化吸收再创新方案的供应商的进口产品。</w:t>
      </w:r>
    </w:p>
    <w:p w14:paraId="305168F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140B6DB2">
      <w:pPr>
        <w:snapToGrid w:val="0"/>
        <w:spacing w:line="360" w:lineRule="auto"/>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AA7B36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F5C5CE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6E4673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552F16F">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73851D4D">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F231C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267904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9C5B0C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1CF8F0F5">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CF8C06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DB3CB2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79884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422F61D1">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1E19A6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3.4支持创新发展</w:t>
      </w:r>
    </w:p>
    <w:p w14:paraId="66524B5C">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D91D20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rPr>
        <w:t>3.4.</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en-US"/>
        </w:rPr>
        <w:t xml:space="preserve"> </w:t>
      </w:r>
      <w:r>
        <w:rPr>
          <w:rFonts w:hint="eastAsia" w:ascii="宋体" w:hAnsi="宋体" w:cs="宋体"/>
          <w:color w:val="auto"/>
          <w:sz w:val="24"/>
          <w:highlight w:val="none"/>
          <w:lang w:val="en-US" w:eastAsia="zh-CN"/>
        </w:rPr>
        <w:t>采购人应当贯彻落实知识产权保护相关法律法规，</w:t>
      </w:r>
      <w:r>
        <w:rPr>
          <w:rFonts w:hint="eastAsia" w:ascii="宋体" w:hAnsi="宋体" w:cs="宋体"/>
          <w:color w:val="auto"/>
          <w:sz w:val="24"/>
          <w:highlight w:val="none"/>
          <w:lang w:val="en-US"/>
        </w:rPr>
        <w:t>应当采购使用正版软件。</w:t>
      </w:r>
    </w:p>
    <w:p w14:paraId="1FCE239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snapToGrid w:val="0"/>
        <w:spacing w:line="360" w:lineRule="auto"/>
        <w:ind w:firstLine="480" w:firstLineChars="200"/>
        <w:jc w:val="left"/>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snapToGrid w:val="0"/>
        <w:spacing w:line="360" w:lineRule="auto"/>
        <w:ind w:firstLine="480" w:firstLineChars="200"/>
        <w:jc w:val="left"/>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4.2供应商询问</w:t>
      </w:r>
    </w:p>
    <w:p w14:paraId="6ACB7464">
      <w:pPr>
        <w:snapToGrid w:val="0"/>
        <w:spacing w:line="360" w:lineRule="auto"/>
        <w:ind w:firstLine="480" w:firstLineChars="200"/>
        <w:jc w:val="left"/>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snapToGrid w:val="0"/>
        <w:spacing w:line="360" w:lineRule="auto"/>
        <w:ind w:firstLine="480" w:firstLineChars="200"/>
        <w:jc w:val="left"/>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4.3供应商质疑</w:t>
      </w:r>
    </w:p>
    <w:p w14:paraId="053F4E11">
      <w:pPr>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val="zh-CN" w:eastAsia="zh-CN"/>
        </w:rPr>
        <w:t>4.3</w:t>
      </w:r>
      <w:r>
        <w:rPr>
          <w:rFonts w:hint="eastAsia" w:ascii="宋体" w:hAnsi="宋体" w:cs="宋体"/>
          <w:color w:val="auto"/>
          <w:sz w:val="24"/>
          <w:highlight w:val="none"/>
          <w:lang w:eastAsia="zh-CN"/>
        </w:rPr>
        <w:t>.1提出质疑的供应商应当是参与所质疑项目采购活动的供应商。潜在供应商已依法获取其可质疑的招标文件的，可以对该文件提出质疑。</w:t>
      </w:r>
    </w:p>
    <w:p w14:paraId="4DB81FF4">
      <w:pPr>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val="zh-CN" w:eastAsia="zh-CN"/>
        </w:rPr>
        <w:t>4.3</w:t>
      </w:r>
      <w:r>
        <w:rPr>
          <w:rFonts w:hint="eastAsia" w:ascii="宋体" w:hAnsi="宋体" w:cs="宋体"/>
          <w:color w:val="auto"/>
          <w:sz w:val="24"/>
          <w:highlight w:val="none"/>
          <w:lang w:eastAsia="zh-CN"/>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521B6BF">
      <w:pPr>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4.3.2.1对招标文件提出质疑的，质疑期限为供应商获得招标文件之日或者招标文件公告期限届满之日起计算。</w:t>
      </w:r>
    </w:p>
    <w:p w14:paraId="593C149A">
      <w:pPr>
        <w:snapToGrid w:val="0"/>
        <w:spacing w:line="360" w:lineRule="auto"/>
        <w:ind w:left="479" w:leftChars="228" w:firstLine="0" w:firstLineChars="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4.3.2.2对采购过程提出质疑的，质疑期限为各采购程序环节结束之日起计算。4.3.2.3对采购结果提出质疑的，质疑期限自采购结果公告期限届满之日起计算。</w:t>
      </w:r>
    </w:p>
    <w:p w14:paraId="34CBB85F">
      <w:pPr>
        <w:snapToGrid w:val="0"/>
        <w:spacing w:line="360" w:lineRule="auto"/>
        <w:ind w:firstLine="480" w:firstLineChars="200"/>
        <w:jc w:val="left"/>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4.3.3</w:t>
      </w:r>
      <w:r>
        <w:rPr>
          <w:rFonts w:hint="eastAsia" w:ascii="宋体" w:hAnsi="宋体" w:cs="宋体"/>
          <w:color w:val="auto"/>
          <w:sz w:val="24"/>
          <w:highlight w:val="none"/>
          <w:lang w:eastAsia="zh-CN"/>
        </w:rPr>
        <w:t>供应商提出质疑应当提交质疑函和必要的证明材料。质疑函应当包括下列内容：</w:t>
      </w:r>
    </w:p>
    <w:p w14:paraId="0C727DD6">
      <w:pPr>
        <w:snapToGrid w:val="0"/>
        <w:spacing w:line="360" w:lineRule="auto"/>
        <w:ind w:firstLine="480" w:firstLineChars="200"/>
        <w:jc w:val="left"/>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4.3.3.1供应商的姓名或者名称、地址、邮编、联系人及联系电话；</w:t>
      </w:r>
    </w:p>
    <w:p w14:paraId="3E3EAF25">
      <w:pPr>
        <w:snapToGrid w:val="0"/>
        <w:spacing w:line="360" w:lineRule="auto"/>
        <w:ind w:firstLine="480" w:firstLineChars="200"/>
        <w:jc w:val="left"/>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4.3.3.2质疑项目的名称、编号；</w:t>
      </w:r>
    </w:p>
    <w:p w14:paraId="2486A27E">
      <w:pPr>
        <w:snapToGrid w:val="0"/>
        <w:spacing w:line="360" w:lineRule="auto"/>
        <w:ind w:firstLine="480" w:firstLineChars="200"/>
        <w:jc w:val="left"/>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4.3.3.3具体、明确的质疑事项和与质疑事项相关的请求；</w:t>
      </w:r>
    </w:p>
    <w:p w14:paraId="4D239430">
      <w:pPr>
        <w:snapToGrid w:val="0"/>
        <w:spacing w:line="360" w:lineRule="auto"/>
        <w:ind w:firstLine="480" w:firstLineChars="200"/>
        <w:jc w:val="left"/>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4.3.3.4事实依据；</w:t>
      </w:r>
    </w:p>
    <w:p w14:paraId="6C90EC9C">
      <w:pPr>
        <w:snapToGrid w:val="0"/>
        <w:spacing w:line="360" w:lineRule="auto"/>
        <w:ind w:firstLine="480" w:firstLineChars="200"/>
        <w:jc w:val="left"/>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4.3.3.5必要的法律依据；</w:t>
      </w:r>
    </w:p>
    <w:p w14:paraId="5D64CD02">
      <w:pPr>
        <w:snapToGrid w:val="0"/>
        <w:spacing w:line="360" w:lineRule="auto"/>
        <w:ind w:firstLine="480" w:firstLineChars="200"/>
        <w:jc w:val="left"/>
        <w:rPr>
          <w:rFonts w:hint="eastAsia" w:ascii="宋体" w:hAnsi="宋体" w:cs="宋体"/>
          <w:color w:val="auto"/>
          <w:sz w:val="24"/>
          <w:highlight w:val="none"/>
          <w:lang w:val="zh-CN" w:eastAsia="zh-CN"/>
        </w:rPr>
      </w:pPr>
      <w:r>
        <w:rPr>
          <w:rFonts w:hint="eastAsia" w:ascii="宋体" w:hAnsi="宋体" w:cs="宋体"/>
          <w:color w:val="auto"/>
          <w:sz w:val="24"/>
          <w:highlight w:val="none"/>
          <w:lang w:val="zh-CN" w:eastAsia="zh-CN"/>
        </w:rPr>
        <w:t>4.3.3.6提出质疑的日期。</w:t>
      </w:r>
    </w:p>
    <w:p w14:paraId="35E9E5F8">
      <w:pPr>
        <w:snapToGrid w:val="0"/>
        <w:spacing w:line="360" w:lineRule="auto"/>
        <w:ind w:firstLine="480" w:firstLineChars="200"/>
        <w:jc w:val="left"/>
        <w:rPr>
          <w:color w:val="auto"/>
          <w:sz w:val="24"/>
          <w:szCs w:val="24"/>
          <w:highlight w:val="none"/>
        </w:rPr>
      </w:pPr>
      <w:r>
        <w:rPr>
          <w:rFonts w:hint="eastAsia"/>
          <w:color w:val="auto"/>
          <w:sz w:val="24"/>
          <w:szCs w:val="24"/>
          <w:highlight w:val="none"/>
        </w:rPr>
        <w:t>供应商</w:t>
      </w:r>
      <w:r>
        <w:rPr>
          <w:rFonts w:hint="eastAsia" w:ascii="宋体" w:hAnsi="宋体" w:cs="宋体"/>
          <w:color w:val="auto"/>
          <w:sz w:val="24"/>
          <w:szCs w:val="24"/>
          <w:highlight w:val="none"/>
          <w:lang w:eastAsia="zh-CN"/>
        </w:rPr>
        <w:t>提交</w:t>
      </w:r>
      <w:r>
        <w:rPr>
          <w:rFonts w:hint="eastAsia"/>
          <w:color w:val="auto"/>
          <w:sz w:val="24"/>
          <w:szCs w:val="24"/>
          <w:highlight w:val="none"/>
        </w:rPr>
        <w:t>的质疑函需一式三份。供应商为自然人的，应当由本人签字；供应商为法人或者其他组织的，应当由法定代表人、主要负责人，或者其授权代表签字或者盖章，并加盖公章。</w:t>
      </w:r>
    </w:p>
    <w:p w14:paraId="0CE89DCF">
      <w:pPr>
        <w:snapToGrid w:val="0"/>
        <w:spacing w:line="360" w:lineRule="auto"/>
        <w:ind w:firstLine="480" w:firstLineChars="200"/>
        <w:jc w:val="left"/>
        <w:rPr>
          <w:rFonts w:hint="eastAsia"/>
          <w:color w:val="auto"/>
          <w:sz w:val="24"/>
          <w:szCs w:val="24"/>
          <w:highlight w:val="none"/>
        </w:rPr>
      </w:pPr>
      <w:r>
        <w:rPr>
          <w:rFonts w:hint="eastAsia"/>
          <w:color w:val="auto"/>
          <w:sz w:val="24"/>
          <w:szCs w:val="24"/>
          <w:highlight w:val="none"/>
        </w:rPr>
        <w:t>质疑函</w:t>
      </w:r>
      <w:r>
        <w:rPr>
          <w:rFonts w:hint="eastAsia"/>
          <w:color w:val="auto"/>
          <w:sz w:val="24"/>
          <w:szCs w:val="24"/>
          <w:highlight w:val="none"/>
          <w:lang w:val="zh-CN" w:eastAsia="zh-CN"/>
        </w:rPr>
        <w:t>范本</w:t>
      </w:r>
      <w:r>
        <w:rPr>
          <w:rFonts w:hint="eastAsia"/>
          <w:color w:val="auto"/>
          <w:sz w:val="24"/>
          <w:szCs w:val="24"/>
          <w:highlight w:val="none"/>
        </w:rPr>
        <w:t>及制作说明详见附件2。</w:t>
      </w:r>
    </w:p>
    <w:p w14:paraId="13D330D2">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4.3.4对同一采购程序环节的质疑，供应商须在法定质疑期内一次性提出。</w:t>
      </w:r>
    </w:p>
    <w:p w14:paraId="6BAEB4E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在质疑回复后5个工作日内，在浙江政府采购网的“其他公告”栏目公开质疑答复，答复内容应当完整。质疑函作为附件上传。</w:t>
      </w:r>
    </w:p>
    <w:p w14:paraId="63F18984">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2680FC7B">
      <w:pPr>
        <w:snapToGrid w:val="0"/>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4.4供应商投诉</w:t>
      </w:r>
    </w:p>
    <w:p w14:paraId="3B98A2A9">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0B604195">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245CA2E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4.4.3供应商投诉应当有明确的请求和必要的证明材料。</w:t>
      </w:r>
    </w:p>
    <w:p w14:paraId="65D7F310">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4.4.4以联合体形式参加政府采购活动的，其投诉应当由组成联合体的所有供应商共同提出。</w:t>
      </w:r>
    </w:p>
    <w:p w14:paraId="700A975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4.4.5根据政府采购行政裁决省市区三级联动试点工作安排，杭州市本级</w:t>
      </w:r>
      <w:r>
        <w:rPr>
          <w:rFonts w:hint="eastAsia" w:ascii="宋体" w:hAnsi="宋体" w:eastAsia="宋体" w:cs="宋体"/>
          <w:color w:val="auto"/>
          <w:sz w:val="24"/>
          <w:szCs w:val="24"/>
          <w:highlight w:val="none"/>
          <w:lang w:eastAsia="zh-CN"/>
        </w:rPr>
        <w:t>及各区、县（市）</w:t>
      </w:r>
      <w:r>
        <w:rPr>
          <w:rFonts w:hint="eastAsia" w:ascii="宋体" w:hAnsi="宋体" w:eastAsia="宋体" w:cs="宋体"/>
          <w:color w:val="auto"/>
          <w:sz w:val="24"/>
          <w:szCs w:val="24"/>
          <w:highlight w:val="none"/>
        </w:rPr>
        <w:t>政府采购项目投诉材料可寄送至浙江省政府采购行政裁决服务中心（杭州），地址：</w:t>
      </w:r>
      <w:r>
        <w:rPr>
          <w:rFonts w:hint="eastAsia" w:ascii="宋体" w:hAnsi="宋体" w:eastAsia="宋体" w:cs="宋体"/>
          <w:color w:val="auto"/>
          <w:sz w:val="24"/>
          <w:szCs w:val="24"/>
          <w:highlight w:val="none"/>
          <w:lang w:eastAsia="zh-CN"/>
        </w:rPr>
        <w:t>杭州市上城区清泰街549号城建综合大楼11楼</w:t>
      </w:r>
      <w:r>
        <w:rPr>
          <w:rFonts w:hint="eastAsia" w:ascii="宋体" w:hAnsi="宋体" w:eastAsia="宋体" w:cs="宋体"/>
          <w:color w:val="auto"/>
          <w:sz w:val="24"/>
          <w:szCs w:val="24"/>
          <w:highlight w:val="none"/>
        </w:rPr>
        <w:t>（快递仅限ems或顺丰）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收件人：朱女士、王女士，电话：0571-8</w:t>
      </w:r>
      <w:r>
        <w:rPr>
          <w:rFonts w:hint="eastAsia" w:ascii="宋体" w:hAnsi="宋体" w:eastAsia="宋体" w:cs="宋体"/>
          <w:color w:val="auto"/>
          <w:sz w:val="24"/>
          <w:szCs w:val="24"/>
          <w:highlight w:val="none"/>
          <w:lang w:val="en-US" w:eastAsia="zh-CN"/>
        </w:rPr>
        <w:t>7227671,0571-87800218</w:t>
      </w:r>
      <w:r>
        <w:rPr>
          <w:rFonts w:hint="eastAsia" w:ascii="宋体" w:hAnsi="宋体" w:eastAsia="宋体" w:cs="宋体"/>
          <w:color w:val="auto"/>
          <w:sz w:val="24"/>
          <w:szCs w:val="24"/>
          <w:highlight w:val="none"/>
        </w:rPr>
        <w:t>。</w:t>
      </w:r>
    </w:p>
    <w:p w14:paraId="712FF852">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补偿救济</w:t>
      </w:r>
    </w:p>
    <w:p w14:paraId="22C34A00">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采购人因政策变化、规划调整而不履行政府采购合同的，供应商可依据《杭州市涉企补偿救济实施办法（试行）》向采购人提起补偿申请。</w:t>
      </w:r>
    </w:p>
    <w:p w14:paraId="72BB4CFD">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投诉书范本及制作说明详见附件3。</w:t>
      </w:r>
    </w:p>
    <w:p w14:paraId="00B71198">
      <w:pPr>
        <w:pStyle w:val="132"/>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448832F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6.1已获取招标文件的潜在投标人，若有问题需要澄清，应于投标截止时间前，以书面形式向</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提出。</w:t>
      </w:r>
    </w:p>
    <w:p w14:paraId="64AD250A">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6.2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napToGrid w:val="0"/>
        <w:spacing w:line="360" w:lineRule="auto"/>
        <w:ind w:firstLine="480" w:firstLineChars="200"/>
        <w:jc w:val="lef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4"/>
        <w:numPr>
          <w:ilvl w:val="0"/>
          <w:numId w:val="4"/>
        </w:numPr>
        <w:spacing w:line="360" w:lineRule="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04728D9E">
      <w:pPr>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4"/>
        <w:numPr>
          <w:ilvl w:val="0"/>
          <w:numId w:val="5"/>
        </w:numPr>
        <w:spacing w:line="360" w:lineRule="auto"/>
        <w:rPr>
          <w:rFonts w:hAnsi="宋体" w:cs="宋体"/>
          <w:b/>
          <w:color w:val="auto"/>
          <w:szCs w:val="24"/>
          <w:highlight w:val="none"/>
        </w:rPr>
      </w:pPr>
      <w:r>
        <w:rPr>
          <w:rFonts w:hint="eastAsia" w:hAnsi="宋体" w:cs="宋体"/>
          <w:b/>
          <w:color w:val="auto"/>
          <w:kern w:val="28"/>
          <w:sz w:val="24"/>
          <w:szCs w:val="24"/>
          <w:highlight w:val="none"/>
        </w:rPr>
        <w:t>投标保证金</w:t>
      </w:r>
    </w:p>
    <w:p w14:paraId="617BD70F">
      <w:pPr>
        <w:snapToGrid w:val="0"/>
        <w:spacing w:line="360" w:lineRule="auto"/>
        <w:ind w:firstLine="480" w:firstLineChars="200"/>
        <w:jc w:val="left"/>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11.1</w:t>
      </w:r>
      <w:r>
        <w:rPr>
          <w:rFonts w:hint="eastAsia" w:ascii="宋体" w:hAnsi="宋体" w:cs="宋体"/>
          <w:b/>
          <w:bCs/>
          <w:color w:val="auto"/>
          <w:sz w:val="24"/>
          <w:highlight w:val="none"/>
          <w:lang w:val="en-US" w:eastAsia="zh-CN"/>
        </w:rPr>
        <w:t xml:space="preserve"> </w:t>
      </w:r>
      <w:r>
        <w:rPr>
          <w:rFonts w:hint="eastAsia" w:ascii="宋体" w:hAnsi="宋体" w:cs="宋体"/>
          <w:b/>
          <w:bCs/>
          <w:color w:val="auto"/>
          <w:sz w:val="24"/>
          <w:highlight w:val="none"/>
        </w:rPr>
        <w:t>资格文件：</w:t>
      </w:r>
    </w:p>
    <w:p w14:paraId="5B3DB47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11.1.2联合协议（如果有)；</w:t>
      </w:r>
    </w:p>
    <w:p w14:paraId="208560E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11.1.3落实政府采购政策需满足的资格要求（如果有)；</w:t>
      </w:r>
    </w:p>
    <w:p w14:paraId="09013B6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11.1.4本项目的特定资格要求（如果有)。</w:t>
      </w:r>
    </w:p>
    <w:p w14:paraId="6AD56734">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3A185A5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14:paraId="13E7F7D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5DDBD84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3B9291F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21A42F8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75AAD2E4">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kern w:val="0"/>
          <w:sz w:val="24"/>
          <w:highlight w:val="none"/>
          <w:lang w:val="en-US" w:eastAsia="zh-CN"/>
        </w:rPr>
        <w:t xml:space="preserve"> </w:t>
      </w:r>
      <w:r>
        <w:rPr>
          <w:rFonts w:hint="eastAsia" w:ascii="宋体" w:hAnsi="宋体" w:cs="宋体"/>
          <w:b/>
          <w:bCs/>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11.3.1开标一览表（报价表）；</w:t>
      </w:r>
    </w:p>
    <w:p w14:paraId="2BDB0CA6">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en-US"/>
        </w:rPr>
        <w:t>11.3.</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en-US"/>
        </w:rPr>
        <w:t xml:space="preserve"> </w:t>
      </w:r>
      <w:r>
        <w:rPr>
          <w:rFonts w:hint="eastAsia" w:ascii="宋体" w:hAnsi="宋体" w:cs="宋体"/>
          <w:color w:val="auto"/>
          <w:sz w:val="24"/>
          <w:highlight w:val="none"/>
          <w:lang w:val="zh-CN"/>
        </w:rPr>
        <w:t>中小企业声明函。</w:t>
      </w:r>
    </w:p>
    <w:p w14:paraId="1DC36947">
      <w:pPr>
        <w:snapToGrid w:val="0"/>
        <w:spacing w:line="360" w:lineRule="auto"/>
        <w:ind w:firstLine="482" w:firstLineChars="200"/>
        <w:rPr>
          <w:rFonts w:hint="eastAsia" w:ascii="宋体" w:hAnsi="宋体" w:cs="宋体"/>
          <w:b/>
          <w:bCs/>
          <w:color w:val="auto"/>
          <w:kern w:val="0"/>
          <w:sz w:val="24"/>
          <w:highlight w:val="none"/>
          <w:lang w:val="zh-CN" w:eastAsia="zh-CN"/>
        </w:rPr>
      </w:pPr>
      <w:r>
        <w:rPr>
          <w:rFonts w:hint="eastAsia" w:ascii="宋体" w:hAnsi="宋体" w:cs="宋体"/>
          <w:b/>
          <w:bCs/>
          <w:color w:val="auto"/>
          <w:kern w:val="0"/>
          <w:sz w:val="24"/>
          <w:highlight w:val="none"/>
          <w:lang w:val="zh-CN" w:eastAsia="zh-CN"/>
        </w:rPr>
        <w:t>投标文件含有采购人不能接受的附加条件的，投标无效；</w:t>
      </w:r>
    </w:p>
    <w:p w14:paraId="768BB57C">
      <w:pPr>
        <w:snapToGrid w:val="0"/>
        <w:spacing w:line="360" w:lineRule="auto"/>
        <w:ind w:firstLine="482" w:firstLineChars="200"/>
        <w:rPr>
          <w:rFonts w:hint="eastAsia" w:ascii="宋体" w:hAnsi="宋体" w:cs="宋体"/>
          <w:b/>
          <w:bCs/>
          <w:color w:val="auto"/>
          <w:kern w:val="0"/>
          <w:sz w:val="24"/>
          <w:highlight w:val="none"/>
          <w:lang w:val="zh-CN" w:eastAsia="zh-CN"/>
        </w:rPr>
      </w:pPr>
      <w:r>
        <w:rPr>
          <w:rFonts w:hint="eastAsia" w:ascii="宋体" w:hAnsi="宋体" w:cs="宋体"/>
          <w:b/>
          <w:bCs/>
          <w:color w:val="auto"/>
          <w:kern w:val="0"/>
          <w:sz w:val="24"/>
          <w:highlight w:val="none"/>
          <w:lang w:val="zh-CN" w:eastAsia="zh-CN"/>
        </w:rPr>
        <w:t>投标人提供虚假材料投标的，投标无效。</w:t>
      </w:r>
    </w:p>
    <w:p w14:paraId="0F02E42D">
      <w:pPr>
        <w:snapToGrid w:val="0"/>
        <w:spacing w:line="360" w:lineRule="auto"/>
        <w:ind w:firstLine="480" w:firstLineChars="200"/>
        <w:rPr>
          <w:rFonts w:hint="eastAsia" w:ascii="宋体" w:hAnsi="宋体" w:cs="宋体"/>
          <w:b w:val="0"/>
          <w:bCs w:val="0"/>
          <w:color w:val="auto"/>
          <w:kern w:val="0"/>
          <w:sz w:val="24"/>
          <w:highlight w:val="none"/>
          <w:lang w:val="zh-CN" w:eastAsia="zh-CN"/>
        </w:rPr>
      </w:pPr>
      <w:r>
        <w:rPr>
          <w:rFonts w:hint="eastAsia" w:ascii="宋体" w:hAnsi="宋体" w:cs="宋体"/>
          <w:b w:val="0"/>
          <w:bCs w:val="0"/>
          <w:color w:val="auto"/>
          <w:kern w:val="0"/>
          <w:sz w:val="24"/>
          <w:highlight w:val="none"/>
          <w:lang w:val="en-US" w:eastAsia="zh-CN"/>
        </w:rPr>
        <w:t>投标人应对投标文件中材料的真实性、合法性负责。投标人可事先在公开官网查询、核对相关证书和报告内容，确保投标（响应）文件资料准确无误。</w:t>
      </w:r>
    </w:p>
    <w:p w14:paraId="30120E37">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napToGrid w:val="0"/>
        <w:spacing w:line="360" w:lineRule="auto"/>
        <w:ind w:firstLine="480" w:firstLineChars="200"/>
        <w:rPr>
          <w:rFonts w:hint="eastAsia"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zh-CN" w:eastAsia="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napToGrid w:val="0"/>
        <w:spacing w:line="360" w:lineRule="auto"/>
        <w:ind w:firstLine="480" w:firstLineChars="200"/>
        <w:rPr>
          <w:rFonts w:hint="eastAsia" w:ascii="宋体" w:hAnsi="宋体" w:cs="宋体"/>
          <w:b w:val="0"/>
          <w:bCs w:val="0"/>
          <w:color w:val="auto"/>
          <w:kern w:val="0"/>
          <w:sz w:val="24"/>
          <w:highlight w:val="none"/>
          <w:lang w:val="zh-CN" w:eastAsia="zh-CN"/>
        </w:rPr>
      </w:pPr>
      <w:r>
        <w:rPr>
          <w:rFonts w:hint="eastAsia" w:ascii="宋体" w:hAnsi="宋体" w:cs="宋体"/>
          <w:b w:val="0"/>
          <w:bCs w:val="0"/>
          <w:color w:val="auto"/>
          <w:kern w:val="0"/>
          <w:sz w:val="24"/>
          <w:highlight w:val="none"/>
          <w:lang w:val="zh-CN" w:eastAsia="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napToGrid w:val="0"/>
        <w:spacing w:line="360" w:lineRule="auto"/>
        <w:ind w:firstLine="480" w:firstLineChars="200"/>
        <w:rPr>
          <w:rFonts w:hint="eastAsia" w:ascii="宋体" w:hAnsi="宋体" w:cs="宋体"/>
          <w:b w:val="0"/>
          <w:bCs w:val="0"/>
          <w:color w:val="auto"/>
          <w:kern w:val="0"/>
          <w:sz w:val="24"/>
          <w:highlight w:val="none"/>
          <w:lang w:val="zh-CN" w:eastAsia="zh-CN"/>
        </w:rPr>
      </w:pPr>
      <w:r>
        <w:rPr>
          <w:rFonts w:hint="eastAsia" w:ascii="宋体" w:hAnsi="宋体" w:cs="宋体"/>
          <w:b w:val="0"/>
          <w:bCs w:val="0"/>
          <w:color w:val="auto"/>
          <w:kern w:val="0"/>
          <w:sz w:val="24"/>
          <w:highlight w:val="none"/>
          <w:lang w:val="zh-CN" w:eastAsia="zh-CN"/>
        </w:rPr>
        <w:t>12.3使用“政采云电子交易客户端”需要提前申领CA数字证书，申领流程请自行前往“浙江政府采购网-下载专区-电子交易客户端-CA驱动和申领流程”进行查阅。</w:t>
      </w:r>
    </w:p>
    <w:p w14:paraId="616CD10A">
      <w:pPr>
        <w:numPr>
          <w:ilvl w:val="0"/>
          <w:numId w:val="6"/>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3B93CB6D">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备份投标文件</w:t>
      </w:r>
    </w:p>
    <w:p w14:paraId="42A04E0C">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34"/>
        <w:spacing w:line="360" w:lineRule="auto"/>
        <w:ind w:firstLine="480" w:firstLineChars="200"/>
        <w:rPr>
          <w:rFonts w:cs="宋体"/>
          <w:color w:val="auto"/>
          <w:sz w:val="24"/>
          <w:szCs w:val="24"/>
          <w:highlight w:val="none"/>
        </w:rPr>
      </w:pPr>
      <w:r>
        <w:rPr>
          <w:rFonts w:hint="eastAsia" w:cs="宋体"/>
          <w:color w:val="auto"/>
          <w:sz w:val="24"/>
          <w:szCs w:val="24"/>
          <w:highlight w:val="none"/>
        </w:rPr>
        <w:t>有招标文件第四部分</w:t>
      </w:r>
      <w:r>
        <w:rPr>
          <w:rFonts w:cs="宋体"/>
          <w:color w:val="auto"/>
          <w:sz w:val="24"/>
          <w:szCs w:val="24"/>
          <w:highlight w:val="none"/>
        </w:rPr>
        <w:t>4.2规定</w:t>
      </w:r>
      <w:r>
        <w:rPr>
          <w:rFonts w:hint="eastAsia" w:cs="宋体"/>
          <w:color w:val="auto"/>
          <w:sz w:val="24"/>
          <w:szCs w:val="24"/>
          <w:highlight w:val="none"/>
        </w:rPr>
        <w:t>的情形之一的，投标无效：</w:t>
      </w:r>
    </w:p>
    <w:p w14:paraId="77669CCC">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2"/>
        <w:spacing w:before="0"/>
        <w:ind w:firstLine="643"/>
        <w:rPr>
          <w:rFonts w:ascii="宋体" w:hAnsi="宋体" w:cs="宋体"/>
          <w:b/>
          <w:color w:val="auto"/>
          <w:sz w:val="32"/>
          <w:highlight w:val="none"/>
        </w:rPr>
      </w:pPr>
    </w:p>
    <w:p w14:paraId="25870E80">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132"/>
        <w:spacing w:before="0"/>
        <w:ind w:firstLine="0" w:firstLineChars="0"/>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Cs w:val="24"/>
          <w:highlight w:val="none"/>
        </w:rPr>
        <w:t>开标</w:t>
      </w:r>
      <w:r>
        <w:rPr>
          <w:rFonts w:hint="eastAsia" w:ascii="宋体" w:hAnsi="宋体" w:cs="宋体"/>
          <w:color w:val="auto"/>
          <w:sz w:val="24"/>
          <w:highlight w:val="none"/>
        </w:rPr>
        <w:t xml:space="preserve"> </w:t>
      </w:r>
    </w:p>
    <w:p w14:paraId="6B6042C8">
      <w:pPr>
        <w:pStyle w:val="132"/>
        <w:spacing w:before="0"/>
        <w:ind w:firstLine="480"/>
        <w:rPr>
          <w:rFonts w:hint="eastAsia" w:ascii="宋体" w:hAnsi="宋体" w:cs="宋体"/>
          <w:color w:val="auto"/>
          <w:highlight w:val="none"/>
        </w:rPr>
      </w:pPr>
      <w:r>
        <w:rPr>
          <w:rFonts w:hint="eastAsia" w:ascii="宋体" w:hAnsi="宋体" w:cs="宋体"/>
          <w:color w:val="auto"/>
          <w:highlight w:val="none"/>
        </w:rPr>
        <w:t>18.1</w:t>
      </w:r>
      <w:r>
        <w:rPr>
          <w:rFonts w:hint="eastAsia" w:ascii="宋体" w:hAnsi="宋体" w:cs="宋体"/>
          <w:color w:val="auto"/>
          <w:highlight w:val="none"/>
          <w:lang w:eastAsia="zh-CN"/>
        </w:rPr>
        <w:t>采购代理机构</w:t>
      </w:r>
      <w:r>
        <w:rPr>
          <w:rFonts w:hint="eastAsia" w:ascii="宋体" w:hAnsi="宋体" w:cs="宋体"/>
          <w:color w:val="auto"/>
          <w:highlight w:val="none"/>
        </w:rPr>
        <w:t>按照招标文件规定的时间通过电子交易平台组织开标，所有投标人均应当准时在线参加。投标人不足3家的，不得开标。</w:t>
      </w:r>
    </w:p>
    <w:p w14:paraId="75EC8592">
      <w:pPr>
        <w:pStyle w:val="132"/>
        <w:spacing w:before="0"/>
        <w:ind w:firstLine="480"/>
        <w:rPr>
          <w:rFonts w:hint="eastAsia" w:ascii="宋体" w:hAnsi="宋体" w:cs="宋体"/>
          <w:color w:val="auto"/>
          <w:highlight w:val="none"/>
        </w:rPr>
      </w:pPr>
      <w:r>
        <w:rPr>
          <w:rFonts w:hint="eastAsia" w:ascii="宋体" w:hAnsi="宋体" w:cs="宋体"/>
          <w:color w:val="auto"/>
          <w:highlight w:val="none"/>
        </w:rPr>
        <w:t>18.2开标时，电子交易平台按开标时间自动提取所有投标文件。</w:t>
      </w:r>
      <w:r>
        <w:rPr>
          <w:rFonts w:hint="eastAsia" w:ascii="宋体" w:hAnsi="宋体" w:cs="宋体"/>
          <w:color w:val="auto"/>
          <w:highlight w:val="none"/>
          <w:lang w:eastAsia="zh-CN"/>
        </w:rPr>
        <w:t>采购代理机构</w:t>
      </w:r>
      <w:r>
        <w:rPr>
          <w:rFonts w:hint="eastAsia" w:ascii="宋体" w:hAnsi="宋体" w:cs="宋体"/>
          <w:color w:val="auto"/>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pStyle w:val="132"/>
        <w:numPr>
          <w:ilvl w:val="0"/>
          <w:numId w:val="7"/>
        </w:numPr>
        <w:spacing w:before="0"/>
        <w:ind w:firstLine="0" w:firstLineChars="0"/>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50230669">
      <w:pPr>
        <w:pStyle w:val="132"/>
        <w:spacing w:before="0"/>
        <w:ind w:firstLine="480"/>
        <w:rPr>
          <w:rFonts w:hint="eastAsia" w:ascii="宋体" w:hAnsi="宋体" w:cs="宋体"/>
          <w:color w:val="auto"/>
          <w:highlight w:val="none"/>
        </w:rPr>
      </w:pPr>
      <w:r>
        <w:rPr>
          <w:rFonts w:hint="eastAsia" w:ascii="宋体" w:hAnsi="宋体" w:cs="宋体"/>
          <w:color w:val="auto"/>
          <w:highlight w:val="none"/>
        </w:rPr>
        <w:t>19.</w:t>
      </w:r>
      <w:r>
        <w:rPr>
          <w:rFonts w:hint="eastAsia" w:ascii="宋体" w:hAnsi="宋体" w:cs="宋体"/>
          <w:color w:val="auto"/>
          <w:highlight w:val="none"/>
          <w:lang w:val="en-US" w:eastAsia="zh-CN"/>
        </w:rPr>
        <w:t>1</w:t>
      </w:r>
      <w:r>
        <w:rPr>
          <w:rFonts w:hint="eastAsia" w:ascii="宋体" w:hAnsi="宋体" w:cs="宋体"/>
          <w:color w:val="auto"/>
          <w:highlight w:val="none"/>
        </w:rPr>
        <w:t>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依据法律法规和招标文件的规定，对投标人的资格进行审查。</w:t>
      </w:r>
    </w:p>
    <w:p w14:paraId="7ECDA655">
      <w:pPr>
        <w:pStyle w:val="132"/>
        <w:spacing w:before="0"/>
        <w:ind w:firstLine="480"/>
        <w:rPr>
          <w:rFonts w:hint="eastAsia" w:ascii="宋体" w:hAnsi="宋体" w:cs="宋体"/>
          <w:color w:val="auto"/>
          <w:highlight w:val="none"/>
        </w:rPr>
      </w:pPr>
      <w:r>
        <w:rPr>
          <w:rFonts w:hint="eastAsia" w:ascii="宋体" w:hAnsi="宋体" w:cs="宋体"/>
          <w:color w:val="auto"/>
          <w:highlight w:val="none"/>
        </w:rPr>
        <w:t>19.</w:t>
      </w:r>
      <w:r>
        <w:rPr>
          <w:rFonts w:hint="eastAsia" w:ascii="宋体" w:hAnsi="宋体" w:cs="宋体"/>
          <w:color w:val="auto"/>
          <w:highlight w:val="none"/>
          <w:lang w:val="en-US" w:eastAsia="zh-CN"/>
        </w:rPr>
        <w:t>2</w:t>
      </w:r>
      <w:r>
        <w:rPr>
          <w:rFonts w:hint="eastAsia" w:ascii="宋体" w:hAnsi="宋体" w:cs="宋体"/>
          <w:color w:val="auto"/>
          <w:highlight w:val="none"/>
        </w:rPr>
        <w:t>投标人未按照招标文件要求提供与资格条件相应的有效资格证明材料的，视为投标人不具备招标文件中规定的资格要求，其投标无效。</w:t>
      </w:r>
    </w:p>
    <w:p w14:paraId="58AA200A">
      <w:pPr>
        <w:pStyle w:val="132"/>
        <w:spacing w:before="0"/>
        <w:ind w:firstLine="480"/>
        <w:rPr>
          <w:rFonts w:hint="eastAsia" w:ascii="宋体" w:hAnsi="宋体" w:cs="宋体"/>
          <w:color w:val="auto"/>
          <w:highlight w:val="none"/>
        </w:rPr>
      </w:pPr>
      <w:r>
        <w:rPr>
          <w:rFonts w:hint="eastAsia" w:ascii="宋体" w:hAnsi="宋体" w:cs="宋体"/>
          <w:color w:val="auto"/>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2"/>
        <w:spacing w:before="0"/>
        <w:ind w:firstLine="480"/>
        <w:rPr>
          <w:rFonts w:hint="eastAsia" w:ascii="宋体" w:hAnsi="宋体" w:cs="宋体"/>
          <w:color w:val="auto"/>
          <w:highlight w:val="none"/>
        </w:rPr>
      </w:pPr>
      <w:r>
        <w:rPr>
          <w:rFonts w:hint="eastAsia" w:ascii="宋体" w:hAnsi="宋体" w:cs="宋体"/>
          <w:color w:val="auto"/>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2"/>
        <w:numPr>
          <w:ilvl w:val="0"/>
          <w:numId w:val="7"/>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385E7C5D">
      <w:pPr>
        <w:pStyle w:val="132"/>
        <w:spacing w:before="0"/>
        <w:ind w:firstLine="480"/>
        <w:rPr>
          <w:rFonts w:hint="eastAsia" w:ascii="宋体" w:hAnsi="宋体" w:cs="宋体"/>
          <w:color w:val="auto"/>
          <w:highlight w:val="none"/>
        </w:rPr>
      </w:pPr>
      <w:r>
        <w:rPr>
          <w:rFonts w:hint="eastAsia" w:ascii="宋体" w:hAnsi="宋体" w:cs="宋体"/>
          <w:color w:val="auto"/>
          <w:highlight w:val="none"/>
        </w:rPr>
        <w:t>20.1信用信息查询渠道及截止时间：</w:t>
      </w:r>
      <w:r>
        <w:rPr>
          <w:rFonts w:hint="eastAsia" w:ascii="宋体" w:hAnsi="宋体" w:cs="宋体"/>
          <w:color w:val="auto"/>
          <w:highlight w:val="none"/>
          <w:lang w:eastAsia="zh-CN"/>
        </w:rPr>
        <w:t>采购代理机构</w:t>
      </w:r>
      <w:r>
        <w:rPr>
          <w:rFonts w:hint="eastAsia" w:ascii="宋体" w:hAnsi="宋体" w:cs="宋体"/>
          <w:color w:val="auto"/>
          <w:highlight w:val="none"/>
        </w:rPr>
        <w:t>将在资格审查时通过“信用中国”网站(www.creditchina.gov.cn)、中国政府采购网(www.ccgp.gov.cn)渠道查询投标人接受资格时的信用记录。</w:t>
      </w:r>
    </w:p>
    <w:p w14:paraId="1F25F72F">
      <w:pPr>
        <w:pStyle w:val="132"/>
        <w:spacing w:before="0"/>
        <w:ind w:firstLine="480"/>
        <w:rPr>
          <w:rFonts w:hint="eastAsia" w:ascii="宋体" w:hAnsi="宋体" w:cs="宋体"/>
          <w:color w:val="auto"/>
          <w:highlight w:val="none"/>
        </w:rPr>
      </w:pPr>
      <w:r>
        <w:rPr>
          <w:rFonts w:hint="eastAsia" w:ascii="宋体" w:hAnsi="宋体" w:cs="宋体"/>
          <w:color w:val="auto"/>
          <w:highlight w:val="none"/>
        </w:rPr>
        <w:t>20.2信用信息查询记录和证据留存的具体方式：现场查询的投标人的信用记录、查询结果经确认后将与采购文件一起存档。</w:t>
      </w:r>
    </w:p>
    <w:p w14:paraId="5987AE4E">
      <w:pPr>
        <w:pStyle w:val="132"/>
        <w:spacing w:before="0"/>
        <w:ind w:firstLine="480"/>
        <w:rPr>
          <w:rFonts w:hint="eastAsia" w:ascii="宋体" w:hAnsi="宋体" w:cs="宋体"/>
          <w:color w:val="auto"/>
          <w:highlight w:val="none"/>
        </w:rPr>
      </w:pPr>
      <w:r>
        <w:rPr>
          <w:rFonts w:hint="eastAsia" w:ascii="宋体" w:hAnsi="宋体" w:cs="宋体"/>
          <w:color w:val="auto"/>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2"/>
        <w:spacing w:before="0"/>
        <w:ind w:firstLine="480"/>
        <w:rPr>
          <w:rFonts w:hint="eastAsia" w:ascii="宋体" w:hAnsi="宋体" w:cs="宋体"/>
          <w:color w:val="auto"/>
          <w:highlight w:val="none"/>
        </w:rPr>
      </w:pPr>
      <w:r>
        <w:rPr>
          <w:rFonts w:hint="eastAsia" w:ascii="宋体" w:hAnsi="宋体" w:cs="宋体"/>
          <w:color w:val="auto"/>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18D73C6">
      <w:pPr>
        <w:pStyle w:val="132"/>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2"/>
        <w:spacing w:before="0"/>
        <w:ind w:firstLine="480"/>
        <w:rPr>
          <w:rFonts w:ascii="宋体" w:hAnsi="宋体" w:cs="宋体"/>
          <w:b/>
          <w:color w:val="auto"/>
          <w:szCs w:val="24"/>
          <w:highlight w:val="none"/>
        </w:rPr>
      </w:pPr>
      <w:r>
        <w:rPr>
          <w:rFonts w:hint="eastAsia" w:ascii="宋体" w:hAnsi="宋体" w:cs="宋体"/>
          <w:color w:val="auto"/>
          <w:szCs w:val="24"/>
          <w:highlight w:val="none"/>
        </w:rPr>
        <w:t>政府</w:t>
      </w:r>
      <w:r>
        <w:rPr>
          <w:rFonts w:hint="eastAsia" w:ascii="宋体" w:hAnsi="宋体" w:cs="宋体"/>
          <w:color w:val="auto"/>
          <w:highlight w:val="none"/>
        </w:rPr>
        <w:t>采购</w:t>
      </w:r>
      <w:r>
        <w:rPr>
          <w:rFonts w:hint="eastAsia" w:ascii="宋体" w:hAnsi="宋体" w:cs="宋体"/>
          <w:color w:val="auto"/>
          <w:szCs w:val="24"/>
          <w:highlight w:val="none"/>
        </w:rPr>
        <w:t>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pStyle w:val="132"/>
        <w:spacing w:before="0"/>
        <w:ind w:firstLine="480"/>
        <w:rPr>
          <w:rFonts w:hint="eastAsia" w:ascii="宋体" w:hAnsi="宋体" w:cs="宋体"/>
          <w:color w:val="auto"/>
          <w:highlight w:val="none"/>
        </w:rPr>
      </w:pPr>
      <w:r>
        <w:rPr>
          <w:rFonts w:hint="eastAsia" w:ascii="宋体" w:hAnsi="宋体" w:cs="宋体"/>
          <w:color w:val="auto"/>
          <w:highlight w:val="none"/>
        </w:rPr>
        <w:t>23.1自中标人确定之日起2个工作日内，</w:t>
      </w:r>
      <w:r>
        <w:rPr>
          <w:rFonts w:hint="eastAsia" w:ascii="宋体" w:hAnsi="宋体" w:cs="宋体"/>
          <w:color w:val="auto"/>
          <w:highlight w:val="none"/>
          <w:lang w:eastAsia="zh-CN"/>
        </w:rPr>
        <w:t>采购代理机构</w:t>
      </w:r>
      <w:r>
        <w:rPr>
          <w:rFonts w:hint="eastAsia" w:ascii="宋体" w:hAnsi="宋体" w:cs="宋体"/>
          <w:color w:val="auto"/>
          <w:highlight w:val="none"/>
        </w:rPr>
        <w:t>通过电子交易平台向中标人发出中标通知书，同时编制发布采购结果公告。</w:t>
      </w:r>
      <w:r>
        <w:rPr>
          <w:rFonts w:hint="eastAsia" w:ascii="宋体" w:hAnsi="宋体" w:cs="宋体"/>
          <w:color w:val="auto"/>
          <w:highlight w:val="none"/>
          <w:lang w:eastAsia="zh-CN"/>
        </w:rPr>
        <w:t>采购代理机构</w:t>
      </w:r>
      <w:r>
        <w:rPr>
          <w:rFonts w:hint="eastAsia" w:ascii="宋体" w:hAnsi="宋体" w:cs="宋体"/>
          <w:color w:val="auto"/>
          <w:highlight w:val="none"/>
        </w:rPr>
        <w:t>也可以以纸质形式进行中标通知。</w:t>
      </w:r>
    </w:p>
    <w:p w14:paraId="681D7DB4">
      <w:pPr>
        <w:pStyle w:val="132"/>
        <w:spacing w:before="0"/>
        <w:ind w:firstLine="480"/>
        <w:rPr>
          <w:rFonts w:hint="eastAsia" w:ascii="宋体" w:hAnsi="宋体" w:cs="宋体"/>
          <w:color w:val="auto"/>
          <w:highlight w:val="none"/>
        </w:rPr>
      </w:pPr>
      <w:r>
        <w:rPr>
          <w:rFonts w:hint="eastAsia" w:ascii="宋体" w:hAnsi="宋体" w:cs="宋体"/>
          <w:color w:val="auto"/>
          <w:highlight w:val="none"/>
        </w:rPr>
        <w:t>23.2中标结果公告内容包括采购人及其委托的</w:t>
      </w:r>
      <w:r>
        <w:rPr>
          <w:rFonts w:hint="eastAsia" w:ascii="宋体" w:hAnsi="宋体" w:cs="宋体"/>
          <w:color w:val="auto"/>
          <w:highlight w:val="none"/>
          <w:lang w:eastAsia="zh-CN"/>
        </w:rPr>
        <w:t>采购代理机构</w:t>
      </w:r>
      <w:r>
        <w:rPr>
          <w:rFonts w:hint="eastAsia" w:ascii="宋体" w:hAnsi="宋体" w:cs="宋体"/>
          <w:color w:val="auto"/>
          <w:highlight w:val="none"/>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highlight w:val="none"/>
        </w:rPr>
        <w:t>资格审查情况、评审专家抽取规则、符合性审查情况、</w:t>
      </w:r>
      <w:bookmarkEnd w:id="13"/>
      <w:r>
        <w:rPr>
          <w:rFonts w:hint="eastAsia" w:ascii="宋体" w:hAnsi="宋体" w:cs="宋体"/>
          <w:color w:val="auto"/>
          <w:highlight w:val="none"/>
        </w:rPr>
        <w:t>未中标情况说明、中标公告期限以及评审专家名单、评分汇总及明细。</w:t>
      </w:r>
    </w:p>
    <w:p w14:paraId="63BD62E0">
      <w:pPr>
        <w:pStyle w:val="132"/>
        <w:spacing w:before="0"/>
        <w:ind w:firstLine="480"/>
        <w:rPr>
          <w:rFonts w:hint="eastAsia" w:ascii="宋体" w:hAnsi="宋体" w:cs="宋体"/>
          <w:color w:val="auto"/>
          <w:highlight w:val="none"/>
        </w:rPr>
      </w:pPr>
      <w:r>
        <w:rPr>
          <w:rFonts w:hint="eastAsia" w:ascii="宋体" w:hAnsi="宋体" w:cs="宋体"/>
          <w:color w:val="auto"/>
          <w:highlight w:val="none"/>
        </w:rPr>
        <w:t>23.3公告期限为1个工作日。</w:t>
      </w:r>
    </w:p>
    <w:p w14:paraId="7BEABF55">
      <w:pPr>
        <w:pStyle w:val="132"/>
        <w:spacing w:before="0"/>
        <w:ind w:firstLine="480"/>
        <w:rPr>
          <w:rFonts w:hint="eastAsia" w:ascii="宋体" w:hAnsi="宋体" w:cs="宋体"/>
          <w:color w:val="auto"/>
          <w:highlight w:val="none"/>
        </w:rPr>
      </w:pPr>
      <w:r>
        <w:rPr>
          <w:rFonts w:hint="eastAsia" w:ascii="宋体" w:hAnsi="宋体" w:cs="宋体"/>
          <w:color w:val="auto"/>
          <w:highlight w:val="none"/>
          <w:lang w:val="en-US" w:eastAsia="zh-CN"/>
        </w:rPr>
        <w:t xml:space="preserve">23.4 </w:t>
      </w:r>
      <w:r>
        <w:rPr>
          <w:rFonts w:hint="eastAsia" w:ascii="宋体" w:hAnsi="宋体" w:cs="宋体"/>
          <w:color w:val="auto"/>
          <w:highlight w:val="none"/>
        </w:rPr>
        <w:t>由于中标、成交供应商原因导致重新采购的，应当承担支付代理费和专家评审费等费用在内的赔偿责任。</w:t>
      </w:r>
    </w:p>
    <w:p w14:paraId="618C358E">
      <w:pPr>
        <w:snapToGrid w:val="0"/>
        <w:spacing w:line="360" w:lineRule="auto"/>
        <w:jc w:val="both"/>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pStyle w:val="132"/>
        <w:spacing w:before="0"/>
        <w:ind w:firstLine="480"/>
        <w:rPr>
          <w:rFonts w:hint="eastAsia" w:ascii="宋体" w:hAnsi="宋体" w:cs="宋体"/>
          <w:color w:val="auto"/>
          <w:highlight w:val="none"/>
        </w:rPr>
      </w:pPr>
      <w:r>
        <w:rPr>
          <w:rFonts w:hint="eastAsia" w:ascii="宋体" w:hAnsi="宋体" w:cs="宋体"/>
          <w:color w:val="auto"/>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2"/>
        <w:spacing w:before="0"/>
        <w:ind w:firstLine="480"/>
        <w:rPr>
          <w:rFonts w:hint="eastAsia" w:ascii="宋体" w:hAnsi="宋体" w:cs="宋体"/>
          <w:color w:val="auto"/>
          <w:highlight w:val="none"/>
        </w:rPr>
      </w:pPr>
      <w:r>
        <w:rPr>
          <w:rFonts w:hint="eastAsia" w:ascii="宋体" w:hAnsi="宋体" w:cs="宋体"/>
          <w:color w:val="auto"/>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2"/>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2"/>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2"/>
        <w:spacing w:before="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pStyle w:val="132"/>
        <w:spacing w:before="0"/>
        <w:ind w:firstLine="480"/>
        <w:rPr>
          <w:rFonts w:hint="eastAsia" w:ascii="宋体" w:hAnsi="宋体" w:cs="宋体"/>
          <w:color w:val="auto"/>
          <w:highlight w:val="none"/>
        </w:rPr>
      </w:pPr>
      <w:r>
        <w:rPr>
          <w:rFonts w:hint="eastAsia" w:ascii="宋体" w:hAnsi="宋体" w:cs="宋体"/>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068AD04">
      <w:pPr>
        <w:pStyle w:val="132"/>
        <w:spacing w:before="0"/>
        <w:ind w:firstLine="480"/>
        <w:rPr>
          <w:rFonts w:hint="eastAsia" w:ascii="宋体" w:hAnsi="宋体" w:cs="宋体"/>
          <w:color w:val="auto"/>
          <w:highlight w:val="none"/>
        </w:rPr>
      </w:pPr>
      <w:r>
        <w:rPr>
          <w:rFonts w:hint="eastAsia" w:ascii="宋体" w:hAnsi="宋体" w:cs="宋体"/>
          <w:color w:val="auto"/>
          <w:highlight w:val="none"/>
        </w:rPr>
        <w:t>供应商</w:t>
      </w:r>
      <w:r>
        <w:rPr>
          <w:rFonts w:hint="eastAsia" w:ascii="宋体" w:hAnsi="宋体" w:cs="宋体"/>
          <w:color w:val="auto"/>
          <w:highlight w:val="none"/>
          <w:lang w:val="en-US"/>
        </w:rPr>
        <w:t>可</w:t>
      </w:r>
      <w:r>
        <w:rPr>
          <w:rFonts w:hint="eastAsia" w:ascii="宋体" w:hAnsi="宋体" w:cs="宋体"/>
          <w:color w:val="auto"/>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color w:val="auto"/>
          <w:highlight w:val="none"/>
          <w:lang w:val="en-US" w:eastAsia="zh-CN"/>
        </w:rPr>
        <w:t>95763</w:t>
      </w:r>
      <w:r>
        <w:rPr>
          <w:rFonts w:hint="eastAsia" w:ascii="宋体" w:hAnsi="宋体" w:cs="宋体"/>
          <w:color w:val="auto"/>
          <w:highlight w:val="none"/>
        </w:rPr>
        <w:t>。</w:t>
      </w:r>
    </w:p>
    <w:p w14:paraId="3C939F7B">
      <w:pPr>
        <w:pStyle w:val="5"/>
        <w:rPr>
          <w:color w:val="auto"/>
          <w:highlight w:val="none"/>
        </w:rPr>
      </w:pPr>
      <w:r>
        <w:rPr>
          <w:rFonts w:ascii="宋体" w:hAnsi="宋体" w:eastAsia="宋体"/>
          <w:b/>
          <w:bCs/>
          <w:color w:val="auto"/>
          <w:sz w:val="24"/>
          <w:szCs w:val="32"/>
          <w:highlight w:val="none"/>
          <w:lang w:val="en-US"/>
        </w:rPr>
        <w:t>27.预付款</w:t>
      </w:r>
    </w:p>
    <w:p w14:paraId="02CAFB67">
      <w:pPr>
        <w:pStyle w:val="132"/>
        <w:spacing w:before="0"/>
        <w:ind w:firstLine="48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2"/>
        <w:spacing w:before="0"/>
        <w:rPr>
          <w:rFonts w:hint="eastAsia" w:ascii="宋体" w:hAnsi="宋体"/>
          <w:color w:val="auto"/>
          <w:sz w:val="24"/>
          <w:highlight w:val="none"/>
        </w:rPr>
      </w:pPr>
      <w:r>
        <w:rPr>
          <w:rFonts w:hint="eastAsia" w:ascii="宋体" w:hAnsi="宋体"/>
          <w:color w:val="auto"/>
          <w:sz w:val="24"/>
          <w:highlight w:val="none"/>
        </w:rPr>
        <w:t xml:space="preserve">28.1电子交易平台发生故障而无法登录访问的； </w:t>
      </w:r>
    </w:p>
    <w:p w14:paraId="3E46E7D4">
      <w:pPr>
        <w:pStyle w:val="132"/>
        <w:spacing w:before="0"/>
        <w:ind w:firstLine="480"/>
        <w:rPr>
          <w:rFonts w:hint="eastAsia" w:ascii="宋体" w:hAnsi="宋体"/>
          <w:color w:val="auto"/>
          <w:sz w:val="24"/>
          <w:highlight w:val="none"/>
        </w:rPr>
      </w:pPr>
      <w:r>
        <w:rPr>
          <w:rFonts w:hint="eastAsia" w:ascii="宋体" w:hAnsi="宋体"/>
          <w:color w:val="auto"/>
          <w:sz w:val="24"/>
          <w:highlight w:val="none"/>
        </w:rPr>
        <w:t>28.2电子交易平台应用或数据库出现错误，不能进行正常操作的；</w:t>
      </w:r>
    </w:p>
    <w:p w14:paraId="47FAC8CC">
      <w:pPr>
        <w:pStyle w:val="132"/>
        <w:spacing w:before="0"/>
        <w:ind w:firstLine="480"/>
        <w:rPr>
          <w:rFonts w:hint="eastAsia" w:ascii="宋体" w:hAnsi="宋体"/>
          <w:color w:val="auto"/>
          <w:sz w:val="24"/>
          <w:highlight w:val="none"/>
        </w:rPr>
      </w:pPr>
      <w:r>
        <w:rPr>
          <w:rFonts w:hint="eastAsia" w:ascii="宋体" w:hAnsi="宋体"/>
          <w:color w:val="auto"/>
          <w:sz w:val="24"/>
          <w:highlight w:val="none"/>
        </w:rPr>
        <w:t>28.3电子交易平台发现严重安全漏洞，有潜在泄密危险的；</w:t>
      </w:r>
    </w:p>
    <w:p w14:paraId="5FD1FB31">
      <w:pPr>
        <w:pStyle w:val="132"/>
        <w:spacing w:before="0"/>
        <w:ind w:firstLine="480"/>
        <w:rPr>
          <w:rFonts w:hint="eastAsia" w:ascii="宋体" w:hAnsi="宋体"/>
          <w:color w:val="auto"/>
          <w:sz w:val="24"/>
          <w:highlight w:val="none"/>
        </w:rPr>
      </w:pPr>
      <w:r>
        <w:rPr>
          <w:rFonts w:hint="eastAsia" w:ascii="宋体" w:hAnsi="宋体"/>
          <w:color w:val="auto"/>
          <w:sz w:val="24"/>
          <w:highlight w:val="none"/>
        </w:rPr>
        <w:t xml:space="preserve">28.4病毒发作导致不能进行正常操作的； </w:t>
      </w:r>
    </w:p>
    <w:p w14:paraId="0C80746A">
      <w:pPr>
        <w:pStyle w:val="132"/>
        <w:spacing w:before="0"/>
        <w:rPr>
          <w:rFonts w:hint="eastAsia" w:ascii="宋体" w:hAnsi="宋体"/>
          <w:color w:val="auto"/>
          <w:sz w:val="24"/>
          <w:highlight w:val="none"/>
        </w:rPr>
      </w:pPr>
      <w:r>
        <w:rPr>
          <w:rFonts w:hint="eastAsia" w:ascii="宋体" w:hAnsi="宋体"/>
          <w:color w:val="auto"/>
          <w:sz w:val="24"/>
          <w:highlight w:val="none"/>
        </w:rPr>
        <w:t>28.5其他无法保证电子交易的公平、公正和安全的情况。</w:t>
      </w:r>
    </w:p>
    <w:p w14:paraId="45181751">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6"/>
        <w:spacing w:line="360" w:lineRule="auto"/>
        <w:ind w:firstLine="0" w:firstLineChars="0"/>
        <w:rPr>
          <w:rFonts w:cs="宋体"/>
          <w:b/>
          <w:color w:val="auto"/>
          <w:highlight w:val="none"/>
        </w:rPr>
      </w:pPr>
      <w:r>
        <w:rPr>
          <w:rFonts w:hint="eastAsia" w:cs="宋体"/>
          <w:b/>
          <w:color w:val="auto"/>
          <w:highlight w:val="none"/>
        </w:rPr>
        <w:t>30.验收</w:t>
      </w:r>
    </w:p>
    <w:p w14:paraId="76A3AA3B">
      <w:pPr>
        <w:pStyle w:val="132"/>
        <w:spacing w:before="0"/>
        <w:ind w:firstLine="480"/>
        <w:rPr>
          <w:rFonts w:hint="eastAsia" w:ascii="宋体" w:hAnsi="宋体"/>
          <w:color w:val="auto"/>
          <w:sz w:val="24"/>
          <w:highlight w:val="none"/>
        </w:rPr>
      </w:pPr>
      <w:r>
        <w:rPr>
          <w:rFonts w:hint="eastAsia" w:ascii="宋体" w:hAnsi="宋体"/>
          <w:color w:val="auto"/>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pStyle w:val="132"/>
        <w:spacing w:before="0"/>
        <w:ind w:firstLine="480"/>
        <w:rPr>
          <w:rFonts w:hint="eastAsia" w:ascii="宋体" w:hAnsi="宋体"/>
          <w:color w:val="auto"/>
          <w:sz w:val="24"/>
          <w:highlight w:val="none"/>
        </w:rPr>
      </w:pPr>
      <w:r>
        <w:rPr>
          <w:rFonts w:hint="eastAsia" w:ascii="宋体" w:hAnsi="宋体"/>
          <w:color w:val="auto"/>
          <w:sz w:val="24"/>
          <w:highlight w:val="none"/>
        </w:rPr>
        <w:t>30.2采购人可以邀请参加本项目的其他投标人或者第三方机构参与验收。参与验收的投标人或者第三方机构的意见作为验收书的参考资料一并存档。</w:t>
      </w:r>
    </w:p>
    <w:p w14:paraId="1658F911">
      <w:pPr>
        <w:pStyle w:val="132"/>
        <w:spacing w:before="0"/>
        <w:ind w:firstLine="480"/>
        <w:rPr>
          <w:rFonts w:hint="eastAsia" w:ascii="宋体" w:hAnsi="宋体"/>
          <w:color w:val="auto"/>
          <w:sz w:val="24"/>
          <w:highlight w:val="none"/>
        </w:rPr>
      </w:pPr>
      <w:r>
        <w:rPr>
          <w:rFonts w:hint="eastAsia" w:ascii="宋体" w:hAnsi="宋体"/>
          <w:color w:val="auto"/>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pStyle w:val="132"/>
        <w:spacing w:before="0"/>
        <w:ind w:firstLine="480"/>
        <w:rPr>
          <w:rFonts w:hint="eastAsia" w:ascii="宋体" w:hAnsi="宋体"/>
          <w:color w:val="auto"/>
          <w:sz w:val="24"/>
          <w:highlight w:val="none"/>
        </w:rPr>
      </w:pPr>
      <w:r>
        <w:rPr>
          <w:rFonts w:hint="eastAsia" w:ascii="宋体" w:hAnsi="宋体"/>
          <w:color w:val="auto"/>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3F84702">
      <w:pPr>
        <w:pStyle w:val="132"/>
        <w:spacing w:before="0"/>
        <w:ind w:firstLine="480"/>
        <w:rPr>
          <w:rFonts w:hint="eastAsia" w:ascii="宋体" w:hAnsi="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color w:val="auto"/>
          <w:sz w:val="24"/>
          <w:highlight w:val="none"/>
          <w:lang w:val="en-US"/>
        </w:rPr>
        <w:t>30.5 对于满足合同约定的采购资金支付条件的，供应商可通过政采云平台提起在线支付申请、查询支付结果，路径为政采云-我的工作台-</w:t>
      </w:r>
      <w:r>
        <w:rPr>
          <w:rFonts w:hint="eastAsia" w:ascii="宋体" w:hAnsi="宋体"/>
          <w:color w:val="auto"/>
          <w:sz w:val="24"/>
          <w:highlight w:val="none"/>
          <w:lang w:val="en-US" w:eastAsia="zh-CN"/>
        </w:rPr>
        <w:t>合同管理</w:t>
      </w:r>
      <w:r>
        <w:rPr>
          <w:rFonts w:hint="eastAsia" w:ascii="宋体" w:hAnsi="宋体"/>
          <w:color w:val="auto"/>
          <w:sz w:val="24"/>
          <w:highlight w:val="none"/>
          <w:lang w:val="en-US"/>
        </w:rPr>
        <w:t>-支付管理。对于供应商提起在线支付申请的，采购</w:t>
      </w:r>
      <w:r>
        <w:rPr>
          <w:rFonts w:hint="eastAsia" w:ascii="宋体" w:hAnsi="宋体"/>
          <w:color w:val="auto"/>
          <w:sz w:val="24"/>
          <w:highlight w:val="none"/>
          <w:lang w:val="en-US" w:eastAsia="zh-CN"/>
        </w:rPr>
        <w:t>人</w:t>
      </w:r>
      <w:r>
        <w:rPr>
          <w:rFonts w:hint="eastAsia" w:ascii="宋体" w:hAnsi="宋体"/>
          <w:color w:val="auto"/>
          <w:sz w:val="24"/>
          <w:highlight w:val="none"/>
          <w:lang w:val="en-US"/>
        </w:rPr>
        <w:t>应当</w:t>
      </w:r>
      <w:r>
        <w:rPr>
          <w:rFonts w:hint="eastAsia" w:ascii="宋体" w:hAnsi="宋体"/>
          <w:color w:val="auto"/>
          <w:sz w:val="24"/>
          <w:highlight w:val="none"/>
          <w:lang w:val="en-US" w:eastAsia="zh-CN"/>
        </w:rPr>
        <w:t>按规定</w:t>
      </w:r>
      <w:r>
        <w:rPr>
          <w:rFonts w:hint="eastAsia" w:ascii="宋体" w:hAnsi="宋体"/>
          <w:color w:val="auto"/>
          <w:sz w:val="24"/>
          <w:highlight w:val="none"/>
          <w:lang w:val="en-US"/>
        </w:rPr>
        <w:t>做好审核并完成支付。</w:t>
      </w:r>
    </w:p>
    <w:bookmarkEnd w:id="11"/>
    <w:bookmarkEnd w:id="12"/>
    <w:p w14:paraId="086088D8">
      <w:pPr>
        <w:spacing w:line="360" w:lineRule="auto"/>
        <w:jc w:val="center"/>
        <w:outlineLvl w:val="0"/>
        <w:rPr>
          <w:rFonts w:ascii="宋体" w:hAnsi="宋体" w:cs="宋体"/>
          <w:b/>
          <w:color w:val="auto"/>
          <w:sz w:val="36"/>
          <w:szCs w:val="36"/>
          <w:highlight w:val="none"/>
        </w:rPr>
      </w:pPr>
      <w:bookmarkStart w:id="14" w:name="第四部分"/>
      <w:r>
        <w:rPr>
          <w:rFonts w:hint="eastAsia" w:ascii="宋体" w:hAnsi="宋体" w:cs="宋体"/>
          <w:b/>
          <w:color w:val="auto"/>
          <w:sz w:val="36"/>
          <w:szCs w:val="36"/>
          <w:highlight w:val="none"/>
        </w:rPr>
        <w:t>第三部分   采购需求</w:t>
      </w:r>
    </w:p>
    <w:p w14:paraId="3281CB61">
      <w:pPr>
        <w:tabs>
          <w:tab w:val="left" w:pos="0"/>
        </w:tabs>
        <w:spacing w:line="360" w:lineRule="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一、项目概况</w:t>
      </w:r>
    </w:p>
    <w:p w14:paraId="46F8ED40">
      <w:pPr>
        <w:pStyle w:val="132"/>
        <w:spacing w:before="0"/>
        <w:ind w:firstLine="480"/>
        <w:rPr>
          <w:rFonts w:hint="eastAsia" w:ascii="宋体" w:hAnsi="宋体" w:eastAsia="宋体"/>
          <w:color w:val="auto"/>
          <w:sz w:val="24"/>
          <w:highlight w:val="none"/>
          <w:lang w:val="en-US"/>
        </w:rPr>
      </w:pPr>
      <w:r>
        <w:rPr>
          <w:rFonts w:hint="eastAsia" w:ascii="宋体" w:hAnsi="宋体" w:eastAsia="宋体"/>
          <w:color w:val="auto"/>
          <w:sz w:val="24"/>
          <w:highlight w:val="none"/>
          <w:lang w:val="en-US"/>
        </w:rPr>
        <w:t>为深化“最多跑一次”改革，拓展公积金服务渠道，进一步方便杭州市广大单位及职工了解公积金业务政策、制度，提升公积金信访工作数字化、智能化水平，杭州公积金中心设立“</w:t>
      </w:r>
      <w:r>
        <w:rPr>
          <w:rFonts w:hint="eastAsia" w:ascii="宋体" w:hAnsi="宋体"/>
          <w:color w:val="auto"/>
          <w:sz w:val="24"/>
          <w:highlight w:val="none"/>
          <w:lang w:val="en-US" w:eastAsia="zh-CN"/>
        </w:rPr>
        <w:t>公积金在线客服</w:t>
      </w:r>
      <w:r>
        <w:rPr>
          <w:rFonts w:hint="eastAsia" w:ascii="宋体" w:hAnsi="宋体" w:eastAsia="宋体"/>
          <w:color w:val="auto"/>
          <w:sz w:val="24"/>
          <w:highlight w:val="none"/>
          <w:lang w:val="en-US"/>
        </w:rPr>
        <w:t>”项目，并对本项目实行服务外包。</w:t>
      </w:r>
    </w:p>
    <w:p w14:paraId="3B471B31">
      <w:pPr>
        <w:tabs>
          <w:tab w:val="left" w:pos="0"/>
        </w:tabs>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w:t>
      </w:r>
      <w:r>
        <w:rPr>
          <w:rFonts w:hint="eastAsia" w:ascii="宋体" w:hAnsi="宋体" w:eastAsia="宋体" w:cs="宋体"/>
          <w:b/>
          <w:bCs/>
          <w:color w:val="000000"/>
          <w:kern w:val="0"/>
          <w:sz w:val="24"/>
          <w:szCs w:val="24"/>
          <w:highlight w:val="none"/>
        </w:rPr>
        <w:t>项目</w:t>
      </w:r>
      <w:r>
        <w:rPr>
          <w:rFonts w:hint="eastAsia" w:ascii="宋体" w:hAnsi="宋体" w:eastAsia="宋体" w:cs="宋体"/>
          <w:b/>
          <w:bCs/>
          <w:color w:val="000000"/>
          <w:sz w:val="24"/>
          <w:szCs w:val="24"/>
          <w:highlight w:val="none"/>
        </w:rPr>
        <w:t>要求</w:t>
      </w:r>
    </w:p>
    <w:p w14:paraId="6017E2C1">
      <w:pPr>
        <w:pStyle w:val="132"/>
        <w:spacing w:before="0"/>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供应商需提供“</w:t>
      </w:r>
      <w:r>
        <w:rPr>
          <w:rFonts w:hint="eastAsia" w:ascii="宋体" w:hAnsi="宋体"/>
          <w:color w:val="auto"/>
          <w:sz w:val="24"/>
          <w:highlight w:val="none"/>
          <w:lang w:val="en-US" w:eastAsia="zh-CN"/>
        </w:rPr>
        <w:t>公积金在线客服</w:t>
      </w:r>
      <w:r>
        <w:rPr>
          <w:rFonts w:hint="eastAsia" w:ascii="宋体" w:hAnsi="宋体" w:eastAsia="宋体" w:cs="宋体"/>
          <w:color w:val="000000"/>
          <w:sz w:val="24"/>
          <w:szCs w:val="24"/>
          <w:highlight w:val="none"/>
        </w:rPr>
        <w:t>”配套系统以及坐席服务人员，通过杭州公积金中心官网、微信公众号、浙江政务服务网、杭州城市大脑APP平台等各类渠道，为杭州市各区、县（市）单位、职工提供公积金业务政策解答、留言回复等服务，保障在线服务的正常运行。</w:t>
      </w:r>
    </w:p>
    <w:p w14:paraId="35256114">
      <w:pPr>
        <w:tabs>
          <w:tab w:val="left" w:pos="0"/>
        </w:tabs>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三、</w:t>
      </w:r>
      <w:r>
        <w:rPr>
          <w:rFonts w:hint="eastAsia" w:ascii="宋体" w:hAnsi="宋体" w:eastAsia="宋体" w:cs="宋体"/>
          <w:b/>
          <w:bCs/>
          <w:color w:val="000000"/>
          <w:kern w:val="0"/>
          <w:sz w:val="24"/>
          <w:szCs w:val="24"/>
          <w:highlight w:val="none"/>
        </w:rPr>
        <w:t>服务</w:t>
      </w:r>
      <w:r>
        <w:rPr>
          <w:rFonts w:hint="eastAsia" w:ascii="宋体" w:hAnsi="宋体" w:eastAsia="宋体" w:cs="宋体"/>
          <w:b/>
          <w:bCs/>
          <w:color w:val="000000"/>
          <w:sz w:val="24"/>
          <w:szCs w:val="24"/>
          <w:highlight w:val="none"/>
        </w:rPr>
        <w:t>外包内容、期限</w:t>
      </w:r>
    </w:p>
    <w:p w14:paraId="00DA7069">
      <w:pPr>
        <w:snapToGrid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（一）服务外包内容</w:t>
      </w:r>
    </w:p>
    <w:p w14:paraId="59B035C4">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1.坐席服务：供应商提供工作负责、服务规范的坐席人员服务</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工作人员负责各渠道来源的咨询、建议、投诉、举报处理及转办工作。</w:t>
      </w:r>
    </w:p>
    <w:p w14:paraId="5067D427">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2.培训考核：供应商负责招募、培训工作人员，配备专职管理人员，通过绩效考核、表彰奖励等手段提高工作人员服务效率；通过组织相关竞赛、交流、培训等活动提高团队凝聚力，减少人员流失。</w:t>
      </w:r>
    </w:p>
    <w:p w14:paraId="7A2C8B73">
      <w:pPr>
        <w:pStyle w:val="25"/>
        <w:snapToGrid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（二）项目服务期限</w:t>
      </w:r>
    </w:p>
    <w:p w14:paraId="1DB0B636">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服务期限自2025年8月1日起至2026年7月31日止，其中，2025年8月1日前供应商应完成进场准备并办妥交接工作，2025年8月15日前供应商应完成搭建服务平台、配置服务人员等准备工作。</w:t>
      </w:r>
    </w:p>
    <w:p w14:paraId="71A3B4BC">
      <w:pPr>
        <w:snapToGrid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（三）付款方式</w:t>
      </w:r>
    </w:p>
    <w:p w14:paraId="58DFC175">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合同生效以及</w:t>
      </w:r>
      <w:r>
        <w:rPr>
          <w:rFonts w:hint="eastAsia" w:ascii="宋体" w:hAnsi="宋体" w:cs="宋体"/>
          <w:color w:val="000000"/>
          <w:sz w:val="24"/>
          <w:szCs w:val="24"/>
          <w:highlight w:val="none"/>
          <w:lang w:val="en-US" w:eastAsia="zh-CN"/>
        </w:rPr>
        <w:t>具备实施条件（</w:t>
      </w:r>
      <w:r>
        <w:rPr>
          <w:rFonts w:hint="eastAsia" w:ascii="宋体" w:hAnsi="宋体" w:eastAsia="宋体" w:cs="宋体"/>
          <w:color w:val="000000"/>
          <w:sz w:val="24"/>
          <w:szCs w:val="24"/>
          <w:highlight w:val="none"/>
        </w:rPr>
        <w:t>供应商完成进场准备并办妥交接工作，完成搭建服务平台并配置服务人员</w:t>
      </w:r>
      <w:r>
        <w:rPr>
          <w:rFonts w:hint="eastAsia" w:ascii="宋体" w:hAnsi="宋体" w:cs="宋体"/>
          <w:color w:val="000000"/>
          <w:sz w:val="24"/>
          <w:szCs w:val="24"/>
          <w:highlight w:val="none"/>
          <w:lang w:val="en-US" w:eastAsia="zh-CN"/>
        </w:rPr>
        <w:t>）后</w:t>
      </w:r>
      <w:r>
        <w:rPr>
          <w:rFonts w:hint="eastAsia" w:ascii="宋体" w:hAnsi="宋体" w:eastAsia="宋体" w:cs="宋体"/>
          <w:color w:val="000000"/>
          <w:sz w:val="24"/>
          <w:szCs w:val="24"/>
          <w:highlight w:val="none"/>
        </w:rPr>
        <w:t>，经采购人确认后</w:t>
      </w:r>
      <w:r>
        <w:rPr>
          <w:rFonts w:hint="eastAsia" w:ascii="宋体" w:hAnsi="宋体" w:cs="宋体"/>
          <w:color w:val="000000"/>
          <w:sz w:val="24"/>
          <w:szCs w:val="24"/>
          <w:highlight w:val="none"/>
          <w:lang w:val="en-US" w:eastAsia="zh-CN"/>
        </w:rPr>
        <w:t>5个工作日内</w:t>
      </w:r>
      <w:r>
        <w:rPr>
          <w:rFonts w:hint="eastAsia" w:ascii="宋体" w:hAnsi="宋体" w:eastAsia="宋体" w:cs="宋体"/>
          <w:color w:val="000000"/>
          <w:sz w:val="24"/>
          <w:szCs w:val="24"/>
          <w:highlight w:val="none"/>
        </w:rPr>
        <w:t>支付50万（</w:t>
      </w:r>
      <w:r>
        <w:rPr>
          <w:rFonts w:hint="eastAsia" w:ascii="宋体" w:hAnsi="宋体" w:cs="宋体"/>
          <w:color w:val="000000"/>
          <w:sz w:val="24"/>
          <w:szCs w:val="24"/>
          <w:highlight w:val="none"/>
          <w:lang w:val="en-US" w:eastAsia="zh-CN"/>
        </w:rPr>
        <w:t>预付款：</w:t>
      </w:r>
      <w:r>
        <w:rPr>
          <w:rFonts w:hint="eastAsia" w:ascii="宋体" w:hAnsi="宋体" w:eastAsia="宋体" w:cs="宋体"/>
          <w:color w:val="000000"/>
          <w:sz w:val="24"/>
          <w:szCs w:val="24"/>
          <w:highlight w:val="none"/>
        </w:rPr>
        <w:t>2025年该项目批复预算）；在2026年6月30日前支付至合同金额的90%；服务期满</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根据供应商考核指标完成情况，采购人将直接从剩余价款中一并扣除因供应商未达标而产生的赔偿违约金（如扣除后不足以支付全部赔偿违约金的，不足部分由供应商另行支付给采购人），并在项目验收通过后</w:t>
      </w:r>
      <w:r>
        <w:rPr>
          <w:rFonts w:hint="eastAsia" w:ascii="宋体" w:hAnsi="宋体" w:cs="宋体"/>
          <w:color w:val="000000"/>
          <w:sz w:val="24"/>
          <w:szCs w:val="24"/>
          <w:highlight w:val="none"/>
          <w:lang w:val="en-US" w:eastAsia="zh-CN"/>
        </w:rPr>
        <w:t>5个工作日内</w:t>
      </w:r>
      <w:r>
        <w:rPr>
          <w:rFonts w:hint="eastAsia" w:ascii="宋体" w:hAnsi="宋体" w:eastAsia="宋体" w:cs="宋体"/>
          <w:color w:val="000000"/>
          <w:sz w:val="24"/>
          <w:szCs w:val="24"/>
          <w:highlight w:val="none"/>
        </w:rPr>
        <w:t>，结清剩余款项。</w:t>
      </w:r>
    </w:p>
    <w:p w14:paraId="6353CCC7">
      <w:pPr>
        <w:tabs>
          <w:tab w:val="left" w:pos="0"/>
        </w:tabs>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四、</w:t>
      </w:r>
      <w:r>
        <w:rPr>
          <w:rFonts w:hint="eastAsia" w:ascii="宋体" w:hAnsi="宋体" w:eastAsia="宋体" w:cs="宋体"/>
          <w:b/>
          <w:bCs/>
          <w:color w:val="000000"/>
          <w:kern w:val="0"/>
          <w:sz w:val="24"/>
          <w:szCs w:val="24"/>
          <w:highlight w:val="none"/>
        </w:rPr>
        <w:t>服务</w:t>
      </w:r>
      <w:r>
        <w:rPr>
          <w:rFonts w:hint="eastAsia" w:ascii="宋体" w:hAnsi="宋体" w:eastAsia="宋体" w:cs="宋体"/>
          <w:b/>
          <w:bCs/>
          <w:color w:val="000000"/>
          <w:sz w:val="24"/>
          <w:szCs w:val="24"/>
          <w:highlight w:val="none"/>
        </w:rPr>
        <w:t>外包具体要求</w:t>
      </w:r>
    </w:p>
    <w:p w14:paraId="0B83434A">
      <w:pPr>
        <w:snapToGrid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（一）系统功能需求</w:t>
      </w:r>
    </w:p>
    <w:p w14:paraId="78B218E3">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1.人工在线文字互动系统</w:t>
      </w:r>
    </w:p>
    <w:p w14:paraId="108B6286">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（1）渠道接入能力</w:t>
      </w:r>
    </w:p>
    <w:p w14:paraId="79BBD28F">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系统要求可以同时接收来自采购人指定来源渠道的访客即时信息（包括：微信、web网站、小程序等），并统一整合到客服工作台中，坐席要求可同时处理不同来源信息，快速记录和解决问题，从而在技术上实现与杭州公积金中心官方网站、微信公众号、浙江政务服务网、杭州城市大脑APP等多渠道的用户访问。</w:t>
      </w:r>
    </w:p>
    <w:p w14:paraId="18B2FE53">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（2）在线客服功能</w:t>
      </w:r>
    </w:p>
    <w:p w14:paraId="64233BDA">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①业务分类管理</w:t>
      </w:r>
    </w:p>
    <w:p w14:paraId="163D581E">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在线客服系统管理中，针对坐席接入情况要求可以按公积金缴存、提取、贷款业务设置分类管理，同一坐席人员可以兼任不同业务的解答工作，相关业务报表仍可以清晰区分。</w:t>
      </w:r>
    </w:p>
    <w:p w14:paraId="3B8281B7">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②敏感词管理</w:t>
      </w:r>
    </w:p>
    <w:p w14:paraId="22D2B926">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通过敏感词管理，避免聊天过程中对访客信息的泄露，以及避免坐席直接发送不规范用语给访客，影响整个会话体验。</w:t>
      </w:r>
    </w:p>
    <w:p w14:paraId="6122095A">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③快捷回复</w:t>
      </w:r>
    </w:p>
    <w:p w14:paraId="7EF315EF">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对于经常咨询的问题，设置快捷回复内容，通过快捷回复协助坐席进行快速回复访客内容。</w:t>
      </w:r>
    </w:p>
    <w:p w14:paraId="412DB032">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④操作权限管理</w:t>
      </w:r>
    </w:p>
    <w:p w14:paraId="4291546B">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系统要求支持对人员部门的设置添加管理，并且可以针对人员的角色进行划分。通过设置不同角色的访问权限，限制查看数据范围以及修改和编辑内容的权限。</w:t>
      </w:r>
    </w:p>
    <w:p w14:paraId="109C2DA7">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（3）接入渠道管理</w:t>
      </w:r>
    </w:p>
    <w:p w14:paraId="56D1B4DC">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系统要求可以针对不同的接入渠道进行分类管理，区分各类渠道的接入情况等。</w:t>
      </w:r>
    </w:p>
    <w:p w14:paraId="345721F6">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（4）会话能力管理</w:t>
      </w:r>
    </w:p>
    <w:p w14:paraId="5E6C8552">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①访客会话</w:t>
      </w:r>
    </w:p>
    <w:p w14:paraId="486C0ECA">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访客会话的过程中支持文字聊天，可以发送语音、表情图片以及文件，访客端要求支持截图功能，满足截图需求。访客在排队时，支持查看当前客服接待情况和排队情况，支持对历史咨询记录的查看。</w:t>
      </w:r>
    </w:p>
    <w:p w14:paraId="514389E7">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访客长期未回复消息，系统根据设定时间支持提示超时提醒，并将信息发送给用户，如果长时间未进行响应，系统支持坐席和访客断开连接，结束会话。系统支持访客对本次服务会话情况进行评价。</w:t>
      </w:r>
    </w:p>
    <w:p w14:paraId="194297D0">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②坐席会话</w:t>
      </w:r>
    </w:p>
    <w:p w14:paraId="6045CAF7">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坐席端包括基本对话模块，坐席要求可以支持发送文字、语音、表情图片和文件以及截图。系统展示目前超过接待量的排队访客信息，可以优先接入重点客户。要求具有帮助功能，可以查看同事当前接入的会话情况，通过申请加入会话，共同服务访客需求应答；坐席需要对会话进行转接其他客服或者客服组，可以进行转接。坐席在会话的过程中，可以开启满意度评价，以及创建转办单服务。</w:t>
      </w:r>
    </w:p>
    <w:p w14:paraId="2F4ABAD0">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系统需有信息记录模块，需记录访客的信息、回复信息、转办单信息等，比如访客来源、当日对话情况、访客询问的业务类型、转办单处理情况等。</w:t>
      </w:r>
    </w:p>
    <w:p w14:paraId="66B6E047">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（5）留言功能</w:t>
      </w:r>
    </w:p>
    <w:p w14:paraId="41843BE2">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客户访问若当前无客服在线，可选择转入留言界面，预留姓名、手机号码等信息，通过短信认证后进入留言服务，坐席人员上线后可在留言列表回复客户留言。在线客服系统针对坐席长时间不在线的情况下，支持留言管理，系统支持对不同来源渠道的会话情况进行查看，针对留言情况支持自定义筛选时间，模糊查找等条件，管理者可以将留言情况进行二次回访处理，将其转换为已经处理。</w:t>
      </w:r>
    </w:p>
    <w:p w14:paraId="2DB514DE">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（6）质检管理</w:t>
      </w:r>
    </w:p>
    <w:p w14:paraId="591209F8">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系统支持对坐席会话记录进行质检管理，提供评分表格和评分项的管理，允许设置评分项的名称、分值、权重等。在系统中，允许存在多个评分表格，以实现对不同方面/维度的会话记录和工单处理情况进行评价打分。评分表格是否启用可以灵活设置。</w:t>
      </w:r>
    </w:p>
    <w:p w14:paraId="19DB39D1">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（7）知识库管理</w:t>
      </w:r>
    </w:p>
    <w:p w14:paraId="497EC938">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系统建立公积金知识库，要求主要分为基本信息知识库、缴存业务知识库、提取业务知识库、信贷业务知识库、执法业务知识库及计财业务知识库。知识库中要求可以按照分类进行快速检索，查找出所需的资料。涉及知识库内容调整、变更的，可及时进行更新维护。知识库支持单文本、多文本、超链接、附件、图片、</w:t>
      </w:r>
      <w:r>
        <w:rPr>
          <w:rFonts w:hint="eastAsia" w:ascii="宋体" w:hAnsi="宋体" w:eastAsia="宋体" w:cs="宋体"/>
          <w:sz w:val="24"/>
          <w:szCs w:val="24"/>
          <w:highlight w:val="none"/>
        </w:rPr>
        <w:t>视频等</w:t>
      </w:r>
      <w:r>
        <w:rPr>
          <w:rFonts w:hint="eastAsia" w:ascii="宋体" w:hAnsi="宋体" w:eastAsia="宋体" w:cs="宋体"/>
          <w:color w:val="000000"/>
          <w:sz w:val="24"/>
          <w:szCs w:val="24"/>
          <w:highlight w:val="none"/>
        </w:rPr>
        <w:t>格式，满足不同的业务场景需求。</w:t>
      </w:r>
    </w:p>
    <w:p w14:paraId="3478D8C4">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（8）智能辅助</w:t>
      </w:r>
    </w:p>
    <w:p w14:paraId="19A54AC8">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坐席人员在与访客对话的过程中，系统实时为客服从知识库内检索出最佳备选的答案，客服人员可一键发送备选答案，提高客服输入的效率和准确性。</w:t>
      </w:r>
    </w:p>
    <w:p w14:paraId="614F5FBF">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（9）客户信息管理</w:t>
      </w:r>
    </w:p>
    <w:p w14:paraId="339F25BA">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系统支持客户信息对接、导入以及维护，要求可实现与公积金中心职工信息的对接、导入，以确定访客身份。</w:t>
      </w:r>
    </w:p>
    <w:p w14:paraId="58D26889">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（10）报表系统</w:t>
      </w:r>
    </w:p>
    <w:p w14:paraId="371E3882">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要求可按日期、人员等不同条件列表统计对话数、接入数、平均响应时间、平均对话时长、排队接入平均等待时间等；可统计坐席满意度，如评价不满意、一般、满意情况及未评价数量等。</w:t>
      </w:r>
    </w:p>
    <w:p w14:paraId="325D9C40">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（11）转办单管理</w:t>
      </w:r>
    </w:p>
    <w:p w14:paraId="43639E9E">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要求系统设置转办单管理功能，对于人工客服无法处理的问题，系统可支持客户在线填写转办单，或是由坐席人员填报转办单转中心处理。系统支持转办单流程管理，包括转办单登记、办理、撤销、查询和报表等功能。转办单可对接中心办公系统转办或从系统下载后转相关业务部门回复处理。</w:t>
      </w:r>
    </w:p>
    <w:p w14:paraId="430F33FC">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（12）不满意件管理</w:t>
      </w:r>
    </w:p>
    <w:p w14:paraId="6C3FF8E0">
      <w:pPr>
        <w:snapToGrid w:val="0"/>
        <w:spacing w:line="360" w:lineRule="auto"/>
        <w:ind w:firstLine="480" w:firstLineChars="200"/>
        <w:rPr>
          <w:rFonts w:hint="eastAsia" w:ascii="宋体" w:hAnsi="宋体" w:eastAsia="宋体" w:cs="宋体"/>
          <w:color w:val="548DD4"/>
          <w:sz w:val="24"/>
          <w:szCs w:val="24"/>
          <w:highlight w:val="none"/>
        </w:rPr>
      </w:pPr>
      <w:r>
        <w:rPr>
          <w:rFonts w:hint="eastAsia" w:ascii="宋体" w:hAnsi="宋体" w:eastAsia="宋体" w:cs="宋体"/>
          <w:color w:val="000000"/>
          <w:sz w:val="24"/>
          <w:szCs w:val="24"/>
          <w:highlight w:val="none"/>
        </w:rPr>
        <w:t>系统支持评价不满意客户的身份确认，支持统计分析评价不满意的具体原因及客户意见建议管理，并开展回访核实工作。</w:t>
      </w:r>
    </w:p>
    <w:p w14:paraId="50A14B99">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2.在线客服机器人</w:t>
      </w:r>
    </w:p>
    <w:p w14:paraId="1A5A7E84">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（1）在线客服机器人需提供全天7*24小时不间断服务，工作时间访客可转入人工客服。还</w:t>
      </w:r>
      <w:r>
        <w:rPr>
          <w:rFonts w:hint="eastAsia" w:ascii="宋体" w:hAnsi="宋体" w:cs="宋体"/>
          <w:color w:val="000000"/>
          <w:sz w:val="24"/>
          <w:szCs w:val="24"/>
          <w:highlight w:val="none"/>
          <w:lang w:val="en-US" w:eastAsia="zh-CN"/>
        </w:rPr>
        <w:t>要求能</w:t>
      </w:r>
      <w:r>
        <w:rPr>
          <w:rFonts w:hint="eastAsia" w:ascii="宋体" w:hAnsi="宋体" w:eastAsia="宋体" w:cs="宋体"/>
          <w:color w:val="000000"/>
          <w:sz w:val="24"/>
          <w:szCs w:val="24"/>
          <w:highlight w:val="none"/>
        </w:rPr>
        <w:t>配合</w:t>
      </w:r>
      <w:r>
        <w:rPr>
          <w:rFonts w:hint="eastAsia" w:ascii="宋体" w:hAnsi="宋体" w:cs="宋体"/>
          <w:color w:val="000000"/>
          <w:sz w:val="24"/>
          <w:szCs w:val="24"/>
          <w:highlight w:val="none"/>
          <w:lang w:val="en-US" w:eastAsia="zh-CN"/>
        </w:rPr>
        <w:t>采购人</w:t>
      </w:r>
      <w:r>
        <w:rPr>
          <w:rFonts w:hint="eastAsia" w:ascii="宋体" w:hAnsi="宋体" w:eastAsia="宋体" w:cs="宋体"/>
          <w:color w:val="000000"/>
          <w:sz w:val="24"/>
          <w:szCs w:val="24"/>
          <w:highlight w:val="none"/>
        </w:rPr>
        <w:t>进行渠道拓展工作，让更多用户能够便捷地享受到7×24小时的拟人化交互服务。</w:t>
      </w:r>
    </w:p>
    <w:p w14:paraId="6A1BB072">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（2）系统建立问答知识库，以常见问题以及对应答案为内容，可进行更新维护。</w:t>
      </w:r>
    </w:p>
    <w:p w14:paraId="2B1B4A9A">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（3）系统支持自定义模型，语义识别，多轮对话等。</w:t>
      </w:r>
    </w:p>
    <w:p w14:paraId="20DC953A">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（4）知识库维护</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包括知识库上传和维护，如遇知识库紧急更新的情况，供应商评估后反馈更新时间，如更新时间过长，在线客服机器人针对更新问题引导至人工客服。</w:t>
      </w:r>
    </w:p>
    <w:p w14:paraId="53DB0AB7">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（5）对在线客服机器人的回复进行质检工作，提高在线客服机器人的回复准确率。</w:t>
      </w:r>
    </w:p>
    <w:p w14:paraId="30715E55">
      <w:pPr>
        <w:snapToGrid w:val="0"/>
        <w:spacing w:line="360" w:lineRule="auto"/>
        <w:ind w:firstLine="480" w:firstLineChars="200"/>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（6）根据</w:t>
      </w:r>
      <w:r>
        <w:rPr>
          <w:rFonts w:hint="eastAsia" w:ascii="宋体" w:hAnsi="宋体" w:eastAsia="宋体" w:cs="宋体"/>
          <w:sz w:val="24"/>
          <w:szCs w:val="24"/>
          <w:highlight w:val="none"/>
        </w:rPr>
        <w:t>行业</w:t>
      </w:r>
      <w:r>
        <w:rPr>
          <w:rFonts w:hint="eastAsia" w:ascii="宋体" w:hAnsi="宋体" w:eastAsia="宋体" w:cs="宋体"/>
          <w:b w:val="0"/>
          <w:sz w:val="24"/>
          <w:szCs w:val="24"/>
          <w:highlight w:val="none"/>
        </w:rPr>
        <w:t>大模型的发展以及在线客服机器人的情况，提供大模型迭代升级服务。</w:t>
      </w:r>
    </w:p>
    <w:p w14:paraId="4098909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（7）</w:t>
      </w:r>
      <w:r>
        <w:rPr>
          <w:rFonts w:hint="eastAsia" w:ascii="宋体" w:hAnsi="宋体" w:eastAsia="宋体" w:cs="宋体"/>
          <w:color w:val="000000"/>
          <w:sz w:val="24"/>
          <w:szCs w:val="24"/>
          <w:highlight w:val="none"/>
        </w:rPr>
        <w:t>在线客服机器人底层大模型及产生的算力资源均由供应商负责。</w:t>
      </w:r>
    </w:p>
    <w:p w14:paraId="6BE1C6D2">
      <w:pPr>
        <w:snapToGrid w:val="0"/>
        <w:spacing w:beforeLines="0" w:afterLines="0" w:line="33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r>
        <w:rPr>
          <w:rFonts w:hint="eastAsia" w:ascii="宋体" w:hAnsi="宋体" w:eastAsia="宋体" w:cs="宋体"/>
          <w:b w:val="0"/>
          <w:bCs w:val="0"/>
          <w:color w:val="000000"/>
          <w:sz w:val="24"/>
          <w:szCs w:val="24"/>
          <w:highlight w:val="none"/>
        </w:rPr>
        <w:t>根据</w:t>
      </w:r>
      <w:r>
        <w:rPr>
          <w:rFonts w:hint="eastAsia" w:ascii="宋体" w:hAnsi="宋体" w:eastAsia="宋体" w:cs="宋体"/>
          <w:b w:val="0"/>
          <w:bCs w:val="0"/>
          <w:color w:val="000000"/>
          <w:sz w:val="24"/>
          <w:szCs w:val="24"/>
          <w:highlight w:val="none"/>
          <w:lang w:val="en-US" w:eastAsia="zh-CN"/>
        </w:rPr>
        <w:t>采购人</w:t>
      </w:r>
      <w:r>
        <w:rPr>
          <w:rFonts w:hint="eastAsia" w:ascii="宋体" w:hAnsi="宋体" w:eastAsia="宋体" w:cs="宋体"/>
          <w:b w:val="0"/>
          <w:bCs w:val="0"/>
          <w:color w:val="000000"/>
          <w:sz w:val="24"/>
          <w:szCs w:val="24"/>
          <w:highlight w:val="none"/>
        </w:rPr>
        <w:t>要求，</w:t>
      </w:r>
      <w:r>
        <w:rPr>
          <w:rFonts w:hint="eastAsia" w:ascii="宋体" w:hAnsi="宋体" w:eastAsia="宋体" w:cs="宋体"/>
          <w:b w:val="0"/>
          <w:bCs w:val="0"/>
          <w:color w:val="000000"/>
          <w:sz w:val="24"/>
          <w:szCs w:val="24"/>
          <w:highlight w:val="none"/>
          <w:lang w:eastAsia="zh-CN"/>
        </w:rPr>
        <w:t>做好</w:t>
      </w:r>
      <w:r>
        <w:rPr>
          <w:rFonts w:hint="eastAsia" w:ascii="宋体" w:hAnsi="宋体" w:eastAsia="宋体" w:cs="宋体"/>
          <w:b w:val="0"/>
          <w:bCs w:val="0"/>
          <w:color w:val="000000"/>
          <w:sz w:val="24"/>
          <w:szCs w:val="24"/>
          <w:highlight w:val="none"/>
        </w:rPr>
        <w:t>在线客服</w:t>
      </w:r>
      <w:r>
        <w:rPr>
          <w:rFonts w:hint="eastAsia" w:ascii="宋体" w:hAnsi="宋体" w:eastAsia="宋体" w:cs="宋体"/>
          <w:b w:val="0"/>
          <w:bCs w:val="0"/>
          <w:color w:val="000000"/>
          <w:sz w:val="24"/>
          <w:szCs w:val="24"/>
          <w:highlight w:val="none"/>
          <w:lang w:eastAsia="zh-CN"/>
        </w:rPr>
        <w:t>在</w:t>
      </w:r>
      <w:r>
        <w:rPr>
          <w:rFonts w:hint="eastAsia" w:ascii="宋体" w:hAnsi="宋体" w:eastAsia="宋体" w:cs="宋体"/>
          <w:b w:val="0"/>
          <w:bCs w:val="0"/>
          <w:color w:val="000000"/>
          <w:sz w:val="24"/>
          <w:szCs w:val="24"/>
          <w:highlight w:val="none"/>
        </w:rPr>
        <w:t>杭州公积金中心官方网站、微信公众号、浙江政务服务网、杭州城市大脑APP</w:t>
      </w:r>
      <w:r>
        <w:rPr>
          <w:rFonts w:hint="eastAsia" w:ascii="宋体" w:hAnsi="宋体" w:eastAsia="宋体" w:cs="宋体"/>
          <w:b w:val="0"/>
          <w:bCs w:val="0"/>
          <w:color w:val="000000"/>
          <w:sz w:val="24"/>
          <w:szCs w:val="24"/>
          <w:highlight w:val="none"/>
          <w:lang w:eastAsia="zh-CN"/>
        </w:rPr>
        <w:t>平台等渠道的链接和运维</w:t>
      </w:r>
      <w:r>
        <w:rPr>
          <w:rFonts w:hint="eastAsia" w:ascii="宋体" w:hAnsi="宋体" w:eastAsia="宋体" w:cs="宋体"/>
          <w:b w:val="0"/>
          <w:bCs w:val="0"/>
          <w:color w:val="000000"/>
          <w:sz w:val="24"/>
          <w:szCs w:val="24"/>
          <w:highlight w:val="none"/>
        </w:rPr>
        <w:t>。</w:t>
      </w:r>
    </w:p>
    <w:p w14:paraId="2D973F80">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.在线视频</w:t>
      </w:r>
    </w:p>
    <w:p w14:paraId="3697B8E4">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（1）访客可通过各接入渠道与坐席进行视频通话（用户可选择视频模式和语音模式）。</w:t>
      </w:r>
    </w:p>
    <w:p w14:paraId="3AB640B9">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（2）系统支持语音排队功能。</w:t>
      </w:r>
    </w:p>
    <w:p w14:paraId="42F147EB">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（3）可对接公积金视频能力平台</w:t>
      </w:r>
      <w:r>
        <w:rPr>
          <w:rFonts w:hint="eastAsia" w:ascii="宋体" w:hAnsi="宋体" w:eastAsia="宋体" w:cs="宋体"/>
          <w:sz w:val="24"/>
          <w:szCs w:val="24"/>
          <w:highlight w:val="none"/>
        </w:rPr>
        <w:t>。</w:t>
      </w:r>
    </w:p>
    <w:p w14:paraId="2839925D">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.用户会话数据分析及归集</w:t>
      </w:r>
    </w:p>
    <w:p w14:paraId="5EB9279F">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（1）在线客服用户会话数据通过AI做数据分析，对每通用户会话分析并标记分类标签，并可以在管理后台会话记录页面展示和查询会话分类标签。</w:t>
      </w:r>
    </w:p>
    <w:p w14:paraId="3EA873C3">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（2）在线客服用户会话数据通过接口实时上传归集到IRS公积金内审系统。</w:t>
      </w:r>
    </w:p>
    <w:p w14:paraId="7F2104C4">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.浙江政务服务网接入渠道</w:t>
      </w:r>
      <w:r>
        <w:rPr>
          <w:rFonts w:hint="eastAsia" w:ascii="宋体" w:hAnsi="宋体" w:eastAsia="宋体" w:cs="宋体"/>
          <w:color w:val="000000"/>
          <w:sz w:val="24"/>
          <w:szCs w:val="24"/>
          <w:highlight w:val="none"/>
          <w:lang w:eastAsia="zh-CN"/>
        </w:rPr>
        <w:t>在线导办</w:t>
      </w:r>
    </w:p>
    <w:p w14:paraId="0905D914">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浙江政务服务网接入渠道，用户咨询办理问题答案</w:t>
      </w:r>
      <w:r>
        <w:rPr>
          <w:rFonts w:hint="eastAsia" w:ascii="宋体" w:hAnsi="宋体" w:cs="宋体"/>
          <w:color w:val="000000"/>
          <w:sz w:val="24"/>
          <w:szCs w:val="24"/>
          <w:highlight w:val="none"/>
          <w:lang w:val="en-US" w:eastAsia="zh-CN"/>
        </w:rPr>
        <w:t>要求</w:t>
      </w:r>
      <w:r>
        <w:rPr>
          <w:rFonts w:hint="eastAsia" w:ascii="宋体" w:hAnsi="宋体" w:eastAsia="宋体" w:cs="宋体"/>
          <w:color w:val="000000"/>
          <w:sz w:val="24"/>
          <w:szCs w:val="24"/>
          <w:highlight w:val="none"/>
        </w:rPr>
        <w:t>可跳转浙里办操作链接（在线导办功能）。</w:t>
      </w:r>
    </w:p>
    <w:p w14:paraId="60C42C09">
      <w:pPr>
        <w:snapToGrid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（二）坐席服务要求</w:t>
      </w:r>
    </w:p>
    <w:p w14:paraId="4CF7F524">
      <w:pPr>
        <w:snapToGrid w:val="0"/>
        <w:spacing w:beforeLines="0" w:afterLines="0" w:line="33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 w:val="0"/>
          <w:bCs w:val="0"/>
          <w:color w:val="000000"/>
          <w:sz w:val="24"/>
          <w:szCs w:val="24"/>
          <w:highlight w:val="none"/>
        </w:rPr>
        <w:t>1.服务时间：</w:t>
      </w:r>
      <w:r>
        <w:rPr>
          <w:rFonts w:hint="eastAsia" w:ascii="宋体" w:hAnsi="宋体" w:eastAsia="宋体" w:cs="宋体"/>
          <w:color w:val="000000"/>
          <w:sz w:val="24"/>
          <w:szCs w:val="24"/>
          <w:highlight w:val="none"/>
        </w:rPr>
        <w:t>全年工作日：9：00-21：00，非工作日：9：00-17：00。</w:t>
      </w:r>
    </w:p>
    <w:p w14:paraId="19216823">
      <w:pPr>
        <w:snapToGrid w:val="0"/>
        <w:spacing w:beforeLines="0" w:afterLines="0" w:line="33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000000"/>
          <w:sz w:val="24"/>
          <w:szCs w:val="24"/>
          <w:highlight w:val="none"/>
        </w:rPr>
        <w:t>.服务场地：</w:t>
      </w:r>
      <w:r>
        <w:rPr>
          <w:rFonts w:hint="eastAsia" w:ascii="宋体" w:hAnsi="宋体" w:eastAsia="宋体" w:cs="宋体"/>
          <w:color w:val="000000"/>
          <w:sz w:val="24"/>
          <w:szCs w:val="24"/>
          <w:highlight w:val="none"/>
        </w:rPr>
        <w:t>由供应商提供。</w:t>
      </w:r>
    </w:p>
    <w:p w14:paraId="354538A0">
      <w:pPr>
        <w:snapToGrid w:val="0"/>
        <w:spacing w:beforeLines="0" w:afterLines="0" w:line="33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.服务内容：</w:t>
      </w:r>
      <w:r>
        <w:rPr>
          <w:rFonts w:hint="eastAsia" w:ascii="宋体" w:hAnsi="宋体" w:eastAsia="宋体" w:cs="宋体"/>
          <w:color w:val="000000"/>
          <w:sz w:val="24"/>
          <w:szCs w:val="24"/>
          <w:highlight w:val="none"/>
          <w:lang w:eastAsia="zh-CN"/>
        </w:rPr>
        <w:t>坐席</w:t>
      </w:r>
      <w:r>
        <w:rPr>
          <w:rFonts w:hint="eastAsia" w:ascii="宋体" w:hAnsi="宋体" w:eastAsia="宋体" w:cs="宋体"/>
          <w:color w:val="000000"/>
          <w:sz w:val="24"/>
          <w:szCs w:val="24"/>
          <w:highlight w:val="none"/>
        </w:rPr>
        <w:t>人员负责杭州公积金中心官网、微信公众号、浙江政务服务网、杭州城市大脑APP平台等渠道来源的咨询、建议、投诉举报的接收采集、登记录入、分类转办、核实反馈、办结归档、联络沟通</w:t>
      </w:r>
      <w:r>
        <w:rPr>
          <w:rFonts w:hint="eastAsia" w:ascii="宋体" w:hAnsi="宋体" w:eastAsia="宋体" w:cs="宋体"/>
          <w:color w:val="000000"/>
          <w:sz w:val="24"/>
          <w:szCs w:val="24"/>
          <w:highlight w:val="none"/>
        </w:rPr>
        <w:drawing>
          <wp:inline distT="0" distB="0" distL="114300" distR="114300">
            <wp:extent cx="635" cy="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7"/>
                    <a:stretch>
                      <a:fillRect/>
                    </a:stretch>
                  </pic:blipFill>
                  <pic:spPr>
                    <a:xfrm>
                      <a:off x="0" y="0"/>
                      <a:ext cx="635" cy="0"/>
                    </a:xfrm>
                    <a:prstGeom prst="rect">
                      <a:avLst/>
                    </a:prstGeom>
                    <a:noFill/>
                    <a:ln>
                      <a:noFill/>
                    </a:ln>
                  </pic:spPr>
                </pic:pic>
              </a:graphicData>
            </a:graphic>
          </wp:inline>
        </w:drawing>
      </w:r>
      <w:r>
        <w:rPr>
          <w:rFonts w:hint="eastAsia" w:ascii="宋体" w:hAnsi="宋体" w:eastAsia="宋体" w:cs="宋体"/>
          <w:color w:val="000000"/>
          <w:sz w:val="24"/>
          <w:szCs w:val="24"/>
          <w:highlight w:val="none"/>
          <w:lang w:eastAsia="zh-CN"/>
        </w:rPr>
        <w:t>和数据统计分析</w:t>
      </w:r>
      <w:r>
        <w:rPr>
          <w:rFonts w:hint="eastAsia" w:ascii="宋体" w:hAnsi="宋体" w:eastAsia="宋体" w:cs="宋体"/>
          <w:color w:val="000000"/>
          <w:sz w:val="24"/>
          <w:szCs w:val="24"/>
          <w:highlight w:val="none"/>
        </w:rPr>
        <w:t>等工作，对重大紧急突发信息进行接收、传递、报送和跟踪；按月提交服务工作报告，按年总结项目服务情况；完成采购人要求的其他业务工作需求。</w:t>
      </w:r>
    </w:p>
    <w:p w14:paraId="72497544">
      <w:pPr>
        <w:snapToGrid w:val="0"/>
        <w:spacing w:beforeLines="0" w:afterLines="0" w:line="33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.服务规范：服务期内坐席人员</w:t>
      </w:r>
      <w:r>
        <w:rPr>
          <w:rFonts w:hint="eastAsia" w:ascii="宋体" w:hAnsi="宋体" w:eastAsia="宋体" w:cs="宋体"/>
          <w:color w:val="000000"/>
          <w:sz w:val="24"/>
          <w:szCs w:val="24"/>
          <w:highlight w:val="none"/>
          <w:lang w:val="en-US" w:eastAsia="zh-CN"/>
        </w:rPr>
        <w:t>要求</w:t>
      </w:r>
      <w:r>
        <w:rPr>
          <w:rFonts w:hint="eastAsia" w:ascii="宋体" w:hAnsi="宋体" w:eastAsia="宋体" w:cs="宋体"/>
          <w:color w:val="000000"/>
          <w:sz w:val="24"/>
          <w:szCs w:val="24"/>
          <w:highlight w:val="none"/>
          <w:lang w:eastAsia="zh-CN"/>
        </w:rPr>
        <w:t>至少</w:t>
      </w:r>
      <w:r>
        <w:rPr>
          <w:rFonts w:hint="eastAsia" w:ascii="宋体" w:hAnsi="宋体" w:eastAsia="宋体" w:cs="宋体"/>
          <w:color w:val="000000"/>
          <w:sz w:val="24"/>
          <w:szCs w:val="24"/>
          <w:highlight w:val="none"/>
        </w:rPr>
        <w:t>7人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坐席人员认真受理单位、职工线上咨询、建议、投诉、举报等事项，根据要求规范有效做好解答回复；对转办事项做好登记、分派、跟踪、催办、回访等工作</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在服务过程中能保持良好的精神状态和服务态度</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按规范使用文明用语。</w:t>
      </w:r>
    </w:p>
    <w:p w14:paraId="0436E07B">
      <w:pPr>
        <w:snapToGrid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（三）考核要求</w:t>
      </w:r>
    </w:p>
    <w:p w14:paraId="3DA712B4">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服务期满，采购人根据在线接入率、有效接通率、直接答复率、评价满意率等指标对供应商</w:t>
      </w:r>
      <w:r>
        <w:rPr>
          <w:rFonts w:hint="eastAsia" w:ascii="宋体" w:hAnsi="宋体" w:cs="宋体"/>
          <w:color w:val="000000"/>
          <w:sz w:val="24"/>
          <w:szCs w:val="24"/>
          <w:highlight w:val="none"/>
          <w:lang w:val="en-US" w:eastAsia="zh-CN"/>
        </w:rPr>
        <w:t>的在线</w:t>
      </w:r>
      <w:r>
        <w:rPr>
          <w:rFonts w:hint="eastAsia" w:ascii="宋体" w:hAnsi="宋体" w:eastAsia="宋体" w:cs="宋体"/>
          <w:color w:val="000000"/>
          <w:sz w:val="24"/>
          <w:szCs w:val="24"/>
          <w:highlight w:val="none"/>
        </w:rPr>
        <w:t>客服</w:t>
      </w:r>
      <w:r>
        <w:rPr>
          <w:rFonts w:hint="eastAsia" w:ascii="宋体" w:hAnsi="宋体" w:cs="宋体"/>
          <w:color w:val="000000"/>
          <w:sz w:val="24"/>
          <w:szCs w:val="24"/>
          <w:highlight w:val="none"/>
          <w:lang w:val="en-US" w:eastAsia="zh-CN"/>
        </w:rPr>
        <w:t>（含机器人客服及人工坐席）</w:t>
      </w:r>
      <w:r>
        <w:rPr>
          <w:rFonts w:hint="eastAsia" w:ascii="宋体" w:hAnsi="宋体" w:eastAsia="宋体" w:cs="宋体"/>
          <w:color w:val="000000"/>
          <w:sz w:val="24"/>
          <w:szCs w:val="24"/>
          <w:highlight w:val="none"/>
        </w:rPr>
        <w:t>质量进行考核，具体指标内容如下：</w:t>
      </w:r>
    </w:p>
    <w:p w14:paraId="6E10DDEE">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1.在线接入率</w:t>
      </w:r>
    </w:p>
    <w:p w14:paraId="32515F48">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在线接入率指成功接入数与客户发起咨询总数之比，在线接入率应达到90%以上。按月统计，未达标的，每发生一次供应商赔偿违约金200元。</w:t>
      </w:r>
    </w:p>
    <w:p w14:paraId="27282023">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2.有效接通率</w:t>
      </w:r>
    </w:p>
    <w:p w14:paraId="7EFD4F53">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有效接入率指实际与客户对话的总数与客户发起咨询总数之比，服务期内每月有效接入率应达到90%以上。按月统计，未达标的，每发生一次供应商赔偿违约金200元。</w:t>
      </w:r>
    </w:p>
    <w:p w14:paraId="7E3815BB">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3.直接答复率</w:t>
      </w:r>
    </w:p>
    <w:p w14:paraId="0D151307">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直接答复率指在线客服直接答复数（不含转办）与有效接入总数之比，服务期内每月直接答复率应达到98%以上。按月统计，未达标的，每发生一次供应商赔偿违约金200元。</w:t>
      </w:r>
    </w:p>
    <w:p w14:paraId="1EA629F4">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4.评价满意率</w:t>
      </w:r>
    </w:p>
    <w:p w14:paraId="34009BE8">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评价满意率是指客户对</w:t>
      </w:r>
      <w:r>
        <w:rPr>
          <w:rFonts w:hint="eastAsia" w:ascii="宋体" w:hAnsi="宋体" w:cs="宋体"/>
          <w:color w:val="000000"/>
          <w:sz w:val="24"/>
          <w:szCs w:val="24"/>
          <w:highlight w:val="none"/>
          <w:lang w:eastAsia="zh-CN"/>
        </w:rPr>
        <w:t>在线客服</w:t>
      </w:r>
      <w:r>
        <w:rPr>
          <w:rFonts w:hint="eastAsia" w:ascii="宋体" w:hAnsi="宋体" w:eastAsia="宋体" w:cs="宋体"/>
          <w:color w:val="000000"/>
          <w:sz w:val="24"/>
          <w:szCs w:val="24"/>
          <w:highlight w:val="none"/>
        </w:rPr>
        <w:t>回复评价为满意的数量与客户回复评价总数之比，每月评价满意率应达到97%以上。按月统计，未达标的，每发生一次供应商赔偿违约金500元。</w:t>
      </w:r>
    </w:p>
    <w:p w14:paraId="008CBB9E">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5.及时响应率</w:t>
      </w:r>
    </w:p>
    <w:p w14:paraId="1C5214C7">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及时响应率是指每接入一次在线会话应在3分钟内作出响应，每月及时响应率应达到100%。按月统计，未达标的，每发生一次供应商赔偿违约金200元。</w:t>
      </w:r>
    </w:p>
    <w:p w14:paraId="7B38097D">
      <w:pPr>
        <w:snapToGrid w:val="0"/>
        <w:spacing w:beforeLines="0" w:afterLines="0" w:line="33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.回答准确率</w:t>
      </w:r>
    </w:p>
    <w:p w14:paraId="6719C009">
      <w:pPr>
        <w:snapToGrid w:val="0"/>
        <w:spacing w:beforeLines="0" w:afterLines="0" w:line="33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在线客服回答准确率</w:t>
      </w:r>
      <w:r>
        <w:rPr>
          <w:rFonts w:hint="eastAsia" w:ascii="宋体" w:hAnsi="宋体" w:eastAsia="宋体" w:cs="宋体"/>
          <w:color w:val="000000"/>
          <w:sz w:val="24"/>
          <w:szCs w:val="24"/>
          <w:highlight w:val="none"/>
          <w:lang w:val="en-US" w:eastAsia="zh-CN"/>
        </w:rPr>
        <w:t>90</w:t>
      </w:r>
      <w:r>
        <w:rPr>
          <w:rFonts w:hint="eastAsia" w:ascii="宋体" w:hAnsi="宋体" w:eastAsia="宋体" w:cs="宋体"/>
          <w:color w:val="000000"/>
          <w:sz w:val="24"/>
          <w:szCs w:val="24"/>
          <w:highlight w:val="none"/>
        </w:rPr>
        <w:t>%以上</w:t>
      </w:r>
      <w:r>
        <w:rPr>
          <w:rFonts w:hint="eastAsia" w:ascii="宋体" w:hAnsi="宋体" w:eastAsia="宋体" w:cs="宋体"/>
          <w:color w:val="000000"/>
          <w:sz w:val="24"/>
          <w:szCs w:val="24"/>
          <w:highlight w:val="none"/>
          <w:lang w:eastAsia="zh-CN"/>
        </w:rPr>
        <w:t>（其中，人工坐席回答准确率</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5%以上</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，按月统计，未达标的，每发生一次供应商赔偿违约金500元。</w:t>
      </w:r>
    </w:p>
    <w:p w14:paraId="6998F898">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浙江政务服务网渠道在线导办准确率</w:t>
      </w:r>
    </w:p>
    <w:p w14:paraId="2C4FE6DB">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浙江政务服务网接入渠道，用户咨询办理问题答案可跳转浙里办操作链接（在线导办功能）准确率90%以上。每发生一次供应商赔偿违约金200元。</w:t>
      </w:r>
    </w:p>
    <w:p w14:paraId="761C2619">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.有责投诉率</w:t>
      </w:r>
    </w:p>
    <w:p w14:paraId="35677DC4">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有责投诉是指客户对</w:t>
      </w:r>
      <w:r>
        <w:rPr>
          <w:rFonts w:hint="eastAsia" w:ascii="宋体" w:hAnsi="宋体" w:cs="宋体"/>
          <w:color w:val="000000"/>
          <w:sz w:val="24"/>
          <w:szCs w:val="24"/>
          <w:highlight w:val="none"/>
          <w:lang w:val="en-US" w:eastAsia="zh-CN"/>
        </w:rPr>
        <w:t>坐席</w:t>
      </w:r>
      <w:r>
        <w:rPr>
          <w:rFonts w:hint="eastAsia" w:ascii="宋体" w:hAnsi="宋体" w:eastAsia="宋体" w:cs="宋体"/>
          <w:color w:val="000000"/>
          <w:sz w:val="24"/>
          <w:szCs w:val="24"/>
          <w:highlight w:val="none"/>
        </w:rPr>
        <w:t>人员服务态度的投诉，应遵循零投诉原则，即当月发生“12345”、“96666”等重大服务类有责投诉率应为0；经调查属实，每发生一次供应商赔偿违约金1000元。对于采购人认定特别重大服务事故，造成恶劣社会影响事件的，每发生一次供应商赔偿违约金10000元。</w:t>
      </w:r>
    </w:p>
    <w:p w14:paraId="096800A3">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.其他</w:t>
      </w:r>
    </w:p>
    <w:p w14:paraId="5068FE26">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对于浙江政务服务网等渠道网民留言的答复工作，其中，属咨询、意见建议类事项应自网民留言之日起3个工作日内完成答复；属非咨询、意见建议类事项应自网民留言之日起5个工作日内完成答复；每月按时答复率应达到100%、满意率应达到95%以上。如在规定时间内办结，但未正面完整答复问题的，视作未按时答复。按月统计，未达标的，每发生一次供应商赔偿违约金500元。</w:t>
      </w:r>
    </w:p>
    <w:p w14:paraId="29BEE627">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（2）对于在线客服因知识库未及时更新、学习不到位等原因答复错误引起客户投诉的情况，由供应商负责向客户作出解释说明及安抚。</w:t>
      </w:r>
    </w:p>
    <w:p w14:paraId="0D114F3B">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上述考核指标因未达标而产生的赔偿违约金，采购人将直接从剩余价款中一并扣除（如扣除后不足以支付全部赔偿违约金的，不足部分由供应商另行支付给采购人），并在项目验收通过后，结清剩余款项。</w:t>
      </w:r>
    </w:p>
    <w:p w14:paraId="15928AD9">
      <w:pPr>
        <w:rPr>
          <w:rFonts w:hint="eastAsia" w:ascii="宋体" w:hAnsi="宋体" w:cs="宋体"/>
          <w:b/>
          <w:color w:val="auto"/>
          <w:sz w:val="36"/>
          <w:szCs w:val="36"/>
          <w:highlight w:val="none"/>
        </w:rPr>
      </w:pPr>
    </w:p>
    <w:p w14:paraId="07433997">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FC3C7F2">
      <w:pPr>
        <w:tabs>
          <w:tab w:val="left" w:pos="0"/>
        </w:tabs>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5" w:name="_Toc184314413"/>
      <w:bookmarkEnd w:id="15"/>
      <w:bookmarkStart w:id="16" w:name="_Toc184314414"/>
      <w:bookmarkEnd w:id="16"/>
      <w:bookmarkStart w:id="17" w:name="_Toc184313248"/>
      <w:bookmarkEnd w:id="17"/>
      <w:bookmarkStart w:id="18" w:name="_Toc184313296"/>
      <w:bookmarkEnd w:id="18"/>
      <w:bookmarkStart w:id="19" w:name="_Toc184312091"/>
      <w:bookmarkEnd w:id="19"/>
      <w:bookmarkStart w:id="20" w:name="_Toc184312073"/>
      <w:bookmarkEnd w:id="20"/>
      <w:bookmarkStart w:id="21" w:name="_Toc184310301"/>
      <w:bookmarkEnd w:id="21"/>
      <w:bookmarkStart w:id="22" w:name="_Toc184312112"/>
      <w:bookmarkEnd w:id="22"/>
      <w:bookmarkStart w:id="23" w:name="_Toc184308039"/>
      <w:bookmarkEnd w:id="23"/>
      <w:bookmarkStart w:id="24" w:name="_Toc184308101"/>
      <w:bookmarkEnd w:id="24"/>
      <w:bookmarkStart w:id="25" w:name="_Toc184308047"/>
      <w:bookmarkEnd w:id="25"/>
      <w:bookmarkStart w:id="26" w:name="_Toc184314412"/>
      <w:bookmarkEnd w:id="26"/>
      <w:bookmarkStart w:id="27" w:name="_Toc184313246"/>
      <w:bookmarkEnd w:id="27"/>
      <w:bookmarkStart w:id="28" w:name="_Toc184308095"/>
      <w:bookmarkEnd w:id="28"/>
      <w:bookmarkStart w:id="29" w:name="_Toc184312114"/>
      <w:bookmarkEnd w:id="29"/>
      <w:bookmarkStart w:id="30" w:name="_Toc184308053"/>
      <w:bookmarkEnd w:id="30"/>
      <w:bookmarkStart w:id="31" w:name="_Toc184314416"/>
      <w:bookmarkEnd w:id="31"/>
      <w:bookmarkStart w:id="32" w:name="_Toc184312104"/>
      <w:bookmarkEnd w:id="32"/>
      <w:bookmarkStart w:id="33" w:name="_Toc184312103"/>
      <w:bookmarkEnd w:id="33"/>
      <w:bookmarkStart w:id="34" w:name="_Toc184313301"/>
      <w:bookmarkEnd w:id="34"/>
      <w:bookmarkStart w:id="35" w:name="_Toc184314467"/>
      <w:bookmarkEnd w:id="35"/>
      <w:bookmarkStart w:id="36" w:name="_Toc184313251"/>
      <w:bookmarkEnd w:id="36"/>
      <w:bookmarkStart w:id="37" w:name="_Toc184312113"/>
      <w:bookmarkEnd w:id="37"/>
      <w:bookmarkStart w:id="38" w:name="_Toc184310289"/>
      <w:bookmarkEnd w:id="38"/>
      <w:bookmarkStart w:id="39" w:name="_Toc184308071"/>
      <w:bookmarkEnd w:id="39"/>
      <w:bookmarkStart w:id="40" w:name="_Toc184312110"/>
      <w:bookmarkEnd w:id="40"/>
      <w:bookmarkStart w:id="41" w:name="_Toc184314474"/>
      <w:bookmarkEnd w:id="41"/>
      <w:bookmarkStart w:id="42" w:name="_Toc184312121"/>
      <w:bookmarkEnd w:id="42"/>
      <w:bookmarkStart w:id="43" w:name="_Toc184310285"/>
      <w:bookmarkEnd w:id="43"/>
      <w:bookmarkStart w:id="44" w:name="_Toc184313256"/>
      <w:bookmarkEnd w:id="44"/>
      <w:bookmarkStart w:id="45" w:name="_Toc184312111"/>
      <w:bookmarkEnd w:id="45"/>
      <w:bookmarkStart w:id="46" w:name="_Toc184312087"/>
      <w:bookmarkEnd w:id="46"/>
      <w:bookmarkStart w:id="47" w:name="_Toc184314443"/>
      <w:bookmarkEnd w:id="47"/>
      <w:bookmarkStart w:id="48" w:name="_Toc184310311"/>
      <w:bookmarkEnd w:id="48"/>
      <w:bookmarkStart w:id="49" w:name="_Toc184312096"/>
      <w:bookmarkEnd w:id="49"/>
      <w:bookmarkStart w:id="50" w:name="_Toc184310325"/>
      <w:bookmarkEnd w:id="50"/>
      <w:bookmarkStart w:id="51" w:name="_Toc184312093"/>
      <w:bookmarkEnd w:id="51"/>
      <w:bookmarkStart w:id="52" w:name="_Toc184310341"/>
      <w:bookmarkEnd w:id="52"/>
      <w:bookmarkStart w:id="53" w:name="_Toc184314464"/>
      <w:bookmarkEnd w:id="53"/>
      <w:bookmarkStart w:id="54" w:name="_Toc184313280"/>
      <w:bookmarkEnd w:id="54"/>
      <w:bookmarkStart w:id="55" w:name="_Toc184310287"/>
      <w:bookmarkEnd w:id="55"/>
      <w:bookmarkStart w:id="56" w:name="_Toc184310305"/>
      <w:bookmarkEnd w:id="56"/>
      <w:bookmarkStart w:id="57" w:name="_Toc184314457"/>
      <w:bookmarkEnd w:id="57"/>
      <w:bookmarkStart w:id="58" w:name="_Toc184310326"/>
      <w:bookmarkEnd w:id="58"/>
      <w:bookmarkStart w:id="59" w:name="_Toc184310334"/>
      <w:bookmarkEnd w:id="59"/>
      <w:bookmarkStart w:id="60" w:name="_Toc184310313"/>
      <w:bookmarkEnd w:id="60"/>
      <w:bookmarkStart w:id="61" w:name="_Toc184310274"/>
      <w:bookmarkEnd w:id="61"/>
      <w:bookmarkStart w:id="62" w:name="_Toc184312102"/>
      <w:bookmarkEnd w:id="62"/>
      <w:bookmarkStart w:id="63" w:name="_Toc184313270"/>
      <w:bookmarkEnd w:id="63"/>
      <w:bookmarkStart w:id="64" w:name="_Toc184314469"/>
      <w:bookmarkEnd w:id="64"/>
      <w:bookmarkStart w:id="65" w:name="_Toc184308093"/>
      <w:bookmarkEnd w:id="65"/>
      <w:bookmarkStart w:id="66" w:name="_Toc184313286"/>
      <w:bookmarkEnd w:id="66"/>
      <w:bookmarkStart w:id="67" w:name="_Toc184313276"/>
      <w:bookmarkEnd w:id="67"/>
      <w:bookmarkStart w:id="68" w:name="_Toc184310312"/>
      <w:bookmarkEnd w:id="68"/>
      <w:bookmarkStart w:id="69" w:name="_Toc184314410"/>
      <w:bookmarkEnd w:id="69"/>
      <w:bookmarkStart w:id="70" w:name="_Toc184308054"/>
      <w:bookmarkEnd w:id="70"/>
      <w:bookmarkStart w:id="71" w:name="_Toc184310302"/>
      <w:bookmarkEnd w:id="71"/>
      <w:bookmarkStart w:id="72" w:name="_Toc184313247"/>
      <w:bookmarkEnd w:id="72"/>
      <w:bookmarkStart w:id="73" w:name="_Toc184308084"/>
      <w:bookmarkEnd w:id="73"/>
      <w:bookmarkStart w:id="74" w:name="_Toc184310314"/>
      <w:bookmarkEnd w:id="74"/>
      <w:bookmarkStart w:id="75" w:name="_Toc184310303"/>
      <w:bookmarkEnd w:id="75"/>
      <w:bookmarkStart w:id="76" w:name="_Toc184312074"/>
      <w:bookmarkEnd w:id="76"/>
      <w:bookmarkStart w:id="77" w:name="_Toc184313271"/>
      <w:bookmarkEnd w:id="77"/>
      <w:bookmarkStart w:id="78" w:name="_Toc184314459"/>
      <w:bookmarkEnd w:id="78"/>
      <w:bookmarkStart w:id="79" w:name="_Toc184312067"/>
      <w:bookmarkEnd w:id="79"/>
      <w:bookmarkStart w:id="80" w:name="_Toc184308096"/>
      <w:bookmarkEnd w:id="80"/>
      <w:bookmarkStart w:id="81" w:name="_Toc184308050"/>
      <w:bookmarkEnd w:id="81"/>
      <w:bookmarkStart w:id="82" w:name="_Toc184310331"/>
      <w:bookmarkEnd w:id="82"/>
      <w:bookmarkStart w:id="83" w:name="_Toc184312101"/>
      <w:bookmarkEnd w:id="83"/>
      <w:bookmarkStart w:id="84" w:name="_Toc184313245"/>
      <w:bookmarkEnd w:id="84"/>
      <w:bookmarkStart w:id="85" w:name="_Toc184313260"/>
      <w:bookmarkEnd w:id="85"/>
      <w:bookmarkStart w:id="86" w:name="_Toc184313263"/>
      <w:bookmarkEnd w:id="86"/>
      <w:bookmarkStart w:id="87" w:name="_Toc184314458"/>
      <w:bookmarkEnd w:id="87"/>
      <w:bookmarkStart w:id="88" w:name="_Toc184312078"/>
      <w:bookmarkEnd w:id="88"/>
      <w:bookmarkStart w:id="89" w:name="_Toc184308080"/>
      <w:bookmarkEnd w:id="89"/>
      <w:bookmarkStart w:id="90" w:name="_Toc184312069"/>
      <w:bookmarkEnd w:id="90"/>
      <w:bookmarkStart w:id="91" w:name="_Toc184308043"/>
      <w:bookmarkEnd w:id="91"/>
      <w:bookmarkStart w:id="92" w:name="_Toc184310330"/>
      <w:bookmarkEnd w:id="92"/>
      <w:bookmarkStart w:id="93" w:name="_Toc184310308"/>
      <w:bookmarkEnd w:id="93"/>
      <w:bookmarkStart w:id="94" w:name="_Toc184313285"/>
      <w:bookmarkEnd w:id="94"/>
      <w:bookmarkStart w:id="95" w:name="_Toc184314435"/>
      <w:bookmarkEnd w:id="95"/>
      <w:bookmarkStart w:id="96" w:name="_Toc184308072"/>
      <w:bookmarkEnd w:id="96"/>
      <w:bookmarkStart w:id="97" w:name="_Toc184308085"/>
      <w:bookmarkEnd w:id="97"/>
      <w:bookmarkStart w:id="98" w:name="_Toc184310294"/>
      <w:bookmarkEnd w:id="98"/>
      <w:bookmarkStart w:id="99" w:name="_Toc184312130"/>
      <w:bookmarkEnd w:id="99"/>
      <w:bookmarkStart w:id="100" w:name="_Toc184314426"/>
      <w:bookmarkEnd w:id="100"/>
      <w:bookmarkStart w:id="101" w:name="_Toc184313259"/>
      <w:bookmarkEnd w:id="101"/>
      <w:bookmarkStart w:id="102" w:name="_Toc184314445"/>
      <w:bookmarkEnd w:id="102"/>
      <w:bookmarkStart w:id="103" w:name="_Toc184308049"/>
      <w:bookmarkEnd w:id="103"/>
      <w:bookmarkStart w:id="104" w:name="_Toc184308046"/>
      <w:bookmarkEnd w:id="104"/>
      <w:bookmarkStart w:id="105" w:name="_Toc184310318"/>
      <w:bookmarkEnd w:id="105"/>
      <w:bookmarkStart w:id="106" w:name="_Toc184312117"/>
      <w:bookmarkEnd w:id="106"/>
      <w:bookmarkStart w:id="107" w:name="_Toc184313244"/>
      <w:bookmarkEnd w:id="107"/>
      <w:bookmarkStart w:id="108" w:name="_Toc184308087"/>
      <w:bookmarkEnd w:id="108"/>
      <w:bookmarkStart w:id="109" w:name="_Toc184308038"/>
      <w:bookmarkEnd w:id="109"/>
      <w:bookmarkStart w:id="110" w:name="_Toc184312094"/>
      <w:bookmarkEnd w:id="110"/>
      <w:bookmarkStart w:id="111" w:name="_Toc184314454"/>
      <w:bookmarkEnd w:id="111"/>
      <w:bookmarkStart w:id="112" w:name="_Toc184308089"/>
      <w:bookmarkEnd w:id="112"/>
      <w:bookmarkStart w:id="113" w:name="_Toc184310339"/>
      <w:bookmarkEnd w:id="113"/>
      <w:bookmarkStart w:id="114" w:name="_Toc184312122"/>
      <w:bookmarkEnd w:id="114"/>
      <w:bookmarkStart w:id="115" w:name="_Toc184313283"/>
      <w:bookmarkEnd w:id="115"/>
      <w:bookmarkStart w:id="116" w:name="_Toc184310275"/>
      <w:bookmarkEnd w:id="116"/>
      <w:bookmarkStart w:id="117" w:name="_Toc184312128"/>
      <w:bookmarkEnd w:id="117"/>
      <w:bookmarkStart w:id="118" w:name="_Toc184312068"/>
      <w:bookmarkEnd w:id="118"/>
      <w:bookmarkStart w:id="119" w:name="_Toc184313303"/>
      <w:bookmarkEnd w:id="119"/>
      <w:bookmarkStart w:id="120" w:name="_Toc184313265"/>
      <w:bookmarkEnd w:id="120"/>
      <w:bookmarkStart w:id="121" w:name="_Toc184308060"/>
      <w:bookmarkEnd w:id="121"/>
      <w:bookmarkStart w:id="122" w:name="_Toc184310277"/>
      <w:bookmarkEnd w:id="122"/>
      <w:bookmarkStart w:id="123" w:name="_Toc184313295"/>
      <w:bookmarkEnd w:id="123"/>
      <w:bookmarkStart w:id="124" w:name="_Toc184310291"/>
      <w:bookmarkEnd w:id="124"/>
      <w:bookmarkStart w:id="125" w:name="_Toc184313266"/>
      <w:bookmarkEnd w:id="125"/>
      <w:bookmarkStart w:id="126" w:name="_Toc184312124"/>
      <w:bookmarkEnd w:id="126"/>
      <w:bookmarkStart w:id="127" w:name="_Toc184310342"/>
      <w:bookmarkEnd w:id="127"/>
      <w:bookmarkStart w:id="128" w:name="_Toc184310306"/>
      <w:bookmarkEnd w:id="128"/>
      <w:bookmarkStart w:id="129" w:name="_Toc184312079"/>
      <w:bookmarkEnd w:id="129"/>
      <w:bookmarkStart w:id="130" w:name="_Toc184314447"/>
      <w:bookmarkEnd w:id="130"/>
      <w:bookmarkStart w:id="131" w:name="_Toc184314463"/>
      <w:bookmarkEnd w:id="131"/>
      <w:bookmarkStart w:id="132" w:name="_Toc184313305"/>
      <w:bookmarkEnd w:id="132"/>
      <w:bookmarkStart w:id="133" w:name="_Toc184313264"/>
      <w:bookmarkEnd w:id="133"/>
      <w:bookmarkStart w:id="134" w:name="_Toc184308090"/>
      <w:bookmarkEnd w:id="134"/>
      <w:bookmarkStart w:id="135" w:name="_Toc184314465"/>
      <w:bookmarkEnd w:id="135"/>
      <w:bookmarkStart w:id="136" w:name="_Toc184310310"/>
      <w:bookmarkEnd w:id="136"/>
      <w:bookmarkStart w:id="137" w:name="_Toc184312098"/>
      <w:bookmarkEnd w:id="137"/>
      <w:bookmarkStart w:id="138" w:name="_Toc184314475"/>
      <w:bookmarkEnd w:id="138"/>
      <w:bookmarkStart w:id="139" w:name="_Toc184312082"/>
      <w:bookmarkEnd w:id="139"/>
      <w:bookmarkStart w:id="140" w:name="_Toc184310286"/>
      <w:bookmarkEnd w:id="140"/>
      <w:bookmarkStart w:id="141" w:name="_Toc184308098"/>
      <w:bookmarkEnd w:id="141"/>
      <w:bookmarkStart w:id="142" w:name="_Toc184314444"/>
      <w:bookmarkEnd w:id="142"/>
      <w:bookmarkStart w:id="143" w:name="_Toc184310317"/>
      <w:bookmarkEnd w:id="143"/>
      <w:bookmarkStart w:id="144" w:name="_Toc184313278"/>
      <w:bookmarkEnd w:id="144"/>
      <w:bookmarkStart w:id="145" w:name="_Toc184308048"/>
      <w:bookmarkEnd w:id="145"/>
      <w:bookmarkStart w:id="146" w:name="_Toc184314480"/>
      <w:bookmarkEnd w:id="146"/>
      <w:bookmarkStart w:id="147" w:name="_Toc184310320"/>
      <w:bookmarkEnd w:id="147"/>
      <w:bookmarkStart w:id="148" w:name="_Toc184308045"/>
      <w:bookmarkEnd w:id="148"/>
      <w:bookmarkStart w:id="149" w:name="_Toc184310284"/>
      <w:bookmarkEnd w:id="149"/>
      <w:bookmarkStart w:id="150" w:name="_Toc184314420"/>
      <w:bookmarkEnd w:id="150"/>
      <w:bookmarkStart w:id="151" w:name="_Toc184313240"/>
      <w:bookmarkEnd w:id="151"/>
      <w:bookmarkStart w:id="152" w:name="_Toc184313288"/>
      <w:bookmarkEnd w:id="152"/>
      <w:bookmarkStart w:id="153" w:name="_Toc184313239"/>
      <w:bookmarkEnd w:id="153"/>
      <w:bookmarkStart w:id="154" w:name="_Toc184308041"/>
      <w:bookmarkEnd w:id="154"/>
      <w:bookmarkStart w:id="155" w:name="_Toc184308057"/>
      <w:bookmarkEnd w:id="155"/>
      <w:bookmarkStart w:id="156" w:name="_Toc184314452"/>
      <w:bookmarkEnd w:id="156"/>
      <w:bookmarkStart w:id="157" w:name="_Toc184308105"/>
      <w:bookmarkEnd w:id="157"/>
      <w:bookmarkStart w:id="158" w:name="_Toc184313282"/>
      <w:bookmarkEnd w:id="158"/>
      <w:bookmarkStart w:id="159" w:name="_Toc184310288"/>
      <w:bookmarkEnd w:id="159"/>
      <w:bookmarkStart w:id="160" w:name="_Toc184313293"/>
      <w:bookmarkEnd w:id="160"/>
      <w:bookmarkStart w:id="161" w:name="_Toc184308075"/>
      <w:bookmarkEnd w:id="161"/>
      <w:bookmarkStart w:id="162" w:name="_Toc184313275"/>
      <w:bookmarkEnd w:id="162"/>
      <w:bookmarkStart w:id="163" w:name="_Toc184312135"/>
      <w:bookmarkEnd w:id="163"/>
      <w:bookmarkStart w:id="164" w:name="_Toc184314451"/>
      <w:bookmarkEnd w:id="164"/>
      <w:bookmarkStart w:id="165" w:name="_Toc184312084"/>
      <w:bookmarkEnd w:id="165"/>
      <w:bookmarkStart w:id="166" w:name="_Toc184314442"/>
      <w:bookmarkEnd w:id="166"/>
      <w:bookmarkStart w:id="167" w:name="_Toc184313262"/>
      <w:bookmarkEnd w:id="167"/>
      <w:bookmarkStart w:id="168" w:name="_Toc184310297"/>
      <w:bookmarkEnd w:id="168"/>
      <w:bookmarkStart w:id="169" w:name="_Toc184313299"/>
      <w:bookmarkEnd w:id="169"/>
      <w:bookmarkStart w:id="170" w:name="_Toc184312097"/>
      <w:bookmarkEnd w:id="170"/>
      <w:bookmarkStart w:id="171" w:name="_Toc184310327"/>
      <w:bookmarkEnd w:id="171"/>
      <w:bookmarkStart w:id="172" w:name="_Toc184310295"/>
      <w:bookmarkEnd w:id="172"/>
      <w:bookmarkStart w:id="173" w:name="_Toc184308062"/>
      <w:bookmarkEnd w:id="173"/>
      <w:bookmarkStart w:id="174" w:name="_Toc184314427"/>
      <w:bookmarkEnd w:id="174"/>
      <w:bookmarkStart w:id="175" w:name="_Toc184312086"/>
      <w:bookmarkEnd w:id="175"/>
      <w:bookmarkStart w:id="176" w:name="_Toc184314461"/>
      <w:bookmarkEnd w:id="176"/>
      <w:bookmarkStart w:id="177" w:name="_Toc184310299"/>
      <w:bookmarkEnd w:id="177"/>
      <w:bookmarkStart w:id="178" w:name="_Toc184310340"/>
      <w:bookmarkEnd w:id="178"/>
      <w:bookmarkStart w:id="179" w:name="_Toc184308104"/>
      <w:bookmarkEnd w:id="179"/>
      <w:bookmarkStart w:id="180" w:name="_Toc184312071"/>
      <w:bookmarkEnd w:id="180"/>
      <w:bookmarkStart w:id="181" w:name="_Toc184310337"/>
      <w:bookmarkEnd w:id="181"/>
      <w:bookmarkStart w:id="182" w:name="_Toc184310273"/>
      <w:bookmarkEnd w:id="182"/>
      <w:bookmarkStart w:id="183" w:name="_Toc184312138"/>
      <w:bookmarkEnd w:id="183"/>
      <w:bookmarkStart w:id="184" w:name="_Toc184313274"/>
      <w:bookmarkEnd w:id="184"/>
      <w:bookmarkStart w:id="185" w:name="_Toc184313257"/>
      <w:bookmarkEnd w:id="185"/>
      <w:bookmarkStart w:id="186" w:name="_Toc184308068"/>
      <w:bookmarkEnd w:id="186"/>
      <w:bookmarkStart w:id="187" w:name="_Toc184308107"/>
      <w:bookmarkEnd w:id="187"/>
      <w:bookmarkStart w:id="188" w:name="_Toc184314419"/>
      <w:bookmarkEnd w:id="188"/>
      <w:bookmarkStart w:id="189" w:name="_Toc184313268"/>
      <w:bookmarkEnd w:id="189"/>
      <w:bookmarkStart w:id="190" w:name="_Toc184314472"/>
      <w:bookmarkEnd w:id="190"/>
      <w:bookmarkStart w:id="191" w:name="_Toc184310292"/>
      <w:bookmarkEnd w:id="191"/>
      <w:bookmarkStart w:id="192" w:name="_Toc184314424"/>
      <w:bookmarkEnd w:id="192"/>
      <w:bookmarkStart w:id="193" w:name="_Toc184314450"/>
      <w:bookmarkEnd w:id="193"/>
      <w:bookmarkStart w:id="194" w:name="_Toc184310278"/>
      <w:bookmarkEnd w:id="194"/>
      <w:bookmarkStart w:id="195" w:name="_Toc184312072"/>
      <w:bookmarkEnd w:id="195"/>
      <w:bookmarkStart w:id="196" w:name="_Toc184314449"/>
      <w:bookmarkEnd w:id="196"/>
      <w:bookmarkStart w:id="197" w:name="_Toc184314432"/>
      <w:bookmarkEnd w:id="197"/>
      <w:bookmarkStart w:id="198" w:name="_Toc184308083"/>
      <w:bookmarkEnd w:id="198"/>
      <w:bookmarkStart w:id="199" w:name="_Toc184308059"/>
      <w:bookmarkEnd w:id="199"/>
      <w:bookmarkStart w:id="200" w:name="_Toc184308044"/>
      <w:bookmarkEnd w:id="200"/>
      <w:bookmarkStart w:id="201" w:name="_Toc184314423"/>
      <w:bookmarkEnd w:id="201"/>
      <w:bookmarkStart w:id="202" w:name="_Toc184310323"/>
      <w:bookmarkEnd w:id="202"/>
      <w:bookmarkStart w:id="203" w:name="_Toc184312108"/>
      <w:bookmarkEnd w:id="203"/>
      <w:bookmarkStart w:id="204" w:name="_Toc184314418"/>
      <w:bookmarkEnd w:id="204"/>
      <w:bookmarkStart w:id="205" w:name="_Toc184313249"/>
      <w:bookmarkEnd w:id="205"/>
      <w:bookmarkStart w:id="206" w:name="_Toc184313273"/>
      <w:bookmarkEnd w:id="206"/>
      <w:bookmarkStart w:id="207" w:name="_Toc184312105"/>
      <w:bookmarkEnd w:id="207"/>
      <w:bookmarkStart w:id="208" w:name="_Toc184314460"/>
      <w:bookmarkEnd w:id="208"/>
      <w:bookmarkStart w:id="209" w:name="_Toc184313291"/>
      <w:bookmarkEnd w:id="209"/>
      <w:bookmarkStart w:id="210" w:name="_Toc184310344"/>
      <w:bookmarkEnd w:id="210"/>
      <w:bookmarkStart w:id="211" w:name="_Toc184314438"/>
      <w:bookmarkEnd w:id="211"/>
      <w:bookmarkStart w:id="212" w:name="_Toc184313284"/>
      <w:bookmarkEnd w:id="212"/>
      <w:bookmarkStart w:id="213" w:name="_Toc184314429"/>
      <w:bookmarkEnd w:id="213"/>
      <w:bookmarkStart w:id="214" w:name="_Toc184310276"/>
      <w:bookmarkEnd w:id="214"/>
      <w:bookmarkStart w:id="215" w:name="_Toc184310328"/>
      <w:bookmarkEnd w:id="215"/>
      <w:bookmarkStart w:id="216" w:name="_Toc184313307"/>
      <w:bookmarkEnd w:id="216"/>
      <w:bookmarkStart w:id="217" w:name="_Toc184308102"/>
      <w:bookmarkEnd w:id="217"/>
      <w:bookmarkStart w:id="218" w:name="_Toc184313281"/>
      <w:bookmarkEnd w:id="218"/>
      <w:bookmarkStart w:id="219" w:name="_Toc184308065"/>
      <w:bookmarkEnd w:id="219"/>
      <w:bookmarkStart w:id="220" w:name="_Toc184312139"/>
      <w:bookmarkEnd w:id="220"/>
      <w:bookmarkStart w:id="221" w:name="_Toc184310315"/>
      <w:bookmarkEnd w:id="221"/>
      <w:bookmarkStart w:id="222" w:name="_Toc184313304"/>
      <w:bookmarkEnd w:id="222"/>
      <w:bookmarkStart w:id="223" w:name="_Toc184308088"/>
      <w:bookmarkEnd w:id="223"/>
      <w:bookmarkStart w:id="224" w:name="_Toc184313287"/>
      <w:bookmarkEnd w:id="224"/>
      <w:bookmarkStart w:id="225" w:name="_Toc184312081"/>
      <w:bookmarkEnd w:id="225"/>
      <w:bookmarkStart w:id="226" w:name="_Toc184312076"/>
      <w:bookmarkEnd w:id="226"/>
      <w:bookmarkStart w:id="227" w:name="_Toc184310296"/>
      <w:bookmarkEnd w:id="227"/>
      <w:bookmarkStart w:id="228" w:name="_Toc184314455"/>
      <w:bookmarkEnd w:id="228"/>
      <w:bookmarkStart w:id="229" w:name="_Toc184308091"/>
      <w:bookmarkEnd w:id="229"/>
      <w:bookmarkStart w:id="230" w:name="_Toc184314481"/>
      <w:bookmarkEnd w:id="230"/>
      <w:bookmarkStart w:id="231" w:name="_Toc184312092"/>
      <w:bookmarkEnd w:id="231"/>
      <w:bookmarkStart w:id="232" w:name="_Toc184312125"/>
      <w:bookmarkEnd w:id="232"/>
      <w:bookmarkStart w:id="233" w:name="_Toc184313243"/>
      <w:bookmarkEnd w:id="233"/>
      <w:bookmarkStart w:id="234" w:name="_Toc184308092"/>
      <w:bookmarkEnd w:id="234"/>
      <w:bookmarkStart w:id="235" w:name="_Toc184313308"/>
      <w:bookmarkEnd w:id="235"/>
      <w:bookmarkStart w:id="236" w:name="_Toc184314425"/>
      <w:bookmarkEnd w:id="236"/>
      <w:bookmarkStart w:id="237" w:name="_Toc184312085"/>
      <w:bookmarkEnd w:id="237"/>
      <w:bookmarkStart w:id="238" w:name="_Toc184313267"/>
      <w:bookmarkEnd w:id="238"/>
      <w:bookmarkStart w:id="239" w:name="_Toc184312099"/>
      <w:bookmarkEnd w:id="239"/>
      <w:bookmarkStart w:id="240" w:name="_Toc184310335"/>
      <w:bookmarkEnd w:id="240"/>
      <w:bookmarkStart w:id="241" w:name="_Toc184314453"/>
      <w:bookmarkEnd w:id="241"/>
      <w:bookmarkStart w:id="242" w:name="_Toc184310324"/>
      <w:bookmarkEnd w:id="242"/>
      <w:bookmarkStart w:id="243" w:name="_Toc184312123"/>
      <w:bookmarkEnd w:id="243"/>
      <w:bookmarkStart w:id="244" w:name="_Toc184312127"/>
      <w:bookmarkEnd w:id="244"/>
      <w:bookmarkStart w:id="245" w:name="_Toc184308051"/>
      <w:bookmarkEnd w:id="245"/>
      <w:bookmarkStart w:id="246" w:name="_Toc184312106"/>
      <w:bookmarkEnd w:id="246"/>
      <w:bookmarkStart w:id="247" w:name="_Toc184312107"/>
      <w:bookmarkEnd w:id="247"/>
      <w:bookmarkStart w:id="248" w:name="_Toc184313279"/>
      <w:bookmarkEnd w:id="248"/>
      <w:bookmarkStart w:id="249" w:name="_Toc184308078"/>
      <w:bookmarkEnd w:id="249"/>
      <w:bookmarkStart w:id="250" w:name="_Toc184312137"/>
      <w:bookmarkEnd w:id="250"/>
      <w:bookmarkStart w:id="251" w:name="_Toc184312115"/>
      <w:bookmarkEnd w:id="251"/>
      <w:bookmarkStart w:id="252" w:name="_Toc184313254"/>
      <w:bookmarkEnd w:id="252"/>
      <w:bookmarkStart w:id="253" w:name="_Toc184313309"/>
      <w:bookmarkEnd w:id="253"/>
      <w:bookmarkStart w:id="254" w:name="_Toc184312075"/>
      <w:bookmarkEnd w:id="254"/>
      <w:bookmarkStart w:id="255" w:name="_Toc184310309"/>
      <w:bookmarkEnd w:id="255"/>
      <w:bookmarkStart w:id="256" w:name="_Toc184308036"/>
      <w:bookmarkEnd w:id="256"/>
      <w:bookmarkStart w:id="257" w:name="_Toc184313252"/>
      <w:bookmarkEnd w:id="257"/>
      <w:bookmarkStart w:id="258" w:name="_Toc184313241"/>
      <w:bookmarkEnd w:id="258"/>
      <w:bookmarkStart w:id="259" w:name="_Toc184312088"/>
      <w:bookmarkEnd w:id="259"/>
      <w:bookmarkStart w:id="260" w:name="_Toc184313269"/>
      <w:bookmarkEnd w:id="260"/>
      <w:bookmarkStart w:id="261" w:name="_Toc184312083"/>
      <w:bookmarkEnd w:id="261"/>
      <w:bookmarkStart w:id="262" w:name="_Toc184313261"/>
      <w:bookmarkEnd w:id="262"/>
      <w:bookmarkStart w:id="263" w:name="_Toc184308081"/>
      <w:bookmarkEnd w:id="263"/>
      <w:bookmarkStart w:id="264" w:name="_Toc184312089"/>
      <w:bookmarkEnd w:id="264"/>
      <w:bookmarkStart w:id="265" w:name="_Toc184313255"/>
      <w:bookmarkEnd w:id="265"/>
      <w:bookmarkStart w:id="266" w:name="_Toc184308040"/>
      <w:bookmarkEnd w:id="266"/>
      <w:bookmarkStart w:id="267" w:name="_Toc184308073"/>
      <w:bookmarkEnd w:id="267"/>
      <w:bookmarkStart w:id="268" w:name="_Toc184314471"/>
      <w:bookmarkEnd w:id="268"/>
      <w:bookmarkStart w:id="269" w:name="_Toc184308103"/>
      <w:bookmarkEnd w:id="269"/>
      <w:bookmarkStart w:id="270" w:name="_Toc184308076"/>
      <w:bookmarkEnd w:id="270"/>
      <w:bookmarkStart w:id="271" w:name="_Toc184310282"/>
      <w:bookmarkEnd w:id="271"/>
      <w:bookmarkStart w:id="272" w:name="_Toc184313250"/>
      <w:bookmarkEnd w:id="272"/>
      <w:bookmarkStart w:id="273" w:name="_Toc184308055"/>
      <w:bookmarkEnd w:id="273"/>
      <w:bookmarkStart w:id="274" w:name="_Toc184314476"/>
      <w:bookmarkEnd w:id="274"/>
      <w:bookmarkStart w:id="275" w:name="_Toc184313300"/>
      <w:bookmarkEnd w:id="275"/>
      <w:bookmarkStart w:id="276" w:name="_Toc184308106"/>
      <w:bookmarkEnd w:id="276"/>
      <w:bookmarkStart w:id="277" w:name="_Toc184308061"/>
      <w:bookmarkEnd w:id="277"/>
      <w:bookmarkStart w:id="278" w:name="_Toc184310279"/>
      <w:bookmarkEnd w:id="278"/>
      <w:bookmarkStart w:id="279" w:name="_Toc184312134"/>
      <w:bookmarkEnd w:id="279"/>
      <w:bookmarkStart w:id="280" w:name="_Toc184313298"/>
      <w:bookmarkEnd w:id="280"/>
      <w:bookmarkStart w:id="281" w:name="_Toc184313294"/>
      <w:bookmarkEnd w:id="281"/>
      <w:bookmarkStart w:id="282" w:name="_Toc184312077"/>
      <w:bookmarkEnd w:id="282"/>
      <w:bookmarkStart w:id="283" w:name="_Toc184312131"/>
      <w:bookmarkEnd w:id="283"/>
      <w:bookmarkStart w:id="284" w:name="_Toc184313310"/>
      <w:bookmarkEnd w:id="284"/>
      <w:bookmarkStart w:id="285" w:name="_Toc184314448"/>
      <w:bookmarkEnd w:id="285"/>
      <w:bookmarkStart w:id="286" w:name="_Toc184308058"/>
      <w:bookmarkEnd w:id="286"/>
      <w:bookmarkStart w:id="287" w:name="_Toc184313258"/>
      <w:bookmarkEnd w:id="287"/>
      <w:bookmarkStart w:id="288" w:name="_Toc184308082"/>
      <w:bookmarkEnd w:id="288"/>
      <w:bookmarkStart w:id="289" w:name="_Toc184308099"/>
      <w:bookmarkEnd w:id="289"/>
      <w:bookmarkStart w:id="290" w:name="_Toc184314482"/>
      <w:bookmarkEnd w:id="290"/>
      <w:bookmarkStart w:id="291" w:name="_Toc184310272"/>
      <w:bookmarkEnd w:id="291"/>
      <w:bookmarkStart w:id="292" w:name="_Toc184310336"/>
      <w:bookmarkEnd w:id="292"/>
      <w:bookmarkStart w:id="293" w:name="_Toc184314477"/>
      <w:bookmarkEnd w:id="293"/>
      <w:bookmarkStart w:id="294" w:name="_Toc184310307"/>
      <w:bookmarkEnd w:id="294"/>
      <w:bookmarkStart w:id="295" w:name="_Toc184308108"/>
      <w:bookmarkEnd w:id="295"/>
      <w:bookmarkStart w:id="296" w:name="_Toc184313302"/>
      <w:bookmarkEnd w:id="296"/>
      <w:bookmarkStart w:id="297" w:name="_Toc184310332"/>
      <w:bookmarkEnd w:id="297"/>
      <w:bookmarkStart w:id="298" w:name="_Toc184314436"/>
      <w:bookmarkEnd w:id="298"/>
      <w:bookmarkStart w:id="299" w:name="_Toc184314473"/>
      <w:bookmarkEnd w:id="299"/>
      <w:bookmarkStart w:id="300" w:name="_Toc184310283"/>
      <w:bookmarkEnd w:id="300"/>
      <w:bookmarkStart w:id="301" w:name="_Toc184308074"/>
      <w:bookmarkEnd w:id="301"/>
      <w:bookmarkStart w:id="302" w:name="_Toc184310322"/>
      <w:bookmarkEnd w:id="302"/>
      <w:bookmarkStart w:id="303" w:name="_Toc184308052"/>
      <w:bookmarkEnd w:id="303"/>
      <w:bookmarkStart w:id="304" w:name="_Toc184308069"/>
      <w:bookmarkEnd w:id="304"/>
      <w:bookmarkStart w:id="305" w:name="_Toc184314479"/>
      <w:bookmarkEnd w:id="305"/>
      <w:bookmarkStart w:id="306" w:name="_Toc184308042"/>
      <w:bookmarkEnd w:id="306"/>
      <w:bookmarkStart w:id="307" w:name="_Toc184312133"/>
      <w:bookmarkEnd w:id="307"/>
      <w:bookmarkStart w:id="308" w:name="_Toc184308064"/>
      <w:bookmarkEnd w:id="308"/>
      <w:bookmarkStart w:id="309" w:name="_Toc184314417"/>
      <w:bookmarkEnd w:id="309"/>
      <w:bookmarkStart w:id="310" w:name="_Toc184314478"/>
      <w:bookmarkEnd w:id="310"/>
      <w:bookmarkStart w:id="311" w:name="_Toc184313297"/>
      <w:bookmarkEnd w:id="311"/>
      <w:bookmarkStart w:id="312" w:name="_Toc184314441"/>
      <w:bookmarkEnd w:id="312"/>
      <w:bookmarkStart w:id="313" w:name="_Toc184314431"/>
      <w:bookmarkEnd w:id="313"/>
      <w:bookmarkStart w:id="314" w:name="_Toc184314456"/>
      <w:bookmarkEnd w:id="314"/>
      <w:bookmarkStart w:id="315" w:name="_Toc184312129"/>
      <w:bookmarkEnd w:id="315"/>
      <w:bookmarkStart w:id="316" w:name="_Toc184314430"/>
      <w:bookmarkEnd w:id="316"/>
      <w:bookmarkStart w:id="317" w:name="_Toc184312070"/>
      <w:bookmarkEnd w:id="317"/>
      <w:bookmarkStart w:id="318" w:name="_Toc184312132"/>
      <w:bookmarkEnd w:id="318"/>
      <w:bookmarkStart w:id="319" w:name="_Toc184314434"/>
      <w:bookmarkEnd w:id="319"/>
      <w:bookmarkStart w:id="320" w:name="_Toc184310343"/>
      <w:bookmarkEnd w:id="320"/>
      <w:bookmarkStart w:id="321" w:name="_Toc184310338"/>
      <w:bookmarkEnd w:id="321"/>
      <w:bookmarkStart w:id="322" w:name="_Toc184313253"/>
      <w:bookmarkEnd w:id="322"/>
      <w:bookmarkStart w:id="323" w:name="_Toc184308063"/>
      <w:bookmarkEnd w:id="323"/>
      <w:bookmarkStart w:id="324" w:name="_Toc184314415"/>
      <w:bookmarkEnd w:id="324"/>
      <w:bookmarkStart w:id="325" w:name="_Toc184310281"/>
      <w:bookmarkEnd w:id="325"/>
      <w:bookmarkStart w:id="326" w:name="_Toc184312136"/>
      <w:bookmarkEnd w:id="326"/>
      <w:bookmarkStart w:id="327" w:name="_Toc184310319"/>
      <w:bookmarkEnd w:id="327"/>
      <w:bookmarkStart w:id="328" w:name="_Toc184313292"/>
      <w:bookmarkEnd w:id="328"/>
      <w:bookmarkStart w:id="329" w:name="_Toc184312100"/>
      <w:bookmarkEnd w:id="329"/>
      <w:bookmarkStart w:id="330" w:name="_Toc184312090"/>
      <w:bookmarkEnd w:id="330"/>
      <w:bookmarkStart w:id="331" w:name="_Toc184313306"/>
      <w:bookmarkEnd w:id="331"/>
      <w:bookmarkStart w:id="332" w:name="_Toc184314433"/>
      <w:bookmarkEnd w:id="332"/>
      <w:bookmarkStart w:id="333" w:name="_Toc184310329"/>
      <w:bookmarkEnd w:id="333"/>
      <w:bookmarkStart w:id="334" w:name="_Toc184310290"/>
      <w:bookmarkEnd w:id="334"/>
      <w:bookmarkStart w:id="335" w:name="_Toc184314422"/>
      <w:bookmarkEnd w:id="335"/>
      <w:bookmarkStart w:id="336" w:name="_Toc184314470"/>
      <w:bookmarkEnd w:id="336"/>
      <w:bookmarkStart w:id="337" w:name="_Toc184312080"/>
      <w:bookmarkEnd w:id="337"/>
      <w:bookmarkStart w:id="338" w:name="_Toc184308100"/>
      <w:bookmarkEnd w:id="338"/>
      <w:bookmarkStart w:id="339" w:name="_Toc184314411"/>
      <w:bookmarkEnd w:id="339"/>
      <w:bookmarkStart w:id="340" w:name="_Toc184313272"/>
      <w:bookmarkEnd w:id="340"/>
      <w:bookmarkStart w:id="341" w:name="_Toc184313242"/>
      <w:bookmarkEnd w:id="341"/>
      <w:bookmarkStart w:id="342" w:name="_Toc184308070"/>
      <w:bookmarkEnd w:id="342"/>
      <w:bookmarkStart w:id="343" w:name="_Toc184312095"/>
      <w:bookmarkEnd w:id="343"/>
      <w:bookmarkStart w:id="344" w:name="_Toc184308037"/>
      <w:bookmarkEnd w:id="344"/>
      <w:bookmarkStart w:id="345" w:name="_Toc184313277"/>
      <w:bookmarkEnd w:id="345"/>
      <w:bookmarkStart w:id="346" w:name="_Toc184308056"/>
      <w:bookmarkEnd w:id="346"/>
      <w:bookmarkStart w:id="347" w:name="_Toc184310304"/>
      <w:bookmarkEnd w:id="347"/>
      <w:bookmarkStart w:id="348" w:name="_Toc184314439"/>
      <w:bookmarkEnd w:id="348"/>
      <w:bookmarkStart w:id="349" w:name="_Toc184312116"/>
      <w:bookmarkEnd w:id="349"/>
      <w:bookmarkStart w:id="350" w:name="_Toc184314468"/>
      <w:bookmarkEnd w:id="350"/>
      <w:bookmarkStart w:id="351" w:name="_Toc184308067"/>
      <w:bookmarkEnd w:id="351"/>
      <w:bookmarkStart w:id="352" w:name="_Toc184312126"/>
      <w:bookmarkEnd w:id="352"/>
      <w:bookmarkStart w:id="353" w:name="_Toc184310321"/>
      <w:bookmarkEnd w:id="353"/>
      <w:bookmarkStart w:id="354" w:name="_Toc184312118"/>
      <w:bookmarkEnd w:id="354"/>
      <w:bookmarkStart w:id="355" w:name="_Toc184314466"/>
      <w:bookmarkEnd w:id="355"/>
      <w:bookmarkStart w:id="356" w:name="_Toc184310300"/>
      <w:bookmarkEnd w:id="356"/>
      <w:bookmarkStart w:id="357" w:name="_Toc184312119"/>
      <w:bookmarkEnd w:id="357"/>
      <w:bookmarkStart w:id="358" w:name="_Toc184314421"/>
      <w:bookmarkEnd w:id="358"/>
      <w:bookmarkStart w:id="359" w:name="_Toc184310293"/>
      <w:bookmarkEnd w:id="359"/>
      <w:bookmarkStart w:id="360" w:name="_Toc184314428"/>
      <w:bookmarkEnd w:id="360"/>
      <w:bookmarkStart w:id="361" w:name="_Toc184308066"/>
      <w:bookmarkEnd w:id="361"/>
      <w:bookmarkStart w:id="362" w:name="_Toc184310316"/>
      <w:bookmarkEnd w:id="362"/>
      <w:bookmarkStart w:id="363" w:name="_Toc184310280"/>
      <w:bookmarkEnd w:id="363"/>
      <w:bookmarkStart w:id="364" w:name="_Toc184314462"/>
      <w:bookmarkEnd w:id="364"/>
      <w:bookmarkStart w:id="365" w:name="_Toc184314446"/>
      <w:bookmarkEnd w:id="365"/>
      <w:bookmarkStart w:id="366" w:name="_Toc184313289"/>
      <w:bookmarkEnd w:id="366"/>
      <w:bookmarkStart w:id="367" w:name="_Toc184313290"/>
      <w:bookmarkEnd w:id="367"/>
      <w:bookmarkStart w:id="368" w:name="_Toc184308079"/>
      <w:bookmarkEnd w:id="368"/>
      <w:bookmarkStart w:id="369" w:name="_Toc184310298"/>
      <w:bookmarkEnd w:id="369"/>
      <w:bookmarkStart w:id="370" w:name="_Toc184308097"/>
      <w:bookmarkEnd w:id="370"/>
      <w:bookmarkStart w:id="371" w:name="_Toc184308094"/>
      <w:bookmarkEnd w:id="371"/>
      <w:bookmarkStart w:id="372" w:name="_Toc184308086"/>
      <w:bookmarkEnd w:id="372"/>
      <w:bookmarkStart w:id="373" w:name="_Toc184312120"/>
      <w:bookmarkEnd w:id="373"/>
      <w:bookmarkStart w:id="374" w:name="_Toc184314440"/>
      <w:bookmarkEnd w:id="374"/>
      <w:bookmarkStart w:id="375" w:name="_Toc184310333"/>
      <w:bookmarkEnd w:id="375"/>
      <w:bookmarkStart w:id="376" w:name="_Toc184314437"/>
      <w:bookmarkEnd w:id="376"/>
      <w:bookmarkStart w:id="377" w:name="_Toc184312109"/>
      <w:bookmarkEnd w:id="377"/>
      <w:bookmarkStart w:id="378" w:name="_Toc184313238"/>
      <w:bookmarkEnd w:id="378"/>
      <w:bookmarkStart w:id="379" w:name="_Toc184308077"/>
      <w:bookmarkEnd w:id="379"/>
      <w:r>
        <w:rPr>
          <w:rFonts w:hint="eastAsia" w:ascii="宋体" w:hAnsi="宋体" w:cs="宋体"/>
          <w:b/>
          <w:color w:val="auto"/>
          <w:sz w:val="36"/>
          <w:szCs w:val="36"/>
          <w:highlight w:val="none"/>
        </w:rPr>
        <w:t>评标办法</w:t>
      </w:r>
    </w:p>
    <w:p w14:paraId="5BC4733E">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1116"/>
        <w:gridCol w:w="4234"/>
        <w:gridCol w:w="508"/>
        <w:gridCol w:w="890"/>
        <w:gridCol w:w="1256"/>
      </w:tblGrid>
      <w:tr w14:paraId="4E78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jc w:val="center"/>
        </w:trPr>
        <w:tc>
          <w:tcPr>
            <w:tcW w:w="287" w:type="pct"/>
            <w:vAlign w:val="center"/>
          </w:tcPr>
          <w:p w14:paraId="473110D3">
            <w:pPr>
              <w:adjustRightInd w:val="0"/>
              <w:snapToGrid w:val="0"/>
              <w:spacing w:line="240" w:lineRule="auto"/>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序号</w:t>
            </w:r>
          </w:p>
        </w:tc>
        <w:tc>
          <w:tcPr>
            <w:tcW w:w="3149" w:type="pct"/>
            <w:gridSpan w:val="2"/>
            <w:vAlign w:val="center"/>
          </w:tcPr>
          <w:p w14:paraId="0F546BD1">
            <w:pPr>
              <w:adjustRightInd w:val="0"/>
              <w:snapToGrid w:val="0"/>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评标标准</w:t>
            </w:r>
          </w:p>
        </w:tc>
        <w:tc>
          <w:tcPr>
            <w:tcW w:w="299" w:type="pct"/>
            <w:vAlign w:val="center"/>
          </w:tcPr>
          <w:p w14:paraId="66D1A944">
            <w:pPr>
              <w:adjustRightInd w:val="0"/>
              <w:snapToGrid w:val="0"/>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权重</w:t>
            </w:r>
          </w:p>
        </w:tc>
        <w:tc>
          <w:tcPr>
            <w:tcW w:w="524" w:type="pct"/>
            <w:vAlign w:val="center"/>
          </w:tcPr>
          <w:p w14:paraId="2037B9C4">
            <w:pPr>
              <w:adjustRightInd w:val="0"/>
              <w:snapToGrid w:val="0"/>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主观分/客观分属性</w:t>
            </w:r>
          </w:p>
        </w:tc>
        <w:tc>
          <w:tcPr>
            <w:tcW w:w="739" w:type="pct"/>
            <w:vAlign w:val="center"/>
          </w:tcPr>
          <w:p w14:paraId="167099A3">
            <w:pPr>
              <w:adjustRightInd w:val="0"/>
              <w:snapToGrid w:val="0"/>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投标文件中评标标准相应的商务技术资料目录*</w:t>
            </w:r>
          </w:p>
        </w:tc>
      </w:tr>
      <w:tr w14:paraId="034A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Align w:val="center"/>
          </w:tcPr>
          <w:p w14:paraId="3E5E79E4">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657" w:type="pct"/>
            <w:vAlign w:val="center"/>
          </w:tcPr>
          <w:p w14:paraId="12727E27">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管理体系</w:t>
            </w:r>
          </w:p>
        </w:tc>
        <w:tc>
          <w:tcPr>
            <w:tcW w:w="2491" w:type="pct"/>
            <w:vAlign w:val="center"/>
          </w:tcPr>
          <w:p w14:paraId="3EC390B4">
            <w:pPr>
              <w:snapToGrid w:val="0"/>
              <w:jc w:val="left"/>
              <w:rPr>
                <w:rFonts w:hint="eastAsia" w:ascii="宋体" w:hAnsi="宋体" w:eastAsia="宋体" w:cs="宋体"/>
                <w:b w:val="0"/>
                <w:bCs w:val="0"/>
                <w:color w:val="auto"/>
                <w:sz w:val="21"/>
                <w:szCs w:val="21"/>
                <w:highlight w:val="none"/>
                <w:lang w:val="zh-TW"/>
              </w:rPr>
            </w:pPr>
            <w:r>
              <w:rPr>
                <w:rFonts w:hint="eastAsia" w:ascii="宋体" w:hAnsi="宋体" w:eastAsia="宋体" w:cs="宋体"/>
                <w:b w:val="0"/>
                <w:bCs w:val="0"/>
                <w:color w:val="auto"/>
                <w:sz w:val="21"/>
                <w:szCs w:val="21"/>
                <w:highlight w:val="none"/>
                <w:lang w:val="zh-TW"/>
              </w:rPr>
              <w:t>供应商具有有效的质量管理体系认证证书</w:t>
            </w:r>
            <w:r>
              <w:rPr>
                <w:rFonts w:hint="eastAsia" w:ascii="宋体" w:hAnsi="宋体" w:eastAsia="宋体" w:cs="宋体"/>
                <w:b w:val="0"/>
                <w:bCs w:val="0"/>
                <w:color w:val="auto"/>
                <w:sz w:val="21"/>
                <w:szCs w:val="21"/>
                <w:highlight w:val="none"/>
                <w:lang w:val="zh-TW" w:eastAsia="zh-CN"/>
              </w:rPr>
              <w:t>、</w:t>
            </w:r>
            <w:r>
              <w:rPr>
                <w:rFonts w:hint="eastAsia" w:ascii="宋体" w:hAnsi="宋体" w:eastAsia="宋体" w:cs="宋体"/>
                <w:b w:val="0"/>
                <w:bCs w:val="0"/>
                <w:color w:val="auto"/>
                <w:sz w:val="21"/>
                <w:szCs w:val="21"/>
                <w:highlight w:val="none"/>
                <w:lang w:val="zh-TW"/>
              </w:rPr>
              <w:t>信息安全管理体系认证</w:t>
            </w:r>
            <w:r>
              <w:rPr>
                <w:rFonts w:hint="eastAsia" w:ascii="宋体" w:hAnsi="宋体" w:eastAsia="宋体" w:cs="宋体"/>
                <w:b w:val="0"/>
                <w:bCs w:val="0"/>
                <w:color w:val="auto"/>
                <w:sz w:val="21"/>
                <w:szCs w:val="21"/>
                <w:highlight w:val="none"/>
                <w:lang w:val="en-US" w:eastAsia="zh-CN"/>
              </w:rPr>
              <w:t>证书、</w:t>
            </w:r>
            <w:r>
              <w:rPr>
                <w:rFonts w:hint="eastAsia" w:ascii="宋体" w:hAnsi="宋体" w:eastAsia="宋体" w:cs="宋体"/>
                <w:b w:val="0"/>
                <w:bCs w:val="0"/>
                <w:color w:val="auto"/>
                <w:sz w:val="21"/>
                <w:szCs w:val="21"/>
                <w:highlight w:val="none"/>
                <w:lang w:val="zh-TW"/>
              </w:rPr>
              <w:t>信息技术服务管理体系认证证书的</w:t>
            </w:r>
            <w:r>
              <w:rPr>
                <w:rFonts w:hint="eastAsia" w:ascii="宋体" w:hAnsi="宋体" w:eastAsia="宋体" w:cs="宋体"/>
                <w:b w:val="0"/>
                <w:bCs w:val="0"/>
                <w:color w:val="auto"/>
                <w:sz w:val="21"/>
                <w:szCs w:val="21"/>
                <w:highlight w:val="none"/>
                <w:lang w:val="zh-TW" w:eastAsia="zh-CN"/>
              </w:rPr>
              <w:t>。</w:t>
            </w:r>
            <w:r>
              <w:rPr>
                <w:rFonts w:hint="eastAsia" w:ascii="宋体" w:hAnsi="宋体" w:eastAsia="宋体" w:cs="宋体"/>
                <w:b w:val="0"/>
                <w:bCs w:val="0"/>
                <w:color w:val="auto"/>
                <w:sz w:val="21"/>
                <w:szCs w:val="21"/>
                <w:highlight w:val="none"/>
                <w:lang w:val="zh-TW"/>
              </w:rPr>
              <w:t>每提供一项得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TW"/>
              </w:rPr>
              <w:t>分，满分</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zh-TW"/>
              </w:rPr>
              <w:t>分。</w:t>
            </w:r>
          </w:p>
          <w:p w14:paraId="78285182">
            <w:pPr>
              <w:snapToGrid w:val="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TW"/>
              </w:rPr>
              <w:t>注：提供证书复印件。以上证书须由通过中国国家认证认可监督管理委员会备案通过的认证机构颁发，提供全国认证认可信息公共服务平台的网页截图</w:t>
            </w:r>
            <w:r>
              <w:rPr>
                <w:rFonts w:hint="eastAsia" w:ascii="宋体" w:hAnsi="宋体" w:eastAsia="宋体" w:cs="宋体"/>
                <w:b w:val="0"/>
                <w:bCs w:val="0"/>
                <w:color w:val="auto"/>
                <w:sz w:val="21"/>
                <w:szCs w:val="21"/>
                <w:highlight w:val="none"/>
                <w:lang w:val="en-US" w:eastAsia="zh-CN"/>
              </w:rPr>
              <w:t>且显示有效状态</w:t>
            </w:r>
            <w:r>
              <w:rPr>
                <w:rFonts w:hint="eastAsia" w:ascii="宋体" w:hAnsi="宋体" w:eastAsia="宋体" w:cs="宋体"/>
                <w:b w:val="0"/>
                <w:bCs w:val="0"/>
                <w:color w:val="auto"/>
                <w:sz w:val="21"/>
                <w:szCs w:val="21"/>
                <w:highlight w:val="none"/>
                <w:lang w:val="zh-TW"/>
              </w:rPr>
              <w:t>，如未提供截图的，以评标现场查询结果为准。</w:t>
            </w:r>
          </w:p>
        </w:tc>
        <w:tc>
          <w:tcPr>
            <w:tcW w:w="299" w:type="pct"/>
            <w:vAlign w:val="center"/>
          </w:tcPr>
          <w:p w14:paraId="47587B51">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524" w:type="pct"/>
            <w:vAlign w:val="center"/>
          </w:tcPr>
          <w:p w14:paraId="17E5802D">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w:t>
            </w:r>
          </w:p>
        </w:tc>
        <w:tc>
          <w:tcPr>
            <w:tcW w:w="739" w:type="pct"/>
            <w:vAlign w:val="center"/>
          </w:tcPr>
          <w:p w14:paraId="206FBE6A">
            <w:pPr>
              <w:snapToGrid w:val="0"/>
              <w:jc w:val="center"/>
              <w:rPr>
                <w:rFonts w:hint="eastAsia" w:ascii="宋体" w:hAnsi="宋体" w:eastAsia="宋体" w:cs="宋体"/>
                <w:b w:val="0"/>
                <w:bCs w:val="0"/>
                <w:color w:val="auto"/>
                <w:sz w:val="21"/>
                <w:szCs w:val="21"/>
                <w:highlight w:val="none"/>
              </w:rPr>
            </w:pPr>
          </w:p>
        </w:tc>
      </w:tr>
      <w:tr w14:paraId="5AB6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 w:type="pct"/>
            <w:vAlign w:val="center"/>
          </w:tcPr>
          <w:p w14:paraId="68DF05A8">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657" w:type="pct"/>
            <w:vAlign w:val="center"/>
          </w:tcPr>
          <w:p w14:paraId="696B56F8">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业绩</w:t>
            </w:r>
          </w:p>
        </w:tc>
        <w:tc>
          <w:tcPr>
            <w:tcW w:w="2491" w:type="pct"/>
            <w:vAlign w:val="center"/>
          </w:tcPr>
          <w:p w14:paraId="163CAFA2">
            <w:pPr>
              <w:snapToGrid w:val="0"/>
              <w:jc w:val="left"/>
              <w:rPr>
                <w:rFonts w:hint="eastAsia" w:ascii="宋体" w:hAnsi="宋体" w:eastAsia="宋体" w:cs="宋体"/>
                <w:b w:val="0"/>
                <w:bCs w:val="0"/>
                <w:color w:val="auto"/>
                <w:sz w:val="21"/>
                <w:szCs w:val="21"/>
                <w:highlight w:val="none"/>
                <w:lang w:val="zh-TW"/>
              </w:rPr>
            </w:pPr>
            <w:r>
              <w:rPr>
                <w:rFonts w:hint="eastAsia" w:ascii="宋体" w:hAnsi="宋体" w:eastAsia="宋体" w:cs="宋体"/>
                <w:b w:val="0"/>
                <w:bCs w:val="0"/>
                <w:color w:val="auto"/>
                <w:sz w:val="21"/>
                <w:szCs w:val="21"/>
                <w:highlight w:val="none"/>
                <w:lang w:val="zh-TW"/>
              </w:rPr>
              <w:t>供应商自20</w:t>
            </w:r>
            <w:r>
              <w:rPr>
                <w:rFonts w:hint="eastAsia" w:ascii="宋体" w:hAnsi="宋体" w:eastAsia="宋体" w:cs="宋体"/>
                <w:b w:val="0"/>
                <w:bCs w:val="0"/>
                <w:color w:val="auto"/>
                <w:sz w:val="21"/>
                <w:szCs w:val="21"/>
                <w:highlight w:val="none"/>
                <w:lang w:val="en-US" w:eastAsia="zh-CN"/>
              </w:rPr>
              <w:t>22</w:t>
            </w:r>
            <w:r>
              <w:rPr>
                <w:rFonts w:hint="eastAsia" w:ascii="宋体" w:hAnsi="宋体" w:eastAsia="宋体" w:cs="宋体"/>
                <w:b w:val="0"/>
                <w:bCs w:val="0"/>
                <w:color w:val="auto"/>
                <w:sz w:val="21"/>
                <w:szCs w:val="21"/>
                <w:highlight w:val="none"/>
                <w:lang w:val="zh-TW"/>
              </w:rPr>
              <w:t>年1月1日以来（以合同签订日期为准），完成过</w:t>
            </w:r>
            <w:r>
              <w:rPr>
                <w:rFonts w:hint="eastAsia" w:ascii="宋体" w:hAnsi="宋体" w:eastAsia="宋体" w:cs="宋体"/>
                <w:b w:val="0"/>
                <w:bCs w:val="0"/>
                <w:color w:val="auto"/>
                <w:sz w:val="21"/>
                <w:szCs w:val="21"/>
                <w:highlight w:val="none"/>
                <w:lang w:val="en-US" w:eastAsia="zh-CN"/>
              </w:rPr>
              <w:t>类似项目业绩的</w:t>
            </w:r>
            <w:r>
              <w:rPr>
                <w:rFonts w:hint="eastAsia" w:ascii="宋体" w:hAnsi="宋体" w:eastAsia="宋体" w:cs="宋体"/>
                <w:b w:val="0"/>
                <w:bCs w:val="0"/>
                <w:color w:val="auto"/>
                <w:sz w:val="21"/>
                <w:szCs w:val="21"/>
                <w:highlight w:val="none"/>
                <w:lang w:val="zh-TW"/>
              </w:rPr>
              <w:t>，每提供一份项目业绩得</w:t>
            </w:r>
            <w:r>
              <w:rPr>
                <w:rFonts w:hint="eastAsia" w:ascii="宋体" w:hAnsi="宋体" w:eastAsia="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lang w:val="zh-TW"/>
              </w:rPr>
              <w:t>分，最高得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TW"/>
              </w:rPr>
              <w:t>分。</w:t>
            </w:r>
          </w:p>
          <w:p w14:paraId="241CABF2">
            <w:pPr>
              <w:snapToGrid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w:t>
            </w:r>
            <w:r>
              <w:rPr>
                <w:rFonts w:hint="eastAsia" w:ascii="宋体" w:hAnsi="宋体" w:eastAsia="宋体" w:cs="宋体"/>
                <w:b w:val="0"/>
                <w:bCs w:val="0"/>
                <w:color w:val="auto"/>
                <w:sz w:val="21"/>
                <w:szCs w:val="21"/>
                <w:highlight w:val="none"/>
                <w:lang w:val="zh-TW"/>
              </w:rPr>
              <w:t>提供合同复印件，合同内容无法体现的可另行提供业主证明材料</w:t>
            </w:r>
            <w:r>
              <w:rPr>
                <w:rFonts w:hint="eastAsia" w:ascii="宋体" w:hAnsi="宋体" w:eastAsia="宋体" w:cs="宋体"/>
                <w:b w:val="0"/>
                <w:bCs w:val="0"/>
                <w:color w:val="auto"/>
                <w:sz w:val="21"/>
                <w:szCs w:val="21"/>
                <w:highlight w:val="none"/>
                <w:lang w:val="zh-TW" w:eastAsia="zh-CN"/>
              </w:rPr>
              <w:t>。</w:t>
            </w:r>
          </w:p>
        </w:tc>
        <w:tc>
          <w:tcPr>
            <w:tcW w:w="299" w:type="pct"/>
            <w:vAlign w:val="center"/>
          </w:tcPr>
          <w:p w14:paraId="4218C4A3">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524" w:type="pct"/>
            <w:vAlign w:val="center"/>
          </w:tcPr>
          <w:p w14:paraId="2EF4D5EB">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w:t>
            </w:r>
          </w:p>
        </w:tc>
        <w:tc>
          <w:tcPr>
            <w:tcW w:w="739" w:type="pct"/>
            <w:vAlign w:val="center"/>
          </w:tcPr>
          <w:p w14:paraId="36961369">
            <w:pPr>
              <w:snapToGrid w:val="0"/>
              <w:jc w:val="center"/>
              <w:rPr>
                <w:rFonts w:hint="eastAsia" w:ascii="宋体" w:hAnsi="宋体" w:eastAsia="宋体" w:cs="宋体"/>
                <w:b w:val="0"/>
                <w:bCs w:val="0"/>
                <w:color w:val="auto"/>
                <w:sz w:val="21"/>
                <w:szCs w:val="21"/>
                <w:highlight w:val="none"/>
              </w:rPr>
            </w:pPr>
          </w:p>
        </w:tc>
      </w:tr>
      <w:tr w14:paraId="6DB0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87" w:type="pct"/>
            <w:vAlign w:val="center"/>
          </w:tcPr>
          <w:p w14:paraId="613F9BFF">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657" w:type="pct"/>
            <w:vAlign w:val="center"/>
          </w:tcPr>
          <w:p w14:paraId="6064C67B">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投标总体方案</w:t>
            </w:r>
          </w:p>
        </w:tc>
        <w:tc>
          <w:tcPr>
            <w:tcW w:w="2491" w:type="pct"/>
            <w:vAlign w:val="center"/>
          </w:tcPr>
          <w:p w14:paraId="3034BF18">
            <w:pPr>
              <w:snapToGrid w:val="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TW"/>
              </w:rPr>
              <w:t>投标总体方案（包括①对项目背景的解读；②项目建设原则；③标准规范；④系统构架、技术线路等）的科学性、合理性、完整性、可操作性等方面与项目实际需求的满足情况。方案目标清晰、合理完整的每项得1分，方案目标清晰</w:t>
            </w:r>
            <w:r>
              <w:rPr>
                <w:rFonts w:hint="eastAsia" w:ascii="宋体" w:hAnsi="宋体" w:eastAsia="宋体" w:cs="宋体"/>
                <w:b w:val="0"/>
                <w:bCs w:val="0"/>
                <w:color w:val="auto"/>
                <w:sz w:val="21"/>
                <w:szCs w:val="21"/>
                <w:highlight w:val="none"/>
                <w:lang w:val="en-US" w:eastAsia="zh-CN"/>
              </w:rPr>
              <w:t>基本</w:t>
            </w:r>
            <w:r>
              <w:rPr>
                <w:rFonts w:hint="eastAsia" w:ascii="宋体" w:hAnsi="宋体" w:eastAsia="宋体" w:cs="宋体"/>
                <w:b w:val="0"/>
                <w:bCs w:val="0"/>
                <w:color w:val="auto"/>
                <w:sz w:val="21"/>
                <w:szCs w:val="21"/>
                <w:highlight w:val="none"/>
                <w:lang w:val="zh-TW"/>
              </w:rPr>
              <w:t>合理完整的每项得0.5分，不符合或有重大偏差的得0分。最高</w:t>
            </w:r>
            <w:r>
              <w:rPr>
                <w:rFonts w:hint="eastAsia" w:ascii="宋体" w:hAnsi="宋体" w:eastAsia="宋体" w:cs="宋体"/>
                <w:b w:val="0"/>
                <w:bCs w:val="0"/>
                <w:color w:val="auto"/>
                <w:sz w:val="21"/>
                <w:szCs w:val="21"/>
                <w:highlight w:val="none"/>
                <w:lang w:val="en-US" w:eastAsia="zh-CN"/>
              </w:rPr>
              <w:t>得</w:t>
            </w:r>
            <w:r>
              <w:rPr>
                <w:rFonts w:hint="eastAsia" w:ascii="宋体" w:hAnsi="宋体" w:eastAsia="宋体" w:cs="宋体"/>
                <w:b w:val="0"/>
                <w:bCs w:val="0"/>
                <w:color w:val="auto"/>
                <w:sz w:val="21"/>
                <w:szCs w:val="21"/>
                <w:highlight w:val="none"/>
                <w:lang w:val="zh-TW"/>
              </w:rPr>
              <w:t>4分。</w:t>
            </w:r>
          </w:p>
        </w:tc>
        <w:tc>
          <w:tcPr>
            <w:tcW w:w="299" w:type="pct"/>
            <w:vAlign w:val="center"/>
          </w:tcPr>
          <w:p w14:paraId="66027867">
            <w:pPr>
              <w:snapToGrid w:val="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4</w:t>
            </w:r>
          </w:p>
        </w:tc>
        <w:tc>
          <w:tcPr>
            <w:tcW w:w="524" w:type="pct"/>
            <w:vAlign w:val="center"/>
          </w:tcPr>
          <w:p w14:paraId="46FED211">
            <w:pPr>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主观</w:t>
            </w:r>
          </w:p>
        </w:tc>
        <w:tc>
          <w:tcPr>
            <w:tcW w:w="739" w:type="pct"/>
            <w:vAlign w:val="center"/>
          </w:tcPr>
          <w:p w14:paraId="4AAF538A">
            <w:pPr>
              <w:snapToGrid w:val="0"/>
              <w:jc w:val="center"/>
              <w:rPr>
                <w:rFonts w:hint="eastAsia" w:ascii="宋体" w:hAnsi="宋体" w:eastAsia="宋体" w:cs="宋体"/>
                <w:b w:val="0"/>
                <w:bCs w:val="0"/>
                <w:color w:val="auto"/>
                <w:sz w:val="21"/>
                <w:szCs w:val="21"/>
                <w:highlight w:val="none"/>
              </w:rPr>
            </w:pPr>
          </w:p>
        </w:tc>
      </w:tr>
      <w:tr w14:paraId="6814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Align w:val="center"/>
          </w:tcPr>
          <w:p w14:paraId="160DDA04">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657" w:type="pct"/>
            <w:vAlign w:val="center"/>
          </w:tcPr>
          <w:p w14:paraId="1FE1A316">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重点难点方案</w:t>
            </w:r>
          </w:p>
        </w:tc>
        <w:tc>
          <w:tcPr>
            <w:tcW w:w="2491" w:type="pct"/>
            <w:vAlign w:val="center"/>
          </w:tcPr>
          <w:p w14:paraId="70AB4EB6">
            <w:pPr>
              <w:snapToGrid w:val="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TW"/>
              </w:rPr>
              <w:t>投标人对①本项目重点难点的理解和阐述；②对现状和需求的理解程度。从合理性、先进性、可行性和实用性等方面</w:t>
            </w:r>
            <w:r>
              <w:rPr>
                <w:rFonts w:hint="eastAsia" w:ascii="宋体" w:hAnsi="宋体" w:eastAsia="宋体" w:cs="宋体"/>
                <w:b w:val="0"/>
                <w:bCs w:val="0"/>
                <w:color w:val="auto"/>
                <w:sz w:val="21"/>
                <w:szCs w:val="21"/>
                <w:highlight w:val="none"/>
                <w:lang w:val="en-US" w:eastAsia="zh-CN"/>
              </w:rPr>
              <w:t>打</w:t>
            </w:r>
            <w:r>
              <w:rPr>
                <w:rFonts w:hint="eastAsia" w:ascii="宋体" w:hAnsi="宋体" w:eastAsia="宋体" w:cs="宋体"/>
                <w:b w:val="0"/>
                <w:bCs w:val="0"/>
                <w:color w:val="auto"/>
                <w:sz w:val="21"/>
                <w:szCs w:val="21"/>
                <w:highlight w:val="none"/>
                <w:lang w:val="zh-TW"/>
              </w:rPr>
              <w:t>分</w:t>
            </w:r>
            <w:r>
              <w:rPr>
                <w:rFonts w:hint="eastAsia" w:ascii="宋体" w:hAnsi="宋体" w:eastAsia="宋体" w:cs="宋体"/>
                <w:b w:val="0"/>
                <w:bCs w:val="0"/>
                <w:color w:val="auto"/>
                <w:sz w:val="21"/>
                <w:szCs w:val="21"/>
                <w:highlight w:val="none"/>
                <w:lang w:val="zh-TW" w:eastAsia="zh-CN"/>
              </w:rPr>
              <w:t>。</w:t>
            </w:r>
            <w:r>
              <w:rPr>
                <w:rFonts w:hint="eastAsia" w:ascii="宋体" w:hAnsi="宋体" w:eastAsia="宋体" w:cs="宋体"/>
                <w:b w:val="0"/>
                <w:bCs w:val="0"/>
                <w:color w:val="auto"/>
                <w:sz w:val="21"/>
                <w:szCs w:val="21"/>
                <w:highlight w:val="none"/>
                <w:lang w:val="en-US" w:eastAsia="zh-CN"/>
              </w:rPr>
              <w:t>阐述清晰、理解到位的</w:t>
            </w:r>
            <w:r>
              <w:rPr>
                <w:rFonts w:hint="eastAsia" w:ascii="宋体" w:hAnsi="宋体" w:eastAsia="宋体" w:cs="宋体"/>
                <w:b w:val="0"/>
                <w:bCs w:val="0"/>
                <w:color w:val="auto"/>
                <w:sz w:val="21"/>
                <w:szCs w:val="21"/>
                <w:highlight w:val="none"/>
                <w:lang w:val="zh-TW"/>
              </w:rPr>
              <w:t>每项得2分，</w:t>
            </w:r>
            <w:r>
              <w:rPr>
                <w:rFonts w:hint="eastAsia" w:ascii="宋体" w:hAnsi="宋体" w:eastAsia="宋体" w:cs="宋体"/>
                <w:b w:val="0"/>
                <w:bCs w:val="0"/>
                <w:color w:val="auto"/>
                <w:sz w:val="21"/>
                <w:szCs w:val="21"/>
                <w:highlight w:val="none"/>
                <w:lang w:val="en-US" w:eastAsia="zh-CN"/>
              </w:rPr>
              <w:t>阐述基本清晰、理解基本到位的</w:t>
            </w:r>
            <w:r>
              <w:rPr>
                <w:rFonts w:hint="eastAsia" w:ascii="宋体" w:hAnsi="宋体" w:eastAsia="宋体" w:cs="宋体"/>
                <w:b w:val="0"/>
                <w:bCs w:val="0"/>
                <w:color w:val="auto"/>
                <w:sz w:val="21"/>
                <w:szCs w:val="21"/>
                <w:highlight w:val="none"/>
                <w:lang w:val="zh-TW"/>
              </w:rPr>
              <w:t>每项得1分，不符合或有重大偏差的得0分。最高</w:t>
            </w:r>
            <w:r>
              <w:rPr>
                <w:rFonts w:hint="eastAsia" w:ascii="宋体" w:hAnsi="宋体" w:eastAsia="宋体" w:cs="宋体"/>
                <w:b w:val="0"/>
                <w:bCs w:val="0"/>
                <w:color w:val="auto"/>
                <w:sz w:val="21"/>
                <w:szCs w:val="21"/>
                <w:highlight w:val="none"/>
                <w:lang w:val="en-US" w:eastAsia="zh-CN"/>
              </w:rPr>
              <w:t>得</w:t>
            </w:r>
            <w:r>
              <w:rPr>
                <w:rFonts w:hint="eastAsia" w:ascii="宋体" w:hAnsi="宋体" w:eastAsia="宋体" w:cs="宋体"/>
                <w:b w:val="0"/>
                <w:bCs w:val="0"/>
                <w:color w:val="auto"/>
                <w:sz w:val="21"/>
                <w:szCs w:val="21"/>
                <w:highlight w:val="none"/>
                <w:lang w:val="zh-TW"/>
              </w:rPr>
              <w:t>4分。</w:t>
            </w:r>
          </w:p>
        </w:tc>
        <w:tc>
          <w:tcPr>
            <w:tcW w:w="299" w:type="pct"/>
            <w:vAlign w:val="center"/>
          </w:tcPr>
          <w:p w14:paraId="7E0DE5F2">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524" w:type="pct"/>
            <w:vAlign w:val="center"/>
          </w:tcPr>
          <w:p w14:paraId="532AC60F">
            <w:pPr>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主观</w:t>
            </w:r>
          </w:p>
        </w:tc>
        <w:tc>
          <w:tcPr>
            <w:tcW w:w="739" w:type="pct"/>
            <w:vAlign w:val="center"/>
          </w:tcPr>
          <w:p w14:paraId="3CD44C41">
            <w:pPr>
              <w:snapToGrid w:val="0"/>
              <w:jc w:val="center"/>
              <w:rPr>
                <w:rFonts w:hint="eastAsia" w:ascii="宋体" w:hAnsi="宋体" w:eastAsia="宋体" w:cs="宋体"/>
                <w:b w:val="0"/>
                <w:bCs w:val="0"/>
                <w:color w:val="auto"/>
                <w:sz w:val="21"/>
                <w:szCs w:val="21"/>
                <w:highlight w:val="none"/>
              </w:rPr>
            </w:pPr>
          </w:p>
        </w:tc>
      </w:tr>
      <w:tr w14:paraId="6C34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 w:type="pct"/>
            <w:vAlign w:val="center"/>
          </w:tcPr>
          <w:p w14:paraId="0D993A43">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657" w:type="pct"/>
            <w:vMerge w:val="restart"/>
            <w:vAlign w:val="center"/>
          </w:tcPr>
          <w:p w14:paraId="1DE374B2">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人工在线文字互动系统方案</w:t>
            </w:r>
          </w:p>
        </w:tc>
        <w:tc>
          <w:tcPr>
            <w:tcW w:w="2491" w:type="pct"/>
            <w:vAlign w:val="center"/>
          </w:tcPr>
          <w:p w14:paraId="44E26CBE">
            <w:pPr>
              <w:snapToGrid w:val="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投标人所提供的在线客服功能方案，与采购需求内容（①业务分类管理；②敏感词管理；③快捷回复；④操作权限管理）的吻合契合程度。方案合理可行，符合采购需求的每项得1分，存在欠缺的每项得0.5分，不合理或未提供方案的不得分，</w:t>
            </w:r>
            <w:r>
              <w:rPr>
                <w:rFonts w:hint="eastAsia" w:ascii="宋体" w:hAnsi="宋体" w:eastAsia="宋体" w:cs="宋体"/>
                <w:b w:val="0"/>
                <w:bCs w:val="0"/>
                <w:color w:val="auto"/>
                <w:sz w:val="21"/>
                <w:szCs w:val="21"/>
                <w:highlight w:val="none"/>
                <w:lang w:val="zh-TW"/>
              </w:rPr>
              <w:t>最高</w:t>
            </w:r>
            <w:r>
              <w:rPr>
                <w:rFonts w:hint="eastAsia" w:ascii="宋体" w:hAnsi="宋体" w:eastAsia="宋体" w:cs="宋体"/>
                <w:b w:val="0"/>
                <w:bCs w:val="0"/>
                <w:color w:val="auto"/>
                <w:sz w:val="21"/>
                <w:szCs w:val="21"/>
                <w:highlight w:val="none"/>
                <w:lang w:val="en-US" w:eastAsia="zh-CN"/>
              </w:rPr>
              <w:t>得</w:t>
            </w:r>
            <w:r>
              <w:rPr>
                <w:rFonts w:hint="eastAsia" w:ascii="宋体" w:hAnsi="宋体" w:eastAsia="宋体" w:cs="宋体"/>
                <w:b w:val="0"/>
                <w:bCs w:val="0"/>
                <w:color w:val="auto"/>
                <w:sz w:val="21"/>
                <w:szCs w:val="21"/>
                <w:highlight w:val="none"/>
                <w:lang w:val="zh-TW"/>
              </w:rPr>
              <w:t>4分。</w:t>
            </w:r>
          </w:p>
        </w:tc>
        <w:tc>
          <w:tcPr>
            <w:tcW w:w="299" w:type="pct"/>
            <w:vAlign w:val="center"/>
          </w:tcPr>
          <w:p w14:paraId="0B4AD102">
            <w:pPr>
              <w:snapToGrid w:val="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4</w:t>
            </w:r>
          </w:p>
        </w:tc>
        <w:tc>
          <w:tcPr>
            <w:tcW w:w="524" w:type="pct"/>
            <w:vAlign w:val="center"/>
          </w:tcPr>
          <w:p w14:paraId="12041F36">
            <w:pPr>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主观</w:t>
            </w:r>
          </w:p>
        </w:tc>
        <w:tc>
          <w:tcPr>
            <w:tcW w:w="739" w:type="pct"/>
            <w:vAlign w:val="center"/>
          </w:tcPr>
          <w:p w14:paraId="75351892">
            <w:pPr>
              <w:snapToGrid w:val="0"/>
              <w:jc w:val="center"/>
              <w:rPr>
                <w:rFonts w:hint="eastAsia" w:ascii="宋体" w:hAnsi="宋体" w:eastAsia="宋体" w:cs="宋体"/>
                <w:b w:val="0"/>
                <w:bCs w:val="0"/>
                <w:color w:val="auto"/>
                <w:sz w:val="21"/>
                <w:szCs w:val="21"/>
                <w:highlight w:val="none"/>
              </w:rPr>
            </w:pPr>
          </w:p>
        </w:tc>
      </w:tr>
      <w:tr w14:paraId="75B5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Align w:val="center"/>
          </w:tcPr>
          <w:p w14:paraId="10423B6B">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657" w:type="pct"/>
            <w:vMerge w:val="continue"/>
            <w:vAlign w:val="center"/>
          </w:tcPr>
          <w:p w14:paraId="4702F613">
            <w:pPr>
              <w:snapToGrid w:val="0"/>
              <w:jc w:val="center"/>
              <w:rPr>
                <w:rFonts w:hint="eastAsia" w:ascii="宋体" w:hAnsi="宋体" w:eastAsia="宋体" w:cs="宋体"/>
                <w:b w:val="0"/>
                <w:bCs w:val="0"/>
                <w:color w:val="auto"/>
                <w:kern w:val="0"/>
                <w:sz w:val="21"/>
                <w:szCs w:val="21"/>
                <w:highlight w:val="none"/>
              </w:rPr>
            </w:pPr>
          </w:p>
        </w:tc>
        <w:tc>
          <w:tcPr>
            <w:tcW w:w="2491" w:type="pct"/>
            <w:vAlign w:val="center"/>
          </w:tcPr>
          <w:p w14:paraId="7EF48149">
            <w:pPr>
              <w:snapToGrid w:val="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投标人所提供的会话能力管理方案，与采购需求内容（①访客会话；②坐席会话）的吻合契合程度。方案合理可行，符合采购需求的每项得2分，存在欠缺的每项得1分，不合理或未提供方案的不得分，最高得4分。</w:t>
            </w:r>
          </w:p>
        </w:tc>
        <w:tc>
          <w:tcPr>
            <w:tcW w:w="299" w:type="pct"/>
            <w:vAlign w:val="center"/>
          </w:tcPr>
          <w:p w14:paraId="4B6C9082">
            <w:pPr>
              <w:snapToGrid w:val="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4</w:t>
            </w:r>
          </w:p>
        </w:tc>
        <w:tc>
          <w:tcPr>
            <w:tcW w:w="524" w:type="pct"/>
            <w:vAlign w:val="center"/>
          </w:tcPr>
          <w:p w14:paraId="76A4DABF">
            <w:pPr>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主观</w:t>
            </w:r>
          </w:p>
        </w:tc>
        <w:tc>
          <w:tcPr>
            <w:tcW w:w="739" w:type="pct"/>
            <w:vAlign w:val="center"/>
          </w:tcPr>
          <w:p w14:paraId="4B07790C">
            <w:pPr>
              <w:snapToGrid w:val="0"/>
              <w:jc w:val="center"/>
              <w:rPr>
                <w:rFonts w:hint="eastAsia" w:ascii="宋体" w:hAnsi="宋体" w:eastAsia="宋体" w:cs="宋体"/>
                <w:b w:val="0"/>
                <w:bCs w:val="0"/>
                <w:color w:val="auto"/>
                <w:sz w:val="21"/>
                <w:szCs w:val="21"/>
                <w:highlight w:val="none"/>
              </w:rPr>
            </w:pPr>
          </w:p>
        </w:tc>
      </w:tr>
      <w:tr w14:paraId="2E36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Align w:val="center"/>
          </w:tcPr>
          <w:p w14:paraId="51F2FE95">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w:t>
            </w:r>
          </w:p>
        </w:tc>
        <w:tc>
          <w:tcPr>
            <w:tcW w:w="657" w:type="pct"/>
            <w:vMerge w:val="continue"/>
            <w:vAlign w:val="center"/>
          </w:tcPr>
          <w:p w14:paraId="249E1A1D">
            <w:pPr>
              <w:snapToGrid w:val="0"/>
              <w:jc w:val="center"/>
              <w:rPr>
                <w:rFonts w:hint="eastAsia" w:ascii="宋体" w:hAnsi="宋体" w:eastAsia="宋体" w:cs="宋体"/>
                <w:b w:val="0"/>
                <w:bCs w:val="0"/>
                <w:color w:val="auto"/>
                <w:sz w:val="21"/>
                <w:szCs w:val="21"/>
                <w:highlight w:val="none"/>
                <w:lang w:val="en-US" w:eastAsia="zh-CN"/>
              </w:rPr>
            </w:pPr>
          </w:p>
        </w:tc>
        <w:tc>
          <w:tcPr>
            <w:tcW w:w="2491" w:type="pct"/>
            <w:vAlign w:val="center"/>
          </w:tcPr>
          <w:p w14:paraId="304A9AD0">
            <w:pPr>
              <w:snapToGrid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所提供的其他方案，与采购需求内容（①留言功能、质检管理；②知识库管理、智能辅助；③客户信息管理、报表系统；④转办单管理、不满意件管理）的吻合契合程度。方案合理可行，符合采购需求的每项得2分，存在欠缺的每项得1分，不合理或未提供方案的不得分，最高得8分。</w:t>
            </w:r>
          </w:p>
        </w:tc>
        <w:tc>
          <w:tcPr>
            <w:tcW w:w="299" w:type="pct"/>
            <w:vAlign w:val="center"/>
          </w:tcPr>
          <w:p w14:paraId="49B4C86B">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p>
        </w:tc>
        <w:tc>
          <w:tcPr>
            <w:tcW w:w="524" w:type="pct"/>
            <w:vAlign w:val="center"/>
          </w:tcPr>
          <w:p w14:paraId="438E84B0">
            <w:pPr>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主观</w:t>
            </w:r>
          </w:p>
        </w:tc>
        <w:tc>
          <w:tcPr>
            <w:tcW w:w="739" w:type="pct"/>
            <w:vAlign w:val="center"/>
          </w:tcPr>
          <w:p w14:paraId="72B0C823">
            <w:pPr>
              <w:snapToGrid w:val="0"/>
              <w:jc w:val="center"/>
              <w:rPr>
                <w:rFonts w:hint="eastAsia" w:ascii="宋体" w:hAnsi="宋体" w:eastAsia="宋体" w:cs="宋体"/>
                <w:b w:val="0"/>
                <w:bCs w:val="0"/>
                <w:color w:val="auto"/>
                <w:sz w:val="21"/>
                <w:szCs w:val="21"/>
                <w:highlight w:val="none"/>
              </w:rPr>
            </w:pPr>
          </w:p>
        </w:tc>
      </w:tr>
      <w:tr w14:paraId="3241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Align w:val="center"/>
          </w:tcPr>
          <w:p w14:paraId="2AD98766">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p>
        </w:tc>
        <w:tc>
          <w:tcPr>
            <w:tcW w:w="657" w:type="pct"/>
            <w:vMerge w:val="continue"/>
            <w:vAlign w:val="center"/>
          </w:tcPr>
          <w:p w14:paraId="15B1B907">
            <w:pPr>
              <w:snapToGrid w:val="0"/>
              <w:jc w:val="center"/>
              <w:rPr>
                <w:rFonts w:hint="eastAsia" w:ascii="宋体" w:hAnsi="宋体" w:eastAsia="宋体" w:cs="宋体"/>
                <w:b w:val="0"/>
                <w:bCs w:val="0"/>
                <w:color w:val="auto"/>
                <w:sz w:val="21"/>
                <w:szCs w:val="21"/>
                <w:highlight w:val="none"/>
                <w:lang w:val="en-US" w:eastAsia="zh-CN"/>
              </w:rPr>
            </w:pPr>
          </w:p>
        </w:tc>
        <w:tc>
          <w:tcPr>
            <w:tcW w:w="2491" w:type="pct"/>
            <w:vAlign w:val="center"/>
          </w:tcPr>
          <w:p w14:paraId="258A5273">
            <w:pPr>
              <w:snapToGrid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投标人针对采购需求内容（（1）渠道接入能力；（2）接入渠道管理）所作出的承诺，承诺满足采购需求且内容完整的每项得1分，不满足或不提供承诺的不得分，承诺函格式自拟。</w:t>
            </w:r>
          </w:p>
        </w:tc>
        <w:tc>
          <w:tcPr>
            <w:tcW w:w="299" w:type="pct"/>
            <w:vAlign w:val="center"/>
          </w:tcPr>
          <w:p w14:paraId="041EB9C5">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524" w:type="pct"/>
            <w:vAlign w:val="center"/>
          </w:tcPr>
          <w:p w14:paraId="5AF00FA4">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w:t>
            </w:r>
          </w:p>
        </w:tc>
        <w:tc>
          <w:tcPr>
            <w:tcW w:w="739" w:type="pct"/>
            <w:vAlign w:val="center"/>
          </w:tcPr>
          <w:p w14:paraId="6787FE4E">
            <w:pPr>
              <w:snapToGrid w:val="0"/>
              <w:jc w:val="center"/>
              <w:rPr>
                <w:rFonts w:hint="eastAsia" w:ascii="宋体" w:hAnsi="宋体" w:eastAsia="宋体" w:cs="宋体"/>
                <w:b w:val="0"/>
                <w:bCs w:val="0"/>
                <w:color w:val="auto"/>
                <w:sz w:val="21"/>
                <w:szCs w:val="21"/>
                <w:highlight w:val="none"/>
              </w:rPr>
            </w:pPr>
          </w:p>
        </w:tc>
      </w:tr>
      <w:tr w14:paraId="490F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 w:type="pct"/>
            <w:vAlign w:val="center"/>
          </w:tcPr>
          <w:p w14:paraId="23299D9A">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p>
        </w:tc>
        <w:tc>
          <w:tcPr>
            <w:tcW w:w="657" w:type="pct"/>
            <w:vMerge w:val="restart"/>
            <w:vAlign w:val="center"/>
          </w:tcPr>
          <w:p w14:paraId="05A5B843">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在线客服机器人方案</w:t>
            </w:r>
          </w:p>
        </w:tc>
        <w:tc>
          <w:tcPr>
            <w:tcW w:w="2491" w:type="pct"/>
            <w:vAlign w:val="center"/>
          </w:tcPr>
          <w:p w14:paraId="1939F127">
            <w:pPr>
              <w:snapToGrid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所提供的在线客服机器人方案，与采购需求内容（①客服机器人需提供全天7*24小时不间断服务，工作时间访客可转入人工客服；②系统建立问答知识库，以常见问题以及对应答案为内容，可进行更新维护；③系统支持自定义模型，语义识别，多轮对话等）的吻合契合程度。方案合理可行，符合采购需求的每项得2分，存在欠缺的每项得1分，不合理或未提供方案的不得分，最高得6分。</w:t>
            </w:r>
          </w:p>
        </w:tc>
        <w:tc>
          <w:tcPr>
            <w:tcW w:w="299" w:type="pct"/>
            <w:vAlign w:val="center"/>
          </w:tcPr>
          <w:p w14:paraId="305460C0">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524" w:type="pct"/>
            <w:vAlign w:val="center"/>
          </w:tcPr>
          <w:p w14:paraId="56E4E41F">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w:t>
            </w:r>
          </w:p>
        </w:tc>
        <w:tc>
          <w:tcPr>
            <w:tcW w:w="739" w:type="pct"/>
            <w:vAlign w:val="center"/>
          </w:tcPr>
          <w:p w14:paraId="30CA1D7C">
            <w:pPr>
              <w:snapToGrid w:val="0"/>
              <w:jc w:val="center"/>
              <w:rPr>
                <w:rFonts w:hint="eastAsia" w:ascii="宋体" w:hAnsi="宋体" w:eastAsia="宋体" w:cs="宋体"/>
                <w:b w:val="0"/>
                <w:bCs w:val="0"/>
                <w:color w:val="auto"/>
                <w:sz w:val="21"/>
                <w:szCs w:val="21"/>
                <w:highlight w:val="none"/>
              </w:rPr>
            </w:pPr>
          </w:p>
        </w:tc>
      </w:tr>
      <w:tr w14:paraId="7287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Align w:val="center"/>
          </w:tcPr>
          <w:p w14:paraId="7A065209">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w:t>
            </w:r>
          </w:p>
        </w:tc>
        <w:tc>
          <w:tcPr>
            <w:tcW w:w="657" w:type="pct"/>
            <w:vMerge w:val="continue"/>
            <w:vAlign w:val="center"/>
          </w:tcPr>
          <w:p w14:paraId="6CA34577">
            <w:pPr>
              <w:snapToGrid w:val="0"/>
              <w:jc w:val="center"/>
              <w:rPr>
                <w:rFonts w:hint="eastAsia" w:ascii="宋体" w:hAnsi="宋体" w:eastAsia="宋体" w:cs="宋体"/>
                <w:b w:val="0"/>
                <w:bCs w:val="0"/>
                <w:color w:val="auto"/>
                <w:sz w:val="21"/>
                <w:szCs w:val="21"/>
                <w:highlight w:val="none"/>
                <w:lang w:val="en-US" w:eastAsia="zh-CN"/>
              </w:rPr>
            </w:pPr>
          </w:p>
        </w:tc>
        <w:tc>
          <w:tcPr>
            <w:tcW w:w="2491" w:type="pct"/>
            <w:vAlign w:val="center"/>
          </w:tcPr>
          <w:p w14:paraId="17BBEC63">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所提供的在线客服机器人方案，与采购需求内容（①知识库维护，包括知识库上传和维护，如遇知识库紧急更新的情况；②供应商评估后反馈更新时间，如更新时间过长，在线客服机器人针对更新问题引导至人工客服）的吻合契合程度。方案合理可行，符合采购需求的每项得2分，存在欠缺的每项得1分，不合理或未提供方案的不得分，最高得4分。</w:t>
            </w:r>
          </w:p>
        </w:tc>
        <w:tc>
          <w:tcPr>
            <w:tcW w:w="299" w:type="pct"/>
            <w:vAlign w:val="center"/>
          </w:tcPr>
          <w:p w14:paraId="63A552CD">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524" w:type="pct"/>
            <w:vAlign w:val="center"/>
          </w:tcPr>
          <w:p w14:paraId="3A54FD79">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w:t>
            </w:r>
          </w:p>
        </w:tc>
        <w:tc>
          <w:tcPr>
            <w:tcW w:w="739" w:type="pct"/>
            <w:vAlign w:val="center"/>
          </w:tcPr>
          <w:p w14:paraId="1A5C1349">
            <w:pPr>
              <w:snapToGrid w:val="0"/>
              <w:jc w:val="center"/>
              <w:rPr>
                <w:rFonts w:hint="eastAsia" w:ascii="宋体" w:hAnsi="宋体" w:eastAsia="宋体" w:cs="宋体"/>
                <w:b w:val="0"/>
                <w:bCs w:val="0"/>
                <w:color w:val="auto"/>
                <w:sz w:val="21"/>
                <w:szCs w:val="21"/>
                <w:highlight w:val="none"/>
              </w:rPr>
            </w:pPr>
          </w:p>
        </w:tc>
      </w:tr>
      <w:tr w14:paraId="5493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Align w:val="center"/>
          </w:tcPr>
          <w:p w14:paraId="5C2DCF21">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w:t>
            </w:r>
          </w:p>
        </w:tc>
        <w:tc>
          <w:tcPr>
            <w:tcW w:w="657" w:type="pct"/>
            <w:vMerge w:val="continue"/>
            <w:vAlign w:val="center"/>
          </w:tcPr>
          <w:p w14:paraId="39641A8B">
            <w:pPr>
              <w:snapToGrid w:val="0"/>
              <w:jc w:val="center"/>
              <w:rPr>
                <w:rFonts w:hint="eastAsia" w:ascii="宋体" w:hAnsi="宋体" w:eastAsia="宋体" w:cs="宋体"/>
                <w:b w:val="0"/>
                <w:bCs w:val="0"/>
                <w:color w:val="auto"/>
                <w:sz w:val="21"/>
                <w:szCs w:val="21"/>
                <w:highlight w:val="none"/>
                <w:lang w:val="en-US" w:eastAsia="zh-CN"/>
              </w:rPr>
            </w:pPr>
          </w:p>
        </w:tc>
        <w:tc>
          <w:tcPr>
            <w:tcW w:w="2491" w:type="pct"/>
            <w:vAlign w:val="center"/>
          </w:tcPr>
          <w:p w14:paraId="5CD2961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000000"/>
                <w:sz w:val="21"/>
                <w:szCs w:val="21"/>
                <w:highlight w:val="none"/>
                <w:lang w:eastAsia="zh-CN"/>
              </w:rPr>
              <w:t>投标人提供的</w:t>
            </w:r>
            <w:r>
              <w:rPr>
                <w:rFonts w:hint="eastAsia" w:ascii="宋体" w:hAnsi="宋体" w:eastAsia="宋体" w:cs="宋体"/>
                <w:b w:val="0"/>
                <w:bCs w:val="0"/>
                <w:color w:val="000000"/>
                <w:sz w:val="21"/>
                <w:szCs w:val="21"/>
                <w:highlight w:val="none"/>
              </w:rPr>
              <w:t>在线客服</w:t>
            </w:r>
            <w:r>
              <w:rPr>
                <w:rFonts w:hint="eastAsia" w:ascii="宋体" w:hAnsi="宋体" w:eastAsia="宋体" w:cs="宋体"/>
                <w:b w:val="0"/>
                <w:bCs w:val="0"/>
                <w:color w:val="000000"/>
                <w:sz w:val="21"/>
                <w:szCs w:val="21"/>
                <w:highlight w:val="none"/>
                <w:lang w:eastAsia="zh-CN"/>
              </w:rPr>
              <w:t>机器人方案，根据采购人需求：①做好与</w:t>
            </w:r>
            <w:r>
              <w:rPr>
                <w:rFonts w:hint="eastAsia" w:ascii="宋体" w:hAnsi="宋体" w:eastAsia="宋体" w:cs="宋体"/>
                <w:b w:val="0"/>
                <w:bCs w:val="0"/>
                <w:color w:val="000000"/>
                <w:sz w:val="21"/>
                <w:szCs w:val="21"/>
                <w:highlight w:val="none"/>
              </w:rPr>
              <w:t>杭州公积金中心官方网站、微信公众号、浙江政务服务网、杭州城市大脑APP</w:t>
            </w:r>
            <w:r>
              <w:rPr>
                <w:rFonts w:hint="eastAsia" w:ascii="宋体" w:hAnsi="宋体" w:eastAsia="宋体" w:cs="宋体"/>
                <w:b w:val="0"/>
                <w:bCs w:val="0"/>
                <w:color w:val="000000"/>
                <w:sz w:val="21"/>
                <w:szCs w:val="21"/>
                <w:highlight w:val="none"/>
                <w:lang w:eastAsia="zh-CN"/>
              </w:rPr>
              <w:t>平台等渠道的链接和运维，并</w:t>
            </w:r>
            <w:r>
              <w:rPr>
                <w:rFonts w:hint="eastAsia" w:ascii="宋体" w:hAnsi="宋体" w:eastAsia="宋体" w:cs="宋体"/>
                <w:color w:val="000000"/>
                <w:sz w:val="21"/>
                <w:szCs w:val="21"/>
                <w:highlight w:val="none"/>
              </w:rPr>
              <w:t>配合</w:t>
            </w:r>
            <w:r>
              <w:rPr>
                <w:rFonts w:hint="eastAsia" w:ascii="宋体" w:hAnsi="宋体" w:eastAsia="宋体" w:cs="宋体"/>
                <w:color w:val="000000"/>
                <w:sz w:val="21"/>
                <w:szCs w:val="21"/>
                <w:highlight w:val="none"/>
                <w:lang w:val="en-US" w:eastAsia="zh-CN"/>
              </w:rPr>
              <w:t>采购人</w:t>
            </w:r>
            <w:r>
              <w:rPr>
                <w:rFonts w:hint="eastAsia" w:ascii="宋体" w:hAnsi="宋体" w:eastAsia="宋体" w:cs="宋体"/>
                <w:color w:val="000000"/>
                <w:sz w:val="21"/>
                <w:szCs w:val="21"/>
                <w:highlight w:val="none"/>
              </w:rPr>
              <w:t>拓展渠道</w:t>
            </w:r>
            <w:r>
              <w:rPr>
                <w:rFonts w:hint="eastAsia" w:ascii="宋体" w:hAnsi="宋体" w:eastAsia="宋体" w:cs="宋体"/>
                <w:color w:val="000000"/>
                <w:sz w:val="21"/>
                <w:szCs w:val="21"/>
                <w:highlight w:val="none"/>
                <w:lang w:eastAsia="zh-CN"/>
              </w:rPr>
              <w:t>；②实现</w:t>
            </w:r>
            <w:r>
              <w:rPr>
                <w:rFonts w:hint="eastAsia" w:ascii="宋体" w:hAnsi="宋体" w:eastAsia="宋体" w:cs="宋体"/>
                <w:color w:val="000000"/>
                <w:sz w:val="21"/>
                <w:szCs w:val="21"/>
                <w:highlight w:val="none"/>
              </w:rPr>
              <w:t>浙江政务服务网接入渠道</w:t>
            </w:r>
            <w:r>
              <w:rPr>
                <w:rFonts w:hint="eastAsia" w:ascii="宋体" w:hAnsi="宋体" w:eastAsia="宋体" w:cs="宋体"/>
                <w:color w:val="000000"/>
                <w:sz w:val="21"/>
                <w:szCs w:val="21"/>
                <w:highlight w:val="none"/>
                <w:lang w:eastAsia="zh-CN"/>
              </w:rPr>
              <w:t>在线导办</w:t>
            </w:r>
            <w:r>
              <w:rPr>
                <w:rFonts w:hint="eastAsia" w:ascii="宋体" w:hAnsi="宋体" w:eastAsia="宋体" w:cs="宋体"/>
                <w:color w:val="000000"/>
                <w:sz w:val="21"/>
                <w:szCs w:val="21"/>
                <w:highlight w:val="none"/>
              </w:rPr>
              <w:t>。</w:t>
            </w:r>
            <w:r>
              <w:rPr>
                <w:rFonts w:hint="eastAsia" w:ascii="宋体" w:hAnsi="宋体" w:eastAsia="宋体" w:cs="宋体"/>
                <w:b w:val="0"/>
                <w:bCs w:val="0"/>
                <w:color w:val="auto"/>
                <w:sz w:val="21"/>
                <w:szCs w:val="21"/>
                <w:highlight w:val="none"/>
                <w:lang w:val="en-US" w:eastAsia="zh-CN"/>
              </w:rPr>
              <w:t>方案符合采购需求的每项得2.5分，存在欠缺的每项得1分，不合理或未提供方案的不得分，最高得5分。</w:t>
            </w:r>
          </w:p>
        </w:tc>
        <w:tc>
          <w:tcPr>
            <w:tcW w:w="299" w:type="pct"/>
            <w:vAlign w:val="center"/>
          </w:tcPr>
          <w:p w14:paraId="1F86D4E9">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５</w:t>
            </w:r>
          </w:p>
        </w:tc>
        <w:tc>
          <w:tcPr>
            <w:tcW w:w="524" w:type="pct"/>
            <w:vAlign w:val="center"/>
          </w:tcPr>
          <w:p w14:paraId="44A635E7">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w:t>
            </w:r>
          </w:p>
        </w:tc>
        <w:tc>
          <w:tcPr>
            <w:tcW w:w="739" w:type="pct"/>
            <w:vAlign w:val="center"/>
          </w:tcPr>
          <w:p w14:paraId="4D4F4AE6">
            <w:pPr>
              <w:snapToGrid w:val="0"/>
              <w:jc w:val="center"/>
              <w:rPr>
                <w:rFonts w:hint="eastAsia" w:ascii="宋体" w:hAnsi="宋体" w:eastAsia="宋体" w:cs="宋体"/>
                <w:b w:val="0"/>
                <w:bCs w:val="0"/>
                <w:color w:val="auto"/>
                <w:sz w:val="21"/>
                <w:szCs w:val="21"/>
                <w:highlight w:val="none"/>
              </w:rPr>
            </w:pPr>
          </w:p>
        </w:tc>
      </w:tr>
      <w:tr w14:paraId="0305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Align w:val="center"/>
          </w:tcPr>
          <w:p w14:paraId="0371A0BB">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12</w:t>
            </w:r>
          </w:p>
        </w:tc>
        <w:tc>
          <w:tcPr>
            <w:tcW w:w="657" w:type="pct"/>
            <w:vAlign w:val="center"/>
          </w:tcPr>
          <w:p w14:paraId="11D5DCD2">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在线视频和</w:t>
            </w:r>
            <w:r>
              <w:rPr>
                <w:rFonts w:hint="eastAsia" w:ascii="宋体" w:hAnsi="宋体" w:eastAsia="宋体" w:cs="宋体"/>
                <w:color w:val="auto"/>
                <w:sz w:val="21"/>
                <w:szCs w:val="21"/>
                <w:highlight w:val="none"/>
              </w:rPr>
              <w:t>用户会话数据分析及归集</w:t>
            </w:r>
            <w:r>
              <w:rPr>
                <w:rFonts w:hint="eastAsia" w:ascii="宋体" w:hAnsi="宋体" w:eastAsia="宋体" w:cs="宋体"/>
                <w:b w:val="0"/>
                <w:bCs w:val="0"/>
                <w:color w:val="auto"/>
                <w:sz w:val="21"/>
                <w:szCs w:val="21"/>
                <w:highlight w:val="none"/>
                <w:lang w:val="en-US" w:eastAsia="zh-CN"/>
              </w:rPr>
              <w:t>方案</w:t>
            </w:r>
          </w:p>
        </w:tc>
        <w:tc>
          <w:tcPr>
            <w:tcW w:w="2491" w:type="pct"/>
            <w:vAlign w:val="center"/>
          </w:tcPr>
          <w:p w14:paraId="1D579BA8">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投标人所提供的（①在线视频；②</w:t>
            </w:r>
            <w:r>
              <w:rPr>
                <w:rFonts w:hint="eastAsia" w:ascii="宋体" w:hAnsi="宋体" w:eastAsia="宋体" w:cs="宋体"/>
                <w:color w:val="auto"/>
                <w:sz w:val="21"/>
                <w:szCs w:val="21"/>
                <w:highlight w:val="none"/>
              </w:rPr>
              <w:t>用户会话数据分析及归集</w:t>
            </w:r>
            <w:r>
              <w:rPr>
                <w:rFonts w:hint="eastAsia" w:ascii="宋体" w:hAnsi="宋体" w:eastAsia="宋体" w:cs="宋体"/>
                <w:b w:val="0"/>
                <w:bCs w:val="0"/>
                <w:color w:val="auto"/>
                <w:sz w:val="21"/>
                <w:szCs w:val="21"/>
                <w:highlight w:val="none"/>
                <w:lang w:val="en-US" w:eastAsia="zh-CN"/>
              </w:rPr>
              <w:t>）方案，与采购需求内容的吻合契合程度。方案合理可行，符合采购需求的每项得2分，存在欠缺的每项得1分，不合理或未提供方案的不得分，最高得4分。</w:t>
            </w:r>
          </w:p>
        </w:tc>
        <w:tc>
          <w:tcPr>
            <w:tcW w:w="299" w:type="pct"/>
            <w:vAlign w:val="center"/>
          </w:tcPr>
          <w:p w14:paraId="140D3797">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524" w:type="pct"/>
            <w:vAlign w:val="center"/>
          </w:tcPr>
          <w:p w14:paraId="08C75738">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w:t>
            </w:r>
          </w:p>
        </w:tc>
        <w:tc>
          <w:tcPr>
            <w:tcW w:w="739" w:type="pct"/>
            <w:vAlign w:val="center"/>
          </w:tcPr>
          <w:p w14:paraId="5AA939AB">
            <w:pPr>
              <w:snapToGrid w:val="0"/>
              <w:jc w:val="center"/>
              <w:rPr>
                <w:rFonts w:hint="eastAsia" w:ascii="宋体" w:hAnsi="宋体" w:eastAsia="宋体" w:cs="宋体"/>
                <w:b w:val="0"/>
                <w:bCs w:val="0"/>
                <w:color w:val="auto"/>
                <w:sz w:val="21"/>
                <w:szCs w:val="21"/>
                <w:highlight w:val="none"/>
              </w:rPr>
            </w:pPr>
          </w:p>
        </w:tc>
      </w:tr>
      <w:tr w14:paraId="3FA0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 w:type="pct"/>
            <w:vAlign w:val="center"/>
          </w:tcPr>
          <w:p w14:paraId="04600DAA">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13</w:t>
            </w:r>
          </w:p>
        </w:tc>
        <w:tc>
          <w:tcPr>
            <w:tcW w:w="657" w:type="pct"/>
            <w:vMerge w:val="restart"/>
            <w:vAlign w:val="center"/>
          </w:tcPr>
          <w:p w14:paraId="7E697EAF">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坐席服务要求</w:t>
            </w:r>
          </w:p>
        </w:tc>
        <w:tc>
          <w:tcPr>
            <w:tcW w:w="2491" w:type="pct"/>
            <w:vAlign w:val="center"/>
          </w:tcPr>
          <w:p w14:paraId="674E055E">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投标人针对本项目提供的服务人员，根据坐席人员数量和服务质量是否满足采购需求进行打分。方案完整的，得3分；方案基本完整的，得2分；方案内容欠缺的，得1分；未提及此项不得分。</w:t>
            </w:r>
          </w:p>
        </w:tc>
        <w:tc>
          <w:tcPr>
            <w:tcW w:w="299" w:type="pct"/>
            <w:vAlign w:val="center"/>
          </w:tcPr>
          <w:p w14:paraId="063D4371">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524" w:type="pct"/>
            <w:vAlign w:val="center"/>
          </w:tcPr>
          <w:p w14:paraId="7DEFD4E2">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w:t>
            </w:r>
          </w:p>
        </w:tc>
        <w:tc>
          <w:tcPr>
            <w:tcW w:w="739" w:type="pct"/>
            <w:vAlign w:val="center"/>
          </w:tcPr>
          <w:p w14:paraId="055DA396">
            <w:pPr>
              <w:snapToGrid w:val="0"/>
              <w:jc w:val="center"/>
              <w:rPr>
                <w:rFonts w:hint="eastAsia" w:ascii="宋体" w:hAnsi="宋体" w:eastAsia="宋体" w:cs="宋体"/>
                <w:b w:val="0"/>
                <w:bCs w:val="0"/>
                <w:color w:val="auto"/>
                <w:sz w:val="21"/>
                <w:szCs w:val="21"/>
                <w:highlight w:val="none"/>
              </w:rPr>
            </w:pPr>
          </w:p>
        </w:tc>
      </w:tr>
      <w:tr w14:paraId="08DA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 w:type="pct"/>
            <w:vAlign w:val="center"/>
          </w:tcPr>
          <w:p w14:paraId="5A77BEB6">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w:t>
            </w:r>
          </w:p>
        </w:tc>
        <w:tc>
          <w:tcPr>
            <w:tcW w:w="657" w:type="pct"/>
            <w:vMerge w:val="continue"/>
            <w:vAlign w:val="center"/>
          </w:tcPr>
          <w:p w14:paraId="7486318D">
            <w:pPr>
              <w:snapToGrid w:val="0"/>
              <w:jc w:val="center"/>
              <w:rPr>
                <w:rFonts w:hint="eastAsia" w:ascii="宋体" w:hAnsi="宋体" w:eastAsia="宋体" w:cs="宋体"/>
                <w:b w:val="0"/>
                <w:bCs w:val="0"/>
                <w:color w:val="auto"/>
                <w:sz w:val="21"/>
                <w:szCs w:val="21"/>
                <w:highlight w:val="none"/>
                <w:lang w:val="en-US" w:eastAsia="zh-CN"/>
              </w:rPr>
            </w:pPr>
          </w:p>
        </w:tc>
        <w:tc>
          <w:tcPr>
            <w:tcW w:w="2491" w:type="pct"/>
            <w:vAlign w:val="center"/>
          </w:tcPr>
          <w:p w14:paraId="62CE2C51">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所提供的坐席服务内容方案：①负责各渠道的咨询、建议、投诉、沟通等；②对重大紧急突发信息接收、传递、跟踪等；③按月提交服务工作报告，按年总结项目服务情况等；④做好联络沟通和数据统计分析等工作。方案合理可行的每项得2分，存在欠缺的每项得1分，不合理或未提供方案的不得分，最高得８分。</w:t>
            </w:r>
          </w:p>
        </w:tc>
        <w:tc>
          <w:tcPr>
            <w:tcW w:w="299" w:type="pct"/>
            <w:vAlign w:val="center"/>
          </w:tcPr>
          <w:p w14:paraId="02628A20">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w:t>
            </w:r>
          </w:p>
        </w:tc>
        <w:tc>
          <w:tcPr>
            <w:tcW w:w="524" w:type="pct"/>
            <w:vAlign w:val="center"/>
          </w:tcPr>
          <w:p w14:paraId="1139B77A">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w:t>
            </w:r>
          </w:p>
        </w:tc>
        <w:tc>
          <w:tcPr>
            <w:tcW w:w="739" w:type="pct"/>
            <w:vAlign w:val="center"/>
          </w:tcPr>
          <w:p w14:paraId="5AF4975C">
            <w:pPr>
              <w:snapToGrid w:val="0"/>
              <w:jc w:val="center"/>
              <w:rPr>
                <w:rFonts w:hint="eastAsia" w:ascii="宋体" w:hAnsi="宋体" w:eastAsia="宋体" w:cs="宋体"/>
                <w:b w:val="0"/>
                <w:bCs w:val="0"/>
                <w:color w:val="auto"/>
                <w:sz w:val="21"/>
                <w:szCs w:val="21"/>
                <w:highlight w:val="none"/>
              </w:rPr>
            </w:pPr>
          </w:p>
        </w:tc>
      </w:tr>
      <w:tr w14:paraId="4435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 w:type="pct"/>
            <w:vAlign w:val="center"/>
          </w:tcPr>
          <w:p w14:paraId="6D455D3E">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w:t>
            </w:r>
          </w:p>
        </w:tc>
        <w:tc>
          <w:tcPr>
            <w:tcW w:w="657" w:type="pct"/>
            <w:vAlign w:val="center"/>
          </w:tcPr>
          <w:p w14:paraId="79EA3495">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项目实施方案</w:t>
            </w:r>
          </w:p>
        </w:tc>
        <w:tc>
          <w:tcPr>
            <w:tcW w:w="2491" w:type="pct"/>
            <w:vAlign w:val="center"/>
          </w:tcPr>
          <w:p w14:paraId="0054084F">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实施方案：①提供科学、合理、可操作的项目整体实施方案；②项目合理的实施计划进度；③项目有效的实施保障措施。根据供应商提供的方案能否满足采购需求进行打分，方案完整合理的每项得2分，方案基本完整合理的每项得1分，未提供或不合理的不得分，最多得6分。</w:t>
            </w:r>
          </w:p>
        </w:tc>
        <w:tc>
          <w:tcPr>
            <w:tcW w:w="299" w:type="pct"/>
            <w:vAlign w:val="center"/>
          </w:tcPr>
          <w:p w14:paraId="1F3EB864">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524" w:type="pct"/>
            <w:vAlign w:val="center"/>
          </w:tcPr>
          <w:p w14:paraId="214D7934">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w:t>
            </w:r>
          </w:p>
        </w:tc>
        <w:tc>
          <w:tcPr>
            <w:tcW w:w="739" w:type="pct"/>
            <w:vAlign w:val="center"/>
          </w:tcPr>
          <w:p w14:paraId="0654731C">
            <w:pPr>
              <w:snapToGrid w:val="0"/>
              <w:jc w:val="center"/>
              <w:rPr>
                <w:rFonts w:hint="eastAsia" w:ascii="宋体" w:hAnsi="宋体" w:eastAsia="宋体" w:cs="宋体"/>
                <w:b w:val="0"/>
                <w:bCs w:val="0"/>
                <w:color w:val="auto"/>
                <w:sz w:val="21"/>
                <w:szCs w:val="21"/>
                <w:highlight w:val="none"/>
              </w:rPr>
            </w:pPr>
          </w:p>
        </w:tc>
      </w:tr>
      <w:tr w14:paraId="55BF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 w:type="pct"/>
            <w:vAlign w:val="center"/>
          </w:tcPr>
          <w:p w14:paraId="5244F384">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w:t>
            </w:r>
          </w:p>
        </w:tc>
        <w:tc>
          <w:tcPr>
            <w:tcW w:w="657" w:type="pct"/>
            <w:vAlign w:val="center"/>
          </w:tcPr>
          <w:p w14:paraId="4CCDE024">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培训方案</w:t>
            </w:r>
          </w:p>
        </w:tc>
        <w:tc>
          <w:tcPr>
            <w:tcW w:w="2491" w:type="pct"/>
            <w:vAlign w:val="center"/>
          </w:tcPr>
          <w:p w14:paraId="2D7E1A38">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投标人提出的岗位培训内容，包括①培训目的；②培训计划。方案完整清晰合理的每项得2分，方案基本完整清晰合理的每项得1分，未提供或不合理的不得分，最多得4分。</w:t>
            </w:r>
          </w:p>
        </w:tc>
        <w:tc>
          <w:tcPr>
            <w:tcW w:w="299" w:type="pct"/>
            <w:vAlign w:val="center"/>
          </w:tcPr>
          <w:p w14:paraId="0957DF0D">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524" w:type="pct"/>
            <w:vAlign w:val="center"/>
          </w:tcPr>
          <w:p w14:paraId="516FA4EB">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w:t>
            </w:r>
          </w:p>
        </w:tc>
        <w:tc>
          <w:tcPr>
            <w:tcW w:w="739" w:type="pct"/>
            <w:vAlign w:val="center"/>
          </w:tcPr>
          <w:p w14:paraId="299DB7A4">
            <w:pPr>
              <w:snapToGrid w:val="0"/>
              <w:jc w:val="center"/>
              <w:rPr>
                <w:rFonts w:hint="eastAsia" w:ascii="宋体" w:hAnsi="宋体" w:eastAsia="宋体" w:cs="宋体"/>
                <w:b w:val="0"/>
                <w:bCs w:val="0"/>
                <w:color w:val="auto"/>
                <w:sz w:val="21"/>
                <w:szCs w:val="21"/>
                <w:highlight w:val="none"/>
              </w:rPr>
            </w:pPr>
          </w:p>
        </w:tc>
      </w:tr>
      <w:tr w14:paraId="4059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287" w:type="pct"/>
            <w:vAlign w:val="center"/>
          </w:tcPr>
          <w:p w14:paraId="7D57AEFA">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w:t>
            </w:r>
          </w:p>
        </w:tc>
        <w:tc>
          <w:tcPr>
            <w:tcW w:w="657" w:type="pct"/>
            <w:vAlign w:val="center"/>
          </w:tcPr>
          <w:p w14:paraId="501061AB">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项目经理</w:t>
            </w:r>
          </w:p>
        </w:tc>
        <w:tc>
          <w:tcPr>
            <w:tcW w:w="2491" w:type="pct"/>
            <w:vAlign w:val="center"/>
          </w:tcPr>
          <w:p w14:paraId="548D3462">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拟配备的项目经理同时具有信息系统项目管理师、高级工程师（职称证书）、系统分析师证书的得4分；具有其中一项或两项证书的得1.5分。</w:t>
            </w:r>
          </w:p>
          <w:p w14:paraId="42A316FD">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注：提供相关证书复印件及投标人为其缴纳的近3个月（5、6、7）任意一个月的社保证明材料。</w:t>
            </w:r>
          </w:p>
        </w:tc>
        <w:tc>
          <w:tcPr>
            <w:tcW w:w="299" w:type="pct"/>
            <w:vAlign w:val="center"/>
          </w:tcPr>
          <w:p w14:paraId="6C87EE9B">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524" w:type="pct"/>
            <w:vAlign w:val="center"/>
          </w:tcPr>
          <w:p w14:paraId="5A608AB4">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w:t>
            </w:r>
          </w:p>
        </w:tc>
        <w:tc>
          <w:tcPr>
            <w:tcW w:w="739" w:type="pct"/>
            <w:vAlign w:val="center"/>
          </w:tcPr>
          <w:p w14:paraId="50EB00DD">
            <w:pPr>
              <w:snapToGrid w:val="0"/>
              <w:jc w:val="center"/>
              <w:rPr>
                <w:rFonts w:hint="eastAsia" w:ascii="宋体" w:hAnsi="宋体" w:eastAsia="宋体" w:cs="宋体"/>
                <w:b w:val="0"/>
                <w:bCs w:val="0"/>
                <w:color w:val="auto"/>
                <w:sz w:val="21"/>
                <w:szCs w:val="21"/>
                <w:highlight w:val="none"/>
              </w:rPr>
            </w:pPr>
          </w:p>
        </w:tc>
      </w:tr>
      <w:tr w14:paraId="5973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 w:type="pct"/>
            <w:vAlign w:val="center"/>
          </w:tcPr>
          <w:p w14:paraId="393E97AF">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w:t>
            </w:r>
          </w:p>
        </w:tc>
        <w:tc>
          <w:tcPr>
            <w:tcW w:w="657" w:type="pct"/>
            <w:vAlign w:val="center"/>
          </w:tcPr>
          <w:p w14:paraId="47892CD6">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技术负责人</w:t>
            </w:r>
          </w:p>
        </w:tc>
        <w:tc>
          <w:tcPr>
            <w:tcW w:w="2491" w:type="pct"/>
            <w:vAlign w:val="center"/>
          </w:tcPr>
          <w:p w14:paraId="608D6BE7">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技术负责人同时具备信息系统项目管理师、高级工程师（职称证书）、网络工程师证书的得3分；具有其中一项或两项证书的得1.5分。</w:t>
            </w:r>
          </w:p>
          <w:p w14:paraId="1C17F2FA">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注：提供相关证书复印件及投标人为其缴纳的近3个月（5、6、7）任意一个月的社保证明材料。</w:t>
            </w:r>
          </w:p>
        </w:tc>
        <w:tc>
          <w:tcPr>
            <w:tcW w:w="299" w:type="pct"/>
            <w:vAlign w:val="center"/>
          </w:tcPr>
          <w:p w14:paraId="65D72E47">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524" w:type="pct"/>
            <w:vAlign w:val="center"/>
          </w:tcPr>
          <w:p w14:paraId="3FA522EF">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w:t>
            </w:r>
          </w:p>
        </w:tc>
        <w:tc>
          <w:tcPr>
            <w:tcW w:w="739" w:type="pct"/>
            <w:vAlign w:val="center"/>
          </w:tcPr>
          <w:p w14:paraId="5AF38B94">
            <w:pPr>
              <w:snapToGrid w:val="0"/>
              <w:jc w:val="center"/>
              <w:rPr>
                <w:rFonts w:hint="eastAsia" w:ascii="宋体" w:hAnsi="宋体" w:eastAsia="宋体" w:cs="宋体"/>
                <w:b w:val="0"/>
                <w:bCs w:val="0"/>
                <w:color w:val="auto"/>
                <w:sz w:val="21"/>
                <w:szCs w:val="21"/>
                <w:highlight w:val="none"/>
              </w:rPr>
            </w:pPr>
          </w:p>
        </w:tc>
      </w:tr>
      <w:tr w14:paraId="7B08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 w:type="pct"/>
            <w:vAlign w:val="center"/>
          </w:tcPr>
          <w:p w14:paraId="6016A3DF">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19</w:t>
            </w:r>
          </w:p>
        </w:tc>
        <w:tc>
          <w:tcPr>
            <w:tcW w:w="657" w:type="pct"/>
            <w:vAlign w:val="center"/>
          </w:tcPr>
          <w:p w14:paraId="0E429712">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项目实施人员及时到位保障措施</w:t>
            </w:r>
          </w:p>
        </w:tc>
        <w:tc>
          <w:tcPr>
            <w:tcW w:w="2491" w:type="pct"/>
            <w:vAlign w:val="center"/>
          </w:tcPr>
          <w:p w14:paraId="410D25F4">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项目实施人员及时到位保障措施：根据投标人招聘能力、招聘有效性、人员风控管理、人员应急保障等方面进行打分。</w:t>
            </w:r>
            <w:r>
              <w:rPr>
                <w:rFonts w:hint="eastAsia" w:ascii="宋体" w:hAnsi="宋体" w:eastAsia="宋体" w:cs="宋体"/>
                <w:b w:val="0"/>
                <w:bCs w:val="0"/>
                <w:color w:val="auto"/>
                <w:sz w:val="21"/>
                <w:szCs w:val="21"/>
                <w:highlight w:val="none"/>
              </w:rPr>
              <w:t>保</w:t>
            </w:r>
            <w:r>
              <w:rPr>
                <w:rFonts w:hint="eastAsia" w:ascii="宋体" w:hAnsi="宋体" w:eastAsia="宋体" w:cs="宋体"/>
                <w:b w:val="0"/>
                <w:bCs w:val="0"/>
                <w:color w:val="auto"/>
                <w:sz w:val="21"/>
                <w:szCs w:val="21"/>
                <w:highlight w:val="none"/>
                <w:lang w:val="en-US" w:eastAsia="zh-CN"/>
              </w:rPr>
              <w:t>障</w:t>
            </w:r>
            <w:r>
              <w:rPr>
                <w:rFonts w:hint="eastAsia" w:ascii="宋体" w:hAnsi="宋体" w:eastAsia="宋体" w:cs="宋体"/>
                <w:b w:val="0"/>
                <w:bCs w:val="0"/>
                <w:color w:val="auto"/>
                <w:sz w:val="21"/>
                <w:szCs w:val="21"/>
                <w:highlight w:val="none"/>
              </w:rPr>
              <w:t>措施内容完善且可实施性强得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内容</w:t>
            </w:r>
            <w:r>
              <w:rPr>
                <w:rFonts w:hint="eastAsia" w:ascii="宋体" w:hAnsi="宋体" w:eastAsia="宋体" w:cs="宋体"/>
                <w:b w:val="0"/>
                <w:bCs w:val="0"/>
                <w:color w:val="auto"/>
                <w:sz w:val="21"/>
                <w:szCs w:val="21"/>
                <w:highlight w:val="none"/>
                <w:lang w:val="en-US" w:eastAsia="zh-CN"/>
              </w:rPr>
              <w:t>基本</w:t>
            </w:r>
            <w:r>
              <w:rPr>
                <w:rFonts w:hint="eastAsia" w:ascii="宋体" w:hAnsi="宋体" w:eastAsia="宋体" w:cs="宋体"/>
                <w:b w:val="0"/>
                <w:bCs w:val="0"/>
                <w:color w:val="auto"/>
                <w:sz w:val="21"/>
                <w:szCs w:val="21"/>
                <w:highlight w:val="none"/>
              </w:rPr>
              <w:t>完善或可实施性</w:t>
            </w:r>
            <w:r>
              <w:rPr>
                <w:rFonts w:hint="eastAsia" w:ascii="宋体" w:hAnsi="宋体" w:eastAsia="宋体" w:cs="宋体"/>
                <w:b w:val="0"/>
                <w:bCs w:val="0"/>
                <w:color w:val="auto"/>
                <w:sz w:val="21"/>
                <w:szCs w:val="21"/>
                <w:highlight w:val="none"/>
                <w:lang w:val="en-US" w:eastAsia="zh-CN"/>
              </w:rPr>
              <w:t>较</w:t>
            </w:r>
            <w:r>
              <w:rPr>
                <w:rFonts w:hint="eastAsia" w:ascii="宋体" w:hAnsi="宋体" w:eastAsia="宋体" w:cs="宋体"/>
                <w:b w:val="0"/>
                <w:bCs w:val="0"/>
                <w:color w:val="auto"/>
                <w:sz w:val="21"/>
                <w:szCs w:val="21"/>
                <w:highlight w:val="none"/>
              </w:rPr>
              <w:t>强得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内容不完善或可实施性不强得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分，未提及此项不得分。</w:t>
            </w:r>
            <w:r>
              <w:rPr>
                <w:rFonts w:hint="eastAsia" w:ascii="宋体" w:hAnsi="宋体" w:eastAsia="宋体" w:cs="宋体"/>
                <w:b w:val="0"/>
                <w:bCs w:val="0"/>
                <w:color w:val="auto"/>
                <w:sz w:val="21"/>
                <w:szCs w:val="21"/>
                <w:highlight w:val="none"/>
                <w:lang w:val="en-US" w:eastAsia="zh-CN"/>
              </w:rPr>
              <w:t>最高得4分。</w:t>
            </w:r>
          </w:p>
        </w:tc>
        <w:tc>
          <w:tcPr>
            <w:tcW w:w="299" w:type="pct"/>
            <w:vAlign w:val="center"/>
          </w:tcPr>
          <w:p w14:paraId="44D58F03">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524" w:type="pct"/>
            <w:vAlign w:val="center"/>
          </w:tcPr>
          <w:p w14:paraId="047BCFD8">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w:t>
            </w:r>
          </w:p>
        </w:tc>
        <w:tc>
          <w:tcPr>
            <w:tcW w:w="739" w:type="pct"/>
            <w:vAlign w:val="center"/>
          </w:tcPr>
          <w:p w14:paraId="32ED8B3E">
            <w:pPr>
              <w:snapToGrid w:val="0"/>
              <w:jc w:val="center"/>
              <w:rPr>
                <w:rFonts w:hint="eastAsia" w:ascii="宋体" w:hAnsi="宋体" w:eastAsia="宋体" w:cs="宋体"/>
                <w:b w:val="0"/>
                <w:bCs w:val="0"/>
                <w:color w:val="auto"/>
                <w:sz w:val="21"/>
                <w:szCs w:val="21"/>
                <w:highlight w:val="none"/>
              </w:rPr>
            </w:pPr>
          </w:p>
        </w:tc>
      </w:tr>
      <w:tr w14:paraId="4509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6" w:hRule="atLeast"/>
          <w:jc w:val="center"/>
        </w:trPr>
        <w:tc>
          <w:tcPr>
            <w:tcW w:w="287" w:type="pct"/>
            <w:vAlign w:val="center"/>
          </w:tcPr>
          <w:p w14:paraId="3FAAEF9E">
            <w:pPr>
              <w:snapToGri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20</w:t>
            </w:r>
          </w:p>
        </w:tc>
        <w:tc>
          <w:tcPr>
            <w:tcW w:w="657" w:type="pct"/>
            <w:vAlign w:val="center"/>
          </w:tcPr>
          <w:p w14:paraId="74CC4ED3">
            <w:pPr>
              <w:snapToGri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质量保证方案</w:t>
            </w:r>
          </w:p>
        </w:tc>
        <w:tc>
          <w:tcPr>
            <w:tcW w:w="2491" w:type="pct"/>
            <w:vAlign w:val="center"/>
          </w:tcPr>
          <w:p w14:paraId="7CC2C804">
            <w:pPr>
              <w:autoSpaceDE w:val="0"/>
              <w:autoSpaceDN w:val="0"/>
              <w:adjustRightInd w:val="0"/>
              <w:spacing w:line="240" w:lineRule="auto"/>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投标人承诺提供全年工作日9:00-21：00；非工作日9:00-17:00的坐席服务，承诺内容符合要求的得4分，不提供或不符合的不得分，承诺函格式自拟。</w:t>
            </w:r>
          </w:p>
        </w:tc>
        <w:tc>
          <w:tcPr>
            <w:tcW w:w="299" w:type="pct"/>
            <w:vAlign w:val="center"/>
          </w:tcPr>
          <w:p w14:paraId="75E6875D">
            <w:pPr>
              <w:snapToGri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4</w:t>
            </w:r>
          </w:p>
        </w:tc>
        <w:tc>
          <w:tcPr>
            <w:tcW w:w="524" w:type="pct"/>
            <w:vAlign w:val="center"/>
          </w:tcPr>
          <w:p w14:paraId="000E4F10">
            <w:pPr>
              <w:snapToGrid w:val="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客观</w:t>
            </w:r>
          </w:p>
        </w:tc>
        <w:tc>
          <w:tcPr>
            <w:tcW w:w="739" w:type="pct"/>
            <w:vAlign w:val="center"/>
          </w:tcPr>
          <w:p w14:paraId="20BAD4E5">
            <w:pPr>
              <w:snapToGrid w:val="0"/>
              <w:jc w:val="center"/>
              <w:rPr>
                <w:rFonts w:hint="eastAsia" w:ascii="宋体" w:hAnsi="宋体" w:eastAsia="宋体" w:cs="宋体"/>
                <w:b w:val="0"/>
                <w:bCs w:val="0"/>
                <w:color w:val="auto"/>
                <w:kern w:val="2"/>
                <w:sz w:val="21"/>
                <w:szCs w:val="21"/>
                <w:highlight w:val="none"/>
                <w:lang w:val="en-US" w:eastAsia="zh-CN" w:bidi="ar-SA"/>
              </w:rPr>
            </w:pPr>
          </w:p>
        </w:tc>
      </w:tr>
      <w:tr w14:paraId="24CD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287" w:type="pct"/>
            <w:vAlign w:val="center"/>
          </w:tcPr>
          <w:p w14:paraId="3AD0E41B">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w:t>
            </w:r>
          </w:p>
        </w:tc>
        <w:tc>
          <w:tcPr>
            <w:tcW w:w="657" w:type="pct"/>
            <w:vAlign w:val="center"/>
          </w:tcPr>
          <w:p w14:paraId="305A71E2">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系统演示</w:t>
            </w:r>
          </w:p>
        </w:tc>
        <w:tc>
          <w:tcPr>
            <w:tcW w:w="2491" w:type="pct"/>
            <w:vAlign w:val="center"/>
          </w:tcPr>
          <w:p w14:paraId="07363124">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投标人对以下内容进行演示，评委根据演示内容的符合度、完整性进行评分，每项最高得1分：</w:t>
            </w:r>
          </w:p>
          <w:p w14:paraId="3A7872EA">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1.在线客服功能演示（2分）：</w:t>
            </w:r>
          </w:p>
          <w:p w14:paraId="30BBB0FA">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（1）业务分类管理：在线客服系统管理中，客户及业务表单字段支持模板自定义，针对坐席接入情况要求可以按公积金缴存、提取、贷款业务设置分类管理。</w:t>
            </w:r>
          </w:p>
          <w:p w14:paraId="21955108">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（2）敏感词管理：通过敏感词管理，避免聊天过程中对访客信息的泄露，以及避免坐席直接发送不规范用语给访客，影响整个会话体验。</w:t>
            </w:r>
          </w:p>
          <w:p w14:paraId="023042B3">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2.会话能力管理功能演示（1分）：</w:t>
            </w:r>
          </w:p>
          <w:p w14:paraId="3ADA521D">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访客会话的过程中支持文字聊天，可以发送语音、表情图片以及文件，同时支持访客与坐席实时音视频通话，访客端要求支持截图功能，满足截图需求。</w:t>
            </w:r>
          </w:p>
          <w:p w14:paraId="46A31D58">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3.知识库功能演示（1分）：</w:t>
            </w:r>
          </w:p>
          <w:p w14:paraId="5FFEE672">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知识库智能检索：目录分类、查找范围：标题关键字正文、高亮标记、匹配度排序。</w:t>
            </w:r>
          </w:p>
          <w:p w14:paraId="5B41D614">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4.报表系统功能演示（1分）：</w:t>
            </w:r>
          </w:p>
          <w:p w14:paraId="26A42558">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IM监控报表：支持查看当日总对话数、排队放弃数、平均响应时间、平均对话时长、每个座席的状态、接入数/最大接入数、当日对话数、消息数、平均响应时间、平均对话时间。</w:t>
            </w:r>
          </w:p>
          <w:p w14:paraId="530D2240">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演示要求：1、演示时间不得超过15分钟，要求使用实际系统进行演示（可为demo演示或以往</w:t>
            </w:r>
            <w:r>
              <w:rPr>
                <w:rFonts w:hint="eastAsia" w:ascii="宋体" w:hAnsi="宋体" w:eastAsia="宋体" w:cs="宋体"/>
                <w:color w:val="auto"/>
                <w:sz w:val="21"/>
                <w:szCs w:val="21"/>
                <w:highlight w:val="none"/>
              </w:rPr>
              <w:t>已有</w:t>
            </w:r>
            <w:r>
              <w:rPr>
                <w:rFonts w:hint="eastAsia" w:ascii="宋体" w:hAnsi="宋体" w:eastAsia="宋体" w:cs="宋体"/>
                <w:color w:val="auto"/>
                <w:sz w:val="21"/>
                <w:szCs w:val="21"/>
                <w:highlight w:val="none"/>
                <w:lang w:val="en-US" w:eastAsia="zh-CN"/>
              </w:rPr>
              <w:t>的类似</w:t>
            </w:r>
            <w:r>
              <w:rPr>
                <w:rFonts w:hint="eastAsia" w:ascii="宋体" w:hAnsi="宋体" w:eastAsia="宋体" w:cs="宋体"/>
                <w:color w:val="auto"/>
                <w:sz w:val="21"/>
                <w:szCs w:val="21"/>
                <w:highlight w:val="none"/>
              </w:rPr>
              <w:t>案例的功能演示</w:t>
            </w:r>
            <w:r>
              <w:rPr>
                <w:rFonts w:hint="eastAsia" w:ascii="宋体" w:hAnsi="宋体" w:eastAsia="宋体" w:cs="宋体"/>
                <w:b w:val="0"/>
                <w:bCs w:val="0"/>
                <w:color w:val="auto"/>
                <w:sz w:val="21"/>
                <w:szCs w:val="21"/>
                <w:highlight w:val="none"/>
                <w:lang w:val="en-US" w:eastAsia="zh-CN"/>
              </w:rPr>
              <w:t>），如只提供通过PPT、图片、WORD 等方式演示的，视为不满足演示要求，不得分。</w:t>
            </w:r>
          </w:p>
          <w:p w14:paraId="44FB1334">
            <w:pPr>
              <w:autoSpaceDE w:val="0"/>
              <w:autoSpaceDN w:val="0"/>
              <w:adjustRightInd w:val="0"/>
              <w:spacing w:line="24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2、投标人应将演示内容提前录制成视频，以U盘的形式</w:t>
            </w:r>
            <w:r>
              <w:rPr>
                <w:rFonts w:hint="eastAsia" w:ascii="宋体" w:hAnsi="宋体" w:eastAsia="宋体" w:cs="宋体"/>
                <w:b w:val="0"/>
                <w:bCs w:val="0"/>
                <w:color w:val="auto"/>
                <w:sz w:val="21"/>
                <w:szCs w:val="21"/>
                <w:highlight w:val="none"/>
              </w:rPr>
              <w:t>在投标截止时间前递交（可邮寄），U盘单独</w:t>
            </w:r>
            <w:r>
              <w:rPr>
                <w:rFonts w:hint="eastAsia" w:ascii="宋体" w:hAnsi="宋体" w:eastAsia="宋体" w:cs="宋体"/>
                <w:b w:val="0"/>
                <w:bCs w:val="0"/>
                <w:color w:val="auto"/>
                <w:sz w:val="21"/>
                <w:szCs w:val="21"/>
                <w:highlight w:val="none"/>
                <w:lang w:bidi="ar"/>
              </w:rPr>
              <w:t>密封包装，</w:t>
            </w:r>
            <w:r>
              <w:rPr>
                <w:rFonts w:hint="eastAsia" w:ascii="宋体" w:hAnsi="宋体" w:eastAsia="宋体" w:cs="宋体"/>
                <w:b w:val="0"/>
                <w:bCs w:val="0"/>
                <w:color w:val="auto"/>
                <w:sz w:val="21"/>
                <w:szCs w:val="21"/>
                <w:highlight w:val="none"/>
              </w:rPr>
              <w:t>密封袋上须标注或体现供应商单位名称及“</w:t>
            </w:r>
            <w:r>
              <w:rPr>
                <w:rFonts w:hint="eastAsia" w:ascii="宋体" w:hAnsi="宋体" w:eastAsia="宋体" w:cs="宋体"/>
                <w:b w:val="0"/>
                <w:bCs w:val="0"/>
                <w:color w:val="auto"/>
                <w:sz w:val="21"/>
                <w:szCs w:val="21"/>
                <w:highlight w:val="none"/>
                <w:lang w:val="en-US" w:eastAsia="zh-CN"/>
              </w:rPr>
              <w:t>系统演示</w:t>
            </w:r>
            <w:r>
              <w:rPr>
                <w:rFonts w:hint="eastAsia" w:ascii="宋体" w:hAnsi="宋体" w:eastAsia="宋体" w:cs="宋体"/>
                <w:b w:val="0"/>
                <w:bCs w:val="0"/>
                <w:color w:val="auto"/>
                <w:sz w:val="21"/>
                <w:szCs w:val="21"/>
                <w:highlight w:val="none"/>
              </w:rPr>
              <w:t>”，递交地址与“</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须知前附表”中的“</w:t>
            </w:r>
            <w:r>
              <w:rPr>
                <w:rFonts w:hint="eastAsia" w:ascii="宋体" w:hAnsi="宋体" w:eastAsia="宋体" w:cs="宋体"/>
                <w:b w:val="0"/>
                <w:color w:val="auto"/>
                <w:sz w:val="21"/>
                <w:szCs w:val="21"/>
                <w:highlight w:val="none"/>
              </w:rPr>
              <w:t>备份投标文件送达地点</w:t>
            </w:r>
            <w:r>
              <w:rPr>
                <w:rFonts w:hint="eastAsia" w:ascii="宋体" w:hAnsi="宋体" w:eastAsia="宋体" w:cs="宋体"/>
                <w:b w:val="0"/>
                <w:color w:val="auto"/>
                <w:sz w:val="21"/>
                <w:szCs w:val="21"/>
                <w:highlight w:val="none"/>
                <w:lang w:val="en-US" w:eastAsia="zh-CN"/>
              </w:rPr>
              <w:t>一致</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未在规定时间内送达或视频无法打开的，此项不得分。</w:t>
            </w:r>
          </w:p>
        </w:tc>
        <w:tc>
          <w:tcPr>
            <w:tcW w:w="299" w:type="pct"/>
            <w:vAlign w:val="center"/>
          </w:tcPr>
          <w:p w14:paraId="6C2BB27F">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524" w:type="pct"/>
            <w:vAlign w:val="center"/>
          </w:tcPr>
          <w:p w14:paraId="11D31F1C">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主观</w:t>
            </w:r>
          </w:p>
        </w:tc>
        <w:tc>
          <w:tcPr>
            <w:tcW w:w="739" w:type="pct"/>
            <w:vAlign w:val="center"/>
          </w:tcPr>
          <w:p w14:paraId="5332D5CC">
            <w:pPr>
              <w:snapToGrid w:val="0"/>
              <w:jc w:val="center"/>
              <w:rPr>
                <w:rFonts w:hint="eastAsia" w:ascii="宋体" w:hAnsi="宋体" w:eastAsia="宋体" w:cs="宋体"/>
                <w:b w:val="0"/>
                <w:bCs w:val="0"/>
                <w:color w:val="auto"/>
                <w:sz w:val="21"/>
                <w:szCs w:val="21"/>
                <w:highlight w:val="none"/>
              </w:rPr>
            </w:pPr>
          </w:p>
        </w:tc>
      </w:tr>
      <w:tr w14:paraId="7D44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7" w:type="pct"/>
            <w:vAlign w:val="center"/>
          </w:tcPr>
          <w:p w14:paraId="61FE0CFF">
            <w:pPr>
              <w:snapToGrid w:val="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22</w:t>
            </w:r>
          </w:p>
        </w:tc>
        <w:tc>
          <w:tcPr>
            <w:tcW w:w="657" w:type="pct"/>
            <w:vAlign w:val="center"/>
          </w:tcPr>
          <w:p w14:paraId="151811E4">
            <w:pPr>
              <w:snapToGrid w:val="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w:t>
            </w:r>
          </w:p>
        </w:tc>
        <w:tc>
          <w:tcPr>
            <w:tcW w:w="2491" w:type="pct"/>
            <w:vAlign w:val="center"/>
          </w:tcPr>
          <w:p w14:paraId="3C28E286">
            <w:pPr>
              <w:snapToGrid w:val="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有效投标报价的最低价作为评标基准价，其最低报价为满分；按［投标报价得分=（评标基准价/投标报价）*10］的计算公式计算。</w:t>
            </w:r>
          </w:p>
          <w:p w14:paraId="02069BB4">
            <w:pPr>
              <w:snapToGrid w:val="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评标过程中，不得去掉报价中的最高报价和最低报价。</w:t>
            </w:r>
          </w:p>
          <w:p w14:paraId="11BD29BF">
            <w:pPr>
              <w:snapToGrid w:val="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299" w:type="pct"/>
            <w:vAlign w:val="center"/>
          </w:tcPr>
          <w:p w14:paraId="323ACA8B">
            <w:pPr>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w:t>
            </w:r>
          </w:p>
        </w:tc>
        <w:tc>
          <w:tcPr>
            <w:tcW w:w="524" w:type="pct"/>
            <w:vAlign w:val="center"/>
          </w:tcPr>
          <w:p w14:paraId="44F3EBF1">
            <w:pPr>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客观</w:t>
            </w:r>
          </w:p>
        </w:tc>
        <w:tc>
          <w:tcPr>
            <w:tcW w:w="739" w:type="pct"/>
            <w:vAlign w:val="center"/>
          </w:tcPr>
          <w:p w14:paraId="5C61FBF1">
            <w:pPr>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p>
        </w:tc>
      </w:tr>
    </w:tbl>
    <w:p w14:paraId="28906673">
      <w:pPr>
        <w:adjustRightInd/>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w:t>
      </w:r>
      <w:r>
        <w:rPr>
          <w:rFonts w:hint="eastAsia" w:ascii="宋体" w:hAnsi="宋体" w:cs="宋体"/>
          <w:color w:val="auto"/>
          <w:kern w:val="0"/>
          <w:sz w:val="24"/>
          <w:highlight w:val="none"/>
        </w:rPr>
        <w:t>技术</w:t>
      </w:r>
      <w:r>
        <w:rPr>
          <w:rFonts w:hint="eastAsia" w:ascii="宋体" w:hAnsi="宋体" w:cs="宋体"/>
          <w:color w:val="auto"/>
          <w:sz w:val="24"/>
          <w:highlight w:val="none"/>
        </w:rPr>
        <w:t>文件部分）时，建议按此目录（序号和内容）提供评标标准相应的商务技术资料。 </w:t>
      </w:r>
    </w:p>
    <w:p w14:paraId="646C8500">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CBC31F4">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665F1A2">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8C347C1">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6BD0E63">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A6DD44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1387D2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A3ECD6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66B16E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263C34E">
      <w:pPr>
        <w:pStyle w:val="132"/>
        <w:spacing w:before="0"/>
        <w:ind w:firstLine="480"/>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FB8C43C">
      <w:pPr>
        <w:pStyle w:val="132"/>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4D5EAA9D">
      <w:pPr>
        <w:pStyle w:val="132"/>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0009D039">
      <w:pPr>
        <w:pStyle w:val="132"/>
        <w:spacing w:before="0"/>
        <w:ind w:firstLine="480"/>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70FABD6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756E23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4F1D9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B0A07F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B564B6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4784F890">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5DDA14A">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rPr>
        <w:t>。</w:t>
      </w:r>
    </w:p>
    <w:p w14:paraId="23C66594">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55D4BD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18BF87">
      <w:pPr>
        <w:spacing w:line="360" w:lineRule="auto"/>
        <w:outlineLvl w:val="0"/>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4A474F1">
      <w:pPr>
        <w:spacing w:line="360" w:lineRule="auto"/>
        <w:ind w:firstLine="472" w:firstLineChars="196"/>
        <w:rPr>
          <w:rFonts w:ascii="宋体" w:hAnsi="宋体" w:cs="宋体"/>
          <w:color w:val="auto"/>
          <w:kern w:val="0"/>
          <w:highlight w:val="none"/>
        </w:rPr>
      </w:pPr>
      <w:r>
        <w:rPr>
          <w:rFonts w:hint="eastAsia" w:ascii="宋体" w:hAnsi="宋体" w:cs="宋体"/>
          <w:b/>
          <w:color w:val="auto"/>
          <w:kern w:val="0"/>
          <w:sz w:val="24"/>
          <w:highlight w:val="none"/>
        </w:rPr>
        <w:t>4.1投标人澄清、说明或者补正。</w:t>
      </w:r>
      <w:r>
        <w:rPr>
          <w:rFonts w:hint="eastAsia" w:ascii="宋体" w:hAnsi="宋体" w:cs="宋体"/>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CAE210B">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F577C0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E513C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B2EC65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16FB3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DC506B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1A6ECE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p>
    <w:p w14:paraId="39162ED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A2FE73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208DB17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5AD1A9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39096FF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4.2.11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1097E4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A59CED2">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en-US"/>
        </w:rPr>
        <w:t>投标文件不满足招标文件的其它实质性要求的；</w:t>
      </w:r>
    </w:p>
    <w:p w14:paraId="00B8F81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03731B72">
      <w:pPr>
        <w:spacing w:line="360" w:lineRule="auto"/>
        <w:ind w:firstLine="480" w:firstLineChars="200"/>
        <w:rPr>
          <w:rFonts w:ascii="宋体" w:hAnsi="宋体" w:cs="宋体"/>
          <w:b/>
          <w:color w:val="auto"/>
          <w:highlight w:val="none"/>
        </w:rPr>
      </w:pPr>
      <w:r>
        <w:rPr>
          <w:rFonts w:hint="eastAsia" w:ascii="宋体" w:hAnsi="宋体" w:cs="宋体"/>
          <w:color w:val="auto"/>
          <w:kern w:val="0"/>
          <w:sz w:val="24"/>
          <w:highlight w:val="none"/>
        </w:rPr>
        <w:t>（以上4.2.2-4.2.1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为符合性审查）</w:t>
      </w:r>
    </w:p>
    <w:p w14:paraId="64D91F23">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BDB02A8">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67B7FD3">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5824EB5D">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9146E1C">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36686665">
      <w:pPr>
        <w:pStyle w:val="26"/>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68D9D7B1">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F8CA7EC">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EBC8D89">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C583060">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EAEF4E1">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5931609">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D19A7A7">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14"/>
    <w:p w14:paraId="2F9D1AE5">
      <w:pPr>
        <w:jc w:val="center"/>
        <w:rPr>
          <w:rFonts w:hint="eastAsia" w:ascii="宋体" w:hAnsi="宋体" w:eastAsia="宋体" w:cs="宋体"/>
          <w:b/>
          <w:color w:val="auto"/>
          <w:sz w:val="36"/>
          <w:szCs w:val="36"/>
          <w:highlight w:val="none"/>
        </w:rPr>
      </w:pPr>
      <w:bookmarkStart w:id="380" w:name="第五部分"/>
      <w:bookmarkStart w:id="381" w:name="_Toc86217003"/>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第五部分 拟签订的合同文本</w:t>
      </w:r>
    </w:p>
    <w:p w14:paraId="333FEE58">
      <w:pPr>
        <w:widowControl/>
        <w:jc w:val="center"/>
        <w:rPr>
          <w:rFonts w:hint="eastAsia" w:ascii="宋体" w:hAnsi="宋体" w:eastAsia="宋体" w:cs="宋体"/>
          <w:color w:val="auto"/>
          <w:sz w:val="44"/>
          <w:szCs w:val="44"/>
          <w:highlight w:val="none"/>
        </w:rPr>
      </w:pPr>
    </w:p>
    <w:p w14:paraId="77501209">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A9573E0">
      <w:pPr>
        <w:spacing w:line="480" w:lineRule="auto"/>
        <w:jc w:val="center"/>
        <w:rPr>
          <w:rFonts w:ascii="宋体" w:hAnsi="宋体" w:cs="宋体"/>
          <w:b/>
          <w:color w:val="auto"/>
          <w:sz w:val="28"/>
          <w:szCs w:val="28"/>
          <w:highlight w:val="none"/>
        </w:rPr>
      </w:pPr>
    </w:p>
    <w:p w14:paraId="386899C3">
      <w:pPr>
        <w:spacing w:line="480" w:lineRule="auto"/>
        <w:jc w:val="center"/>
        <w:rPr>
          <w:rFonts w:ascii="宋体" w:hAnsi="宋体" w:cs="宋体"/>
          <w:b/>
          <w:color w:val="auto"/>
          <w:sz w:val="24"/>
          <w:highlight w:val="none"/>
        </w:rPr>
      </w:pPr>
    </w:p>
    <w:p w14:paraId="451AE41E">
      <w:pPr>
        <w:spacing w:line="480" w:lineRule="auto"/>
        <w:jc w:val="center"/>
        <w:rPr>
          <w:rFonts w:ascii="宋体" w:hAnsi="宋体" w:cs="宋体"/>
          <w:b/>
          <w:color w:val="auto"/>
          <w:sz w:val="24"/>
          <w:highlight w:val="none"/>
        </w:rPr>
      </w:pPr>
    </w:p>
    <w:p w14:paraId="4962439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8B91DA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D0953EC">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069B1FA9">
      <w:pPr>
        <w:spacing w:before="120" w:line="22" w:lineRule="atLeast"/>
        <w:rPr>
          <w:rFonts w:ascii="宋体" w:hAnsi="宋体" w:cs="宋体"/>
          <w:color w:val="auto"/>
          <w:sz w:val="24"/>
          <w:highlight w:val="none"/>
        </w:rPr>
      </w:pPr>
    </w:p>
    <w:p w14:paraId="4E607BF3">
      <w:pPr>
        <w:pStyle w:val="5"/>
        <w:rPr>
          <w:color w:val="auto"/>
          <w:highlight w:val="none"/>
        </w:rPr>
      </w:pPr>
    </w:p>
    <w:p w14:paraId="5A2C4153">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8677F4D">
      <w:pPr>
        <w:pStyle w:val="599"/>
        <w:spacing w:before="120" w:line="22" w:lineRule="atLeast"/>
        <w:rPr>
          <w:rFonts w:ascii="宋体" w:hAnsi="宋体" w:eastAsia="宋体" w:cs="宋体"/>
          <w:color w:val="auto"/>
          <w:szCs w:val="24"/>
          <w:highlight w:val="none"/>
        </w:rPr>
      </w:pPr>
    </w:p>
    <w:p w14:paraId="04E53E3B">
      <w:pPr>
        <w:pStyle w:val="599"/>
        <w:spacing w:before="120" w:line="22" w:lineRule="atLeast"/>
        <w:rPr>
          <w:rFonts w:ascii="宋体" w:hAnsi="宋体" w:eastAsia="宋体" w:cs="宋体"/>
          <w:color w:val="auto"/>
          <w:szCs w:val="24"/>
          <w:highlight w:val="none"/>
        </w:rPr>
      </w:pPr>
    </w:p>
    <w:p w14:paraId="7B87BFA2">
      <w:pPr>
        <w:rPr>
          <w:rFonts w:ascii="宋体" w:hAnsi="宋体" w:cs="宋体"/>
          <w:color w:val="auto"/>
          <w:sz w:val="24"/>
          <w:highlight w:val="none"/>
        </w:rPr>
      </w:pPr>
    </w:p>
    <w:p w14:paraId="52C4681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E62EF7A">
      <w:pPr>
        <w:spacing w:before="120" w:line="22" w:lineRule="atLeast"/>
        <w:rPr>
          <w:rFonts w:ascii="宋体" w:hAnsi="宋体" w:cs="宋体"/>
          <w:color w:val="auto"/>
          <w:sz w:val="24"/>
          <w:highlight w:val="none"/>
        </w:rPr>
      </w:pPr>
    </w:p>
    <w:p w14:paraId="03A05561">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3992A69">
      <w:pPr>
        <w:spacing w:before="120" w:line="22" w:lineRule="atLeast"/>
        <w:rPr>
          <w:rFonts w:ascii="宋体" w:hAnsi="宋体" w:cs="宋体"/>
          <w:color w:val="auto"/>
          <w:sz w:val="24"/>
          <w:highlight w:val="none"/>
        </w:rPr>
      </w:pPr>
    </w:p>
    <w:p w14:paraId="6BD29A1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3B73B4B">
      <w:pPr>
        <w:spacing w:before="120" w:line="22" w:lineRule="atLeast"/>
        <w:rPr>
          <w:rFonts w:ascii="宋体" w:hAnsi="宋体" w:cs="宋体"/>
          <w:color w:val="auto"/>
          <w:sz w:val="24"/>
          <w:highlight w:val="none"/>
        </w:rPr>
      </w:pPr>
    </w:p>
    <w:p w14:paraId="5D88CF1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0E97648">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13FD1641">
      <w:pPr>
        <w:rPr>
          <w:rFonts w:ascii="宋体" w:hAnsi="宋体" w:cs="宋体"/>
          <w:b/>
          <w:color w:val="auto"/>
          <w:sz w:val="24"/>
          <w:highlight w:val="none"/>
        </w:rPr>
      </w:pPr>
    </w:p>
    <w:p w14:paraId="38EAF378">
      <w:pPr>
        <w:pStyle w:val="26"/>
        <w:snapToGrid w:val="0"/>
        <w:spacing w:line="360" w:lineRule="auto"/>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color w:val="auto"/>
          <w:sz w:val="24"/>
          <w:highlight w:val="none"/>
          <w:u w:val="single"/>
          <w:lang w:eastAsia="zh-CN"/>
        </w:rPr>
        <w:t>杭州住房公积金管理中心</w:t>
      </w:r>
      <w:r>
        <w:rPr>
          <w:rFonts w:hint="eastAsia"/>
          <w:color w:val="auto"/>
          <w:sz w:val="24"/>
          <w:highlight w:val="none"/>
          <w:u w:val="single"/>
          <w:lang w:val="en-US" w:eastAsia="zh-CN"/>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color w:val="auto"/>
          <w:sz w:val="24"/>
          <w:highlight w:val="none"/>
          <w:u w:val="single"/>
          <w:lang w:val="en-US" w:eastAsia="zh-CN"/>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color w:val="auto"/>
          <w:sz w:val="24"/>
          <w:highlight w:val="none"/>
          <w:u w:val="single"/>
          <w:lang w:eastAsia="zh-CN"/>
        </w:rPr>
        <w:t>公积金在线客服项目）</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color w:val="auto"/>
          <w:sz w:val="24"/>
          <w:highlight w:val="none"/>
          <w:u w:val="single"/>
          <w:lang w:val="en-US" w:eastAsia="zh-CN"/>
        </w:rPr>
        <w:t>评标委员会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559C90B9">
      <w:pPr>
        <w:pStyle w:val="26"/>
        <w:snapToGrid w:val="0"/>
        <w:spacing w:line="360" w:lineRule="auto"/>
        <w:rPr>
          <w:rFonts w:ascii="宋体" w:hAnsi="宋体"/>
          <w:color w:val="auto"/>
          <w:sz w:val="24"/>
          <w:highlight w:val="none"/>
        </w:rPr>
      </w:pPr>
      <w:r>
        <w:rPr>
          <w:rFonts w:hint="eastAsia" w:ascii="宋体" w:hAnsi="宋体"/>
          <w:color w:val="auto"/>
          <w:sz w:val="24"/>
          <w:highlight w:val="none"/>
          <w:lang w:val="zh-CN"/>
        </w:rPr>
        <w:t>根据《</w:t>
      </w:r>
      <w:r>
        <w:rPr>
          <w:rFonts w:hint="eastAsia" w:ascii="宋体" w:hAnsi="宋体" w:eastAsia="宋体" w:cs="Times New Roman"/>
          <w:color w:val="auto"/>
          <w:sz w:val="24"/>
          <w:highlight w:val="none"/>
          <w:lang w:val="zh-CN"/>
        </w:rPr>
        <w:t>中华人民共和国</w:t>
      </w:r>
      <w:r>
        <w:rPr>
          <w:rFonts w:hint="eastAsia" w:ascii="宋体" w:hAnsi="宋体"/>
          <w:color w:val="auto"/>
          <w:sz w:val="24"/>
          <w:highlight w:val="none"/>
          <w:lang w:val="zh-CN"/>
        </w:rPr>
        <w:t>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color w:val="auto"/>
          <w:sz w:val="24"/>
          <w:highlight w:val="none"/>
          <w:u w:val="single"/>
          <w:lang w:eastAsia="zh-CN"/>
        </w:rPr>
        <w:t>杭州住房公积金管理中心</w:t>
      </w:r>
      <w:r>
        <w:rPr>
          <w:rFonts w:hint="eastAsia"/>
          <w:color w:val="auto"/>
          <w:sz w:val="24"/>
          <w:highlight w:val="none"/>
          <w:u w:val="single"/>
          <w:lang w:val="en-US" w:eastAsia="zh-CN"/>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3009D63">
      <w:pPr>
        <w:pStyle w:val="26"/>
        <w:snapToGrid w:val="0"/>
        <w:spacing w:line="360" w:lineRule="auto"/>
        <w:rPr>
          <w:rFonts w:ascii="宋体" w:hAnsi="宋体"/>
          <w:color w:val="auto"/>
          <w:sz w:val="24"/>
          <w:highlight w:val="none"/>
        </w:rPr>
      </w:pPr>
      <w:bookmarkStart w:id="382" w:name="_Toc28855"/>
      <w:bookmarkStart w:id="383" w:name="_Toc22967"/>
      <w:bookmarkStart w:id="384" w:name="_Toc19273"/>
      <w:bookmarkStart w:id="385" w:name="_Toc20421"/>
      <w:bookmarkStart w:id="386" w:name="_Toc15367"/>
      <w:r>
        <w:rPr>
          <w:rFonts w:ascii="宋体" w:hAnsi="宋体"/>
          <w:b/>
          <w:color w:val="auto"/>
          <w:sz w:val="24"/>
          <w:highlight w:val="none"/>
        </w:rPr>
        <w:t xml:space="preserve">1.1 </w:t>
      </w:r>
      <w:r>
        <w:rPr>
          <w:rFonts w:hint="eastAsia" w:ascii="宋体" w:hAnsi="宋体" w:eastAsia="宋体" w:cs="Times New Roman"/>
          <w:b/>
          <w:bCs/>
          <w:color w:val="auto"/>
          <w:sz w:val="24"/>
          <w:highlight w:val="none"/>
        </w:rPr>
        <w:t>合同</w:t>
      </w:r>
      <w:r>
        <w:rPr>
          <w:rFonts w:hint="eastAsia" w:ascii="宋体" w:hAnsi="宋体"/>
          <w:b/>
          <w:color w:val="auto"/>
          <w:sz w:val="24"/>
          <w:highlight w:val="none"/>
        </w:rPr>
        <w:t>组成部分</w:t>
      </w:r>
      <w:bookmarkEnd w:id="382"/>
      <w:bookmarkEnd w:id="383"/>
      <w:bookmarkEnd w:id="384"/>
      <w:bookmarkEnd w:id="385"/>
      <w:bookmarkEnd w:id="386"/>
    </w:p>
    <w:p w14:paraId="087C8C9E">
      <w:pPr>
        <w:pStyle w:val="26"/>
        <w:snapToGrid w:val="0"/>
        <w:spacing w:line="360" w:lineRule="auto"/>
        <w:rPr>
          <w:rFonts w:hint="eastAsia" w:ascii="宋体" w:hAnsi="宋体" w:eastAsia="宋体" w:cs="Times New Roman"/>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w:t>
      </w:r>
      <w:r>
        <w:rPr>
          <w:rFonts w:hint="eastAsia" w:ascii="宋体" w:hAnsi="宋体" w:eastAsia="宋体" w:cs="Times New Roman"/>
          <w:color w:val="auto"/>
          <w:sz w:val="24"/>
          <w:highlight w:val="none"/>
        </w:rPr>
        <w:t>多个文件的优先适用顺序如下：</w:t>
      </w:r>
    </w:p>
    <w:p w14:paraId="16735F21">
      <w:pPr>
        <w:pStyle w:val="26"/>
        <w:snapToGrid w:val="0"/>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1.1.1 本合同及其补充合同、变更协议；</w:t>
      </w:r>
    </w:p>
    <w:p w14:paraId="40254B70">
      <w:pPr>
        <w:pStyle w:val="26"/>
        <w:snapToGrid w:val="0"/>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1.1.2 中标或者成交通知书；</w:t>
      </w:r>
    </w:p>
    <w:p w14:paraId="0F0FD35E">
      <w:pPr>
        <w:pStyle w:val="26"/>
        <w:snapToGrid w:val="0"/>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1.1.3 投标或者响应文件（含澄清或者说明文件）；</w:t>
      </w:r>
    </w:p>
    <w:p w14:paraId="3D3351F9">
      <w:pPr>
        <w:pStyle w:val="26"/>
        <w:snapToGrid w:val="0"/>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1.1.4 采购文件（含澄清或者修改文件）；</w:t>
      </w:r>
    </w:p>
    <w:p w14:paraId="6E7BDC39">
      <w:pPr>
        <w:pStyle w:val="26"/>
        <w:snapToGrid w:val="0"/>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1.1.5 其他相关采购文件。</w:t>
      </w:r>
    </w:p>
    <w:p w14:paraId="559BDBEA">
      <w:pPr>
        <w:pStyle w:val="26"/>
        <w:snapToGrid w:val="0"/>
        <w:spacing w:line="360" w:lineRule="auto"/>
        <w:rPr>
          <w:rFonts w:ascii="宋体" w:hAnsi="宋体"/>
          <w:b/>
          <w:color w:val="auto"/>
          <w:sz w:val="24"/>
          <w:highlight w:val="none"/>
        </w:rPr>
      </w:pPr>
      <w:bookmarkStart w:id="387" w:name="_Toc6311"/>
      <w:bookmarkStart w:id="388" w:name="_Toc6773"/>
      <w:bookmarkStart w:id="389" w:name="_Toc2918"/>
      <w:bookmarkStart w:id="390" w:name="_Toc18585"/>
      <w:bookmarkStart w:id="391" w:name="_Toc22185"/>
      <w:r>
        <w:rPr>
          <w:rFonts w:ascii="宋体" w:hAnsi="宋体"/>
          <w:b/>
          <w:color w:val="auto"/>
          <w:sz w:val="24"/>
          <w:highlight w:val="none"/>
        </w:rPr>
        <w:t xml:space="preserve">1.2 </w:t>
      </w:r>
      <w:r>
        <w:rPr>
          <w:rFonts w:hint="eastAsia" w:ascii="宋体" w:hAnsi="宋体" w:eastAsia="宋体" w:cs="Times New Roman"/>
          <w:b/>
          <w:color w:val="auto"/>
          <w:sz w:val="24"/>
          <w:highlight w:val="none"/>
        </w:rPr>
        <w:t>标的</w:t>
      </w:r>
      <w:bookmarkEnd w:id="387"/>
      <w:bookmarkEnd w:id="388"/>
      <w:bookmarkEnd w:id="389"/>
      <w:bookmarkEnd w:id="390"/>
      <w:bookmarkEnd w:id="391"/>
    </w:p>
    <w:p w14:paraId="10014F7C">
      <w:pPr>
        <w:pStyle w:val="26"/>
        <w:snapToGrid w:val="0"/>
        <w:spacing w:line="360" w:lineRule="auto"/>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eastAsia="宋体" w:cs="Times New Roman"/>
          <w:color w:val="auto"/>
          <w:sz w:val="24"/>
          <w:highlight w:val="none"/>
        </w:rPr>
        <w:t>服务</w:t>
      </w:r>
      <w:r>
        <w:rPr>
          <w:rFonts w:hint="eastAsia" w:ascii="宋体" w:hAnsi="宋体"/>
          <w:color w:val="auto"/>
          <w:sz w:val="24"/>
          <w:highlight w:val="none"/>
        </w:rPr>
        <w:t>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61EC2C5">
      <w:pPr>
        <w:pStyle w:val="26"/>
        <w:snapToGrid w:val="0"/>
        <w:spacing w:line="360" w:lineRule="auto"/>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eastAsia="宋体" w:cs="Times New Roman"/>
          <w:color w:val="auto"/>
          <w:sz w:val="24"/>
          <w:highlight w:val="none"/>
        </w:rPr>
        <w:t>服务</w:t>
      </w:r>
      <w:r>
        <w:rPr>
          <w:rFonts w:hint="eastAsia" w:ascii="宋体" w:hAnsi="宋体"/>
          <w:color w:val="auto"/>
          <w:sz w:val="24"/>
          <w:highlight w:val="none"/>
        </w:rPr>
        <w:t>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C3D0BA2">
      <w:pPr>
        <w:pStyle w:val="26"/>
        <w:snapToGrid w:val="0"/>
        <w:spacing w:line="360" w:lineRule="auto"/>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eastAsia="宋体" w:cs="Times New Roman"/>
          <w:color w:val="auto"/>
          <w:sz w:val="24"/>
          <w:highlight w:val="none"/>
        </w:rPr>
        <w:t>技术</w:t>
      </w:r>
      <w:r>
        <w:rPr>
          <w:rFonts w:hint="eastAsia" w:ascii="宋体" w:hAnsi="宋体"/>
          <w:color w:val="auto"/>
          <w:sz w:val="24"/>
          <w:highlight w:val="none"/>
        </w:rPr>
        <w:t>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791F3EAA">
      <w:pPr>
        <w:pStyle w:val="26"/>
        <w:snapToGrid w:val="0"/>
        <w:spacing w:line="360" w:lineRule="auto"/>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6137DB60">
      <w:pPr>
        <w:pStyle w:val="26"/>
        <w:snapToGrid w:val="0"/>
        <w:spacing w:line="360" w:lineRule="auto"/>
        <w:rPr>
          <w:color w:val="auto"/>
          <w:highlight w:val="none"/>
        </w:rPr>
      </w:pPr>
      <w:r>
        <w:rPr>
          <w:rFonts w:hint="eastAsia"/>
          <w:color w:val="auto"/>
          <w:highlight w:val="none"/>
        </w:rPr>
        <w:t>1.2.5合同</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44F3765D">
      <w:pPr>
        <w:pStyle w:val="26"/>
        <w:snapToGrid w:val="0"/>
        <w:spacing w:line="360" w:lineRule="auto"/>
        <w:rPr>
          <w:rFonts w:ascii="宋体" w:hAnsi="宋体" w:cs="宋体"/>
          <w:color w:val="auto"/>
          <w:sz w:val="24"/>
          <w:highlight w:val="none"/>
          <w:u w:val="single"/>
        </w:rPr>
      </w:pPr>
      <w:bookmarkStart w:id="392" w:name="_Toc4929"/>
      <w:bookmarkStart w:id="393" w:name="_Toc21124"/>
      <w:bookmarkStart w:id="394" w:name="_Toc1386"/>
      <w:bookmarkStart w:id="395" w:name="_Toc13918"/>
      <w:bookmarkStart w:id="396"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5E4DD9">
      <w:pPr>
        <w:pStyle w:val="26"/>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C1799E4">
      <w:pPr>
        <w:pStyle w:val="26"/>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E06D22">
      <w:pPr>
        <w:pStyle w:val="26"/>
        <w:snapToGrid w:val="0"/>
        <w:spacing w:line="360" w:lineRule="auto"/>
        <w:rPr>
          <w:rFonts w:ascii="宋体" w:hAnsi="宋体"/>
          <w:b/>
          <w:color w:val="auto"/>
          <w:sz w:val="24"/>
          <w:highlight w:val="none"/>
        </w:rPr>
      </w:pPr>
      <w:r>
        <w:rPr>
          <w:rFonts w:ascii="宋体" w:hAnsi="宋体"/>
          <w:b/>
          <w:color w:val="auto"/>
          <w:sz w:val="24"/>
          <w:highlight w:val="none"/>
        </w:rPr>
        <w:t>1.3 价款</w:t>
      </w:r>
      <w:bookmarkEnd w:id="392"/>
      <w:bookmarkEnd w:id="393"/>
      <w:bookmarkEnd w:id="394"/>
      <w:bookmarkEnd w:id="395"/>
      <w:bookmarkEnd w:id="396"/>
    </w:p>
    <w:p w14:paraId="0B97A58A">
      <w:pPr>
        <w:pStyle w:val="26"/>
        <w:snapToGrid w:val="0"/>
        <w:spacing w:line="360" w:lineRule="auto"/>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cs="宋体"/>
          <w:color w:val="auto"/>
          <w:sz w:val="24"/>
          <w:highlight w:val="none"/>
          <w:u w:val="single"/>
          <w:lang w:val="en-US" w:eastAsia="zh-CN"/>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0C660375">
      <w:pPr>
        <w:pStyle w:val="26"/>
        <w:snapToGrid w:val="0"/>
        <w:spacing w:line="360" w:lineRule="auto"/>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3AF721DB">
      <w:pPr>
        <w:pStyle w:val="26"/>
        <w:snapToGrid w:val="0"/>
        <w:spacing w:line="360" w:lineRule="auto"/>
        <w:rPr>
          <w:rFonts w:ascii="宋体" w:hAnsi="宋体"/>
          <w:color w:val="auto"/>
          <w:sz w:val="24"/>
          <w:highlight w:val="none"/>
          <w:u w:val="single"/>
        </w:rPr>
      </w:pPr>
      <w:r>
        <w:rPr>
          <w:rFonts w:hint="eastAsia" w:ascii="宋体" w:hAnsi="宋体" w:eastAsia="宋体" w:cs="Times New Roman"/>
          <w:color w:val="auto"/>
          <w:sz w:val="24"/>
          <w:highlight w:val="none"/>
        </w:rPr>
        <w:t>分项</w:t>
      </w:r>
      <w:r>
        <w:rPr>
          <w:rFonts w:ascii="宋体" w:hAnsi="宋体"/>
          <w:color w:val="auto"/>
          <w:sz w:val="24"/>
          <w:highlight w:val="none"/>
        </w:rPr>
        <w:t>价格：</w:t>
      </w:r>
    </w:p>
    <w:tbl>
      <w:tblPr>
        <w:tblStyle w:val="6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4416"/>
        <w:gridCol w:w="3312"/>
      </w:tblGrid>
      <w:tr w14:paraId="5CF0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5F6FDC46">
            <w:pPr>
              <w:pStyle w:val="320"/>
              <w:spacing w:line="240" w:lineRule="auto"/>
              <w:jc w:val="center"/>
              <w:rPr>
                <w:rFonts w:hAnsi="宋体"/>
                <w:color w:val="auto"/>
                <w:sz w:val="24"/>
                <w:szCs w:val="24"/>
                <w:highlight w:val="none"/>
              </w:rPr>
            </w:pPr>
            <w:r>
              <w:rPr>
                <w:rFonts w:hAnsi="宋体"/>
                <w:color w:val="auto"/>
                <w:sz w:val="24"/>
                <w:szCs w:val="24"/>
                <w:highlight w:val="none"/>
              </w:rPr>
              <w:t>序号</w:t>
            </w:r>
          </w:p>
        </w:tc>
        <w:tc>
          <w:tcPr>
            <w:tcW w:w="2377" w:type="pct"/>
            <w:vAlign w:val="center"/>
          </w:tcPr>
          <w:p w14:paraId="24B147F2">
            <w:pPr>
              <w:pStyle w:val="320"/>
              <w:spacing w:line="240" w:lineRule="auto"/>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1783" w:type="pct"/>
            <w:vAlign w:val="center"/>
          </w:tcPr>
          <w:p w14:paraId="51AF798A">
            <w:pPr>
              <w:pStyle w:val="320"/>
              <w:spacing w:line="240" w:lineRule="auto"/>
              <w:jc w:val="center"/>
              <w:rPr>
                <w:rFonts w:hAnsi="宋体"/>
                <w:color w:val="auto"/>
                <w:sz w:val="24"/>
                <w:szCs w:val="24"/>
                <w:highlight w:val="none"/>
              </w:rPr>
            </w:pPr>
            <w:r>
              <w:rPr>
                <w:rFonts w:hAnsi="宋体"/>
                <w:color w:val="auto"/>
                <w:sz w:val="24"/>
                <w:szCs w:val="24"/>
                <w:highlight w:val="none"/>
              </w:rPr>
              <w:t>分项价格</w:t>
            </w:r>
          </w:p>
        </w:tc>
      </w:tr>
      <w:tr w14:paraId="375A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5CA1236A">
            <w:pPr>
              <w:pStyle w:val="320"/>
              <w:spacing w:line="240" w:lineRule="auto"/>
              <w:ind w:firstLine="200"/>
              <w:jc w:val="center"/>
              <w:rPr>
                <w:rFonts w:hAnsi="宋体"/>
                <w:color w:val="auto"/>
                <w:sz w:val="24"/>
                <w:szCs w:val="24"/>
                <w:highlight w:val="none"/>
              </w:rPr>
            </w:pPr>
          </w:p>
        </w:tc>
        <w:tc>
          <w:tcPr>
            <w:tcW w:w="2377" w:type="pct"/>
            <w:vAlign w:val="center"/>
          </w:tcPr>
          <w:p w14:paraId="386ED276">
            <w:pPr>
              <w:pStyle w:val="320"/>
              <w:spacing w:line="240" w:lineRule="auto"/>
              <w:ind w:firstLine="200"/>
              <w:jc w:val="center"/>
              <w:rPr>
                <w:rFonts w:hAnsi="宋体"/>
                <w:color w:val="auto"/>
                <w:sz w:val="24"/>
                <w:szCs w:val="24"/>
                <w:highlight w:val="none"/>
              </w:rPr>
            </w:pPr>
          </w:p>
        </w:tc>
        <w:tc>
          <w:tcPr>
            <w:tcW w:w="1783" w:type="pct"/>
            <w:vAlign w:val="center"/>
          </w:tcPr>
          <w:p w14:paraId="50FB5CA3">
            <w:pPr>
              <w:pStyle w:val="320"/>
              <w:spacing w:line="240" w:lineRule="auto"/>
              <w:ind w:firstLine="200"/>
              <w:jc w:val="center"/>
              <w:rPr>
                <w:rFonts w:hAnsi="宋体"/>
                <w:color w:val="auto"/>
                <w:sz w:val="24"/>
                <w:szCs w:val="24"/>
                <w:highlight w:val="none"/>
              </w:rPr>
            </w:pPr>
          </w:p>
        </w:tc>
      </w:tr>
      <w:tr w14:paraId="25AE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2A73F7FF">
            <w:pPr>
              <w:pStyle w:val="320"/>
              <w:spacing w:line="240" w:lineRule="auto"/>
              <w:ind w:firstLine="200"/>
              <w:jc w:val="center"/>
              <w:rPr>
                <w:rFonts w:hAnsi="宋体"/>
                <w:color w:val="auto"/>
                <w:sz w:val="24"/>
                <w:szCs w:val="24"/>
                <w:highlight w:val="none"/>
              </w:rPr>
            </w:pPr>
          </w:p>
        </w:tc>
        <w:tc>
          <w:tcPr>
            <w:tcW w:w="2377" w:type="pct"/>
            <w:vAlign w:val="center"/>
          </w:tcPr>
          <w:p w14:paraId="289840C6">
            <w:pPr>
              <w:pStyle w:val="320"/>
              <w:spacing w:line="240" w:lineRule="auto"/>
              <w:ind w:firstLine="200"/>
              <w:jc w:val="center"/>
              <w:rPr>
                <w:rFonts w:hAnsi="宋体"/>
                <w:color w:val="auto"/>
                <w:sz w:val="24"/>
                <w:szCs w:val="24"/>
                <w:highlight w:val="none"/>
              </w:rPr>
            </w:pPr>
          </w:p>
        </w:tc>
        <w:tc>
          <w:tcPr>
            <w:tcW w:w="1783" w:type="pct"/>
            <w:vAlign w:val="center"/>
          </w:tcPr>
          <w:p w14:paraId="6ED6713B">
            <w:pPr>
              <w:pStyle w:val="320"/>
              <w:spacing w:line="240" w:lineRule="auto"/>
              <w:ind w:firstLine="200"/>
              <w:jc w:val="center"/>
              <w:rPr>
                <w:rFonts w:hAnsi="宋体"/>
                <w:color w:val="auto"/>
                <w:sz w:val="24"/>
                <w:szCs w:val="24"/>
                <w:highlight w:val="none"/>
              </w:rPr>
            </w:pPr>
          </w:p>
        </w:tc>
      </w:tr>
      <w:tr w14:paraId="2B59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57881469">
            <w:pPr>
              <w:pStyle w:val="320"/>
              <w:spacing w:line="240" w:lineRule="auto"/>
              <w:ind w:firstLine="200"/>
              <w:jc w:val="center"/>
              <w:rPr>
                <w:rFonts w:hAnsi="宋体"/>
                <w:color w:val="auto"/>
                <w:sz w:val="24"/>
                <w:szCs w:val="24"/>
                <w:highlight w:val="none"/>
              </w:rPr>
            </w:pPr>
          </w:p>
        </w:tc>
        <w:tc>
          <w:tcPr>
            <w:tcW w:w="2377" w:type="pct"/>
            <w:vAlign w:val="center"/>
          </w:tcPr>
          <w:p w14:paraId="43A82AE1">
            <w:pPr>
              <w:pStyle w:val="320"/>
              <w:spacing w:line="240" w:lineRule="auto"/>
              <w:ind w:firstLine="200"/>
              <w:jc w:val="center"/>
              <w:rPr>
                <w:rFonts w:hAnsi="宋体"/>
                <w:color w:val="auto"/>
                <w:sz w:val="24"/>
                <w:szCs w:val="24"/>
                <w:highlight w:val="none"/>
              </w:rPr>
            </w:pPr>
          </w:p>
        </w:tc>
        <w:tc>
          <w:tcPr>
            <w:tcW w:w="1783" w:type="pct"/>
            <w:vAlign w:val="center"/>
          </w:tcPr>
          <w:p w14:paraId="6D225176">
            <w:pPr>
              <w:pStyle w:val="320"/>
              <w:spacing w:line="240" w:lineRule="auto"/>
              <w:ind w:firstLine="200"/>
              <w:jc w:val="center"/>
              <w:rPr>
                <w:rFonts w:hAnsi="宋体"/>
                <w:color w:val="auto"/>
                <w:sz w:val="24"/>
                <w:szCs w:val="24"/>
                <w:highlight w:val="none"/>
              </w:rPr>
            </w:pPr>
          </w:p>
        </w:tc>
      </w:tr>
      <w:tr w14:paraId="340C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8" w:type="pct"/>
            <w:vAlign w:val="center"/>
          </w:tcPr>
          <w:p w14:paraId="68B2AE37">
            <w:pPr>
              <w:pStyle w:val="320"/>
              <w:spacing w:line="240" w:lineRule="auto"/>
              <w:ind w:firstLine="200"/>
              <w:jc w:val="center"/>
              <w:rPr>
                <w:rFonts w:hAnsi="宋体"/>
                <w:color w:val="auto"/>
                <w:sz w:val="24"/>
                <w:szCs w:val="24"/>
                <w:highlight w:val="none"/>
              </w:rPr>
            </w:pPr>
          </w:p>
        </w:tc>
        <w:tc>
          <w:tcPr>
            <w:tcW w:w="2377" w:type="pct"/>
            <w:vAlign w:val="center"/>
          </w:tcPr>
          <w:p w14:paraId="181B33F9">
            <w:pPr>
              <w:pStyle w:val="320"/>
              <w:spacing w:line="240" w:lineRule="auto"/>
              <w:ind w:firstLine="200"/>
              <w:jc w:val="center"/>
              <w:rPr>
                <w:rFonts w:hAnsi="宋体"/>
                <w:color w:val="auto"/>
                <w:sz w:val="24"/>
                <w:szCs w:val="24"/>
                <w:highlight w:val="none"/>
              </w:rPr>
            </w:pPr>
          </w:p>
        </w:tc>
        <w:tc>
          <w:tcPr>
            <w:tcW w:w="1783" w:type="pct"/>
            <w:vAlign w:val="center"/>
          </w:tcPr>
          <w:p w14:paraId="24489E1E">
            <w:pPr>
              <w:pStyle w:val="320"/>
              <w:spacing w:line="240" w:lineRule="auto"/>
              <w:ind w:firstLine="200"/>
              <w:jc w:val="center"/>
              <w:rPr>
                <w:rFonts w:hAnsi="宋体"/>
                <w:color w:val="auto"/>
                <w:sz w:val="24"/>
                <w:szCs w:val="24"/>
                <w:highlight w:val="none"/>
              </w:rPr>
            </w:pPr>
          </w:p>
        </w:tc>
      </w:tr>
      <w:tr w14:paraId="3918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6" w:type="pct"/>
            <w:gridSpan w:val="2"/>
            <w:vAlign w:val="center"/>
          </w:tcPr>
          <w:p w14:paraId="2ACD1084">
            <w:pPr>
              <w:pStyle w:val="320"/>
              <w:spacing w:line="240" w:lineRule="auto"/>
              <w:ind w:firstLine="200"/>
              <w:jc w:val="center"/>
              <w:rPr>
                <w:rFonts w:hAnsi="宋体"/>
                <w:color w:val="auto"/>
                <w:sz w:val="24"/>
                <w:szCs w:val="24"/>
                <w:highlight w:val="none"/>
              </w:rPr>
            </w:pPr>
            <w:r>
              <w:rPr>
                <w:rFonts w:hint="eastAsia" w:hAnsi="宋体"/>
                <w:color w:val="auto"/>
                <w:sz w:val="24"/>
                <w:szCs w:val="24"/>
                <w:highlight w:val="none"/>
              </w:rPr>
              <w:t>总价</w:t>
            </w:r>
          </w:p>
        </w:tc>
        <w:tc>
          <w:tcPr>
            <w:tcW w:w="1783" w:type="pct"/>
            <w:vAlign w:val="center"/>
          </w:tcPr>
          <w:p w14:paraId="145CF9D2">
            <w:pPr>
              <w:pStyle w:val="320"/>
              <w:spacing w:line="240" w:lineRule="auto"/>
              <w:ind w:firstLine="200"/>
              <w:jc w:val="center"/>
              <w:rPr>
                <w:rFonts w:hAnsi="宋体"/>
                <w:color w:val="auto"/>
                <w:sz w:val="24"/>
                <w:szCs w:val="24"/>
                <w:highlight w:val="none"/>
              </w:rPr>
            </w:pPr>
          </w:p>
        </w:tc>
      </w:tr>
    </w:tbl>
    <w:p w14:paraId="6E14FE35">
      <w:pPr>
        <w:pStyle w:val="26"/>
        <w:snapToGrid w:val="0"/>
        <w:spacing w:line="360" w:lineRule="auto"/>
        <w:rPr>
          <w:rFonts w:ascii="宋体" w:hAnsi="宋体"/>
          <w:color w:val="auto"/>
          <w:sz w:val="24"/>
          <w:highlight w:val="none"/>
        </w:rPr>
      </w:pPr>
      <w:bookmarkStart w:id="397" w:name="_Toc30506"/>
      <w:bookmarkStart w:id="398" w:name="_Toc30158"/>
      <w:bookmarkStart w:id="399" w:name="_Toc14993"/>
      <w:bookmarkStart w:id="400" w:name="_Toc3654"/>
      <w:bookmarkStart w:id="401"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61F57B16">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397"/>
    <w:bookmarkEnd w:id="398"/>
    <w:bookmarkEnd w:id="399"/>
    <w:bookmarkEnd w:id="400"/>
    <w:bookmarkEnd w:id="401"/>
    <w:p w14:paraId="2AF67EB1">
      <w:pPr>
        <w:pStyle w:val="959"/>
        <w:spacing w:before="0" w:beforeAutospacing="0" w:after="0" w:afterAutospacing="0" w:line="360" w:lineRule="auto"/>
        <w:ind w:firstLine="480"/>
        <w:rPr>
          <w:b/>
          <w:color w:val="auto"/>
          <w:highlight w:val="none"/>
        </w:rPr>
      </w:pPr>
      <w:bookmarkStart w:id="402" w:name="_Toc22618"/>
      <w:bookmarkStart w:id="403" w:name="_Toc10340"/>
      <w:bookmarkStart w:id="404" w:name="_Toc1814"/>
      <w:bookmarkStart w:id="405" w:name="_Toc8772"/>
      <w:bookmarkStart w:id="406" w:name="_Toc4760"/>
      <w:bookmarkStart w:id="407" w:name="_Toc31421"/>
      <w:bookmarkStart w:id="408" w:name="_Toc3625"/>
      <w:bookmarkStart w:id="409" w:name="_Toc11108"/>
      <w:r>
        <w:rPr>
          <w:rFonts w:hint="eastAsia"/>
          <w:b/>
          <w:color w:val="auto"/>
          <w:highlight w:val="none"/>
        </w:rPr>
        <w:t>1.4履约保证金</w:t>
      </w:r>
    </w:p>
    <w:p w14:paraId="183F3DE5">
      <w:pPr>
        <w:pStyle w:val="26"/>
        <w:snapToGrid w:val="0"/>
        <w:spacing w:line="360" w:lineRule="auto"/>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w:t>
      </w:r>
      <w:r>
        <w:rPr>
          <w:rFonts w:hint="eastAsia" w:ascii="宋体" w:hAnsi="宋体" w:eastAsia="宋体" w:cs="Times New Roman"/>
          <w:color w:val="auto"/>
          <w:sz w:val="24"/>
          <w:highlight w:val="none"/>
        </w:rPr>
        <w:t>支付</w:t>
      </w:r>
      <w:r>
        <w:rPr>
          <w:rFonts w:hint="eastAsia"/>
          <w:color w:val="auto"/>
          <w:highlight w:val="none"/>
        </w:rPr>
        <w:t>履约保证金。若需要支付履约保证金的，则：</w:t>
      </w:r>
    </w:p>
    <w:p w14:paraId="4D23CD71">
      <w:pPr>
        <w:pStyle w:val="26"/>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CA661A9">
      <w:pPr>
        <w:pStyle w:val="26"/>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1.4.2履约</w:t>
      </w:r>
      <w:r>
        <w:rPr>
          <w:rFonts w:hint="eastAsia" w:ascii="宋体" w:hAnsi="宋体" w:eastAsia="宋体" w:cs="宋体"/>
          <w:color w:val="auto"/>
          <w:kern w:val="0"/>
          <w:sz w:val="24"/>
          <w:highlight w:val="none"/>
        </w:rPr>
        <w:t>保证金</w:t>
      </w:r>
      <w:r>
        <w:rPr>
          <w:rFonts w:hint="eastAsia" w:ascii="宋体" w:hAnsi="宋体" w:cs="宋体"/>
          <w:color w:val="auto"/>
          <w:kern w:val="0"/>
          <w:sz w:val="24"/>
          <w:highlight w:val="none"/>
        </w:rPr>
        <w:t>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D5DAF63">
      <w:pPr>
        <w:pStyle w:val="26"/>
        <w:snapToGrid w:val="0"/>
        <w:spacing w:line="360" w:lineRule="auto"/>
        <w:rPr>
          <w:color w:val="auto"/>
          <w:highlight w:val="none"/>
          <w:lang w:val="en-US"/>
        </w:rPr>
      </w:pPr>
      <w:r>
        <w:rPr>
          <w:rFonts w:hint="eastAsia" w:ascii="宋体" w:hAnsi="宋体" w:eastAsia="宋体" w:cs="宋体"/>
          <w:b w:val="0"/>
          <w:bCs w:val="0"/>
          <w:color w:val="auto"/>
          <w:kern w:val="0"/>
          <w:sz w:val="24"/>
          <w:szCs w:val="24"/>
          <w:highlight w:val="none"/>
          <w:lang w:val="en-US"/>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FEDDBE4">
      <w:pPr>
        <w:pStyle w:val="26"/>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1.4.4</w:t>
      </w:r>
      <w:r>
        <w:rPr>
          <w:rFonts w:hint="eastAsia" w:ascii="宋体" w:hAnsi="宋体" w:eastAsia="宋体" w:cs="宋体"/>
          <w:b w:val="0"/>
          <w:bCs w:val="0"/>
          <w:color w:val="auto"/>
          <w:kern w:val="0"/>
          <w:sz w:val="24"/>
          <w:szCs w:val="24"/>
          <w:highlight w:val="none"/>
          <w:lang w:val="en-US"/>
        </w:rPr>
        <w:t>甲方</w:t>
      </w:r>
      <w:r>
        <w:rPr>
          <w:rFonts w:hint="eastAsia" w:ascii="宋体" w:hAnsi="宋体" w:cs="宋体"/>
          <w:color w:val="auto"/>
          <w:kern w:val="0"/>
          <w:sz w:val="24"/>
          <w:highlight w:val="none"/>
        </w:rPr>
        <w:t>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7D237EB">
      <w:pPr>
        <w:pStyle w:val="959"/>
        <w:spacing w:before="0" w:beforeAutospacing="0" w:after="0" w:afterAutospacing="0" w:line="360" w:lineRule="auto"/>
        <w:ind w:firstLine="480"/>
        <w:rPr>
          <w:rFonts w:ascii="宋体" w:hAnsi="宋体" w:cs="宋体"/>
          <w:b/>
          <w:color w:val="auto"/>
          <w:sz w:val="24"/>
          <w:highlight w:val="none"/>
        </w:rPr>
      </w:pPr>
      <w:r>
        <w:rPr>
          <w:rFonts w:hint="eastAsia" w:ascii="宋体" w:hAnsi="宋体" w:cs="宋体"/>
          <w:b/>
          <w:color w:val="auto"/>
          <w:sz w:val="24"/>
          <w:highlight w:val="none"/>
        </w:rPr>
        <w:t>1.5</w:t>
      </w:r>
      <w:bookmarkEnd w:id="402"/>
      <w:bookmarkEnd w:id="403"/>
      <w:bookmarkEnd w:id="404"/>
      <w:r>
        <w:rPr>
          <w:rFonts w:hint="eastAsia" w:ascii="宋体" w:hAnsi="宋体" w:eastAsia="宋体" w:cs="宋体"/>
          <w:b/>
          <w:color w:val="auto"/>
          <w:highlight w:val="none"/>
        </w:rPr>
        <w:t>预付款</w:t>
      </w:r>
    </w:p>
    <w:p w14:paraId="7D45F4B9">
      <w:pPr>
        <w:pStyle w:val="26"/>
        <w:snapToGrid w:val="0"/>
        <w:spacing w:line="360" w:lineRule="auto"/>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val="en-US" w:eastAsia="zh-CN"/>
        </w:rPr>
        <w:t>是</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w:t>
      </w:r>
      <w:r>
        <w:rPr>
          <w:rFonts w:hint="eastAsia" w:ascii="宋体" w:hAnsi="宋体" w:eastAsia="宋体" w:cs="宋体"/>
          <w:b w:val="0"/>
          <w:bCs w:val="0"/>
          <w:color w:val="auto"/>
          <w:kern w:val="0"/>
          <w:sz w:val="24"/>
          <w:szCs w:val="24"/>
          <w:highlight w:val="none"/>
          <w:lang w:val="en-US"/>
        </w:rPr>
        <w:t>支付</w:t>
      </w:r>
      <w:r>
        <w:rPr>
          <w:rFonts w:hint="eastAsia"/>
          <w:color w:val="auto"/>
          <w:highlight w:val="none"/>
        </w:rPr>
        <w:t>预付款。若需要支付预付款的，则：</w:t>
      </w:r>
    </w:p>
    <w:p w14:paraId="0098BBE3">
      <w:pPr>
        <w:pStyle w:val="26"/>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E99CBE3">
      <w:pPr>
        <w:pStyle w:val="26"/>
        <w:snapToGrid w:val="0"/>
        <w:spacing w:line="360" w:lineRule="auto"/>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E82AAD0">
      <w:pPr>
        <w:pStyle w:val="26"/>
        <w:snapToGrid w:val="0"/>
        <w:spacing w:line="360" w:lineRule="auto"/>
        <w:rPr>
          <w:color w:val="auto"/>
          <w:highlight w:val="none"/>
          <w:u w:val="single"/>
        </w:rPr>
      </w:pPr>
      <w:r>
        <w:rPr>
          <w:rFonts w:hint="eastAsia"/>
          <w:color w:val="auto"/>
          <w:highlight w:val="none"/>
        </w:rPr>
        <w:t>1.5.3</w:t>
      </w:r>
      <w:r>
        <w:rPr>
          <w:rFonts w:hint="eastAsia" w:ascii="宋体" w:hAnsi="宋体" w:eastAsia="宋体" w:cs="Times New Roman"/>
          <w:color w:val="auto"/>
          <w:highlight w:val="none"/>
        </w:rPr>
        <w:t>预付款</w:t>
      </w:r>
      <w:r>
        <w:rPr>
          <w:rFonts w:hint="eastAsia"/>
          <w:color w:val="auto"/>
          <w:highlight w:val="none"/>
        </w:rPr>
        <w:t>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897EFF3">
      <w:pPr>
        <w:pStyle w:val="959"/>
        <w:spacing w:before="0" w:beforeAutospacing="0" w:after="0" w:afterAutospacing="0" w:line="360" w:lineRule="auto"/>
        <w:ind w:firstLine="480"/>
        <w:rPr>
          <w:b/>
          <w:bCs/>
          <w:color w:val="auto"/>
          <w:highlight w:val="none"/>
        </w:rPr>
      </w:pPr>
      <w:r>
        <w:rPr>
          <w:rFonts w:hint="eastAsia"/>
          <w:b/>
          <w:bCs/>
          <w:color w:val="auto"/>
          <w:highlight w:val="none"/>
        </w:rPr>
        <w:t>1.6</w:t>
      </w:r>
      <w:r>
        <w:rPr>
          <w:rFonts w:hint="eastAsia" w:ascii="宋体" w:hAnsi="宋体" w:eastAsia="宋体" w:cs="宋体"/>
          <w:b/>
          <w:color w:val="auto"/>
          <w:highlight w:val="none"/>
        </w:rPr>
        <w:t>资金</w:t>
      </w:r>
      <w:r>
        <w:rPr>
          <w:rFonts w:hint="eastAsia"/>
          <w:b/>
          <w:bCs/>
          <w:color w:val="auto"/>
          <w:highlight w:val="none"/>
        </w:rPr>
        <w:t>支付</w:t>
      </w:r>
    </w:p>
    <w:p w14:paraId="5802E311">
      <w:pPr>
        <w:pStyle w:val="26"/>
        <w:snapToGrid w:val="0"/>
        <w:spacing w:line="360" w:lineRule="auto"/>
        <w:rPr>
          <w:color w:val="auto"/>
          <w:highlight w:val="none"/>
        </w:rPr>
      </w:pPr>
      <w:r>
        <w:rPr>
          <w:rFonts w:hint="eastAsia"/>
          <w:color w:val="auto"/>
          <w:highlight w:val="none"/>
        </w:rPr>
        <w:t>1.6.1</w:t>
      </w:r>
      <w:r>
        <w:rPr>
          <w:rFonts w:hint="eastAsia" w:ascii="宋体" w:hAnsi="宋体" w:eastAsia="宋体" w:cs="Times New Roman"/>
          <w:color w:val="auto"/>
          <w:highlight w:val="none"/>
        </w:rPr>
        <w:t>甲方</w:t>
      </w:r>
      <w:r>
        <w:rPr>
          <w:rFonts w:hint="eastAsia"/>
          <w:color w:val="auto"/>
          <w:highlight w:val="none"/>
        </w:rPr>
        <w:t>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CCBB1EB">
      <w:pPr>
        <w:pStyle w:val="26"/>
        <w:snapToGrid w:val="0"/>
        <w:spacing w:line="360" w:lineRule="auto"/>
        <w:rPr>
          <w:rFonts w:ascii="宋体" w:hAnsi="宋体" w:cs="宋体"/>
          <w:color w:val="auto"/>
          <w:sz w:val="24"/>
          <w:highlight w:val="none"/>
        </w:rPr>
      </w:pPr>
      <w:r>
        <w:rPr>
          <w:rFonts w:hint="eastAsia" w:ascii="宋体" w:hAnsi="宋体" w:cs="宋体"/>
          <w:color w:val="auto"/>
          <w:sz w:val="24"/>
          <w:highlight w:val="none"/>
        </w:rPr>
        <w:t>1.6.2</w:t>
      </w:r>
      <w:r>
        <w:rPr>
          <w:rFonts w:hint="eastAsia" w:ascii="宋体" w:hAnsi="宋体" w:eastAsia="宋体" w:cs="Times New Roman"/>
          <w:color w:val="auto"/>
          <w:highlight w:val="none"/>
        </w:rPr>
        <w:t>资金</w:t>
      </w:r>
      <w:r>
        <w:rPr>
          <w:rFonts w:hint="eastAsia" w:ascii="宋体" w:hAnsi="宋体" w:cs="宋体"/>
          <w:color w:val="auto"/>
          <w:sz w:val="24"/>
          <w:highlight w:val="none"/>
        </w:rPr>
        <w:t>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04EA6AF">
      <w:pPr>
        <w:pStyle w:val="959"/>
        <w:spacing w:before="0" w:beforeAutospacing="0" w:after="0" w:afterAutospacing="0" w:line="360" w:lineRule="auto"/>
        <w:ind w:firstLine="48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05"/>
      <w:bookmarkEnd w:id="406"/>
      <w:bookmarkEnd w:id="407"/>
      <w:bookmarkEnd w:id="408"/>
      <w:bookmarkEnd w:id="409"/>
    </w:p>
    <w:p w14:paraId="7937E994">
      <w:pPr>
        <w:pStyle w:val="26"/>
        <w:snapToGrid w:val="0"/>
        <w:spacing w:line="360" w:lineRule="auto"/>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eastAsia="宋体" w:cs="Times New Roman"/>
          <w:color w:val="auto"/>
          <w:highlight w:val="none"/>
        </w:rPr>
        <w:t>服务</w:t>
      </w:r>
      <w:r>
        <w:rPr>
          <w:rFonts w:hint="eastAsia" w:ascii="宋体" w:hAnsi="宋体"/>
          <w:color w:val="auto"/>
          <w:sz w:val="24"/>
          <w:highlight w:val="none"/>
        </w:rPr>
        <w:t>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8A129C1">
      <w:pPr>
        <w:pStyle w:val="26"/>
        <w:snapToGrid w:val="0"/>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eastAsia="宋体" w:cs="Times New Roman"/>
          <w:color w:val="auto"/>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FBAEA57">
      <w:pPr>
        <w:pStyle w:val="26"/>
        <w:snapToGrid w:val="0"/>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B29A58A">
      <w:pPr>
        <w:pStyle w:val="26"/>
        <w:snapToGrid w:val="0"/>
        <w:spacing w:line="360" w:lineRule="auto"/>
        <w:rPr>
          <w:rFonts w:ascii="宋体" w:hAnsi="宋体"/>
          <w:bCs/>
          <w:color w:val="auto"/>
          <w:sz w:val="24"/>
          <w:highlight w:val="none"/>
        </w:rPr>
      </w:pPr>
      <w:bookmarkStart w:id="410" w:name="_Toc5698"/>
      <w:bookmarkStart w:id="411" w:name="_Toc2375"/>
      <w:bookmarkStart w:id="412" w:name="_Toc24662"/>
      <w:bookmarkStart w:id="413" w:name="_Toc8586"/>
      <w:bookmarkStart w:id="414"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31248EA9">
      <w:pPr>
        <w:pStyle w:val="26"/>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E1C3397">
      <w:pPr>
        <w:pStyle w:val="26"/>
        <w:snapToGrid w:val="0"/>
        <w:spacing w:line="360" w:lineRule="auto"/>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17F869F">
      <w:pPr>
        <w:pStyle w:val="26"/>
        <w:snapToGrid w:val="0"/>
        <w:spacing w:line="360" w:lineRule="auto"/>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E449FFC">
      <w:pPr>
        <w:pStyle w:val="959"/>
        <w:spacing w:before="0" w:beforeAutospacing="0" w:after="0" w:afterAutospacing="0" w:line="360" w:lineRule="auto"/>
        <w:ind w:firstLine="48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10"/>
      <w:bookmarkEnd w:id="411"/>
      <w:bookmarkEnd w:id="412"/>
      <w:bookmarkEnd w:id="413"/>
      <w:bookmarkEnd w:id="414"/>
    </w:p>
    <w:p w14:paraId="7197B90B">
      <w:pPr>
        <w:pStyle w:val="26"/>
        <w:snapToGrid w:val="0"/>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w:t>
      </w:r>
      <w:r>
        <w:rPr>
          <w:rFonts w:hint="eastAsia" w:ascii="宋体" w:hAnsi="宋体" w:eastAsia="宋体" w:cs="宋体"/>
          <w:color w:val="auto"/>
          <w:sz w:val="24"/>
          <w:highlight w:val="none"/>
        </w:rPr>
        <w:t>不可抗力</w:t>
      </w:r>
      <w:r>
        <w:rPr>
          <w:rFonts w:ascii="宋体" w:hAnsi="宋体"/>
          <w:color w:val="auto"/>
          <w:sz w:val="24"/>
          <w:highlight w:val="none"/>
        </w:rPr>
        <w:t>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4DB4D731">
      <w:pPr>
        <w:pStyle w:val="26"/>
        <w:snapToGrid w:val="0"/>
        <w:spacing w:line="360" w:lineRule="auto"/>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w:t>
      </w:r>
      <w:r>
        <w:rPr>
          <w:rFonts w:hint="eastAsia" w:ascii="宋体" w:hAnsi="宋体" w:eastAsia="宋体" w:cs="宋体"/>
          <w:color w:val="auto"/>
          <w:sz w:val="24"/>
          <w:highlight w:val="none"/>
          <w:lang w:val="en-US"/>
        </w:rPr>
        <w:t>服务</w:t>
      </w:r>
      <w:r>
        <w:rPr>
          <w:rFonts w:hint="eastAsia" w:ascii="宋体" w:hAnsi="宋体" w:eastAsia="宋体" w:cs="宋体"/>
          <w:b w:val="0"/>
          <w:bCs w:val="0"/>
          <w:color w:val="auto"/>
          <w:sz w:val="24"/>
          <w:szCs w:val="24"/>
          <w:highlight w:val="none"/>
          <w:lang w:val="en-US"/>
        </w:rPr>
        <w:t>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37FEE03">
      <w:pPr>
        <w:pStyle w:val="26"/>
        <w:snapToGrid w:val="0"/>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w:t>
      </w:r>
      <w:r>
        <w:rPr>
          <w:rFonts w:hint="eastAsia" w:ascii="宋体" w:hAnsi="宋体" w:eastAsia="宋体" w:cs="宋体"/>
          <w:color w:val="auto"/>
          <w:sz w:val="24"/>
          <w:highlight w:val="none"/>
          <w:lang w:val="en-US"/>
        </w:rPr>
        <w:t>不可抗力</w:t>
      </w:r>
      <w:r>
        <w:rPr>
          <w:rFonts w:hint="eastAsia" w:ascii="宋体" w:hAnsi="宋体" w:cs="宋体"/>
          <w:color w:val="auto"/>
          <w:sz w:val="24"/>
          <w:highlight w:val="none"/>
        </w:rPr>
        <w:t>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1E7EB091">
      <w:pPr>
        <w:pStyle w:val="26"/>
        <w:snapToGrid w:val="0"/>
        <w:spacing w:line="360" w:lineRule="auto"/>
        <w:rPr>
          <w:rFonts w:ascii="宋体" w:hAnsi="宋体" w:cs="宋体"/>
          <w:color w:val="auto"/>
          <w:sz w:val="24"/>
          <w:highlight w:val="none"/>
        </w:rPr>
      </w:pPr>
      <w:bookmarkStart w:id="415" w:name="_Toc26807"/>
      <w:bookmarkStart w:id="416" w:name="_Toc30329"/>
      <w:bookmarkStart w:id="417" w:name="_Toc32454"/>
      <w:bookmarkStart w:id="418" w:name="_Toc9497"/>
      <w:bookmarkStart w:id="419" w:name="_Toc18683"/>
      <w:r>
        <w:rPr>
          <w:rFonts w:hint="eastAsia" w:ascii="宋体" w:hAnsi="宋体" w:cs="宋体"/>
          <w:color w:val="auto"/>
          <w:sz w:val="24"/>
          <w:highlight w:val="none"/>
        </w:rPr>
        <w:t>1.8.4 除</w:t>
      </w:r>
      <w:r>
        <w:rPr>
          <w:rFonts w:hint="eastAsia" w:ascii="宋体" w:hAnsi="宋体" w:eastAsia="宋体" w:cs="宋体"/>
          <w:color w:val="auto"/>
          <w:sz w:val="24"/>
          <w:highlight w:val="none"/>
          <w:lang w:val="en-US"/>
        </w:rPr>
        <w:t>不可抗力</w:t>
      </w:r>
      <w:r>
        <w:rPr>
          <w:rFonts w:hint="eastAsia" w:ascii="宋体" w:hAnsi="宋体" w:cs="宋体"/>
          <w:color w:val="auto"/>
          <w:sz w:val="24"/>
          <w:highlight w:val="none"/>
        </w:rPr>
        <w:t>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C278D14">
      <w:pPr>
        <w:pStyle w:val="26"/>
        <w:snapToGrid w:val="0"/>
        <w:spacing w:line="360" w:lineRule="auto"/>
        <w:rPr>
          <w:rFonts w:ascii="宋体" w:hAnsi="宋体" w:cs="宋体"/>
          <w:color w:val="auto"/>
          <w:sz w:val="24"/>
          <w:highlight w:val="none"/>
        </w:rPr>
      </w:pPr>
      <w:r>
        <w:rPr>
          <w:rFonts w:hint="eastAsia" w:ascii="宋体" w:hAnsi="宋体" w:cs="宋体"/>
          <w:color w:val="auto"/>
          <w:sz w:val="24"/>
          <w:highlight w:val="none"/>
        </w:rPr>
        <w:t>1.8.5 除</w:t>
      </w:r>
      <w:r>
        <w:rPr>
          <w:rFonts w:hint="eastAsia" w:ascii="宋体" w:hAnsi="宋体" w:eastAsia="宋体" w:cs="宋体"/>
          <w:color w:val="auto"/>
          <w:sz w:val="24"/>
          <w:highlight w:val="none"/>
          <w:lang w:val="en-US"/>
        </w:rPr>
        <w:t>前述</w:t>
      </w:r>
      <w:r>
        <w:rPr>
          <w:rFonts w:hint="eastAsia" w:ascii="宋体" w:hAnsi="宋体" w:cs="宋体"/>
          <w:color w:val="auto"/>
          <w:sz w:val="24"/>
          <w:highlight w:val="none"/>
        </w:rPr>
        <w:t>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48E5C32">
      <w:pPr>
        <w:pStyle w:val="26"/>
        <w:snapToGrid w:val="0"/>
        <w:spacing w:line="360" w:lineRule="auto"/>
        <w:rPr>
          <w:rFonts w:ascii="宋体" w:hAnsi="宋体" w:cs="宋体"/>
          <w:color w:val="auto"/>
          <w:sz w:val="24"/>
          <w:highlight w:val="none"/>
        </w:rPr>
      </w:pPr>
      <w:r>
        <w:rPr>
          <w:rFonts w:hint="eastAsia" w:ascii="宋体" w:hAnsi="宋体" w:cs="宋体"/>
          <w:color w:val="auto"/>
          <w:sz w:val="24"/>
          <w:highlight w:val="none"/>
        </w:rPr>
        <w:t>1.8.6如果</w:t>
      </w:r>
      <w:r>
        <w:rPr>
          <w:rFonts w:hint="eastAsia" w:ascii="宋体" w:hAnsi="宋体" w:eastAsia="宋体" w:cs="宋体"/>
          <w:color w:val="auto"/>
          <w:sz w:val="24"/>
          <w:highlight w:val="none"/>
          <w:lang w:val="en-US"/>
        </w:rPr>
        <w:t>出现</w:t>
      </w:r>
      <w:r>
        <w:rPr>
          <w:rFonts w:hint="eastAsia" w:ascii="宋体" w:hAnsi="宋体" w:cs="宋体"/>
          <w:color w:val="auto"/>
          <w:sz w:val="24"/>
          <w:highlight w:val="none"/>
        </w:rPr>
        <w:t>政府采购监督管理部门在处理投诉事项期间，书面通知甲方暂停采购活动的情形，或者询问或质疑事项可能影响中标或者成交结果的，导致甲方中止履行合同的情形，均不视为甲方违约。</w:t>
      </w:r>
    </w:p>
    <w:p w14:paraId="403B73AF">
      <w:pPr>
        <w:pStyle w:val="26"/>
        <w:snapToGrid w:val="0"/>
        <w:spacing w:line="360" w:lineRule="auto"/>
        <w:rPr>
          <w:rFonts w:ascii="宋体" w:hAnsi="宋体" w:cs="宋体"/>
          <w:color w:val="auto"/>
          <w:highlight w:val="none"/>
        </w:rPr>
      </w:pPr>
      <w:r>
        <w:rPr>
          <w:rFonts w:hint="eastAsia" w:ascii="宋体" w:hAnsi="宋体" w:cs="宋体"/>
          <w:color w:val="auto"/>
          <w:sz w:val="24"/>
          <w:highlight w:val="none"/>
        </w:rPr>
        <w:t>1.8.7</w:t>
      </w:r>
      <w:r>
        <w:rPr>
          <w:rFonts w:hint="eastAsia" w:ascii="宋体" w:hAnsi="宋体" w:eastAsia="宋体" w:cs="宋体"/>
          <w:color w:val="auto"/>
          <w:sz w:val="24"/>
          <w:highlight w:val="none"/>
          <w:lang w:val="en-US"/>
        </w:rPr>
        <w:t>违约</w:t>
      </w:r>
      <w:r>
        <w:rPr>
          <w:rFonts w:hint="eastAsia" w:ascii="宋体" w:hAnsi="宋体" w:cs="宋体"/>
          <w:color w:val="auto"/>
          <w:sz w:val="24"/>
          <w:highlight w:val="none"/>
        </w:rPr>
        <w:t>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15"/>
    <w:bookmarkEnd w:id="416"/>
    <w:bookmarkEnd w:id="417"/>
    <w:bookmarkEnd w:id="418"/>
    <w:bookmarkEnd w:id="419"/>
    <w:p w14:paraId="0C052ED7">
      <w:pPr>
        <w:pStyle w:val="959"/>
        <w:spacing w:before="0" w:beforeAutospacing="0" w:after="0" w:afterAutospacing="0" w:line="360" w:lineRule="auto"/>
        <w:ind w:firstLine="480"/>
        <w:rPr>
          <w:rFonts w:ascii="宋体" w:hAnsi="宋体" w:cs="宋体"/>
          <w:b/>
          <w:color w:val="auto"/>
          <w:sz w:val="24"/>
          <w:highlight w:val="none"/>
        </w:rPr>
      </w:pPr>
      <w:bookmarkStart w:id="420" w:name="_Toc16021"/>
      <w:bookmarkStart w:id="421" w:name="_Toc28375"/>
      <w:bookmarkStart w:id="422" w:name="_Toc15583"/>
      <w:r>
        <w:rPr>
          <w:rFonts w:hint="eastAsia" w:ascii="宋体" w:hAnsi="宋体" w:cs="宋体"/>
          <w:b/>
          <w:color w:val="auto"/>
          <w:sz w:val="24"/>
          <w:highlight w:val="none"/>
        </w:rPr>
        <w:t>1.9合同争议的解决</w:t>
      </w:r>
      <w:bookmarkEnd w:id="420"/>
      <w:bookmarkEnd w:id="421"/>
      <w:bookmarkEnd w:id="422"/>
    </w:p>
    <w:p w14:paraId="73D13B28">
      <w:pPr>
        <w:pStyle w:val="26"/>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w:t>
      </w:r>
      <w:r>
        <w:rPr>
          <w:rFonts w:hint="eastAsia" w:ascii="宋体" w:hAnsi="宋体" w:eastAsia="宋体" w:cs="宋体"/>
          <w:color w:val="auto"/>
          <w:sz w:val="24"/>
          <w:highlight w:val="none"/>
        </w:rPr>
        <w:t>合同</w:t>
      </w:r>
      <w:r>
        <w:rPr>
          <w:rFonts w:hint="eastAsia" w:ascii="宋体" w:hAnsi="宋体" w:cs="宋体"/>
          <w:color w:val="auto"/>
          <w:sz w:val="24"/>
          <w:highlight w:val="none"/>
        </w:rPr>
        <w:t>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0D88CCE9">
      <w:pPr>
        <w:pStyle w:val="26"/>
        <w:snapToGrid w:val="0"/>
        <w:spacing w:line="360" w:lineRule="auto"/>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073C1AE">
      <w:pPr>
        <w:pStyle w:val="26"/>
        <w:snapToGrid w:val="0"/>
        <w:spacing w:line="360" w:lineRule="auto"/>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35DF7A44">
      <w:pPr>
        <w:pStyle w:val="959"/>
        <w:spacing w:before="0" w:beforeAutospacing="0" w:after="0" w:afterAutospacing="0" w:line="360" w:lineRule="auto"/>
        <w:ind w:firstLine="480"/>
        <w:rPr>
          <w:rFonts w:ascii="宋体" w:hAnsi="宋体" w:cs="宋体"/>
          <w:b/>
          <w:color w:val="auto"/>
          <w:sz w:val="24"/>
          <w:highlight w:val="none"/>
        </w:rPr>
      </w:pPr>
      <w:bookmarkStart w:id="423" w:name="_Toc11173"/>
      <w:bookmarkStart w:id="424" w:name="_Toc7245"/>
      <w:bookmarkStart w:id="425" w:name="_Toc15322"/>
      <w:r>
        <w:rPr>
          <w:rFonts w:hint="eastAsia" w:ascii="宋体" w:hAnsi="宋体" w:cs="宋体"/>
          <w:b/>
          <w:color w:val="auto"/>
          <w:sz w:val="24"/>
          <w:highlight w:val="none"/>
        </w:rPr>
        <w:t>2.0 合同生效</w:t>
      </w:r>
      <w:bookmarkEnd w:id="423"/>
      <w:bookmarkEnd w:id="424"/>
      <w:bookmarkEnd w:id="425"/>
    </w:p>
    <w:p w14:paraId="6BCF1578">
      <w:pPr>
        <w:pStyle w:val="26"/>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FF7F261">
      <w:pPr>
        <w:autoSpaceDE w:val="0"/>
        <w:autoSpaceDN w:val="0"/>
        <w:spacing w:line="560" w:lineRule="exact"/>
        <w:rPr>
          <w:rFonts w:ascii="宋体" w:hAnsi="宋体"/>
          <w:color w:val="auto"/>
          <w:sz w:val="24"/>
          <w:highlight w:val="none"/>
          <w:lang w:val="zh-CN"/>
        </w:rPr>
      </w:pPr>
    </w:p>
    <w:p w14:paraId="1FE4C8F7">
      <w:pPr>
        <w:pStyle w:val="26"/>
        <w:snapToGrid w:val="0"/>
        <w:spacing w:line="360" w:lineRule="auto"/>
        <w:ind w:left="0" w:leftChars="0" w:firstLine="0" w:firstLineChars="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甲方：                                   乙方：</w:t>
      </w:r>
    </w:p>
    <w:p w14:paraId="08AEFC90">
      <w:pPr>
        <w:pStyle w:val="26"/>
        <w:snapToGrid w:val="0"/>
        <w:spacing w:line="360" w:lineRule="auto"/>
        <w:ind w:left="0" w:leftChars="0"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510C9809">
      <w:pPr>
        <w:pStyle w:val="26"/>
        <w:snapToGrid w:val="0"/>
        <w:spacing w:line="360" w:lineRule="auto"/>
        <w:rPr>
          <w:rFonts w:hint="eastAsia" w:ascii="宋体" w:hAnsi="宋体" w:eastAsia="宋体" w:cs="宋体"/>
          <w:color w:val="auto"/>
          <w:sz w:val="24"/>
          <w:highlight w:val="none"/>
          <w:lang w:val="zh-CN"/>
        </w:rPr>
      </w:pPr>
    </w:p>
    <w:p w14:paraId="196347B9">
      <w:pPr>
        <w:pStyle w:val="26"/>
        <w:snapToGrid w:val="0"/>
        <w:spacing w:line="360" w:lineRule="auto"/>
        <w:ind w:left="0" w:leftChars="0"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0F9B1491">
      <w:pPr>
        <w:pStyle w:val="26"/>
        <w:snapToGrid w:val="0"/>
        <w:spacing w:line="360" w:lineRule="auto"/>
        <w:ind w:left="0" w:leftChars="0"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04E929BC">
      <w:pPr>
        <w:pStyle w:val="26"/>
        <w:snapToGrid w:val="0"/>
        <w:spacing w:line="360" w:lineRule="auto"/>
        <w:ind w:left="0" w:leftChars="0"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授权代表（签字）：                       授权代表（签字）：</w:t>
      </w:r>
    </w:p>
    <w:p w14:paraId="1E86D432">
      <w:pPr>
        <w:pStyle w:val="26"/>
        <w:snapToGrid w:val="0"/>
        <w:spacing w:line="360" w:lineRule="auto"/>
        <w:ind w:left="0" w:leftChars="0"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0373832A">
      <w:pPr>
        <w:pStyle w:val="26"/>
        <w:snapToGrid w:val="0"/>
        <w:spacing w:line="360" w:lineRule="auto"/>
        <w:ind w:left="0" w:leftChars="0"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26585820">
      <w:pPr>
        <w:pStyle w:val="26"/>
        <w:snapToGrid w:val="0"/>
        <w:spacing w:line="360" w:lineRule="auto"/>
        <w:ind w:left="0" w:leftChars="0"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53FCE765">
      <w:pPr>
        <w:pStyle w:val="26"/>
        <w:snapToGrid w:val="0"/>
        <w:spacing w:line="360" w:lineRule="auto"/>
        <w:ind w:left="0" w:leftChars="0"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电话：                                   电话：</w:t>
      </w:r>
    </w:p>
    <w:p w14:paraId="41170DED">
      <w:pPr>
        <w:pStyle w:val="26"/>
        <w:snapToGrid w:val="0"/>
        <w:spacing w:line="360" w:lineRule="auto"/>
        <w:ind w:left="0" w:leftChars="0"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355AD7EB">
      <w:pPr>
        <w:pStyle w:val="26"/>
        <w:snapToGrid w:val="0"/>
        <w:spacing w:line="360" w:lineRule="auto"/>
        <w:ind w:left="0" w:leftChars="0"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电子邮箱：                               电子邮箱：</w:t>
      </w:r>
    </w:p>
    <w:p w14:paraId="6C7ED83D">
      <w:pPr>
        <w:pStyle w:val="26"/>
        <w:snapToGrid w:val="0"/>
        <w:spacing w:line="360" w:lineRule="auto"/>
        <w:ind w:left="0" w:leftChars="0"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开户银行：                               开户银行： </w:t>
      </w:r>
    </w:p>
    <w:p w14:paraId="77000572">
      <w:pPr>
        <w:pStyle w:val="26"/>
        <w:snapToGrid w:val="0"/>
        <w:spacing w:line="360" w:lineRule="auto"/>
        <w:ind w:left="0" w:leftChars="0"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开户名称：                               开户名称： </w:t>
      </w:r>
    </w:p>
    <w:p w14:paraId="1E52BC14">
      <w:pPr>
        <w:pStyle w:val="26"/>
        <w:snapToGrid w:val="0"/>
        <w:spacing w:line="360" w:lineRule="auto"/>
        <w:ind w:left="0" w:leftChars="0"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开户账号：                               开户账号：</w:t>
      </w:r>
    </w:p>
    <w:p w14:paraId="2D6E719B">
      <w:pPr>
        <w:widowControl/>
        <w:spacing w:line="560" w:lineRule="exact"/>
        <w:jc w:val="left"/>
        <w:rPr>
          <w:rFonts w:ascii="宋体" w:hAnsi="宋体"/>
          <w:b/>
          <w:color w:val="auto"/>
          <w:sz w:val="24"/>
          <w:highlight w:val="none"/>
        </w:rPr>
      </w:pPr>
    </w:p>
    <w:p w14:paraId="0C5A904E">
      <w:pPr>
        <w:widowControl/>
        <w:adjustRightInd/>
        <w:jc w:val="left"/>
        <w:rPr>
          <w:rFonts w:ascii="宋体" w:hAnsi="宋体"/>
          <w:b/>
          <w:color w:val="auto"/>
          <w:sz w:val="24"/>
          <w:highlight w:val="none"/>
        </w:rPr>
      </w:pPr>
      <w:r>
        <w:rPr>
          <w:rFonts w:ascii="宋体" w:hAnsi="宋体"/>
          <w:b/>
          <w:color w:val="auto"/>
          <w:highlight w:val="none"/>
        </w:rPr>
        <w:br w:type="page"/>
      </w:r>
    </w:p>
    <w:p w14:paraId="64AABAC2">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F904F3A">
      <w:pPr>
        <w:pStyle w:val="959"/>
        <w:spacing w:before="0" w:beforeAutospacing="0" w:after="0" w:afterAutospacing="0" w:line="360" w:lineRule="auto"/>
        <w:ind w:firstLine="480"/>
        <w:rPr>
          <w:rFonts w:ascii="宋体" w:hAnsi="宋体"/>
          <w:b/>
          <w:color w:val="auto"/>
          <w:sz w:val="24"/>
          <w:highlight w:val="none"/>
        </w:rPr>
      </w:pPr>
      <w:bookmarkStart w:id="426" w:name="_Toc14021"/>
      <w:bookmarkStart w:id="427" w:name="_Toc19680"/>
      <w:bookmarkStart w:id="428" w:name="_Toc31297"/>
      <w:bookmarkStart w:id="429" w:name="_Toc5228"/>
      <w:bookmarkStart w:id="430" w:name="_Toc25079"/>
      <w:r>
        <w:rPr>
          <w:rFonts w:ascii="宋体" w:hAnsi="宋体"/>
          <w:b/>
          <w:color w:val="auto"/>
          <w:sz w:val="24"/>
          <w:highlight w:val="none"/>
        </w:rPr>
        <w:t>2.1 定义</w:t>
      </w:r>
      <w:bookmarkEnd w:id="426"/>
      <w:bookmarkEnd w:id="427"/>
      <w:bookmarkEnd w:id="428"/>
      <w:bookmarkEnd w:id="429"/>
      <w:bookmarkEnd w:id="430"/>
    </w:p>
    <w:p w14:paraId="15861FF2">
      <w:pPr>
        <w:pStyle w:val="26"/>
        <w:snapToGrid w:val="0"/>
        <w:spacing w:line="360" w:lineRule="auto"/>
        <w:rPr>
          <w:rFonts w:ascii="宋体" w:hAnsi="宋体" w:eastAsia="宋体" w:cs="Times New Roman"/>
          <w:color w:val="auto"/>
          <w:sz w:val="24"/>
          <w:highlight w:val="none"/>
        </w:rPr>
      </w:pPr>
      <w:r>
        <w:rPr>
          <w:rFonts w:ascii="宋体" w:hAnsi="宋体" w:eastAsia="宋体" w:cs="Times New Roman"/>
          <w:color w:val="auto"/>
          <w:sz w:val="24"/>
          <w:highlight w:val="none"/>
        </w:rPr>
        <w:t>本合同中的</w:t>
      </w:r>
      <w:r>
        <w:rPr>
          <w:rFonts w:hint="eastAsia" w:ascii="宋体" w:hAnsi="宋体" w:eastAsia="宋体" w:cs="Times New Roman"/>
          <w:color w:val="auto"/>
          <w:sz w:val="24"/>
          <w:highlight w:val="none"/>
        </w:rPr>
        <w:t>下列词</w:t>
      </w:r>
      <w:r>
        <w:rPr>
          <w:rFonts w:ascii="宋体" w:hAnsi="宋体" w:eastAsia="宋体" w:cs="Times New Roman"/>
          <w:color w:val="auto"/>
          <w:sz w:val="24"/>
          <w:highlight w:val="none"/>
        </w:rPr>
        <w:t>语应</w:t>
      </w:r>
      <w:r>
        <w:rPr>
          <w:rFonts w:hint="eastAsia" w:ascii="宋体" w:hAnsi="宋体" w:eastAsia="宋体" w:cs="Times New Roman"/>
          <w:color w:val="auto"/>
          <w:sz w:val="24"/>
          <w:highlight w:val="none"/>
        </w:rPr>
        <w:t>按以下内容进行</w:t>
      </w:r>
      <w:r>
        <w:rPr>
          <w:rFonts w:ascii="宋体" w:hAnsi="宋体" w:eastAsia="宋体" w:cs="Times New Roman"/>
          <w:color w:val="auto"/>
          <w:sz w:val="24"/>
          <w:highlight w:val="none"/>
        </w:rPr>
        <w:t>解释：</w:t>
      </w:r>
    </w:p>
    <w:p w14:paraId="475745D1">
      <w:pPr>
        <w:pStyle w:val="26"/>
        <w:snapToGrid w:val="0"/>
        <w:spacing w:line="360" w:lineRule="auto"/>
        <w:rPr>
          <w:rFonts w:ascii="宋体" w:hAnsi="宋体" w:eastAsia="宋体" w:cs="Times New Roman"/>
          <w:color w:val="auto"/>
          <w:sz w:val="24"/>
          <w:highlight w:val="none"/>
        </w:rPr>
      </w:pPr>
      <w:r>
        <w:rPr>
          <w:rFonts w:ascii="宋体" w:hAnsi="宋体" w:eastAsia="宋体" w:cs="Times New Roman"/>
          <w:color w:val="auto"/>
          <w:sz w:val="24"/>
          <w:highlight w:val="none"/>
        </w:rPr>
        <w:t>2.1.1 “合同”系指采购人和</w:t>
      </w:r>
      <w:r>
        <w:rPr>
          <w:rFonts w:hint="eastAsia" w:ascii="宋体" w:hAnsi="宋体" w:eastAsia="宋体" w:cs="Times New Roman"/>
          <w:color w:val="auto"/>
          <w:sz w:val="24"/>
          <w:highlight w:val="none"/>
        </w:rPr>
        <w:t>中标或成交</w:t>
      </w:r>
      <w:r>
        <w:rPr>
          <w:rFonts w:ascii="宋体" w:hAnsi="宋体" w:eastAsia="宋体" w:cs="Times New Roman"/>
          <w:color w:val="auto"/>
          <w:sz w:val="24"/>
          <w:highlight w:val="none"/>
        </w:rPr>
        <w:t>供应商签订的载明双方当事人所达成的协议，并包括所有的附件、附录和构成合同的其他文件。</w:t>
      </w:r>
    </w:p>
    <w:p w14:paraId="2AA4D604">
      <w:pPr>
        <w:pStyle w:val="26"/>
        <w:snapToGrid w:val="0"/>
        <w:spacing w:line="360" w:lineRule="auto"/>
        <w:rPr>
          <w:rFonts w:ascii="宋体" w:hAnsi="宋体" w:eastAsia="宋体" w:cs="Times New Roman"/>
          <w:color w:val="auto"/>
          <w:sz w:val="24"/>
          <w:highlight w:val="none"/>
        </w:rPr>
      </w:pPr>
      <w:r>
        <w:rPr>
          <w:rFonts w:ascii="宋体" w:hAnsi="宋体" w:eastAsia="宋体" w:cs="Times New Roman"/>
          <w:color w:val="auto"/>
          <w:sz w:val="24"/>
          <w:highlight w:val="none"/>
        </w:rPr>
        <w:t>2.1.2 “合同价”系指根据合同约定，</w:t>
      </w:r>
      <w:r>
        <w:rPr>
          <w:rFonts w:hint="eastAsia" w:ascii="宋体" w:hAnsi="宋体" w:eastAsia="宋体" w:cs="Times New Roman"/>
          <w:color w:val="auto"/>
          <w:sz w:val="24"/>
          <w:highlight w:val="none"/>
        </w:rPr>
        <w:t>中标或成交</w:t>
      </w:r>
      <w:r>
        <w:rPr>
          <w:rFonts w:ascii="宋体" w:hAnsi="宋体" w:eastAsia="宋体" w:cs="Times New Roman"/>
          <w:color w:val="auto"/>
          <w:sz w:val="24"/>
          <w:highlight w:val="none"/>
        </w:rPr>
        <w:t>供应商在完全履行合同义务后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采购人应支付给</w:t>
      </w:r>
      <w:r>
        <w:rPr>
          <w:rFonts w:hint="eastAsia" w:ascii="宋体" w:hAnsi="宋体" w:eastAsia="宋体" w:cs="Times New Roman"/>
          <w:color w:val="auto"/>
          <w:sz w:val="24"/>
          <w:highlight w:val="none"/>
        </w:rPr>
        <w:t>中标或成交</w:t>
      </w:r>
      <w:r>
        <w:rPr>
          <w:rFonts w:ascii="宋体" w:hAnsi="宋体" w:eastAsia="宋体" w:cs="Times New Roman"/>
          <w:color w:val="auto"/>
          <w:sz w:val="24"/>
          <w:highlight w:val="none"/>
        </w:rPr>
        <w:t>供应商的价格。</w:t>
      </w:r>
    </w:p>
    <w:p w14:paraId="51A9D6C7">
      <w:pPr>
        <w:pStyle w:val="26"/>
        <w:snapToGrid w:val="0"/>
        <w:spacing w:line="360" w:lineRule="auto"/>
        <w:rPr>
          <w:rFonts w:ascii="宋体" w:hAnsi="宋体" w:eastAsia="宋体" w:cs="Times New Roman"/>
          <w:color w:val="auto"/>
          <w:sz w:val="24"/>
          <w:highlight w:val="none"/>
        </w:rPr>
      </w:pPr>
      <w:r>
        <w:rPr>
          <w:rFonts w:ascii="宋体" w:hAnsi="宋体" w:eastAsia="宋体" w:cs="Times New Roman"/>
          <w:color w:val="auto"/>
          <w:sz w:val="24"/>
          <w:highlight w:val="none"/>
        </w:rPr>
        <w:t>2.1.3 “</w:t>
      </w: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”系指</w:t>
      </w:r>
      <w:r>
        <w:rPr>
          <w:rFonts w:hint="eastAsia" w:ascii="宋体" w:hAnsi="宋体" w:eastAsia="宋体" w:cs="Times New Roman"/>
          <w:color w:val="auto"/>
          <w:sz w:val="24"/>
          <w:highlight w:val="none"/>
        </w:rPr>
        <w:t>中标或成交供应商</w:t>
      </w:r>
      <w:r>
        <w:rPr>
          <w:rFonts w:ascii="宋体" w:hAnsi="宋体" w:eastAsia="宋体" w:cs="Times New Roman"/>
          <w:color w:val="auto"/>
          <w:sz w:val="24"/>
          <w:highlight w:val="none"/>
        </w:rPr>
        <w:t>根据合同约定应向采购人</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除货物和工程以外的其他政府采购对象，包括采购人自身需要的服务和向社会公众提供的公共服务。</w:t>
      </w:r>
    </w:p>
    <w:p w14:paraId="4FBEFDE1">
      <w:pPr>
        <w:pStyle w:val="26"/>
        <w:snapToGrid w:val="0"/>
        <w:spacing w:line="360" w:lineRule="auto"/>
        <w:rPr>
          <w:rFonts w:ascii="宋体" w:hAnsi="宋体" w:eastAsia="宋体" w:cs="Times New Roman"/>
          <w:color w:val="auto"/>
          <w:sz w:val="24"/>
          <w:highlight w:val="none"/>
        </w:rPr>
      </w:pPr>
      <w:r>
        <w:rPr>
          <w:rFonts w:ascii="宋体" w:hAnsi="宋体" w:eastAsia="宋体" w:cs="Times New Roman"/>
          <w:color w:val="auto"/>
          <w:sz w:val="24"/>
          <w:highlight w:val="none"/>
        </w:rPr>
        <w:t>2.1.4 “</w:t>
      </w:r>
      <w:r>
        <w:rPr>
          <w:rFonts w:hint="eastAsia" w:ascii="宋体" w:hAnsi="宋体" w:eastAsia="宋体" w:cs="Times New Roman"/>
          <w:color w:val="auto"/>
          <w:sz w:val="24"/>
          <w:highlight w:val="none"/>
        </w:rPr>
        <w:t>甲方</w:t>
      </w:r>
      <w:r>
        <w:rPr>
          <w:rFonts w:ascii="宋体" w:hAnsi="宋体" w:eastAsia="宋体" w:cs="Times New Roman"/>
          <w:color w:val="auto"/>
          <w:sz w:val="24"/>
          <w:highlight w:val="none"/>
        </w:rPr>
        <w:t>”系指与</w:t>
      </w:r>
      <w:r>
        <w:rPr>
          <w:rFonts w:hint="eastAsia" w:ascii="宋体" w:hAnsi="宋体" w:eastAsia="宋体" w:cs="Times New Roman"/>
          <w:color w:val="auto"/>
          <w:sz w:val="24"/>
          <w:highlight w:val="none"/>
        </w:rPr>
        <w:t>中标或成交供应商</w:t>
      </w:r>
      <w:r>
        <w:rPr>
          <w:rFonts w:ascii="宋体" w:hAnsi="宋体" w:eastAsia="宋体" w:cs="Times New Roman"/>
          <w:color w:val="auto"/>
          <w:sz w:val="24"/>
          <w:highlight w:val="none"/>
        </w:rPr>
        <w:t>签署合同的采购人</w:t>
      </w:r>
      <w:r>
        <w:rPr>
          <w:rFonts w:hint="eastAsia" w:ascii="宋体" w:hAnsi="宋体" w:eastAsia="宋体" w:cs="Times New Roman"/>
          <w:color w:val="auto"/>
          <w:sz w:val="24"/>
          <w:highlight w:val="none"/>
        </w:rPr>
        <w:t>；采购人委托采购代理机构代表其与乙方签订合同的，采购人的授权委托书作为合同附件。</w:t>
      </w:r>
    </w:p>
    <w:p w14:paraId="5AC03BBF">
      <w:pPr>
        <w:pStyle w:val="26"/>
        <w:snapToGrid w:val="0"/>
        <w:spacing w:line="360" w:lineRule="auto"/>
        <w:rPr>
          <w:rFonts w:ascii="宋体" w:hAnsi="宋体" w:eastAsia="宋体" w:cs="Times New Roman"/>
          <w:color w:val="auto"/>
          <w:sz w:val="24"/>
          <w:highlight w:val="none"/>
        </w:rPr>
      </w:pPr>
      <w:r>
        <w:rPr>
          <w:rFonts w:ascii="宋体" w:hAnsi="宋体" w:eastAsia="宋体" w:cs="Times New Roman"/>
          <w:color w:val="auto"/>
          <w:sz w:val="24"/>
          <w:highlight w:val="none"/>
        </w:rPr>
        <w:t>2.1.5 “乙方”系指根据合同约定提供服务的</w:t>
      </w:r>
      <w:r>
        <w:rPr>
          <w:rFonts w:hint="eastAsia" w:ascii="宋体" w:hAnsi="宋体" w:eastAsia="宋体" w:cs="Times New Roman"/>
          <w:color w:val="auto"/>
          <w:sz w:val="24"/>
          <w:highlight w:val="none"/>
        </w:rPr>
        <w:t>中标或成交</w:t>
      </w:r>
      <w:r>
        <w:rPr>
          <w:rFonts w:ascii="宋体" w:hAnsi="宋体" w:eastAsia="宋体" w:cs="Times New Roman"/>
          <w:color w:val="auto"/>
          <w:sz w:val="24"/>
          <w:highlight w:val="none"/>
        </w:rPr>
        <w:t>供应商</w:t>
      </w:r>
      <w:r>
        <w:rPr>
          <w:rFonts w:hint="eastAsia" w:ascii="宋体" w:hAnsi="宋体" w:eastAsia="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999102B">
      <w:pPr>
        <w:pStyle w:val="26"/>
        <w:snapToGrid w:val="0"/>
        <w:spacing w:line="360" w:lineRule="auto"/>
        <w:rPr>
          <w:rFonts w:ascii="宋体" w:hAnsi="宋体" w:eastAsia="宋体" w:cs="Times New Roman"/>
          <w:color w:val="auto"/>
          <w:sz w:val="24"/>
          <w:highlight w:val="none"/>
        </w:rPr>
      </w:pPr>
      <w:r>
        <w:rPr>
          <w:rFonts w:ascii="宋体" w:hAnsi="宋体" w:eastAsia="宋体" w:cs="Times New Roman"/>
          <w:color w:val="auto"/>
          <w:sz w:val="24"/>
          <w:highlight w:val="none"/>
        </w:rPr>
        <w:t>2.1.6 “现场”系指合同约定提供服务的地点。</w:t>
      </w:r>
    </w:p>
    <w:p w14:paraId="07D4A742">
      <w:pPr>
        <w:pStyle w:val="959"/>
        <w:spacing w:before="0" w:beforeAutospacing="0" w:after="0" w:afterAutospacing="0" w:line="360" w:lineRule="auto"/>
        <w:ind w:firstLine="480"/>
        <w:rPr>
          <w:rFonts w:ascii="宋体" w:hAnsi="宋体"/>
          <w:b/>
          <w:color w:val="auto"/>
          <w:sz w:val="24"/>
          <w:highlight w:val="none"/>
        </w:rPr>
      </w:pPr>
      <w:bookmarkStart w:id="431" w:name="_Toc31402"/>
      <w:bookmarkStart w:id="432" w:name="_Toc16752"/>
      <w:bookmarkStart w:id="433" w:name="_Toc19539"/>
      <w:bookmarkStart w:id="434" w:name="_Toc3769"/>
      <w:bookmarkStart w:id="435" w:name="_Toc23289"/>
      <w:r>
        <w:rPr>
          <w:rFonts w:ascii="宋体" w:hAnsi="宋体"/>
          <w:b/>
          <w:color w:val="auto"/>
          <w:sz w:val="24"/>
          <w:highlight w:val="none"/>
        </w:rPr>
        <w:t>2.2 技术规范</w:t>
      </w:r>
      <w:bookmarkEnd w:id="431"/>
      <w:bookmarkEnd w:id="432"/>
      <w:bookmarkEnd w:id="433"/>
      <w:bookmarkEnd w:id="434"/>
      <w:bookmarkEnd w:id="435"/>
    </w:p>
    <w:p w14:paraId="242B38F9">
      <w:pPr>
        <w:pStyle w:val="26"/>
        <w:snapToGrid w:val="0"/>
        <w:spacing w:line="360" w:lineRule="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如果采购文件中没有技术规范的相应说明，那么应以国家有关部门最新颁布的相应标准</w:t>
      </w:r>
      <w:r>
        <w:rPr>
          <w:rFonts w:hint="eastAsia" w:ascii="宋体" w:hAnsi="宋体" w:eastAsia="宋体" w:cs="Times New Roman"/>
          <w:color w:val="auto"/>
          <w:sz w:val="24"/>
          <w:highlight w:val="none"/>
        </w:rPr>
        <w:t>和</w:t>
      </w:r>
      <w:r>
        <w:rPr>
          <w:rFonts w:ascii="宋体" w:hAnsi="宋体" w:eastAsia="宋体" w:cs="Times New Roman"/>
          <w:color w:val="auto"/>
          <w:sz w:val="24"/>
          <w:highlight w:val="none"/>
        </w:rPr>
        <w:t>规范为准。</w:t>
      </w:r>
    </w:p>
    <w:p w14:paraId="73C7E447">
      <w:pPr>
        <w:pStyle w:val="959"/>
        <w:spacing w:before="0" w:beforeAutospacing="0" w:after="0" w:afterAutospacing="0" w:line="360" w:lineRule="auto"/>
        <w:ind w:firstLine="480"/>
        <w:rPr>
          <w:rFonts w:ascii="宋体" w:hAnsi="宋体"/>
          <w:b/>
          <w:color w:val="auto"/>
          <w:sz w:val="24"/>
          <w:highlight w:val="none"/>
        </w:rPr>
      </w:pPr>
      <w:bookmarkStart w:id="436" w:name="_Toc27945"/>
      <w:bookmarkStart w:id="437" w:name="_Toc4133"/>
      <w:bookmarkStart w:id="438" w:name="_Toc13673"/>
      <w:bookmarkStart w:id="439" w:name="_Toc9161"/>
      <w:bookmarkStart w:id="440" w:name="_Toc12412"/>
      <w:r>
        <w:rPr>
          <w:rFonts w:ascii="宋体" w:hAnsi="宋体"/>
          <w:b/>
          <w:color w:val="auto"/>
          <w:sz w:val="24"/>
          <w:highlight w:val="none"/>
        </w:rPr>
        <w:t xml:space="preserve">2.3 </w:t>
      </w:r>
      <w:r>
        <w:rPr>
          <w:rFonts w:ascii="宋体" w:hAnsi="宋体" w:eastAsia="宋体" w:cs="宋体"/>
          <w:b/>
          <w:color w:val="auto"/>
          <w:sz w:val="24"/>
          <w:highlight w:val="none"/>
        </w:rPr>
        <w:t>知识</w:t>
      </w:r>
      <w:r>
        <w:rPr>
          <w:rFonts w:ascii="宋体" w:hAnsi="宋体"/>
          <w:b/>
          <w:color w:val="auto"/>
          <w:sz w:val="24"/>
          <w:highlight w:val="none"/>
        </w:rPr>
        <w:t>产权</w:t>
      </w:r>
      <w:bookmarkEnd w:id="436"/>
      <w:bookmarkEnd w:id="437"/>
      <w:bookmarkEnd w:id="438"/>
      <w:bookmarkEnd w:id="439"/>
      <w:bookmarkEnd w:id="440"/>
    </w:p>
    <w:p w14:paraId="4D01F118">
      <w:pPr>
        <w:pStyle w:val="26"/>
        <w:snapToGrid w:val="0"/>
        <w:spacing w:line="360" w:lineRule="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2.3.1 </w:t>
      </w:r>
      <w:r>
        <w:rPr>
          <w:rFonts w:hint="eastAsia" w:ascii="宋体" w:hAnsi="宋体" w:eastAsia="宋体" w:cs="Times New Roman"/>
          <w:color w:val="auto"/>
          <w:sz w:val="24"/>
          <w:highlight w:val="none"/>
        </w:rPr>
        <w:t>乙</w:t>
      </w:r>
      <w:r>
        <w:rPr>
          <w:rFonts w:ascii="宋体" w:hAnsi="宋体" w:eastAsia="宋体" w:cs="Times New Roman"/>
          <w:color w:val="auto"/>
          <w:sz w:val="24"/>
          <w:highlight w:val="none"/>
        </w:rPr>
        <w:t>方应保证</w:t>
      </w:r>
      <w:r>
        <w:rPr>
          <w:rFonts w:hint="eastAsia" w:ascii="宋体" w:hAnsi="宋体" w:eastAsia="宋体" w:cs="Times New Roman"/>
          <w:color w:val="auto"/>
          <w:sz w:val="24"/>
          <w:highlight w:val="none"/>
        </w:rPr>
        <w:t>其提供的服务</w:t>
      </w:r>
      <w:r>
        <w:rPr>
          <w:rFonts w:ascii="宋体" w:hAnsi="宋体" w:eastAsia="宋体" w:cs="Times New Roman"/>
          <w:color w:val="auto"/>
          <w:sz w:val="24"/>
          <w:highlight w:val="none"/>
        </w:rPr>
        <w:t>不受任何第三方提出的侵犯其著作权、商标权、专利权等知识产权方面的起诉</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如果任何第三方提出侵权</w:t>
      </w:r>
      <w:r>
        <w:rPr>
          <w:rFonts w:hint="eastAsia" w:ascii="宋体" w:hAnsi="宋体" w:eastAsia="宋体" w:cs="Times New Roman"/>
          <w:color w:val="auto"/>
          <w:sz w:val="24"/>
          <w:highlight w:val="none"/>
        </w:rPr>
        <w:t>指控</w:t>
      </w:r>
      <w:r>
        <w:rPr>
          <w:rFonts w:ascii="宋体" w:hAnsi="宋体" w:eastAsia="宋体" w:cs="Times New Roman"/>
          <w:color w:val="auto"/>
          <w:sz w:val="24"/>
          <w:highlight w:val="none"/>
        </w:rPr>
        <w:t>，那么乙方须与该第三方交涉并承担由此发生的一切责任、费用和赔偿</w:t>
      </w:r>
      <w:r>
        <w:rPr>
          <w:rFonts w:hint="eastAsia" w:ascii="宋体" w:hAnsi="宋体" w:eastAsia="宋体" w:cs="Times New Roman"/>
          <w:color w:val="auto"/>
          <w:sz w:val="24"/>
          <w:highlight w:val="none"/>
        </w:rPr>
        <w:t>，乙方还应及时澄清相关信息，使甲方声誉免受损害，甲方保留追责的权利。</w:t>
      </w:r>
    </w:p>
    <w:p w14:paraId="5BF3DB9C">
      <w:pPr>
        <w:pStyle w:val="26"/>
        <w:snapToGrid w:val="0"/>
        <w:spacing w:line="360" w:lineRule="auto"/>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w:t>
      </w:r>
      <w:r>
        <w:rPr>
          <w:rFonts w:hint="eastAsia" w:ascii="宋体" w:hAnsi="宋体" w:eastAsia="宋体" w:cs="Times New Roman"/>
          <w:color w:val="auto"/>
          <w:sz w:val="24"/>
          <w:highlight w:val="none"/>
        </w:rPr>
        <w:t>涉及</w:t>
      </w:r>
      <w:r>
        <w:rPr>
          <w:rFonts w:hint="eastAsia" w:ascii="宋体" w:hAnsi="宋体"/>
          <w:color w:val="auto"/>
          <w:sz w:val="24"/>
          <w:highlight w:val="none"/>
        </w:rPr>
        <w:t>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EEB6B88">
      <w:pPr>
        <w:pStyle w:val="959"/>
        <w:spacing w:before="0" w:beforeAutospacing="0" w:after="0" w:afterAutospacing="0" w:line="360" w:lineRule="auto"/>
        <w:ind w:firstLine="48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1BCDBCDB">
      <w:pPr>
        <w:pStyle w:val="26"/>
        <w:snapToGrid w:val="0"/>
        <w:spacing w:line="360" w:lineRule="auto"/>
        <w:rPr>
          <w:rFonts w:ascii="宋体" w:hAnsi="宋体" w:eastAsia="宋体" w:cs="Times New Roman"/>
          <w:color w:val="auto"/>
          <w:sz w:val="24"/>
          <w:highlight w:val="none"/>
        </w:rPr>
      </w:pPr>
      <w:r>
        <w:rPr>
          <w:rFonts w:ascii="宋体" w:hAnsi="宋体" w:eastAsia="宋体" w:cs="Times New Roman"/>
          <w:color w:val="auto"/>
          <w:sz w:val="24"/>
          <w:highlight w:val="none"/>
        </w:rPr>
        <w:t>2.4.1甲方</w:t>
      </w:r>
      <w:r>
        <w:rPr>
          <w:rFonts w:hint="eastAsia" w:ascii="宋体" w:hAnsi="宋体" w:eastAsia="宋体" w:cs="Times New Roman"/>
          <w:color w:val="auto"/>
          <w:sz w:val="24"/>
          <w:highlight w:val="none"/>
        </w:rPr>
        <w:t>有权</w:t>
      </w:r>
      <w:r>
        <w:rPr>
          <w:rFonts w:ascii="宋体" w:hAnsi="宋体" w:eastAsia="宋体" w:cs="Times New Roman"/>
          <w:color w:val="auto"/>
          <w:sz w:val="24"/>
          <w:highlight w:val="none"/>
        </w:rPr>
        <w:t>在其认为必要时</w:t>
      </w:r>
      <w:r>
        <w:rPr>
          <w:rFonts w:hint="eastAsia" w:ascii="宋体" w:hAnsi="宋体"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787B61E">
      <w:pPr>
        <w:pStyle w:val="26"/>
        <w:snapToGrid w:val="0"/>
        <w:spacing w:line="360" w:lineRule="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合同履行期间，甲方有权将履行过程中出现的问题反馈给乙方，双方当事人应以书面形式约定需要完善和改进的内容。</w:t>
      </w:r>
    </w:p>
    <w:p w14:paraId="2A21E854">
      <w:pPr>
        <w:pStyle w:val="959"/>
        <w:spacing w:before="0" w:beforeAutospacing="0" w:after="0" w:afterAutospacing="0" w:line="360" w:lineRule="auto"/>
        <w:ind w:firstLine="480"/>
        <w:rPr>
          <w:rFonts w:ascii="宋体" w:hAnsi="宋体"/>
          <w:b/>
          <w:color w:val="auto"/>
          <w:sz w:val="24"/>
          <w:highlight w:val="none"/>
        </w:rPr>
      </w:pPr>
      <w:bookmarkStart w:id="441" w:name="_Toc26555"/>
      <w:bookmarkStart w:id="442" w:name="_Toc15447"/>
      <w:bookmarkStart w:id="443" w:name="_Toc32670"/>
      <w:bookmarkStart w:id="444" w:name="_Toc22011"/>
      <w:bookmarkStart w:id="445" w:name="_Toc31233"/>
      <w:r>
        <w:rPr>
          <w:rFonts w:ascii="宋体" w:hAnsi="宋体"/>
          <w:b/>
          <w:color w:val="auto"/>
          <w:sz w:val="24"/>
          <w:highlight w:val="none"/>
        </w:rPr>
        <w:t>2.5 结算方式和付款条件</w:t>
      </w:r>
      <w:bookmarkEnd w:id="441"/>
      <w:bookmarkEnd w:id="442"/>
      <w:bookmarkEnd w:id="443"/>
      <w:bookmarkEnd w:id="444"/>
      <w:bookmarkEnd w:id="445"/>
    </w:p>
    <w:p w14:paraId="208B94F6">
      <w:pPr>
        <w:pStyle w:val="26"/>
        <w:snapToGrid w:val="0"/>
        <w:spacing w:line="360" w:lineRule="auto"/>
        <w:rPr>
          <w:rFonts w:ascii="宋体" w:hAnsi="宋体"/>
          <w:color w:val="auto"/>
          <w:sz w:val="24"/>
          <w:highlight w:val="none"/>
        </w:rPr>
      </w:pPr>
      <w:r>
        <w:rPr>
          <w:rFonts w:hint="eastAsia" w:ascii="宋体" w:hAnsi="宋体" w:eastAsia="宋体" w:cs="Times New Roman"/>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F63D3FD">
      <w:pPr>
        <w:pStyle w:val="959"/>
        <w:spacing w:before="0" w:beforeAutospacing="0" w:after="0" w:afterAutospacing="0" w:line="360" w:lineRule="auto"/>
        <w:ind w:firstLine="480"/>
        <w:rPr>
          <w:rFonts w:ascii="宋体" w:hAnsi="宋体"/>
          <w:b/>
          <w:color w:val="auto"/>
          <w:sz w:val="24"/>
          <w:highlight w:val="none"/>
        </w:rPr>
      </w:pPr>
      <w:bookmarkStart w:id="446" w:name="_Toc30507"/>
      <w:bookmarkStart w:id="447" w:name="_Toc13467"/>
      <w:bookmarkStart w:id="448" w:name="_Toc13154"/>
      <w:bookmarkStart w:id="449" w:name="_Toc18990"/>
      <w:bookmarkStart w:id="450" w:name="_Toc16163"/>
      <w:r>
        <w:rPr>
          <w:rFonts w:ascii="宋体" w:hAnsi="宋体"/>
          <w:b/>
          <w:color w:val="auto"/>
          <w:sz w:val="24"/>
          <w:highlight w:val="none"/>
        </w:rPr>
        <w:t>2.6 技术</w:t>
      </w:r>
      <w:r>
        <w:rPr>
          <w:rFonts w:ascii="宋体" w:hAnsi="宋体" w:eastAsia="宋体" w:cs="宋体"/>
          <w:b/>
          <w:color w:val="auto"/>
          <w:sz w:val="24"/>
          <w:highlight w:val="none"/>
        </w:rPr>
        <w:t>资料</w:t>
      </w:r>
      <w:r>
        <w:rPr>
          <w:rFonts w:ascii="宋体" w:hAnsi="宋体"/>
          <w:b/>
          <w:color w:val="auto"/>
          <w:sz w:val="24"/>
          <w:highlight w:val="none"/>
        </w:rPr>
        <w:t>和</w:t>
      </w:r>
      <w:r>
        <w:rPr>
          <w:rFonts w:hint="eastAsia"/>
          <w:b/>
          <w:color w:val="auto"/>
          <w:sz w:val="24"/>
          <w:highlight w:val="none"/>
          <w:lang w:eastAsia="zh-CN"/>
        </w:rPr>
        <w:t>安全</w:t>
      </w:r>
      <w:r>
        <w:rPr>
          <w:rFonts w:ascii="宋体" w:hAnsi="宋体"/>
          <w:b/>
          <w:color w:val="auto"/>
          <w:sz w:val="24"/>
          <w:highlight w:val="none"/>
        </w:rPr>
        <w:t>义务</w:t>
      </w:r>
      <w:bookmarkEnd w:id="446"/>
      <w:bookmarkEnd w:id="447"/>
      <w:bookmarkEnd w:id="448"/>
      <w:bookmarkEnd w:id="449"/>
      <w:bookmarkEnd w:id="450"/>
    </w:p>
    <w:p w14:paraId="110AFC89">
      <w:pPr>
        <w:pStyle w:val="26"/>
        <w:snapToGrid w:val="0"/>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2.6.1 乙方有权依据合同约定和项目需要，向甲方了解有关情况，调阅有关资料等，甲方应予积极配合；</w:t>
      </w:r>
    </w:p>
    <w:p w14:paraId="4C61CC9D">
      <w:pPr>
        <w:pStyle w:val="26"/>
        <w:snapToGrid w:val="0"/>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2.6.2 乙方有义务妥善保管和保护由甲方提供的前款信息和资料等；</w:t>
      </w:r>
    </w:p>
    <w:p w14:paraId="2F05B9FF">
      <w:pPr>
        <w:pStyle w:val="26"/>
        <w:snapToGrid w:val="0"/>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w:t>
      </w:r>
      <w:r>
        <w:rPr>
          <w:rFonts w:hint="eastAsia" w:cs="Times New Roman"/>
          <w:color w:val="auto"/>
          <w:sz w:val="24"/>
          <w:highlight w:val="none"/>
          <w:lang w:eastAsia="zh-CN"/>
        </w:rPr>
        <w:t>安全</w:t>
      </w:r>
      <w:r>
        <w:rPr>
          <w:rFonts w:hint="eastAsia" w:ascii="宋体" w:hAnsi="宋体" w:eastAsia="宋体" w:cs="Times New Roman"/>
          <w:color w:val="auto"/>
          <w:sz w:val="24"/>
          <w:highlight w:val="none"/>
        </w:rPr>
        <w:t>信息和资料。</w:t>
      </w:r>
    </w:p>
    <w:p w14:paraId="2826F575">
      <w:pPr>
        <w:pStyle w:val="959"/>
        <w:spacing w:before="0" w:beforeAutospacing="0" w:after="0" w:afterAutospacing="0" w:line="360" w:lineRule="auto"/>
        <w:ind w:firstLine="480"/>
        <w:rPr>
          <w:rFonts w:ascii="宋体" w:hAnsi="宋体"/>
          <w:b/>
          <w:color w:val="auto"/>
          <w:sz w:val="24"/>
          <w:highlight w:val="none"/>
        </w:rPr>
      </w:pPr>
      <w:bookmarkStart w:id="451"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1"/>
    </w:p>
    <w:p w14:paraId="346170A2">
      <w:pPr>
        <w:pStyle w:val="26"/>
        <w:snapToGrid w:val="0"/>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2.7.1 乙方应建立和完善履行合同的内部质量保证体系，并提供相关内部规章制度给甲方，以便甲方进行监督检查；</w:t>
      </w:r>
    </w:p>
    <w:p w14:paraId="2D1D080E">
      <w:pPr>
        <w:pStyle w:val="26"/>
        <w:snapToGrid w:val="0"/>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2.7.2 乙方应保证履行合同的人员数量和素质、软件和硬件设备的配置、场地、环境和设施等满足全面履行合同的要求，并应接受甲方的监督检查。</w:t>
      </w:r>
    </w:p>
    <w:p w14:paraId="227B6399">
      <w:pPr>
        <w:pStyle w:val="959"/>
        <w:spacing w:before="0" w:beforeAutospacing="0" w:after="0" w:afterAutospacing="0" w:line="360" w:lineRule="auto"/>
        <w:ind w:firstLine="480"/>
        <w:rPr>
          <w:rFonts w:ascii="宋体" w:hAnsi="宋体"/>
          <w:b/>
          <w:color w:val="auto"/>
          <w:sz w:val="24"/>
          <w:highlight w:val="none"/>
        </w:rPr>
      </w:pPr>
      <w:bookmarkStart w:id="452" w:name="_Toc22267"/>
      <w:r>
        <w:rPr>
          <w:rFonts w:ascii="宋体" w:hAnsi="宋体"/>
          <w:b/>
          <w:color w:val="auto"/>
          <w:sz w:val="24"/>
          <w:highlight w:val="none"/>
        </w:rPr>
        <w:t xml:space="preserve">2.8 </w:t>
      </w:r>
      <w:r>
        <w:rPr>
          <w:rFonts w:hint="eastAsia" w:ascii="宋体" w:hAnsi="宋体" w:eastAsia="宋体" w:cs="宋体"/>
          <w:b/>
          <w:color w:val="auto"/>
          <w:sz w:val="24"/>
          <w:highlight w:val="none"/>
        </w:rPr>
        <w:t>延迟</w:t>
      </w:r>
      <w:r>
        <w:rPr>
          <w:rFonts w:hint="eastAsia" w:ascii="宋体" w:hAnsi="宋体"/>
          <w:b/>
          <w:color w:val="auto"/>
          <w:sz w:val="24"/>
          <w:highlight w:val="none"/>
        </w:rPr>
        <w:t>履行</w:t>
      </w:r>
      <w:bookmarkEnd w:id="452"/>
    </w:p>
    <w:p w14:paraId="7AEE6E10">
      <w:pPr>
        <w:pStyle w:val="26"/>
        <w:snapToGrid w:val="0"/>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65AD0F6">
      <w:pPr>
        <w:pStyle w:val="959"/>
        <w:spacing w:before="0" w:beforeAutospacing="0" w:after="0" w:afterAutospacing="0" w:line="360" w:lineRule="auto"/>
        <w:ind w:firstLine="480"/>
        <w:rPr>
          <w:rFonts w:ascii="宋体" w:hAnsi="宋体"/>
          <w:b/>
          <w:color w:val="auto"/>
          <w:sz w:val="24"/>
          <w:highlight w:val="none"/>
        </w:rPr>
      </w:pPr>
      <w:bookmarkStart w:id="453" w:name="_Toc10611"/>
      <w:r>
        <w:rPr>
          <w:rFonts w:ascii="宋体" w:hAnsi="宋体"/>
          <w:b/>
          <w:color w:val="auto"/>
          <w:sz w:val="24"/>
          <w:highlight w:val="none"/>
        </w:rPr>
        <w:t xml:space="preserve">2.9 </w:t>
      </w:r>
      <w:r>
        <w:rPr>
          <w:rFonts w:hint="eastAsia" w:ascii="宋体" w:hAnsi="宋体" w:eastAsia="宋体" w:cs="宋体"/>
          <w:b/>
          <w:color w:val="auto"/>
          <w:sz w:val="24"/>
          <w:highlight w:val="none"/>
        </w:rPr>
        <w:t>合同</w:t>
      </w:r>
      <w:r>
        <w:rPr>
          <w:rFonts w:hint="eastAsia" w:ascii="宋体" w:hAnsi="宋体"/>
          <w:b/>
          <w:color w:val="auto"/>
          <w:sz w:val="24"/>
          <w:highlight w:val="none"/>
        </w:rPr>
        <w:t>变更</w:t>
      </w:r>
      <w:bookmarkEnd w:id="453"/>
    </w:p>
    <w:p w14:paraId="67869A12">
      <w:pPr>
        <w:pStyle w:val="26"/>
        <w:snapToGrid w:val="0"/>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66BEF39">
      <w:pPr>
        <w:pStyle w:val="959"/>
        <w:spacing w:before="0" w:beforeAutospacing="0" w:after="0" w:afterAutospacing="0" w:line="360" w:lineRule="auto"/>
        <w:ind w:firstLine="480"/>
        <w:rPr>
          <w:rFonts w:ascii="宋体" w:hAnsi="宋体"/>
          <w:b/>
          <w:color w:val="auto"/>
          <w:sz w:val="24"/>
          <w:highlight w:val="none"/>
        </w:rPr>
      </w:pPr>
      <w:bookmarkStart w:id="454" w:name="_Toc42"/>
      <w:bookmarkStart w:id="455" w:name="_Toc21830"/>
      <w:bookmarkStart w:id="456" w:name="_Toc10663"/>
      <w:bookmarkStart w:id="457" w:name="_Toc23368"/>
      <w:bookmarkStart w:id="458" w:name="_Toc26689"/>
      <w:r>
        <w:rPr>
          <w:rFonts w:ascii="宋体" w:hAnsi="宋体"/>
          <w:b/>
          <w:color w:val="auto"/>
          <w:sz w:val="24"/>
          <w:highlight w:val="none"/>
        </w:rPr>
        <w:t>2.10 合同转让和分包</w:t>
      </w:r>
      <w:bookmarkEnd w:id="454"/>
      <w:bookmarkEnd w:id="455"/>
      <w:bookmarkEnd w:id="456"/>
      <w:bookmarkEnd w:id="457"/>
      <w:bookmarkEnd w:id="458"/>
    </w:p>
    <w:p w14:paraId="46A9B530">
      <w:pPr>
        <w:pStyle w:val="26"/>
        <w:snapToGrid w:val="0"/>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CC1F027">
      <w:pPr>
        <w:pStyle w:val="959"/>
        <w:spacing w:before="0" w:beforeAutospacing="0" w:after="0" w:afterAutospacing="0" w:line="360" w:lineRule="auto"/>
        <w:ind w:firstLine="480"/>
        <w:rPr>
          <w:rFonts w:ascii="宋体" w:hAnsi="宋体"/>
          <w:b/>
          <w:color w:val="auto"/>
          <w:sz w:val="24"/>
          <w:highlight w:val="none"/>
        </w:rPr>
      </w:pPr>
      <w:bookmarkStart w:id="459" w:name="_Toc25571"/>
      <w:bookmarkStart w:id="460" w:name="_Toc4720"/>
      <w:bookmarkStart w:id="461" w:name="_Toc14371"/>
      <w:bookmarkStart w:id="462" w:name="_Toc32494"/>
      <w:bookmarkStart w:id="463" w:name="_Toc26633"/>
      <w:r>
        <w:rPr>
          <w:rFonts w:ascii="宋体" w:hAnsi="宋体"/>
          <w:b/>
          <w:color w:val="auto"/>
          <w:sz w:val="24"/>
          <w:highlight w:val="none"/>
        </w:rPr>
        <w:t xml:space="preserve">2.11 </w:t>
      </w:r>
      <w:r>
        <w:rPr>
          <w:rFonts w:ascii="宋体" w:hAnsi="宋体" w:eastAsia="宋体" w:cs="宋体"/>
          <w:b/>
          <w:color w:val="auto"/>
          <w:sz w:val="24"/>
          <w:highlight w:val="none"/>
        </w:rPr>
        <w:t>不可抗力</w:t>
      </w:r>
      <w:bookmarkEnd w:id="459"/>
      <w:bookmarkEnd w:id="460"/>
      <w:bookmarkEnd w:id="461"/>
      <w:bookmarkEnd w:id="462"/>
      <w:bookmarkEnd w:id="463"/>
    </w:p>
    <w:p w14:paraId="65186890">
      <w:pPr>
        <w:pStyle w:val="26"/>
        <w:snapToGrid w:val="0"/>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2.11.1如果任何一方遭遇法律规定的不可抗力，致使合同履行受阻时，履行合同的期限应予延长，延长的期限应相当于不可抗力所影响的时间；</w:t>
      </w:r>
    </w:p>
    <w:p w14:paraId="25D3E6FF">
      <w:pPr>
        <w:pStyle w:val="26"/>
        <w:snapToGrid w:val="0"/>
        <w:spacing w:line="360" w:lineRule="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2.11.2 因不可抗力致使不能实现合同目的的，当事人可以解除合同；</w:t>
      </w:r>
    </w:p>
    <w:p w14:paraId="34161BC4">
      <w:pPr>
        <w:pStyle w:val="26"/>
        <w:snapToGrid w:val="0"/>
        <w:spacing w:line="360" w:lineRule="auto"/>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hint="eastAsia" w:ascii="宋体" w:hAnsi="宋体" w:eastAsia="宋体" w:cs="Times New Roman"/>
          <w:color w:val="auto"/>
          <w:sz w:val="24"/>
          <w:highlight w:val="none"/>
        </w:rPr>
        <w:t>不可抗力</w:t>
      </w:r>
      <w:r>
        <w:rPr>
          <w:rFonts w:ascii="宋体" w:hAnsi="宋体"/>
          <w:color w:val="auto"/>
          <w:sz w:val="24"/>
          <w:highlight w:val="none"/>
        </w:rPr>
        <w:t>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3048D12">
      <w:pPr>
        <w:pStyle w:val="26"/>
        <w:snapToGrid w:val="0"/>
        <w:spacing w:line="360" w:lineRule="auto"/>
        <w:rPr>
          <w:rFonts w:ascii="宋体" w:hAnsi="宋体"/>
          <w:color w:val="auto"/>
          <w:sz w:val="24"/>
          <w:highlight w:val="none"/>
        </w:rPr>
      </w:pPr>
      <w:r>
        <w:rPr>
          <w:rFonts w:ascii="宋体" w:hAnsi="宋体"/>
          <w:color w:val="auto"/>
          <w:sz w:val="24"/>
          <w:highlight w:val="none"/>
        </w:rPr>
        <w:t>2.11.4受</w:t>
      </w:r>
      <w:r>
        <w:rPr>
          <w:rFonts w:hint="eastAsia" w:ascii="宋体" w:hAnsi="宋体" w:eastAsia="宋体" w:cs="Times New Roman"/>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5942C5EB">
      <w:pPr>
        <w:pStyle w:val="959"/>
        <w:spacing w:before="0" w:beforeAutospacing="0" w:after="0" w:afterAutospacing="0" w:line="360" w:lineRule="auto"/>
        <w:ind w:firstLine="480"/>
        <w:rPr>
          <w:rFonts w:ascii="宋体" w:hAnsi="宋体"/>
          <w:b/>
          <w:color w:val="auto"/>
          <w:sz w:val="24"/>
          <w:highlight w:val="none"/>
        </w:rPr>
      </w:pPr>
      <w:bookmarkStart w:id="464" w:name="_Toc25783"/>
      <w:bookmarkStart w:id="465" w:name="_Toc14115"/>
      <w:bookmarkStart w:id="466" w:name="_Toc3638"/>
      <w:bookmarkStart w:id="467" w:name="_Toc23854"/>
      <w:bookmarkStart w:id="468" w:name="_Toc24465"/>
      <w:r>
        <w:rPr>
          <w:rFonts w:ascii="宋体" w:hAnsi="宋体"/>
          <w:b/>
          <w:color w:val="auto"/>
          <w:sz w:val="24"/>
          <w:highlight w:val="none"/>
        </w:rPr>
        <w:t xml:space="preserve">2.12 </w:t>
      </w:r>
      <w:r>
        <w:rPr>
          <w:rFonts w:ascii="宋体" w:hAnsi="宋体" w:eastAsia="宋体" w:cs="宋体"/>
          <w:b/>
          <w:color w:val="auto"/>
          <w:sz w:val="24"/>
          <w:highlight w:val="none"/>
        </w:rPr>
        <w:t>税费</w:t>
      </w:r>
      <w:bookmarkEnd w:id="464"/>
      <w:bookmarkEnd w:id="465"/>
      <w:bookmarkEnd w:id="466"/>
      <w:bookmarkEnd w:id="467"/>
      <w:bookmarkEnd w:id="468"/>
    </w:p>
    <w:p w14:paraId="62BD98B4">
      <w:pPr>
        <w:pStyle w:val="26"/>
        <w:snapToGrid w:val="0"/>
        <w:spacing w:line="360" w:lineRule="auto"/>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768A017">
      <w:pPr>
        <w:pStyle w:val="959"/>
        <w:spacing w:before="0" w:beforeAutospacing="0" w:after="0" w:afterAutospacing="0" w:line="360" w:lineRule="auto"/>
        <w:ind w:firstLine="480"/>
        <w:rPr>
          <w:rFonts w:ascii="宋体" w:hAnsi="宋体"/>
          <w:b/>
          <w:color w:val="auto"/>
          <w:sz w:val="24"/>
          <w:highlight w:val="none"/>
        </w:rPr>
      </w:pPr>
      <w:bookmarkStart w:id="469" w:name="_Toc25525"/>
      <w:bookmarkStart w:id="470" w:name="_Toc14814"/>
      <w:bookmarkStart w:id="471" w:name="_Toc30105"/>
      <w:bookmarkStart w:id="472" w:name="_Toc26883"/>
      <w:bookmarkStart w:id="473" w:name="_Toc7315"/>
      <w:r>
        <w:rPr>
          <w:rFonts w:ascii="宋体" w:hAnsi="宋体"/>
          <w:b/>
          <w:color w:val="auto"/>
          <w:sz w:val="24"/>
          <w:highlight w:val="none"/>
        </w:rPr>
        <w:t>2.13 乙方破产</w:t>
      </w:r>
      <w:bookmarkEnd w:id="469"/>
      <w:bookmarkEnd w:id="470"/>
      <w:bookmarkEnd w:id="471"/>
      <w:bookmarkEnd w:id="472"/>
      <w:bookmarkEnd w:id="473"/>
    </w:p>
    <w:p w14:paraId="6813044F">
      <w:pPr>
        <w:pStyle w:val="26"/>
        <w:snapToGrid w:val="0"/>
        <w:spacing w:line="360" w:lineRule="auto"/>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C06CBDB">
      <w:pPr>
        <w:pStyle w:val="959"/>
        <w:spacing w:before="0" w:beforeAutospacing="0" w:after="0" w:afterAutospacing="0" w:line="360" w:lineRule="auto"/>
        <w:ind w:firstLine="480"/>
        <w:rPr>
          <w:rFonts w:ascii="宋体" w:hAnsi="宋体"/>
          <w:b/>
          <w:color w:val="auto"/>
          <w:sz w:val="24"/>
          <w:highlight w:val="none"/>
        </w:rPr>
      </w:pPr>
      <w:bookmarkStart w:id="474" w:name="_Toc23323"/>
      <w:bookmarkStart w:id="475" w:name="_Toc2016"/>
      <w:bookmarkStart w:id="476" w:name="_Toc1123"/>
      <w:r>
        <w:rPr>
          <w:rFonts w:ascii="宋体" w:hAnsi="宋体"/>
          <w:b/>
          <w:color w:val="auto"/>
          <w:sz w:val="24"/>
          <w:highlight w:val="none"/>
        </w:rPr>
        <w:t>2.14 合同中止、终止</w:t>
      </w:r>
      <w:bookmarkEnd w:id="474"/>
      <w:bookmarkEnd w:id="475"/>
      <w:bookmarkEnd w:id="476"/>
    </w:p>
    <w:p w14:paraId="2B03FAC9">
      <w:pPr>
        <w:pStyle w:val="26"/>
        <w:snapToGrid w:val="0"/>
        <w:spacing w:line="360" w:lineRule="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2.14.1 </w:t>
      </w:r>
      <w:r>
        <w:rPr>
          <w:rFonts w:hint="eastAsia" w:ascii="宋体" w:hAnsi="宋体" w:eastAsia="宋体" w:cs="Times New Roman"/>
          <w:color w:val="auto"/>
          <w:sz w:val="24"/>
          <w:highlight w:val="none"/>
        </w:rPr>
        <w:t>双方当事人不得擅自中止或者终止合同；</w:t>
      </w:r>
    </w:p>
    <w:p w14:paraId="596E9085">
      <w:pPr>
        <w:pStyle w:val="26"/>
        <w:snapToGrid w:val="0"/>
        <w:spacing w:line="360" w:lineRule="auto"/>
        <w:rPr>
          <w:rFonts w:ascii="宋体" w:hAnsi="宋体" w:eastAsia="宋体" w:cs="Times New Roman"/>
          <w:color w:val="auto"/>
          <w:sz w:val="24"/>
          <w:highlight w:val="none"/>
        </w:rPr>
      </w:pPr>
      <w:r>
        <w:rPr>
          <w:rFonts w:ascii="宋体" w:hAnsi="宋体"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E74E519">
      <w:pPr>
        <w:pStyle w:val="959"/>
        <w:spacing w:before="0" w:beforeAutospacing="0" w:after="0" w:afterAutospacing="0" w:line="360" w:lineRule="auto"/>
        <w:ind w:firstLine="480"/>
        <w:rPr>
          <w:rFonts w:ascii="宋体" w:hAnsi="宋体"/>
          <w:b/>
          <w:color w:val="auto"/>
          <w:sz w:val="24"/>
          <w:highlight w:val="none"/>
        </w:rPr>
      </w:pPr>
      <w:bookmarkStart w:id="477" w:name="_Toc14525"/>
      <w:bookmarkStart w:id="478" w:name="_Toc17363"/>
      <w:bookmarkStart w:id="479" w:name="_Toc1969"/>
      <w:r>
        <w:rPr>
          <w:rFonts w:ascii="宋体" w:hAnsi="宋体"/>
          <w:b/>
          <w:color w:val="auto"/>
          <w:sz w:val="24"/>
          <w:highlight w:val="none"/>
        </w:rPr>
        <w:t>2.15 检验和验收</w:t>
      </w:r>
      <w:bookmarkEnd w:id="477"/>
      <w:bookmarkEnd w:id="478"/>
      <w:bookmarkEnd w:id="479"/>
    </w:p>
    <w:p w14:paraId="5C053E3C">
      <w:pPr>
        <w:pStyle w:val="26"/>
        <w:snapToGrid w:val="0"/>
        <w:spacing w:line="360" w:lineRule="auto"/>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83B9AA5">
      <w:pPr>
        <w:pStyle w:val="26"/>
        <w:snapToGrid w:val="0"/>
        <w:spacing w:line="360" w:lineRule="auto"/>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7D08B0B">
      <w:pPr>
        <w:pStyle w:val="26"/>
        <w:snapToGrid w:val="0"/>
        <w:spacing w:line="360" w:lineRule="auto"/>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080BD5E5">
      <w:pPr>
        <w:pStyle w:val="959"/>
        <w:spacing w:before="0" w:beforeAutospacing="0" w:after="0" w:afterAutospacing="0" w:line="360" w:lineRule="auto"/>
        <w:ind w:firstLine="480"/>
        <w:rPr>
          <w:rFonts w:ascii="宋体" w:hAnsi="宋体"/>
          <w:b/>
          <w:color w:val="auto"/>
          <w:sz w:val="24"/>
          <w:highlight w:val="none"/>
        </w:rPr>
      </w:pPr>
      <w:bookmarkStart w:id="480" w:name="_Toc12666"/>
      <w:bookmarkStart w:id="481" w:name="_Toc25198"/>
      <w:bookmarkStart w:id="482" w:name="_Toc31892"/>
      <w:bookmarkStart w:id="483" w:name="_Toc2308"/>
      <w:bookmarkStart w:id="484" w:name="_Toc9808"/>
      <w:r>
        <w:rPr>
          <w:rFonts w:ascii="宋体" w:hAnsi="宋体"/>
          <w:b/>
          <w:color w:val="auto"/>
          <w:sz w:val="24"/>
          <w:highlight w:val="none"/>
        </w:rPr>
        <w:t xml:space="preserve">2.16 </w:t>
      </w:r>
      <w:r>
        <w:rPr>
          <w:rFonts w:ascii="宋体" w:hAnsi="宋体" w:eastAsia="宋体" w:cs="宋体"/>
          <w:b/>
          <w:color w:val="auto"/>
          <w:sz w:val="24"/>
          <w:highlight w:val="none"/>
        </w:rPr>
        <w:t>通知</w:t>
      </w:r>
      <w:r>
        <w:rPr>
          <w:rFonts w:ascii="宋体" w:hAnsi="宋体"/>
          <w:b/>
          <w:color w:val="auto"/>
          <w:sz w:val="24"/>
          <w:highlight w:val="none"/>
        </w:rPr>
        <w:t>和送达</w:t>
      </w:r>
      <w:bookmarkEnd w:id="480"/>
      <w:bookmarkEnd w:id="481"/>
      <w:bookmarkEnd w:id="482"/>
      <w:bookmarkEnd w:id="483"/>
      <w:bookmarkEnd w:id="484"/>
    </w:p>
    <w:p w14:paraId="0CC44651">
      <w:pPr>
        <w:pStyle w:val="26"/>
        <w:snapToGrid w:val="0"/>
        <w:spacing w:line="360" w:lineRule="auto"/>
        <w:rPr>
          <w:rFonts w:ascii="宋体" w:hAnsi="宋体"/>
          <w:color w:val="auto"/>
          <w:sz w:val="24"/>
          <w:highlight w:val="none"/>
        </w:rPr>
      </w:pPr>
      <w:bookmarkStart w:id="485" w:name="_Toc18401"/>
      <w:bookmarkStart w:id="486"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4754ED3">
      <w:pPr>
        <w:pStyle w:val="26"/>
        <w:snapToGrid w:val="0"/>
        <w:spacing w:line="360" w:lineRule="auto"/>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85"/>
      <w:bookmarkEnd w:id="486"/>
    </w:p>
    <w:p w14:paraId="1F91DA65">
      <w:pPr>
        <w:pStyle w:val="959"/>
        <w:spacing w:before="0" w:beforeAutospacing="0" w:after="0" w:afterAutospacing="0" w:line="360" w:lineRule="auto"/>
        <w:ind w:firstLine="480"/>
        <w:rPr>
          <w:rFonts w:ascii="宋体" w:hAnsi="宋体"/>
          <w:b/>
          <w:color w:val="auto"/>
          <w:sz w:val="24"/>
          <w:highlight w:val="none"/>
        </w:rPr>
      </w:pPr>
      <w:bookmarkStart w:id="487" w:name="_Toc28906"/>
      <w:bookmarkStart w:id="488" w:name="_Toc12254"/>
      <w:bookmarkStart w:id="489" w:name="_Toc27644"/>
      <w:bookmarkStart w:id="490" w:name="_Toc20808"/>
      <w:bookmarkStart w:id="491"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87"/>
      <w:bookmarkEnd w:id="488"/>
      <w:bookmarkEnd w:id="489"/>
      <w:bookmarkEnd w:id="490"/>
      <w:bookmarkEnd w:id="491"/>
    </w:p>
    <w:p w14:paraId="16194251">
      <w:pPr>
        <w:pStyle w:val="26"/>
        <w:snapToGrid w:val="0"/>
        <w:spacing w:line="360" w:lineRule="auto"/>
        <w:rPr>
          <w:rFonts w:ascii="宋体" w:hAnsi="宋体" w:eastAsia="宋体" w:cs="Times New Roman"/>
          <w:color w:val="auto"/>
          <w:sz w:val="24"/>
          <w:highlight w:val="none"/>
        </w:rPr>
      </w:pPr>
      <w:r>
        <w:rPr>
          <w:rFonts w:ascii="宋体" w:hAnsi="宋体" w:eastAsia="宋体" w:cs="Times New Roman"/>
          <w:color w:val="auto"/>
          <w:sz w:val="24"/>
          <w:highlight w:val="none"/>
        </w:rPr>
        <w:t>2.17.1 合同使用汉语书就</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变更和解释</w:t>
      </w:r>
      <w:r>
        <w:rPr>
          <w:rFonts w:hint="eastAsia" w:ascii="宋体" w:hAnsi="宋体" w:eastAsia="宋体" w:cs="Times New Roman"/>
          <w:color w:val="auto"/>
          <w:sz w:val="24"/>
          <w:highlight w:val="none"/>
        </w:rPr>
        <w:t>；</w:t>
      </w:r>
    </w:p>
    <w:p w14:paraId="511B41DD">
      <w:pPr>
        <w:pStyle w:val="26"/>
        <w:snapToGrid w:val="0"/>
        <w:spacing w:line="360" w:lineRule="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2.17.2 </w:t>
      </w:r>
      <w:r>
        <w:rPr>
          <w:rFonts w:hint="eastAsia" w:ascii="宋体" w:hAnsi="宋体" w:eastAsia="宋体" w:cs="Times New Roman"/>
          <w:color w:val="auto"/>
          <w:sz w:val="24"/>
          <w:highlight w:val="none"/>
        </w:rPr>
        <w:t>合同适用</w:t>
      </w:r>
      <w:r>
        <w:rPr>
          <w:rFonts w:ascii="宋体" w:hAnsi="宋体" w:eastAsia="宋体" w:cs="Times New Roman"/>
          <w:color w:val="auto"/>
          <w:sz w:val="24"/>
          <w:highlight w:val="none"/>
        </w:rPr>
        <w:t>中华人民共和国法律。</w:t>
      </w:r>
    </w:p>
    <w:p w14:paraId="2F06AE46">
      <w:pPr>
        <w:pStyle w:val="959"/>
        <w:spacing w:before="0" w:beforeAutospacing="0" w:after="0" w:afterAutospacing="0" w:line="360" w:lineRule="auto"/>
        <w:ind w:firstLine="480"/>
        <w:rPr>
          <w:rFonts w:ascii="宋体" w:hAnsi="宋体" w:cs="宋体"/>
          <w:b/>
          <w:color w:val="auto"/>
          <w:sz w:val="24"/>
          <w:highlight w:val="none"/>
        </w:rPr>
      </w:pPr>
      <w:bookmarkStart w:id="492" w:name="_Toc18540"/>
      <w:bookmarkStart w:id="493" w:name="_Toc30599"/>
      <w:bookmarkStart w:id="494" w:name="_Toc4355"/>
      <w:r>
        <w:rPr>
          <w:rFonts w:hint="eastAsia" w:ascii="宋体" w:hAnsi="宋体" w:cs="宋体"/>
          <w:b/>
          <w:color w:val="auto"/>
          <w:sz w:val="24"/>
          <w:highlight w:val="none"/>
        </w:rPr>
        <w:t>2.18 计量单位</w:t>
      </w:r>
      <w:bookmarkEnd w:id="492"/>
      <w:bookmarkEnd w:id="493"/>
      <w:bookmarkEnd w:id="494"/>
    </w:p>
    <w:p w14:paraId="7E31CD59">
      <w:pPr>
        <w:pStyle w:val="26"/>
        <w:snapToGrid w:val="0"/>
        <w:spacing w:line="360" w:lineRule="auto"/>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76B40B2">
      <w:pPr>
        <w:pStyle w:val="959"/>
        <w:spacing w:before="0" w:beforeAutospacing="0" w:after="0" w:afterAutospacing="0" w:line="360" w:lineRule="auto"/>
        <w:ind w:firstLine="48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hint="eastAsia" w:ascii="宋体" w:hAnsi="宋体" w:eastAsia="宋体" w:cs="宋体"/>
          <w:b/>
          <w:color w:val="auto"/>
          <w:sz w:val="24"/>
          <w:highlight w:val="none"/>
        </w:rPr>
        <w:t>合同</w:t>
      </w:r>
      <w:r>
        <w:rPr>
          <w:rFonts w:ascii="宋体" w:hAnsi="宋体"/>
          <w:b/>
          <w:color w:val="auto"/>
          <w:sz w:val="24"/>
          <w:highlight w:val="none"/>
        </w:rPr>
        <w:t>份数</w:t>
      </w:r>
    </w:p>
    <w:p w14:paraId="0868EA87">
      <w:pPr>
        <w:pStyle w:val="26"/>
        <w:snapToGrid w:val="0"/>
        <w:spacing w:line="360" w:lineRule="auto"/>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6612562">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495" w:name="_Toc331685784"/>
      <w:r>
        <w:rPr>
          <w:rFonts w:hint="eastAsia" w:ascii="宋体" w:hAnsi="宋体" w:cs="宋体"/>
          <w:b/>
          <w:color w:val="auto"/>
          <w:sz w:val="24"/>
          <w:highlight w:val="none"/>
        </w:rPr>
        <w:t xml:space="preserve"> </w:t>
      </w:r>
      <w:bookmarkEnd w:id="495"/>
      <w:r>
        <w:rPr>
          <w:rFonts w:hint="eastAsia" w:ascii="宋体" w:hAnsi="宋体" w:cs="宋体"/>
          <w:b/>
          <w:color w:val="auto"/>
          <w:sz w:val="24"/>
          <w:highlight w:val="none"/>
        </w:rPr>
        <w:t>第三部分  合同专用条款</w:t>
      </w:r>
    </w:p>
    <w:p w14:paraId="4115ACD9">
      <w:pPr>
        <w:pStyle w:val="26"/>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E02F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0CE54E3">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D725C07">
            <w:pPr>
              <w:spacing w:line="24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53911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595066">
            <w:pPr>
              <w:spacing w:line="24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437C17E5">
            <w:pPr>
              <w:spacing w:line="24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4D97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62767B">
            <w:pPr>
              <w:spacing w:line="24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050A1527">
            <w:pPr>
              <w:spacing w:line="240" w:lineRule="auto"/>
              <w:rPr>
                <w:rFonts w:ascii="宋体" w:hAnsi="宋体" w:cs="宋体"/>
                <w:color w:val="auto"/>
                <w:sz w:val="24"/>
                <w:highlight w:val="none"/>
              </w:rPr>
            </w:pPr>
            <w:r>
              <w:rPr>
                <w:rFonts w:hint="eastAsia" w:ascii="宋体" w:hAnsi="宋体" w:cs="宋体"/>
                <w:snapToGrid w:val="0"/>
                <w:color w:val="auto"/>
                <w:sz w:val="24"/>
                <w:highlight w:val="none"/>
                <w:lang w:val="en-US" w:eastAsia="zh-CN"/>
              </w:rPr>
              <w:t>本项目不收取履约保证金。</w:t>
            </w:r>
          </w:p>
        </w:tc>
      </w:tr>
      <w:tr w14:paraId="72E0F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B4D859">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792AD5C0">
            <w:pPr>
              <w:spacing w:line="240" w:lineRule="auto"/>
              <w:rPr>
                <w:rFonts w:hint="default"/>
                <w:highlight w:val="none"/>
                <w:lang w:val="en-US" w:eastAsia="zh-CN"/>
              </w:rPr>
            </w:pPr>
            <w:r>
              <w:rPr>
                <w:rFonts w:hint="eastAsia" w:ascii="宋体" w:hAnsi="宋体" w:eastAsia="宋体" w:cs="宋体"/>
                <w:color w:val="000000"/>
                <w:sz w:val="24"/>
                <w:szCs w:val="24"/>
                <w:highlight w:val="none"/>
              </w:rPr>
              <w:t>合同生效以及</w:t>
            </w:r>
            <w:r>
              <w:rPr>
                <w:rFonts w:hint="eastAsia" w:ascii="宋体" w:hAnsi="宋体" w:cs="宋体"/>
                <w:color w:val="000000"/>
                <w:sz w:val="24"/>
                <w:szCs w:val="24"/>
                <w:highlight w:val="none"/>
                <w:lang w:val="en-US" w:eastAsia="zh-CN"/>
              </w:rPr>
              <w:t>具备实施条件（</w:t>
            </w:r>
            <w:r>
              <w:rPr>
                <w:rFonts w:hint="eastAsia" w:ascii="宋体" w:hAnsi="宋体" w:eastAsia="宋体" w:cs="宋体"/>
                <w:color w:val="000000"/>
                <w:sz w:val="24"/>
                <w:szCs w:val="24"/>
                <w:highlight w:val="none"/>
                <w:lang w:val="en-US" w:eastAsia="zh-CN"/>
              </w:rPr>
              <w:t>乙方</w:t>
            </w:r>
            <w:r>
              <w:rPr>
                <w:rFonts w:hint="eastAsia" w:ascii="宋体" w:hAnsi="宋体" w:eastAsia="宋体" w:cs="宋体"/>
                <w:color w:val="000000"/>
                <w:sz w:val="24"/>
                <w:szCs w:val="24"/>
                <w:highlight w:val="none"/>
              </w:rPr>
              <w:t>完成进场准备并办妥交接工作，完成搭建服务平台并配置服务人员</w:t>
            </w:r>
            <w:r>
              <w:rPr>
                <w:rFonts w:hint="eastAsia" w:ascii="宋体" w:hAnsi="宋体" w:cs="宋体"/>
                <w:color w:val="000000"/>
                <w:sz w:val="24"/>
                <w:szCs w:val="24"/>
                <w:highlight w:val="none"/>
                <w:lang w:val="en-US" w:eastAsia="zh-CN"/>
              </w:rPr>
              <w:t>）后</w:t>
            </w:r>
            <w:r>
              <w:rPr>
                <w:rFonts w:hint="eastAsia" w:ascii="宋体" w:hAnsi="宋体" w:eastAsia="宋体" w:cs="宋体"/>
                <w:color w:val="000000"/>
                <w:sz w:val="24"/>
                <w:szCs w:val="24"/>
                <w:highlight w:val="none"/>
              </w:rPr>
              <w:t>，经</w:t>
            </w:r>
            <w:r>
              <w:rPr>
                <w:rFonts w:hint="eastAsia" w:ascii="宋体" w:hAnsi="宋体" w:eastAsia="宋体" w:cs="宋体"/>
                <w:color w:val="000000"/>
                <w:sz w:val="24"/>
                <w:szCs w:val="24"/>
                <w:highlight w:val="none"/>
                <w:lang w:val="en-US" w:eastAsia="zh-CN"/>
              </w:rPr>
              <w:t>甲方</w:t>
            </w:r>
            <w:r>
              <w:rPr>
                <w:rFonts w:hint="eastAsia" w:ascii="宋体" w:hAnsi="宋体" w:eastAsia="宋体" w:cs="宋体"/>
                <w:color w:val="000000"/>
                <w:sz w:val="24"/>
                <w:szCs w:val="24"/>
                <w:highlight w:val="none"/>
              </w:rPr>
              <w:t>确认后</w:t>
            </w:r>
            <w:r>
              <w:rPr>
                <w:rFonts w:hint="eastAsia" w:ascii="宋体" w:hAnsi="宋体" w:cs="宋体"/>
                <w:color w:val="000000"/>
                <w:sz w:val="24"/>
                <w:szCs w:val="24"/>
                <w:highlight w:val="none"/>
                <w:lang w:val="en-US" w:eastAsia="zh-CN"/>
              </w:rPr>
              <w:t>5个工作日内</w:t>
            </w:r>
            <w:r>
              <w:rPr>
                <w:rFonts w:hint="eastAsia" w:ascii="宋体" w:hAnsi="宋体" w:eastAsia="宋体" w:cs="宋体"/>
                <w:color w:val="000000"/>
                <w:sz w:val="24"/>
                <w:szCs w:val="24"/>
                <w:highlight w:val="none"/>
              </w:rPr>
              <w:t>支付50万（</w:t>
            </w:r>
            <w:r>
              <w:rPr>
                <w:rFonts w:hint="eastAsia" w:ascii="宋体" w:hAnsi="宋体" w:cs="宋体"/>
                <w:color w:val="000000"/>
                <w:sz w:val="24"/>
                <w:szCs w:val="24"/>
                <w:highlight w:val="none"/>
                <w:lang w:val="en-US" w:eastAsia="zh-CN"/>
              </w:rPr>
              <w:t>预付款：</w:t>
            </w:r>
            <w:r>
              <w:rPr>
                <w:rFonts w:hint="eastAsia" w:ascii="宋体" w:hAnsi="宋体" w:eastAsia="宋体" w:cs="宋体"/>
                <w:color w:val="000000"/>
                <w:sz w:val="24"/>
                <w:szCs w:val="24"/>
                <w:highlight w:val="none"/>
              </w:rPr>
              <w:t>2025年该项目批复预算）</w:t>
            </w:r>
          </w:p>
        </w:tc>
      </w:tr>
      <w:tr w14:paraId="3CCB6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0A80948">
            <w:pPr>
              <w:spacing w:line="24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2694353B">
            <w:pPr>
              <w:spacing w:line="24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FE75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AA9905">
            <w:pPr>
              <w:spacing w:line="24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121EE438">
            <w:pPr>
              <w:spacing w:line="24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FF67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721325">
            <w:pPr>
              <w:spacing w:line="24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1581F4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合同生效以及</w:t>
            </w:r>
            <w:r>
              <w:rPr>
                <w:rFonts w:hint="eastAsia" w:ascii="宋体" w:hAnsi="宋体" w:cs="宋体"/>
                <w:color w:val="000000"/>
                <w:sz w:val="24"/>
                <w:szCs w:val="24"/>
                <w:highlight w:val="none"/>
                <w:lang w:val="en-US" w:eastAsia="zh-CN"/>
              </w:rPr>
              <w:t>具备实施条件（</w:t>
            </w:r>
            <w:r>
              <w:rPr>
                <w:rFonts w:hint="eastAsia" w:ascii="宋体" w:hAnsi="宋体" w:eastAsia="宋体" w:cs="宋体"/>
                <w:color w:val="000000"/>
                <w:sz w:val="24"/>
                <w:szCs w:val="24"/>
                <w:highlight w:val="none"/>
                <w:lang w:val="en-US" w:eastAsia="zh-CN"/>
              </w:rPr>
              <w:t>乙方</w:t>
            </w:r>
            <w:r>
              <w:rPr>
                <w:rFonts w:hint="eastAsia" w:ascii="宋体" w:hAnsi="宋体" w:eastAsia="宋体" w:cs="宋体"/>
                <w:color w:val="000000"/>
                <w:sz w:val="24"/>
                <w:szCs w:val="24"/>
                <w:highlight w:val="none"/>
              </w:rPr>
              <w:t>完成进场准备并办妥交接工作，完成搭建服务平台并配置服务人员</w:t>
            </w:r>
            <w:r>
              <w:rPr>
                <w:rFonts w:hint="eastAsia" w:ascii="宋体" w:hAnsi="宋体" w:cs="宋体"/>
                <w:color w:val="000000"/>
                <w:sz w:val="24"/>
                <w:szCs w:val="24"/>
                <w:highlight w:val="none"/>
                <w:lang w:val="en-US" w:eastAsia="zh-CN"/>
              </w:rPr>
              <w:t>）后</w:t>
            </w:r>
            <w:r>
              <w:rPr>
                <w:rFonts w:hint="eastAsia" w:ascii="宋体" w:hAnsi="宋体" w:eastAsia="宋体" w:cs="宋体"/>
                <w:color w:val="000000"/>
                <w:sz w:val="24"/>
                <w:szCs w:val="24"/>
                <w:highlight w:val="none"/>
              </w:rPr>
              <w:t>，经</w:t>
            </w:r>
            <w:r>
              <w:rPr>
                <w:rFonts w:hint="eastAsia" w:ascii="宋体" w:hAnsi="宋体" w:eastAsia="宋体" w:cs="宋体"/>
                <w:color w:val="000000"/>
                <w:sz w:val="24"/>
                <w:szCs w:val="24"/>
                <w:highlight w:val="none"/>
                <w:lang w:val="en-US" w:eastAsia="zh-CN"/>
              </w:rPr>
              <w:t>甲方</w:t>
            </w:r>
            <w:r>
              <w:rPr>
                <w:rFonts w:hint="eastAsia" w:ascii="宋体" w:hAnsi="宋体" w:eastAsia="宋体" w:cs="宋体"/>
                <w:color w:val="000000"/>
                <w:sz w:val="24"/>
                <w:szCs w:val="24"/>
                <w:highlight w:val="none"/>
              </w:rPr>
              <w:t>确认后</w:t>
            </w:r>
            <w:r>
              <w:rPr>
                <w:rFonts w:hint="eastAsia" w:ascii="宋体" w:hAnsi="宋体" w:cs="宋体"/>
                <w:color w:val="000000"/>
                <w:sz w:val="24"/>
                <w:szCs w:val="24"/>
                <w:highlight w:val="none"/>
                <w:lang w:val="en-US" w:eastAsia="zh-CN"/>
              </w:rPr>
              <w:t>5个工作日内</w:t>
            </w:r>
            <w:r>
              <w:rPr>
                <w:rFonts w:hint="eastAsia" w:ascii="宋体" w:hAnsi="宋体" w:eastAsia="宋体" w:cs="宋体"/>
                <w:color w:val="000000"/>
                <w:sz w:val="24"/>
                <w:szCs w:val="24"/>
                <w:highlight w:val="none"/>
              </w:rPr>
              <w:t>支付50万（</w:t>
            </w:r>
            <w:r>
              <w:rPr>
                <w:rFonts w:hint="eastAsia" w:ascii="宋体" w:hAnsi="宋体" w:cs="宋体"/>
                <w:color w:val="000000"/>
                <w:sz w:val="24"/>
                <w:szCs w:val="24"/>
                <w:highlight w:val="none"/>
                <w:lang w:val="en-US" w:eastAsia="zh-CN"/>
              </w:rPr>
              <w:t>预付款：</w:t>
            </w:r>
            <w:r>
              <w:rPr>
                <w:rFonts w:hint="eastAsia" w:ascii="宋体" w:hAnsi="宋体" w:eastAsia="宋体" w:cs="宋体"/>
                <w:color w:val="000000"/>
                <w:sz w:val="24"/>
                <w:szCs w:val="24"/>
                <w:highlight w:val="none"/>
              </w:rPr>
              <w:t>2025年该项目批复预算）；在2026年6月30日前支付至合同金额的90%；服务期满</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根据</w:t>
            </w:r>
            <w:r>
              <w:rPr>
                <w:rFonts w:hint="eastAsia" w:ascii="宋体" w:hAnsi="宋体" w:eastAsia="宋体" w:cs="宋体"/>
                <w:color w:val="000000"/>
                <w:sz w:val="24"/>
                <w:szCs w:val="24"/>
                <w:highlight w:val="none"/>
                <w:lang w:val="en-US" w:eastAsia="zh-CN"/>
              </w:rPr>
              <w:t>乙方</w:t>
            </w:r>
            <w:r>
              <w:rPr>
                <w:rFonts w:hint="eastAsia" w:ascii="宋体" w:hAnsi="宋体" w:eastAsia="宋体" w:cs="宋体"/>
                <w:color w:val="000000"/>
                <w:sz w:val="24"/>
                <w:szCs w:val="24"/>
                <w:highlight w:val="none"/>
              </w:rPr>
              <w:t>考核指标完成情况，</w:t>
            </w:r>
            <w:r>
              <w:rPr>
                <w:rFonts w:hint="eastAsia" w:ascii="宋体" w:hAnsi="宋体" w:eastAsia="宋体" w:cs="宋体"/>
                <w:color w:val="000000"/>
                <w:sz w:val="24"/>
                <w:szCs w:val="24"/>
                <w:highlight w:val="none"/>
                <w:lang w:val="en-US" w:eastAsia="zh-CN"/>
              </w:rPr>
              <w:t>甲方</w:t>
            </w:r>
            <w:r>
              <w:rPr>
                <w:rFonts w:hint="eastAsia" w:ascii="宋体" w:hAnsi="宋体" w:eastAsia="宋体" w:cs="宋体"/>
                <w:color w:val="000000"/>
                <w:sz w:val="24"/>
                <w:szCs w:val="24"/>
                <w:highlight w:val="none"/>
              </w:rPr>
              <w:t>将直接从剩余价款中一并扣除因</w:t>
            </w:r>
            <w:r>
              <w:rPr>
                <w:rFonts w:hint="eastAsia" w:ascii="宋体" w:hAnsi="宋体" w:eastAsia="宋体" w:cs="宋体"/>
                <w:color w:val="000000"/>
                <w:sz w:val="24"/>
                <w:szCs w:val="24"/>
                <w:highlight w:val="none"/>
                <w:lang w:val="en-US" w:eastAsia="zh-CN"/>
              </w:rPr>
              <w:t>乙方</w:t>
            </w:r>
            <w:r>
              <w:rPr>
                <w:rFonts w:hint="eastAsia" w:ascii="宋体" w:hAnsi="宋体" w:eastAsia="宋体" w:cs="宋体"/>
                <w:color w:val="000000"/>
                <w:sz w:val="24"/>
                <w:szCs w:val="24"/>
                <w:highlight w:val="none"/>
              </w:rPr>
              <w:t>未达标而产生的赔偿违约金（如扣除后不足以支付全部赔偿违约金的，不足部分由</w:t>
            </w:r>
            <w:r>
              <w:rPr>
                <w:rFonts w:hint="eastAsia" w:ascii="宋体" w:hAnsi="宋体" w:eastAsia="宋体" w:cs="宋体"/>
                <w:color w:val="000000"/>
                <w:sz w:val="24"/>
                <w:szCs w:val="24"/>
                <w:highlight w:val="none"/>
                <w:lang w:val="en-US" w:eastAsia="zh-CN"/>
              </w:rPr>
              <w:t>乙方</w:t>
            </w:r>
            <w:r>
              <w:rPr>
                <w:rFonts w:hint="eastAsia" w:ascii="宋体" w:hAnsi="宋体" w:eastAsia="宋体" w:cs="宋体"/>
                <w:color w:val="000000"/>
                <w:sz w:val="24"/>
                <w:szCs w:val="24"/>
                <w:highlight w:val="none"/>
              </w:rPr>
              <w:t>另行支付给</w:t>
            </w:r>
            <w:r>
              <w:rPr>
                <w:rFonts w:hint="eastAsia" w:ascii="宋体" w:hAnsi="宋体" w:eastAsia="宋体" w:cs="宋体"/>
                <w:color w:val="000000"/>
                <w:sz w:val="24"/>
                <w:szCs w:val="24"/>
                <w:highlight w:val="none"/>
                <w:lang w:val="en-US" w:eastAsia="zh-CN"/>
              </w:rPr>
              <w:t>甲方</w:t>
            </w:r>
            <w:r>
              <w:rPr>
                <w:rFonts w:hint="eastAsia" w:ascii="宋体" w:hAnsi="宋体" w:eastAsia="宋体" w:cs="宋体"/>
                <w:color w:val="000000"/>
                <w:sz w:val="24"/>
                <w:szCs w:val="24"/>
                <w:highlight w:val="none"/>
              </w:rPr>
              <w:t>），并在项目验收通过后</w:t>
            </w:r>
            <w:r>
              <w:rPr>
                <w:rFonts w:hint="eastAsia" w:ascii="宋体" w:hAnsi="宋体" w:cs="宋体"/>
                <w:color w:val="000000"/>
                <w:sz w:val="24"/>
                <w:szCs w:val="24"/>
                <w:highlight w:val="none"/>
                <w:lang w:val="en-US" w:eastAsia="zh-CN"/>
              </w:rPr>
              <w:t>5个工作日内</w:t>
            </w:r>
            <w:r>
              <w:rPr>
                <w:rFonts w:hint="eastAsia" w:ascii="宋体" w:hAnsi="宋体" w:eastAsia="宋体" w:cs="宋体"/>
                <w:color w:val="000000"/>
                <w:sz w:val="24"/>
                <w:szCs w:val="24"/>
                <w:highlight w:val="none"/>
              </w:rPr>
              <w:t>，结清剩余款项。</w:t>
            </w:r>
          </w:p>
          <w:p w14:paraId="6BE7397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ighlight w:val="none"/>
                <w:lang w:val="en-US"/>
              </w:rPr>
            </w:pPr>
            <w:r>
              <w:rPr>
                <w:rFonts w:hint="eastAsia" w:ascii="宋体" w:hAnsi="宋体" w:eastAsia="宋体" w:cs="宋体"/>
                <w:b w:val="0"/>
                <w:bCs/>
                <w:sz w:val="24"/>
                <w:szCs w:val="24"/>
                <w:highlight w:val="none"/>
                <w:lang w:eastAsia="zh-CN"/>
              </w:rPr>
              <w:t>甲方不得以机构变动、人员更替、政策调整、单位放假等为由延迟付款。若因政府审计等事项导致甲方迟延付款的，不视为甲方违约。</w:t>
            </w:r>
          </w:p>
        </w:tc>
      </w:tr>
      <w:tr w14:paraId="2DFEF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FFF106">
            <w:pPr>
              <w:spacing w:line="24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6DA75FD1">
            <w:pPr>
              <w:spacing w:line="240" w:lineRule="auto"/>
              <w:rPr>
                <w:rFonts w:hint="eastAsia" w:eastAsia="宋体"/>
                <w:highlight w:val="none"/>
                <w:lang w:val="en-US" w:eastAsia="zh-CN"/>
              </w:rPr>
            </w:pPr>
            <w:r>
              <w:rPr>
                <w:rFonts w:hint="eastAsia" w:ascii="宋体" w:hAnsi="宋体" w:eastAsia="宋体" w:cs="宋体"/>
                <w:color w:val="000000"/>
                <w:sz w:val="24"/>
                <w:szCs w:val="24"/>
                <w:highlight w:val="none"/>
              </w:rPr>
              <w:t>服务期限自2025年8月1日起至2026年7月31日止，其中，2025年8月1日前供应商应完成进场准备并办妥交接工作，2025年8月15日前供应商应完成搭建服务平台、配置服务人员等准备工作。</w:t>
            </w:r>
          </w:p>
        </w:tc>
      </w:tr>
      <w:tr w14:paraId="27FB9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049A44">
            <w:pPr>
              <w:spacing w:line="24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DFC4DD3">
            <w:pPr>
              <w:spacing w:line="240" w:lineRule="auto"/>
              <w:rPr>
                <w:rFonts w:hint="default" w:ascii="宋体" w:hAnsi="宋体" w:cs="宋体"/>
                <w:color w:val="auto"/>
                <w:sz w:val="24"/>
                <w:highlight w:val="none"/>
                <w:lang w:val="en-US"/>
              </w:rPr>
            </w:pPr>
            <w:r>
              <w:rPr>
                <w:rFonts w:hint="eastAsia" w:ascii="宋体" w:hAnsi="宋体" w:cs="宋体"/>
                <w:b w:val="0"/>
                <w:bCs/>
                <w:sz w:val="24"/>
                <w:szCs w:val="24"/>
                <w:highlight w:val="none"/>
                <w:lang w:val="en-US" w:eastAsia="zh-CN"/>
              </w:rPr>
              <w:t>甲方指定地方</w:t>
            </w:r>
          </w:p>
        </w:tc>
      </w:tr>
      <w:tr w14:paraId="61C5F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C9AB11">
            <w:pPr>
              <w:spacing w:line="24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39E6B02E">
            <w:pPr>
              <w:spacing w:line="24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按甲方要求</w:t>
            </w:r>
          </w:p>
        </w:tc>
      </w:tr>
      <w:tr w14:paraId="2F5DE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FC12C0">
            <w:pPr>
              <w:spacing w:line="24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7C634FA">
            <w:pPr>
              <w:spacing w:line="24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4BE5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BE3808">
            <w:pPr>
              <w:spacing w:line="24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27218436">
            <w:pPr>
              <w:spacing w:line="24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F297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50853E">
            <w:pPr>
              <w:spacing w:line="24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0272711E">
            <w:pPr>
              <w:spacing w:line="24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9A34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D4A836">
            <w:pPr>
              <w:spacing w:line="24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AD0C5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1.甲</w:t>
            </w:r>
            <w:r>
              <w:rPr>
                <w:rFonts w:hint="eastAsia" w:ascii="宋体" w:hAnsi="宋体" w:eastAsia="宋体" w:cs="宋体"/>
                <w:b w:val="0"/>
                <w:bCs/>
                <w:sz w:val="24"/>
                <w:szCs w:val="24"/>
                <w:highlight w:val="none"/>
                <w:lang w:val="en-US" w:eastAsia="zh-CN"/>
              </w:rPr>
              <w:t>方应在规定时间内向乙方提供基础资料及文件，并对其准确</w:t>
            </w:r>
            <w:r>
              <w:rPr>
                <w:rFonts w:hint="eastAsia" w:ascii="宋体" w:hAnsi="宋体" w:eastAsia="宋体" w:cs="宋体"/>
                <w:b w:val="0"/>
                <w:bCs/>
                <w:sz w:val="24"/>
                <w:szCs w:val="24"/>
                <w:highlight w:val="none"/>
                <w:lang w:eastAsia="zh-CN"/>
              </w:rPr>
              <w:t>性、及时性负责，甲方不得要求乙方违反国家有关标准进行规划设计。</w:t>
            </w:r>
          </w:p>
          <w:p w14:paraId="3D7CECC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b w:val="0"/>
                <w:bCs/>
                <w:sz w:val="24"/>
                <w:szCs w:val="24"/>
                <w:highlight w:val="none"/>
                <w:lang w:eastAsia="zh-CN"/>
              </w:rPr>
              <w:t>2.乙方未能如期提供服务的，每日向甲方支付合同款项的0.6%作为违约金。乙方超过合同约定日期30个工作日仍不能提供服务的，甲方可单方面解除或终止本合同。乙方因未能如期提供服务或因其他违约行为导致甲方解除合同的，乙方应向甲方支付合同总值20%的，如造成甲方损失超过违约金的，超出部分由乙方继续承担赔偿责任。</w:t>
            </w:r>
          </w:p>
        </w:tc>
      </w:tr>
      <w:tr w14:paraId="0CD2A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5424D2">
            <w:pPr>
              <w:spacing w:line="24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57B07387">
            <w:pPr>
              <w:spacing w:line="24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杭州市</w:t>
            </w:r>
          </w:p>
        </w:tc>
      </w:tr>
      <w:tr w14:paraId="20237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32E119">
            <w:pPr>
              <w:spacing w:line="24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5B6074D5">
            <w:pPr>
              <w:spacing w:line="24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6C9A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B1B5F9">
            <w:pPr>
              <w:spacing w:line="24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504F2208">
            <w:pPr>
              <w:tabs>
                <w:tab w:val="left" w:pos="0"/>
              </w:tabs>
              <w:spacing w:line="240" w:lineRule="auto"/>
              <w:rPr>
                <w:rFonts w:hint="default" w:ascii="宋体" w:hAnsi="宋体" w:eastAsia="宋体" w:cs="宋体"/>
                <w:color w:val="auto"/>
                <w:sz w:val="24"/>
                <w:highlight w:val="none"/>
                <w:lang w:val="en-US" w:eastAsia="zh-CN"/>
              </w:rPr>
            </w:pPr>
            <w:r>
              <w:rPr>
                <w:rFonts w:hint="eastAsia" w:ascii="宋体" w:hAnsi="宋体"/>
                <w:color w:val="auto"/>
                <w:sz w:val="24"/>
                <w:highlight w:val="none"/>
              </w:rPr>
              <w:t>合同</w:t>
            </w:r>
            <w:r>
              <w:rPr>
                <w:rFonts w:hint="eastAsia" w:ascii="宋体" w:hAnsi="宋体" w:eastAsia="宋体" w:cs="Times New Roman"/>
                <w:color w:val="auto"/>
                <w:sz w:val="24"/>
                <w:highlight w:val="none"/>
              </w:rPr>
              <w:t>涉及</w:t>
            </w:r>
            <w:r>
              <w:rPr>
                <w:rFonts w:hint="eastAsia" w:ascii="宋体" w:hAnsi="宋体"/>
                <w:color w:val="auto"/>
                <w:sz w:val="24"/>
                <w:highlight w:val="none"/>
              </w:rPr>
              <w:t>技术成果的归属和收益的分成办法</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合同签订时双方另行协商。</w:t>
            </w:r>
          </w:p>
        </w:tc>
      </w:tr>
      <w:tr w14:paraId="66118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8E9E42">
            <w:pPr>
              <w:spacing w:line="24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55C9D1E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ighlight w:val="none"/>
                <w:lang w:val="en-US"/>
              </w:rPr>
            </w:pPr>
            <w:r>
              <w:rPr>
                <w:rFonts w:hint="eastAsia" w:ascii="宋体" w:hAnsi="宋体" w:eastAsia="宋体" w:cs="宋体"/>
                <w:color w:val="auto"/>
                <w:sz w:val="24"/>
                <w:highlight w:val="none"/>
              </w:rPr>
              <w:t>同“1.6.2”</w:t>
            </w:r>
            <w:bookmarkStart w:id="506" w:name="_GoBack"/>
            <w:bookmarkEnd w:id="506"/>
          </w:p>
        </w:tc>
      </w:tr>
      <w:tr w14:paraId="15102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795698">
            <w:pPr>
              <w:spacing w:line="24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2764D5E2">
            <w:pPr>
              <w:spacing w:line="24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7个工作日内</w:t>
            </w:r>
          </w:p>
        </w:tc>
      </w:tr>
      <w:tr w14:paraId="64EB7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48F4074">
            <w:pPr>
              <w:spacing w:line="24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393EBBC8">
            <w:pPr>
              <w:spacing w:line="240" w:lineRule="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7个工作日内</w:t>
            </w:r>
          </w:p>
        </w:tc>
      </w:tr>
      <w:tr w14:paraId="33190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E29630">
            <w:pPr>
              <w:spacing w:line="24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shd w:val="clear" w:color="auto" w:fill="auto"/>
            <w:vAlign w:val="center"/>
          </w:tcPr>
          <w:p w14:paraId="269AFA2F">
            <w:pPr>
              <w:tabs>
                <w:tab w:val="left" w:pos="0"/>
              </w:tabs>
              <w:spacing w:line="240" w:lineRule="auto"/>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rPr>
              <w:t>乙方按照采购文件规定，定期提交服务报告，甲方按照</w:t>
            </w:r>
            <w:r>
              <w:rPr>
                <w:rFonts w:hint="eastAsia" w:ascii="宋体" w:hAnsi="宋体" w:eastAsia="宋体" w:cs="宋体"/>
                <w:color w:val="auto"/>
                <w:sz w:val="24"/>
                <w:highlight w:val="none"/>
                <w:lang w:val="en-US" w:eastAsia="zh-CN"/>
              </w:rPr>
              <w:t>《在线客服项目考核要求》</w:t>
            </w:r>
            <w:r>
              <w:rPr>
                <w:rFonts w:hint="eastAsia" w:ascii="宋体" w:hAnsi="宋体" w:eastAsia="宋体" w:cs="宋体"/>
                <w:color w:val="auto"/>
                <w:kern w:val="0"/>
                <w:sz w:val="24"/>
                <w:highlight w:val="none"/>
              </w:rPr>
              <w:t>进行定期验收。</w:t>
            </w:r>
          </w:p>
        </w:tc>
      </w:tr>
      <w:tr w14:paraId="2BA48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C3B7FE">
            <w:pPr>
              <w:spacing w:line="24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shd w:val="clear" w:color="auto" w:fill="auto"/>
            <w:vAlign w:val="center"/>
          </w:tcPr>
          <w:p w14:paraId="5B8CB10E">
            <w:pPr>
              <w:spacing w:line="24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1、由甲方根据《杭州市政府采购履约验收暂行办法》〔杭财采监（2019）10号〕进行履约验收，验收合格报告作为项目支付的依据。</w:t>
            </w:r>
          </w:p>
          <w:p w14:paraId="38DDF9C1">
            <w:pPr>
              <w:spacing w:line="24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sz w:val="24"/>
                <w:highlight w:val="none"/>
                <w:lang w:val="en-US" w:eastAsia="zh-CN"/>
              </w:rPr>
              <w:t>2、考核要求：详见本合同附件《在线客服项目考核要求》。</w:t>
            </w:r>
          </w:p>
        </w:tc>
      </w:tr>
      <w:tr w14:paraId="7DD90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010BAF0E">
            <w:pPr>
              <w:spacing w:line="24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614DAEE4">
            <w:pPr>
              <w:spacing w:line="240" w:lineRule="auto"/>
              <w:rPr>
                <w:rFonts w:ascii="宋体" w:hAnsi="宋体" w:cs="宋体"/>
                <w:color w:val="auto"/>
                <w:sz w:val="24"/>
                <w:highlight w:val="none"/>
              </w:rPr>
            </w:pPr>
            <w:r>
              <w:rPr>
                <w:rFonts w:hint="eastAsia" w:ascii="宋体" w:hAnsi="宋体" w:eastAsia="宋体" w:cs="宋体"/>
                <w:color w:val="auto"/>
                <w:sz w:val="24"/>
                <w:highlight w:val="none"/>
              </w:rPr>
              <w:t>本合同正本一式肆份，具有同等法律效力，甲乙双方各执贰份。</w:t>
            </w:r>
          </w:p>
        </w:tc>
      </w:tr>
    </w:tbl>
    <w:p w14:paraId="0E1DEE7D">
      <w:pPr>
        <w:adjustRightInd w:val="0"/>
        <w:snapToGrid w:val="0"/>
        <w:spacing w:line="336" w:lineRule="auto"/>
        <w:jc w:val="left"/>
        <w:rPr>
          <w:rFonts w:hint="eastAsia" w:ascii="宋体" w:hAnsi="宋体" w:eastAsia="宋体" w:cs="宋体"/>
          <w:color w:val="auto"/>
          <w:highlight w:val="none"/>
          <w:lang w:val="en-US" w:eastAsia="zh-CN"/>
        </w:rPr>
      </w:pPr>
      <w:r>
        <w:rPr>
          <w:rFonts w:hint="eastAsia" w:ascii="宋体" w:hAnsi="宋体" w:eastAsia="宋体" w:cs="宋体"/>
          <w:b/>
          <w:color w:val="auto"/>
          <w:sz w:val="36"/>
          <w:szCs w:val="20"/>
          <w:highlight w:val="none"/>
        </w:rPr>
        <w:br w:type="page"/>
      </w:r>
      <w:r>
        <w:rPr>
          <w:rFonts w:hint="eastAsia" w:ascii="宋体" w:hAnsi="宋体" w:eastAsia="宋体" w:cs="宋体"/>
          <w:color w:val="auto"/>
          <w:sz w:val="24"/>
          <w:szCs w:val="24"/>
          <w:highlight w:val="none"/>
          <w:lang w:val="en-US" w:eastAsia="zh-CN"/>
        </w:rPr>
        <w:t>附件：</w:t>
      </w:r>
    </w:p>
    <w:p w14:paraId="37914B9D">
      <w:pPr>
        <w:adjustRightInd w:val="0"/>
        <w:snapToGrid w:val="0"/>
        <w:spacing w:line="336" w:lineRule="auto"/>
        <w:jc w:val="center"/>
        <w:rPr>
          <w:rFonts w:hint="eastAsia" w:ascii="宋体" w:hAnsi="宋体" w:eastAsia="宋体" w:cs="宋体"/>
          <w:b/>
          <w:bCs/>
          <w:color w:val="333333"/>
          <w:kern w:val="0"/>
          <w:sz w:val="28"/>
          <w:szCs w:val="28"/>
          <w:highlight w:val="none"/>
        </w:rPr>
      </w:pPr>
      <w:r>
        <w:rPr>
          <w:rFonts w:hint="eastAsia" w:ascii="宋体" w:hAnsi="宋体" w:eastAsia="宋体" w:cs="宋体"/>
          <w:b/>
          <w:bCs/>
          <w:color w:val="333333"/>
          <w:kern w:val="0"/>
          <w:sz w:val="28"/>
          <w:szCs w:val="28"/>
          <w:highlight w:val="none"/>
        </w:rPr>
        <w:t>在线客服项目考核要求</w:t>
      </w:r>
    </w:p>
    <w:p w14:paraId="700EFF3E">
      <w:pPr>
        <w:pStyle w:val="2"/>
        <w:rPr>
          <w:rFonts w:hint="eastAsia"/>
          <w:highlight w:val="none"/>
        </w:rPr>
      </w:pPr>
    </w:p>
    <w:p w14:paraId="76C7824D">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服务期满，采购人根据在线接入率、有效接通率、直接答复率、评价满意率等指标对供应商</w:t>
      </w:r>
      <w:r>
        <w:rPr>
          <w:rFonts w:hint="eastAsia" w:ascii="宋体" w:hAnsi="宋体" w:cs="宋体"/>
          <w:color w:val="000000"/>
          <w:sz w:val="24"/>
          <w:szCs w:val="24"/>
          <w:highlight w:val="none"/>
          <w:lang w:val="en-US" w:eastAsia="zh-CN"/>
        </w:rPr>
        <w:t>的在线</w:t>
      </w:r>
      <w:r>
        <w:rPr>
          <w:rFonts w:hint="eastAsia" w:ascii="宋体" w:hAnsi="宋体" w:eastAsia="宋体" w:cs="宋体"/>
          <w:color w:val="000000"/>
          <w:sz w:val="24"/>
          <w:szCs w:val="24"/>
          <w:highlight w:val="none"/>
        </w:rPr>
        <w:t>客服</w:t>
      </w:r>
      <w:r>
        <w:rPr>
          <w:rFonts w:hint="eastAsia" w:ascii="宋体" w:hAnsi="宋体" w:cs="宋体"/>
          <w:color w:val="000000"/>
          <w:sz w:val="24"/>
          <w:szCs w:val="24"/>
          <w:highlight w:val="none"/>
          <w:lang w:val="en-US" w:eastAsia="zh-CN"/>
        </w:rPr>
        <w:t>（含机器人客服及人工坐席）</w:t>
      </w:r>
      <w:r>
        <w:rPr>
          <w:rFonts w:hint="eastAsia" w:ascii="宋体" w:hAnsi="宋体" w:eastAsia="宋体" w:cs="宋体"/>
          <w:color w:val="000000"/>
          <w:sz w:val="24"/>
          <w:szCs w:val="24"/>
          <w:highlight w:val="none"/>
        </w:rPr>
        <w:t>质量进行考核，具体指标内容如下：</w:t>
      </w:r>
    </w:p>
    <w:p w14:paraId="380BA706">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1.在线接入率</w:t>
      </w:r>
    </w:p>
    <w:p w14:paraId="5AF3652C">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在线接入率指成功接入数与客户发起咨询总数之比，在线接入率应达到90%以上。按月统计，未达标的，每发生一次供应商赔偿违约金200元。</w:t>
      </w:r>
    </w:p>
    <w:p w14:paraId="0162E69A">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2.有效接通率</w:t>
      </w:r>
    </w:p>
    <w:p w14:paraId="4D11321C">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有效接入率指实际与客户对话的总数与客户发起咨询总数之比，服务期内每月有效接入率应达到90%以上。按月统计，未达标的，每发生一次供应商赔偿违约金200元。</w:t>
      </w:r>
    </w:p>
    <w:p w14:paraId="27469F6D">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3.直接答复率</w:t>
      </w:r>
    </w:p>
    <w:p w14:paraId="209225E0">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直接答复率指在线客服直接答复数（不含转办）与有效接入总数之比，服务期内每月直接答复率应达到98%以上。按月统计，未达标的，每发生一次供应商赔偿违约金200元。</w:t>
      </w:r>
    </w:p>
    <w:p w14:paraId="53873B3C">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4.评价满意率</w:t>
      </w:r>
    </w:p>
    <w:p w14:paraId="118EF5CD">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评价满意率是指客户对</w:t>
      </w:r>
      <w:r>
        <w:rPr>
          <w:rFonts w:hint="eastAsia" w:ascii="宋体" w:hAnsi="宋体" w:cs="宋体"/>
          <w:color w:val="000000"/>
          <w:sz w:val="24"/>
          <w:szCs w:val="24"/>
          <w:highlight w:val="none"/>
          <w:lang w:eastAsia="zh-CN"/>
        </w:rPr>
        <w:t>在线客服</w:t>
      </w:r>
      <w:r>
        <w:rPr>
          <w:rFonts w:hint="eastAsia" w:ascii="宋体" w:hAnsi="宋体" w:eastAsia="宋体" w:cs="宋体"/>
          <w:color w:val="000000"/>
          <w:sz w:val="24"/>
          <w:szCs w:val="24"/>
          <w:highlight w:val="none"/>
        </w:rPr>
        <w:t>回复评价为满意的数量与客户回复评价总数之比，每月评价满意率应达到97%以上。按月统计，未达标的，每发生一次供应商赔偿违约金500元。</w:t>
      </w:r>
    </w:p>
    <w:p w14:paraId="57CF1764">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5.及时响应率</w:t>
      </w:r>
    </w:p>
    <w:p w14:paraId="703F8398">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及时响应率是指每接入一次在线会话应在3分钟内作出响应，每月及时响应率应达到100%。按月统计，未达标的，每发生一次供应商赔偿违约金200元。</w:t>
      </w:r>
    </w:p>
    <w:p w14:paraId="438AC787">
      <w:pPr>
        <w:snapToGrid w:val="0"/>
        <w:spacing w:beforeLines="0" w:afterLines="0" w:line="33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.回答准确率</w:t>
      </w:r>
    </w:p>
    <w:p w14:paraId="219313F1">
      <w:pPr>
        <w:snapToGrid w:val="0"/>
        <w:spacing w:beforeLines="0" w:afterLines="0" w:line="336"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在线客服回答准确率</w:t>
      </w:r>
      <w:r>
        <w:rPr>
          <w:rFonts w:hint="eastAsia" w:ascii="宋体" w:hAnsi="宋体" w:eastAsia="宋体" w:cs="宋体"/>
          <w:color w:val="000000"/>
          <w:sz w:val="24"/>
          <w:szCs w:val="24"/>
          <w:highlight w:val="none"/>
          <w:lang w:val="en-US" w:eastAsia="zh-CN"/>
        </w:rPr>
        <w:t>90</w:t>
      </w:r>
      <w:r>
        <w:rPr>
          <w:rFonts w:hint="eastAsia" w:ascii="宋体" w:hAnsi="宋体" w:eastAsia="宋体" w:cs="宋体"/>
          <w:color w:val="000000"/>
          <w:sz w:val="24"/>
          <w:szCs w:val="24"/>
          <w:highlight w:val="none"/>
        </w:rPr>
        <w:t>%以上</w:t>
      </w:r>
      <w:r>
        <w:rPr>
          <w:rFonts w:hint="eastAsia" w:ascii="宋体" w:hAnsi="宋体" w:eastAsia="宋体" w:cs="宋体"/>
          <w:color w:val="000000"/>
          <w:sz w:val="24"/>
          <w:szCs w:val="24"/>
          <w:highlight w:val="none"/>
          <w:lang w:eastAsia="zh-CN"/>
        </w:rPr>
        <w:t>（其中，人工坐席回答准确率</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5%以上</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，按月统计，未达标的，每发生一次供应商赔偿违约金500元。</w:t>
      </w:r>
    </w:p>
    <w:p w14:paraId="033B4F0E">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浙江政务服务网渠道在线导办准确率</w:t>
      </w:r>
    </w:p>
    <w:p w14:paraId="64E9213B">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浙江政务服务网接入渠道，用户咨询办理问题答案可跳转浙里办操作链接（在线导办功能）准确率90%以上。每发生一次供应商赔偿违约金200元。</w:t>
      </w:r>
    </w:p>
    <w:p w14:paraId="544A6D4F">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rPr>
        <w:t>.有责投诉率</w:t>
      </w:r>
    </w:p>
    <w:p w14:paraId="485E7016">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有责投诉是指客户对</w:t>
      </w:r>
      <w:r>
        <w:rPr>
          <w:rFonts w:hint="eastAsia" w:ascii="宋体" w:hAnsi="宋体" w:cs="宋体"/>
          <w:color w:val="000000"/>
          <w:sz w:val="24"/>
          <w:szCs w:val="24"/>
          <w:highlight w:val="none"/>
          <w:lang w:val="en-US" w:eastAsia="zh-CN"/>
        </w:rPr>
        <w:t>坐席</w:t>
      </w:r>
      <w:r>
        <w:rPr>
          <w:rFonts w:hint="eastAsia" w:ascii="宋体" w:hAnsi="宋体" w:eastAsia="宋体" w:cs="宋体"/>
          <w:color w:val="000000"/>
          <w:sz w:val="24"/>
          <w:szCs w:val="24"/>
          <w:highlight w:val="none"/>
        </w:rPr>
        <w:t>人员服务态度的投诉，应遵循零投诉原则，即当月发生“12345”、“96666”等重大服务类有责投诉率应为0；经调查属实，每发生一次供应商赔偿违约金1000元。对于采购人认定特别重大服务事故，造成恶劣社会影响事件的，每发生一次供应商赔偿违约金10000元。</w:t>
      </w:r>
    </w:p>
    <w:p w14:paraId="3F5EA4B5">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.其他</w:t>
      </w:r>
    </w:p>
    <w:p w14:paraId="13025C9C">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对于浙江政务服务网等渠道网民留言的答复工作，其中，属咨询、意见建议类事项应自网民留言之日起3个工作日内完成答复；属非咨询、意见建议类事项应自网民留言之日起5个工作日内完成答复；每月按时答复率应达到100%、满意率应达到95%以上。如在规定时间内办结，但未正面完整答复问题的，视作未按时答复。按月统计，未达标的，每发生一次供应商赔偿违约金500元。</w:t>
      </w:r>
    </w:p>
    <w:p w14:paraId="31C729DB">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（2）对于在线客服因知识库未及时更新、学习不到位等原因答复错误引起客户投诉的情况，由供应商负责向客户作出解释说明及安抚。</w:t>
      </w:r>
    </w:p>
    <w:p w14:paraId="53021B0C">
      <w:pPr>
        <w:snapToGrid w:val="0"/>
        <w:spacing w:line="360" w:lineRule="auto"/>
        <w:ind w:firstLine="480" w:firstLineChars="200"/>
        <w:rPr>
          <w:rFonts w:hint="eastAsia" w:ascii="宋体" w:hAnsi="宋体" w:cs="宋体"/>
          <w:b/>
          <w:color w:val="auto"/>
          <w:sz w:val="36"/>
          <w:szCs w:val="20"/>
          <w:highlight w:val="none"/>
        </w:rPr>
      </w:pPr>
      <w:r>
        <w:rPr>
          <w:rFonts w:hint="eastAsia" w:ascii="宋体" w:hAnsi="宋体" w:eastAsia="宋体" w:cs="宋体"/>
          <w:color w:val="000000"/>
          <w:sz w:val="24"/>
          <w:szCs w:val="24"/>
          <w:highlight w:val="none"/>
        </w:rPr>
        <w:t>上述考核指标因未达标而产生的赔偿违约金，采购人将直接从剩余价款中一并扣除（如扣除后不足以支付全部赔偿违约金的，不足部分由供应商另行支付给采购人），并在项目验收通过后，结清剩余款项。</w:t>
      </w:r>
      <w:r>
        <w:rPr>
          <w:rFonts w:hint="eastAsia" w:ascii="宋体" w:hAnsi="宋体" w:cs="宋体"/>
          <w:b/>
          <w:color w:val="auto"/>
          <w:sz w:val="36"/>
          <w:szCs w:val="20"/>
          <w:highlight w:val="none"/>
        </w:rPr>
        <w:br w:type="page"/>
      </w:r>
    </w:p>
    <w:p w14:paraId="2E82F93A">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0"/>
      <w:r>
        <w:rPr>
          <w:rFonts w:hint="eastAsia" w:ascii="宋体" w:hAnsi="宋体" w:cs="宋体"/>
          <w:b/>
          <w:color w:val="auto"/>
          <w:sz w:val="36"/>
          <w:szCs w:val="20"/>
          <w:highlight w:val="none"/>
        </w:rPr>
        <w:t xml:space="preserve"> </w:t>
      </w:r>
      <w:bookmarkEnd w:id="381"/>
      <w:r>
        <w:rPr>
          <w:rFonts w:hint="eastAsia" w:ascii="宋体" w:hAnsi="宋体" w:cs="宋体"/>
          <w:b/>
          <w:color w:val="auto"/>
          <w:sz w:val="36"/>
          <w:szCs w:val="20"/>
          <w:highlight w:val="none"/>
        </w:rPr>
        <w:t>应提交的有关格式范例</w:t>
      </w:r>
    </w:p>
    <w:p w14:paraId="196DAD5A">
      <w:pPr>
        <w:spacing w:line="360" w:lineRule="auto"/>
        <w:jc w:val="center"/>
        <w:outlineLvl w:val="0"/>
        <w:rPr>
          <w:rFonts w:ascii="宋体" w:hAnsi="宋体" w:cs="宋体"/>
          <w:b/>
          <w:color w:val="auto"/>
          <w:kern w:val="0"/>
          <w:sz w:val="36"/>
          <w:szCs w:val="36"/>
          <w:highlight w:val="none"/>
        </w:rPr>
      </w:pPr>
    </w:p>
    <w:p w14:paraId="32785F0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2D9EBB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BEFE1F6">
      <w:pPr>
        <w:spacing w:line="360" w:lineRule="auto"/>
        <w:jc w:val="center"/>
        <w:outlineLvl w:val="0"/>
        <w:rPr>
          <w:rFonts w:ascii="宋体" w:hAnsi="宋体" w:cs="宋体"/>
          <w:b/>
          <w:color w:val="auto"/>
          <w:kern w:val="0"/>
          <w:sz w:val="36"/>
          <w:szCs w:val="36"/>
          <w:highlight w:val="none"/>
        </w:rPr>
      </w:pPr>
    </w:p>
    <w:p w14:paraId="605C44F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9020C9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38341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385E35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04AF7166">
      <w:pPr>
        <w:snapToGrid w:val="0"/>
        <w:spacing w:line="360" w:lineRule="auto"/>
        <w:ind w:firstLine="480" w:firstLineChars="200"/>
        <w:rPr>
          <w:rFonts w:ascii="宋体" w:hAnsi="宋体" w:cs="宋体"/>
          <w:color w:val="auto"/>
          <w:sz w:val="24"/>
          <w:highlight w:val="none"/>
        </w:rPr>
      </w:pPr>
    </w:p>
    <w:p w14:paraId="45114A1D">
      <w:pPr>
        <w:spacing w:line="360" w:lineRule="auto"/>
        <w:ind w:firstLine="480" w:firstLineChars="200"/>
        <w:rPr>
          <w:rFonts w:ascii="宋体" w:hAnsi="宋体" w:cs="宋体"/>
          <w:color w:val="auto"/>
          <w:sz w:val="24"/>
          <w:highlight w:val="none"/>
        </w:rPr>
      </w:pPr>
    </w:p>
    <w:p w14:paraId="013E141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E531E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7E9A8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我方参与（项目名称）【招标编号：（项目编号）】政府采购活动，郑重承诺：</w:t>
      </w:r>
    </w:p>
    <w:p w14:paraId="50314A6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505FB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C1839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87CF1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0858B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B7AAD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79763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9A5FC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064D0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1BADC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2AC36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679882D">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64702F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1565CCE">
      <w:pPr>
        <w:snapToGrid w:val="0"/>
        <w:spacing w:line="360" w:lineRule="auto"/>
        <w:ind w:right="480"/>
        <w:jc w:val="center"/>
        <w:rPr>
          <w:rFonts w:ascii="宋体" w:hAnsi="宋体" w:cs="宋体"/>
          <w:b/>
          <w:color w:val="auto"/>
          <w:kern w:val="0"/>
          <w:sz w:val="32"/>
          <w:szCs w:val="32"/>
          <w:highlight w:val="none"/>
        </w:rPr>
      </w:pPr>
    </w:p>
    <w:p w14:paraId="296D8971">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注：以联合体形式参加政府采购的，本承诺函须加盖联合体成员各方公章。</w:t>
      </w:r>
    </w:p>
    <w:p w14:paraId="15E88FDB">
      <w:pPr>
        <w:snapToGrid w:val="0"/>
        <w:spacing w:line="360" w:lineRule="auto"/>
        <w:ind w:right="480"/>
        <w:jc w:val="center"/>
        <w:rPr>
          <w:rFonts w:ascii="宋体" w:hAnsi="宋体" w:cs="宋体"/>
          <w:b/>
          <w:color w:val="auto"/>
          <w:kern w:val="0"/>
          <w:sz w:val="32"/>
          <w:szCs w:val="32"/>
          <w:highlight w:val="none"/>
        </w:rPr>
      </w:pPr>
    </w:p>
    <w:p w14:paraId="208278C3">
      <w:pPr>
        <w:snapToGrid w:val="0"/>
        <w:spacing w:line="360" w:lineRule="auto"/>
        <w:ind w:right="480"/>
        <w:jc w:val="center"/>
        <w:rPr>
          <w:rFonts w:ascii="宋体" w:hAnsi="宋体" w:cs="宋体"/>
          <w:b/>
          <w:color w:val="auto"/>
          <w:kern w:val="0"/>
          <w:sz w:val="32"/>
          <w:szCs w:val="32"/>
          <w:highlight w:val="none"/>
        </w:rPr>
      </w:pPr>
    </w:p>
    <w:p w14:paraId="4B01C2DD">
      <w:pPr>
        <w:rPr>
          <w:rFonts w:ascii="宋体" w:hAnsi="宋体" w:cs="宋体"/>
          <w:color w:val="auto"/>
          <w:highlight w:val="none"/>
        </w:rPr>
      </w:pPr>
    </w:p>
    <w:p w14:paraId="43D04E1F">
      <w:pPr>
        <w:snapToGrid w:val="0"/>
        <w:spacing w:line="360" w:lineRule="auto"/>
        <w:ind w:right="480"/>
        <w:jc w:val="center"/>
        <w:rPr>
          <w:rFonts w:ascii="宋体" w:hAnsi="宋体" w:cs="宋体"/>
          <w:b/>
          <w:color w:val="auto"/>
          <w:kern w:val="0"/>
          <w:sz w:val="32"/>
          <w:szCs w:val="32"/>
          <w:highlight w:val="none"/>
        </w:rPr>
      </w:pPr>
    </w:p>
    <w:p w14:paraId="375BCCA8">
      <w:pPr>
        <w:snapToGrid w:val="0"/>
        <w:spacing w:line="360" w:lineRule="auto"/>
        <w:ind w:right="480"/>
        <w:jc w:val="center"/>
        <w:rPr>
          <w:rFonts w:ascii="宋体" w:hAnsi="宋体" w:cs="宋体"/>
          <w:b/>
          <w:color w:val="auto"/>
          <w:kern w:val="0"/>
          <w:sz w:val="32"/>
          <w:szCs w:val="32"/>
          <w:highlight w:val="none"/>
        </w:rPr>
      </w:pPr>
    </w:p>
    <w:p w14:paraId="7BA820A7">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A3C553B">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6E0B18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099E06B">
      <w:pPr>
        <w:snapToGrid w:val="0"/>
        <w:spacing w:line="360" w:lineRule="auto"/>
        <w:ind w:right="480"/>
        <w:jc w:val="center"/>
        <w:rPr>
          <w:rFonts w:ascii="宋体" w:hAnsi="宋体" w:cs="宋体"/>
          <w:b/>
          <w:color w:val="auto"/>
          <w:kern w:val="0"/>
          <w:sz w:val="32"/>
          <w:szCs w:val="32"/>
          <w:highlight w:val="none"/>
        </w:rPr>
      </w:pPr>
    </w:p>
    <w:p w14:paraId="74190C89">
      <w:pPr>
        <w:snapToGrid w:val="0"/>
        <w:spacing w:line="360" w:lineRule="auto"/>
        <w:ind w:right="480"/>
        <w:jc w:val="center"/>
        <w:rPr>
          <w:rFonts w:ascii="宋体" w:hAnsi="宋体" w:cs="宋体"/>
          <w:b/>
          <w:color w:val="auto"/>
          <w:kern w:val="0"/>
          <w:sz w:val="32"/>
          <w:szCs w:val="32"/>
          <w:highlight w:val="none"/>
        </w:rPr>
      </w:pPr>
    </w:p>
    <w:p w14:paraId="3C2B0D8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D2AA79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DB88F0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90C7C03">
      <w:pPr>
        <w:pStyle w:val="799"/>
        <w:ind w:firstLine="643"/>
        <w:rPr>
          <w:rFonts w:hAnsi="宋体" w:cs="宋体"/>
          <w:b/>
          <w:color w:val="auto"/>
          <w:kern w:val="0"/>
          <w:sz w:val="32"/>
          <w:szCs w:val="32"/>
          <w:highlight w:val="none"/>
        </w:rPr>
      </w:pPr>
    </w:p>
    <w:p w14:paraId="07C89963">
      <w:pPr>
        <w:pStyle w:val="799"/>
        <w:ind w:firstLine="643"/>
        <w:rPr>
          <w:rFonts w:hAnsi="宋体" w:cs="宋体"/>
          <w:b/>
          <w:color w:val="auto"/>
          <w:kern w:val="0"/>
          <w:sz w:val="32"/>
          <w:szCs w:val="32"/>
          <w:highlight w:val="none"/>
        </w:rPr>
      </w:pPr>
    </w:p>
    <w:p w14:paraId="47B7D42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BDDF2A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8B0C726">
      <w:pPr>
        <w:rPr>
          <w:rFonts w:ascii="宋体" w:hAnsi="宋体" w:cs="宋体"/>
          <w:color w:val="auto"/>
          <w:highlight w:val="none"/>
        </w:rPr>
      </w:pPr>
    </w:p>
    <w:p w14:paraId="6B372392">
      <w:pPr>
        <w:pStyle w:val="26"/>
        <w:rPr>
          <w:rFonts w:hint="eastAsia" w:ascii="宋体" w:hAnsi="宋体" w:eastAsia="宋体" w:cs="宋体"/>
          <w:color w:val="auto"/>
          <w:sz w:val="24"/>
          <w:highlight w:val="none"/>
          <w:lang w:val="en-US" w:eastAsia="zh-CN"/>
        </w:rPr>
      </w:pPr>
    </w:p>
    <w:p w14:paraId="7EE69460">
      <w:pPr>
        <w:pStyle w:val="26"/>
        <w:rPr>
          <w:rFonts w:hint="eastAsia" w:ascii="宋体" w:hAnsi="宋体" w:eastAsia="宋体" w:cs="宋体"/>
          <w:color w:val="auto"/>
          <w:sz w:val="24"/>
          <w:highlight w:val="none"/>
          <w:lang w:val="en-US" w:eastAsia="zh-CN"/>
        </w:rPr>
      </w:pPr>
    </w:p>
    <w:p w14:paraId="6D9143CF">
      <w:pPr>
        <w:pStyle w:val="26"/>
        <w:rPr>
          <w:rFonts w:hint="eastAsia" w:ascii="宋体" w:hAnsi="宋体" w:eastAsia="宋体" w:cs="宋体"/>
          <w:color w:val="auto"/>
          <w:sz w:val="24"/>
          <w:highlight w:val="none"/>
          <w:lang w:val="en-US" w:eastAsia="zh-CN"/>
        </w:rPr>
      </w:pPr>
    </w:p>
    <w:p w14:paraId="06E37CC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注：以联合体形式参加政府采购的，联合体成员各方均需提供。</w:t>
      </w:r>
    </w:p>
    <w:p w14:paraId="16C02182">
      <w:pPr>
        <w:snapToGrid w:val="0"/>
        <w:spacing w:line="360" w:lineRule="auto"/>
        <w:ind w:right="480"/>
        <w:jc w:val="center"/>
        <w:rPr>
          <w:rFonts w:ascii="宋体" w:hAnsi="宋体" w:cs="宋体"/>
          <w:b/>
          <w:color w:val="auto"/>
          <w:kern w:val="0"/>
          <w:sz w:val="32"/>
          <w:szCs w:val="32"/>
          <w:highlight w:val="none"/>
        </w:rPr>
      </w:pPr>
    </w:p>
    <w:p w14:paraId="77C39D2F">
      <w:pPr>
        <w:widowControl/>
        <w:adjustRightInd/>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4B532E1B">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015D691">
      <w:pPr>
        <w:spacing w:line="360" w:lineRule="auto"/>
        <w:jc w:val="center"/>
        <w:outlineLvl w:val="0"/>
        <w:rPr>
          <w:rFonts w:ascii="宋体" w:hAnsi="宋体" w:cs="宋体"/>
          <w:b/>
          <w:color w:val="auto"/>
          <w:kern w:val="0"/>
          <w:sz w:val="24"/>
          <w:highlight w:val="none"/>
        </w:rPr>
      </w:pPr>
    </w:p>
    <w:p w14:paraId="5478C29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AE79A5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AF5B53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3765327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714CA20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 xml:space="preserve">（6）投标标的清单 </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3BB2B19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614996B">
      <w:pPr>
        <w:snapToGrid w:val="0"/>
        <w:spacing w:line="360" w:lineRule="auto"/>
        <w:jc w:val="center"/>
        <w:rPr>
          <w:rFonts w:ascii="宋体" w:hAnsi="宋体" w:cs="宋体"/>
          <w:b/>
          <w:color w:val="auto"/>
          <w:kern w:val="0"/>
          <w:sz w:val="32"/>
          <w:szCs w:val="32"/>
          <w:highlight w:val="none"/>
          <w:lang w:val="zh-CN"/>
        </w:rPr>
      </w:pPr>
    </w:p>
    <w:p w14:paraId="2B11596E">
      <w:pPr>
        <w:snapToGrid w:val="0"/>
        <w:spacing w:line="360" w:lineRule="auto"/>
        <w:jc w:val="center"/>
        <w:rPr>
          <w:rFonts w:ascii="宋体" w:hAnsi="宋体" w:cs="宋体"/>
          <w:b/>
          <w:color w:val="auto"/>
          <w:kern w:val="0"/>
          <w:sz w:val="32"/>
          <w:szCs w:val="32"/>
          <w:highlight w:val="none"/>
          <w:lang w:val="zh-CN"/>
        </w:rPr>
      </w:pPr>
    </w:p>
    <w:p w14:paraId="5C4287E6">
      <w:pPr>
        <w:snapToGrid w:val="0"/>
        <w:spacing w:line="360" w:lineRule="auto"/>
        <w:jc w:val="center"/>
        <w:rPr>
          <w:rFonts w:ascii="宋体" w:hAnsi="宋体" w:cs="宋体"/>
          <w:b/>
          <w:color w:val="auto"/>
          <w:kern w:val="0"/>
          <w:sz w:val="32"/>
          <w:szCs w:val="32"/>
          <w:highlight w:val="none"/>
          <w:lang w:val="zh-CN"/>
        </w:rPr>
      </w:pPr>
    </w:p>
    <w:p w14:paraId="594E4660">
      <w:pPr>
        <w:snapToGrid w:val="0"/>
        <w:spacing w:line="360" w:lineRule="auto"/>
        <w:jc w:val="center"/>
        <w:rPr>
          <w:rFonts w:ascii="宋体" w:hAnsi="宋体" w:cs="宋体"/>
          <w:b/>
          <w:color w:val="auto"/>
          <w:kern w:val="0"/>
          <w:sz w:val="32"/>
          <w:szCs w:val="32"/>
          <w:highlight w:val="none"/>
          <w:lang w:val="zh-CN"/>
        </w:rPr>
      </w:pPr>
    </w:p>
    <w:p w14:paraId="38A2DFC3">
      <w:pPr>
        <w:snapToGrid w:val="0"/>
        <w:spacing w:line="360" w:lineRule="auto"/>
        <w:jc w:val="center"/>
        <w:rPr>
          <w:rFonts w:ascii="宋体" w:hAnsi="宋体" w:cs="宋体"/>
          <w:b/>
          <w:color w:val="auto"/>
          <w:kern w:val="0"/>
          <w:sz w:val="32"/>
          <w:szCs w:val="32"/>
          <w:highlight w:val="none"/>
          <w:lang w:val="zh-CN"/>
        </w:rPr>
      </w:pPr>
    </w:p>
    <w:p w14:paraId="2F74DA31">
      <w:pPr>
        <w:snapToGrid w:val="0"/>
        <w:spacing w:line="360" w:lineRule="auto"/>
        <w:jc w:val="center"/>
        <w:rPr>
          <w:rFonts w:ascii="宋体" w:hAnsi="宋体" w:cs="宋体"/>
          <w:b/>
          <w:color w:val="auto"/>
          <w:kern w:val="0"/>
          <w:sz w:val="32"/>
          <w:szCs w:val="32"/>
          <w:highlight w:val="none"/>
          <w:lang w:val="zh-CN"/>
        </w:rPr>
      </w:pPr>
    </w:p>
    <w:p w14:paraId="59322364">
      <w:pPr>
        <w:snapToGrid w:val="0"/>
        <w:spacing w:line="360" w:lineRule="auto"/>
        <w:jc w:val="center"/>
        <w:rPr>
          <w:rFonts w:ascii="宋体" w:hAnsi="宋体" w:cs="宋体"/>
          <w:b/>
          <w:color w:val="auto"/>
          <w:kern w:val="0"/>
          <w:sz w:val="32"/>
          <w:szCs w:val="32"/>
          <w:highlight w:val="none"/>
          <w:lang w:val="zh-CN"/>
        </w:rPr>
      </w:pPr>
    </w:p>
    <w:p w14:paraId="0A0FA09C">
      <w:pPr>
        <w:snapToGrid w:val="0"/>
        <w:spacing w:line="360" w:lineRule="auto"/>
        <w:jc w:val="center"/>
        <w:rPr>
          <w:rFonts w:ascii="宋体" w:hAnsi="宋体" w:cs="宋体"/>
          <w:b/>
          <w:color w:val="auto"/>
          <w:kern w:val="0"/>
          <w:sz w:val="32"/>
          <w:szCs w:val="32"/>
          <w:highlight w:val="none"/>
          <w:lang w:val="zh-CN"/>
        </w:rPr>
      </w:pPr>
    </w:p>
    <w:p w14:paraId="377ED1D1">
      <w:pPr>
        <w:snapToGrid w:val="0"/>
        <w:spacing w:line="360" w:lineRule="auto"/>
        <w:jc w:val="center"/>
        <w:rPr>
          <w:rFonts w:ascii="宋体" w:hAnsi="宋体" w:cs="宋体"/>
          <w:b/>
          <w:color w:val="auto"/>
          <w:kern w:val="0"/>
          <w:sz w:val="32"/>
          <w:szCs w:val="32"/>
          <w:highlight w:val="none"/>
          <w:lang w:val="zh-CN"/>
        </w:rPr>
      </w:pPr>
    </w:p>
    <w:p w14:paraId="0DCDC7CA">
      <w:pPr>
        <w:snapToGrid w:val="0"/>
        <w:spacing w:line="360" w:lineRule="auto"/>
        <w:jc w:val="center"/>
        <w:rPr>
          <w:rFonts w:ascii="宋体" w:hAnsi="宋体" w:cs="宋体"/>
          <w:b/>
          <w:color w:val="auto"/>
          <w:kern w:val="0"/>
          <w:sz w:val="32"/>
          <w:szCs w:val="32"/>
          <w:highlight w:val="none"/>
          <w:lang w:val="zh-CN"/>
        </w:rPr>
      </w:pPr>
    </w:p>
    <w:p w14:paraId="538E5E49">
      <w:pPr>
        <w:snapToGrid w:val="0"/>
        <w:spacing w:line="360" w:lineRule="auto"/>
        <w:jc w:val="center"/>
        <w:rPr>
          <w:rFonts w:ascii="宋体" w:hAnsi="宋体" w:cs="宋体"/>
          <w:b/>
          <w:color w:val="auto"/>
          <w:kern w:val="0"/>
          <w:sz w:val="32"/>
          <w:szCs w:val="32"/>
          <w:highlight w:val="none"/>
          <w:lang w:val="zh-CN"/>
        </w:rPr>
      </w:pPr>
    </w:p>
    <w:p w14:paraId="22784C4B">
      <w:pPr>
        <w:snapToGrid w:val="0"/>
        <w:spacing w:line="360" w:lineRule="auto"/>
        <w:jc w:val="center"/>
        <w:rPr>
          <w:rFonts w:ascii="宋体" w:hAnsi="宋体" w:cs="宋体"/>
          <w:b/>
          <w:color w:val="auto"/>
          <w:kern w:val="0"/>
          <w:sz w:val="32"/>
          <w:szCs w:val="32"/>
          <w:highlight w:val="none"/>
          <w:lang w:val="zh-CN"/>
        </w:rPr>
      </w:pPr>
    </w:p>
    <w:p w14:paraId="40DC821A">
      <w:pPr>
        <w:rPr>
          <w:rFonts w:ascii="宋体" w:hAnsi="宋体" w:cs="宋体"/>
          <w:b/>
          <w:color w:val="auto"/>
          <w:kern w:val="0"/>
          <w:sz w:val="32"/>
          <w:szCs w:val="32"/>
          <w:highlight w:val="none"/>
          <w:lang w:val="zh-CN"/>
        </w:rPr>
      </w:pPr>
    </w:p>
    <w:p w14:paraId="27EDC9A0">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B4383B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4B0C4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D5C9F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我方参加你方组织的（项目名称）【招标编号：（项目编号）】招标的有关活动，并对此项目进行投标。为此：</w:t>
      </w:r>
    </w:p>
    <w:p w14:paraId="3B738E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B6506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3304C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585B4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1F089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96" w:name="_Hlk101257010"/>
      <w:r>
        <w:rPr>
          <w:rFonts w:hint="eastAsia" w:ascii="宋体" w:hAnsi="宋体" w:cs="宋体"/>
          <w:color w:val="auto"/>
          <w:sz w:val="24"/>
          <w:highlight w:val="none"/>
        </w:rPr>
        <w:t>（如果有)</w:t>
      </w:r>
      <w:bookmarkEnd w:id="496"/>
      <w:r>
        <w:rPr>
          <w:rFonts w:hint="eastAsia" w:ascii="宋体" w:hAnsi="宋体" w:cs="宋体"/>
          <w:snapToGrid w:val="0"/>
          <w:color w:val="auto"/>
          <w:kern w:val="28"/>
          <w:sz w:val="24"/>
          <w:szCs w:val="20"/>
          <w:highlight w:val="none"/>
        </w:rPr>
        <w:t>；</w:t>
      </w:r>
    </w:p>
    <w:p w14:paraId="338367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57DD6F7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2.1.4本项目的特定资格要求（如果有)。</w:t>
      </w:r>
    </w:p>
    <w:p w14:paraId="53AE1D6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9645E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9BC5B8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D3A9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p>
    <w:p w14:paraId="71E716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4FDC70B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299549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14:paraId="7199FB5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14:paraId="2713EC45">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6FE88D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B7FF3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05C8D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60D5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r>
        <w:rPr>
          <w:rFonts w:hint="eastAsia" w:ascii="宋体" w:hAnsi="宋体" w:cs="宋体"/>
          <w:sz w:val="24"/>
          <w:highlight w:val="none"/>
        </w:rPr>
        <w:t>。</w:t>
      </w:r>
    </w:p>
    <w:p w14:paraId="3A8310E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1F1FCF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9150EC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E2D711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C6E85A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94C5510">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3DF1F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998E45">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CE1B83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C1E9325">
      <w:pPr>
        <w:snapToGrid w:val="0"/>
        <w:spacing w:line="360" w:lineRule="auto"/>
        <w:ind w:left="420" w:leftChars="200" w:firstLine="4200" w:firstLineChars="1750"/>
        <w:rPr>
          <w:rFonts w:ascii="宋体" w:hAnsi="宋体" w:cs="宋体"/>
          <w:color w:val="auto"/>
          <w:kern w:val="0"/>
          <w:sz w:val="24"/>
          <w:highlight w:val="none"/>
          <w:u w:val="single"/>
        </w:rPr>
      </w:pPr>
    </w:p>
    <w:p w14:paraId="7F6FE41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BBC250">
      <w:pPr>
        <w:snapToGrid w:val="0"/>
        <w:spacing w:line="360" w:lineRule="auto"/>
        <w:jc w:val="center"/>
        <w:rPr>
          <w:rFonts w:ascii="宋体" w:hAnsi="宋体" w:cs="宋体"/>
          <w:b/>
          <w:color w:val="auto"/>
          <w:kern w:val="0"/>
          <w:sz w:val="32"/>
          <w:szCs w:val="32"/>
          <w:highlight w:val="none"/>
        </w:rPr>
      </w:pPr>
    </w:p>
    <w:p w14:paraId="06621ADA">
      <w:pPr>
        <w:snapToGrid w:val="0"/>
        <w:spacing w:line="360" w:lineRule="auto"/>
        <w:rPr>
          <w:rFonts w:ascii="宋体" w:hAnsi="宋体" w:cs="宋体"/>
          <w:color w:val="auto"/>
          <w:sz w:val="24"/>
          <w:highlight w:val="none"/>
        </w:rPr>
      </w:pPr>
    </w:p>
    <w:p w14:paraId="3953FEE4">
      <w:pPr>
        <w:jc w:val="center"/>
        <w:rPr>
          <w:rFonts w:ascii="宋体" w:hAnsi="宋体" w:cs="宋体"/>
          <w:b/>
          <w:color w:val="auto"/>
          <w:kern w:val="0"/>
          <w:sz w:val="32"/>
          <w:szCs w:val="32"/>
          <w:highlight w:val="none"/>
        </w:rPr>
      </w:pPr>
    </w:p>
    <w:p w14:paraId="608B9267">
      <w:pPr>
        <w:jc w:val="center"/>
        <w:rPr>
          <w:rFonts w:ascii="宋体" w:hAnsi="宋体" w:cs="宋体"/>
          <w:b/>
          <w:color w:val="auto"/>
          <w:kern w:val="0"/>
          <w:sz w:val="32"/>
          <w:szCs w:val="32"/>
          <w:highlight w:val="none"/>
        </w:rPr>
      </w:pPr>
    </w:p>
    <w:p w14:paraId="76C4AD99">
      <w:pPr>
        <w:jc w:val="center"/>
        <w:rPr>
          <w:rFonts w:ascii="宋体" w:hAnsi="宋体" w:cs="宋体"/>
          <w:b/>
          <w:color w:val="auto"/>
          <w:kern w:val="0"/>
          <w:sz w:val="32"/>
          <w:szCs w:val="32"/>
          <w:highlight w:val="none"/>
        </w:rPr>
      </w:pPr>
    </w:p>
    <w:p w14:paraId="33DF0562">
      <w:pPr>
        <w:jc w:val="center"/>
        <w:rPr>
          <w:rFonts w:ascii="宋体" w:hAnsi="宋体" w:cs="宋体"/>
          <w:b/>
          <w:color w:val="auto"/>
          <w:kern w:val="0"/>
          <w:sz w:val="32"/>
          <w:szCs w:val="32"/>
          <w:highlight w:val="none"/>
        </w:rPr>
      </w:pPr>
    </w:p>
    <w:p w14:paraId="326187BD">
      <w:pPr>
        <w:jc w:val="center"/>
        <w:rPr>
          <w:rFonts w:ascii="宋体" w:hAnsi="宋体" w:cs="宋体"/>
          <w:b/>
          <w:color w:val="auto"/>
          <w:kern w:val="0"/>
          <w:sz w:val="32"/>
          <w:szCs w:val="32"/>
          <w:highlight w:val="none"/>
        </w:rPr>
      </w:pPr>
    </w:p>
    <w:p w14:paraId="3CDA0737">
      <w:pPr>
        <w:jc w:val="center"/>
        <w:rPr>
          <w:rFonts w:ascii="宋体" w:hAnsi="宋体" w:cs="宋体"/>
          <w:b/>
          <w:color w:val="auto"/>
          <w:kern w:val="0"/>
          <w:sz w:val="32"/>
          <w:szCs w:val="32"/>
          <w:highlight w:val="none"/>
        </w:rPr>
      </w:pPr>
    </w:p>
    <w:p w14:paraId="56EBD2E8">
      <w:pPr>
        <w:jc w:val="center"/>
        <w:rPr>
          <w:rFonts w:ascii="宋体" w:hAnsi="宋体" w:cs="宋体"/>
          <w:b/>
          <w:color w:val="auto"/>
          <w:kern w:val="0"/>
          <w:sz w:val="32"/>
          <w:szCs w:val="32"/>
          <w:highlight w:val="none"/>
        </w:rPr>
      </w:pPr>
    </w:p>
    <w:p w14:paraId="5A547DEC">
      <w:pPr>
        <w:jc w:val="center"/>
        <w:rPr>
          <w:rFonts w:ascii="宋体" w:hAnsi="宋体" w:cs="宋体"/>
          <w:b/>
          <w:color w:val="auto"/>
          <w:kern w:val="0"/>
          <w:sz w:val="32"/>
          <w:szCs w:val="32"/>
          <w:highlight w:val="none"/>
        </w:rPr>
      </w:pPr>
    </w:p>
    <w:p w14:paraId="58C6FFEC">
      <w:pPr>
        <w:jc w:val="center"/>
        <w:rPr>
          <w:rFonts w:ascii="宋体" w:hAnsi="宋体" w:cs="宋体"/>
          <w:b/>
          <w:color w:val="auto"/>
          <w:kern w:val="0"/>
          <w:sz w:val="32"/>
          <w:szCs w:val="32"/>
          <w:highlight w:val="none"/>
        </w:rPr>
      </w:pPr>
    </w:p>
    <w:p w14:paraId="094D1D06">
      <w:pPr>
        <w:jc w:val="center"/>
        <w:rPr>
          <w:rFonts w:ascii="宋体" w:hAnsi="宋体" w:cs="宋体"/>
          <w:b/>
          <w:color w:val="auto"/>
          <w:kern w:val="0"/>
          <w:sz w:val="32"/>
          <w:szCs w:val="32"/>
          <w:highlight w:val="none"/>
        </w:rPr>
      </w:pPr>
    </w:p>
    <w:p w14:paraId="2355CB05">
      <w:pPr>
        <w:jc w:val="center"/>
        <w:rPr>
          <w:rFonts w:ascii="宋体" w:hAnsi="宋体" w:cs="宋体"/>
          <w:b/>
          <w:color w:val="auto"/>
          <w:kern w:val="0"/>
          <w:sz w:val="32"/>
          <w:szCs w:val="32"/>
          <w:highlight w:val="none"/>
        </w:rPr>
      </w:pPr>
    </w:p>
    <w:p w14:paraId="0937EC10">
      <w:pPr>
        <w:jc w:val="center"/>
        <w:rPr>
          <w:rFonts w:ascii="宋体" w:hAnsi="宋体" w:cs="宋体"/>
          <w:b/>
          <w:color w:val="auto"/>
          <w:kern w:val="0"/>
          <w:sz w:val="32"/>
          <w:szCs w:val="32"/>
          <w:highlight w:val="none"/>
        </w:rPr>
      </w:pPr>
    </w:p>
    <w:p w14:paraId="3D9107E2">
      <w:pPr>
        <w:jc w:val="center"/>
        <w:rPr>
          <w:rFonts w:ascii="宋体" w:hAnsi="宋体" w:cs="宋体"/>
          <w:b/>
          <w:color w:val="auto"/>
          <w:kern w:val="0"/>
          <w:sz w:val="32"/>
          <w:szCs w:val="32"/>
          <w:highlight w:val="none"/>
        </w:rPr>
      </w:pPr>
    </w:p>
    <w:p w14:paraId="57C7986A">
      <w:pPr>
        <w:jc w:val="center"/>
        <w:rPr>
          <w:rFonts w:ascii="宋体" w:hAnsi="宋体" w:cs="宋体"/>
          <w:b/>
          <w:color w:val="auto"/>
          <w:kern w:val="0"/>
          <w:sz w:val="32"/>
          <w:szCs w:val="32"/>
          <w:highlight w:val="none"/>
        </w:rPr>
      </w:pPr>
    </w:p>
    <w:p w14:paraId="5C8846D7">
      <w:pPr>
        <w:jc w:val="center"/>
        <w:rPr>
          <w:rFonts w:ascii="宋体" w:hAnsi="宋体" w:cs="宋体"/>
          <w:b/>
          <w:color w:val="auto"/>
          <w:kern w:val="0"/>
          <w:sz w:val="32"/>
          <w:szCs w:val="32"/>
          <w:highlight w:val="none"/>
        </w:rPr>
      </w:pPr>
    </w:p>
    <w:p w14:paraId="67DC2FC6">
      <w:pPr>
        <w:jc w:val="center"/>
        <w:rPr>
          <w:rFonts w:ascii="宋体" w:hAnsi="宋体" w:cs="宋体"/>
          <w:b/>
          <w:color w:val="auto"/>
          <w:kern w:val="0"/>
          <w:sz w:val="32"/>
          <w:szCs w:val="32"/>
          <w:highlight w:val="none"/>
        </w:rPr>
      </w:pPr>
    </w:p>
    <w:p w14:paraId="4CD01774">
      <w:pPr>
        <w:jc w:val="center"/>
        <w:rPr>
          <w:rFonts w:ascii="宋体" w:hAnsi="宋体" w:cs="宋体"/>
          <w:b/>
          <w:color w:val="auto"/>
          <w:kern w:val="0"/>
          <w:sz w:val="32"/>
          <w:szCs w:val="32"/>
          <w:highlight w:val="none"/>
        </w:rPr>
      </w:pPr>
    </w:p>
    <w:p w14:paraId="44595893">
      <w:pPr>
        <w:jc w:val="center"/>
        <w:rPr>
          <w:rFonts w:ascii="宋体" w:hAnsi="宋体" w:cs="宋体"/>
          <w:b/>
          <w:color w:val="auto"/>
          <w:kern w:val="0"/>
          <w:sz w:val="32"/>
          <w:szCs w:val="32"/>
          <w:highlight w:val="none"/>
        </w:rPr>
      </w:pPr>
    </w:p>
    <w:p w14:paraId="563B2D28">
      <w:pPr>
        <w:jc w:val="center"/>
        <w:rPr>
          <w:rFonts w:ascii="宋体" w:hAnsi="宋体" w:cs="宋体"/>
          <w:b/>
          <w:color w:val="auto"/>
          <w:kern w:val="0"/>
          <w:sz w:val="32"/>
          <w:szCs w:val="32"/>
          <w:highlight w:val="none"/>
        </w:rPr>
      </w:pPr>
    </w:p>
    <w:p w14:paraId="418B2B21">
      <w:pPr>
        <w:jc w:val="center"/>
        <w:rPr>
          <w:rFonts w:ascii="宋体" w:hAnsi="宋体" w:cs="宋体"/>
          <w:b/>
          <w:color w:val="auto"/>
          <w:kern w:val="0"/>
          <w:sz w:val="32"/>
          <w:szCs w:val="32"/>
          <w:highlight w:val="none"/>
        </w:rPr>
      </w:pPr>
    </w:p>
    <w:p w14:paraId="76CF137F">
      <w:pPr>
        <w:pStyle w:val="5"/>
        <w:rPr>
          <w:rFonts w:ascii="宋体" w:hAnsi="宋体" w:eastAsia="宋体" w:cs="宋体"/>
          <w:color w:val="auto"/>
          <w:highlight w:val="none"/>
          <w:lang w:val="en-US"/>
        </w:rPr>
      </w:pPr>
    </w:p>
    <w:p w14:paraId="7714611C">
      <w:pPr>
        <w:jc w:val="center"/>
        <w:rPr>
          <w:rFonts w:ascii="宋体" w:hAnsi="宋体" w:cs="宋体"/>
          <w:b/>
          <w:color w:val="auto"/>
          <w:kern w:val="0"/>
          <w:sz w:val="32"/>
          <w:szCs w:val="32"/>
          <w:highlight w:val="none"/>
        </w:rPr>
      </w:pPr>
    </w:p>
    <w:p w14:paraId="63B91D51">
      <w:pPr>
        <w:jc w:val="center"/>
        <w:rPr>
          <w:rFonts w:ascii="宋体" w:hAnsi="宋体" w:cs="宋体"/>
          <w:b/>
          <w:color w:val="auto"/>
          <w:kern w:val="0"/>
          <w:sz w:val="32"/>
          <w:szCs w:val="32"/>
          <w:highlight w:val="none"/>
        </w:rPr>
      </w:pPr>
    </w:p>
    <w:p w14:paraId="55F82C5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A54432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AD92FA6">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DC4889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16AF5E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none"/>
          <w:lang w:val="en-US" w:eastAsia="zh-CN"/>
        </w:rPr>
        <w:t>，所在单位：</w:t>
      </w:r>
      <w:r>
        <w:rPr>
          <w:rFonts w:hint="eastAsia" w:ascii="宋体" w:hAnsi="宋体" w:cs="宋体"/>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（项目名称）【招标编号：（项目编号）】</w:t>
      </w:r>
      <w:r>
        <w:rPr>
          <w:rFonts w:hint="eastAsia" w:ascii="宋体" w:hAnsi="宋体" w:cs="宋体"/>
          <w:color w:val="auto"/>
          <w:kern w:val="0"/>
          <w:sz w:val="24"/>
          <w:highlight w:val="none"/>
          <w:lang w:val="zh-CN"/>
        </w:rPr>
        <w:t>政府采购投标的一切事项，其法律后果由我方承担。</w:t>
      </w:r>
    </w:p>
    <w:p w14:paraId="473758A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6A5F45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DE93FF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24C2E7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B8C5F5C">
      <w:pPr>
        <w:snapToGrid w:val="0"/>
        <w:spacing w:line="360" w:lineRule="auto"/>
        <w:rPr>
          <w:rFonts w:ascii="宋体" w:hAnsi="宋体" w:cs="宋体"/>
          <w:color w:val="auto"/>
          <w:sz w:val="24"/>
          <w:highlight w:val="none"/>
        </w:rPr>
      </w:pPr>
    </w:p>
    <w:p w14:paraId="6C761FD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306EA2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CD8FB9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none"/>
          <w:lang w:val="en-US" w:eastAsia="zh-CN"/>
        </w:rPr>
        <w:t>，所在单位：</w:t>
      </w:r>
      <w:r>
        <w:rPr>
          <w:rFonts w:hint="eastAsia" w:ascii="宋体" w:hAnsi="宋体" w:cs="宋体"/>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（项目名称）【招标编号：（项目编号）】</w:t>
      </w:r>
      <w:r>
        <w:rPr>
          <w:rFonts w:hint="eastAsia" w:ascii="宋体" w:hAnsi="宋体" w:cs="宋体"/>
          <w:color w:val="auto"/>
          <w:kern w:val="0"/>
          <w:sz w:val="24"/>
          <w:highlight w:val="none"/>
          <w:lang w:val="zh-CN"/>
        </w:rPr>
        <w:t>政府采购投标的一切事项，其法律后果由我方承担。</w:t>
      </w:r>
    </w:p>
    <w:p w14:paraId="7BD3312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017F34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A551FEC">
      <w:pPr>
        <w:jc w:val="center"/>
        <w:rPr>
          <w:rFonts w:ascii="宋体" w:hAnsi="宋体" w:cs="宋体"/>
          <w:b/>
          <w:color w:val="auto"/>
          <w:kern w:val="0"/>
          <w:sz w:val="32"/>
          <w:szCs w:val="32"/>
          <w:highlight w:val="none"/>
        </w:rPr>
      </w:pPr>
    </w:p>
    <w:p w14:paraId="6DDF4111">
      <w:pPr>
        <w:rPr>
          <w:rFonts w:ascii="宋体" w:hAnsi="宋体" w:cs="宋体"/>
          <w:color w:val="auto"/>
          <w:highlight w:val="none"/>
        </w:rPr>
      </w:pPr>
    </w:p>
    <w:p w14:paraId="29B6887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D934A3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46E11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B20D0E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D81ED54">
      <w:pPr>
        <w:autoSpaceDE w:val="0"/>
        <w:autoSpaceDN w:val="0"/>
        <w:spacing w:line="360" w:lineRule="auto"/>
        <w:jc w:val="center"/>
        <w:rPr>
          <w:rFonts w:ascii="宋体" w:hAnsi="宋体" w:cs="宋体"/>
          <w:b/>
          <w:color w:val="auto"/>
          <w:kern w:val="0"/>
          <w:sz w:val="32"/>
          <w:szCs w:val="32"/>
          <w:highlight w:val="none"/>
          <w:lang w:val="zh-CN"/>
        </w:rPr>
      </w:pPr>
    </w:p>
    <w:p w14:paraId="0BD3D4A9">
      <w:pPr>
        <w:autoSpaceDE w:val="0"/>
        <w:autoSpaceDN w:val="0"/>
        <w:spacing w:line="360" w:lineRule="auto"/>
        <w:jc w:val="center"/>
        <w:rPr>
          <w:rFonts w:ascii="宋体" w:hAnsi="宋体" w:cs="宋体"/>
          <w:b/>
          <w:color w:val="auto"/>
          <w:kern w:val="0"/>
          <w:sz w:val="32"/>
          <w:szCs w:val="32"/>
          <w:highlight w:val="none"/>
          <w:lang w:val="zh-CN"/>
        </w:rPr>
      </w:pPr>
    </w:p>
    <w:p w14:paraId="2CC62DC9">
      <w:pPr>
        <w:autoSpaceDE w:val="0"/>
        <w:autoSpaceDN w:val="0"/>
        <w:spacing w:line="360" w:lineRule="auto"/>
        <w:jc w:val="center"/>
        <w:rPr>
          <w:rFonts w:ascii="宋体" w:hAnsi="宋体" w:cs="宋体"/>
          <w:b/>
          <w:color w:val="auto"/>
          <w:kern w:val="0"/>
          <w:sz w:val="32"/>
          <w:szCs w:val="32"/>
          <w:highlight w:val="none"/>
          <w:lang w:val="zh-CN"/>
        </w:rPr>
      </w:pPr>
    </w:p>
    <w:p w14:paraId="02924C6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7EF4097">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4D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EA946BE">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86B9E22">
            <w:pPr>
              <w:pStyle w:val="150"/>
              <w:adjustRightInd w:val="0"/>
              <w:spacing w:line="360" w:lineRule="auto"/>
              <w:rPr>
                <w:rFonts w:hAnsi="宋体" w:cs="宋体"/>
                <w:bCs/>
                <w:color w:val="auto"/>
                <w:sz w:val="24"/>
                <w:highlight w:val="none"/>
              </w:rPr>
            </w:pPr>
          </w:p>
        </w:tc>
      </w:tr>
    </w:tbl>
    <w:p w14:paraId="75C1D0C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12CD4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CC84AD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CD55B77">
      <w:pPr>
        <w:jc w:val="center"/>
        <w:rPr>
          <w:rFonts w:ascii="宋体" w:hAnsi="宋体" w:cs="宋体"/>
          <w:b/>
          <w:color w:val="auto"/>
          <w:kern w:val="0"/>
          <w:sz w:val="32"/>
          <w:szCs w:val="32"/>
          <w:highlight w:val="none"/>
        </w:rPr>
      </w:pPr>
    </w:p>
    <w:p w14:paraId="3CAB538E">
      <w:pPr>
        <w:jc w:val="center"/>
        <w:rPr>
          <w:rFonts w:ascii="宋体" w:hAnsi="宋体" w:cs="宋体"/>
          <w:b/>
          <w:color w:val="auto"/>
          <w:kern w:val="0"/>
          <w:sz w:val="32"/>
          <w:szCs w:val="32"/>
          <w:highlight w:val="none"/>
        </w:rPr>
      </w:pPr>
    </w:p>
    <w:p w14:paraId="39F4DDE0">
      <w:pPr>
        <w:jc w:val="center"/>
        <w:rPr>
          <w:rFonts w:ascii="宋体" w:hAnsi="宋体" w:cs="宋体"/>
          <w:b/>
          <w:color w:val="auto"/>
          <w:kern w:val="0"/>
          <w:sz w:val="32"/>
          <w:szCs w:val="32"/>
          <w:highlight w:val="none"/>
        </w:rPr>
      </w:pPr>
    </w:p>
    <w:p w14:paraId="5BDE9C80">
      <w:pPr>
        <w:jc w:val="center"/>
        <w:rPr>
          <w:rFonts w:ascii="宋体" w:hAnsi="宋体" w:cs="宋体"/>
          <w:b/>
          <w:color w:val="auto"/>
          <w:kern w:val="0"/>
          <w:sz w:val="32"/>
          <w:szCs w:val="32"/>
          <w:highlight w:val="none"/>
        </w:rPr>
      </w:pPr>
    </w:p>
    <w:p w14:paraId="6A7EAB81">
      <w:pPr>
        <w:jc w:val="center"/>
        <w:rPr>
          <w:rFonts w:ascii="宋体" w:hAnsi="宋体" w:cs="宋体"/>
          <w:b/>
          <w:color w:val="auto"/>
          <w:kern w:val="0"/>
          <w:sz w:val="32"/>
          <w:szCs w:val="32"/>
          <w:highlight w:val="none"/>
        </w:rPr>
      </w:pPr>
    </w:p>
    <w:p w14:paraId="7D7D13E2">
      <w:pPr>
        <w:jc w:val="center"/>
        <w:rPr>
          <w:rFonts w:ascii="宋体" w:hAnsi="宋体" w:cs="宋体"/>
          <w:b/>
          <w:color w:val="auto"/>
          <w:kern w:val="0"/>
          <w:sz w:val="32"/>
          <w:szCs w:val="32"/>
          <w:highlight w:val="none"/>
        </w:rPr>
      </w:pPr>
    </w:p>
    <w:p w14:paraId="6CCB5947">
      <w:pPr>
        <w:jc w:val="center"/>
        <w:rPr>
          <w:rFonts w:ascii="宋体" w:hAnsi="宋体" w:cs="宋体"/>
          <w:b/>
          <w:color w:val="auto"/>
          <w:kern w:val="0"/>
          <w:sz w:val="32"/>
          <w:szCs w:val="32"/>
          <w:highlight w:val="none"/>
        </w:rPr>
      </w:pPr>
    </w:p>
    <w:p w14:paraId="01646FD6">
      <w:pPr>
        <w:jc w:val="center"/>
        <w:rPr>
          <w:rFonts w:ascii="宋体" w:hAnsi="宋体" w:cs="宋体"/>
          <w:b/>
          <w:color w:val="auto"/>
          <w:kern w:val="0"/>
          <w:sz w:val="32"/>
          <w:szCs w:val="32"/>
          <w:highlight w:val="none"/>
        </w:rPr>
      </w:pPr>
    </w:p>
    <w:p w14:paraId="2FFCD5A0">
      <w:pPr>
        <w:jc w:val="center"/>
        <w:rPr>
          <w:rFonts w:ascii="宋体" w:hAnsi="宋体" w:cs="宋体"/>
          <w:b/>
          <w:color w:val="auto"/>
          <w:kern w:val="0"/>
          <w:sz w:val="32"/>
          <w:szCs w:val="32"/>
          <w:highlight w:val="none"/>
        </w:rPr>
      </w:pPr>
    </w:p>
    <w:p w14:paraId="1108DA9C">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F2609E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17DFA5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p w14:paraId="40FD9560">
      <w:pPr>
        <w:snapToGrid w:val="0"/>
        <w:spacing w:line="360" w:lineRule="auto"/>
        <w:rPr>
          <w:rFonts w:ascii="宋体" w:hAnsi="宋体" w:cs="宋体"/>
          <w:color w:val="auto"/>
          <w:kern w:val="0"/>
          <w:sz w:val="24"/>
          <w:highlight w:val="none"/>
        </w:rPr>
      </w:pPr>
    </w:p>
    <w:p w14:paraId="771BDFEF">
      <w:pPr>
        <w:pStyle w:val="25"/>
        <w:rPr>
          <w:color w:val="auto"/>
          <w:highlight w:val="none"/>
        </w:rPr>
      </w:pPr>
    </w:p>
    <w:p w14:paraId="2C5CB784">
      <w:pPr>
        <w:pStyle w:val="25"/>
        <w:rPr>
          <w:rFonts w:hAnsi="宋体" w:cs="宋体"/>
          <w:color w:val="auto"/>
          <w:highlight w:val="none"/>
        </w:rPr>
      </w:pPr>
    </w:p>
    <w:p w14:paraId="04164C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D56E6B9">
      <w:pPr>
        <w:jc w:val="center"/>
        <w:rPr>
          <w:rFonts w:ascii="宋体" w:hAnsi="宋体" w:cs="宋体"/>
          <w:b/>
          <w:color w:val="auto"/>
          <w:kern w:val="0"/>
          <w:sz w:val="32"/>
          <w:szCs w:val="32"/>
          <w:highlight w:val="none"/>
        </w:rPr>
      </w:pPr>
    </w:p>
    <w:tbl>
      <w:tblPr>
        <w:tblStyle w:val="6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4597"/>
        <w:gridCol w:w="2681"/>
        <w:gridCol w:w="1482"/>
      </w:tblGrid>
      <w:tr w14:paraId="4E89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80" w:type="pct"/>
            <w:vAlign w:val="center"/>
          </w:tcPr>
          <w:p w14:paraId="354FAB7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476" w:type="pct"/>
            <w:vAlign w:val="center"/>
          </w:tcPr>
          <w:p w14:paraId="5FF3B09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1444" w:type="pct"/>
            <w:vAlign w:val="center"/>
          </w:tcPr>
          <w:p w14:paraId="0B21D46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798" w:type="pct"/>
            <w:vAlign w:val="center"/>
          </w:tcPr>
          <w:p w14:paraId="52D60C2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0F6F10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7D6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0" w:type="pct"/>
            <w:vAlign w:val="center"/>
          </w:tcPr>
          <w:p w14:paraId="3D952C0E">
            <w:pPr>
              <w:jc w:val="center"/>
              <w:rPr>
                <w:rFonts w:ascii="宋体" w:hAnsi="宋体" w:cs="宋体"/>
                <w:color w:val="auto"/>
                <w:sz w:val="24"/>
                <w:highlight w:val="none"/>
              </w:rPr>
            </w:pPr>
            <w:r>
              <w:rPr>
                <w:rFonts w:hint="eastAsia" w:ascii="宋体" w:hAnsi="宋体" w:cs="宋体"/>
                <w:color w:val="auto"/>
                <w:sz w:val="24"/>
                <w:highlight w:val="none"/>
              </w:rPr>
              <w:t>1</w:t>
            </w:r>
          </w:p>
        </w:tc>
        <w:tc>
          <w:tcPr>
            <w:tcW w:w="2476" w:type="pct"/>
            <w:vAlign w:val="center"/>
          </w:tcPr>
          <w:p w14:paraId="0F51DD69">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1444" w:type="pct"/>
            <w:vAlign w:val="center"/>
          </w:tcPr>
          <w:p w14:paraId="0AFA58E5">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798" w:type="pct"/>
            <w:vAlign w:val="center"/>
          </w:tcPr>
          <w:p w14:paraId="1E80B15A">
            <w:pPr>
              <w:jc w:val="center"/>
              <w:rPr>
                <w:rFonts w:ascii="宋体" w:hAnsi="宋体" w:cs="宋体"/>
                <w:color w:val="auto"/>
                <w:sz w:val="24"/>
                <w:highlight w:val="none"/>
              </w:rPr>
            </w:pPr>
          </w:p>
          <w:p w14:paraId="72131BE4">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3E2D1A55">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7B6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 w:type="pct"/>
            <w:vAlign w:val="center"/>
          </w:tcPr>
          <w:p w14:paraId="0AA104CE">
            <w:pPr>
              <w:jc w:val="center"/>
              <w:rPr>
                <w:rFonts w:ascii="宋体" w:hAnsi="宋体" w:cs="宋体"/>
                <w:color w:val="auto"/>
                <w:sz w:val="24"/>
                <w:highlight w:val="none"/>
              </w:rPr>
            </w:pPr>
            <w:r>
              <w:rPr>
                <w:rFonts w:hint="eastAsia" w:ascii="宋体" w:hAnsi="宋体" w:cs="宋体"/>
                <w:color w:val="auto"/>
                <w:sz w:val="24"/>
                <w:highlight w:val="none"/>
              </w:rPr>
              <w:t>2</w:t>
            </w:r>
          </w:p>
        </w:tc>
        <w:tc>
          <w:tcPr>
            <w:tcW w:w="2476" w:type="pct"/>
            <w:vAlign w:val="center"/>
          </w:tcPr>
          <w:p w14:paraId="11B9CF8A">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1444" w:type="pct"/>
            <w:vAlign w:val="center"/>
          </w:tcPr>
          <w:p w14:paraId="78229D2E">
            <w:pPr>
              <w:jc w:val="center"/>
              <w:rPr>
                <w:rFonts w:ascii="宋体" w:hAnsi="宋体" w:cs="宋体"/>
                <w:color w:val="auto"/>
                <w:sz w:val="24"/>
                <w:highlight w:val="none"/>
              </w:rPr>
            </w:pPr>
            <w:r>
              <w:rPr>
                <w:rFonts w:hint="eastAsia" w:ascii="宋体" w:hAnsi="宋体" w:cs="宋体"/>
                <w:color w:val="auto"/>
                <w:sz w:val="24"/>
                <w:highlight w:val="none"/>
              </w:rPr>
              <w:t>投标函</w:t>
            </w:r>
          </w:p>
        </w:tc>
        <w:tc>
          <w:tcPr>
            <w:tcW w:w="798" w:type="pct"/>
            <w:vAlign w:val="center"/>
          </w:tcPr>
          <w:p w14:paraId="35F27C98">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A79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0" w:type="pct"/>
            <w:vAlign w:val="center"/>
          </w:tcPr>
          <w:p w14:paraId="01B5BAAD">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2476" w:type="pct"/>
            <w:vAlign w:val="center"/>
          </w:tcPr>
          <w:p w14:paraId="27C7B2D9">
            <w:pPr>
              <w:spacing w:line="360" w:lineRule="auto"/>
              <w:jc w:val="left"/>
              <w:rPr>
                <w:rFonts w:hint="eastAsia"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p w14:paraId="5009B6B9">
            <w:pPr>
              <w:spacing w:line="360" w:lineRule="auto"/>
              <w:jc w:val="left"/>
              <w:rPr>
                <w:rFonts w:hint="default"/>
                <w:highlight w:val="none"/>
                <w:lang w:val="en-US"/>
              </w:rPr>
            </w:pPr>
          </w:p>
        </w:tc>
        <w:tc>
          <w:tcPr>
            <w:tcW w:w="1444" w:type="pct"/>
            <w:vAlign w:val="center"/>
          </w:tcPr>
          <w:p w14:paraId="6EFB74B6">
            <w:pPr>
              <w:jc w:val="cente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798" w:type="pct"/>
            <w:vAlign w:val="center"/>
          </w:tcPr>
          <w:p w14:paraId="651E6DE7">
            <w:pPr>
              <w:jc w:val="cente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33A2491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1FAC71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079FE86D">
      <w:pPr>
        <w:jc w:val="center"/>
        <w:rPr>
          <w:rFonts w:ascii="宋体" w:hAnsi="宋体" w:cs="宋体"/>
          <w:b/>
          <w:color w:val="auto"/>
          <w:kern w:val="0"/>
          <w:sz w:val="32"/>
          <w:szCs w:val="32"/>
          <w:highlight w:val="none"/>
        </w:rPr>
      </w:pPr>
    </w:p>
    <w:p w14:paraId="1B92284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DB72348">
      <w:pPr>
        <w:jc w:val="center"/>
        <w:rPr>
          <w:rFonts w:ascii="宋体" w:hAnsi="宋体" w:cs="宋体"/>
          <w:b/>
          <w:color w:val="auto"/>
          <w:kern w:val="0"/>
          <w:sz w:val="32"/>
          <w:szCs w:val="32"/>
          <w:highlight w:val="none"/>
        </w:rPr>
      </w:pPr>
    </w:p>
    <w:p w14:paraId="5383CF99">
      <w:pPr>
        <w:pStyle w:val="2"/>
        <w:rPr>
          <w:highlight w:val="none"/>
        </w:rPr>
      </w:pPr>
    </w:p>
    <w:p w14:paraId="322677DD">
      <w:pPr>
        <w:jc w:val="center"/>
        <w:rPr>
          <w:rFonts w:ascii="宋体" w:hAnsi="宋体" w:cs="宋体"/>
          <w:b/>
          <w:color w:val="auto"/>
          <w:kern w:val="0"/>
          <w:sz w:val="32"/>
          <w:szCs w:val="32"/>
          <w:highlight w:val="none"/>
        </w:rPr>
      </w:pPr>
    </w:p>
    <w:p w14:paraId="1817FF1F">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24E49430">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F0CE541">
      <w:pPr>
        <w:jc w:val="center"/>
        <w:rPr>
          <w:rFonts w:ascii="宋体" w:hAnsi="宋体" w:cs="宋体"/>
          <w:b/>
          <w:color w:val="auto"/>
          <w:kern w:val="0"/>
          <w:sz w:val="32"/>
          <w:szCs w:val="32"/>
          <w:highlight w:val="none"/>
        </w:rPr>
      </w:pPr>
    </w:p>
    <w:p w14:paraId="37CFE977">
      <w:pPr>
        <w:jc w:val="center"/>
        <w:rPr>
          <w:rFonts w:ascii="宋体" w:hAnsi="宋体" w:cs="宋体"/>
          <w:b/>
          <w:color w:val="auto"/>
          <w:kern w:val="0"/>
          <w:sz w:val="32"/>
          <w:szCs w:val="32"/>
          <w:highlight w:val="none"/>
        </w:rPr>
      </w:pPr>
    </w:p>
    <w:p w14:paraId="54D2D42A">
      <w:pPr>
        <w:jc w:val="center"/>
        <w:rPr>
          <w:rFonts w:ascii="宋体" w:hAnsi="宋体" w:cs="宋体"/>
          <w:b/>
          <w:color w:val="auto"/>
          <w:kern w:val="0"/>
          <w:sz w:val="32"/>
          <w:szCs w:val="32"/>
          <w:highlight w:val="none"/>
        </w:rPr>
      </w:pPr>
    </w:p>
    <w:p w14:paraId="3B1943F5">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309"/>
        <w:gridCol w:w="1278"/>
        <w:gridCol w:w="1372"/>
        <w:gridCol w:w="1638"/>
        <w:gridCol w:w="1242"/>
        <w:gridCol w:w="1744"/>
      </w:tblGrid>
      <w:tr w14:paraId="4981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41A7791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05" w:type="pct"/>
            <w:tcBorders>
              <w:top w:val="single" w:color="auto" w:sz="4" w:space="0"/>
              <w:left w:val="single" w:color="auto" w:sz="4" w:space="0"/>
              <w:bottom w:val="single" w:color="auto" w:sz="4" w:space="0"/>
              <w:right w:val="single" w:color="auto" w:sz="4" w:space="0"/>
            </w:tcBorders>
            <w:vAlign w:val="center"/>
          </w:tcPr>
          <w:p w14:paraId="4B430CF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688" w:type="pct"/>
            <w:tcBorders>
              <w:top w:val="single" w:color="auto" w:sz="4" w:space="0"/>
              <w:left w:val="single" w:color="auto" w:sz="4" w:space="0"/>
              <w:bottom w:val="single" w:color="auto" w:sz="4" w:space="0"/>
              <w:right w:val="single" w:color="auto" w:sz="4" w:space="0"/>
            </w:tcBorders>
            <w:vAlign w:val="center"/>
          </w:tcPr>
          <w:p w14:paraId="11B30B4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739" w:type="pct"/>
            <w:tcBorders>
              <w:top w:val="single" w:color="auto" w:sz="4" w:space="0"/>
              <w:left w:val="single" w:color="auto" w:sz="4" w:space="0"/>
              <w:bottom w:val="single" w:color="auto" w:sz="4" w:space="0"/>
              <w:right w:val="single" w:color="auto" w:sz="4" w:space="0"/>
            </w:tcBorders>
            <w:vAlign w:val="center"/>
          </w:tcPr>
          <w:p w14:paraId="24DB89B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882" w:type="pct"/>
            <w:tcBorders>
              <w:top w:val="single" w:color="auto" w:sz="4" w:space="0"/>
              <w:left w:val="single" w:color="auto" w:sz="4" w:space="0"/>
              <w:bottom w:val="single" w:color="auto" w:sz="4" w:space="0"/>
              <w:right w:val="single" w:color="auto" w:sz="4" w:space="0"/>
            </w:tcBorders>
            <w:vAlign w:val="center"/>
          </w:tcPr>
          <w:p w14:paraId="4262AD5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669" w:type="pct"/>
            <w:tcBorders>
              <w:top w:val="single" w:color="auto" w:sz="4" w:space="0"/>
              <w:left w:val="single" w:color="auto" w:sz="4" w:space="0"/>
              <w:bottom w:val="single" w:color="auto" w:sz="4" w:space="0"/>
              <w:right w:val="single" w:color="auto" w:sz="4" w:space="0"/>
            </w:tcBorders>
            <w:vAlign w:val="center"/>
          </w:tcPr>
          <w:p w14:paraId="74C63A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939" w:type="pct"/>
            <w:tcBorders>
              <w:top w:val="single" w:color="auto" w:sz="4" w:space="0"/>
              <w:left w:val="single" w:color="auto" w:sz="4" w:space="0"/>
              <w:bottom w:val="single" w:color="auto" w:sz="4" w:space="0"/>
              <w:right w:val="single" w:color="auto" w:sz="4" w:space="0"/>
            </w:tcBorders>
            <w:vAlign w:val="center"/>
          </w:tcPr>
          <w:p w14:paraId="27EDEBB6">
            <w:pPr>
              <w:spacing w:line="360" w:lineRule="auto"/>
              <w:jc w:val="center"/>
              <w:rPr>
                <w:rFonts w:ascii="宋体" w:hAnsi="宋体" w:cs="宋体"/>
                <w:b/>
                <w:color w:val="auto"/>
                <w:sz w:val="24"/>
                <w:highlight w:val="none"/>
              </w:rPr>
            </w:pPr>
          </w:p>
          <w:p w14:paraId="3E75DB5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64AF40E">
            <w:pPr>
              <w:spacing w:line="360" w:lineRule="auto"/>
              <w:jc w:val="center"/>
              <w:rPr>
                <w:rFonts w:ascii="宋体" w:hAnsi="宋体" w:cs="宋体"/>
                <w:b/>
                <w:color w:val="auto"/>
                <w:sz w:val="24"/>
                <w:highlight w:val="none"/>
              </w:rPr>
            </w:pPr>
          </w:p>
        </w:tc>
      </w:tr>
      <w:tr w14:paraId="536C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0F5462C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5" w:type="pct"/>
            <w:tcBorders>
              <w:top w:val="single" w:color="auto" w:sz="4" w:space="0"/>
              <w:left w:val="single" w:color="auto" w:sz="4" w:space="0"/>
              <w:bottom w:val="single" w:color="auto" w:sz="4" w:space="0"/>
              <w:right w:val="single" w:color="auto" w:sz="4" w:space="0"/>
            </w:tcBorders>
            <w:vAlign w:val="center"/>
          </w:tcPr>
          <w:p w14:paraId="4AE89124">
            <w:pPr>
              <w:snapToGrid w:val="0"/>
              <w:spacing w:line="360" w:lineRule="auto"/>
              <w:jc w:val="center"/>
              <w:rPr>
                <w:rFonts w:ascii="宋体" w:hAnsi="宋体" w:cs="宋体"/>
                <w:color w:val="auto"/>
                <w:sz w:val="24"/>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7D4E97A7">
            <w:pPr>
              <w:snapToGrid w:val="0"/>
              <w:spacing w:line="360" w:lineRule="auto"/>
              <w:jc w:val="center"/>
              <w:rPr>
                <w:rFonts w:ascii="宋体" w:hAnsi="宋体" w:cs="宋体"/>
                <w:color w:val="auto"/>
                <w:sz w:val="24"/>
                <w:highlight w:val="none"/>
              </w:rPr>
            </w:pPr>
          </w:p>
        </w:tc>
        <w:tc>
          <w:tcPr>
            <w:tcW w:w="739" w:type="pct"/>
            <w:tcBorders>
              <w:top w:val="single" w:color="auto" w:sz="4" w:space="0"/>
              <w:left w:val="single" w:color="auto" w:sz="4" w:space="0"/>
              <w:bottom w:val="single" w:color="auto" w:sz="4" w:space="0"/>
              <w:right w:val="single" w:color="auto" w:sz="4" w:space="0"/>
            </w:tcBorders>
            <w:vAlign w:val="center"/>
          </w:tcPr>
          <w:p w14:paraId="5ED36144">
            <w:pPr>
              <w:snapToGrid w:val="0"/>
              <w:spacing w:line="360" w:lineRule="auto"/>
              <w:jc w:val="center"/>
              <w:rPr>
                <w:rFonts w:ascii="宋体" w:hAnsi="宋体" w:cs="宋体"/>
                <w:color w:val="auto"/>
                <w:sz w:val="24"/>
                <w:highlight w:val="none"/>
              </w:rPr>
            </w:pPr>
          </w:p>
        </w:tc>
        <w:tc>
          <w:tcPr>
            <w:tcW w:w="882" w:type="pct"/>
            <w:tcBorders>
              <w:top w:val="single" w:color="auto" w:sz="4" w:space="0"/>
              <w:left w:val="single" w:color="auto" w:sz="4" w:space="0"/>
              <w:bottom w:val="single" w:color="auto" w:sz="4" w:space="0"/>
              <w:right w:val="single" w:color="auto" w:sz="4" w:space="0"/>
            </w:tcBorders>
            <w:vAlign w:val="center"/>
          </w:tcPr>
          <w:p w14:paraId="1AFCF9AA">
            <w:pPr>
              <w:spacing w:line="360" w:lineRule="auto"/>
              <w:jc w:val="center"/>
              <w:rPr>
                <w:rFonts w:ascii="宋体" w:hAnsi="宋体" w:cs="宋体"/>
                <w:color w:val="auto"/>
                <w:sz w:val="24"/>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14:paraId="42CFBD02">
            <w:pPr>
              <w:spacing w:line="360" w:lineRule="auto"/>
              <w:jc w:val="center"/>
              <w:rPr>
                <w:rFonts w:ascii="宋体" w:hAnsi="宋体" w:cs="宋体"/>
                <w:color w:val="auto"/>
                <w:sz w:val="24"/>
                <w:highlight w:val="none"/>
              </w:rPr>
            </w:pPr>
          </w:p>
        </w:tc>
        <w:tc>
          <w:tcPr>
            <w:tcW w:w="939" w:type="pct"/>
            <w:tcBorders>
              <w:top w:val="single" w:color="auto" w:sz="4" w:space="0"/>
              <w:left w:val="single" w:color="auto" w:sz="4" w:space="0"/>
              <w:bottom w:val="single" w:color="auto" w:sz="4" w:space="0"/>
              <w:right w:val="single" w:color="auto" w:sz="4" w:space="0"/>
            </w:tcBorders>
            <w:vAlign w:val="center"/>
          </w:tcPr>
          <w:p w14:paraId="1BFBE02F">
            <w:pPr>
              <w:spacing w:line="360" w:lineRule="auto"/>
              <w:jc w:val="center"/>
              <w:rPr>
                <w:rFonts w:ascii="宋体" w:hAnsi="宋体" w:cs="宋体"/>
                <w:color w:val="auto"/>
                <w:sz w:val="24"/>
                <w:highlight w:val="none"/>
              </w:rPr>
            </w:pPr>
          </w:p>
        </w:tc>
      </w:tr>
      <w:tr w14:paraId="3DDB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603B44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05" w:type="pct"/>
            <w:tcBorders>
              <w:top w:val="single" w:color="auto" w:sz="4" w:space="0"/>
              <w:left w:val="single" w:color="auto" w:sz="4" w:space="0"/>
              <w:bottom w:val="single" w:color="auto" w:sz="4" w:space="0"/>
              <w:right w:val="single" w:color="auto" w:sz="4" w:space="0"/>
            </w:tcBorders>
            <w:vAlign w:val="center"/>
          </w:tcPr>
          <w:p w14:paraId="09791A06">
            <w:pPr>
              <w:snapToGrid w:val="0"/>
              <w:spacing w:line="360" w:lineRule="auto"/>
              <w:jc w:val="center"/>
              <w:rPr>
                <w:rFonts w:ascii="宋体" w:hAnsi="宋体" w:cs="宋体"/>
                <w:color w:val="auto"/>
                <w:sz w:val="24"/>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1F35D58F">
            <w:pPr>
              <w:snapToGrid w:val="0"/>
              <w:spacing w:line="360" w:lineRule="auto"/>
              <w:jc w:val="center"/>
              <w:rPr>
                <w:rFonts w:ascii="宋体" w:hAnsi="宋体" w:cs="宋体"/>
                <w:color w:val="auto"/>
                <w:sz w:val="24"/>
                <w:highlight w:val="none"/>
              </w:rPr>
            </w:pPr>
          </w:p>
        </w:tc>
        <w:tc>
          <w:tcPr>
            <w:tcW w:w="739" w:type="pct"/>
            <w:tcBorders>
              <w:top w:val="single" w:color="auto" w:sz="4" w:space="0"/>
              <w:left w:val="single" w:color="auto" w:sz="4" w:space="0"/>
              <w:bottom w:val="single" w:color="auto" w:sz="4" w:space="0"/>
              <w:right w:val="single" w:color="auto" w:sz="4" w:space="0"/>
            </w:tcBorders>
            <w:vAlign w:val="center"/>
          </w:tcPr>
          <w:p w14:paraId="4D4DAE57">
            <w:pPr>
              <w:snapToGrid w:val="0"/>
              <w:spacing w:line="360" w:lineRule="auto"/>
              <w:jc w:val="center"/>
              <w:rPr>
                <w:rFonts w:ascii="宋体" w:hAnsi="宋体" w:cs="宋体"/>
                <w:color w:val="auto"/>
                <w:sz w:val="24"/>
                <w:highlight w:val="none"/>
              </w:rPr>
            </w:pPr>
          </w:p>
        </w:tc>
        <w:tc>
          <w:tcPr>
            <w:tcW w:w="882" w:type="pct"/>
            <w:tcBorders>
              <w:top w:val="single" w:color="auto" w:sz="4" w:space="0"/>
              <w:left w:val="single" w:color="auto" w:sz="4" w:space="0"/>
              <w:bottom w:val="single" w:color="auto" w:sz="4" w:space="0"/>
              <w:right w:val="single" w:color="auto" w:sz="4" w:space="0"/>
            </w:tcBorders>
            <w:vAlign w:val="center"/>
          </w:tcPr>
          <w:p w14:paraId="16A5A997">
            <w:pPr>
              <w:spacing w:line="360" w:lineRule="auto"/>
              <w:jc w:val="center"/>
              <w:rPr>
                <w:rFonts w:ascii="宋体" w:hAnsi="宋体" w:cs="宋体"/>
                <w:color w:val="auto"/>
                <w:sz w:val="24"/>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14:paraId="6C674C65">
            <w:pPr>
              <w:spacing w:line="360" w:lineRule="auto"/>
              <w:jc w:val="center"/>
              <w:rPr>
                <w:rFonts w:ascii="宋体" w:hAnsi="宋体" w:cs="宋体"/>
                <w:color w:val="auto"/>
                <w:sz w:val="24"/>
                <w:highlight w:val="none"/>
              </w:rPr>
            </w:pPr>
          </w:p>
        </w:tc>
        <w:tc>
          <w:tcPr>
            <w:tcW w:w="939" w:type="pct"/>
            <w:tcBorders>
              <w:top w:val="single" w:color="auto" w:sz="4" w:space="0"/>
              <w:left w:val="single" w:color="auto" w:sz="4" w:space="0"/>
              <w:bottom w:val="single" w:color="auto" w:sz="4" w:space="0"/>
              <w:right w:val="single" w:color="auto" w:sz="4" w:space="0"/>
            </w:tcBorders>
            <w:vAlign w:val="center"/>
          </w:tcPr>
          <w:p w14:paraId="4BD37873">
            <w:pPr>
              <w:spacing w:line="360" w:lineRule="auto"/>
              <w:jc w:val="center"/>
              <w:rPr>
                <w:rFonts w:ascii="宋体" w:hAnsi="宋体" w:cs="宋体"/>
                <w:color w:val="auto"/>
                <w:sz w:val="24"/>
                <w:highlight w:val="none"/>
              </w:rPr>
            </w:pPr>
          </w:p>
        </w:tc>
      </w:tr>
      <w:tr w14:paraId="6A40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14:paraId="703529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705" w:type="pct"/>
            <w:tcBorders>
              <w:top w:val="single" w:color="auto" w:sz="4" w:space="0"/>
              <w:left w:val="single" w:color="auto" w:sz="4" w:space="0"/>
              <w:bottom w:val="single" w:color="auto" w:sz="4" w:space="0"/>
              <w:right w:val="single" w:color="auto" w:sz="4" w:space="0"/>
            </w:tcBorders>
            <w:vAlign w:val="center"/>
          </w:tcPr>
          <w:p w14:paraId="6DF94423">
            <w:pPr>
              <w:snapToGrid w:val="0"/>
              <w:spacing w:line="360" w:lineRule="auto"/>
              <w:jc w:val="center"/>
              <w:rPr>
                <w:rFonts w:ascii="宋体" w:hAnsi="宋体" w:cs="宋体"/>
                <w:color w:val="auto"/>
                <w:sz w:val="24"/>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727A2DCB">
            <w:pPr>
              <w:snapToGrid w:val="0"/>
              <w:spacing w:line="360" w:lineRule="auto"/>
              <w:jc w:val="center"/>
              <w:rPr>
                <w:rFonts w:ascii="宋体" w:hAnsi="宋体" w:cs="宋体"/>
                <w:color w:val="auto"/>
                <w:sz w:val="24"/>
                <w:highlight w:val="none"/>
              </w:rPr>
            </w:pPr>
          </w:p>
        </w:tc>
        <w:tc>
          <w:tcPr>
            <w:tcW w:w="739" w:type="pct"/>
            <w:tcBorders>
              <w:top w:val="single" w:color="auto" w:sz="4" w:space="0"/>
              <w:left w:val="single" w:color="auto" w:sz="4" w:space="0"/>
              <w:bottom w:val="single" w:color="auto" w:sz="4" w:space="0"/>
              <w:right w:val="single" w:color="auto" w:sz="4" w:space="0"/>
            </w:tcBorders>
            <w:vAlign w:val="center"/>
          </w:tcPr>
          <w:p w14:paraId="6FD2C124">
            <w:pPr>
              <w:snapToGrid w:val="0"/>
              <w:spacing w:line="360" w:lineRule="auto"/>
              <w:jc w:val="center"/>
              <w:rPr>
                <w:rFonts w:ascii="宋体" w:hAnsi="宋体" w:cs="宋体"/>
                <w:color w:val="auto"/>
                <w:sz w:val="24"/>
                <w:highlight w:val="none"/>
              </w:rPr>
            </w:pPr>
          </w:p>
        </w:tc>
        <w:tc>
          <w:tcPr>
            <w:tcW w:w="882" w:type="pct"/>
            <w:tcBorders>
              <w:top w:val="single" w:color="auto" w:sz="4" w:space="0"/>
              <w:left w:val="single" w:color="auto" w:sz="4" w:space="0"/>
              <w:bottom w:val="single" w:color="auto" w:sz="4" w:space="0"/>
              <w:right w:val="single" w:color="auto" w:sz="4" w:space="0"/>
            </w:tcBorders>
            <w:vAlign w:val="center"/>
          </w:tcPr>
          <w:p w14:paraId="6AD5668C">
            <w:pPr>
              <w:spacing w:line="360" w:lineRule="auto"/>
              <w:jc w:val="center"/>
              <w:rPr>
                <w:rFonts w:ascii="宋体" w:hAnsi="宋体" w:cs="宋体"/>
                <w:color w:val="auto"/>
                <w:sz w:val="24"/>
                <w:highlight w:val="none"/>
              </w:rPr>
            </w:pPr>
          </w:p>
        </w:tc>
        <w:tc>
          <w:tcPr>
            <w:tcW w:w="669" w:type="pct"/>
            <w:tcBorders>
              <w:top w:val="single" w:color="auto" w:sz="4" w:space="0"/>
              <w:left w:val="single" w:color="auto" w:sz="4" w:space="0"/>
              <w:bottom w:val="single" w:color="auto" w:sz="4" w:space="0"/>
              <w:right w:val="single" w:color="auto" w:sz="4" w:space="0"/>
            </w:tcBorders>
            <w:vAlign w:val="center"/>
          </w:tcPr>
          <w:p w14:paraId="7E28D63C">
            <w:pPr>
              <w:spacing w:line="360" w:lineRule="auto"/>
              <w:jc w:val="center"/>
              <w:rPr>
                <w:rFonts w:ascii="宋体" w:hAnsi="宋体" w:cs="宋体"/>
                <w:color w:val="auto"/>
                <w:sz w:val="24"/>
                <w:highlight w:val="none"/>
              </w:rPr>
            </w:pPr>
          </w:p>
        </w:tc>
        <w:tc>
          <w:tcPr>
            <w:tcW w:w="939" w:type="pct"/>
            <w:tcBorders>
              <w:top w:val="single" w:color="auto" w:sz="4" w:space="0"/>
              <w:left w:val="single" w:color="auto" w:sz="4" w:space="0"/>
              <w:bottom w:val="single" w:color="auto" w:sz="4" w:space="0"/>
              <w:right w:val="single" w:color="auto" w:sz="4" w:space="0"/>
            </w:tcBorders>
            <w:vAlign w:val="center"/>
          </w:tcPr>
          <w:p w14:paraId="71523BCE">
            <w:pPr>
              <w:spacing w:line="360" w:lineRule="auto"/>
              <w:jc w:val="center"/>
              <w:rPr>
                <w:rFonts w:ascii="宋体" w:hAnsi="宋体" w:cs="宋体"/>
                <w:color w:val="auto"/>
                <w:sz w:val="24"/>
                <w:highlight w:val="none"/>
              </w:rPr>
            </w:pPr>
          </w:p>
        </w:tc>
      </w:tr>
    </w:tbl>
    <w:p w14:paraId="6B20D51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04250A9">
      <w:pPr>
        <w:jc w:val="center"/>
        <w:rPr>
          <w:rFonts w:ascii="宋体" w:hAnsi="宋体" w:cs="宋体"/>
          <w:b/>
          <w:color w:val="auto"/>
          <w:kern w:val="0"/>
          <w:sz w:val="32"/>
          <w:szCs w:val="32"/>
          <w:highlight w:val="none"/>
        </w:rPr>
      </w:pPr>
    </w:p>
    <w:p w14:paraId="15F855FD">
      <w:pPr>
        <w:pStyle w:val="25"/>
        <w:rPr>
          <w:color w:val="auto"/>
          <w:highlight w:val="none"/>
          <w:lang w:val="en-US"/>
        </w:rPr>
      </w:pPr>
    </w:p>
    <w:p w14:paraId="1EA22E09">
      <w:pPr>
        <w:jc w:val="center"/>
        <w:rPr>
          <w:rFonts w:ascii="宋体" w:hAnsi="宋体" w:cs="宋体"/>
          <w:b/>
          <w:color w:val="auto"/>
          <w:kern w:val="0"/>
          <w:sz w:val="32"/>
          <w:szCs w:val="32"/>
          <w:highlight w:val="none"/>
        </w:rPr>
      </w:pPr>
    </w:p>
    <w:p w14:paraId="2431807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612"/>
        <w:gridCol w:w="3479"/>
        <w:gridCol w:w="1252"/>
      </w:tblGrid>
      <w:tr w14:paraId="1FB9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55E9402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945" w:type="pct"/>
          </w:tcPr>
          <w:p w14:paraId="489D554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1873" w:type="pct"/>
          </w:tcPr>
          <w:p w14:paraId="27E9F36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674" w:type="pct"/>
          </w:tcPr>
          <w:p w14:paraId="51A81EA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4D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2A5A757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945" w:type="pct"/>
          </w:tcPr>
          <w:p w14:paraId="2F47F38D">
            <w:pPr>
              <w:jc w:val="center"/>
              <w:rPr>
                <w:rFonts w:ascii="宋体" w:hAnsi="宋体" w:cs="宋体"/>
                <w:b/>
                <w:color w:val="auto"/>
                <w:kern w:val="0"/>
                <w:sz w:val="32"/>
                <w:szCs w:val="32"/>
                <w:highlight w:val="none"/>
              </w:rPr>
            </w:pPr>
          </w:p>
        </w:tc>
        <w:tc>
          <w:tcPr>
            <w:tcW w:w="1873" w:type="pct"/>
          </w:tcPr>
          <w:p w14:paraId="0091F675">
            <w:pPr>
              <w:jc w:val="center"/>
              <w:rPr>
                <w:rFonts w:ascii="宋体" w:hAnsi="宋体" w:cs="宋体"/>
                <w:b/>
                <w:color w:val="auto"/>
                <w:kern w:val="0"/>
                <w:sz w:val="32"/>
                <w:szCs w:val="32"/>
                <w:highlight w:val="none"/>
              </w:rPr>
            </w:pPr>
          </w:p>
        </w:tc>
        <w:tc>
          <w:tcPr>
            <w:tcW w:w="674" w:type="pct"/>
          </w:tcPr>
          <w:p w14:paraId="1B8D22FF">
            <w:pPr>
              <w:jc w:val="center"/>
              <w:rPr>
                <w:rFonts w:ascii="宋体" w:hAnsi="宋体" w:cs="宋体"/>
                <w:b/>
                <w:color w:val="auto"/>
                <w:kern w:val="0"/>
                <w:sz w:val="32"/>
                <w:szCs w:val="32"/>
                <w:highlight w:val="none"/>
              </w:rPr>
            </w:pPr>
          </w:p>
        </w:tc>
      </w:tr>
      <w:tr w14:paraId="7BED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32A4FEB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945" w:type="pct"/>
          </w:tcPr>
          <w:p w14:paraId="554496E4">
            <w:pPr>
              <w:jc w:val="center"/>
              <w:rPr>
                <w:rFonts w:ascii="宋体" w:hAnsi="宋体" w:cs="宋体"/>
                <w:b/>
                <w:color w:val="auto"/>
                <w:kern w:val="0"/>
                <w:sz w:val="32"/>
                <w:szCs w:val="32"/>
                <w:highlight w:val="none"/>
              </w:rPr>
            </w:pPr>
          </w:p>
        </w:tc>
        <w:tc>
          <w:tcPr>
            <w:tcW w:w="1873" w:type="pct"/>
          </w:tcPr>
          <w:p w14:paraId="12490BB7">
            <w:pPr>
              <w:jc w:val="center"/>
              <w:rPr>
                <w:rFonts w:ascii="宋体" w:hAnsi="宋体" w:cs="宋体"/>
                <w:b/>
                <w:color w:val="auto"/>
                <w:kern w:val="0"/>
                <w:sz w:val="32"/>
                <w:szCs w:val="32"/>
                <w:highlight w:val="none"/>
              </w:rPr>
            </w:pPr>
          </w:p>
        </w:tc>
        <w:tc>
          <w:tcPr>
            <w:tcW w:w="674" w:type="pct"/>
          </w:tcPr>
          <w:p w14:paraId="048F4432">
            <w:pPr>
              <w:jc w:val="center"/>
              <w:rPr>
                <w:rFonts w:ascii="宋体" w:hAnsi="宋体" w:cs="宋体"/>
                <w:b/>
                <w:color w:val="auto"/>
                <w:kern w:val="0"/>
                <w:sz w:val="32"/>
                <w:szCs w:val="32"/>
                <w:highlight w:val="none"/>
              </w:rPr>
            </w:pPr>
          </w:p>
        </w:tc>
      </w:tr>
      <w:tr w14:paraId="4654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4A42699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945" w:type="pct"/>
          </w:tcPr>
          <w:p w14:paraId="3BCD3A9B">
            <w:pPr>
              <w:jc w:val="center"/>
              <w:rPr>
                <w:rFonts w:ascii="宋体" w:hAnsi="宋体" w:cs="宋体"/>
                <w:b/>
                <w:color w:val="auto"/>
                <w:kern w:val="0"/>
                <w:sz w:val="32"/>
                <w:szCs w:val="32"/>
                <w:highlight w:val="none"/>
              </w:rPr>
            </w:pPr>
          </w:p>
        </w:tc>
        <w:tc>
          <w:tcPr>
            <w:tcW w:w="1873" w:type="pct"/>
          </w:tcPr>
          <w:p w14:paraId="624B1E1E">
            <w:pPr>
              <w:jc w:val="center"/>
              <w:rPr>
                <w:rFonts w:ascii="宋体" w:hAnsi="宋体" w:cs="宋体"/>
                <w:b/>
                <w:color w:val="auto"/>
                <w:kern w:val="0"/>
                <w:sz w:val="32"/>
                <w:szCs w:val="32"/>
                <w:highlight w:val="none"/>
              </w:rPr>
            </w:pPr>
          </w:p>
        </w:tc>
        <w:tc>
          <w:tcPr>
            <w:tcW w:w="674" w:type="pct"/>
          </w:tcPr>
          <w:p w14:paraId="209E9839">
            <w:pPr>
              <w:jc w:val="center"/>
              <w:rPr>
                <w:rFonts w:ascii="宋体" w:hAnsi="宋体" w:cs="宋体"/>
                <w:b/>
                <w:color w:val="auto"/>
                <w:kern w:val="0"/>
                <w:sz w:val="32"/>
                <w:szCs w:val="32"/>
                <w:highlight w:val="none"/>
              </w:rPr>
            </w:pPr>
          </w:p>
        </w:tc>
      </w:tr>
    </w:tbl>
    <w:p w14:paraId="694B07A8">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28CC05A">
      <w:pPr>
        <w:jc w:val="center"/>
        <w:rPr>
          <w:rFonts w:ascii="宋体" w:hAnsi="宋体" w:cs="宋体"/>
          <w:b/>
          <w:color w:val="auto"/>
          <w:kern w:val="0"/>
          <w:sz w:val="32"/>
          <w:szCs w:val="32"/>
          <w:highlight w:val="none"/>
        </w:rPr>
      </w:pPr>
    </w:p>
    <w:p w14:paraId="25C5E893">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59AD656A">
      <w:p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03BE8417">
      <w:pPr>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F440AFC">
      <w:pPr>
        <w:ind w:firstLine="1911" w:firstLineChars="595"/>
        <w:rPr>
          <w:rFonts w:ascii="宋体" w:hAnsi="宋体" w:cs="宋体"/>
          <w:b/>
          <w:bCs/>
          <w:color w:val="auto"/>
          <w:sz w:val="32"/>
          <w:szCs w:val="32"/>
          <w:highlight w:val="none"/>
        </w:rPr>
      </w:pPr>
    </w:p>
    <w:p w14:paraId="10CC639B">
      <w:pPr>
        <w:ind w:firstLine="1911" w:firstLineChars="595"/>
        <w:rPr>
          <w:rFonts w:ascii="宋体" w:hAnsi="宋体" w:cs="宋体"/>
          <w:b/>
          <w:bCs/>
          <w:color w:val="auto"/>
          <w:sz w:val="32"/>
          <w:szCs w:val="32"/>
          <w:highlight w:val="none"/>
        </w:rPr>
      </w:pPr>
    </w:p>
    <w:p w14:paraId="46DCAE43">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7A9E63DF">
      <w:pPr>
        <w:snapToGrid w:val="0"/>
        <w:spacing w:line="360" w:lineRule="auto"/>
        <w:rPr>
          <w:rFonts w:ascii="宋体" w:hAnsi="宋体" w:cs="宋体"/>
          <w:color w:val="auto"/>
          <w:sz w:val="24"/>
          <w:highlight w:val="none"/>
        </w:rPr>
      </w:pPr>
    </w:p>
    <w:p w14:paraId="52EA558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010D4E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40DAF8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E61E54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DDBCB4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B21D4A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C0E21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8D021E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59DA00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09083D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EBC877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02A952C">
      <w:pPr>
        <w:autoSpaceDE w:val="0"/>
        <w:autoSpaceDN w:val="0"/>
        <w:spacing w:line="360" w:lineRule="auto"/>
        <w:ind w:left="2"/>
        <w:jc w:val="left"/>
        <w:rPr>
          <w:rFonts w:ascii="宋体" w:hAnsi="宋体" w:cs="宋体"/>
          <w:color w:val="auto"/>
          <w:kern w:val="0"/>
          <w:sz w:val="24"/>
          <w:highlight w:val="none"/>
          <w:lang w:val="zh-CN"/>
        </w:rPr>
      </w:pPr>
    </w:p>
    <w:p w14:paraId="3C17C483">
      <w:pPr>
        <w:autoSpaceDE w:val="0"/>
        <w:autoSpaceDN w:val="0"/>
        <w:spacing w:line="360" w:lineRule="auto"/>
        <w:ind w:left="2"/>
        <w:jc w:val="left"/>
        <w:rPr>
          <w:rFonts w:ascii="宋体" w:hAnsi="宋体" w:cs="宋体"/>
          <w:color w:val="auto"/>
          <w:kern w:val="0"/>
          <w:sz w:val="24"/>
          <w:highlight w:val="none"/>
          <w:lang w:val="zh-CN"/>
        </w:rPr>
      </w:pPr>
    </w:p>
    <w:p w14:paraId="469C6CB2">
      <w:pPr>
        <w:autoSpaceDE w:val="0"/>
        <w:autoSpaceDN w:val="0"/>
        <w:spacing w:line="360" w:lineRule="auto"/>
        <w:ind w:left="2"/>
        <w:jc w:val="left"/>
        <w:rPr>
          <w:rFonts w:ascii="宋体" w:hAnsi="宋体" w:cs="宋体"/>
          <w:color w:val="auto"/>
          <w:kern w:val="0"/>
          <w:sz w:val="24"/>
          <w:highlight w:val="none"/>
          <w:lang w:val="zh-CN"/>
        </w:rPr>
      </w:pPr>
    </w:p>
    <w:p w14:paraId="0E48FBC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2408C8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AD825FD">
      <w:pPr>
        <w:spacing w:line="360" w:lineRule="auto"/>
        <w:jc w:val="center"/>
        <w:rPr>
          <w:rFonts w:ascii="宋体" w:hAnsi="宋体" w:cs="宋体"/>
          <w:b/>
          <w:bCs/>
          <w:color w:val="auto"/>
          <w:sz w:val="24"/>
          <w:highlight w:val="none"/>
        </w:rPr>
      </w:pPr>
    </w:p>
    <w:p w14:paraId="7E8D832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75EE9B5">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79AFEB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0876C6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18DC838">
      <w:pPr>
        <w:spacing w:line="360" w:lineRule="auto"/>
        <w:jc w:val="center"/>
        <w:outlineLvl w:val="0"/>
        <w:rPr>
          <w:rFonts w:ascii="宋体" w:hAnsi="宋体" w:cs="宋体"/>
          <w:b/>
          <w:color w:val="auto"/>
          <w:kern w:val="0"/>
          <w:sz w:val="36"/>
          <w:szCs w:val="36"/>
          <w:highlight w:val="none"/>
        </w:rPr>
      </w:pPr>
    </w:p>
    <w:p w14:paraId="0D8ED6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0268CD77">
      <w:pPr>
        <w:snapToGrid w:val="0"/>
        <w:spacing w:line="360" w:lineRule="auto"/>
        <w:rPr>
          <w:rFonts w:hint="eastAsia" w:ascii="宋体" w:hAnsi="宋体" w:cs="宋体"/>
          <w:color w:val="auto"/>
          <w:sz w:val="24"/>
          <w:highlight w:val="none"/>
          <w:lang w:val="en-US"/>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en-US"/>
        </w:rPr>
        <w:t>报价情况说明</w:t>
      </w:r>
      <w:r>
        <w:rPr>
          <w:rFonts w:hint="eastAsia" w:ascii="宋体" w:hAnsi="宋体" w:cs="宋体"/>
          <w:color w:val="auto"/>
          <w:sz w:val="24"/>
          <w:highlight w:val="none"/>
        </w:rPr>
        <w:t>…………………………………………………………………（页码）</w:t>
      </w:r>
    </w:p>
    <w:p w14:paraId="2D8A61C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2BE75CBD">
      <w:pPr>
        <w:snapToGrid w:val="0"/>
        <w:spacing w:line="360" w:lineRule="auto"/>
        <w:ind w:right="480"/>
        <w:jc w:val="center"/>
        <w:rPr>
          <w:rFonts w:ascii="宋体" w:hAnsi="宋体" w:cs="宋体"/>
          <w:b/>
          <w:color w:val="auto"/>
          <w:kern w:val="0"/>
          <w:sz w:val="32"/>
          <w:szCs w:val="32"/>
          <w:highlight w:val="none"/>
        </w:rPr>
      </w:pPr>
    </w:p>
    <w:p w14:paraId="66B388EC">
      <w:pPr>
        <w:snapToGrid w:val="0"/>
        <w:spacing w:line="360" w:lineRule="auto"/>
        <w:ind w:right="480"/>
        <w:jc w:val="center"/>
        <w:rPr>
          <w:rFonts w:ascii="宋体" w:hAnsi="宋体" w:cs="宋体"/>
          <w:b/>
          <w:color w:val="auto"/>
          <w:kern w:val="0"/>
          <w:sz w:val="32"/>
          <w:szCs w:val="32"/>
          <w:highlight w:val="none"/>
        </w:rPr>
      </w:pPr>
    </w:p>
    <w:p w14:paraId="4EF9E6DD">
      <w:pPr>
        <w:snapToGrid w:val="0"/>
        <w:spacing w:line="360" w:lineRule="auto"/>
        <w:ind w:right="480"/>
        <w:jc w:val="center"/>
        <w:rPr>
          <w:rFonts w:ascii="宋体" w:hAnsi="宋体" w:cs="宋体"/>
          <w:b/>
          <w:color w:val="auto"/>
          <w:kern w:val="0"/>
          <w:sz w:val="32"/>
          <w:szCs w:val="32"/>
          <w:highlight w:val="none"/>
        </w:rPr>
      </w:pPr>
    </w:p>
    <w:p w14:paraId="75596DB8">
      <w:pPr>
        <w:snapToGrid w:val="0"/>
        <w:spacing w:line="360" w:lineRule="auto"/>
        <w:ind w:right="480"/>
        <w:jc w:val="center"/>
        <w:rPr>
          <w:rFonts w:ascii="宋体" w:hAnsi="宋体" w:cs="宋体"/>
          <w:b/>
          <w:color w:val="auto"/>
          <w:kern w:val="0"/>
          <w:sz w:val="32"/>
          <w:szCs w:val="32"/>
          <w:highlight w:val="none"/>
        </w:rPr>
      </w:pPr>
    </w:p>
    <w:p w14:paraId="60D05A76">
      <w:pPr>
        <w:snapToGrid w:val="0"/>
        <w:spacing w:line="360" w:lineRule="auto"/>
        <w:ind w:right="480"/>
        <w:jc w:val="center"/>
        <w:rPr>
          <w:rFonts w:ascii="宋体" w:hAnsi="宋体" w:cs="宋体"/>
          <w:b/>
          <w:color w:val="auto"/>
          <w:kern w:val="0"/>
          <w:sz w:val="32"/>
          <w:szCs w:val="32"/>
          <w:highlight w:val="none"/>
        </w:rPr>
      </w:pPr>
    </w:p>
    <w:p w14:paraId="162D7052">
      <w:pPr>
        <w:snapToGrid w:val="0"/>
        <w:spacing w:line="360" w:lineRule="auto"/>
        <w:ind w:right="480"/>
        <w:jc w:val="center"/>
        <w:rPr>
          <w:rFonts w:ascii="宋体" w:hAnsi="宋体" w:cs="宋体"/>
          <w:b/>
          <w:color w:val="auto"/>
          <w:kern w:val="0"/>
          <w:sz w:val="32"/>
          <w:szCs w:val="32"/>
          <w:highlight w:val="none"/>
        </w:rPr>
      </w:pPr>
    </w:p>
    <w:p w14:paraId="191E9794">
      <w:pPr>
        <w:snapToGrid w:val="0"/>
        <w:spacing w:line="360" w:lineRule="auto"/>
        <w:ind w:right="480"/>
        <w:jc w:val="center"/>
        <w:rPr>
          <w:rFonts w:ascii="宋体" w:hAnsi="宋体" w:cs="宋体"/>
          <w:b/>
          <w:color w:val="auto"/>
          <w:kern w:val="0"/>
          <w:sz w:val="32"/>
          <w:szCs w:val="32"/>
          <w:highlight w:val="none"/>
        </w:rPr>
      </w:pPr>
    </w:p>
    <w:p w14:paraId="4E10E06E">
      <w:pPr>
        <w:snapToGrid w:val="0"/>
        <w:spacing w:line="360" w:lineRule="auto"/>
        <w:ind w:right="480"/>
        <w:jc w:val="center"/>
        <w:rPr>
          <w:rFonts w:ascii="宋体" w:hAnsi="宋体" w:cs="宋体"/>
          <w:b/>
          <w:color w:val="auto"/>
          <w:kern w:val="0"/>
          <w:sz w:val="32"/>
          <w:szCs w:val="32"/>
          <w:highlight w:val="none"/>
        </w:rPr>
      </w:pPr>
    </w:p>
    <w:p w14:paraId="063C2E83">
      <w:pPr>
        <w:snapToGrid w:val="0"/>
        <w:spacing w:line="360" w:lineRule="auto"/>
        <w:ind w:right="480"/>
        <w:jc w:val="center"/>
        <w:rPr>
          <w:rFonts w:ascii="宋体" w:hAnsi="宋体" w:cs="宋体"/>
          <w:b/>
          <w:color w:val="auto"/>
          <w:kern w:val="0"/>
          <w:sz w:val="32"/>
          <w:szCs w:val="32"/>
          <w:highlight w:val="none"/>
        </w:rPr>
      </w:pPr>
    </w:p>
    <w:p w14:paraId="7DEEB9D1">
      <w:pPr>
        <w:snapToGrid w:val="0"/>
        <w:spacing w:line="360" w:lineRule="auto"/>
        <w:ind w:right="480"/>
        <w:jc w:val="center"/>
        <w:rPr>
          <w:rFonts w:ascii="宋体" w:hAnsi="宋体" w:cs="宋体"/>
          <w:b/>
          <w:color w:val="auto"/>
          <w:kern w:val="0"/>
          <w:sz w:val="32"/>
          <w:szCs w:val="32"/>
          <w:highlight w:val="none"/>
        </w:rPr>
      </w:pPr>
    </w:p>
    <w:p w14:paraId="13BEFD5F">
      <w:pPr>
        <w:snapToGrid w:val="0"/>
        <w:spacing w:line="360" w:lineRule="auto"/>
        <w:ind w:right="480"/>
        <w:jc w:val="center"/>
        <w:rPr>
          <w:rFonts w:ascii="宋体" w:hAnsi="宋体" w:cs="宋体"/>
          <w:b/>
          <w:color w:val="auto"/>
          <w:kern w:val="0"/>
          <w:sz w:val="32"/>
          <w:szCs w:val="32"/>
          <w:highlight w:val="none"/>
        </w:rPr>
      </w:pPr>
    </w:p>
    <w:p w14:paraId="0E3D2B85">
      <w:pPr>
        <w:snapToGrid w:val="0"/>
        <w:spacing w:line="360" w:lineRule="auto"/>
        <w:ind w:right="480"/>
        <w:jc w:val="center"/>
        <w:rPr>
          <w:rFonts w:ascii="宋体" w:hAnsi="宋体" w:cs="宋体"/>
          <w:b/>
          <w:color w:val="auto"/>
          <w:kern w:val="0"/>
          <w:sz w:val="32"/>
          <w:szCs w:val="32"/>
          <w:highlight w:val="none"/>
        </w:rPr>
      </w:pPr>
    </w:p>
    <w:p w14:paraId="5CC2ABC3">
      <w:pPr>
        <w:snapToGrid w:val="0"/>
        <w:spacing w:line="360" w:lineRule="auto"/>
        <w:ind w:right="480"/>
        <w:jc w:val="center"/>
        <w:rPr>
          <w:rFonts w:ascii="宋体" w:hAnsi="宋体" w:cs="宋体"/>
          <w:b/>
          <w:color w:val="auto"/>
          <w:kern w:val="0"/>
          <w:sz w:val="32"/>
          <w:szCs w:val="32"/>
          <w:highlight w:val="none"/>
        </w:rPr>
      </w:pPr>
    </w:p>
    <w:p w14:paraId="20085EE5">
      <w:pPr>
        <w:snapToGrid w:val="0"/>
        <w:spacing w:line="360" w:lineRule="auto"/>
        <w:ind w:right="480"/>
        <w:jc w:val="center"/>
        <w:rPr>
          <w:rFonts w:ascii="宋体" w:hAnsi="宋体" w:cs="宋体"/>
          <w:b/>
          <w:color w:val="auto"/>
          <w:kern w:val="0"/>
          <w:sz w:val="32"/>
          <w:szCs w:val="32"/>
          <w:highlight w:val="none"/>
        </w:rPr>
      </w:pPr>
    </w:p>
    <w:p w14:paraId="00462514">
      <w:pPr>
        <w:snapToGrid w:val="0"/>
        <w:spacing w:line="360" w:lineRule="auto"/>
        <w:ind w:right="480"/>
        <w:jc w:val="center"/>
        <w:rPr>
          <w:rFonts w:ascii="宋体" w:hAnsi="宋体" w:cs="宋体"/>
          <w:b/>
          <w:color w:val="auto"/>
          <w:kern w:val="0"/>
          <w:sz w:val="32"/>
          <w:szCs w:val="32"/>
          <w:highlight w:val="none"/>
        </w:rPr>
      </w:pPr>
    </w:p>
    <w:p w14:paraId="6469419F">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A26C7B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D04F14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71A2AA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（项目编号）】的实施</w:t>
      </w:r>
      <w:r>
        <w:rPr>
          <w:rFonts w:hint="eastAsia" w:ascii="宋体" w:hAnsi="宋体" w:cs="宋体"/>
          <w:color w:val="auto"/>
          <w:kern w:val="0"/>
          <w:sz w:val="24"/>
          <w:highlight w:val="none"/>
          <w:lang w:val="zh-CN"/>
        </w:rPr>
        <w:t>。</w:t>
      </w:r>
    </w:p>
    <w:p w14:paraId="424F92A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950"/>
        <w:gridCol w:w="2176"/>
        <w:gridCol w:w="2316"/>
        <w:gridCol w:w="2176"/>
        <w:gridCol w:w="2040"/>
        <w:gridCol w:w="2040"/>
        <w:gridCol w:w="2046"/>
      </w:tblGrid>
      <w:tr w14:paraId="33CD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69" w:type="pct"/>
            <w:vAlign w:val="center"/>
          </w:tcPr>
          <w:p w14:paraId="319A74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27" w:type="pct"/>
            <w:vAlign w:val="center"/>
          </w:tcPr>
          <w:p w14:paraId="34F7BE5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749" w:type="pct"/>
          </w:tcPr>
          <w:p w14:paraId="72661A83">
            <w:pPr>
              <w:spacing w:line="360" w:lineRule="auto"/>
              <w:jc w:val="center"/>
              <w:rPr>
                <w:rFonts w:ascii="宋体" w:hAnsi="宋体" w:cs="宋体"/>
                <w:b/>
                <w:color w:val="auto"/>
                <w:sz w:val="24"/>
                <w:highlight w:val="none"/>
              </w:rPr>
            </w:pPr>
          </w:p>
          <w:p w14:paraId="38DF8E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796" w:type="pct"/>
            <w:vAlign w:val="center"/>
          </w:tcPr>
          <w:p w14:paraId="369A129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749" w:type="pct"/>
            <w:vAlign w:val="center"/>
          </w:tcPr>
          <w:p w14:paraId="234728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702" w:type="pct"/>
            <w:vAlign w:val="center"/>
          </w:tcPr>
          <w:p w14:paraId="650AA6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702" w:type="pct"/>
          </w:tcPr>
          <w:p w14:paraId="4B497DF7">
            <w:pPr>
              <w:spacing w:line="360" w:lineRule="auto"/>
              <w:jc w:val="center"/>
              <w:rPr>
                <w:rFonts w:ascii="宋体" w:hAnsi="宋体" w:cs="宋体"/>
                <w:b/>
                <w:color w:val="auto"/>
                <w:sz w:val="24"/>
                <w:highlight w:val="none"/>
              </w:rPr>
            </w:pPr>
          </w:p>
          <w:p w14:paraId="2AA965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702" w:type="pct"/>
            <w:vAlign w:val="center"/>
          </w:tcPr>
          <w:p w14:paraId="75529249">
            <w:pPr>
              <w:spacing w:line="360" w:lineRule="auto"/>
              <w:jc w:val="center"/>
              <w:rPr>
                <w:rFonts w:ascii="宋体" w:hAnsi="宋体" w:cs="宋体"/>
                <w:b/>
                <w:color w:val="auto"/>
                <w:sz w:val="24"/>
                <w:highlight w:val="none"/>
              </w:rPr>
            </w:pPr>
          </w:p>
          <w:p w14:paraId="1645C06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4BACB47">
            <w:pPr>
              <w:spacing w:line="360" w:lineRule="auto"/>
              <w:jc w:val="center"/>
              <w:rPr>
                <w:rFonts w:ascii="宋体" w:hAnsi="宋体" w:cs="宋体"/>
                <w:b/>
                <w:color w:val="auto"/>
                <w:sz w:val="24"/>
                <w:highlight w:val="none"/>
              </w:rPr>
            </w:pPr>
          </w:p>
        </w:tc>
      </w:tr>
      <w:tr w14:paraId="6DA0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9" w:type="pct"/>
            <w:vAlign w:val="center"/>
          </w:tcPr>
          <w:p w14:paraId="6EED1D1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27" w:type="pct"/>
            <w:vAlign w:val="center"/>
          </w:tcPr>
          <w:p w14:paraId="60532C8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w:t>
            </w:r>
          </w:p>
        </w:tc>
        <w:tc>
          <w:tcPr>
            <w:tcW w:w="749" w:type="pct"/>
            <w:vAlign w:val="center"/>
          </w:tcPr>
          <w:p w14:paraId="6C0D5ADD">
            <w:pPr>
              <w:snapToGrid w:val="0"/>
              <w:spacing w:line="360" w:lineRule="auto"/>
              <w:jc w:val="center"/>
              <w:rPr>
                <w:rFonts w:ascii="宋体" w:hAnsi="宋体" w:cs="宋体"/>
                <w:color w:val="auto"/>
                <w:sz w:val="24"/>
                <w:highlight w:val="none"/>
              </w:rPr>
            </w:pPr>
          </w:p>
        </w:tc>
        <w:tc>
          <w:tcPr>
            <w:tcW w:w="796" w:type="pct"/>
            <w:vAlign w:val="center"/>
          </w:tcPr>
          <w:p w14:paraId="1B694230">
            <w:pPr>
              <w:snapToGrid w:val="0"/>
              <w:spacing w:line="360" w:lineRule="auto"/>
              <w:jc w:val="center"/>
              <w:rPr>
                <w:rFonts w:ascii="宋体" w:hAnsi="宋体" w:cs="宋体"/>
                <w:color w:val="auto"/>
                <w:sz w:val="24"/>
                <w:highlight w:val="none"/>
              </w:rPr>
            </w:pPr>
          </w:p>
        </w:tc>
        <w:tc>
          <w:tcPr>
            <w:tcW w:w="749" w:type="pct"/>
            <w:vAlign w:val="center"/>
          </w:tcPr>
          <w:p w14:paraId="457CDE13">
            <w:pPr>
              <w:snapToGrid w:val="0"/>
              <w:spacing w:line="360" w:lineRule="auto"/>
              <w:jc w:val="center"/>
              <w:rPr>
                <w:rFonts w:ascii="宋体" w:hAnsi="宋体" w:cs="宋体"/>
                <w:color w:val="auto"/>
                <w:sz w:val="24"/>
                <w:highlight w:val="none"/>
              </w:rPr>
            </w:pPr>
          </w:p>
        </w:tc>
        <w:tc>
          <w:tcPr>
            <w:tcW w:w="702" w:type="pct"/>
            <w:vAlign w:val="center"/>
          </w:tcPr>
          <w:p w14:paraId="71DBF858">
            <w:pPr>
              <w:spacing w:line="360" w:lineRule="auto"/>
              <w:jc w:val="center"/>
              <w:rPr>
                <w:rFonts w:ascii="宋体" w:hAnsi="宋体" w:cs="宋体"/>
                <w:color w:val="auto"/>
                <w:sz w:val="24"/>
                <w:highlight w:val="none"/>
              </w:rPr>
            </w:pPr>
          </w:p>
        </w:tc>
        <w:tc>
          <w:tcPr>
            <w:tcW w:w="702" w:type="pct"/>
          </w:tcPr>
          <w:p w14:paraId="5CFC0163">
            <w:pPr>
              <w:spacing w:line="360" w:lineRule="auto"/>
              <w:jc w:val="center"/>
              <w:rPr>
                <w:rFonts w:ascii="宋体" w:hAnsi="宋体" w:cs="宋体"/>
                <w:color w:val="auto"/>
                <w:sz w:val="24"/>
                <w:highlight w:val="none"/>
              </w:rPr>
            </w:pPr>
          </w:p>
        </w:tc>
        <w:tc>
          <w:tcPr>
            <w:tcW w:w="702" w:type="pct"/>
            <w:vAlign w:val="center"/>
          </w:tcPr>
          <w:p w14:paraId="7B297DEB">
            <w:pPr>
              <w:spacing w:line="360" w:lineRule="auto"/>
              <w:jc w:val="center"/>
              <w:rPr>
                <w:rFonts w:ascii="宋体" w:hAnsi="宋体" w:cs="宋体"/>
                <w:color w:val="auto"/>
                <w:sz w:val="24"/>
                <w:highlight w:val="none"/>
              </w:rPr>
            </w:pPr>
          </w:p>
        </w:tc>
      </w:tr>
      <w:tr w14:paraId="0C27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269" w:type="pct"/>
            <w:vAlign w:val="center"/>
          </w:tcPr>
          <w:p w14:paraId="28E0280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27" w:type="pct"/>
            <w:vAlign w:val="center"/>
          </w:tcPr>
          <w:p w14:paraId="2FA6046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w:t>
            </w:r>
          </w:p>
        </w:tc>
        <w:tc>
          <w:tcPr>
            <w:tcW w:w="749" w:type="pct"/>
            <w:vAlign w:val="center"/>
          </w:tcPr>
          <w:p w14:paraId="7B39FC60">
            <w:pPr>
              <w:snapToGrid w:val="0"/>
              <w:spacing w:line="360" w:lineRule="auto"/>
              <w:jc w:val="center"/>
              <w:rPr>
                <w:rFonts w:ascii="宋体" w:hAnsi="宋体" w:cs="宋体"/>
                <w:color w:val="auto"/>
                <w:sz w:val="24"/>
                <w:highlight w:val="none"/>
              </w:rPr>
            </w:pPr>
          </w:p>
        </w:tc>
        <w:tc>
          <w:tcPr>
            <w:tcW w:w="796" w:type="pct"/>
            <w:vAlign w:val="center"/>
          </w:tcPr>
          <w:p w14:paraId="4D61BEE1">
            <w:pPr>
              <w:snapToGrid w:val="0"/>
              <w:spacing w:line="360" w:lineRule="auto"/>
              <w:jc w:val="center"/>
              <w:rPr>
                <w:rFonts w:ascii="宋体" w:hAnsi="宋体" w:cs="宋体"/>
                <w:color w:val="auto"/>
                <w:sz w:val="24"/>
                <w:highlight w:val="none"/>
              </w:rPr>
            </w:pPr>
          </w:p>
        </w:tc>
        <w:tc>
          <w:tcPr>
            <w:tcW w:w="749" w:type="pct"/>
            <w:vAlign w:val="center"/>
          </w:tcPr>
          <w:p w14:paraId="204051F9">
            <w:pPr>
              <w:snapToGrid w:val="0"/>
              <w:spacing w:line="360" w:lineRule="auto"/>
              <w:jc w:val="center"/>
              <w:rPr>
                <w:rFonts w:ascii="宋体" w:hAnsi="宋体" w:cs="宋体"/>
                <w:color w:val="auto"/>
                <w:sz w:val="24"/>
                <w:highlight w:val="none"/>
              </w:rPr>
            </w:pPr>
          </w:p>
        </w:tc>
        <w:tc>
          <w:tcPr>
            <w:tcW w:w="702" w:type="pct"/>
            <w:vAlign w:val="center"/>
          </w:tcPr>
          <w:p w14:paraId="32005030">
            <w:pPr>
              <w:spacing w:line="360" w:lineRule="auto"/>
              <w:jc w:val="center"/>
              <w:rPr>
                <w:rFonts w:ascii="宋体" w:hAnsi="宋体" w:cs="宋体"/>
                <w:color w:val="auto"/>
                <w:sz w:val="24"/>
                <w:highlight w:val="none"/>
              </w:rPr>
            </w:pPr>
          </w:p>
        </w:tc>
        <w:tc>
          <w:tcPr>
            <w:tcW w:w="702" w:type="pct"/>
          </w:tcPr>
          <w:p w14:paraId="61FC1944">
            <w:pPr>
              <w:spacing w:line="360" w:lineRule="auto"/>
              <w:jc w:val="center"/>
              <w:rPr>
                <w:rFonts w:ascii="宋体" w:hAnsi="宋体" w:cs="宋体"/>
                <w:color w:val="auto"/>
                <w:sz w:val="24"/>
                <w:highlight w:val="none"/>
              </w:rPr>
            </w:pPr>
          </w:p>
        </w:tc>
        <w:tc>
          <w:tcPr>
            <w:tcW w:w="702" w:type="pct"/>
            <w:vAlign w:val="center"/>
          </w:tcPr>
          <w:p w14:paraId="048A4904">
            <w:pPr>
              <w:spacing w:line="360" w:lineRule="auto"/>
              <w:jc w:val="center"/>
              <w:rPr>
                <w:rFonts w:ascii="宋体" w:hAnsi="宋体" w:cs="宋体"/>
                <w:color w:val="auto"/>
                <w:sz w:val="24"/>
                <w:highlight w:val="none"/>
              </w:rPr>
            </w:pPr>
          </w:p>
        </w:tc>
      </w:tr>
      <w:tr w14:paraId="0786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14:paraId="7D9D008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27" w:type="pct"/>
            <w:vAlign w:val="center"/>
          </w:tcPr>
          <w:p w14:paraId="2B9C145E">
            <w:pPr>
              <w:snapToGrid w:val="0"/>
              <w:spacing w:line="360" w:lineRule="auto"/>
              <w:jc w:val="center"/>
              <w:rPr>
                <w:rFonts w:ascii="宋体" w:hAnsi="宋体" w:cs="宋体"/>
                <w:color w:val="auto"/>
                <w:sz w:val="24"/>
                <w:highlight w:val="none"/>
              </w:rPr>
            </w:pPr>
          </w:p>
        </w:tc>
        <w:tc>
          <w:tcPr>
            <w:tcW w:w="749" w:type="pct"/>
            <w:vAlign w:val="center"/>
          </w:tcPr>
          <w:p w14:paraId="5D1AA030">
            <w:pPr>
              <w:snapToGrid w:val="0"/>
              <w:spacing w:line="360" w:lineRule="auto"/>
              <w:jc w:val="center"/>
              <w:rPr>
                <w:rFonts w:ascii="宋体" w:hAnsi="宋体" w:cs="宋体"/>
                <w:color w:val="auto"/>
                <w:sz w:val="24"/>
                <w:highlight w:val="none"/>
              </w:rPr>
            </w:pPr>
          </w:p>
        </w:tc>
        <w:tc>
          <w:tcPr>
            <w:tcW w:w="796" w:type="pct"/>
            <w:vAlign w:val="center"/>
          </w:tcPr>
          <w:p w14:paraId="1A4229B1">
            <w:pPr>
              <w:snapToGrid w:val="0"/>
              <w:spacing w:line="360" w:lineRule="auto"/>
              <w:jc w:val="center"/>
              <w:rPr>
                <w:rFonts w:ascii="宋体" w:hAnsi="宋体" w:cs="宋体"/>
                <w:color w:val="auto"/>
                <w:sz w:val="24"/>
                <w:highlight w:val="none"/>
              </w:rPr>
            </w:pPr>
          </w:p>
        </w:tc>
        <w:tc>
          <w:tcPr>
            <w:tcW w:w="749" w:type="pct"/>
            <w:vAlign w:val="center"/>
          </w:tcPr>
          <w:p w14:paraId="2AFA30FF">
            <w:pPr>
              <w:snapToGrid w:val="0"/>
              <w:spacing w:line="360" w:lineRule="auto"/>
              <w:jc w:val="center"/>
              <w:rPr>
                <w:rFonts w:ascii="宋体" w:hAnsi="宋体" w:cs="宋体"/>
                <w:color w:val="auto"/>
                <w:sz w:val="24"/>
                <w:highlight w:val="none"/>
              </w:rPr>
            </w:pPr>
          </w:p>
        </w:tc>
        <w:tc>
          <w:tcPr>
            <w:tcW w:w="702" w:type="pct"/>
            <w:vAlign w:val="center"/>
          </w:tcPr>
          <w:p w14:paraId="47BBF791">
            <w:pPr>
              <w:spacing w:line="360" w:lineRule="auto"/>
              <w:jc w:val="center"/>
              <w:rPr>
                <w:rFonts w:ascii="宋体" w:hAnsi="宋体" w:cs="宋体"/>
                <w:color w:val="auto"/>
                <w:sz w:val="24"/>
                <w:highlight w:val="none"/>
              </w:rPr>
            </w:pPr>
          </w:p>
        </w:tc>
        <w:tc>
          <w:tcPr>
            <w:tcW w:w="702" w:type="pct"/>
          </w:tcPr>
          <w:p w14:paraId="23DE517B">
            <w:pPr>
              <w:spacing w:line="360" w:lineRule="auto"/>
              <w:jc w:val="center"/>
              <w:rPr>
                <w:rFonts w:ascii="宋体" w:hAnsi="宋体" w:cs="宋体"/>
                <w:color w:val="auto"/>
                <w:sz w:val="24"/>
                <w:highlight w:val="none"/>
              </w:rPr>
            </w:pPr>
          </w:p>
        </w:tc>
        <w:tc>
          <w:tcPr>
            <w:tcW w:w="702" w:type="pct"/>
            <w:vAlign w:val="center"/>
          </w:tcPr>
          <w:p w14:paraId="6DBF4786">
            <w:pPr>
              <w:spacing w:line="360" w:lineRule="auto"/>
              <w:jc w:val="center"/>
              <w:rPr>
                <w:rFonts w:ascii="宋体" w:hAnsi="宋体" w:cs="宋体"/>
                <w:color w:val="auto"/>
                <w:sz w:val="24"/>
                <w:highlight w:val="none"/>
              </w:rPr>
            </w:pPr>
          </w:p>
        </w:tc>
      </w:tr>
      <w:tr w14:paraId="36B1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14:paraId="6E9442BE">
            <w:pPr>
              <w:spacing w:line="360" w:lineRule="auto"/>
              <w:jc w:val="center"/>
              <w:rPr>
                <w:rFonts w:ascii="宋体" w:hAnsi="宋体" w:cs="宋体"/>
                <w:color w:val="auto"/>
                <w:sz w:val="24"/>
                <w:highlight w:val="none"/>
              </w:rPr>
            </w:pPr>
          </w:p>
        </w:tc>
        <w:tc>
          <w:tcPr>
            <w:tcW w:w="327" w:type="pct"/>
            <w:vAlign w:val="center"/>
          </w:tcPr>
          <w:p w14:paraId="07371427">
            <w:pPr>
              <w:snapToGrid w:val="0"/>
              <w:spacing w:line="360" w:lineRule="auto"/>
              <w:jc w:val="center"/>
              <w:rPr>
                <w:rFonts w:ascii="宋体" w:hAnsi="宋体" w:cs="宋体"/>
                <w:color w:val="auto"/>
                <w:sz w:val="24"/>
                <w:highlight w:val="none"/>
              </w:rPr>
            </w:pPr>
          </w:p>
        </w:tc>
        <w:tc>
          <w:tcPr>
            <w:tcW w:w="749" w:type="pct"/>
            <w:vAlign w:val="center"/>
          </w:tcPr>
          <w:p w14:paraId="223EB0D3">
            <w:pPr>
              <w:snapToGrid w:val="0"/>
              <w:spacing w:line="360" w:lineRule="auto"/>
              <w:jc w:val="center"/>
              <w:rPr>
                <w:rFonts w:ascii="宋体" w:hAnsi="宋体" w:cs="宋体"/>
                <w:color w:val="auto"/>
                <w:sz w:val="24"/>
                <w:highlight w:val="none"/>
              </w:rPr>
            </w:pPr>
          </w:p>
        </w:tc>
        <w:tc>
          <w:tcPr>
            <w:tcW w:w="796" w:type="pct"/>
            <w:vAlign w:val="center"/>
          </w:tcPr>
          <w:p w14:paraId="6735A351">
            <w:pPr>
              <w:snapToGrid w:val="0"/>
              <w:spacing w:line="360" w:lineRule="auto"/>
              <w:jc w:val="center"/>
              <w:rPr>
                <w:rFonts w:ascii="宋体" w:hAnsi="宋体" w:cs="宋体"/>
                <w:color w:val="auto"/>
                <w:sz w:val="24"/>
                <w:highlight w:val="none"/>
              </w:rPr>
            </w:pPr>
          </w:p>
        </w:tc>
        <w:tc>
          <w:tcPr>
            <w:tcW w:w="749" w:type="pct"/>
            <w:vAlign w:val="center"/>
          </w:tcPr>
          <w:p w14:paraId="0BF1F060">
            <w:pPr>
              <w:snapToGrid w:val="0"/>
              <w:spacing w:line="360" w:lineRule="auto"/>
              <w:jc w:val="center"/>
              <w:rPr>
                <w:rFonts w:ascii="宋体" w:hAnsi="宋体" w:cs="宋体"/>
                <w:color w:val="auto"/>
                <w:sz w:val="24"/>
                <w:highlight w:val="none"/>
              </w:rPr>
            </w:pPr>
          </w:p>
        </w:tc>
        <w:tc>
          <w:tcPr>
            <w:tcW w:w="702" w:type="pct"/>
            <w:vAlign w:val="center"/>
          </w:tcPr>
          <w:p w14:paraId="2E199220">
            <w:pPr>
              <w:spacing w:line="360" w:lineRule="auto"/>
              <w:jc w:val="center"/>
              <w:rPr>
                <w:rFonts w:ascii="宋体" w:hAnsi="宋体" w:cs="宋体"/>
                <w:color w:val="auto"/>
                <w:sz w:val="24"/>
                <w:highlight w:val="none"/>
              </w:rPr>
            </w:pPr>
          </w:p>
        </w:tc>
        <w:tc>
          <w:tcPr>
            <w:tcW w:w="702" w:type="pct"/>
          </w:tcPr>
          <w:p w14:paraId="4BFFFC61">
            <w:pPr>
              <w:spacing w:line="360" w:lineRule="auto"/>
              <w:jc w:val="center"/>
              <w:rPr>
                <w:rFonts w:ascii="宋体" w:hAnsi="宋体" w:cs="宋体"/>
                <w:color w:val="auto"/>
                <w:sz w:val="24"/>
                <w:highlight w:val="none"/>
              </w:rPr>
            </w:pPr>
          </w:p>
        </w:tc>
        <w:tc>
          <w:tcPr>
            <w:tcW w:w="702" w:type="pct"/>
            <w:vAlign w:val="center"/>
          </w:tcPr>
          <w:p w14:paraId="23ABF0C7">
            <w:pPr>
              <w:spacing w:line="360" w:lineRule="auto"/>
              <w:jc w:val="center"/>
              <w:rPr>
                <w:rFonts w:ascii="宋体" w:hAnsi="宋体" w:cs="宋体"/>
                <w:color w:val="auto"/>
                <w:sz w:val="24"/>
                <w:highlight w:val="none"/>
              </w:rPr>
            </w:pPr>
          </w:p>
        </w:tc>
      </w:tr>
      <w:tr w14:paraId="5AA5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9" w:type="pct"/>
            <w:vAlign w:val="center"/>
          </w:tcPr>
          <w:p w14:paraId="64A5B751">
            <w:pPr>
              <w:spacing w:line="360" w:lineRule="auto"/>
              <w:jc w:val="center"/>
              <w:rPr>
                <w:rFonts w:ascii="宋体" w:hAnsi="宋体" w:cs="宋体"/>
                <w:color w:val="auto"/>
                <w:sz w:val="24"/>
                <w:highlight w:val="none"/>
              </w:rPr>
            </w:pPr>
          </w:p>
        </w:tc>
        <w:tc>
          <w:tcPr>
            <w:tcW w:w="327" w:type="pct"/>
            <w:vAlign w:val="center"/>
          </w:tcPr>
          <w:p w14:paraId="57A02837">
            <w:pPr>
              <w:snapToGrid w:val="0"/>
              <w:spacing w:line="360" w:lineRule="auto"/>
              <w:jc w:val="center"/>
              <w:rPr>
                <w:rFonts w:ascii="宋体" w:hAnsi="宋体" w:cs="宋体"/>
                <w:color w:val="auto"/>
                <w:sz w:val="24"/>
                <w:highlight w:val="none"/>
              </w:rPr>
            </w:pPr>
          </w:p>
        </w:tc>
        <w:tc>
          <w:tcPr>
            <w:tcW w:w="749" w:type="pct"/>
            <w:vAlign w:val="center"/>
          </w:tcPr>
          <w:p w14:paraId="675F6A3A">
            <w:pPr>
              <w:snapToGrid w:val="0"/>
              <w:spacing w:line="360" w:lineRule="auto"/>
              <w:jc w:val="center"/>
              <w:rPr>
                <w:rFonts w:ascii="宋体" w:hAnsi="宋体" w:cs="宋体"/>
                <w:color w:val="auto"/>
                <w:sz w:val="24"/>
                <w:highlight w:val="none"/>
              </w:rPr>
            </w:pPr>
          </w:p>
        </w:tc>
        <w:tc>
          <w:tcPr>
            <w:tcW w:w="796" w:type="pct"/>
            <w:vAlign w:val="center"/>
          </w:tcPr>
          <w:p w14:paraId="366DD25C">
            <w:pPr>
              <w:snapToGrid w:val="0"/>
              <w:spacing w:line="360" w:lineRule="auto"/>
              <w:jc w:val="center"/>
              <w:rPr>
                <w:rFonts w:ascii="宋体" w:hAnsi="宋体" w:cs="宋体"/>
                <w:color w:val="auto"/>
                <w:sz w:val="24"/>
                <w:highlight w:val="none"/>
              </w:rPr>
            </w:pPr>
          </w:p>
        </w:tc>
        <w:tc>
          <w:tcPr>
            <w:tcW w:w="749" w:type="pct"/>
            <w:vAlign w:val="center"/>
          </w:tcPr>
          <w:p w14:paraId="662A77EE">
            <w:pPr>
              <w:snapToGrid w:val="0"/>
              <w:spacing w:line="360" w:lineRule="auto"/>
              <w:jc w:val="center"/>
              <w:rPr>
                <w:rFonts w:ascii="宋体" w:hAnsi="宋体" w:cs="宋体"/>
                <w:color w:val="auto"/>
                <w:sz w:val="24"/>
                <w:highlight w:val="none"/>
              </w:rPr>
            </w:pPr>
          </w:p>
        </w:tc>
        <w:tc>
          <w:tcPr>
            <w:tcW w:w="702" w:type="pct"/>
            <w:vAlign w:val="center"/>
          </w:tcPr>
          <w:p w14:paraId="7E306E08">
            <w:pPr>
              <w:spacing w:line="360" w:lineRule="auto"/>
              <w:jc w:val="center"/>
              <w:rPr>
                <w:rFonts w:ascii="宋体" w:hAnsi="宋体" w:cs="宋体"/>
                <w:color w:val="auto"/>
                <w:sz w:val="24"/>
                <w:highlight w:val="none"/>
              </w:rPr>
            </w:pPr>
          </w:p>
        </w:tc>
        <w:tc>
          <w:tcPr>
            <w:tcW w:w="702" w:type="pct"/>
          </w:tcPr>
          <w:p w14:paraId="092AEFA6">
            <w:pPr>
              <w:spacing w:line="360" w:lineRule="auto"/>
              <w:jc w:val="center"/>
              <w:rPr>
                <w:rFonts w:hint="eastAsia" w:ascii="宋体" w:hAnsi="宋体" w:eastAsia="宋体" w:cs="宋体"/>
                <w:color w:val="auto"/>
                <w:sz w:val="24"/>
                <w:highlight w:val="none"/>
                <w:lang w:eastAsia="zh-CN"/>
              </w:rPr>
            </w:pPr>
          </w:p>
        </w:tc>
        <w:tc>
          <w:tcPr>
            <w:tcW w:w="702" w:type="pct"/>
            <w:vAlign w:val="center"/>
          </w:tcPr>
          <w:p w14:paraId="500A5924">
            <w:pPr>
              <w:spacing w:line="360" w:lineRule="auto"/>
              <w:jc w:val="center"/>
              <w:rPr>
                <w:rFonts w:ascii="宋体" w:hAnsi="宋体" w:cs="宋体"/>
                <w:color w:val="auto"/>
                <w:sz w:val="24"/>
                <w:highlight w:val="none"/>
              </w:rPr>
            </w:pPr>
          </w:p>
        </w:tc>
      </w:tr>
      <w:tr w14:paraId="6AFD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42" w:type="pct"/>
            <w:gridSpan w:val="4"/>
            <w:vAlign w:val="center"/>
          </w:tcPr>
          <w:p w14:paraId="17E39A9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2857" w:type="pct"/>
            <w:gridSpan w:val="4"/>
          </w:tcPr>
          <w:p w14:paraId="2A0C3DFB">
            <w:pPr>
              <w:spacing w:line="360" w:lineRule="auto"/>
              <w:jc w:val="center"/>
              <w:rPr>
                <w:rFonts w:hint="eastAsia" w:ascii="宋体" w:hAnsi="宋体" w:eastAsia="宋体" w:cs="宋体"/>
                <w:b/>
                <w:bCs/>
                <w:color w:val="auto"/>
                <w:sz w:val="24"/>
                <w:highlight w:val="none"/>
                <w:lang w:val="en-US" w:eastAsia="zh-CN"/>
              </w:rPr>
            </w:pPr>
          </w:p>
        </w:tc>
      </w:tr>
      <w:tr w14:paraId="4291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42" w:type="pct"/>
            <w:gridSpan w:val="4"/>
            <w:vAlign w:val="center"/>
          </w:tcPr>
          <w:p w14:paraId="46179E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2857" w:type="pct"/>
            <w:gridSpan w:val="4"/>
          </w:tcPr>
          <w:p w14:paraId="4DD738A7">
            <w:pPr>
              <w:spacing w:line="360" w:lineRule="auto"/>
              <w:jc w:val="center"/>
              <w:rPr>
                <w:rFonts w:hint="eastAsia" w:ascii="宋体" w:hAnsi="宋体" w:eastAsia="宋体" w:cs="宋体"/>
                <w:b/>
                <w:bCs/>
                <w:color w:val="auto"/>
                <w:sz w:val="24"/>
                <w:highlight w:val="none"/>
                <w:lang w:val="en-US" w:eastAsia="zh-CN"/>
              </w:rPr>
            </w:pPr>
          </w:p>
        </w:tc>
      </w:tr>
    </w:tbl>
    <w:p w14:paraId="12B7346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F6D9FAC">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bCs/>
          <w:color w:val="auto"/>
          <w:kern w:val="0"/>
          <w:sz w:val="24"/>
          <w:highlight w:val="none"/>
          <w:lang w:val="zh-CN"/>
        </w:rPr>
        <w:t>。</w:t>
      </w:r>
    </w:p>
    <w:p w14:paraId="7F71A3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2EA3CCF">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08C58B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35C711A">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310A383C">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A548BCD">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CD73F03">
      <w:pPr>
        <w:spacing w:line="360" w:lineRule="auto"/>
        <w:ind w:right="420" w:firstLine="3614" w:firstLineChars="1000"/>
        <w:rPr>
          <w:rFonts w:ascii="宋体" w:hAnsi="宋体" w:cs="宋体"/>
          <w:b/>
          <w:color w:val="auto"/>
          <w:kern w:val="0"/>
          <w:sz w:val="36"/>
          <w:szCs w:val="36"/>
          <w:highlight w:val="none"/>
        </w:rPr>
      </w:pPr>
    </w:p>
    <w:p w14:paraId="73EBADDC">
      <w:pPr>
        <w:spacing w:line="360" w:lineRule="auto"/>
        <w:ind w:right="420" w:firstLine="3614" w:firstLineChars="1000"/>
        <w:rPr>
          <w:rFonts w:ascii="宋体" w:hAnsi="宋体" w:cs="宋体"/>
          <w:b/>
          <w:color w:val="auto"/>
          <w:kern w:val="0"/>
          <w:sz w:val="36"/>
          <w:szCs w:val="36"/>
          <w:highlight w:val="none"/>
        </w:rPr>
      </w:pPr>
    </w:p>
    <w:p w14:paraId="45C1F449">
      <w:pPr>
        <w:spacing w:line="360" w:lineRule="auto"/>
        <w:ind w:right="420" w:firstLine="3614" w:firstLineChars="1000"/>
        <w:rPr>
          <w:rFonts w:ascii="宋体" w:hAnsi="宋体" w:cs="宋体"/>
          <w:b/>
          <w:color w:val="auto"/>
          <w:kern w:val="0"/>
          <w:sz w:val="36"/>
          <w:szCs w:val="36"/>
          <w:highlight w:val="none"/>
        </w:rPr>
      </w:pPr>
    </w:p>
    <w:p w14:paraId="03BC5A28">
      <w:pPr>
        <w:spacing w:line="360" w:lineRule="auto"/>
        <w:ind w:right="420" w:firstLine="3614" w:firstLineChars="1000"/>
        <w:rPr>
          <w:rFonts w:ascii="宋体" w:hAnsi="宋体" w:cs="宋体"/>
          <w:b/>
          <w:color w:val="auto"/>
          <w:kern w:val="0"/>
          <w:sz w:val="36"/>
          <w:szCs w:val="36"/>
          <w:highlight w:val="none"/>
        </w:rPr>
      </w:pPr>
    </w:p>
    <w:p w14:paraId="07717203">
      <w:pPr>
        <w:spacing w:line="360" w:lineRule="auto"/>
        <w:ind w:right="420" w:firstLine="3614" w:firstLineChars="1000"/>
        <w:rPr>
          <w:rFonts w:ascii="宋体" w:hAnsi="宋体" w:cs="宋体"/>
          <w:b/>
          <w:color w:val="auto"/>
          <w:kern w:val="0"/>
          <w:sz w:val="36"/>
          <w:szCs w:val="36"/>
          <w:highlight w:val="none"/>
        </w:rPr>
      </w:pPr>
    </w:p>
    <w:p w14:paraId="1715F46A">
      <w:pPr>
        <w:spacing w:line="360" w:lineRule="auto"/>
        <w:ind w:right="420" w:firstLine="3614" w:firstLineChars="1000"/>
        <w:rPr>
          <w:rFonts w:ascii="宋体" w:hAnsi="宋体" w:cs="宋体"/>
          <w:b/>
          <w:color w:val="auto"/>
          <w:kern w:val="0"/>
          <w:sz w:val="36"/>
          <w:szCs w:val="36"/>
          <w:highlight w:val="none"/>
        </w:rPr>
      </w:pPr>
    </w:p>
    <w:p w14:paraId="6BB661E3">
      <w:pPr>
        <w:spacing w:line="360" w:lineRule="auto"/>
        <w:ind w:right="420" w:firstLine="3614" w:firstLineChars="1000"/>
        <w:rPr>
          <w:rFonts w:ascii="宋体" w:hAnsi="宋体" w:cs="宋体"/>
          <w:b/>
          <w:color w:val="auto"/>
          <w:kern w:val="0"/>
          <w:sz w:val="36"/>
          <w:szCs w:val="36"/>
          <w:highlight w:val="none"/>
        </w:rPr>
      </w:pPr>
    </w:p>
    <w:p w14:paraId="4AD4AD94">
      <w:pPr>
        <w:spacing w:line="360" w:lineRule="auto"/>
        <w:ind w:right="420" w:firstLine="3614" w:firstLineChars="1000"/>
        <w:rPr>
          <w:rFonts w:ascii="宋体" w:hAnsi="宋体" w:cs="宋体"/>
          <w:b/>
          <w:color w:val="auto"/>
          <w:kern w:val="0"/>
          <w:sz w:val="36"/>
          <w:szCs w:val="36"/>
          <w:highlight w:val="none"/>
        </w:rPr>
      </w:pPr>
    </w:p>
    <w:p w14:paraId="663E9CB0">
      <w:pPr>
        <w:spacing w:line="360" w:lineRule="auto"/>
        <w:ind w:right="420" w:firstLine="3614" w:firstLineChars="1000"/>
        <w:rPr>
          <w:rFonts w:ascii="宋体" w:hAnsi="宋体" w:cs="宋体"/>
          <w:b/>
          <w:color w:val="auto"/>
          <w:kern w:val="0"/>
          <w:sz w:val="36"/>
          <w:szCs w:val="36"/>
          <w:highlight w:val="none"/>
        </w:rPr>
      </w:pPr>
    </w:p>
    <w:p w14:paraId="3CA047BE">
      <w:pPr>
        <w:spacing w:line="360" w:lineRule="auto"/>
        <w:ind w:right="420" w:firstLine="3614" w:firstLineChars="1000"/>
        <w:rPr>
          <w:rFonts w:ascii="宋体" w:hAnsi="宋体" w:cs="宋体"/>
          <w:b/>
          <w:color w:val="auto"/>
          <w:kern w:val="0"/>
          <w:sz w:val="36"/>
          <w:szCs w:val="36"/>
          <w:highlight w:val="none"/>
        </w:rPr>
      </w:pPr>
    </w:p>
    <w:p w14:paraId="53BB50D0">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FAF4A2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AE79DB4">
      <w:pPr>
        <w:spacing w:line="360" w:lineRule="auto"/>
        <w:jc w:val="center"/>
        <w:rPr>
          <w:rFonts w:ascii="宋体" w:hAnsi="宋体" w:cs="宋体"/>
          <w:b/>
          <w:color w:val="auto"/>
          <w:spacing w:val="6"/>
          <w:sz w:val="32"/>
          <w:szCs w:val="32"/>
          <w:highlight w:val="none"/>
        </w:rPr>
      </w:pPr>
      <w:bookmarkStart w:id="497" w:name="OLE_LINK13"/>
      <w:bookmarkStart w:id="498" w:name="OLE_LINK14"/>
      <w:r>
        <w:rPr>
          <w:rFonts w:hint="eastAsia" w:ascii="宋体" w:hAnsi="宋体" w:cs="宋体"/>
          <w:b/>
          <w:color w:val="auto"/>
          <w:spacing w:val="6"/>
          <w:sz w:val="32"/>
          <w:szCs w:val="32"/>
          <w:highlight w:val="none"/>
        </w:rPr>
        <w:t>残疾人福利性单位声明函</w:t>
      </w:r>
    </w:p>
    <w:bookmarkEnd w:id="497"/>
    <w:bookmarkEnd w:id="498"/>
    <w:p w14:paraId="3C042BC2">
      <w:pPr>
        <w:spacing w:line="360" w:lineRule="auto"/>
        <w:rPr>
          <w:rFonts w:ascii="宋体" w:hAnsi="宋体" w:cs="宋体"/>
          <w:b/>
          <w:color w:val="auto"/>
          <w:spacing w:val="6"/>
          <w:sz w:val="30"/>
          <w:szCs w:val="30"/>
          <w:highlight w:val="none"/>
        </w:rPr>
      </w:pPr>
    </w:p>
    <w:p w14:paraId="71A49D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3CAFD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4738E0E">
      <w:pPr>
        <w:spacing w:line="360" w:lineRule="auto"/>
        <w:ind w:firstLine="480" w:firstLineChars="200"/>
        <w:rPr>
          <w:rFonts w:ascii="宋体" w:hAnsi="宋体" w:cs="宋体"/>
          <w:color w:val="auto"/>
          <w:sz w:val="24"/>
          <w:highlight w:val="none"/>
        </w:rPr>
      </w:pPr>
    </w:p>
    <w:p w14:paraId="17996587">
      <w:pPr>
        <w:spacing w:line="360" w:lineRule="auto"/>
        <w:ind w:firstLine="480" w:firstLineChars="200"/>
        <w:rPr>
          <w:rFonts w:ascii="宋体" w:hAnsi="宋体" w:cs="宋体"/>
          <w:color w:val="auto"/>
          <w:sz w:val="24"/>
          <w:highlight w:val="none"/>
        </w:rPr>
      </w:pPr>
    </w:p>
    <w:p w14:paraId="5C26E50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1081B7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E5BF8F9">
      <w:pPr>
        <w:spacing w:line="360" w:lineRule="auto"/>
        <w:ind w:firstLine="480" w:firstLineChars="200"/>
        <w:rPr>
          <w:rFonts w:ascii="宋体" w:hAnsi="宋体" w:cs="宋体"/>
          <w:color w:val="auto"/>
          <w:sz w:val="24"/>
          <w:highlight w:val="none"/>
        </w:rPr>
      </w:pPr>
    </w:p>
    <w:p w14:paraId="08E0EEA6">
      <w:pPr>
        <w:spacing w:line="360" w:lineRule="auto"/>
        <w:ind w:firstLine="420" w:firstLineChars="200"/>
        <w:rPr>
          <w:rFonts w:ascii="宋体" w:hAnsi="宋体" w:cs="宋体"/>
          <w:color w:val="auto"/>
          <w:highlight w:val="none"/>
        </w:rPr>
      </w:pPr>
    </w:p>
    <w:p w14:paraId="471B4696">
      <w:pPr>
        <w:spacing w:line="360" w:lineRule="auto"/>
        <w:ind w:firstLine="420" w:firstLineChars="200"/>
        <w:rPr>
          <w:rFonts w:ascii="宋体" w:hAnsi="宋体" w:cs="宋体"/>
          <w:color w:val="auto"/>
          <w:highlight w:val="none"/>
        </w:rPr>
      </w:pPr>
    </w:p>
    <w:p w14:paraId="559D1475">
      <w:pPr>
        <w:spacing w:line="360" w:lineRule="auto"/>
        <w:ind w:firstLine="420" w:firstLineChars="200"/>
        <w:rPr>
          <w:rFonts w:ascii="宋体" w:hAnsi="宋体" w:cs="宋体"/>
          <w:color w:val="auto"/>
          <w:highlight w:val="none"/>
        </w:rPr>
      </w:pPr>
    </w:p>
    <w:p w14:paraId="09729293">
      <w:pPr>
        <w:spacing w:line="360" w:lineRule="auto"/>
        <w:ind w:firstLine="420" w:firstLineChars="200"/>
        <w:rPr>
          <w:rFonts w:ascii="宋体" w:hAnsi="宋体" w:cs="宋体"/>
          <w:color w:val="auto"/>
          <w:highlight w:val="none"/>
        </w:rPr>
      </w:pPr>
    </w:p>
    <w:p w14:paraId="5BBAA463">
      <w:pPr>
        <w:spacing w:line="360" w:lineRule="auto"/>
        <w:rPr>
          <w:rFonts w:ascii="宋体" w:hAnsi="宋体" w:cs="宋体"/>
          <w:b/>
          <w:color w:val="auto"/>
          <w:sz w:val="24"/>
          <w:highlight w:val="none"/>
        </w:rPr>
      </w:pPr>
    </w:p>
    <w:p w14:paraId="66A13644">
      <w:pPr>
        <w:spacing w:line="360" w:lineRule="auto"/>
        <w:rPr>
          <w:rFonts w:ascii="宋体" w:hAnsi="宋体" w:cs="宋体"/>
          <w:b/>
          <w:color w:val="auto"/>
          <w:sz w:val="24"/>
          <w:highlight w:val="none"/>
        </w:rPr>
      </w:pPr>
    </w:p>
    <w:p w14:paraId="382A6DDC">
      <w:pPr>
        <w:spacing w:line="360" w:lineRule="auto"/>
        <w:rPr>
          <w:rFonts w:ascii="宋体" w:hAnsi="宋体" w:cs="宋体"/>
          <w:b/>
          <w:color w:val="auto"/>
          <w:sz w:val="24"/>
          <w:highlight w:val="none"/>
        </w:rPr>
      </w:pPr>
    </w:p>
    <w:p w14:paraId="750390D3">
      <w:pPr>
        <w:spacing w:line="360" w:lineRule="auto"/>
        <w:rPr>
          <w:rFonts w:ascii="宋体" w:hAnsi="宋体" w:cs="宋体"/>
          <w:b/>
          <w:color w:val="auto"/>
          <w:sz w:val="24"/>
          <w:highlight w:val="none"/>
        </w:rPr>
      </w:pPr>
    </w:p>
    <w:p w14:paraId="6A9A6DAD">
      <w:pPr>
        <w:spacing w:line="360" w:lineRule="auto"/>
        <w:rPr>
          <w:rFonts w:ascii="宋体" w:hAnsi="宋体" w:cs="宋体"/>
          <w:b/>
          <w:color w:val="auto"/>
          <w:sz w:val="24"/>
          <w:highlight w:val="none"/>
        </w:rPr>
      </w:pPr>
    </w:p>
    <w:p w14:paraId="5D974465">
      <w:pPr>
        <w:spacing w:line="360" w:lineRule="auto"/>
        <w:rPr>
          <w:rFonts w:ascii="宋体" w:hAnsi="宋体" w:cs="宋体"/>
          <w:b/>
          <w:color w:val="auto"/>
          <w:sz w:val="24"/>
          <w:highlight w:val="none"/>
        </w:rPr>
      </w:pPr>
    </w:p>
    <w:p w14:paraId="3B325FFA">
      <w:pPr>
        <w:spacing w:line="360" w:lineRule="auto"/>
        <w:rPr>
          <w:rFonts w:ascii="宋体" w:hAnsi="宋体" w:cs="宋体"/>
          <w:b/>
          <w:color w:val="auto"/>
          <w:sz w:val="24"/>
          <w:highlight w:val="none"/>
        </w:rPr>
      </w:pPr>
    </w:p>
    <w:p w14:paraId="67AC251A">
      <w:pPr>
        <w:spacing w:line="360" w:lineRule="auto"/>
        <w:rPr>
          <w:rFonts w:ascii="宋体" w:hAnsi="宋体" w:cs="宋体"/>
          <w:b/>
          <w:color w:val="auto"/>
          <w:sz w:val="24"/>
          <w:highlight w:val="none"/>
        </w:rPr>
      </w:pPr>
    </w:p>
    <w:p w14:paraId="0B630701">
      <w:pPr>
        <w:spacing w:line="360" w:lineRule="auto"/>
        <w:rPr>
          <w:rFonts w:ascii="宋体" w:hAnsi="宋体" w:cs="宋体"/>
          <w:b/>
          <w:color w:val="auto"/>
          <w:sz w:val="24"/>
          <w:highlight w:val="none"/>
        </w:rPr>
      </w:pPr>
    </w:p>
    <w:p w14:paraId="210F149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E50E35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F0665E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2B7CCF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A9FE9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6EAA2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AA35C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4381EE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2054E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B55CB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42413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2B13DA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98CED4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B306A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9E280A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88AABF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E3D968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2F1256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638167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BBF05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02CEB9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181D4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9187CB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B51041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15F0E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150BEA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271BCBB">
      <w:pPr>
        <w:spacing w:line="360" w:lineRule="auto"/>
        <w:jc w:val="center"/>
        <w:rPr>
          <w:rFonts w:ascii="宋体" w:hAnsi="宋体" w:cs="宋体"/>
          <w:b/>
          <w:bCs/>
          <w:color w:val="auto"/>
          <w:sz w:val="24"/>
          <w:highlight w:val="none"/>
        </w:rPr>
      </w:pPr>
    </w:p>
    <w:p w14:paraId="2EA68AB1">
      <w:pPr>
        <w:spacing w:line="360" w:lineRule="auto"/>
        <w:rPr>
          <w:rFonts w:ascii="宋体" w:hAnsi="宋体" w:cs="宋体"/>
          <w:b/>
          <w:color w:val="auto"/>
          <w:sz w:val="24"/>
          <w:highlight w:val="none"/>
        </w:rPr>
      </w:pPr>
    </w:p>
    <w:p w14:paraId="12469ACC">
      <w:pPr>
        <w:spacing w:line="360" w:lineRule="auto"/>
        <w:rPr>
          <w:rFonts w:ascii="宋体" w:hAnsi="宋体" w:cs="宋体"/>
          <w:b/>
          <w:color w:val="auto"/>
          <w:sz w:val="24"/>
          <w:highlight w:val="none"/>
        </w:rPr>
      </w:pPr>
    </w:p>
    <w:p w14:paraId="289A08A9">
      <w:pPr>
        <w:spacing w:line="360" w:lineRule="auto"/>
        <w:rPr>
          <w:rFonts w:ascii="宋体" w:hAnsi="宋体" w:cs="宋体"/>
          <w:b/>
          <w:color w:val="auto"/>
          <w:sz w:val="24"/>
          <w:highlight w:val="none"/>
        </w:rPr>
      </w:pPr>
    </w:p>
    <w:p w14:paraId="4BFB6C0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A03C2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1A4F84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8132B6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4D2D6B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511B28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A670CD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09AE936">
      <w:pPr>
        <w:widowControl/>
        <w:spacing w:line="360" w:lineRule="auto"/>
        <w:ind w:firstLine="600" w:firstLineChars="200"/>
        <w:jc w:val="left"/>
        <w:rPr>
          <w:rFonts w:ascii="宋体" w:hAnsi="宋体" w:cs="宋体"/>
          <w:color w:val="auto"/>
          <w:sz w:val="30"/>
          <w:szCs w:val="30"/>
          <w:highlight w:val="none"/>
        </w:rPr>
      </w:pPr>
    </w:p>
    <w:p w14:paraId="1EEF99B8">
      <w:pPr>
        <w:spacing w:line="360" w:lineRule="auto"/>
        <w:jc w:val="center"/>
        <w:rPr>
          <w:rFonts w:ascii="宋体" w:hAnsi="宋体" w:cs="宋体"/>
          <w:b/>
          <w:color w:val="auto"/>
          <w:spacing w:val="6"/>
          <w:sz w:val="32"/>
          <w:szCs w:val="32"/>
          <w:highlight w:val="none"/>
        </w:rPr>
      </w:pPr>
    </w:p>
    <w:p w14:paraId="2D367B58">
      <w:pPr>
        <w:spacing w:line="360" w:lineRule="auto"/>
        <w:jc w:val="center"/>
        <w:rPr>
          <w:rFonts w:ascii="宋体" w:hAnsi="宋体" w:cs="宋体"/>
          <w:b/>
          <w:color w:val="auto"/>
          <w:spacing w:val="6"/>
          <w:sz w:val="32"/>
          <w:szCs w:val="32"/>
          <w:highlight w:val="none"/>
        </w:rPr>
      </w:pPr>
    </w:p>
    <w:p w14:paraId="7F6BC499">
      <w:pPr>
        <w:spacing w:line="360" w:lineRule="auto"/>
        <w:jc w:val="center"/>
        <w:rPr>
          <w:rFonts w:ascii="宋体" w:hAnsi="宋体" w:cs="宋体"/>
          <w:b/>
          <w:color w:val="auto"/>
          <w:spacing w:val="6"/>
          <w:sz w:val="32"/>
          <w:szCs w:val="32"/>
          <w:highlight w:val="none"/>
        </w:rPr>
      </w:pPr>
    </w:p>
    <w:p w14:paraId="7828CD1B">
      <w:pPr>
        <w:spacing w:line="360" w:lineRule="auto"/>
        <w:jc w:val="center"/>
        <w:rPr>
          <w:rFonts w:ascii="宋体" w:hAnsi="宋体" w:cs="宋体"/>
          <w:b/>
          <w:color w:val="auto"/>
          <w:spacing w:val="6"/>
          <w:sz w:val="32"/>
          <w:szCs w:val="32"/>
          <w:highlight w:val="none"/>
        </w:rPr>
      </w:pPr>
    </w:p>
    <w:p w14:paraId="11B860C9">
      <w:pPr>
        <w:spacing w:line="360" w:lineRule="auto"/>
        <w:jc w:val="center"/>
        <w:rPr>
          <w:rFonts w:ascii="宋体" w:hAnsi="宋体" w:cs="宋体"/>
          <w:b/>
          <w:color w:val="auto"/>
          <w:spacing w:val="6"/>
          <w:sz w:val="32"/>
          <w:szCs w:val="32"/>
          <w:highlight w:val="none"/>
        </w:rPr>
      </w:pPr>
    </w:p>
    <w:p w14:paraId="4449D88F">
      <w:pPr>
        <w:spacing w:line="360" w:lineRule="auto"/>
        <w:jc w:val="center"/>
        <w:rPr>
          <w:rFonts w:ascii="宋体" w:hAnsi="宋体" w:cs="宋体"/>
          <w:b/>
          <w:color w:val="auto"/>
          <w:spacing w:val="6"/>
          <w:sz w:val="32"/>
          <w:szCs w:val="32"/>
          <w:highlight w:val="none"/>
        </w:rPr>
      </w:pPr>
    </w:p>
    <w:p w14:paraId="228DE974">
      <w:pPr>
        <w:spacing w:line="360" w:lineRule="auto"/>
        <w:jc w:val="center"/>
        <w:rPr>
          <w:rFonts w:ascii="宋体" w:hAnsi="宋体" w:cs="宋体"/>
          <w:b/>
          <w:color w:val="auto"/>
          <w:spacing w:val="6"/>
          <w:sz w:val="32"/>
          <w:szCs w:val="32"/>
          <w:highlight w:val="none"/>
        </w:rPr>
      </w:pPr>
    </w:p>
    <w:p w14:paraId="6A50AFA9">
      <w:pPr>
        <w:spacing w:line="360" w:lineRule="auto"/>
        <w:jc w:val="center"/>
        <w:rPr>
          <w:rFonts w:ascii="宋体" w:hAnsi="宋体" w:cs="宋体"/>
          <w:b/>
          <w:color w:val="auto"/>
          <w:spacing w:val="6"/>
          <w:sz w:val="32"/>
          <w:szCs w:val="32"/>
          <w:highlight w:val="none"/>
        </w:rPr>
      </w:pPr>
    </w:p>
    <w:p w14:paraId="565CF09B">
      <w:pPr>
        <w:spacing w:line="360" w:lineRule="auto"/>
        <w:jc w:val="center"/>
        <w:rPr>
          <w:rFonts w:ascii="宋体" w:hAnsi="宋体" w:cs="宋体"/>
          <w:b/>
          <w:color w:val="auto"/>
          <w:spacing w:val="6"/>
          <w:sz w:val="32"/>
          <w:szCs w:val="32"/>
          <w:highlight w:val="none"/>
        </w:rPr>
      </w:pPr>
    </w:p>
    <w:p w14:paraId="53651B4C">
      <w:pPr>
        <w:spacing w:line="360" w:lineRule="auto"/>
        <w:jc w:val="center"/>
        <w:rPr>
          <w:rFonts w:ascii="宋体" w:hAnsi="宋体" w:cs="宋体"/>
          <w:b/>
          <w:color w:val="auto"/>
          <w:spacing w:val="6"/>
          <w:sz w:val="32"/>
          <w:szCs w:val="32"/>
          <w:highlight w:val="none"/>
        </w:rPr>
      </w:pPr>
    </w:p>
    <w:p w14:paraId="36625362">
      <w:pPr>
        <w:spacing w:line="360" w:lineRule="auto"/>
        <w:jc w:val="center"/>
        <w:rPr>
          <w:rFonts w:ascii="宋体" w:hAnsi="宋体" w:cs="宋体"/>
          <w:b/>
          <w:color w:val="auto"/>
          <w:spacing w:val="6"/>
          <w:sz w:val="32"/>
          <w:szCs w:val="32"/>
          <w:highlight w:val="none"/>
        </w:rPr>
      </w:pPr>
    </w:p>
    <w:p w14:paraId="6C9096FC">
      <w:pPr>
        <w:spacing w:line="360" w:lineRule="auto"/>
        <w:jc w:val="center"/>
        <w:rPr>
          <w:rFonts w:ascii="宋体" w:hAnsi="宋体" w:cs="宋体"/>
          <w:b/>
          <w:color w:val="auto"/>
          <w:spacing w:val="6"/>
          <w:sz w:val="32"/>
          <w:szCs w:val="32"/>
          <w:highlight w:val="none"/>
        </w:rPr>
      </w:pPr>
    </w:p>
    <w:p w14:paraId="49A8F713">
      <w:pPr>
        <w:spacing w:line="360" w:lineRule="auto"/>
        <w:jc w:val="left"/>
        <w:rPr>
          <w:rFonts w:ascii="宋体" w:hAnsi="宋体" w:cs="宋体"/>
          <w:b/>
          <w:color w:val="auto"/>
          <w:spacing w:val="6"/>
          <w:sz w:val="32"/>
          <w:szCs w:val="32"/>
          <w:highlight w:val="none"/>
        </w:rPr>
      </w:pPr>
    </w:p>
    <w:p w14:paraId="62F92A1E">
      <w:pPr>
        <w:spacing w:line="360" w:lineRule="auto"/>
        <w:jc w:val="left"/>
        <w:rPr>
          <w:rFonts w:ascii="宋体" w:hAnsi="宋体" w:cs="宋体"/>
          <w:b/>
          <w:color w:val="auto"/>
          <w:spacing w:val="6"/>
          <w:sz w:val="32"/>
          <w:szCs w:val="32"/>
          <w:highlight w:val="none"/>
        </w:rPr>
      </w:pPr>
    </w:p>
    <w:p w14:paraId="060DFA8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B42D8B4">
      <w:pPr>
        <w:spacing w:line="360" w:lineRule="auto"/>
        <w:jc w:val="center"/>
        <w:rPr>
          <w:rFonts w:ascii="宋体" w:hAnsi="宋体" w:cs="宋体"/>
          <w:b/>
          <w:color w:val="auto"/>
          <w:sz w:val="24"/>
          <w:highlight w:val="none"/>
        </w:rPr>
      </w:pPr>
    </w:p>
    <w:p w14:paraId="50638BE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440BA2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C268EB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C52964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77F4A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F28556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BF7741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5C0C85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6ADBD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7E8B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7835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80A1A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2139B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8EB57E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F0BE2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D8089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CD5DB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D16B4E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D36BA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5C7847B">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66763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F79B4C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686435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3DA9DE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32AFFA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3044B8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BC4868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1B085EA">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CE9203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862C091">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2BFF95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A50B5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E69D8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9851FF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68ECDB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3D1125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6EAEE2A">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A678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29664F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02DB9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0028F8A">
      <w:pPr>
        <w:spacing w:line="360" w:lineRule="auto"/>
        <w:rPr>
          <w:rFonts w:ascii="宋体" w:hAnsi="宋体" w:cs="宋体"/>
          <w:b/>
          <w:color w:val="auto"/>
          <w:sz w:val="24"/>
          <w:highlight w:val="none"/>
        </w:rPr>
      </w:pPr>
    </w:p>
    <w:p w14:paraId="3F7B0604">
      <w:pPr>
        <w:spacing w:line="360" w:lineRule="auto"/>
        <w:rPr>
          <w:rFonts w:ascii="宋体" w:hAnsi="宋体" w:cs="宋体"/>
          <w:b/>
          <w:color w:val="auto"/>
          <w:sz w:val="24"/>
          <w:highlight w:val="none"/>
        </w:rPr>
      </w:pPr>
    </w:p>
    <w:p w14:paraId="5C647A9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7375B0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B65874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7A0CEB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BE6A9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68B274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6E261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F67602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7854D88">
      <w:pPr>
        <w:spacing w:line="360" w:lineRule="auto"/>
        <w:rPr>
          <w:rFonts w:ascii="宋体" w:hAnsi="宋体" w:cs="宋体"/>
          <w:b/>
          <w:color w:val="auto"/>
          <w:sz w:val="24"/>
          <w:highlight w:val="none"/>
        </w:rPr>
      </w:pPr>
    </w:p>
    <w:p w14:paraId="3C6BFBB7">
      <w:pPr>
        <w:autoSpaceDE w:val="0"/>
        <w:autoSpaceDN w:val="0"/>
        <w:jc w:val="center"/>
        <w:rPr>
          <w:rFonts w:ascii="宋体" w:hAnsi="宋体" w:cs="宋体"/>
          <w:b/>
          <w:color w:val="auto"/>
          <w:spacing w:val="6"/>
          <w:sz w:val="32"/>
          <w:szCs w:val="32"/>
          <w:highlight w:val="none"/>
        </w:rPr>
      </w:pPr>
    </w:p>
    <w:p w14:paraId="0AD975B7">
      <w:pPr>
        <w:autoSpaceDE w:val="0"/>
        <w:autoSpaceDN w:val="0"/>
        <w:jc w:val="center"/>
        <w:rPr>
          <w:rFonts w:ascii="宋体" w:hAnsi="宋体" w:cs="宋体"/>
          <w:b/>
          <w:color w:val="auto"/>
          <w:spacing w:val="6"/>
          <w:sz w:val="32"/>
          <w:szCs w:val="32"/>
          <w:highlight w:val="none"/>
        </w:rPr>
      </w:pPr>
    </w:p>
    <w:p w14:paraId="3D49EA16">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475DA26">
      <w:pPr>
        <w:spacing w:line="360" w:lineRule="auto"/>
        <w:rPr>
          <w:rFonts w:ascii="宋体" w:hAnsi="宋体" w:cs="宋体"/>
          <w:color w:val="auto"/>
          <w:sz w:val="24"/>
          <w:highlight w:val="none"/>
          <w:u w:val="single"/>
        </w:rPr>
      </w:pPr>
    </w:p>
    <w:p w14:paraId="3A2B4FA7">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6DA574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你方组织的（项目名称）【招标编号：（项目编号）】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0E48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38692CF">
      <w:pPr>
        <w:spacing w:line="360" w:lineRule="auto"/>
        <w:ind w:firstLine="494"/>
        <w:rPr>
          <w:rFonts w:ascii="宋体" w:hAnsi="宋体" w:cs="宋体"/>
          <w:color w:val="auto"/>
          <w:sz w:val="24"/>
          <w:highlight w:val="none"/>
        </w:rPr>
      </w:pPr>
    </w:p>
    <w:p w14:paraId="487F8E0A">
      <w:pPr>
        <w:spacing w:line="360" w:lineRule="auto"/>
        <w:ind w:firstLine="494"/>
        <w:rPr>
          <w:rFonts w:ascii="宋体" w:hAnsi="宋体" w:cs="宋体"/>
          <w:color w:val="auto"/>
          <w:sz w:val="24"/>
          <w:highlight w:val="none"/>
        </w:rPr>
      </w:pPr>
    </w:p>
    <w:p w14:paraId="384DA515">
      <w:pPr>
        <w:spacing w:line="360" w:lineRule="auto"/>
        <w:ind w:firstLine="494"/>
        <w:rPr>
          <w:rFonts w:ascii="宋体" w:hAnsi="宋体" w:cs="宋体"/>
          <w:color w:val="auto"/>
          <w:sz w:val="24"/>
          <w:highlight w:val="none"/>
        </w:rPr>
      </w:pPr>
    </w:p>
    <w:p w14:paraId="7FA751AD">
      <w:pPr>
        <w:spacing w:line="360" w:lineRule="auto"/>
        <w:ind w:firstLine="494"/>
        <w:rPr>
          <w:rFonts w:ascii="宋体" w:hAnsi="宋体" w:cs="宋体"/>
          <w:color w:val="auto"/>
          <w:sz w:val="24"/>
          <w:highlight w:val="none"/>
        </w:rPr>
      </w:pPr>
    </w:p>
    <w:p w14:paraId="1537ACE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4715E2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CE7047">
      <w:pPr>
        <w:rPr>
          <w:rFonts w:ascii="宋体" w:hAnsi="宋体" w:cs="宋体"/>
          <w:color w:val="auto"/>
          <w:sz w:val="24"/>
          <w:highlight w:val="none"/>
        </w:rPr>
      </w:pPr>
      <w:r>
        <w:rPr>
          <w:rFonts w:hint="eastAsia" w:ascii="宋体" w:hAnsi="宋体" w:cs="宋体"/>
          <w:b/>
          <w:bCs/>
          <w:color w:val="auto"/>
          <w:sz w:val="24"/>
          <w:highlight w:val="none"/>
        </w:rPr>
        <w:t>附：</w:t>
      </w:r>
    </w:p>
    <w:p w14:paraId="241B9DF1">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F605081">
      <w:pPr>
        <w:autoSpaceDE w:val="0"/>
        <w:autoSpaceDN w:val="0"/>
        <w:jc w:val="center"/>
        <w:rPr>
          <w:rFonts w:ascii="宋体" w:hAnsi="宋体" w:cs="宋体"/>
          <w:b/>
          <w:color w:val="auto"/>
          <w:spacing w:val="6"/>
          <w:sz w:val="32"/>
          <w:szCs w:val="32"/>
          <w:highlight w:val="none"/>
        </w:rPr>
      </w:pPr>
    </w:p>
    <w:p w14:paraId="1D60ED15">
      <w:pPr>
        <w:autoSpaceDE w:val="0"/>
        <w:autoSpaceDN w:val="0"/>
        <w:jc w:val="center"/>
        <w:rPr>
          <w:rFonts w:ascii="宋体" w:hAnsi="宋体" w:cs="宋体"/>
          <w:b/>
          <w:color w:val="auto"/>
          <w:spacing w:val="6"/>
          <w:sz w:val="32"/>
          <w:szCs w:val="32"/>
          <w:highlight w:val="none"/>
        </w:rPr>
      </w:pPr>
    </w:p>
    <w:p w14:paraId="0F54A3AE">
      <w:pPr>
        <w:autoSpaceDE w:val="0"/>
        <w:autoSpaceDN w:val="0"/>
        <w:jc w:val="center"/>
        <w:rPr>
          <w:rFonts w:ascii="宋体" w:hAnsi="宋体" w:cs="宋体"/>
          <w:b/>
          <w:color w:val="auto"/>
          <w:spacing w:val="6"/>
          <w:sz w:val="32"/>
          <w:szCs w:val="32"/>
          <w:highlight w:val="none"/>
        </w:rPr>
      </w:pPr>
    </w:p>
    <w:p w14:paraId="44D58E63">
      <w:pPr>
        <w:autoSpaceDE w:val="0"/>
        <w:autoSpaceDN w:val="0"/>
        <w:jc w:val="center"/>
        <w:rPr>
          <w:rFonts w:ascii="宋体" w:hAnsi="宋体" w:cs="宋体"/>
          <w:b/>
          <w:color w:val="auto"/>
          <w:spacing w:val="6"/>
          <w:sz w:val="32"/>
          <w:szCs w:val="32"/>
          <w:highlight w:val="none"/>
        </w:rPr>
      </w:pPr>
    </w:p>
    <w:p w14:paraId="6A7A26E0">
      <w:pPr>
        <w:autoSpaceDE w:val="0"/>
        <w:autoSpaceDN w:val="0"/>
        <w:jc w:val="center"/>
        <w:rPr>
          <w:rFonts w:ascii="宋体" w:hAnsi="宋体" w:cs="宋体"/>
          <w:b/>
          <w:color w:val="auto"/>
          <w:spacing w:val="6"/>
          <w:sz w:val="32"/>
          <w:szCs w:val="32"/>
          <w:highlight w:val="none"/>
        </w:rPr>
      </w:pPr>
    </w:p>
    <w:p w14:paraId="5DE926A0">
      <w:pPr>
        <w:autoSpaceDE w:val="0"/>
        <w:autoSpaceDN w:val="0"/>
        <w:jc w:val="center"/>
        <w:rPr>
          <w:rFonts w:ascii="宋体" w:hAnsi="宋体" w:cs="宋体"/>
          <w:b/>
          <w:color w:val="auto"/>
          <w:spacing w:val="6"/>
          <w:sz w:val="32"/>
          <w:szCs w:val="32"/>
          <w:highlight w:val="none"/>
        </w:rPr>
      </w:pPr>
    </w:p>
    <w:p w14:paraId="190B6393">
      <w:pPr>
        <w:autoSpaceDE w:val="0"/>
        <w:autoSpaceDN w:val="0"/>
        <w:jc w:val="center"/>
        <w:rPr>
          <w:rFonts w:ascii="宋体" w:hAnsi="宋体" w:cs="宋体"/>
          <w:b/>
          <w:color w:val="auto"/>
          <w:spacing w:val="6"/>
          <w:sz w:val="32"/>
          <w:szCs w:val="32"/>
          <w:highlight w:val="none"/>
        </w:rPr>
      </w:pPr>
    </w:p>
    <w:p w14:paraId="17EBE9DC">
      <w:pPr>
        <w:autoSpaceDE w:val="0"/>
        <w:autoSpaceDN w:val="0"/>
        <w:jc w:val="center"/>
        <w:rPr>
          <w:rFonts w:ascii="宋体" w:hAnsi="宋体" w:cs="宋体"/>
          <w:b/>
          <w:color w:val="auto"/>
          <w:spacing w:val="6"/>
          <w:sz w:val="32"/>
          <w:szCs w:val="32"/>
          <w:highlight w:val="none"/>
        </w:rPr>
      </w:pPr>
    </w:p>
    <w:p w14:paraId="10B1FC7B">
      <w:pPr>
        <w:autoSpaceDE w:val="0"/>
        <w:autoSpaceDN w:val="0"/>
        <w:jc w:val="center"/>
        <w:rPr>
          <w:rFonts w:ascii="宋体" w:hAnsi="宋体" w:cs="宋体"/>
          <w:b/>
          <w:color w:val="auto"/>
          <w:spacing w:val="6"/>
          <w:sz w:val="32"/>
          <w:szCs w:val="32"/>
          <w:highlight w:val="none"/>
        </w:rPr>
      </w:pPr>
    </w:p>
    <w:p w14:paraId="75BE8798">
      <w:pPr>
        <w:autoSpaceDE w:val="0"/>
        <w:autoSpaceDN w:val="0"/>
        <w:jc w:val="center"/>
        <w:rPr>
          <w:rFonts w:ascii="宋体" w:hAnsi="宋体" w:cs="宋体"/>
          <w:b/>
          <w:color w:val="auto"/>
          <w:spacing w:val="6"/>
          <w:sz w:val="32"/>
          <w:szCs w:val="32"/>
          <w:highlight w:val="none"/>
        </w:rPr>
      </w:pPr>
    </w:p>
    <w:p w14:paraId="4C0D53CE">
      <w:pPr>
        <w:autoSpaceDE w:val="0"/>
        <w:autoSpaceDN w:val="0"/>
        <w:jc w:val="center"/>
        <w:rPr>
          <w:rFonts w:ascii="宋体" w:hAnsi="宋体" w:cs="宋体"/>
          <w:b/>
          <w:color w:val="auto"/>
          <w:spacing w:val="6"/>
          <w:sz w:val="32"/>
          <w:szCs w:val="32"/>
          <w:highlight w:val="none"/>
        </w:rPr>
      </w:pPr>
    </w:p>
    <w:p w14:paraId="2BB15453">
      <w:pPr>
        <w:autoSpaceDE w:val="0"/>
        <w:autoSpaceDN w:val="0"/>
        <w:jc w:val="center"/>
        <w:rPr>
          <w:rFonts w:ascii="宋体" w:hAnsi="宋体" w:cs="宋体"/>
          <w:b/>
          <w:color w:val="auto"/>
          <w:spacing w:val="6"/>
          <w:sz w:val="32"/>
          <w:szCs w:val="32"/>
          <w:highlight w:val="none"/>
        </w:rPr>
      </w:pPr>
    </w:p>
    <w:p w14:paraId="589966C7">
      <w:pPr>
        <w:autoSpaceDE w:val="0"/>
        <w:autoSpaceDN w:val="0"/>
        <w:jc w:val="center"/>
        <w:rPr>
          <w:rFonts w:ascii="宋体" w:hAnsi="宋体" w:cs="宋体"/>
          <w:b/>
          <w:color w:val="auto"/>
          <w:spacing w:val="6"/>
          <w:sz w:val="32"/>
          <w:szCs w:val="32"/>
          <w:highlight w:val="none"/>
        </w:rPr>
      </w:pPr>
    </w:p>
    <w:p w14:paraId="147F41C1">
      <w:pPr>
        <w:autoSpaceDE w:val="0"/>
        <w:autoSpaceDN w:val="0"/>
        <w:jc w:val="center"/>
        <w:rPr>
          <w:rFonts w:ascii="宋体" w:hAnsi="宋体" w:cs="宋体"/>
          <w:b/>
          <w:color w:val="auto"/>
          <w:spacing w:val="6"/>
          <w:sz w:val="32"/>
          <w:szCs w:val="32"/>
          <w:highlight w:val="none"/>
        </w:rPr>
      </w:pPr>
    </w:p>
    <w:p w14:paraId="18023DF0">
      <w:pPr>
        <w:autoSpaceDE w:val="0"/>
        <w:autoSpaceDN w:val="0"/>
        <w:jc w:val="center"/>
        <w:rPr>
          <w:rFonts w:ascii="宋体" w:hAnsi="宋体" w:cs="宋体"/>
          <w:b/>
          <w:color w:val="auto"/>
          <w:spacing w:val="6"/>
          <w:sz w:val="32"/>
          <w:szCs w:val="32"/>
          <w:highlight w:val="none"/>
        </w:rPr>
      </w:pPr>
    </w:p>
    <w:p w14:paraId="59242038">
      <w:pPr>
        <w:autoSpaceDE w:val="0"/>
        <w:autoSpaceDN w:val="0"/>
        <w:jc w:val="center"/>
        <w:rPr>
          <w:rFonts w:ascii="宋体" w:hAnsi="宋体" w:cs="宋体"/>
          <w:b/>
          <w:color w:val="auto"/>
          <w:spacing w:val="6"/>
          <w:sz w:val="32"/>
          <w:szCs w:val="32"/>
          <w:highlight w:val="none"/>
        </w:rPr>
      </w:pPr>
    </w:p>
    <w:p w14:paraId="2A0E9A67">
      <w:pPr>
        <w:autoSpaceDE w:val="0"/>
        <w:autoSpaceDN w:val="0"/>
        <w:jc w:val="center"/>
        <w:rPr>
          <w:rFonts w:ascii="宋体" w:hAnsi="宋体" w:cs="宋体"/>
          <w:b/>
          <w:color w:val="auto"/>
          <w:spacing w:val="6"/>
          <w:sz w:val="32"/>
          <w:szCs w:val="32"/>
          <w:highlight w:val="none"/>
        </w:rPr>
      </w:pPr>
    </w:p>
    <w:p w14:paraId="6CAA5275">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3537EA0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7E799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（项目名称）【招标编号：（项目编号）】</w:t>
      </w:r>
      <w:r>
        <w:rPr>
          <w:rFonts w:hint="eastAsia" w:ascii="宋体" w:hAnsi="宋体" w:cs="宋体"/>
          <w:color w:val="auto"/>
          <w:kern w:val="0"/>
          <w:sz w:val="24"/>
          <w:highlight w:val="none"/>
          <w:lang w:val="zh-CN"/>
        </w:rPr>
        <w:t xml:space="preserve">投标。 </w:t>
      </w:r>
    </w:p>
    <w:p w14:paraId="66DA41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5F7E7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等均对联合投标各方产生约束力。</w:t>
      </w:r>
    </w:p>
    <w:p w14:paraId="58DA06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FB218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58C60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B19C8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6C87C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8A1CB9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99" w:name="_Hlk101131882"/>
      <w:r>
        <w:rPr>
          <w:rFonts w:hint="eastAsia" w:ascii="宋体" w:hAnsi="宋体" w:cs="宋体"/>
          <w:color w:val="auto"/>
          <w:kern w:val="0"/>
          <w:sz w:val="24"/>
          <w:highlight w:val="none"/>
          <w:u w:val="single"/>
        </w:rPr>
        <w:t>联合体成员X,……</w:t>
      </w:r>
      <w:bookmarkEnd w:id="4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0"/>
      <w:r>
        <w:rPr>
          <w:rFonts w:hint="eastAsia" w:ascii="宋体" w:hAnsi="宋体" w:cs="宋体"/>
          <w:b/>
          <w:color w:val="auto"/>
          <w:kern w:val="0"/>
          <w:sz w:val="24"/>
          <w:highlight w:val="none"/>
          <w:lang w:val="zh-CN"/>
        </w:rPr>
        <w:t>）</w:t>
      </w:r>
    </w:p>
    <w:p w14:paraId="10F8ED0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1"/>
    </w:p>
    <w:p w14:paraId="6DBB22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62E3F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88F92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E20D1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F546D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7A5E20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4、除采购文件要求联合体双方盖章的部分外，其余部分由牵头人盖章即可。</w:t>
      </w:r>
    </w:p>
    <w:p w14:paraId="020E288F">
      <w:pPr>
        <w:snapToGrid w:val="0"/>
        <w:spacing w:line="360" w:lineRule="auto"/>
        <w:ind w:firstLine="576"/>
        <w:rPr>
          <w:rFonts w:ascii="宋体" w:hAnsi="宋体" w:cs="宋体"/>
          <w:color w:val="auto"/>
          <w:kern w:val="0"/>
          <w:sz w:val="24"/>
          <w:highlight w:val="none"/>
          <w:lang w:val="zh-CN"/>
        </w:rPr>
      </w:pPr>
    </w:p>
    <w:p w14:paraId="7D742DC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1CED17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D7AAB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25F62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58278A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5168236">
      <w:pPr>
        <w:autoSpaceDE w:val="0"/>
        <w:autoSpaceDN w:val="0"/>
        <w:jc w:val="center"/>
        <w:rPr>
          <w:rFonts w:ascii="宋体" w:hAnsi="宋体" w:cs="宋体"/>
          <w:b/>
          <w:color w:val="auto"/>
          <w:spacing w:val="6"/>
          <w:sz w:val="32"/>
          <w:szCs w:val="32"/>
          <w:highlight w:val="none"/>
        </w:rPr>
      </w:pPr>
    </w:p>
    <w:p w14:paraId="1B25CC46">
      <w:pPr>
        <w:autoSpaceDE w:val="0"/>
        <w:autoSpaceDN w:val="0"/>
        <w:jc w:val="center"/>
        <w:rPr>
          <w:rFonts w:ascii="宋体" w:hAnsi="宋体" w:cs="宋体"/>
          <w:b/>
          <w:color w:val="auto"/>
          <w:spacing w:val="6"/>
          <w:sz w:val="32"/>
          <w:szCs w:val="32"/>
          <w:highlight w:val="none"/>
        </w:rPr>
      </w:pPr>
    </w:p>
    <w:p w14:paraId="3167C7ED">
      <w:pPr>
        <w:autoSpaceDE w:val="0"/>
        <w:autoSpaceDN w:val="0"/>
        <w:jc w:val="center"/>
        <w:rPr>
          <w:rFonts w:ascii="宋体" w:hAnsi="宋体" w:cs="宋体"/>
          <w:b/>
          <w:color w:val="auto"/>
          <w:spacing w:val="6"/>
          <w:sz w:val="32"/>
          <w:szCs w:val="32"/>
          <w:highlight w:val="none"/>
        </w:rPr>
      </w:pPr>
    </w:p>
    <w:p w14:paraId="5ABC68DE">
      <w:pPr>
        <w:autoSpaceDE w:val="0"/>
        <w:autoSpaceDN w:val="0"/>
        <w:jc w:val="center"/>
        <w:rPr>
          <w:rFonts w:ascii="宋体" w:hAnsi="宋体" w:cs="宋体"/>
          <w:b/>
          <w:color w:val="auto"/>
          <w:spacing w:val="6"/>
          <w:sz w:val="32"/>
          <w:szCs w:val="32"/>
          <w:highlight w:val="none"/>
        </w:rPr>
      </w:pPr>
    </w:p>
    <w:p w14:paraId="2416B565">
      <w:pPr>
        <w:autoSpaceDE w:val="0"/>
        <w:autoSpaceDN w:val="0"/>
        <w:jc w:val="center"/>
        <w:rPr>
          <w:rFonts w:ascii="宋体" w:hAnsi="宋体" w:cs="宋体"/>
          <w:b/>
          <w:color w:val="auto"/>
          <w:spacing w:val="6"/>
          <w:sz w:val="32"/>
          <w:szCs w:val="32"/>
          <w:highlight w:val="none"/>
        </w:rPr>
      </w:pPr>
    </w:p>
    <w:p w14:paraId="6F73E525">
      <w:pPr>
        <w:autoSpaceDE w:val="0"/>
        <w:autoSpaceDN w:val="0"/>
        <w:jc w:val="center"/>
        <w:rPr>
          <w:rFonts w:ascii="宋体" w:hAnsi="宋体" w:cs="宋体"/>
          <w:b/>
          <w:color w:val="auto"/>
          <w:spacing w:val="6"/>
          <w:sz w:val="32"/>
          <w:szCs w:val="32"/>
          <w:highlight w:val="none"/>
        </w:rPr>
      </w:pPr>
    </w:p>
    <w:p w14:paraId="03B3B158">
      <w:pPr>
        <w:autoSpaceDE w:val="0"/>
        <w:autoSpaceDN w:val="0"/>
        <w:jc w:val="center"/>
        <w:rPr>
          <w:rFonts w:ascii="宋体" w:hAnsi="宋体" w:cs="宋体"/>
          <w:b/>
          <w:color w:val="auto"/>
          <w:spacing w:val="6"/>
          <w:sz w:val="32"/>
          <w:szCs w:val="32"/>
          <w:highlight w:val="none"/>
        </w:rPr>
      </w:pPr>
    </w:p>
    <w:p w14:paraId="435E8E00">
      <w:pPr>
        <w:autoSpaceDE w:val="0"/>
        <w:autoSpaceDN w:val="0"/>
        <w:jc w:val="center"/>
        <w:rPr>
          <w:rFonts w:ascii="宋体" w:hAnsi="宋体" w:cs="宋体"/>
          <w:b/>
          <w:color w:val="auto"/>
          <w:spacing w:val="6"/>
          <w:sz w:val="32"/>
          <w:szCs w:val="32"/>
          <w:highlight w:val="none"/>
        </w:rPr>
      </w:pPr>
    </w:p>
    <w:p w14:paraId="3FA21481">
      <w:pPr>
        <w:autoSpaceDE w:val="0"/>
        <w:autoSpaceDN w:val="0"/>
        <w:jc w:val="center"/>
        <w:rPr>
          <w:rFonts w:ascii="宋体" w:hAnsi="宋体" w:cs="宋体"/>
          <w:b/>
          <w:color w:val="auto"/>
          <w:spacing w:val="6"/>
          <w:sz w:val="32"/>
          <w:szCs w:val="32"/>
          <w:highlight w:val="none"/>
        </w:rPr>
      </w:pPr>
    </w:p>
    <w:p w14:paraId="44DD3628">
      <w:pPr>
        <w:autoSpaceDE w:val="0"/>
        <w:autoSpaceDN w:val="0"/>
        <w:jc w:val="center"/>
        <w:rPr>
          <w:rFonts w:ascii="宋体" w:hAnsi="宋体" w:cs="宋体"/>
          <w:b/>
          <w:color w:val="auto"/>
          <w:spacing w:val="6"/>
          <w:sz w:val="32"/>
          <w:szCs w:val="32"/>
          <w:highlight w:val="none"/>
        </w:rPr>
      </w:pPr>
    </w:p>
    <w:p w14:paraId="3616C3AB">
      <w:pPr>
        <w:autoSpaceDE w:val="0"/>
        <w:autoSpaceDN w:val="0"/>
        <w:jc w:val="center"/>
        <w:rPr>
          <w:rFonts w:ascii="宋体" w:hAnsi="宋体" w:cs="宋体"/>
          <w:b/>
          <w:color w:val="auto"/>
          <w:spacing w:val="6"/>
          <w:sz w:val="32"/>
          <w:szCs w:val="32"/>
          <w:highlight w:val="none"/>
        </w:rPr>
      </w:pPr>
    </w:p>
    <w:p w14:paraId="5D335327">
      <w:pPr>
        <w:autoSpaceDE w:val="0"/>
        <w:autoSpaceDN w:val="0"/>
        <w:jc w:val="center"/>
        <w:rPr>
          <w:rFonts w:ascii="宋体" w:hAnsi="宋体" w:cs="宋体"/>
          <w:b/>
          <w:color w:val="auto"/>
          <w:spacing w:val="6"/>
          <w:sz w:val="32"/>
          <w:szCs w:val="32"/>
          <w:highlight w:val="none"/>
        </w:rPr>
      </w:pPr>
    </w:p>
    <w:p w14:paraId="4330C629">
      <w:pPr>
        <w:autoSpaceDE w:val="0"/>
        <w:autoSpaceDN w:val="0"/>
        <w:jc w:val="center"/>
        <w:rPr>
          <w:rFonts w:ascii="宋体" w:hAnsi="宋体" w:cs="宋体"/>
          <w:b/>
          <w:color w:val="auto"/>
          <w:spacing w:val="6"/>
          <w:sz w:val="32"/>
          <w:szCs w:val="32"/>
          <w:highlight w:val="none"/>
        </w:rPr>
      </w:pPr>
    </w:p>
    <w:p w14:paraId="3C9C6117">
      <w:pPr>
        <w:autoSpaceDE w:val="0"/>
        <w:autoSpaceDN w:val="0"/>
        <w:jc w:val="center"/>
        <w:rPr>
          <w:rFonts w:ascii="宋体" w:hAnsi="宋体" w:cs="宋体"/>
          <w:b/>
          <w:color w:val="auto"/>
          <w:spacing w:val="6"/>
          <w:sz w:val="32"/>
          <w:szCs w:val="32"/>
          <w:highlight w:val="none"/>
        </w:rPr>
      </w:pPr>
    </w:p>
    <w:p w14:paraId="4141FDB0">
      <w:pPr>
        <w:autoSpaceDE w:val="0"/>
        <w:autoSpaceDN w:val="0"/>
        <w:jc w:val="center"/>
        <w:rPr>
          <w:rFonts w:ascii="宋体" w:hAnsi="宋体" w:cs="宋体"/>
          <w:b/>
          <w:color w:val="auto"/>
          <w:spacing w:val="6"/>
          <w:sz w:val="32"/>
          <w:szCs w:val="32"/>
          <w:highlight w:val="none"/>
        </w:rPr>
      </w:pPr>
    </w:p>
    <w:p w14:paraId="00F659E5">
      <w:pPr>
        <w:autoSpaceDE w:val="0"/>
        <w:autoSpaceDN w:val="0"/>
        <w:jc w:val="center"/>
        <w:rPr>
          <w:rFonts w:ascii="宋体" w:hAnsi="宋体" w:cs="宋体"/>
          <w:b/>
          <w:color w:val="auto"/>
          <w:spacing w:val="6"/>
          <w:sz w:val="32"/>
          <w:szCs w:val="32"/>
          <w:highlight w:val="none"/>
        </w:rPr>
      </w:pPr>
    </w:p>
    <w:p w14:paraId="1C13B0DF">
      <w:pPr>
        <w:autoSpaceDE w:val="0"/>
        <w:autoSpaceDN w:val="0"/>
        <w:jc w:val="center"/>
        <w:rPr>
          <w:rFonts w:ascii="宋体" w:hAnsi="宋体" w:cs="宋体"/>
          <w:b/>
          <w:color w:val="auto"/>
          <w:spacing w:val="6"/>
          <w:sz w:val="32"/>
          <w:szCs w:val="32"/>
          <w:highlight w:val="none"/>
        </w:rPr>
      </w:pPr>
    </w:p>
    <w:p w14:paraId="51EDFACE">
      <w:pPr>
        <w:autoSpaceDE w:val="0"/>
        <w:autoSpaceDN w:val="0"/>
        <w:jc w:val="center"/>
        <w:rPr>
          <w:rFonts w:ascii="宋体" w:hAnsi="宋体" w:cs="宋体"/>
          <w:b/>
          <w:color w:val="auto"/>
          <w:spacing w:val="6"/>
          <w:sz w:val="32"/>
          <w:szCs w:val="32"/>
          <w:highlight w:val="none"/>
        </w:rPr>
      </w:pPr>
    </w:p>
    <w:p w14:paraId="42FC3AFB">
      <w:pPr>
        <w:autoSpaceDE w:val="0"/>
        <w:autoSpaceDN w:val="0"/>
        <w:jc w:val="center"/>
        <w:rPr>
          <w:rFonts w:ascii="宋体" w:hAnsi="宋体" w:cs="宋体"/>
          <w:b/>
          <w:color w:val="auto"/>
          <w:spacing w:val="6"/>
          <w:sz w:val="32"/>
          <w:szCs w:val="32"/>
          <w:highlight w:val="none"/>
        </w:rPr>
      </w:pPr>
    </w:p>
    <w:p w14:paraId="1BC2FD03">
      <w:pPr>
        <w:autoSpaceDE w:val="0"/>
        <w:autoSpaceDN w:val="0"/>
        <w:jc w:val="center"/>
        <w:rPr>
          <w:rFonts w:ascii="宋体" w:hAnsi="宋体" w:cs="宋体"/>
          <w:b/>
          <w:color w:val="auto"/>
          <w:spacing w:val="6"/>
          <w:sz w:val="32"/>
          <w:szCs w:val="32"/>
          <w:highlight w:val="none"/>
        </w:rPr>
      </w:pPr>
    </w:p>
    <w:p w14:paraId="34A0E8A4">
      <w:pPr>
        <w:autoSpaceDE w:val="0"/>
        <w:autoSpaceDN w:val="0"/>
        <w:jc w:val="center"/>
        <w:rPr>
          <w:rFonts w:ascii="宋体" w:hAnsi="宋体" w:cs="宋体"/>
          <w:b/>
          <w:color w:val="auto"/>
          <w:spacing w:val="6"/>
          <w:sz w:val="32"/>
          <w:szCs w:val="32"/>
          <w:highlight w:val="none"/>
        </w:rPr>
      </w:pPr>
    </w:p>
    <w:p w14:paraId="3308427B">
      <w:pPr>
        <w:autoSpaceDE w:val="0"/>
        <w:autoSpaceDN w:val="0"/>
        <w:jc w:val="center"/>
        <w:rPr>
          <w:rFonts w:ascii="宋体" w:hAnsi="宋体" w:cs="宋体"/>
          <w:b/>
          <w:color w:val="auto"/>
          <w:spacing w:val="6"/>
          <w:sz w:val="32"/>
          <w:szCs w:val="32"/>
          <w:highlight w:val="none"/>
        </w:rPr>
      </w:pPr>
    </w:p>
    <w:p w14:paraId="64FF9C47">
      <w:pPr>
        <w:autoSpaceDE w:val="0"/>
        <w:autoSpaceDN w:val="0"/>
        <w:jc w:val="center"/>
        <w:rPr>
          <w:rFonts w:ascii="宋体" w:hAnsi="宋体" w:cs="宋体"/>
          <w:b/>
          <w:color w:val="auto"/>
          <w:spacing w:val="6"/>
          <w:sz w:val="32"/>
          <w:szCs w:val="32"/>
          <w:highlight w:val="none"/>
        </w:rPr>
      </w:pPr>
    </w:p>
    <w:p w14:paraId="1D74F4A7">
      <w:pPr>
        <w:snapToGrid w:val="0"/>
        <w:spacing w:line="360" w:lineRule="auto"/>
        <w:ind w:firstLine="3666" w:firstLineChars="1100"/>
        <w:rPr>
          <w:rFonts w:ascii="宋体" w:hAnsi="宋体" w:cs="宋体"/>
          <w:b/>
          <w:color w:val="auto"/>
          <w:spacing w:val="6"/>
          <w:sz w:val="32"/>
          <w:szCs w:val="32"/>
          <w:highlight w:val="none"/>
        </w:rPr>
      </w:pPr>
    </w:p>
    <w:p w14:paraId="230F09E3">
      <w:pPr>
        <w:widowControl/>
        <w:adjustRightInd/>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E1DF62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6E663F5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6BCB6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（项目名称）【招标编号：（项目编号）】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306B5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72774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8073EE3">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12944E2">
      <w:pPr>
        <w:rPr>
          <w:rFonts w:ascii="宋体" w:hAnsi="宋体" w:cs="宋体"/>
          <w:color w:val="auto"/>
          <w:highlight w:val="none"/>
        </w:rPr>
      </w:pPr>
      <w:r>
        <w:rPr>
          <w:rFonts w:hint="eastAsia" w:ascii="宋体" w:hAnsi="宋体" w:cs="宋体"/>
          <w:color w:val="auto"/>
          <w:highlight w:val="none"/>
          <w:lang w:val="zh-CN"/>
        </w:rPr>
        <w:t xml:space="preserve"> </w:t>
      </w:r>
    </w:p>
    <w:p w14:paraId="684463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AC56692">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9735D45">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7D5D18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5529996">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BFA06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4C93A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F86C6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6A6E7C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CEC890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4289F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0DCA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C8F94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F063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E05F9A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6EF1E15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ED4548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8B8288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E827E2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578459A">
      <w:pPr>
        <w:autoSpaceDE w:val="0"/>
        <w:autoSpaceDN w:val="0"/>
        <w:jc w:val="center"/>
        <w:rPr>
          <w:rFonts w:ascii="宋体" w:hAnsi="宋体" w:cs="宋体"/>
          <w:b/>
          <w:color w:val="auto"/>
          <w:spacing w:val="6"/>
          <w:sz w:val="32"/>
          <w:szCs w:val="32"/>
          <w:highlight w:val="none"/>
        </w:rPr>
      </w:pPr>
    </w:p>
    <w:p w14:paraId="217C618B">
      <w:pPr>
        <w:autoSpaceDE w:val="0"/>
        <w:autoSpaceDN w:val="0"/>
        <w:jc w:val="center"/>
        <w:rPr>
          <w:rFonts w:ascii="宋体" w:hAnsi="宋体" w:cs="宋体"/>
          <w:b/>
          <w:color w:val="auto"/>
          <w:spacing w:val="6"/>
          <w:sz w:val="32"/>
          <w:szCs w:val="32"/>
          <w:highlight w:val="none"/>
        </w:rPr>
      </w:pPr>
    </w:p>
    <w:p w14:paraId="3A9BB253">
      <w:pPr>
        <w:autoSpaceDE w:val="0"/>
        <w:autoSpaceDN w:val="0"/>
        <w:jc w:val="center"/>
        <w:rPr>
          <w:rFonts w:ascii="宋体" w:hAnsi="宋体" w:cs="宋体"/>
          <w:b/>
          <w:color w:val="auto"/>
          <w:spacing w:val="6"/>
          <w:sz w:val="32"/>
          <w:szCs w:val="32"/>
          <w:highlight w:val="none"/>
        </w:rPr>
      </w:pPr>
    </w:p>
    <w:p w14:paraId="19F58A71">
      <w:pPr>
        <w:autoSpaceDE w:val="0"/>
        <w:autoSpaceDN w:val="0"/>
        <w:jc w:val="center"/>
        <w:rPr>
          <w:rFonts w:ascii="宋体" w:hAnsi="宋体" w:cs="宋体"/>
          <w:b/>
          <w:color w:val="auto"/>
          <w:spacing w:val="6"/>
          <w:sz w:val="32"/>
          <w:szCs w:val="32"/>
          <w:highlight w:val="none"/>
        </w:rPr>
      </w:pPr>
    </w:p>
    <w:p w14:paraId="097A6331">
      <w:pPr>
        <w:autoSpaceDE w:val="0"/>
        <w:autoSpaceDN w:val="0"/>
        <w:jc w:val="center"/>
        <w:rPr>
          <w:rFonts w:ascii="宋体" w:hAnsi="宋体" w:cs="宋体"/>
          <w:b/>
          <w:color w:val="auto"/>
          <w:spacing w:val="6"/>
          <w:sz w:val="32"/>
          <w:szCs w:val="32"/>
          <w:highlight w:val="none"/>
        </w:rPr>
      </w:pPr>
    </w:p>
    <w:p w14:paraId="549F025A">
      <w:pPr>
        <w:autoSpaceDE w:val="0"/>
        <w:autoSpaceDN w:val="0"/>
        <w:jc w:val="center"/>
        <w:rPr>
          <w:rFonts w:ascii="宋体" w:hAnsi="宋体" w:cs="宋体"/>
          <w:b/>
          <w:color w:val="auto"/>
          <w:spacing w:val="6"/>
          <w:sz w:val="32"/>
          <w:szCs w:val="32"/>
          <w:highlight w:val="none"/>
        </w:rPr>
      </w:pPr>
    </w:p>
    <w:p w14:paraId="4F50D063">
      <w:pPr>
        <w:autoSpaceDE w:val="0"/>
        <w:autoSpaceDN w:val="0"/>
        <w:jc w:val="center"/>
        <w:rPr>
          <w:rFonts w:ascii="宋体" w:hAnsi="宋体" w:cs="宋体"/>
          <w:b/>
          <w:color w:val="auto"/>
          <w:spacing w:val="6"/>
          <w:sz w:val="32"/>
          <w:szCs w:val="32"/>
          <w:highlight w:val="none"/>
        </w:rPr>
      </w:pPr>
    </w:p>
    <w:p w14:paraId="136301EE">
      <w:pPr>
        <w:autoSpaceDE w:val="0"/>
        <w:autoSpaceDN w:val="0"/>
        <w:jc w:val="center"/>
        <w:rPr>
          <w:rFonts w:ascii="宋体" w:hAnsi="宋体" w:cs="宋体"/>
          <w:b/>
          <w:color w:val="auto"/>
          <w:spacing w:val="6"/>
          <w:sz w:val="32"/>
          <w:szCs w:val="32"/>
          <w:highlight w:val="none"/>
        </w:rPr>
      </w:pPr>
    </w:p>
    <w:p w14:paraId="4D8E46A9">
      <w:pPr>
        <w:autoSpaceDE w:val="0"/>
        <w:autoSpaceDN w:val="0"/>
        <w:jc w:val="center"/>
        <w:rPr>
          <w:rFonts w:ascii="宋体" w:hAnsi="宋体" w:cs="宋体"/>
          <w:b/>
          <w:color w:val="auto"/>
          <w:spacing w:val="6"/>
          <w:sz w:val="32"/>
          <w:szCs w:val="32"/>
          <w:highlight w:val="none"/>
        </w:rPr>
      </w:pPr>
    </w:p>
    <w:p w14:paraId="6FD0412F">
      <w:pPr>
        <w:autoSpaceDE w:val="0"/>
        <w:autoSpaceDN w:val="0"/>
        <w:jc w:val="center"/>
        <w:rPr>
          <w:rFonts w:ascii="宋体" w:hAnsi="宋体" w:cs="宋体"/>
          <w:b/>
          <w:color w:val="auto"/>
          <w:spacing w:val="6"/>
          <w:sz w:val="32"/>
          <w:szCs w:val="32"/>
          <w:highlight w:val="none"/>
        </w:rPr>
      </w:pPr>
    </w:p>
    <w:p w14:paraId="06C048A2">
      <w:pPr>
        <w:autoSpaceDE w:val="0"/>
        <w:autoSpaceDN w:val="0"/>
        <w:jc w:val="center"/>
        <w:rPr>
          <w:rFonts w:ascii="宋体" w:hAnsi="宋体" w:cs="宋体"/>
          <w:b/>
          <w:color w:val="auto"/>
          <w:spacing w:val="6"/>
          <w:sz w:val="32"/>
          <w:szCs w:val="32"/>
          <w:highlight w:val="none"/>
        </w:rPr>
      </w:pPr>
    </w:p>
    <w:p w14:paraId="62FE9785">
      <w:pPr>
        <w:autoSpaceDE w:val="0"/>
        <w:autoSpaceDN w:val="0"/>
        <w:jc w:val="center"/>
        <w:rPr>
          <w:rFonts w:ascii="宋体" w:hAnsi="宋体" w:cs="宋体"/>
          <w:b/>
          <w:color w:val="auto"/>
          <w:spacing w:val="6"/>
          <w:sz w:val="32"/>
          <w:szCs w:val="32"/>
          <w:highlight w:val="none"/>
        </w:rPr>
      </w:pPr>
    </w:p>
    <w:p w14:paraId="2548957B">
      <w:pPr>
        <w:autoSpaceDE w:val="0"/>
        <w:autoSpaceDN w:val="0"/>
        <w:jc w:val="center"/>
        <w:rPr>
          <w:rFonts w:ascii="宋体" w:hAnsi="宋体" w:cs="宋体"/>
          <w:b/>
          <w:color w:val="auto"/>
          <w:spacing w:val="6"/>
          <w:sz w:val="32"/>
          <w:szCs w:val="32"/>
          <w:highlight w:val="none"/>
        </w:rPr>
      </w:pPr>
    </w:p>
    <w:p w14:paraId="37492A78">
      <w:pPr>
        <w:autoSpaceDE w:val="0"/>
        <w:autoSpaceDN w:val="0"/>
        <w:jc w:val="center"/>
        <w:rPr>
          <w:rFonts w:ascii="宋体" w:hAnsi="宋体" w:cs="宋体"/>
          <w:b/>
          <w:color w:val="auto"/>
          <w:spacing w:val="6"/>
          <w:sz w:val="32"/>
          <w:szCs w:val="32"/>
          <w:highlight w:val="none"/>
        </w:rPr>
      </w:pPr>
    </w:p>
    <w:p w14:paraId="4D2A29C5">
      <w:pPr>
        <w:autoSpaceDE w:val="0"/>
        <w:autoSpaceDN w:val="0"/>
        <w:jc w:val="center"/>
        <w:rPr>
          <w:rFonts w:ascii="宋体" w:hAnsi="宋体" w:cs="宋体"/>
          <w:b/>
          <w:color w:val="auto"/>
          <w:spacing w:val="6"/>
          <w:sz w:val="32"/>
          <w:szCs w:val="32"/>
          <w:highlight w:val="none"/>
        </w:rPr>
      </w:pPr>
    </w:p>
    <w:p w14:paraId="198579B0">
      <w:pPr>
        <w:autoSpaceDE w:val="0"/>
        <w:autoSpaceDN w:val="0"/>
        <w:jc w:val="center"/>
        <w:rPr>
          <w:rFonts w:ascii="宋体" w:hAnsi="宋体" w:cs="宋体"/>
          <w:b/>
          <w:color w:val="auto"/>
          <w:spacing w:val="6"/>
          <w:sz w:val="32"/>
          <w:szCs w:val="32"/>
          <w:highlight w:val="none"/>
        </w:rPr>
      </w:pPr>
    </w:p>
    <w:p w14:paraId="0E72B147">
      <w:pPr>
        <w:autoSpaceDE w:val="0"/>
        <w:autoSpaceDN w:val="0"/>
        <w:jc w:val="center"/>
        <w:rPr>
          <w:rFonts w:ascii="宋体" w:hAnsi="宋体" w:cs="宋体"/>
          <w:b/>
          <w:color w:val="auto"/>
          <w:spacing w:val="6"/>
          <w:sz w:val="32"/>
          <w:szCs w:val="32"/>
          <w:highlight w:val="none"/>
        </w:rPr>
      </w:pPr>
    </w:p>
    <w:p w14:paraId="10DBC9CD">
      <w:pPr>
        <w:autoSpaceDE w:val="0"/>
        <w:autoSpaceDN w:val="0"/>
        <w:jc w:val="center"/>
        <w:rPr>
          <w:rFonts w:ascii="宋体" w:hAnsi="宋体" w:cs="宋体"/>
          <w:b/>
          <w:color w:val="auto"/>
          <w:spacing w:val="6"/>
          <w:sz w:val="32"/>
          <w:szCs w:val="32"/>
          <w:highlight w:val="none"/>
        </w:rPr>
      </w:pPr>
    </w:p>
    <w:p w14:paraId="7EBFB825">
      <w:pPr>
        <w:autoSpaceDE w:val="0"/>
        <w:autoSpaceDN w:val="0"/>
        <w:jc w:val="center"/>
        <w:rPr>
          <w:rFonts w:ascii="宋体" w:hAnsi="宋体" w:cs="宋体"/>
          <w:b/>
          <w:color w:val="auto"/>
          <w:spacing w:val="6"/>
          <w:sz w:val="32"/>
          <w:szCs w:val="32"/>
          <w:highlight w:val="none"/>
        </w:rPr>
      </w:pPr>
    </w:p>
    <w:p w14:paraId="09B62AD3">
      <w:pPr>
        <w:autoSpaceDE w:val="0"/>
        <w:autoSpaceDN w:val="0"/>
        <w:jc w:val="center"/>
        <w:rPr>
          <w:rFonts w:ascii="宋体" w:hAnsi="宋体" w:cs="宋体"/>
          <w:b/>
          <w:color w:val="auto"/>
          <w:spacing w:val="6"/>
          <w:sz w:val="32"/>
          <w:szCs w:val="32"/>
          <w:highlight w:val="none"/>
        </w:rPr>
      </w:pPr>
    </w:p>
    <w:p w14:paraId="400946F6">
      <w:pPr>
        <w:autoSpaceDE w:val="0"/>
        <w:autoSpaceDN w:val="0"/>
        <w:jc w:val="center"/>
        <w:rPr>
          <w:rFonts w:ascii="宋体" w:hAnsi="宋体" w:cs="宋体"/>
          <w:b/>
          <w:color w:val="auto"/>
          <w:spacing w:val="6"/>
          <w:sz w:val="32"/>
          <w:szCs w:val="32"/>
          <w:highlight w:val="none"/>
        </w:rPr>
      </w:pPr>
    </w:p>
    <w:p w14:paraId="32298B5B">
      <w:pPr>
        <w:autoSpaceDE w:val="0"/>
        <w:autoSpaceDN w:val="0"/>
        <w:jc w:val="center"/>
        <w:rPr>
          <w:rFonts w:ascii="宋体" w:hAnsi="宋体" w:cs="宋体"/>
          <w:b/>
          <w:color w:val="auto"/>
          <w:spacing w:val="6"/>
          <w:sz w:val="32"/>
          <w:szCs w:val="32"/>
          <w:highlight w:val="none"/>
        </w:rPr>
      </w:pPr>
    </w:p>
    <w:p w14:paraId="3AC6DD22">
      <w:pPr>
        <w:autoSpaceDE w:val="0"/>
        <w:autoSpaceDN w:val="0"/>
        <w:jc w:val="center"/>
        <w:rPr>
          <w:rFonts w:ascii="宋体" w:hAnsi="宋体" w:cs="宋体"/>
          <w:b/>
          <w:color w:val="auto"/>
          <w:spacing w:val="6"/>
          <w:sz w:val="32"/>
          <w:szCs w:val="32"/>
          <w:highlight w:val="none"/>
        </w:rPr>
      </w:pPr>
    </w:p>
    <w:p w14:paraId="2BDED5A8">
      <w:pPr>
        <w:autoSpaceDE w:val="0"/>
        <w:autoSpaceDN w:val="0"/>
        <w:jc w:val="center"/>
        <w:rPr>
          <w:rFonts w:ascii="宋体" w:hAnsi="宋体" w:cs="宋体"/>
          <w:b/>
          <w:color w:val="auto"/>
          <w:spacing w:val="6"/>
          <w:sz w:val="32"/>
          <w:szCs w:val="32"/>
          <w:highlight w:val="none"/>
        </w:rPr>
      </w:pPr>
    </w:p>
    <w:p w14:paraId="319ADD83">
      <w:pPr>
        <w:autoSpaceDE w:val="0"/>
        <w:autoSpaceDN w:val="0"/>
        <w:jc w:val="center"/>
        <w:rPr>
          <w:rFonts w:ascii="宋体" w:hAnsi="宋体" w:cs="宋体"/>
          <w:b/>
          <w:color w:val="auto"/>
          <w:spacing w:val="6"/>
          <w:sz w:val="32"/>
          <w:szCs w:val="32"/>
          <w:highlight w:val="none"/>
        </w:rPr>
      </w:pPr>
    </w:p>
    <w:p w14:paraId="530B262D">
      <w:pPr>
        <w:autoSpaceDE w:val="0"/>
        <w:autoSpaceDN w:val="0"/>
        <w:jc w:val="center"/>
        <w:rPr>
          <w:rFonts w:ascii="宋体" w:hAnsi="宋体" w:cs="宋体"/>
          <w:b/>
          <w:color w:val="auto"/>
          <w:spacing w:val="6"/>
          <w:sz w:val="32"/>
          <w:szCs w:val="32"/>
          <w:highlight w:val="none"/>
        </w:rPr>
      </w:pPr>
    </w:p>
    <w:p w14:paraId="522A7608">
      <w:pPr>
        <w:autoSpaceDE w:val="0"/>
        <w:autoSpaceDN w:val="0"/>
        <w:jc w:val="center"/>
        <w:rPr>
          <w:rFonts w:ascii="宋体" w:hAnsi="宋体" w:cs="宋体"/>
          <w:b/>
          <w:color w:val="auto"/>
          <w:spacing w:val="6"/>
          <w:sz w:val="32"/>
          <w:szCs w:val="32"/>
          <w:highlight w:val="none"/>
        </w:rPr>
      </w:pPr>
    </w:p>
    <w:p w14:paraId="029EFB54">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附件7：中小企业声明函</w:t>
      </w:r>
    </w:p>
    <w:p w14:paraId="05FE58CB">
      <w:pPr>
        <w:spacing w:line="360" w:lineRule="auto"/>
        <w:jc w:val="center"/>
        <w:rPr>
          <w:rFonts w:ascii="宋体" w:hAnsi="宋体" w:cs="宋体"/>
          <w:color w:val="auto"/>
          <w:sz w:val="24"/>
          <w:highlight w:val="none"/>
          <w:u w:val="single"/>
        </w:rPr>
      </w:pPr>
    </w:p>
    <w:p w14:paraId="46DA6D2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17A4801">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2BDBC3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信息传输业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（中型企业、小型企业、微型企业）；</w:t>
      </w:r>
    </w:p>
    <w:p w14:paraId="08DA982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信息传输业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（中型企业、小型企业、微型企业）；</w:t>
      </w:r>
    </w:p>
    <w:p w14:paraId="22C12CC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5AF4CB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AFB73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4BD794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B0D1847">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0E7D5DD">
      <w:pPr>
        <w:spacing w:line="360" w:lineRule="auto"/>
        <w:ind w:right="420"/>
        <w:rPr>
          <w:rFonts w:ascii="宋体" w:hAnsi="宋体" w:cs="宋体"/>
          <w:color w:val="auto"/>
          <w:sz w:val="24"/>
          <w:highlight w:val="none"/>
        </w:rPr>
      </w:pPr>
    </w:p>
    <w:p w14:paraId="53969B43">
      <w:pPr>
        <w:spacing w:line="360" w:lineRule="auto"/>
        <w:ind w:right="420"/>
        <w:rPr>
          <w:rFonts w:ascii="宋体" w:hAnsi="宋体" w:cs="宋体"/>
          <w:color w:val="auto"/>
          <w:sz w:val="24"/>
          <w:highlight w:val="none"/>
        </w:rPr>
      </w:pPr>
    </w:p>
    <w:p w14:paraId="0781171E">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highlight w:val="none"/>
        </w:rPr>
        <w:t>。</w:t>
      </w:r>
    </w:p>
    <w:p w14:paraId="53D2305E">
      <w:pPr>
        <w:rPr>
          <w:rFonts w:ascii="宋体" w:hAnsi="宋体" w:cs="宋体"/>
          <w:color w:val="auto"/>
          <w:highlight w:val="none"/>
        </w:rPr>
      </w:pPr>
    </w:p>
    <w:p w14:paraId="4EA83923">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A3FA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62A2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8A977">
    <w:pPr>
      <w:pStyle w:val="41"/>
      <w:framePr w:wrap="around" w:vAnchor="text" w:hAnchor="margin" w:xAlign="right" w:y="1"/>
      <w:rPr>
        <w:rStyle w:val="74"/>
      </w:rPr>
    </w:pPr>
    <w:r>
      <w:fldChar w:fldCharType="begin"/>
    </w:r>
    <w:r>
      <w:rPr>
        <w:rStyle w:val="74"/>
      </w:rPr>
      <w:instrText xml:space="preserve">PAGE  </w:instrText>
    </w:r>
    <w:r>
      <w:fldChar w:fldCharType="end"/>
    </w:r>
  </w:p>
  <w:p w14:paraId="51E5909B">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3D19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502" w:name="_Toc36110187"/>
    <w:bookmarkStart w:id="503" w:name="_Toc164085800"/>
    <w:bookmarkStart w:id="504" w:name="_Toc131845147"/>
    <w:bookmarkStart w:id="505" w:name="_Toc91899912"/>
    <w:r>
      <w:rPr>
        <w:rFonts w:hint="eastAsia" w:ascii="仿宋_GB2312" w:eastAsia="仿宋_GB2312"/>
        <w:kern w:val="0"/>
        <w:szCs w:val="21"/>
      </w:rPr>
      <w:t xml:space="preserve"> 页</w:t>
    </w:r>
    <w:bookmarkEnd w:id="502"/>
    <w:bookmarkEnd w:id="503"/>
    <w:bookmarkEnd w:id="504"/>
    <w:bookmarkEnd w:id="5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4180B">
    <w:pPr>
      <w:pStyle w:val="41"/>
      <w:framePr w:wrap="around" w:vAnchor="text" w:hAnchor="margin" w:xAlign="right" w:y="1"/>
      <w:rPr>
        <w:rStyle w:val="74"/>
      </w:rPr>
    </w:pPr>
    <w:r>
      <w:fldChar w:fldCharType="begin"/>
    </w:r>
    <w:r>
      <w:rPr>
        <w:rStyle w:val="74"/>
      </w:rPr>
      <w:instrText xml:space="preserve">PAGE  </w:instrText>
    </w:r>
    <w:r>
      <w:fldChar w:fldCharType="end"/>
    </w:r>
  </w:p>
  <w:p w14:paraId="3960B19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3F99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F507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15516F3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4680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30CEC8A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70AF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5355A3E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1783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09D5509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7E19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36003AE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17EA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2A2A344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CA402">
    <w:pPr>
      <w:pStyle w:val="42"/>
      <w:pBdr>
        <w:bottom w:val="single" w:color="auto" w:sz="6" w:space="4"/>
      </w:pBdr>
      <w:jc w:val="right"/>
    </w:pPr>
    <w:r>
      <w:t></w:t>
    </w:r>
    <w:r>
      <w:rPr>
        <w:rFonts w:hint="eastAsia"/>
      </w:rPr>
      <w:t xml:space="preserve">             </w:t>
    </w:r>
    <w:r>
      <w:t>杭州市政府采购公开招标文件</w:t>
    </w:r>
  </w:p>
  <w:p w14:paraId="606F2393">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D15A4">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C11C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5F6B0">
    <w:pPr>
      <w:pStyle w:val="42"/>
      <w:rPr>
        <w:rFonts w:ascii="仿宋_GB2312" w:eastAsia="仿宋_GB2312"/>
        <w:b/>
        <w:i/>
        <w:u w:val="single"/>
      </w:rPr>
    </w:pPr>
    <w:r>
      <w:t></w:t>
    </w:r>
    <w:r>
      <w:rPr>
        <w:rFonts w:hint="eastAsia"/>
      </w:rPr>
      <w:t xml:space="preserve">                                                  </w:t>
    </w:r>
    <w:r>
      <w:t xml:space="preserve">             杭州市政府采购公开招标文件</w:t>
    </w:r>
  </w:p>
  <w:p w14:paraId="3AD1BFA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5BC38">
    <w:pPr>
      <w:pStyle w:val="42"/>
    </w:pPr>
    <w:r>
      <w:t></w:t>
    </w:r>
    <w:r>
      <w:rPr>
        <w:rFonts w:hint="eastAsia"/>
      </w:rPr>
      <w:t xml:space="preserve">         </w:t>
    </w:r>
  </w:p>
  <w:p w14:paraId="2EDA5495">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ACC5B">
    <w:pPr>
      <w:pStyle w:val="42"/>
      <w:rPr>
        <w:rFonts w:ascii="仿宋_GB2312" w:eastAsia="仿宋_GB2312"/>
        <w:b/>
        <w:i/>
        <w:u w:val="single"/>
      </w:rPr>
    </w:pPr>
    <w:r>
      <w:t></w:t>
    </w:r>
    <w:r>
      <w:rPr>
        <w:rFonts w:hint="eastAsia"/>
      </w:rPr>
      <w:t xml:space="preserve">                                                  </w:t>
    </w:r>
    <w:r>
      <w:t>杭州市政府采购公开招标文件</w:t>
    </w:r>
  </w:p>
  <w:p w14:paraId="64E2DB2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38BE">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B325F">
    <w:pPr>
      <w:pStyle w:val="42"/>
      <w:jc w:val="right"/>
      <w:rPr>
        <w:rFonts w:ascii="仿宋_GB2312" w:eastAsia="仿宋_GB2312"/>
        <w:b/>
        <w:i/>
        <w:u w:val="single"/>
      </w:rPr>
    </w:pPr>
    <w:r>
      <w:rPr>
        <w:rFonts w:hint="eastAsia"/>
      </w:rPr>
      <w:t xml:space="preserve">                                  </w:t>
    </w:r>
    <w:r>
      <w:t>杭州市政府采购公开招标文件</w:t>
    </w:r>
  </w:p>
  <w:p w14:paraId="105F464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47402">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EF492">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2F662"/>
    <w:multiLevelType w:val="singleLevel"/>
    <w:tmpl w:val="8432F662"/>
    <w:lvl w:ilvl="0" w:tentative="0">
      <w:start w:val="8"/>
      <w:numFmt w:val="decimal"/>
      <w:suff w:val="space"/>
      <w:lvlText w:val="%1."/>
      <w:lvlJc w:val="left"/>
    </w:lvl>
  </w:abstractNum>
  <w:abstractNum w:abstractNumId="1">
    <w:nsid w:val="A3039189"/>
    <w:multiLevelType w:val="singleLevel"/>
    <w:tmpl w:val="A3039189"/>
    <w:lvl w:ilvl="0" w:tentative="0">
      <w:start w:val="2"/>
      <w:numFmt w:val="decimal"/>
      <w:suff w:val="space"/>
      <w:lvlText w:val="%1."/>
      <w:lvlJc w:val="left"/>
    </w:lvl>
  </w:abstractNum>
  <w:abstractNum w:abstractNumId="2">
    <w:nsid w:val="FE94D1F6"/>
    <w:multiLevelType w:val="singleLevel"/>
    <w:tmpl w:val="FE94D1F6"/>
    <w:lvl w:ilvl="0" w:tentative="0">
      <w:start w:val="5"/>
      <w:numFmt w:val="chineseCounting"/>
      <w:suff w:val="nothing"/>
      <w:lvlText w:val="%1、"/>
      <w:lvlJc w:val="left"/>
      <w:rPr>
        <w:rFonts w:hint="eastAsia"/>
      </w:rPr>
    </w:lvl>
  </w:abstractNum>
  <w:abstractNum w:abstractNumId="3">
    <w:nsid w:val="01D1CAF7"/>
    <w:multiLevelType w:val="singleLevel"/>
    <w:tmpl w:val="01D1CAF7"/>
    <w:lvl w:ilvl="0" w:tentative="0">
      <w:start w:val="9"/>
      <w:numFmt w:val="decimal"/>
      <w:suff w:val="space"/>
      <w:lvlText w:val="%1."/>
      <w:lvlJc w:val="left"/>
    </w:lvl>
  </w:abstractNum>
  <w:abstractNum w:abstractNumId="4">
    <w:nsid w:val="1A7E7E0F"/>
    <w:multiLevelType w:val="singleLevel"/>
    <w:tmpl w:val="1A7E7E0F"/>
    <w:lvl w:ilvl="0" w:tentative="0">
      <w:start w:val="13"/>
      <w:numFmt w:val="decimal"/>
      <w:suff w:val="space"/>
      <w:lvlText w:val="%1."/>
      <w:lvlJc w:val="left"/>
    </w:lvl>
  </w:abstractNum>
  <w:abstractNum w:abstractNumId="5">
    <w:nsid w:val="262E3498"/>
    <w:multiLevelType w:val="singleLevel"/>
    <w:tmpl w:val="262E3498"/>
    <w:lvl w:ilvl="0" w:tentative="0">
      <w:start w:val="19"/>
      <w:numFmt w:val="decimal"/>
      <w:suff w:val="space"/>
      <w:lvlText w:val="%1."/>
      <w:lvlJc w:val="left"/>
    </w:lvl>
  </w:abstractNum>
  <w:abstractNum w:abstractNumId="6">
    <w:nsid w:val="446E4AD9"/>
    <w:multiLevelType w:val="singleLevel"/>
    <w:tmpl w:val="446E4AD9"/>
    <w:lvl w:ilvl="0" w:tentative="0">
      <w:start w:val="2"/>
      <w:numFmt w:val="chineseCounting"/>
      <w:suff w:val="nothing"/>
      <w:lvlText w:val="%1、"/>
      <w:lvlJc w:val="left"/>
      <w:rPr>
        <w:rFonts w:hint="eastAsia"/>
      </w:rPr>
    </w:lvl>
  </w:abstractNum>
  <w:num w:numId="1">
    <w:abstractNumId w:val="6"/>
  </w:num>
  <w:num w:numId="2">
    <w:abstractNumId w:val="2"/>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MjBiMzdiMWRkMjg2ZjQxM2MwYjg3OGRhNDk4MDIifQ=="/>
    <w:docVar w:name="KSO_WPS_MARK_KEY" w:val="a2ce425c-64c6-42b7-a8c5-3efe90158aa4"/>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145"/>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873"/>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B30"/>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BD"/>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5D61"/>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025"/>
    <w:rsid w:val="005462ED"/>
    <w:rsid w:val="00546585"/>
    <w:rsid w:val="00546703"/>
    <w:rsid w:val="0054680A"/>
    <w:rsid w:val="00546BF8"/>
    <w:rsid w:val="00547BA2"/>
    <w:rsid w:val="00550AC5"/>
    <w:rsid w:val="00550B7E"/>
    <w:rsid w:val="00551052"/>
    <w:rsid w:val="005524ED"/>
    <w:rsid w:val="00552A03"/>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2D42"/>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645"/>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285"/>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83A"/>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99B"/>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2DB"/>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0F7E"/>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0A3"/>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4B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265"/>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789"/>
    <w:rsid w:val="00EE2A9D"/>
    <w:rsid w:val="00EE3384"/>
    <w:rsid w:val="00EE499F"/>
    <w:rsid w:val="00EE56E2"/>
    <w:rsid w:val="00EE5FCD"/>
    <w:rsid w:val="00EE63BF"/>
    <w:rsid w:val="00EE6D45"/>
    <w:rsid w:val="00EE6E89"/>
    <w:rsid w:val="00EF0D4B"/>
    <w:rsid w:val="00EF0FE6"/>
    <w:rsid w:val="00EF1130"/>
    <w:rsid w:val="00EF1432"/>
    <w:rsid w:val="00EF1511"/>
    <w:rsid w:val="00EF1EB4"/>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83748"/>
    <w:rsid w:val="019F7441"/>
    <w:rsid w:val="01B3097E"/>
    <w:rsid w:val="01B37585"/>
    <w:rsid w:val="01CE1437"/>
    <w:rsid w:val="01D55165"/>
    <w:rsid w:val="01D63032"/>
    <w:rsid w:val="01DF6BF8"/>
    <w:rsid w:val="01EC2C57"/>
    <w:rsid w:val="024C0DD3"/>
    <w:rsid w:val="025F0711"/>
    <w:rsid w:val="026B2E25"/>
    <w:rsid w:val="02824D4D"/>
    <w:rsid w:val="02B20C36"/>
    <w:rsid w:val="02CB0D5F"/>
    <w:rsid w:val="02D31A0D"/>
    <w:rsid w:val="02D908B8"/>
    <w:rsid w:val="02DC4B10"/>
    <w:rsid w:val="02DD76CE"/>
    <w:rsid w:val="02F36323"/>
    <w:rsid w:val="02F5619C"/>
    <w:rsid w:val="030D40BE"/>
    <w:rsid w:val="0326446A"/>
    <w:rsid w:val="032D5555"/>
    <w:rsid w:val="036634D2"/>
    <w:rsid w:val="0381064A"/>
    <w:rsid w:val="03DD35E4"/>
    <w:rsid w:val="04076900"/>
    <w:rsid w:val="041A5A3B"/>
    <w:rsid w:val="042311BA"/>
    <w:rsid w:val="042B157A"/>
    <w:rsid w:val="04860C24"/>
    <w:rsid w:val="048F763B"/>
    <w:rsid w:val="049F330E"/>
    <w:rsid w:val="04AA775C"/>
    <w:rsid w:val="04AF1889"/>
    <w:rsid w:val="04F66F48"/>
    <w:rsid w:val="05251E14"/>
    <w:rsid w:val="053F69CD"/>
    <w:rsid w:val="05600E1D"/>
    <w:rsid w:val="056D7096"/>
    <w:rsid w:val="05860158"/>
    <w:rsid w:val="058B2AB7"/>
    <w:rsid w:val="05A16594"/>
    <w:rsid w:val="05A7762D"/>
    <w:rsid w:val="060E5941"/>
    <w:rsid w:val="06110FAF"/>
    <w:rsid w:val="06147E59"/>
    <w:rsid w:val="061D6D0E"/>
    <w:rsid w:val="06493CA7"/>
    <w:rsid w:val="065A6178"/>
    <w:rsid w:val="066F1CF3"/>
    <w:rsid w:val="06846D8D"/>
    <w:rsid w:val="06930BB8"/>
    <w:rsid w:val="07245D42"/>
    <w:rsid w:val="07264C62"/>
    <w:rsid w:val="073E518E"/>
    <w:rsid w:val="07706DBE"/>
    <w:rsid w:val="0779354C"/>
    <w:rsid w:val="07E7106E"/>
    <w:rsid w:val="08061376"/>
    <w:rsid w:val="082779F6"/>
    <w:rsid w:val="08452D77"/>
    <w:rsid w:val="085D1644"/>
    <w:rsid w:val="086401F8"/>
    <w:rsid w:val="08751CAA"/>
    <w:rsid w:val="087E3BC1"/>
    <w:rsid w:val="087E4C40"/>
    <w:rsid w:val="08A871D0"/>
    <w:rsid w:val="08D66AD6"/>
    <w:rsid w:val="08DA33A3"/>
    <w:rsid w:val="08E80F13"/>
    <w:rsid w:val="0905117B"/>
    <w:rsid w:val="09335624"/>
    <w:rsid w:val="0944690F"/>
    <w:rsid w:val="094E3682"/>
    <w:rsid w:val="095011A8"/>
    <w:rsid w:val="09535675"/>
    <w:rsid w:val="095F057D"/>
    <w:rsid w:val="09642282"/>
    <w:rsid w:val="09733572"/>
    <w:rsid w:val="09772C16"/>
    <w:rsid w:val="098353B5"/>
    <w:rsid w:val="09A92330"/>
    <w:rsid w:val="09B06B87"/>
    <w:rsid w:val="09C13146"/>
    <w:rsid w:val="09E04166"/>
    <w:rsid w:val="09ED4C49"/>
    <w:rsid w:val="0A1C0718"/>
    <w:rsid w:val="0A3E7710"/>
    <w:rsid w:val="0A5B7E63"/>
    <w:rsid w:val="0A7E66C0"/>
    <w:rsid w:val="0AA374A5"/>
    <w:rsid w:val="0AAB7649"/>
    <w:rsid w:val="0ABC5606"/>
    <w:rsid w:val="0B30404E"/>
    <w:rsid w:val="0B4C6C14"/>
    <w:rsid w:val="0B547599"/>
    <w:rsid w:val="0B5C3E34"/>
    <w:rsid w:val="0B631A88"/>
    <w:rsid w:val="0B683D45"/>
    <w:rsid w:val="0B7F3F11"/>
    <w:rsid w:val="0B884417"/>
    <w:rsid w:val="0BAB0918"/>
    <w:rsid w:val="0BAC3645"/>
    <w:rsid w:val="0BF6188C"/>
    <w:rsid w:val="0BF73C91"/>
    <w:rsid w:val="0C170175"/>
    <w:rsid w:val="0C3923C8"/>
    <w:rsid w:val="0C571A41"/>
    <w:rsid w:val="0C5B1078"/>
    <w:rsid w:val="0C5C1171"/>
    <w:rsid w:val="0C5E1CBC"/>
    <w:rsid w:val="0C615B50"/>
    <w:rsid w:val="0C8445DA"/>
    <w:rsid w:val="0C87121B"/>
    <w:rsid w:val="0C956556"/>
    <w:rsid w:val="0CC007F7"/>
    <w:rsid w:val="0CC617AC"/>
    <w:rsid w:val="0CC65279"/>
    <w:rsid w:val="0CE618DF"/>
    <w:rsid w:val="0CFE707A"/>
    <w:rsid w:val="0D063BDA"/>
    <w:rsid w:val="0D08375F"/>
    <w:rsid w:val="0D184CFB"/>
    <w:rsid w:val="0D4073CF"/>
    <w:rsid w:val="0D4A7419"/>
    <w:rsid w:val="0D827401"/>
    <w:rsid w:val="0D84094E"/>
    <w:rsid w:val="0D8A00E9"/>
    <w:rsid w:val="0D8D589E"/>
    <w:rsid w:val="0DA01C73"/>
    <w:rsid w:val="0DD63300"/>
    <w:rsid w:val="0DF50604"/>
    <w:rsid w:val="0DF702FE"/>
    <w:rsid w:val="0E060E51"/>
    <w:rsid w:val="0E5604B2"/>
    <w:rsid w:val="0E6D45AA"/>
    <w:rsid w:val="0E6D5D79"/>
    <w:rsid w:val="0E9D0089"/>
    <w:rsid w:val="0E9E15D3"/>
    <w:rsid w:val="0EB803EE"/>
    <w:rsid w:val="0EF94D4B"/>
    <w:rsid w:val="0F0E210D"/>
    <w:rsid w:val="0F4958DC"/>
    <w:rsid w:val="0F4B48EC"/>
    <w:rsid w:val="0F515DF7"/>
    <w:rsid w:val="0F596BA8"/>
    <w:rsid w:val="0F6248D2"/>
    <w:rsid w:val="0F693536"/>
    <w:rsid w:val="0F7B0511"/>
    <w:rsid w:val="0F7B76D9"/>
    <w:rsid w:val="0F816ACD"/>
    <w:rsid w:val="0F9832DB"/>
    <w:rsid w:val="0FBF3FD2"/>
    <w:rsid w:val="0FBF7FF3"/>
    <w:rsid w:val="0FC30926"/>
    <w:rsid w:val="0FE97C61"/>
    <w:rsid w:val="1034712E"/>
    <w:rsid w:val="10646583"/>
    <w:rsid w:val="107D4B15"/>
    <w:rsid w:val="108A3C80"/>
    <w:rsid w:val="10C26171"/>
    <w:rsid w:val="10DB3A4D"/>
    <w:rsid w:val="10E943BC"/>
    <w:rsid w:val="10F33360"/>
    <w:rsid w:val="10FC16EA"/>
    <w:rsid w:val="110F1D40"/>
    <w:rsid w:val="11131439"/>
    <w:rsid w:val="11266F33"/>
    <w:rsid w:val="118963A1"/>
    <w:rsid w:val="11A6405B"/>
    <w:rsid w:val="11C6522A"/>
    <w:rsid w:val="11E104CC"/>
    <w:rsid w:val="11E20309"/>
    <w:rsid w:val="12255233"/>
    <w:rsid w:val="12530213"/>
    <w:rsid w:val="127723A9"/>
    <w:rsid w:val="127952CC"/>
    <w:rsid w:val="127E6D68"/>
    <w:rsid w:val="12862074"/>
    <w:rsid w:val="12883966"/>
    <w:rsid w:val="128F4AEF"/>
    <w:rsid w:val="129465AA"/>
    <w:rsid w:val="129E45B4"/>
    <w:rsid w:val="12CA50F4"/>
    <w:rsid w:val="12D81596"/>
    <w:rsid w:val="13072A44"/>
    <w:rsid w:val="132E34A7"/>
    <w:rsid w:val="135F4BE2"/>
    <w:rsid w:val="13665114"/>
    <w:rsid w:val="136917E4"/>
    <w:rsid w:val="139B1A0A"/>
    <w:rsid w:val="139D25C7"/>
    <w:rsid w:val="13A33D85"/>
    <w:rsid w:val="13BF3CE4"/>
    <w:rsid w:val="13FA243C"/>
    <w:rsid w:val="141008D8"/>
    <w:rsid w:val="14125FE6"/>
    <w:rsid w:val="143366EE"/>
    <w:rsid w:val="14616598"/>
    <w:rsid w:val="146D271E"/>
    <w:rsid w:val="14982588"/>
    <w:rsid w:val="149A5AD9"/>
    <w:rsid w:val="14A7619D"/>
    <w:rsid w:val="14CB1207"/>
    <w:rsid w:val="150536C3"/>
    <w:rsid w:val="150962B2"/>
    <w:rsid w:val="150C1963"/>
    <w:rsid w:val="151447A0"/>
    <w:rsid w:val="154A6454"/>
    <w:rsid w:val="15762120"/>
    <w:rsid w:val="16135A37"/>
    <w:rsid w:val="16577945"/>
    <w:rsid w:val="168E50BE"/>
    <w:rsid w:val="16970040"/>
    <w:rsid w:val="16974928"/>
    <w:rsid w:val="16A8729C"/>
    <w:rsid w:val="16B33777"/>
    <w:rsid w:val="16BC70A7"/>
    <w:rsid w:val="16C6339E"/>
    <w:rsid w:val="17001F04"/>
    <w:rsid w:val="1714462C"/>
    <w:rsid w:val="172F2D79"/>
    <w:rsid w:val="173857E3"/>
    <w:rsid w:val="17487B14"/>
    <w:rsid w:val="17557BEF"/>
    <w:rsid w:val="17A75370"/>
    <w:rsid w:val="17D349C1"/>
    <w:rsid w:val="1830729E"/>
    <w:rsid w:val="1840688C"/>
    <w:rsid w:val="186E33F9"/>
    <w:rsid w:val="1870062C"/>
    <w:rsid w:val="18817102"/>
    <w:rsid w:val="18830A15"/>
    <w:rsid w:val="18852B28"/>
    <w:rsid w:val="188B5321"/>
    <w:rsid w:val="18980476"/>
    <w:rsid w:val="19325C45"/>
    <w:rsid w:val="1952657A"/>
    <w:rsid w:val="1981715C"/>
    <w:rsid w:val="19932372"/>
    <w:rsid w:val="19A20DD5"/>
    <w:rsid w:val="19AE03F1"/>
    <w:rsid w:val="19C313AB"/>
    <w:rsid w:val="19D25AC2"/>
    <w:rsid w:val="1A071A03"/>
    <w:rsid w:val="1A1F16AE"/>
    <w:rsid w:val="1A3B5C77"/>
    <w:rsid w:val="1A984BAD"/>
    <w:rsid w:val="1AB048AE"/>
    <w:rsid w:val="1AB8220E"/>
    <w:rsid w:val="1AC612CA"/>
    <w:rsid w:val="1AE4166C"/>
    <w:rsid w:val="1AF06CFB"/>
    <w:rsid w:val="1AF11B8D"/>
    <w:rsid w:val="1B11359C"/>
    <w:rsid w:val="1B2A271F"/>
    <w:rsid w:val="1B530544"/>
    <w:rsid w:val="1B713184"/>
    <w:rsid w:val="1B9C64CF"/>
    <w:rsid w:val="1BA15065"/>
    <w:rsid w:val="1BA209CF"/>
    <w:rsid w:val="1BB4777D"/>
    <w:rsid w:val="1BD75AB8"/>
    <w:rsid w:val="1BE91714"/>
    <w:rsid w:val="1BF400B9"/>
    <w:rsid w:val="1C0459C2"/>
    <w:rsid w:val="1C1B3B4A"/>
    <w:rsid w:val="1C1F5136"/>
    <w:rsid w:val="1C88086E"/>
    <w:rsid w:val="1CC7757C"/>
    <w:rsid w:val="1D266CE1"/>
    <w:rsid w:val="1D3963AF"/>
    <w:rsid w:val="1D6A673C"/>
    <w:rsid w:val="1D85546D"/>
    <w:rsid w:val="1D9247AE"/>
    <w:rsid w:val="1DB567EC"/>
    <w:rsid w:val="1DE859FC"/>
    <w:rsid w:val="1DF51A98"/>
    <w:rsid w:val="1E3D060F"/>
    <w:rsid w:val="1E3F7D2E"/>
    <w:rsid w:val="1E4134E4"/>
    <w:rsid w:val="1E4F5A7B"/>
    <w:rsid w:val="1E5062B3"/>
    <w:rsid w:val="1E523514"/>
    <w:rsid w:val="1E714A66"/>
    <w:rsid w:val="1E802593"/>
    <w:rsid w:val="1E8B6156"/>
    <w:rsid w:val="1EA703CC"/>
    <w:rsid w:val="1EB7330C"/>
    <w:rsid w:val="1EFA1543"/>
    <w:rsid w:val="1F0A0FF3"/>
    <w:rsid w:val="1F5771FF"/>
    <w:rsid w:val="1F8359DC"/>
    <w:rsid w:val="1FE868A9"/>
    <w:rsid w:val="20034907"/>
    <w:rsid w:val="20043C4E"/>
    <w:rsid w:val="20173E4B"/>
    <w:rsid w:val="203569E5"/>
    <w:rsid w:val="204E48BC"/>
    <w:rsid w:val="208921B3"/>
    <w:rsid w:val="20973DEB"/>
    <w:rsid w:val="20A43E5C"/>
    <w:rsid w:val="20B26522"/>
    <w:rsid w:val="20B44310"/>
    <w:rsid w:val="211116EB"/>
    <w:rsid w:val="216133FC"/>
    <w:rsid w:val="219263AA"/>
    <w:rsid w:val="21D56769"/>
    <w:rsid w:val="21E52EF3"/>
    <w:rsid w:val="21EA1D42"/>
    <w:rsid w:val="21F20BF7"/>
    <w:rsid w:val="21FB5D7B"/>
    <w:rsid w:val="22015E94"/>
    <w:rsid w:val="220B1C3D"/>
    <w:rsid w:val="22160D89"/>
    <w:rsid w:val="221D1D20"/>
    <w:rsid w:val="22334A87"/>
    <w:rsid w:val="22865B55"/>
    <w:rsid w:val="22BE6801"/>
    <w:rsid w:val="230839BF"/>
    <w:rsid w:val="231352C9"/>
    <w:rsid w:val="233500BF"/>
    <w:rsid w:val="23377FF7"/>
    <w:rsid w:val="235F050E"/>
    <w:rsid w:val="236B425F"/>
    <w:rsid w:val="23836192"/>
    <w:rsid w:val="23901F29"/>
    <w:rsid w:val="239A1546"/>
    <w:rsid w:val="239C0061"/>
    <w:rsid w:val="23A428F6"/>
    <w:rsid w:val="23A6613D"/>
    <w:rsid w:val="23B908A4"/>
    <w:rsid w:val="23E95BEF"/>
    <w:rsid w:val="23FD0064"/>
    <w:rsid w:val="244B2840"/>
    <w:rsid w:val="245375B0"/>
    <w:rsid w:val="24642C0A"/>
    <w:rsid w:val="24651B54"/>
    <w:rsid w:val="24B22173"/>
    <w:rsid w:val="24B95AD9"/>
    <w:rsid w:val="24BE24DA"/>
    <w:rsid w:val="24CF5825"/>
    <w:rsid w:val="24D663E6"/>
    <w:rsid w:val="24D77F2B"/>
    <w:rsid w:val="24F7553D"/>
    <w:rsid w:val="2504136D"/>
    <w:rsid w:val="250A0F40"/>
    <w:rsid w:val="257B7155"/>
    <w:rsid w:val="258B00E2"/>
    <w:rsid w:val="2590546A"/>
    <w:rsid w:val="259A2FA4"/>
    <w:rsid w:val="25A917A6"/>
    <w:rsid w:val="25BE27CC"/>
    <w:rsid w:val="25D6438C"/>
    <w:rsid w:val="25F74A5C"/>
    <w:rsid w:val="26103D41"/>
    <w:rsid w:val="2628662C"/>
    <w:rsid w:val="262D45DE"/>
    <w:rsid w:val="26871DC8"/>
    <w:rsid w:val="26895732"/>
    <w:rsid w:val="26A53EF9"/>
    <w:rsid w:val="26A94201"/>
    <w:rsid w:val="26AC17C8"/>
    <w:rsid w:val="26AC274F"/>
    <w:rsid w:val="26D46D21"/>
    <w:rsid w:val="26F61189"/>
    <w:rsid w:val="27044A29"/>
    <w:rsid w:val="271D34C8"/>
    <w:rsid w:val="276142BF"/>
    <w:rsid w:val="27783712"/>
    <w:rsid w:val="27907362"/>
    <w:rsid w:val="27B34984"/>
    <w:rsid w:val="27D53907"/>
    <w:rsid w:val="28333E1D"/>
    <w:rsid w:val="28454BD6"/>
    <w:rsid w:val="28455253"/>
    <w:rsid w:val="28551971"/>
    <w:rsid w:val="285B1C53"/>
    <w:rsid w:val="289F7086"/>
    <w:rsid w:val="28C32028"/>
    <w:rsid w:val="28C57065"/>
    <w:rsid w:val="28CC490F"/>
    <w:rsid w:val="28DE40AA"/>
    <w:rsid w:val="29345E77"/>
    <w:rsid w:val="294C65AD"/>
    <w:rsid w:val="294E18B8"/>
    <w:rsid w:val="29806583"/>
    <w:rsid w:val="298B3C4C"/>
    <w:rsid w:val="29F26D24"/>
    <w:rsid w:val="2A15033F"/>
    <w:rsid w:val="2A1662C1"/>
    <w:rsid w:val="2A1C7367"/>
    <w:rsid w:val="2A2815FA"/>
    <w:rsid w:val="2A6D6092"/>
    <w:rsid w:val="2A7D76B4"/>
    <w:rsid w:val="2AFC18FB"/>
    <w:rsid w:val="2B136DE4"/>
    <w:rsid w:val="2B230073"/>
    <w:rsid w:val="2B437463"/>
    <w:rsid w:val="2B7807EE"/>
    <w:rsid w:val="2BA50BF7"/>
    <w:rsid w:val="2BBF00EC"/>
    <w:rsid w:val="2BC37CFD"/>
    <w:rsid w:val="2BCC7832"/>
    <w:rsid w:val="2BD5237F"/>
    <w:rsid w:val="2BE536CE"/>
    <w:rsid w:val="2BE758D9"/>
    <w:rsid w:val="2C09049E"/>
    <w:rsid w:val="2C0A653C"/>
    <w:rsid w:val="2C191F85"/>
    <w:rsid w:val="2C4E2ECE"/>
    <w:rsid w:val="2CE82D6F"/>
    <w:rsid w:val="2D343236"/>
    <w:rsid w:val="2DA059AB"/>
    <w:rsid w:val="2DC4010B"/>
    <w:rsid w:val="2DD15014"/>
    <w:rsid w:val="2DF72DE4"/>
    <w:rsid w:val="2E0220AF"/>
    <w:rsid w:val="2E4722CA"/>
    <w:rsid w:val="2E4B082A"/>
    <w:rsid w:val="2E5073D1"/>
    <w:rsid w:val="2E5D4E86"/>
    <w:rsid w:val="2E5D790B"/>
    <w:rsid w:val="2E9A3C18"/>
    <w:rsid w:val="2EBB0FEE"/>
    <w:rsid w:val="2EC63002"/>
    <w:rsid w:val="2ED207A7"/>
    <w:rsid w:val="2EEC60E9"/>
    <w:rsid w:val="2F0A6B38"/>
    <w:rsid w:val="2F1E7104"/>
    <w:rsid w:val="2F35143F"/>
    <w:rsid w:val="2F946CCB"/>
    <w:rsid w:val="2FD25781"/>
    <w:rsid w:val="2FDC745C"/>
    <w:rsid w:val="2FFD7934"/>
    <w:rsid w:val="301663F8"/>
    <w:rsid w:val="30733ACD"/>
    <w:rsid w:val="308C3862"/>
    <w:rsid w:val="309379D8"/>
    <w:rsid w:val="30A270F7"/>
    <w:rsid w:val="30B1045F"/>
    <w:rsid w:val="30DF1478"/>
    <w:rsid w:val="30EC586F"/>
    <w:rsid w:val="313A7EC4"/>
    <w:rsid w:val="313E5C07"/>
    <w:rsid w:val="3163566D"/>
    <w:rsid w:val="319C6071"/>
    <w:rsid w:val="31AC537E"/>
    <w:rsid w:val="31E3679B"/>
    <w:rsid w:val="31E732FD"/>
    <w:rsid w:val="32005FF7"/>
    <w:rsid w:val="32517576"/>
    <w:rsid w:val="32BE5C2C"/>
    <w:rsid w:val="32C20320"/>
    <w:rsid w:val="32FB6478"/>
    <w:rsid w:val="330469DC"/>
    <w:rsid w:val="33244988"/>
    <w:rsid w:val="33263B3F"/>
    <w:rsid w:val="336963EB"/>
    <w:rsid w:val="33816EEB"/>
    <w:rsid w:val="33EB55CD"/>
    <w:rsid w:val="33EC4C02"/>
    <w:rsid w:val="33ED7C6A"/>
    <w:rsid w:val="33F407FF"/>
    <w:rsid w:val="34067995"/>
    <w:rsid w:val="340D2360"/>
    <w:rsid w:val="3410665D"/>
    <w:rsid w:val="34211214"/>
    <w:rsid w:val="342E63AB"/>
    <w:rsid w:val="34950E68"/>
    <w:rsid w:val="34986E94"/>
    <w:rsid w:val="34A73DB6"/>
    <w:rsid w:val="34AF62C9"/>
    <w:rsid w:val="34CB4388"/>
    <w:rsid w:val="34E36AF3"/>
    <w:rsid w:val="34FA2249"/>
    <w:rsid w:val="34FA6E12"/>
    <w:rsid w:val="354D7158"/>
    <w:rsid w:val="355754E9"/>
    <w:rsid w:val="358D5588"/>
    <w:rsid w:val="35B13238"/>
    <w:rsid w:val="35E126EA"/>
    <w:rsid w:val="363A3B40"/>
    <w:rsid w:val="364315C9"/>
    <w:rsid w:val="364D41F6"/>
    <w:rsid w:val="365302AE"/>
    <w:rsid w:val="36607A0A"/>
    <w:rsid w:val="366E227C"/>
    <w:rsid w:val="366F0610"/>
    <w:rsid w:val="366F2E0D"/>
    <w:rsid w:val="367B6A5C"/>
    <w:rsid w:val="36A74ADA"/>
    <w:rsid w:val="36AD60D5"/>
    <w:rsid w:val="36B224F9"/>
    <w:rsid w:val="36EC0CC9"/>
    <w:rsid w:val="36F154C9"/>
    <w:rsid w:val="370A53BF"/>
    <w:rsid w:val="373F410B"/>
    <w:rsid w:val="37EE7094"/>
    <w:rsid w:val="38296C89"/>
    <w:rsid w:val="383002EB"/>
    <w:rsid w:val="38586797"/>
    <w:rsid w:val="389F5D01"/>
    <w:rsid w:val="38BC0149"/>
    <w:rsid w:val="38D87D1C"/>
    <w:rsid w:val="39636459"/>
    <w:rsid w:val="396B7F6C"/>
    <w:rsid w:val="39B417A9"/>
    <w:rsid w:val="39FC5695"/>
    <w:rsid w:val="3A006D8E"/>
    <w:rsid w:val="3A3651E5"/>
    <w:rsid w:val="3A6D30B9"/>
    <w:rsid w:val="3A744481"/>
    <w:rsid w:val="3A790053"/>
    <w:rsid w:val="3A8C7BEF"/>
    <w:rsid w:val="3A906246"/>
    <w:rsid w:val="3AA0458A"/>
    <w:rsid w:val="3AA27206"/>
    <w:rsid w:val="3AFD4416"/>
    <w:rsid w:val="3B2349B7"/>
    <w:rsid w:val="3B616CFF"/>
    <w:rsid w:val="3B6259F6"/>
    <w:rsid w:val="3B976654"/>
    <w:rsid w:val="3BAC325C"/>
    <w:rsid w:val="3BC01EFC"/>
    <w:rsid w:val="3BCA786A"/>
    <w:rsid w:val="3BD31E2F"/>
    <w:rsid w:val="3BF15831"/>
    <w:rsid w:val="3C105946"/>
    <w:rsid w:val="3C471448"/>
    <w:rsid w:val="3C5F759A"/>
    <w:rsid w:val="3C6C525A"/>
    <w:rsid w:val="3C722C08"/>
    <w:rsid w:val="3C7D7048"/>
    <w:rsid w:val="3CCE23CB"/>
    <w:rsid w:val="3CD17D17"/>
    <w:rsid w:val="3CEF744E"/>
    <w:rsid w:val="3CFC0724"/>
    <w:rsid w:val="3D2E2FD3"/>
    <w:rsid w:val="3D3C7F39"/>
    <w:rsid w:val="3D440F09"/>
    <w:rsid w:val="3D4504A0"/>
    <w:rsid w:val="3D4F2F4A"/>
    <w:rsid w:val="3D840E45"/>
    <w:rsid w:val="3D8734BB"/>
    <w:rsid w:val="3D9A11D4"/>
    <w:rsid w:val="3DA16D89"/>
    <w:rsid w:val="3DA364BE"/>
    <w:rsid w:val="3DCD0108"/>
    <w:rsid w:val="3DCE77D3"/>
    <w:rsid w:val="3DE041CB"/>
    <w:rsid w:val="3E0D48F6"/>
    <w:rsid w:val="3E1868B4"/>
    <w:rsid w:val="3E377251"/>
    <w:rsid w:val="3E42664B"/>
    <w:rsid w:val="3E5A7334"/>
    <w:rsid w:val="3E656CC4"/>
    <w:rsid w:val="3E7B5D6B"/>
    <w:rsid w:val="3E843E66"/>
    <w:rsid w:val="3E897757"/>
    <w:rsid w:val="3E8F51FE"/>
    <w:rsid w:val="3E926F87"/>
    <w:rsid w:val="3E9A59DE"/>
    <w:rsid w:val="3EAF4836"/>
    <w:rsid w:val="3EC33DFA"/>
    <w:rsid w:val="3F060E16"/>
    <w:rsid w:val="3F1D1096"/>
    <w:rsid w:val="3F2F0234"/>
    <w:rsid w:val="3F544A6F"/>
    <w:rsid w:val="3F6363FE"/>
    <w:rsid w:val="3F756B8F"/>
    <w:rsid w:val="3F874C1D"/>
    <w:rsid w:val="3F95482B"/>
    <w:rsid w:val="3FEE070A"/>
    <w:rsid w:val="3FEE25A6"/>
    <w:rsid w:val="40062C35"/>
    <w:rsid w:val="4019356B"/>
    <w:rsid w:val="402C30CE"/>
    <w:rsid w:val="40592157"/>
    <w:rsid w:val="406E1CAE"/>
    <w:rsid w:val="406E36E7"/>
    <w:rsid w:val="40A0133A"/>
    <w:rsid w:val="40A573C0"/>
    <w:rsid w:val="40C31A53"/>
    <w:rsid w:val="40FF545D"/>
    <w:rsid w:val="410067C8"/>
    <w:rsid w:val="418F0D2A"/>
    <w:rsid w:val="41C84587"/>
    <w:rsid w:val="41D01505"/>
    <w:rsid w:val="41D91BFC"/>
    <w:rsid w:val="41F145CF"/>
    <w:rsid w:val="42156510"/>
    <w:rsid w:val="421D1269"/>
    <w:rsid w:val="42474939"/>
    <w:rsid w:val="424C3C57"/>
    <w:rsid w:val="424C5CAA"/>
    <w:rsid w:val="42613FF3"/>
    <w:rsid w:val="42660D96"/>
    <w:rsid w:val="428667D2"/>
    <w:rsid w:val="42A31D6D"/>
    <w:rsid w:val="42CB1624"/>
    <w:rsid w:val="42CD1CE0"/>
    <w:rsid w:val="42E1381E"/>
    <w:rsid w:val="42ED6459"/>
    <w:rsid w:val="42FE58DD"/>
    <w:rsid w:val="43174B3D"/>
    <w:rsid w:val="434B790E"/>
    <w:rsid w:val="4360274F"/>
    <w:rsid w:val="43977AB6"/>
    <w:rsid w:val="43A3342B"/>
    <w:rsid w:val="43AA4E0A"/>
    <w:rsid w:val="43AB6CB9"/>
    <w:rsid w:val="43BB6C43"/>
    <w:rsid w:val="43BB7233"/>
    <w:rsid w:val="43BD26D0"/>
    <w:rsid w:val="43C77C27"/>
    <w:rsid w:val="43DE09EE"/>
    <w:rsid w:val="44002FAD"/>
    <w:rsid w:val="443A04B0"/>
    <w:rsid w:val="44483A79"/>
    <w:rsid w:val="4468609E"/>
    <w:rsid w:val="449101DD"/>
    <w:rsid w:val="44951059"/>
    <w:rsid w:val="44A75472"/>
    <w:rsid w:val="44A8366B"/>
    <w:rsid w:val="44DE1391"/>
    <w:rsid w:val="451B225C"/>
    <w:rsid w:val="452410C9"/>
    <w:rsid w:val="45317DFB"/>
    <w:rsid w:val="456D3CE4"/>
    <w:rsid w:val="4579042C"/>
    <w:rsid w:val="457F0571"/>
    <w:rsid w:val="45851176"/>
    <w:rsid w:val="459270D1"/>
    <w:rsid w:val="45A7403E"/>
    <w:rsid w:val="45B222C8"/>
    <w:rsid w:val="45C63B94"/>
    <w:rsid w:val="45FE0A6E"/>
    <w:rsid w:val="460E7DA5"/>
    <w:rsid w:val="463D33EA"/>
    <w:rsid w:val="46422483"/>
    <w:rsid w:val="4644553B"/>
    <w:rsid w:val="4659254A"/>
    <w:rsid w:val="465B0637"/>
    <w:rsid w:val="465E3F0D"/>
    <w:rsid w:val="466A16E6"/>
    <w:rsid w:val="46893F2B"/>
    <w:rsid w:val="46C4686E"/>
    <w:rsid w:val="46FB0DCB"/>
    <w:rsid w:val="47394A4E"/>
    <w:rsid w:val="477B778F"/>
    <w:rsid w:val="477D2204"/>
    <w:rsid w:val="478203EC"/>
    <w:rsid w:val="47B025FA"/>
    <w:rsid w:val="47E61399"/>
    <w:rsid w:val="4809698F"/>
    <w:rsid w:val="4811697D"/>
    <w:rsid w:val="4816795D"/>
    <w:rsid w:val="486A0C38"/>
    <w:rsid w:val="487A3E25"/>
    <w:rsid w:val="488B5503"/>
    <w:rsid w:val="48937E21"/>
    <w:rsid w:val="489A0361"/>
    <w:rsid w:val="48B94FF3"/>
    <w:rsid w:val="48E37AAB"/>
    <w:rsid w:val="48E75E5B"/>
    <w:rsid w:val="48FD4B4C"/>
    <w:rsid w:val="490A68E0"/>
    <w:rsid w:val="491055FE"/>
    <w:rsid w:val="493127F1"/>
    <w:rsid w:val="495F5B3E"/>
    <w:rsid w:val="496F77D7"/>
    <w:rsid w:val="497654FD"/>
    <w:rsid w:val="49926698"/>
    <w:rsid w:val="49B64211"/>
    <w:rsid w:val="49F6167F"/>
    <w:rsid w:val="4A064FA0"/>
    <w:rsid w:val="4A16615C"/>
    <w:rsid w:val="4A4424D7"/>
    <w:rsid w:val="4A6B479B"/>
    <w:rsid w:val="4AB82D0F"/>
    <w:rsid w:val="4AEB7664"/>
    <w:rsid w:val="4AF869CF"/>
    <w:rsid w:val="4AFD7C19"/>
    <w:rsid w:val="4B0567D1"/>
    <w:rsid w:val="4B236AAE"/>
    <w:rsid w:val="4B4B5880"/>
    <w:rsid w:val="4B50680B"/>
    <w:rsid w:val="4B707271"/>
    <w:rsid w:val="4B9739F7"/>
    <w:rsid w:val="4BC92119"/>
    <w:rsid w:val="4BEE2503"/>
    <w:rsid w:val="4BF921FD"/>
    <w:rsid w:val="4C043757"/>
    <w:rsid w:val="4C245A30"/>
    <w:rsid w:val="4CB6685F"/>
    <w:rsid w:val="4CC367FE"/>
    <w:rsid w:val="4CC96874"/>
    <w:rsid w:val="4CDB65A8"/>
    <w:rsid w:val="4CE70AA9"/>
    <w:rsid w:val="4D077F3C"/>
    <w:rsid w:val="4D123355"/>
    <w:rsid w:val="4D151ABA"/>
    <w:rsid w:val="4D2A3B31"/>
    <w:rsid w:val="4D312C52"/>
    <w:rsid w:val="4D834173"/>
    <w:rsid w:val="4D902EEE"/>
    <w:rsid w:val="4D905305"/>
    <w:rsid w:val="4D964A72"/>
    <w:rsid w:val="4D9C1254"/>
    <w:rsid w:val="4DB017E2"/>
    <w:rsid w:val="4DF0398D"/>
    <w:rsid w:val="4E2B70BB"/>
    <w:rsid w:val="4E402B66"/>
    <w:rsid w:val="4E793892"/>
    <w:rsid w:val="4E800872"/>
    <w:rsid w:val="4EC569ED"/>
    <w:rsid w:val="4ED50EA1"/>
    <w:rsid w:val="4EEC050C"/>
    <w:rsid w:val="4EFD0A57"/>
    <w:rsid w:val="4F104EC3"/>
    <w:rsid w:val="4F47354A"/>
    <w:rsid w:val="4F911C54"/>
    <w:rsid w:val="4FB44282"/>
    <w:rsid w:val="4FD749A5"/>
    <w:rsid w:val="4FE625E0"/>
    <w:rsid w:val="5021480F"/>
    <w:rsid w:val="50281B04"/>
    <w:rsid w:val="50962ECB"/>
    <w:rsid w:val="50A42E38"/>
    <w:rsid w:val="50A4577F"/>
    <w:rsid w:val="50B73D1F"/>
    <w:rsid w:val="50BD5BC9"/>
    <w:rsid w:val="50C11EEE"/>
    <w:rsid w:val="50E97CFC"/>
    <w:rsid w:val="50FA4028"/>
    <w:rsid w:val="510D65B7"/>
    <w:rsid w:val="511157AB"/>
    <w:rsid w:val="5142540C"/>
    <w:rsid w:val="51523399"/>
    <w:rsid w:val="518832C8"/>
    <w:rsid w:val="519D3C50"/>
    <w:rsid w:val="51A0432A"/>
    <w:rsid w:val="51A86090"/>
    <w:rsid w:val="51B7396D"/>
    <w:rsid w:val="5201260D"/>
    <w:rsid w:val="522E4CC3"/>
    <w:rsid w:val="5244713B"/>
    <w:rsid w:val="525210BA"/>
    <w:rsid w:val="52615633"/>
    <w:rsid w:val="526F4DE4"/>
    <w:rsid w:val="52977FD4"/>
    <w:rsid w:val="52A25790"/>
    <w:rsid w:val="52A96B6F"/>
    <w:rsid w:val="52B45975"/>
    <w:rsid w:val="52D94AA4"/>
    <w:rsid w:val="52EA3A62"/>
    <w:rsid w:val="52F50BB8"/>
    <w:rsid w:val="53097272"/>
    <w:rsid w:val="532241A4"/>
    <w:rsid w:val="53544462"/>
    <w:rsid w:val="5391176E"/>
    <w:rsid w:val="5397158E"/>
    <w:rsid w:val="53BD4148"/>
    <w:rsid w:val="53DF2863"/>
    <w:rsid w:val="54013861"/>
    <w:rsid w:val="54487265"/>
    <w:rsid w:val="544D5C14"/>
    <w:rsid w:val="544D6070"/>
    <w:rsid w:val="54605E1E"/>
    <w:rsid w:val="546530F8"/>
    <w:rsid w:val="54B3506A"/>
    <w:rsid w:val="54CA0D16"/>
    <w:rsid w:val="54DD4057"/>
    <w:rsid w:val="54E7490F"/>
    <w:rsid w:val="54F052D6"/>
    <w:rsid w:val="54F2448F"/>
    <w:rsid w:val="550764A4"/>
    <w:rsid w:val="550B2BF6"/>
    <w:rsid w:val="55165446"/>
    <w:rsid w:val="55214EB5"/>
    <w:rsid w:val="55364EFD"/>
    <w:rsid w:val="5539595E"/>
    <w:rsid w:val="555D4828"/>
    <w:rsid w:val="557A4C8B"/>
    <w:rsid w:val="558931E1"/>
    <w:rsid w:val="55923347"/>
    <w:rsid w:val="55925180"/>
    <w:rsid w:val="55964C2C"/>
    <w:rsid w:val="55983B1B"/>
    <w:rsid w:val="559D089E"/>
    <w:rsid w:val="55A8376B"/>
    <w:rsid w:val="55A90914"/>
    <w:rsid w:val="55D103E8"/>
    <w:rsid w:val="55D77427"/>
    <w:rsid w:val="55DA73FC"/>
    <w:rsid w:val="55DC29B6"/>
    <w:rsid w:val="55DD4241"/>
    <w:rsid w:val="55E53FF3"/>
    <w:rsid w:val="56334D5F"/>
    <w:rsid w:val="564568B3"/>
    <w:rsid w:val="56660C90"/>
    <w:rsid w:val="566B6D1E"/>
    <w:rsid w:val="57030BD5"/>
    <w:rsid w:val="57032A2C"/>
    <w:rsid w:val="570F5219"/>
    <w:rsid w:val="572B1EDA"/>
    <w:rsid w:val="5759442D"/>
    <w:rsid w:val="575D12B5"/>
    <w:rsid w:val="57610A87"/>
    <w:rsid w:val="57694AAA"/>
    <w:rsid w:val="577B1140"/>
    <w:rsid w:val="577B7F21"/>
    <w:rsid w:val="577F181B"/>
    <w:rsid w:val="57921984"/>
    <w:rsid w:val="579737F0"/>
    <w:rsid w:val="57AB7B30"/>
    <w:rsid w:val="57AF5251"/>
    <w:rsid w:val="57B26373"/>
    <w:rsid w:val="57B63F04"/>
    <w:rsid w:val="57C55E8A"/>
    <w:rsid w:val="57CD20C2"/>
    <w:rsid w:val="57CF11A9"/>
    <w:rsid w:val="57D63BF4"/>
    <w:rsid w:val="57D675AB"/>
    <w:rsid w:val="57D95FDD"/>
    <w:rsid w:val="58917D2F"/>
    <w:rsid w:val="5894085C"/>
    <w:rsid w:val="58AE4F0C"/>
    <w:rsid w:val="58B85899"/>
    <w:rsid w:val="58BF28DA"/>
    <w:rsid w:val="58E363A9"/>
    <w:rsid w:val="591E4255"/>
    <w:rsid w:val="59597EB4"/>
    <w:rsid w:val="595C281E"/>
    <w:rsid w:val="595E1678"/>
    <w:rsid w:val="596D5BD4"/>
    <w:rsid w:val="597E3DD8"/>
    <w:rsid w:val="59E20F76"/>
    <w:rsid w:val="59F80043"/>
    <w:rsid w:val="5A0511FD"/>
    <w:rsid w:val="5A09252F"/>
    <w:rsid w:val="5A0B2778"/>
    <w:rsid w:val="5A0C1B4F"/>
    <w:rsid w:val="5A2A7C7B"/>
    <w:rsid w:val="5A3E2560"/>
    <w:rsid w:val="5A4C63EF"/>
    <w:rsid w:val="5A5D3B6E"/>
    <w:rsid w:val="5A637A76"/>
    <w:rsid w:val="5A6D33BA"/>
    <w:rsid w:val="5A792B1F"/>
    <w:rsid w:val="5A874767"/>
    <w:rsid w:val="5AA85BE2"/>
    <w:rsid w:val="5AAD6F28"/>
    <w:rsid w:val="5AD63A24"/>
    <w:rsid w:val="5AE34FA5"/>
    <w:rsid w:val="5B0F62E2"/>
    <w:rsid w:val="5B2E1A1D"/>
    <w:rsid w:val="5B843A1C"/>
    <w:rsid w:val="5B873E3F"/>
    <w:rsid w:val="5C02690E"/>
    <w:rsid w:val="5C196DA7"/>
    <w:rsid w:val="5C2A048C"/>
    <w:rsid w:val="5C377CDD"/>
    <w:rsid w:val="5C80234E"/>
    <w:rsid w:val="5C8A680C"/>
    <w:rsid w:val="5CDC3583"/>
    <w:rsid w:val="5D0C3DA4"/>
    <w:rsid w:val="5D0C4701"/>
    <w:rsid w:val="5D0F0395"/>
    <w:rsid w:val="5D221076"/>
    <w:rsid w:val="5D397964"/>
    <w:rsid w:val="5D5A391C"/>
    <w:rsid w:val="5D5F10C0"/>
    <w:rsid w:val="5D891B7B"/>
    <w:rsid w:val="5DAD38EE"/>
    <w:rsid w:val="5DB744C7"/>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5466C"/>
    <w:rsid w:val="5FBC03D1"/>
    <w:rsid w:val="5FCC5339"/>
    <w:rsid w:val="5FE34A5B"/>
    <w:rsid w:val="5FFE1E36"/>
    <w:rsid w:val="60232584"/>
    <w:rsid w:val="60352257"/>
    <w:rsid w:val="60541A64"/>
    <w:rsid w:val="607330CE"/>
    <w:rsid w:val="60825176"/>
    <w:rsid w:val="609F2AC4"/>
    <w:rsid w:val="60B47680"/>
    <w:rsid w:val="60FA2EE8"/>
    <w:rsid w:val="61054A27"/>
    <w:rsid w:val="610A52BC"/>
    <w:rsid w:val="611D2366"/>
    <w:rsid w:val="61377DF9"/>
    <w:rsid w:val="61421856"/>
    <w:rsid w:val="615227C4"/>
    <w:rsid w:val="61654E3F"/>
    <w:rsid w:val="61734BA9"/>
    <w:rsid w:val="6182292A"/>
    <w:rsid w:val="618F633E"/>
    <w:rsid w:val="619F7F92"/>
    <w:rsid w:val="61F94C26"/>
    <w:rsid w:val="62000E56"/>
    <w:rsid w:val="624F3E49"/>
    <w:rsid w:val="62632286"/>
    <w:rsid w:val="62885958"/>
    <w:rsid w:val="62C51434"/>
    <w:rsid w:val="62F40B65"/>
    <w:rsid w:val="62FC2CFE"/>
    <w:rsid w:val="63024505"/>
    <w:rsid w:val="63316ACA"/>
    <w:rsid w:val="635600A5"/>
    <w:rsid w:val="635B1DB5"/>
    <w:rsid w:val="635E4687"/>
    <w:rsid w:val="63711FED"/>
    <w:rsid w:val="63880DDC"/>
    <w:rsid w:val="638D750D"/>
    <w:rsid w:val="63AC6CC0"/>
    <w:rsid w:val="64055776"/>
    <w:rsid w:val="64116020"/>
    <w:rsid w:val="64240056"/>
    <w:rsid w:val="643E143A"/>
    <w:rsid w:val="64491666"/>
    <w:rsid w:val="648B6EEF"/>
    <w:rsid w:val="64970BAF"/>
    <w:rsid w:val="64C158BF"/>
    <w:rsid w:val="64CE2EAA"/>
    <w:rsid w:val="64CF72D8"/>
    <w:rsid w:val="653C3090"/>
    <w:rsid w:val="655E1843"/>
    <w:rsid w:val="657131AE"/>
    <w:rsid w:val="65854376"/>
    <w:rsid w:val="658767BE"/>
    <w:rsid w:val="65892531"/>
    <w:rsid w:val="65D54D2C"/>
    <w:rsid w:val="66195831"/>
    <w:rsid w:val="662E75B1"/>
    <w:rsid w:val="66342C2E"/>
    <w:rsid w:val="663E784C"/>
    <w:rsid w:val="668B6A45"/>
    <w:rsid w:val="66AF3F8D"/>
    <w:rsid w:val="66B27F22"/>
    <w:rsid w:val="672F3F24"/>
    <w:rsid w:val="673B3DB6"/>
    <w:rsid w:val="673E055F"/>
    <w:rsid w:val="67551CE3"/>
    <w:rsid w:val="67927140"/>
    <w:rsid w:val="67A22552"/>
    <w:rsid w:val="67B22DCC"/>
    <w:rsid w:val="67BE71AA"/>
    <w:rsid w:val="67D90273"/>
    <w:rsid w:val="67DE5875"/>
    <w:rsid w:val="67E55852"/>
    <w:rsid w:val="67EB1AB4"/>
    <w:rsid w:val="67F26828"/>
    <w:rsid w:val="67FA1285"/>
    <w:rsid w:val="68551F4F"/>
    <w:rsid w:val="687C10C9"/>
    <w:rsid w:val="68840C16"/>
    <w:rsid w:val="688411BE"/>
    <w:rsid w:val="68876EFB"/>
    <w:rsid w:val="68884654"/>
    <w:rsid w:val="689F444F"/>
    <w:rsid w:val="68A07B3D"/>
    <w:rsid w:val="68B96DBB"/>
    <w:rsid w:val="68C06926"/>
    <w:rsid w:val="68CA2805"/>
    <w:rsid w:val="68D423D1"/>
    <w:rsid w:val="68E937A3"/>
    <w:rsid w:val="69200ED4"/>
    <w:rsid w:val="693E15D3"/>
    <w:rsid w:val="69627681"/>
    <w:rsid w:val="69765236"/>
    <w:rsid w:val="6977531D"/>
    <w:rsid w:val="69B31FE7"/>
    <w:rsid w:val="69CC2BFF"/>
    <w:rsid w:val="69DB7B45"/>
    <w:rsid w:val="69FD55B8"/>
    <w:rsid w:val="6A0B1C62"/>
    <w:rsid w:val="6A2406C8"/>
    <w:rsid w:val="6ADE0BD1"/>
    <w:rsid w:val="6AE96859"/>
    <w:rsid w:val="6B147746"/>
    <w:rsid w:val="6B24787C"/>
    <w:rsid w:val="6B573233"/>
    <w:rsid w:val="6B5B6274"/>
    <w:rsid w:val="6B6712DB"/>
    <w:rsid w:val="6B935D53"/>
    <w:rsid w:val="6BBD07A7"/>
    <w:rsid w:val="6BC93D43"/>
    <w:rsid w:val="6BD54931"/>
    <w:rsid w:val="6C042FCD"/>
    <w:rsid w:val="6C196F71"/>
    <w:rsid w:val="6C226FCB"/>
    <w:rsid w:val="6C31226F"/>
    <w:rsid w:val="6C552F0B"/>
    <w:rsid w:val="6C8859AD"/>
    <w:rsid w:val="6C8C67B7"/>
    <w:rsid w:val="6C9D744C"/>
    <w:rsid w:val="6CD56718"/>
    <w:rsid w:val="6D003795"/>
    <w:rsid w:val="6D167928"/>
    <w:rsid w:val="6D26299B"/>
    <w:rsid w:val="6D4772EC"/>
    <w:rsid w:val="6D6A3591"/>
    <w:rsid w:val="6D9078AF"/>
    <w:rsid w:val="6DAA3FEF"/>
    <w:rsid w:val="6DC0172B"/>
    <w:rsid w:val="6DCB690C"/>
    <w:rsid w:val="6DD41A5B"/>
    <w:rsid w:val="6DF43C2E"/>
    <w:rsid w:val="6DF51CA3"/>
    <w:rsid w:val="6E46399B"/>
    <w:rsid w:val="6E8335BD"/>
    <w:rsid w:val="6E855B2D"/>
    <w:rsid w:val="6E8E12EF"/>
    <w:rsid w:val="6E972936"/>
    <w:rsid w:val="6E98549C"/>
    <w:rsid w:val="6EBC7B8F"/>
    <w:rsid w:val="6EC95E08"/>
    <w:rsid w:val="6ED446C5"/>
    <w:rsid w:val="6EF727C3"/>
    <w:rsid w:val="6F17078D"/>
    <w:rsid w:val="6F2A7D94"/>
    <w:rsid w:val="6F6F69B0"/>
    <w:rsid w:val="6F7A7BBB"/>
    <w:rsid w:val="6F8331F1"/>
    <w:rsid w:val="6FAE1A09"/>
    <w:rsid w:val="6FD75BF8"/>
    <w:rsid w:val="700F3CEF"/>
    <w:rsid w:val="704B59CD"/>
    <w:rsid w:val="705B6F34"/>
    <w:rsid w:val="707723D0"/>
    <w:rsid w:val="70F5661B"/>
    <w:rsid w:val="71360107"/>
    <w:rsid w:val="713B688E"/>
    <w:rsid w:val="71D43752"/>
    <w:rsid w:val="71F1796A"/>
    <w:rsid w:val="7205184D"/>
    <w:rsid w:val="72152D09"/>
    <w:rsid w:val="72154626"/>
    <w:rsid w:val="72262B5D"/>
    <w:rsid w:val="72283FF7"/>
    <w:rsid w:val="722E7212"/>
    <w:rsid w:val="723A0474"/>
    <w:rsid w:val="725923E4"/>
    <w:rsid w:val="72864BF7"/>
    <w:rsid w:val="729023FC"/>
    <w:rsid w:val="733C129F"/>
    <w:rsid w:val="73C0646E"/>
    <w:rsid w:val="742222F5"/>
    <w:rsid w:val="74365CEE"/>
    <w:rsid w:val="74476126"/>
    <w:rsid w:val="74706664"/>
    <w:rsid w:val="747F3682"/>
    <w:rsid w:val="749C4185"/>
    <w:rsid w:val="74E3562D"/>
    <w:rsid w:val="75067759"/>
    <w:rsid w:val="752E6DCD"/>
    <w:rsid w:val="7551380D"/>
    <w:rsid w:val="75600BE5"/>
    <w:rsid w:val="75614083"/>
    <w:rsid w:val="7564475C"/>
    <w:rsid w:val="7583797F"/>
    <w:rsid w:val="75D20F1D"/>
    <w:rsid w:val="75DA2C18"/>
    <w:rsid w:val="75F54412"/>
    <w:rsid w:val="761D08E0"/>
    <w:rsid w:val="765D347C"/>
    <w:rsid w:val="76826699"/>
    <w:rsid w:val="76C87133"/>
    <w:rsid w:val="76CD08D5"/>
    <w:rsid w:val="76DB4B92"/>
    <w:rsid w:val="76DD4B47"/>
    <w:rsid w:val="77052AA4"/>
    <w:rsid w:val="77136511"/>
    <w:rsid w:val="77340A39"/>
    <w:rsid w:val="77351FD0"/>
    <w:rsid w:val="77472422"/>
    <w:rsid w:val="777F31F2"/>
    <w:rsid w:val="77D1700D"/>
    <w:rsid w:val="77E73A45"/>
    <w:rsid w:val="77EC04CC"/>
    <w:rsid w:val="781E5417"/>
    <w:rsid w:val="784B5AE0"/>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93A46"/>
    <w:rsid w:val="79FD443C"/>
    <w:rsid w:val="79FE77C9"/>
    <w:rsid w:val="7A1D1975"/>
    <w:rsid w:val="7A371DC9"/>
    <w:rsid w:val="7A3E5150"/>
    <w:rsid w:val="7A4670D6"/>
    <w:rsid w:val="7A474D78"/>
    <w:rsid w:val="7A534B63"/>
    <w:rsid w:val="7A615382"/>
    <w:rsid w:val="7A67303B"/>
    <w:rsid w:val="7AAB1D04"/>
    <w:rsid w:val="7AB97178"/>
    <w:rsid w:val="7ABA4368"/>
    <w:rsid w:val="7AC760FE"/>
    <w:rsid w:val="7AD05746"/>
    <w:rsid w:val="7B257FFD"/>
    <w:rsid w:val="7B343476"/>
    <w:rsid w:val="7B430CF1"/>
    <w:rsid w:val="7B5A2978"/>
    <w:rsid w:val="7B5A7E4C"/>
    <w:rsid w:val="7B667AF9"/>
    <w:rsid w:val="7B7468F8"/>
    <w:rsid w:val="7BA12E61"/>
    <w:rsid w:val="7BCA64C6"/>
    <w:rsid w:val="7BD52290"/>
    <w:rsid w:val="7BEE0103"/>
    <w:rsid w:val="7BFD06E8"/>
    <w:rsid w:val="7C0A0FE4"/>
    <w:rsid w:val="7C254906"/>
    <w:rsid w:val="7C590818"/>
    <w:rsid w:val="7C6B49A3"/>
    <w:rsid w:val="7C7C10F6"/>
    <w:rsid w:val="7C853BEA"/>
    <w:rsid w:val="7C881368"/>
    <w:rsid w:val="7C8850FE"/>
    <w:rsid w:val="7C947A56"/>
    <w:rsid w:val="7CE27788"/>
    <w:rsid w:val="7CF36694"/>
    <w:rsid w:val="7D0C09DB"/>
    <w:rsid w:val="7D0C32F1"/>
    <w:rsid w:val="7D0F408D"/>
    <w:rsid w:val="7D491C6C"/>
    <w:rsid w:val="7D5429C0"/>
    <w:rsid w:val="7D6E6D43"/>
    <w:rsid w:val="7DB57A34"/>
    <w:rsid w:val="7DE60973"/>
    <w:rsid w:val="7DEF0916"/>
    <w:rsid w:val="7E1E5218"/>
    <w:rsid w:val="7E9A4E1F"/>
    <w:rsid w:val="7E9F4DA4"/>
    <w:rsid w:val="7EA7723A"/>
    <w:rsid w:val="7EF56FBB"/>
    <w:rsid w:val="7F0768EB"/>
    <w:rsid w:val="7F143BEC"/>
    <w:rsid w:val="7F650687"/>
    <w:rsid w:val="7F715AF2"/>
    <w:rsid w:val="7F741DC0"/>
    <w:rsid w:val="7F886E69"/>
    <w:rsid w:val="7FA2248A"/>
    <w:rsid w:val="7FF5188E"/>
    <w:rsid w:val="BB7FA927"/>
    <w:rsid w:val="BBBFF37D"/>
    <w:rsid w:val="E5EFD70A"/>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Intense Quote"/>
    <w:basedOn w:val="1"/>
    <w:next w:val="1"/>
    <w:qFormat/>
    <w:uiPriority w:val="30"/>
    <w:pPr>
      <w:pBdr>
        <w:top w:val="single" w:color="4472C4" w:sz="4" w:space="10"/>
        <w:bottom w:val="single" w:color="4472C4" w:sz="4" w:space="10"/>
      </w:pBdr>
      <w:spacing w:before="360" w:after="360"/>
      <w:ind w:left="864" w:right="864"/>
      <w:jc w:val="center"/>
    </w:pPr>
    <w:rPr>
      <w:i/>
      <w:iCs/>
      <w:color w:val="4472C4"/>
    </w:rPr>
  </w:style>
  <w:style w:type="paragraph" w:styleId="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qFormat/>
    <w:uiPriority w:val="0"/>
    <w:rPr>
      <w:b/>
      <w:bCs/>
    </w:rPr>
  </w:style>
  <w:style w:type="paragraph" w:styleId="62">
    <w:name w:val="Body Text First Indent"/>
    <w:basedOn w:val="25"/>
    <w:link w:val="321"/>
    <w:qFormat/>
    <w:uiPriority w:val="0"/>
    <w:pPr>
      <w:ind w:firstLine="420"/>
    </w:pPr>
    <w:rPr>
      <w:rFonts w:hAnsi="Calibri" w:cs="Times New Roman"/>
      <w:snapToGrid/>
      <w:szCs w:val="20"/>
    </w:rPr>
  </w:style>
  <w:style w:type="paragraph" w:styleId="63">
    <w:name w:val="Body Text First Indent 2"/>
    <w:basedOn w:val="26"/>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1"/>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
    <w:next w:val="2"/>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
    <w:next w:val="2"/>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8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正文空2字"/>
    <w:basedOn w:val="96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7">
    <w:name w:val="左对齐正文"/>
    <w:qFormat/>
    <w:uiPriority w:val="99"/>
    <w:rPr>
      <w:rFonts w:ascii="Calibri" w:hAnsi="Calibri" w:eastAsia="仿宋_GB2312" w:cs="Calibri"/>
      <w:kern w:val="2"/>
      <w:sz w:val="32"/>
      <w:szCs w:val="32"/>
      <w:lang w:val="en-US" w:eastAsia="zh-CN" w:bidi="ar-SA"/>
    </w:rPr>
  </w:style>
  <w:style w:type="paragraph" w:customStyle="1" w:styleId="968">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NUL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3028</Words>
  <Characters>3618</Characters>
  <Lines>339</Lines>
  <Paragraphs>95</Paragraphs>
  <TotalTime>22</TotalTime>
  <ScaleCrop>false</ScaleCrop>
  <LinksUpToDate>false</LinksUpToDate>
  <CharactersWithSpaces>3871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SXC</cp:lastModifiedBy>
  <cp:lastPrinted>2021-12-27T19:06:00Z</cp:lastPrinted>
  <dcterms:modified xsi:type="dcterms:W3CDTF">2025-07-04T07:23:29Z</dcterms:modified>
  <dc:title>杭州市市民卡扩大发卡工程</dc:title>
  <cp:revision>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eyJoZGlkIjoiNGZjN2EyNWYxYzcxZDNhNGY0ZjA1Nzg2NTkyNmZlNmUiLCJ1c2VySWQiOiI2OTE2Mzc0MjUifQ==</vt:lpwstr>
  </property>
</Properties>
</file>