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24"/>
          <w:highlight w:val="none"/>
        </w:rPr>
      </w:pPr>
      <w:bookmarkStart w:id="406" w:name="_GoBack"/>
      <w:bookmarkEnd w:id="406"/>
    </w:p>
    <w:p>
      <w:pPr>
        <w:spacing w:line="360" w:lineRule="auto"/>
        <w:jc w:val="center"/>
        <w:rPr>
          <w:rFonts w:ascii="仿宋" w:hAnsi="仿宋" w:eastAsia="仿宋" w:cs="宋体"/>
          <w:b/>
          <w:color w:val="auto"/>
          <w:sz w:val="24"/>
          <w:highlight w:val="none"/>
        </w:rPr>
      </w:pPr>
    </w:p>
    <w:p>
      <w:pPr>
        <w:adjustRightInd/>
        <w:spacing w:line="360" w:lineRule="auto"/>
        <w:jc w:val="center"/>
        <w:rPr>
          <w:rFonts w:ascii="仿宋" w:hAnsi="仿宋" w:eastAsia="仿宋" w:cs="宋体"/>
          <w:b/>
          <w:color w:val="auto"/>
          <w:sz w:val="48"/>
          <w:szCs w:val="48"/>
          <w:highlight w:val="none"/>
        </w:rPr>
      </w:pPr>
    </w:p>
    <w:p>
      <w:pPr>
        <w:adjustRightInd/>
        <w:spacing w:line="360" w:lineRule="auto"/>
        <w:jc w:val="center"/>
        <w:rPr>
          <w:rFonts w:hint="eastAsia" w:ascii="仿宋" w:hAnsi="仿宋" w:eastAsia="仿宋" w:cs="宋体"/>
          <w:color w:val="auto"/>
          <w:sz w:val="44"/>
          <w:szCs w:val="44"/>
          <w:highlight w:val="none"/>
          <w:lang w:eastAsia="zh-CN"/>
        </w:rPr>
      </w:pPr>
      <w:r>
        <w:rPr>
          <w:rFonts w:hint="eastAsia" w:ascii="仿宋" w:hAnsi="仿宋" w:eastAsia="仿宋" w:cs="宋体"/>
          <w:color w:val="auto"/>
          <w:sz w:val="44"/>
          <w:szCs w:val="44"/>
          <w:highlight w:val="none"/>
          <w:lang w:eastAsia="zh-CN"/>
        </w:rPr>
        <w:t>机动车驾驶员考试服务后勤经费-保安服务费</w:t>
      </w:r>
    </w:p>
    <w:p>
      <w:pPr>
        <w:adjustRightInd/>
        <w:spacing w:line="360" w:lineRule="auto"/>
        <w:jc w:val="center"/>
        <w:rPr>
          <w:rFonts w:ascii="仿宋" w:hAnsi="仿宋" w:eastAsia="仿宋" w:cs="宋体"/>
          <w:color w:val="auto"/>
          <w:sz w:val="48"/>
          <w:szCs w:val="48"/>
          <w:highlight w:val="none"/>
        </w:rPr>
      </w:pPr>
    </w:p>
    <w:p>
      <w:pPr>
        <w:adjustRightInd/>
        <w:spacing w:line="360" w:lineRule="auto"/>
        <w:jc w:val="center"/>
        <w:rPr>
          <w:rFonts w:ascii="仿宋" w:hAnsi="仿宋" w:eastAsia="仿宋" w:cs="宋体"/>
          <w:color w:val="auto"/>
          <w:sz w:val="48"/>
          <w:szCs w:val="48"/>
          <w:highlight w:val="none"/>
        </w:rPr>
      </w:pPr>
      <w:r>
        <w:rPr>
          <w:rFonts w:hint="eastAsia" w:ascii="仿宋" w:hAnsi="仿宋" w:eastAsia="仿宋" w:cs="宋体"/>
          <w:color w:val="auto"/>
          <w:sz w:val="48"/>
          <w:szCs w:val="48"/>
          <w:highlight w:val="none"/>
        </w:rPr>
        <w:t xml:space="preserve">招标文件 </w:t>
      </w:r>
    </w:p>
    <w:p>
      <w:pPr>
        <w:adjustRightInd/>
        <w:spacing w:line="360" w:lineRule="auto"/>
        <w:jc w:val="center"/>
        <w:rPr>
          <w:rFonts w:ascii="仿宋" w:hAnsi="仿宋" w:eastAsia="仿宋" w:cs="宋体"/>
          <w:b/>
          <w:color w:val="auto"/>
          <w:sz w:val="44"/>
          <w:szCs w:val="44"/>
          <w:highlight w:val="none"/>
        </w:rPr>
      </w:pPr>
    </w:p>
    <w:p>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（电子招投标）</w:t>
      </w:r>
    </w:p>
    <w:p>
      <w:pPr>
        <w:snapToGrid w:val="0"/>
        <w:spacing w:line="360" w:lineRule="auto"/>
        <w:jc w:val="center"/>
        <w:rPr>
          <w:rFonts w:ascii="仿宋" w:hAnsi="仿宋" w:eastAsia="仿宋" w:cs="宋体"/>
          <w:color w:val="auto"/>
          <w:sz w:val="30"/>
          <w:szCs w:val="30"/>
          <w:highlight w:val="none"/>
        </w:rPr>
      </w:pPr>
    </w:p>
    <w:p>
      <w:pPr>
        <w:snapToGrid w:val="0"/>
        <w:spacing w:line="360" w:lineRule="auto"/>
        <w:jc w:val="center"/>
        <w:rPr>
          <w:rFonts w:hint="eastAsia" w:ascii="仿宋" w:hAnsi="仿宋" w:eastAsia="仿宋" w:cs="宋体"/>
          <w:color w:val="auto"/>
          <w:sz w:val="30"/>
          <w:szCs w:val="30"/>
          <w:highlight w:val="none"/>
          <w:lang w:eastAsia="zh-CN"/>
        </w:rPr>
      </w:pPr>
      <w:r>
        <w:rPr>
          <w:rFonts w:hint="eastAsia" w:ascii="仿宋" w:hAnsi="仿宋" w:eastAsia="仿宋" w:cs="宋体"/>
          <w:color w:val="auto"/>
          <w:sz w:val="30"/>
          <w:szCs w:val="30"/>
          <w:highlight w:val="none"/>
        </w:rPr>
        <w:t>编号:</w:t>
      </w:r>
      <w:r>
        <w:rPr>
          <w:rFonts w:hint="eastAsia" w:ascii="仿宋" w:hAnsi="仿宋" w:eastAsia="仿宋" w:cs="宋体"/>
          <w:color w:val="auto"/>
          <w:sz w:val="30"/>
          <w:szCs w:val="30"/>
          <w:highlight w:val="none"/>
          <w:lang w:eastAsia="zh-CN"/>
        </w:rPr>
        <w:t>ZHZB-2024HZGA-04</w:t>
      </w:r>
    </w:p>
    <w:p>
      <w:pPr>
        <w:adjustRightInd/>
        <w:spacing w:line="360" w:lineRule="auto"/>
        <w:rPr>
          <w:rFonts w:ascii="仿宋" w:hAnsi="仿宋" w:eastAsia="仿宋" w:cs="宋体"/>
          <w:color w:val="auto"/>
          <w:sz w:val="28"/>
          <w:szCs w:val="20"/>
          <w:highlight w:val="none"/>
        </w:rPr>
      </w:pPr>
    </w:p>
    <w:p>
      <w:pPr>
        <w:spacing w:line="360" w:lineRule="auto"/>
        <w:jc w:val="center"/>
        <w:rPr>
          <w:rFonts w:ascii="仿宋" w:hAnsi="仿宋" w:eastAsia="仿宋" w:cs="宋体"/>
          <w:b/>
          <w:color w:val="auto"/>
          <w:sz w:val="44"/>
          <w:szCs w:val="44"/>
          <w:highlight w:val="none"/>
        </w:rPr>
      </w:pPr>
    </w:p>
    <w:p>
      <w:pPr>
        <w:spacing w:line="360" w:lineRule="auto"/>
        <w:jc w:val="center"/>
        <w:rPr>
          <w:rFonts w:ascii="仿宋" w:hAnsi="仿宋" w:eastAsia="仿宋" w:cs="宋体"/>
          <w:b/>
          <w:color w:val="auto"/>
          <w:sz w:val="44"/>
          <w:szCs w:val="44"/>
          <w:highlight w:val="none"/>
        </w:rPr>
      </w:pPr>
    </w:p>
    <w:p>
      <w:pPr>
        <w:spacing w:line="360" w:lineRule="auto"/>
        <w:jc w:val="center"/>
        <w:rPr>
          <w:rFonts w:ascii="仿宋" w:hAnsi="仿宋" w:eastAsia="仿宋" w:cs="宋体"/>
          <w:color w:val="auto"/>
          <w:sz w:val="24"/>
          <w:highlight w:val="none"/>
        </w:rPr>
      </w:pPr>
    </w:p>
    <w:p>
      <w:pPr>
        <w:spacing w:line="360" w:lineRule="auto"/>
        <w:jc w:val="center"/>
        <w:rPr>
          <w:rFonts w:ascii="仿宋" w:hAnsi="仿宋" w:eastAsia="仿宋" w:cs="宋体"/>
          <w:color w:val="auto"/>
          <w:sz w:val="24"/>
          <w:highlight w:val="none"/>
        </w:rPr>
      </w:pPr>
    </w:p>
    <w:p>
      <w:pPr>
        <w:spacing w:line="360" w:lineRule="auto"/>
        <w:rPr>
          <w:rFonts w:ascii="仿宋" w:hAnsi="仿宋" w:eastAsia="仿宋" w:cs="宋体"/>
          <w:color w:val="auto"/>
          <w:sz w:val="32"/>
          <w:szCs w:val="32"/>
          <w:highlight w:val="none"/>
        </w:rPr>
      </w:pPr>
    </w:p>
    <w:p>
      <w:pPr>
        <w:snapToGrid w:val="0"/>
        <w:spacing w:line="360" w:lineRule="auto"/>
        <w:jc w:val="center"/>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采购人：杭州市机动车驾驶员考试服务中心</w:t>
      </w:r>
    </w:p>
    <w:p>
      <w:pPr>
        <w:spacing w:line="360" w:lineRule="auto"/>
        <w:jc w:val="center"/>
        <w:rPr>
          <w:rFonts w:hint="eastAsia" w:ascii="仿宋" w:hAnsi="仿宋" w:eastAsia="仿宋" w:cs="宋体"/>
          <w:bCs/>
          <w:color w:val="auto"/>
          <w:sz w:val="32"/>
          <w:szCs w:val="32"/>
          <w:highlight w:val="none"/>
          <w:lang w:eastAsia="zh-CN"/>
        </w:rPr>
      </w:pPr>
      <w:r>
        <w:rPr>
          <w:rFonts w:hint="eastAsia" w:ascii="仿宋" w:hAnsi="仿宋" w:eastAsia="仿宋" w:cs="宋体"/>
          <w:bCs/>
          <w:color w:val="auto"/>
          <w:sz w:val="32"/>
          <w:szCs w:val="32"/>
          <w:highlight w:val="none"/>
        </w:rPr>
        <w:t>采购代理机构：</w:t>
      </w:r>
      <w:r>
        <w:rPr>
          <w:rFonts w:hint="eastAsia" w:ascii="仿宋" w:hAnsi="仿宋" w:eastAsia="仿宋" w:cs="宋体"/>
          <w:bCs/>
          <w:color w:val="auto"/>
          <w:sz w:val="32"/>
          <w:szCs w:val="32"/>
          <w:highlight w:val="none"/>
          <w:lang w:eastAsia="zh-CN"/>
        </w:rPr>
        <w:t>浙江正浩招标代理有限公司</w:t>
      </w:r>
    </w:p>
    <w:p>
      <w:pPr>
        <w:snapToGrid w:val="0"/>
        <w:spacing w:line="360" w:lineRule="auto"/>
        <w:jc w:val="center"/>
        <w:rPr>
          <w:rFonts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二〇</w:t>
      </w:r>
      <w:r>
        <w:rPr>
          <w:rFonts w:hint="eastAsia" w:ascii="仿宋" w:hAnsi="仿宋" w:eastAsia="仿宋" w:cs="宋体"/>
          <w:bCs/>
          <w:color w:val="auto"/>
          <w:sz w:val="32"/>
          <w:szCs w:val="32"/>
          <w:highlight w:val="none"/>
          <w:lang w:eastAsia="zh-CN"/>
        </w:rPr>
        <w:t>二四年</w:t>
      </w:r>
      <w:r>
        <w:rPr>
          <w:rFonts w:hint="eastAsia" w:ascii="仿宋" w:hAnsi="仿宋" w:eastAsia="仿宋" w:cs="宋体"/>
          <w:bCs/>
          <w:color w:val="auto"/>
          <w:sz w:val="32"/>
          <w:szCs w:val="32"/>
          <w:highlight w:val="none"/>
          <w:lang w:val="en-US" w:eastAsia="zh-CN"/>
        </w:rPr>
        <w:t>五</w:t>
      </w:r>
      <w:r>
        <w:rPr>
          <w:rFonts w:hint="eastAsia" w:ascii="仿宋" w:hAnsi="仿宋" w:eastAsia="仿宋" w:cs="宋体"/>
          <w:bCs/>
          <w:color w:val="auto"/>
          <w:sz w:val="32"/>
          <w:szCs w:val="32"/>
          <w:highlight w:val="none"/>
        </w:rPr>
        <w:t>月</w:t>
      </w:r>
    </w:p>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pPr>
        <w:pStyle w:val="634"/>
        <w:rPr>
          <w:rFonts w:ascii="仿宋" w:hAnsi="仿宋" w:eastAsia="仿宋"/>
          <w:color w:val="auto"/>
          <w:highlight w:val="none"/>
        </w:rPr>
      </w:pPr>
    </w:p>
    <w:p>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pPr>
        <w:spacing w:line="360" w:lineRule="auto"/>
        <w:rPr>
          <w:rFonts w:ascii="仿宋" w:hAnsi="仿宋" w:eastAsia="仿宋" w:cs="宋体"/>
          <w:color w:val="auto"/>
          <w:sz w:val="32"/>
          <w:szCs w:val="32"/>
          <w:highlight w:val="none"/>
        </w:rPr>
      </w:pPr>
    </w:p>
    <w:p>
      <w:pPr>
        <w:spacing w:line="360" w:lineRule="auto"/>
        <w:rPr>
          <w:rFonts w:ascii="仿宋" w:hAnsi="仿宋" w:eastAsia="仿宋" w:cs="宋体"/>
          <w:color w:val="auto"/>
          <w:sz w:val="32"/>
          <w:szCs w:val="32"/>
          <w:highlight w:val="none"/>
        </w:rPr>
      </w:pP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rPr>
          <w:rFonts w:ascii="仿宋" w:hAnsi="仿宋" w:eastAsia="仿宋" w:cs="宋体"/>
          <w:color w:val="auto"/>
          <w:sz w:val="24"/>
          <w:highlight w:val="none"/>
        </w:rPr>
      </w:pPr>
    </w:p>
    <w:p>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lang w:eastAsia="zh-CN"/>
        </w:rPr>
        <w:t>机动车驾驶员考试服务后勤经费-保安服务费</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宋体"/>
          <w:snapToGrid/>
          <w:color w:val="auto"/>
          <w:kern w:val="2"/>
          <w:sz w:val="24"/>
          <w:szCs w:val="24"/>
          <w:highlight w:val="none"/>
        </w:rPr>
        <w:t>https://www.zcygov.cn/）获取（下载）招标文件，并于</w:t>
      </w:r>
      <w:r>
        <w:rPr>
          <w:rStyle w:val="76"/>
          <w:rFonts w:hint="eastAsia" w:ascii="仿宋" w:hAnsi="仿宋" w:eastAsia="仿宋" w:cs="宋体"/>
          <w:snapToGrid/>
          <w:color w:val="auto"/>
          <w:kern w:val="2"/>
          <w:sz w:val="24"/>
          <w:szCs w:val="24"/>
          <w:highlight w:val="none"/>
        </w:rPr>
        <w:t>202</w:t>
      </w:r>
      <w:r>
        <w:rPr>
          <w:rStyle w:val="76"/>
          <w:rFonts w:hint="eastAsia" w:ascii="仿宋" w:hAnsi="仿宋" w:eastAsia="仿宋" w:cs="宋体"/>
          <w:snapToGrid/>
          <w:color w:val="auto"/>
          <w:kern w:val="2"/>
          <w:sz w:val="24"/>
          <w:szCs w:val="24"/>
          <w:highlight w:val="none"/>
          <w:lang w:val="en-US" w:eastAsia="zh-CN"/>
        </w:rPr>
        <w:t>4</w:t>
      </w:r>
      <w:r>
        <w:rPr>
          <w:rStyle w:val="76"/>
          <w:rFonts w:hint="eastAsia" w:ascii="仿宋" w:hAnsi="仿宋" w:eastAsia="仿宋" w:cs="宋体"/>
          <w:snapToGrid/>
          <w:color w:val="auto"/>
          <w:kern w:val="2"/>
          <w:sz w:val="24"/>
          <w:szCs w:val="24"/>
          <w:highlight w:val="none"/>
        </w:rPr>
        <w:t>年</w:t>
      </w:r>
      <w:r>
        <w:rPr>
          <w:rStyle w:val="76"/>
          <w:rFonts w:hint="eastAsia" w:ascii="仿宋" w:hAnsi="仿宋" w:eastAsia="仿宋" w:cs="宋体"/>
          <w:snapToGrid/>
          <w:color w:val="auto"/>
          <w:kern w:val="2"/>
          <w:sz w:val="24"/>
          <w:szCs w:val="24"/>
          <w:highlight w:val="none"/>
          <w:lang w:val="en-US" w:eastAsia="zh-CN"/>
        </w:rPr>
        <w:t>5</w:t>
      </w:r>
      <w:r>
        <w:rPr>
          <w:rStyle w:val="76"/>
          <w:rFonts w:hint="eastAsia" w:ascii="仿宋" w:hAnsi="仿宋" w:eastAsia="仿宋" w:cs="宋体"/>
          <w:snapToGrid/>
          <w:color w:val="auto"/>
          <w:kern w:val="2"/>
          <w:sz w:val="24"/>
          <w:szCs w:val="24"/>
          <w:highlight w:val="none"/>
        </w:rPr>
        <w:t>月</w:t>
      </w:r>
      <w:r>
        <w:rPr>
          <w:rStyle w:val="76"/>
          <w:rFonts w:hint="eastAsia" w:ascii="仿宋" w:hAnsi="仿宋" w:eastAsia="仿宋" w:cs="宋体"/>
          <w:snapToGrid/>
          <w:color w:val="auto"/>
          <w:kern w:val="2"/>
          <w:sz w:val="24"/>
          <w:szCs w:val="24"/>
          <w:highlight w:val="none"/>
          <w:lang w:val="en-US" w:eastAsia="zh-CN"/>
        </w:rPr>
        <w:t>30</w:t>
      </w:r>
      <w:r>
        <w:rPr>
          <w:rStyle w:val="76"/>
          <w:rFonts w:hint="eastAsia" w:ascii="仿宋" w:hAnsi="仿宋" w:eastAsia="仿宋" w:cs="宋体"/>
          <w:snapToGrid/>
          <w:color w:val="auto"/>
          <w:kern w:val="2"/>
          <w:sz w:val="24"/>
          <w:szCs w:val="24"/>
          <w:highlight w:val="none"/>
        </w:rPr>
        <w:t>日</w:t>
      </w:r>
      <w:r>
        <w:rPr>
          <w:rStyle w:val="76"/>
          <w:rFonts w:hint="eastAsia" w:ascii="仿宋" w:hAnsi="仿宋" w:eastAsia="仿宋" w:cs="宋体"/>
          <w:snapToGrid/>
          <w:color w:val="auto"/>
          <w:kern w:val="2"/>
          <w:sz w:val="24"/>
          <w:szCs w:val="24"/>
          <w:highlight w:val="none"/>
          <w:lang w:val="en-US" w:eastAsia="zh-CN"/>
        </w:rPr>
        <w:t>9</w:t>
      </w:r>
      <w:r>
        <w:rPr>
          <w:rStyle w:val="76"/>
          <w:rFonts w:hint="eastAsia" w:ascii="仿宋" w:hAnsi="仿宋" w:eastAsia="仿宋" w:cs="宋体"/>
          <w:snapToGrid/>
          <w:color w:val="auto"/>
          <w:kern w:val="2"/>
          <w:sz w:val="24"/>
          <w:szCs w:val="24"/>
          <w:highlight w:val="none"/>
        </w:rPr>
        <w:t>点</w:t>
      </w:r>
      <w:r>
        <w:rPr>
          <w:rStyle w:val="76"/>
          <w:rFonts w:hint="eastAsia" w:ascii="仿宋" w:hAnsi="仿宋" w:eastAsia="仿宋" w:cs="宋体"/>
          <w:snapToGrid/>
          <w:color w:val="auto"/>
          <w:kern w:val="2"/>
          <w:sz w:val="24"/>
          <w:szCs w:val="24"/>
          <w:highlight w:val="none"/>
          <w:lang w:val="en-US" w:eastAsia="zh-CN"/>
        </w:rPr>
        <w:t>30</w:t>
      </w:r>
      <w:r>
        <w:rPr>
          <w:rStyle w:val="76"/>
          <w:rFonts w:hint="eastAsia" w:ascii="仿宋" w:hAnsi="仿宋" w:eastAsia="仿宋" w:cs="宋体"/>
          <w:snapToGrid/>
          <w:color w:val="auto"/>
          <w:kern w:val="2"/>
          <w:sz w:val="24"/>
          <w:szCs w:val="24"/>
          <w:highlight w:val="none"/>
        </w:rPr>
        <w:t>分</w:t>
      </w:r>
      <w:r>
        <w:rPr>
          <w:rStyle w:val="76"/>
          <w:rFonts w:hint="eastAsia" w:ascii="仿宋" w:hAnsi="仿宋" w:eastAsia="仿宋" w:cs="宋体"/>
          <w:bCs/>
          <w:snapToGrid/>
          <w:color w:val="auto"/>
          <w:kern w:val="2"/>
          <w:sz w:val="24"/>
          <w:szCs w:val="24"/>
          <w:highlight w:val="none"/>
          <w:lang w:val="en-US" w:eastAsia="zh-CN"/>
        </w:rPr>
        <w:t>00</w:t>
      </w:r>
      <w:r>
        <w:rPr>
          <w:rStyle w:val="76"/>
          <w:rFonts w:hint="eastAsia" w:ascii="仿宋" w:hAnsi="仿宋" w:eastAsia="仿宋" w:cs="宋体"/>
          <w:bCs/>
          <w:snapToGrid/>
          <w:color w:val="auto"/>
          <w:kern w:val="2"/>
          <w:sz w:val="24"/>
          <w:szCs w:val="24"/>
          <w:highlight w:val="none"/>
        </w:rPr>
        <w:t>秒</w:t>
      </w:r>
      <w:r>
        <w:rPr>
          <w:rStyle w:val="76"/>
          <w:rFonts w:hint="eastAsia" w:ascii="仿宋" w:hAnsi="仿宋" w:eastAsia="仿宋" w:cs="宋体"/>
          <w:bCs/>
          <w:snapToGrid/>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ZHZB-2024HZGA-04</w:t>
      </w:r>
    </w:p>
    <w:p>
      <w:pPr>
        <w:spacing w:line="360" w:lineRule="auto"/>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b/>
          <w:color w:val="auto"/>
          <w:sz w:val="24"/>
          <w:highlight w:val="none"/>
          <w:lang w:eastAsia="zh-CN"/>
        </w:rPr>
        <w:t>机动车驾驶员考试服务后勤经费-保安服务费</w:t>
      </w:r>
    </w:p>
    <w:p>
      <w:pPr>
        <w:spacing w:line="360" w:lineRule="auto"/>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rPr>
        <w:t>预算金额：</w:t>
      </w:r>
      <w:r>
        <w:rPr>
          <w:rFonts w:hint="eastAsia" w:ascii="仿宋" w:hAnsi="仿宋" w:eastAsia="仿宋" w:cs="宋体"/>
          <w:b/>
          <w:color w:val="auto"/>
          <w:sz w:val="24"/>
          <w:highlight w:val="none"/>
          <w:lang w:eastAsia="zh-CN"/>
        </w:rPr>
        <w:t>367.2万元（其中2024年安排146.88万元）</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最高限价：/</w:t>
      </w:r>
    </w:p>
    <w:p>
      <w:pPr>
        <w:pStyle w:val="5"/>
        <w:spacing w:line="360" w:lineRule="auto"/>
        <w:ind w:firstLine="0"/>
        <w:rPr>
          <w:rFonts w:ascii="仿宋" w:hAnsi="仿宋" w:eastAsia="仿宋" w:cs="宋体"/>
          <w:bCs/>
          <w:snapToGrid/>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bCs/>
          <w:snapToGrid/>
          <w:color w:val="auto"/>
          <w:kern w:val="2"/>
          <w:sz w:val="24"/>
          <w:szCs w:val="24"/>
          <w:highlight w:val="none"/>
          <w:lang w:eastAsia="zh-CN"/>
        </w:rPr>
        <w:t>机动车驾驶员考试服务后勤经费-保安服务费</w:t>
      </w:r>
      <w:r>
        <w:rPr>
          <w:rFonts w:hint="eastAsia" w:ascii="仿宋" w:hAnsi="仿宋" w:eastAsia="仿宋"/>
          <w:snapToGrid/>
          <w:color w:val="auto"/>
          <w:kern w:val="2"/>
          <w:sz w:val="24"/>
          <w:szCs w:val="24"/>
          <w:highlight w:val="none"/>
        </w:rPr>
        <w:t>主要内容：</w:t>
      </w:r>
      <w:r>
        <w:rPr>
          <w:rFonts w:hint="eastAsia" w:ascii="仿宋" w:hAnsi="仿宋" w:eastAsia="仿宋"/>
          <w:snapToGrid/>
          <w:color w:val="auto"/>
          <w:kern w:val="2"/>
          <w:sz w:val="24"/>
          <w:szCs w:val="24"/>
          <w:highlight w:val="none"/>
          <w:lang w:eastAsia="zh-CN"/>
        </w:rPr>
        <w:t>根据杭州市机动车驾驶员考试服务中心实际日常安保工作情况的需要,提供安全保卫保安员服务，负责各地秩序管理及门岗执勤。安保岗位主要分布在杭州市机动车驾驶员考试服务中心场口考场、河坊街、龙舌嘴、萧山考场四个服务点。服务人员组成：场口考场42人、河坊街9人、龙舌嘴7人、萧山考场10人，共计68人。</w:t>
      </w:r>
      <w:r>
        <w:rPr>
          <w:rFonts w:hint="eastAsia" w:ascii="仿宋" w:hAnsi="仿宋" w:eastAsia="仿宋"/>
          <w:snapToGrid/>
          <w:color w:val="auto"/>
          <w:kern w:val="2"/>
          <w:sz w:val="24"/>
          <w:szCs w:val="24"/>
          <w:highlight w:val="none"/>
        </w:rPr>
        <w:t>具体以招标文件第三部分采购需求为准，供应商可点击本公告下方“浏览采购文件”查看采购需求。</w:t>
      </w:r>
    </w:p>
    <w:p>
      <w:pPr>
        <w:spacing w:line="360" w:lineRule="auto"/>
        <w:rPr>
          <w:rFonts w:ascii="仿宋" w:hAnsi="仿宋" w:eastAsia="仿宋" w:cs="仿宋_GB2312"/>
          <w:snapToGrid w:val="0"/>
          <w:color w:val="auto"/>
          <w:sz w:val="24"/>
          <w:highlight w:val="none"/>
        </w:rPr>
      </w:pPr>
      <w:r>
        <w:rPr>
          <w:rFonts w:hint="eastAsia" w:ascii="仿宋" w:hAnsi="仿宋" w:eastAsia="仿宋" w:cs="宋体"/>
          <w:b/>
          <w:color w:val="auto"/>
          <w:highlight w:val="none"/>
        </w:rPr>
        <w:t>合同履约期限：</w:t>
      </w:r>
      <w:r>
        <w:rPr>
          <w:rFonts w:hint="eastAsia" w:ascii="仿宋" w:hAnsi="仿宋" w:eastAsia="仿宋"/>
          <w:color w:val="auto"/>
          <w:sz w:val="24"/>
          <w:highlight w:val="none"/>
          <w:lang w:eastAsia="zh-CN"/>
        </w:rPr>
        <w:t>2024年6月1日至2025年5月31日</w:t>
      </w:r>
      <w:r>
        <w:rPr>
          <w:rFonts w:hint="eastAsia" w:ascii="仿宋" w:hAnsi="仿宋" w:eastAsia="仿宋"/>
          <w:color w:val="auto"/>
          <w:sz w:val="24"/>
          <w:highlight w:val="none"/>
        </w:rPr>
        <w:t>。</w:t>
      </w:r>
    </w:p>
    <w:p>
      <w:pPr>
        <w:pStyle w:val="5"/>
        <w:spacing w:line="360" w:lineRule="auto"/>
        <w:ind w:firstLine="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仿宋_GB2312"/>
          <w:color w:val="auto"/>
          <w:sz w:val="24"/>
          <w:highlight w:val="none"/>
        </w:rPr>
        <w:sym w:font="Wingdings" w:char="F0FE"/>
      </w:r>
      <w:r>
        <w:rPr>
          <w:rFonts w:hint="eastAsia" w:ascii="仿宋" w:hAnsi="仿宋" w:eastAsia="仿宋" w:cs="宋体"/>
          <w:b/>
          <w:color w:val="auto"/>
          <w:sz w:val="24"/>
          <w:highlight w:val="none"/>
        </w:rPr>
        <w:t>是；</w:t>
      </w:r>
      <w:sdt>
        <w:sdtPr>
          <w:rPr>
            <w:rFonts w:ascii="仿宋" w:hAnsi="仿宋" w:eastAsia="仿宋" w:cs="宋体"/>
            <w:color w:val="auto"/>
            <w:kern w:val="0"/>
            <w:sz w:val="24"/>
            <w:highlight w:val="none"/>
          </w:rPr>
          <w:id w:val="-1591624199"/>
        </w:sdtPr>
        <w:sdtEndPr>
          <w:rPr>
            <w:rFonts w:ascii="仿宋" w:hAnsi="仿宋" w:eastAsia="仿宋" w:cs="宋体"/>
            <w:color w:val="auto"/>
            <w:kern w:val="0"/>
            <w:sz w:val="24"/>
            <w:highlight w:val="none"/>
          </w:rPr>
        </w:sdtEndPr>
        <w:sdtContent>
          <w:r>
            <w:rPr>
              <w:rFonts w:ascii="仿宋" w:hAnsi="Segoe UI Symbol" w:eastAsia="仿宋" w:cs="Segoe UI Symbol"/>
              <w:color w:val="auto"/>
              <w:kern w:val="0"/>
              <w:sz w:val="24"/>
              <w:highlight w:val="none"/>
            </w:rPr>
            <w:t>☐</w:t>
          </w:r>
        </w:sdtContent>
      </w:sdt>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1928616923"/>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r>
        <w:rPr>
          <w:rFonts w:ascii="仿宋" w:hAnsi="仿宋" w:eastAsia="仿宋" w:cs="仿宋_GB2312"/>
          <w:snapToGrid w:val="0"/>
          <w:color w:val="auto"/>
          <w:kern w:val="28"/>
          <w:sz w:val="24"/>
          <w:szCs w:val="20"/>
          <w:highlight w:val="none"/>
        </w:rPr>
        <w:sym w:font="Wingdings" w:char="F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333685401"/>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sz w:val="24"/>
          <w:highlight w:val="none"/>
        </w:rPr>
        <w:t>服务全部由符合政策要求的中小企业承接，提供中小企业声明函；</w:t>
      </w:r>
    </w:p>
    <w:p>
      <w:pPr>
        <w:spacing w:line="360" w:lineRule="auto"/>
        <w:ind w:firstLine="480" w:firstLineChars="200"/>
        <w:rPr>
          <w:rFonts w:ascii="仿宋" w:hAnsi="仿宋" w:eastAsia="仿宋" w:cs="宋体"/>
          <w:color w:val="auto"/>
          <w:sz w:val="24"/>
          <w:highlight w:val="none"/>
        </w:rPr>
      </w:pPr>
      <w:r>
        <w:rPr>
          <w:rFonts w:ascii="仿宋" w:hAnsi="仿宋" w:eastAsia="仿宋" w:cs="仿宋_GB2312"/>
          <w:snapToGrid w:val="0"/>
          <w:color w:val="auto"/>
          <w:kern w:val="28"/>
          <w:sz w:val="24"/>
          <w:szCs w:val="20"/>
          <w:highlight w:val="none"/>
        </w:rPr>
        <w:sym w:font="Wingdings" w:char="F0FE"/>
      </w:r>
      <w:r>
        <w:rPr>
          <w:rFonts w:hint="eastAsia" w:ascii="仿宋" w:hAnsi="仿宋" w:eastAsia="仿宋" w:cs="宋体"/>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1985607795"/>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34630645"/>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color w:val="auto"/>
          <w:sz w:val="24"/>
          <w:highlight w:val="none"/>
        </w:rPr>
        <w:t>要求合同分包，提供分包意向协议和中小企业声明函，分包意向协议中中小企业合同金额应当达到达到% ，其中小微企业合同金额应当达到%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.本项目的特定资格要求：按《保安服务管理条例》</w:t>
      </w:r>
      <w:r>
        <w:rPr>
          <w:rFonts w:hint="eastAsia" w:ascii="仿宋" w:hAnsi="仿宋" w:eastAsia="仿宋" w:cs="宋体"/>
          <w:bCs/>
          <w:color w:val="auto"/>
          <w:sz w:val="24"/>
          <w:highlight w:val="none"/>
        </w:rPr>
        <w:t>第九条</w:t>
      </w:r>
      <w:r>
        <w:rPr>
          <w:rFonts w:hint="eastAsia" w:ascii="仿宋" w:hAnsi="仿宋" w:eastAsia="仿宋" w:cs="宋体"/>
          <w:color w:val="auto"/>
          <w:sz w:val="24"/>
          <w:highlight w:val="none"/>
        </w:rPr>
        <w:t>“申请设立保安服务公司，应当向所在地设区的市级人民政府公安机关提交申请书以及能够证明其符合本条例第八条规定条件的材料。受理的公安机关应当自收到申请材料之日起15日内进行审核，并将审核意见报所在地的省、自治区、直辖市人民政府公安机关。省、自治区、直辖市人民政府公安机关应当自收到审核意见之日起15日内作出决定，</w:t>
      </w:r>
      <w:r>
        <w:rPr>
          <w:rFonts w:hint="eastAsia" w:ascii="仿宋" w:hAnsi="仿宋" w:eastAsia="仿宋" w:cs="宋体"/>
          <w:b/>
          <w:color w:val="auto"/>
          <w:sz w:val="24"/>
          <w:highlight w:val="none"/>
        </w:rPr>
        <w:t>对符合条件的，核发保安服务许可证</w:t>
      </w:r>
      <w:r>
        <w:rPr>
          <w:rFonts w:hint="eastAsia" w:ascii="仿宋" w:hAnsi="仿宋" w:eastAsia="仿宋" w:cs="宋体"/>
          <w:color w:val="auto"/>
          <w:sz w:val="24"/>
          <w:highlight w:val="none"/>
        </w:rPr>
        <w:t>；对不符合条件的，书面通知申请人并说明理由”。具有公安部门颁发的在有效期内的《保安服务许可证》；</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4</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Style w:val="76"/>
          <w:rFonts w:hint="eastAsia" w:ascii="仿宋" w:hAnsi="仿宋" w:eastAsia="仿宋" w:cs="宋体"/>
          <w:snapToGrid/>
          <w:color w:val="auto"/>
          <w:kern w:val="2"/>
          <w:sz w:val="24"/>
          <w:szCs w:val="24"/>
          <w:highlight w:val="none"/>
        </w:rPr>
        <w:t>202</w:t>
      </w:r>
      <w:r>
        <w:rPr>
          <w:rStyle w:val="76"/>
          <w:rFonts w:hint="eastAsia" w:ascii="仿宋" w:hAnsi="仿宋" w:eastAsia="仿宋" w:cs="宋体"/>
          <w:snapToGrid/>
          <w:color w:val="auto"/>
          <w:kern w:val="2"/>
          <w:sz w:val="24"/>
          <w:szCs w:val="24"/>
          <w:highlight w:val="none"/>
          <w:lang w:val="en-US" w:eastAsia="zh-CN"/>
        </w:rPr>
        <w:t>4</w:t>
      </w:r>
      <w:r>
        <w:rPr>
          <w:rStyle w:val="76"/>
          <w:rFonts w:hint="eastAsia" w:ascii="仿宋" w:hAnsi="仿宋" w:eastAsia="仿宋" w:cs="宋体"/>
          <w:snapToGrid/>
          <w:color w:val="auto"/>
          <w:kern w:val="2"/>
          <w:sz w:val="24"/>
          <w:szCs w:val="24"/>
          <w:highlight w:val="none"/>
        </w:rPr>
        <w:t>年</w:t>
      </w:r>
      <w:r>
        <w:rPr>
          <w:rStyle w:val="76"/>
          <w:rFonts w:hint="eastAsia" w:ascii="仿宋" w:hAnsi="仿宋" w:eastAsia="仿宋" w:cs="宋体"/>
          <w:snapToGrid/>
          <w:color w:val="auto"/>
          <w:kern w:val="2"/>
          <w:sz w:val="24"/>
          <w:szCs w:val="24"/>
          <w:highlight w:val="none"/>
          <w:lang w:val="en-US" w:eastAsia="zh-CN"/>
        </w:rPr>
        <w:t>5</w:t>
      </w:r>
      <w:r>
        <w:rPr>
          <w:rStyle w:val="76"/>
          <w:rFonts w:hint="eastAsia" w:ascii="仿宋" w:hAnsi="仿宋" w:eastAsia="仿宋" w:cs="宋体"/>
          <w:snapToGrid/>
          <w:color w:val="auto"/>
          <w:kern w:val="2"/>
          <w:sz w:val="24"/>
          <w:szCs w:val="24"/>
          <w:highlight w:val="none"/>
        </w:rPr>
        <w:t>月</w:t>
      </w:r>
      <w:r>
        <w:rPr>
          <w:rStyle w:val="76"/>
          <w:rFonts w:hint="eastAsia" w:ascii="仿宋" w:hAnsi="仿宋" w:eastAsia="仿宋" w:cs="宋体"/>
          <w:snapToGrid/>
          <w:color w:val="auto"/>
          <w:kern w:val="2"/>
          <w:sz w:val="24"/>
          <w:szCs w:val="24"/>
          <w:highlight w:val="none"/>
          <w:lang w:val="en-US" w:eastAsia="zh-CN"/>
        </w:rPr>
        <w:t>30</w:t>
      </w:r>
      <w:r>
        <w:rPr>
          <w:rStyle w:val="76"/>
          <w:rFonts w:hint="eastAsia" w:ascii="仿宋" w:hAnsi="仿宋" w:eastAsia="仿宋" w:cs="宋体"/>
          <w:snapToGrid/>
          <w:color w:val="auto"/>
          <w:kern w:val="2"/>
          <w:sz w:val="24"/>
          <w:szCs w:val="24"/>
          <w:highlight w:val="none"/>
        </w:rPr>
        <w:t>日</w:t>
      </w:r>
      <w:r>
        <w:rPr>
          <w:rStyle w:val="76"/>
          <w:rFonts w:hint="eastAsia" w:ascii="仿宋" w:hAnsi="仿宋" w:eastAsia="仿宋" w:cs="宋体"/>
          <w:snapToGrid/>
          <w:color w:val="auto"/>
          <w:kern w:val="2"/>
          <w:sz w:val="24"/>
          <w:szCs w:val="24"/>
          <w:highlight w:val="none"/>
          <w:lang w:val="en-US" w:eastAsia="zh-CN"/>
        </w:rPr>
        <w:t>9</w:t>
      </w:r>
      <w:r>
        <w:rPr>
          <w:rStyle w:val="76"/>
          <w:rFonts w:hint="eastAsia" w:ascii="仿宋" w:hAnsi="仿宋" w:eastAsia="仿宋" w:cs="宋体"/>
          <w:snapToGrid/>
          <w:color w:val="auto"/>
          <w:kern w:val="2"/>
          <w:sz w:val="24"/>
          <w:szCs w:val="24"/>
          <w:highlight w:val="none"/>
        </w:rPr>
        <w:t>点</w:t>
      </w:r>
      <w:r>
        <w:rPr>
          <w:rStyle w:val="76"/>
          <w:rFonts w:hint="eastAsia" w:ascii="仿宋" w:hAnsi="仿宋" w:eastAsia="仿宋" w:cs="宋体"/>
          <w:snapToGrid/>
          <w:color w:val="auto"/>
          <w:kern w:val="2"/>
          <w:sz w:val="24"/>
          <w:szCs w:val="24"/>
          <w:highlight w:val="none"/>
          <w:lang w:val="en-US" w:eastAsia="zh-CN"/>
        </w:rPr>
        <w:t>30</w:t>
      </w:r>
      <w:r>
        <w:rPr>
          <w:rStyle w:val="76"/>
          <w:rFonts w:hint="eastAsia" w:ascii="仿宋" w:hAnsi="仿宋" w:eastAsia="仿宋" w:cs="宋体"/>
          <w:snapToGrid/>
          <w:color w:val="auto"/>
          <w:kern w:val="2"/>
          <w:sz w:val="24"/>
          <w:szCs w:val="24"/>
          <w:highlight w:val="none"/>
        </w:rPr>
        <w:t>分</w:t>
      </w:r>
      <w:r>
        <w:rPr>
          <w:rStyle w:val="76"/>
          <w:rFonts w:hint="eastAsia" w:ascii="仿宋" w:hAnsi="仿宋" w:eastAsia="仿宋" w:cs="宋体"/>
          <w:bCs/>
          <w:snapToGrid/>
          <w:color w:val="auto"/>
          <w:kern w:val="2"/>
          <w:sz w:val="24"/>
          <w:szCs w:val="24"/>
          <w:highlight w:val="none"/>
          <w:lang w:val="en-US" w:eastAsia="zh-CN"/>
        </w:rPr>
        <w:t>00</w:t>
      </w:r>
      <w:r>
        <w:rPr>
          <w:rStyle w:val="76"/>
          <w:rFonts w:hint="eastAsia" w:ascii="仿宋" w:hAnsi="仿宋" w:eastAsia="仿宋" w:cs="宋体"/>
          <w:bCs/>
          <w:snapToGrid/>
          <w:color w:val="auto"/>
          <w:kern w:val="2"/>
          <w:sz w:val="24"/>
          <w:szCs w:val="24"/>
          <w:highlight w:val="none"/>
        </w:rPr>
        <w:t>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Style w:val="76"/>
          <w:rFonts w:hint="eastAsia" w:ascii="仿宋" w:hAnsi="仿宋" w:eastAsia="仿宋" w:cs="宋体"/>
          <w:snapToGrid/>
          <w:color w:val="auto"/>
          <w:kern w:val="2"/>
          <w:sz w:val="24"/>
          <w:szCs w:val="24"/>
          <w:highlight w:val="none"/>
        </w:rPr>
        <w:t>202</w:t>
      </w:r>
      <w:r>
        <w:rPr>
          <w:rStyle w:val="76"/>
          <w:rFonts w:hint="eastAsia" w:ascii="仿宋" w:hAnsi="仿宋" w:eastAsia="仿宋" w:cs="宋体"/>
          <w:snapToGrid/>
          <w:color w:val="auto"/>
          <w:kern w:val="2"/>
          <w:sz w:val="24"/>
          <w:szCs w:val="24"/>
          <w:highlight w:val="none"/>
          <w:lang w:val="en-US" w:eastAsia="zh-CN"/>
        </w:rPr>
        <w:t>4</w:t>
      </w:r>
      <w:r>
        <w:rPr>
          <w:rStyle w:val="76"/>
          <w:rFonts w:hint="eastAsia" w:ascii="仿宋" w:hAnsi="仿宋" w:eastAsia="仿宋" w:cs="宋体"/>
          <w:snapToGrid/>
          <w:color w:val="auto"/>
          <w:kern w:val="2"/>
          <w:sz w:val="24"/>
          <w:szCs w:val="24"/>
          <w:highlight w:val="none"/>
        </w:rPr>
        <w:t>年</w:t>
      </w:r>
      <w:r>
        <w:rPr>
          <w:rStyle w:val="76"/>
          <w:rFonts w:hint="eastAsia" w:ascii="仿宋" w:hAnsi="仿宋" w:eastAsia="仿宋" w:cs="宋体"/>
          <w:snapToGrid/>
          <w:color w:val="auto"/>
          <w:kern w:val="2"/>
          <w:sz w:val="24"/>
          <w:szCs w:val="24"/>
          <w:highlight w:val="none"/>
          <w:lang w:val="en-US" w:eastAsia="zh-CN"/>
        </w:rPr>
        <w:t>5</w:t>
      </w:r>
      <w:r>
        <w:rPr>
          <w:rStyle w:val="76"/>
          <w:rFonts w:hint="eastAsia" w:ascii="仿宋" w:hAnsi="仿宋" w:eastAsia="仿宋" w:cs="宋体"/>
          <w:snapToGrid/>
          <w:color w:val="auto"/>
          <w:kern w:val="2"/>
          <w:sz w:val="24"/>
          <w:szCs w:val="24"/>
          <w:highlight w:val="none"/>
        </w:rPr>
        <w:t>月</w:t>
      </w:r>
      <w:r>
        <w:rPr>
          <w:rStyle w:val="76"/>
          <w:rFonts w:hint="eastAsia" w:ascii="仿宋" w:hAnsi="仿宋" w:eastAsia="仿宋" w:cs="宋体"/>
          <w:snapToGrid/>
          <w:color w:val="auto"/>
          <w:kern w:val="2"/>
          <w:sz w:val="24"/>
          <w:szCs w:val="24"/>
          <w:highlight w:val="none"/>
          <w:lang w:val="en-US" w:eastAsia="zh-CN"/>
        </w:rPr>
        <w:t>30</w:t>
      </w:r>
      <w:r>
        <w:rPr>
          <w:rStyle w:val="76"/>
          <w:rFonts w:hint="eastAsia" w:ascii="仿宋" w:hAnsi="仿宋" w:eastAsia="仿宋" w:cs="宋体"/>
          <w:snapToGrid/>
          <w:color w:val="auto"/>
          <w:kern w:val="2"/>
          <w:sz w:val="24"/>
          <w:szCs w:val="24"/>
          <w:highlight w:val="none"/>
        </w:rPr>
        <w:t>日</w:t>
      </w:r>
      <w:r>
        <w:rPr>
          <w:rStyle w:val="76"/>
          <w:rFonts w:hint="eastAsia" w:ascii="仿宋" w:hAnsi="仿宋" w:eastAsia="仿宋" w:cs="宋体"/>
          <w:snapToGrid/>
          <w:color w:val="auto"/>
          <w:kern w:val="2"/>
          <w:sz w:val="24"/>
          <w:szCs w:val="24"/>
          <w:highlight w:val="none"/>
          <w:lang w:val="en-US" w:eastAsia="zh-CN"/>
        </w:rPr>
        <w:t>9</w:t>
      </w:r>
      <w:r>
        <w:rPr>
          <w:rStyle w:val="76"/>
          <w:rFonts w:hint="eastAsia" w:ascii="仿宋" w:hAnsi="仿宋" w:eastAsia="仿宋" w:cs="宋体"/>
          <w:snapToGrid/>
          <w:color w:val="auto"/>
          <w:kern w:val="2"/>
          <w:sz w:val="24"/>
          <w:szCs w:val="24"/>
          <w:highlight w:val="none"/>
        </w:rPr>
        <w:t>点</w:t>
      </w:r>
      <w:r>
        <w:rPr>
          <w:rStyle w:val="76"/>
          <w:rFonts w:hint="eastAsia" w:ascii="仿宋" w:hAnsi="仿宋" w:eastAsia="仿宋" w:cs="宋体"/>
          <w:snapToGrid/>
          <w:color w:val="auto"/>
          <w:kern w:val="2"/>
          <w:sz w:val="24"/>
          <w:szCs w:val="24"/>
          <w:highlight w:val="none"/>
          <w:lang w:val="en-US" w:eastAsia="zh-CN"/>
        </w:rPr>
        <w:t>30</w:t>
      </w:r>
      <w:r>
        <w:rPr>
          <w:rStyle w:val="76"/>
          <w:rFonts w:hint="eastAsia" w:ascii="仿宋" w:hAnsi="仿宋" w:eastAsia="仿宋" w:cs="宋体"/>
          <w:snapToGrid/>
          <w:color w:val="auto"/>
          <w:kern w:val="2"/>
          <w:sz w:val="24"/>
          <w:szCs w:val="24"/>
          <w:highlight w:val="none"/>
        </w:rPr>
        <w:t>分</w:t>
      </w:r>
      <w:r>
        <w:rPr>
          <w:rStyle w:val="76"/>
          <w:rFonts w:hint="eastAsia" w:ascii="仿宋" w:hAnsi="仿宋" w:eastAsia="仿宋" w:cs="宋体"/>
          <w:bCs/>
          <w:snapToGrid/>
          <w:color w:val="auto"/>
          <w:kern w:val="2"/>
          <w:sz w:val="24"/>
          <w:szCs w:val="24"/>
          <w:highlight w:val="none"/>
          <w:lang w:val="en-US" w:eastAsia="zh-CN"/>
        </w:rPr>
        <w:t>00</w:t>
      </w:r>
      <w:r>
        <w:rPr>
          <w:rStyle w:val="76"/>
          <w:rFonts w:hint="eastAsia" w:ascii="仿宋" w:hAnsi="仿宋" w:eastAsia="仿宋" w:cs="宋体"/>
          <w:bCs/>
          <w:snapToGrid/>
          <w:color w:val="auto"/>
          <w:kern w:val="2"/>
          <w:sz w:val="24"/>
          <w:szCs w:val="24"/>
          <w:highlight w:val="none"/>
        </w:rPr>
        <w:t>秒</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五、公告期限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六、其他补充事宜</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七、对本次采购提出询问、质疑、投诉，请按以下方式联系</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 1.采购人信息</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名    称：杭州市机动车驾驶员考试服务中心 </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地    址：</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杭州市上城区河坊街33号</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项目联系人（询问）：</w:t>
      </w:r>
      <w:r>
        <w:rPr>
          <w:rFonts w:hint="eastAsia" w:ascii="仿宋" w:hAnsi="仿宋" w:eastAsia="仿宋" w:cs="宋体"/>
          <w:i w:val="0"/>
          <w:iCs w:val="0"/>
          <w:caps w:val="0"/>
          <w:color w:val="auto"/>
          <w:spacing w:val="0"/>
          <w:sz w:val="24"/>
          <w:szCs w:val="24"/>
          <w:highlight w:val="none"/>
        </w:rPr>
        <w:t>施女士</w:t>
      </w:r>
    </w:p>
    <w:p>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 </w:t>
      </w:r>
      <w:r>
        <w:rPr>
          <w:rFonts w:hint="eastAsia" w:ascii="仿宋" w:hAnsi="仿宋" w:eastAsia="仿宋" w:cs="宋体"/>
          <w:i w:val="0"/>
          <w:iCs w:val="0"/>
          <w:caps w:val="0"/>
          <w:color w:val="auto"/>
          <w:spacing w:val="0"/>
          <w:sz w:val="24"/>
          <w:szCs w:val="24"/>
          <w:highlight w:val="none"/>
        </w:rPr>
        <w:t>0571-87281523 </w:t>
      </w:r>
    </w:p>
    <w:p>
      <w:pPr>
        <w:spacing w:line="360" w:lineRule="auto"/>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质疑联系人：</w:t>
      </w:r>
      <w:r>
        <w:rPr>
          <w:rFonts w:hint="eastAsia" w:ascii="仿宋" w:hAnsi="仿宋" w:eastAsia="仿宋" w:cs="宋体"/>
          <w:i w:val="0"/>
          <w:iCs w:val="0"/>
          <w:caps w:val="0"/>
          <w:color w:val="auto"/>
          <w:spacing w:val="0"/>
          <w:sz w:val="24"/>
          <w:szCs w:val="24"/>
          <w:highlight w:val="none"/>
        </w:rPr>
        <w:t>王先生</w:t>
      </w:r>
    </w:p>
    <w:p>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质疑联系方式： </w:t>
      </w:r>
      <w:r>
        <w:rPr>
          <w:rFonts w:hint="eastAsia" w:ascii="仿宋" w:hAnsi="仿宋" w:eastAsia="仿宋" w:cs="宋体"/>
          <w:i w:val="0"/>
          <w:iCs w:val="0"/>
          <w:caps w:val="0"/>
          <w:color w:val="auto"/>
          <w:spacing w:val="0"/>
          <w:sz w:val="24"/>
          <w:szCs w:val="24"/>
          <w:highlight w:val="none"/>
        </w:rPr>
        <w:t>0571-87281537</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浙江正浩招标代理有限公司</w:t>
      </w:r>
    </w:p>
    <w:p>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eastAsia="zh-CN"/>
        </w:rPr>
        <w:t>杭州市拱墅区祥园路45号盘石全球数字经济产业园D座409室</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 /</w:t>
      </w:r>
    </w:p>
    <w:p>
      <w:pPr>
        <w:pStyle w:val="962"/>
        <w:ind w:firstLine="480"/>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rPr>
        <w:t>项目联系人（询问）：</w:t>
      </w:r>
      <w:r>
        <w:rPr>
          <w:rFonts w:hint="eastAsia" w:ascii="仿宋" w:hAnsi="仿宋" w:eastAsia="仿宋"/>
          <w:color w:val="auto"/>
          <w:szCs w:val="24"/>
          <w:highlight w:val="none"/>
          <w:lang w:val="en-US" w:eastAsia="zh-CN"/>
        </w:rPr>
        <w:t>方晨</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ascii="仿宋" w:hAnsi="仿宋" w:eastAsia="仿宋" w:cs="宋体"/>
          <w:color w:val="auto"/>
          <w:sz w:val="24"/>
          <w:highlight w:val="none"/>
        </w:rPr>
        <w:t> </w:t>
      </w:r>
      <w:r>
        <w:rPr>
          <w:rFonts w:hint="eastAsia" w:ascii="仿宋" w:hAnsi="仿宋" w:eastAsia="仿宋" w:cs="宋体"/>
          <w:color w:val="auto"/>
          <w:sz w:val="24"/>
          <w:highlight w:val="none"/>
          <w:lang w:val="en-US" w:eastAsia="zh-CN"/>
        </w:rPr>
        <w:t>18057185267</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杨倩</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质疑联系方式：</w:t>
      </w:r>
      <w:r>
        <w:rPr>
          <w:rFonts w:hint="eastAsia" w:ascii="仿宋" w:hAnsi="仿宋" w:eastAsia="仿宋" w:cs="宋体"/>
          <w:color w:val="auto"/>
          <w:sz w:val="24"/>
          <w:highlight w:val="none"/>
          <w:lang w:val="en-US" w:eastAsia="zh-CN"/>
        </w:rPr>
        <w:t>15395821972</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名    称：杭州市财政局政府采购监管处 /浙江省政府采购行政裁决服务中心（杭州）</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址：杭州市上城区四季青街道新业路市民之家G03办公室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联系人 ：朱女士、王女士</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 xml:space="preserve">监督投诉电话：电话：0571-85252453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政策咨询：陈先生、厉先生，0571-89580460、89580456</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pPr>
        <w:widowControl/>
        <w:adjustRightInd/>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2"/>
        <w:gridCol w:w="6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lang w:eastAsia="zh-CN"/>
              </w:rPr>
              <w:t>机动车驾驶员考试服务后勤经费-保安服务费</w:t>
            </w:r>
            <w:r>
              <w:rPr>
                <w:rFonts w:hint="eastAsia" w:ascii="仿宋" w:hAnsi="仿宋" w:eastAsia="仿宋" w:cs="宋体"/>
                <w:color w:val="auto"/>
                <w:kern w:val="0"/>
                <w:sz w:val="24"/>
                <w:highlight w:val="none"/>
              </w:rPr>
              <w:t>，属于行业：</w:t>
            </w:r>
            <w:r>
              <w:rPr>
                <w:rFonts w:hint="eastAsia" w:ascii="仿宋" w:hAnsi="仿宋" w:eastAsia="仿宋" w:cs="仿宋"/>
                <w:color w:val="auto"/>
                <w:kern w:val="0"/>
                <w:sz w:val="24"/>
                <w:highlight w:val="none"/>
              </w:rPr>
              <w:t>租赁和商务服务业</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宋体"/>
                <w:color w:val="auto"/>
                <w:kern w:val="0"/>
                <w:sz w:val="24"/>
                <w:highlight w:val="none"/>
                <w:lang w:eastAsia="zh-CN"/>
              </w:rPr>
              <w:t>”</w:t>
            </w:r>
          </w:p>
          <w:p>
            <w:pPr>
              <w:pStyle w:val="3"/>
              <w:rPr>
                <w:rFonts w:ascii="仿宋" w:eastAsia="仿宋" w:cs="宋体"/>
                <w:color w:val="auto"/>
                <w:highlight w:val="none"/>
                <w:lang w:val="en-US"/>
              </w:rPr>
            </w:pPr>
            <w:r>
              <w:rPr>
                <w:rFonts w:hint="eastAsia" w:ascii="仿宋" w:eastAsia="仿宋" w:cs="宋体"/>
                <w:b w:val="0"/>
                <w:bCs w:val="0"/>
                <w:color w:val="auto"/>
                <w:kern w:val="0"/>
                <w:sz w:val="24"/>
                <w:szCs w:val="24"/>
                <w:highlight w:val="none"/>
                <w:lang w:val="en-US"/>
              </w:rPr>
              <w:t>（</w:t>
            </w:r>
            <w:r>
              <w:rPr>
                <w:rFonts w:ascii="仿宋" w:eastAsia="仿宋" w:cs="宋体"/>
                <w:b w:val="0"/>
                <w:bCs w:val="0"/>
                <w:color w:val="auto"/>
                <w:kern w:val="0"/>
                <w:sz w:val="24"/>
                <w:szCs w:val="24"/>
                <w:highlight w:val="none"/>
                <w:lang w:val="en-US"/>
              </w:rPr>
              <w:t>2）本项目</w:t>
            </w:r>
            <w:r>
              <w:rPr>
                <w:rFonts w:hint="eastAsia" w:ascii="仿宋" w:eastAsia="仿宋" w:cs="宋体"/>
                <w:b w:val="0"/>
                <w:bCs w:val="0"/>
                <w:color w:val="auto"/>
                <w:kern w:val="0"/>
                <w:sz w:val="24"/>
                <w:szCs w:val="24"/>
                <w:highlight w:val="none"/>
                <w:lang w:val="en-US"/>
              </w:rPr>
              <w:t>专门面向小微企业采购。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auto"/>
                <w:kern w:val="0"/>
                <w:sz w:val="24"/>
                <w:highlight w:val="none"/>
              </w:rPr>
            </w:pPr>
            <w:r>
              <w:rPr>
                <w:rFonts w:ascii="仿宋" w:hAnsi="仿宋" w:eastAsia="仿宋" w:cs="Arial"/>
                <w:color w:val="auto"/>
                <w:kern w:val="0"/>
                <w:sz w:val="24"/>
                <w:highlight w:val="none"/>
              </w:rPr>
              <w:sym w:font="Wingdings" w:char="F0FE"/>
            </w:r>
            <w:r>
              <w:rPr>
                <w:rFonts w:hint="eastAsia" w:ascii="仿宋" w:hAnsi="仿宋" w:eastAsia="仿宋" w:cs="宋体"/>
                <w:color w:val="auto"/>
                <w:kern w:val="0"/>
                <w:sz w:val="24"/>
                <w:highlight w:val="none"/>
              </w:rPr>
              <w:t>本项目不允许采购进口产品。</w:t>
            </w:r>
          </w:p>
          <w:p>
            <w:pPr>
              <w:spacing w:line="360" w:lineRule="auto"/>
              <w:rPr>
                <w:rFonts w:ascii="仿宋" w:hAnsi="仿宋" w:eastAsia="仿宋" w:cs="宋体"/>
                <w:color w:val="auto"/>
                <w:highlight w:val="none"/>
              </w:rPr>
            </w:pPr>
            <w:sdt>
              <w:sdtPr>
                <w:rPr>
                  <w:rFonts w:hint="eastAsia" w:ascii="仿宋" w:hAnsi="仿宋" w:eastAsia="仿宋" w:cs="宋体"/>
                  <w:color w:val="auto"/>
                  <w:kern w:val="0"/>
                  <w:sz w:val="24"/>
                  <w:highlight w:val="none"/>
                </w:rPr>
                <w:id w:val="-52852824"/>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275842344"/>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kern w:val="0"/>
                <w:sz w:val="24"/>
                <w:highlight w:val="none"/>
              </w:rPr>
              <w:t xml:space="preserve"> A</w:t>
            </w:r>
            <w:r>
              <w:rPr>
                <w:rFonts w:hint="eastAsia" w:ascii="仿宋" w:hAnsi="仿宋" w:eastAsia="仿宋" w:cs="宋体"/>
                <w:color w:val="auto"/>
                <w:sz w:val="24"/>
                <w:highlight w:val="none"/>
              </w:rPr>
              <w:t>同意将非主体、非关键性的</w:t>
            </w:r>
            <w:r>
              <w:rPr>
                <w:rFonts w:hint="eastAsia" w:ascii="仿宋" w:hAnsi="仿宋" w:eastAsia="仿宋" w:cs="仿宋"/>
                <w:color w:val="auto"/>
                <w:sz w:val="24"/>
                <w:highlight w:val="none"/>
                <w:u w:val="single"/>
              </w:rPr>
              <w:t xml:space="preserve"> /  </w:t>
            </w:r>
            <w:r>
              <w:rPr>
                <w:rFonts w:hint="eastAsia" w:ascii="仿宋" w:hAnsi="仿宋" w:eastAsia="仿宋" w:cs="宋体"/>
                <w:color w:val="auto"/>
                <w:sz w:val="24"/>
                <w:highlight w:val="none"/>
              </w:rPr>
              <w:t>工作分包。</w:t>
            </w:r>
          </w:p>
          <w:p>
            <w:pPr>
              <w:spacing w:line="360" w:lineRule="auto"/>
              <w:rPr>
                <w:rFonts w:ascii="仿宋" w:hAnsi="仿宋" w:eastAsia="仿宋" w:cs="宋体"/>
                <w:color w:val="auto"/>
                <w:sz w:val="24"/>
                <w:highlight w:val="none"/>
              </w:rPr>
            </w:pPr>
            <w:r>
              <w:rPr>
                <w:rFonts w:ascii="仿宋" w:hAnsi="仿宋" w:eastAsia="仿宋" w:cs="仿宋_GB2312"/>
                <w:snapToGrid w:val="0"/>
                <w:color w:val="auto"/>
                <w:kern w:val="28"/>
                <w:sz w:val="24"/>
                <w:szCs w:val="20"/>
                <w:highlight w:val="none"/>
              </w:rPr>
              <w:sym w:font="Wingdings" w:char="F0FE"/>
            </w:r>
            <w:r>
              <w:rPr>
                <w:rFonts w:hint="eastAsia" w:ascii="仿宋" w:hAnsi="仿宋" w:eastAsia="仿宋" w:cs="宋体"/>
                <w:color w:val="auto"/>
                <w:kern w:val="0"/>
                <w:sz w:val="24"/>
                <w:highlight w:val="none"/>
              </w:rPr>
              <w:t>B</w:t>
            </w:r>
            <w:r>
              <w:rPr>
                <w:rFonts w:hint="eastAsia" w:ascii="仿宋" w:hAnsi="仿宋" w:eastAsia="仿宋" w:cs="宋体"/>
                <w:color w:val="auto"/>
                <w:sz w:val="24"/>
                <w:highlight w:val="none"/>
              </w:rPr>
              <w:t>不同意分包。</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auto"/>
                <w:sz w:val="24"/>
                <w:highlight w:val="none"/>
              </w:rPr>
            </w:pPr>
            <w:r>
              <w:rPr>
                <w:rFonts w:ascii="仿宋" w:hAnsi="仿宋" w:eastAsia="仿宋" w:cs="Arial"/>
                <w:color w:val="auto"/>
                <w:kern w:val="0"/>
                <w:sz w:val="24"/>
                <w:highlight w:val="none"/>
              </w:rPr>
              <w:sym w:font="Wingdings" w:char="F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pPr>
              <w:spacing w:line="360" w:lineRule="auto"/>
              <w:rPr>
                <w:rFonts w:ascii="仿宋" w:hAnsi="仿宋" w:eastAsia="仿宋" w:cs="宋体"/>
                <w:color w:val="auto"/>
                <w:sz w:val="24"/>
                <w:szCs w:val="20"/>
                <w:highlight w:val="none"/>
              </w:rPr>
            </w:pPr>
            <w:sdt>
              <w:sdtPr>
                <w:rPr>
                  <w:rFonts w:hint="eastAsia" w:ascii="仿宋" w:hAnsi="仿宋" w:eastAsia="仿宋" w:cs="宋体"/>
                  <w:color w:val="auto"/>
                  <w:kern w:val="0"/>
                  <w:sz w:val="24"/>
                  <w:highlight w:val="none"/>
                </w:rPr>
                <w:id w:val="-999802974"/>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color w:val="auto"/>
                <w:kern w:val="0"/>
                <w:sz w:val="24"/>
                <w:highlight w:val="none"/>
              </w:rPr>
              <w:t>B组织，</w:t>
            </w:r>
            <w:r>
              <w:rPr>
                <w:rFonts w:hint="eastAsia" w:ascii="仿宋" w:hAnsi="仿宋" w:eastAsia="仿宋" w:cs="宋体"/>
                <w:color w:val="auto"/>
                <w:sz w:val="24"/>
                <w:highlight w:val="none"/>
              </w:rPr>
              <w:t>时间：,地点：，联系人：，联系方式：</w:t>
            </w:r>
            <w:r>
              <w:rPr>
                <w:rFonts w:hint="eastAsia" w:ascii="仿宋" w:hAnsi="仿宋" w:eastAsia="仿宋"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auto"/>
                <w:sz w:val="24"/>
                <w:highlight w:val="none"/>
              </w:rPr>
            </w:pPr>
            <w:r>
              <w:rPr>
                <w:rFonts w:ascii="仿宋" w:hAnsi="仿宋" w:eastAsia="仿宋" w:cs="Arial"/>
                <w:color w:val="auto"/>
                <w:kern w:val="0"/>
                <w:sz w:val="24"/>
                <w:highlight w:val="none"/>
              </w:rPr>
              <w:sym w:font="Wingdings" w:char="F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p>
            <w:pPr>
              <w:spacing w:line="360" w:lineRule="auto"/>
              <w:rPr>
                <w:rFonts w:ascii="仿宋" w:hAnsi="仿宋" w:eastAsia="仿宋" w:cs="宋体"/>
                <w:color w:val="auto"/>
                <w:kern w:val="0"/>
                <w:sz w:val="24"/>
                <w:highlight w:val="none"/>
              </w:rPr>
            </w:pPr>
            <w:sdt>
              <w:sdtPr>
                <w:rPr>
                  <w:rFonts w:hint="eastAsia" w:ascii="仿宋" w:hAnsi="仿宋" w:eastAsia="仿宋" w:cs="宋体"/>
                  <w:color w:val="auto"/>
                  <w:kern w:val="0"/>
                  <w:sz w:val="24"/>
                  <w:highlight w:val="none"/>
                </w:rPr>
                <w:id w:val="1026831988"/>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kern w:val="0"/>
                <w:sz w:val="24"/>
                <w:highlight w:val="none"/>
              </w:rPr>
              <w:t>B要求提供，</w:t>
            </w:r>
          </w:p>
          <w:p>
            <w:pPr>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snapToGrid w:val="0"/>
                <w:color w:val="auto"/>
                <w:kern w:val="28"/>
                <w:sz w:val="24"/>
                <w:highlight w:val="none"/>
              </w:rPr>
              <w:t>样品：</w:t>
            </w:r>
            <w:r>
              <w:rPr>
                <w:rFonts w:hint="eastAsia" w:ascii="仿宋" w:hAnsi="仿宋" w:eastAsia="仿宋" w:cs="宋体"/>
                <w:color w:val="auto"/>
                <w:kern w:val="0"/>
                <w:sz w:val="24"/>
                <w:highlight w:val="none"/>
              </w:rPr>
              <w:t>；</w:t>
            </w:r>
          </w:p>
          <w:p>
            <w:pPr>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hint="eastAsia" w:ascii="仿宋" w:hAnsi="仿宋" w:eastAsia="仿宋" w:cs="宋体"/>
                <w:snapToGrid w:val="0"/>
                <w:color w:val="auto"/>
                <w:kern w:val="28"/>
                <w:sz w:val="24"/>
                <w:highlight w:val="none"/>
              </w:rPr>
              <w:t>样品制作的标准和要求：</w:t>
            </w:r>
            <w:r>
              <w:rPr>
                <w:rFonts w:hint="eastAsia" w:ascii="仿宋" w:hAnsi="仿宋" w:eastAsia="仿宋" w:cs="宋体"/>
                <w:color w:val="auto"/>
                <w:kern w:val="0"/>
                <w:sz w:val="24"/>
                <w:highlight w:val="none"/>
              </w:rPr>
              <w:t>；</w:t>
            </w:r>
          </w:p>
          <w:p>
            <w:pPr>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（3）样品的评审方法以及评审标准</w:t>
            </w:r>
            <w:r>
              <w:rPr>
                <w:rFonts w:hint="eastAsia" w:ascii="仿宋" w:hAnsi="仿宋" w:eastAsia="仿宋" w:cs="宋体"/>
                <w:snapToGrid w:val="0"/>
                <w:color w:val="auto"/>
                <w:kern w:val="28"/>
                <w:sz w:val="24"/>
                <w:highlight w:val="none"/>
              </w:rPr>
              <w:t>：详见</w:t>
            </w:r>
            <w:r>
              <w:rPr>
                <w:rFonts w:hint="eastAsia" w:ascii="仿宋" w:hAnsi="仿宋" w:eastAsia="仿宋" w:cs="宋体"/>
                <w:color w:val="auto"/>
                <w:sz w:val="24"/>
                <w:highlight w:val="none"/>
                <w:u w:val="single"/>
              </w:rPr>
              <w:t>评标办法</w:t>
            </w:r>
            <w:r>
              <w:rPr>
                <w:rFonts w:hint="eastAsia" w:ascii="仿宋" w:hAnsi="仿宋" w:eastAsia="仿宋" w:cs="宋体"/>
                <w:color w:val="auto"/>
                <w:kern w:val="0"/>
                <w:sz w:val="24"/>
                <w:highlight w:val="none"/>
              </w:rPr>
              <w:t>；</w:t>
            </w:r>
          </w:p>
          <w:p>
            <w:pPr>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（4）是否需要随样品提交检测报告：</w:t>
            </w:r>
            <w:sdt>
              <w:sdtPr>
                <w:rPr>
                  <w:rFonts w:hint="eastAsia" w:ascii="仿宋" w:hAnsi="仿宋" w:eastAsia="仿宋" w:cs="宋体"/>
                  <w:color w:val="auto"/>
                  <w:kern w:val="0"/>
                  <w:sz w:val="24"/>
                  <w:highlight w:val="none"/>
                </w:rPr>
                <w:id w:val="1303421454"/>
              </w:sdtPr>
              <w:sdtEndPr>
                <w:rPr>
                  <w:rFonts w:hint="eastAsia" w:ascii="仿宋" w:hAnsi="仿宋" w:eastAsia="仿宋" w:cs="宋体"/>
                  <w:color w:val="auto"/>
                  <w:kern w:val="0"/>
                  <w:sz w:val="24"/>
                  <w:highlight w:val="none"/>
                </w:rPr>
              </w:sdtEndPr>
              <w:sdtContent>
                <w:r>
                  <w:rPr>
                    <w:rFonts w:hint="eastAsia" w:ascii="仿宋" w:hAnsi="MS Gothic" w:eastAsia="MS Gothic" w:cs="宋体"/>
                    <w:color w:val="auto"/>
                    <w:kern w:val="0"/>
                    <w:sz w:val="24"/>
                    <w:highlight w:val="none"/>
                  </w:rPr>
                  <w:t>☐</w:t>
                </w:r>
              </w:sdtContent>
            </w:sdt>
            <w:r>
              <w:rPr>
                <w:rFonts w:hint="eastAsia" w:ascii="仿宋" w:hAnsi="仿宋" w:eastAsia="仿宋" w:cs="宋体"/>
                <w:color w:val="auto"/>
                <w:kern w:val="0"/>
                <w:sz w:val="24"/>
                <w:highlight w:val="none"/>
              </w:rPr>
              <w:t>否；</w:t>
            </w:r>
            <w:sdt>
              <w:sdtPr>
                <w:rPr>
                  <w:rFonts w:hint="eastAsia" w:ascii="仿宋" w:hAnsi="仿宋" w:eastAsia="仿宋" w:cs="宋体"/>
                  <w:color w:val="auto"/>
                  <w:kern w:val="0"/>
                  <w:sz w:val="24"/>
                  <w:highlight w:val="none"/>
                </w:rPr>
                <w:id w:val="1621728433"/>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color w:val="auto"/>
                <w:kern w:val="0"/>
                <w:sz w:val="24"/>
                <w:highlight w:val="none"/>
              </w:rPr>
              <w:t>是，检测机构的要求</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rPr>
              <w:t>；检测内容</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rPr>
              <w:t>。</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（5）提供样品的时间：</w:t>
            </w:r>
            <w:r>
              <w:rPr>
                <w:rFonts w:hint="eastAsia" w:ascii="仿宋" w:hAnsi="仿宋" w:eastAsia="仿宋" w:cs="宋体"/>
                <w:color w:val="auto"/>
                <w:kern w:val="0"/>
                <w:sz w:val="24"/>
                <w:highlight w:val="none"/>
              </w:rPr>
              <w:t>；地点：；联系人</w:t>
            </w:r>
            <w:r>
              <w:rPr>
                <w:rFonts w:hint="eastAsia" w:ascii="仿宋" w:hAnsi="仿宋" w:eastAsia="仿宋" w:cs="宋体"/>
                <w:color w:val="auto"/>
                <w:sz w:val="24"/>
                <w:highlight w:val="none"/>
              </w:rPr>
              <w:t>：，</w:t>
            </w:r>
            <w:r>
              <w:rPr>
                <w:rFonts w:hint="eastAsia" w:ascii="仿宋" w:hAnsi="仿宋" w:eastAsia="仿宋" w:cs="宋体"/>
                <w:color w:val="auto"/>
                <w:kern w:val="28"/>
                <w:sz w:val="24"/>
                <w:highlight w:val="none"/>
              </w:rPr>
              <w:t>联系电话：</w:t>
            </w:r>
            <w:r>
              <w:rPr>
                <w:rFonts w:hint="eastAsia" w:ascii="仿宋" w:hAnsi="仿宋" w:eastAsia="仿宋"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auto"/>
                <w:sz w:val="24"/>
                <w:highlight w:val="none"/>
              </w:rPr>
            </w:pPr>
            <w:r>
              <w:rPr>
                <w:rFonts w:hint="eastAsia" w:ascii="仿宋" w:hAnsi="仿宋" w:eastAsia="仿宋"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auto"/>
                <w:sz w:val="24"/>
                <w:highlight w:val="none"/>
              </w:rPr>
            </w:pPr>
            <w:r>
              <w:rPr>
                <w:rFonts w:ascii="仿宋" w:hAnsi="仿宋" w:eastAsia="仿宋" w:cs="Arial"/>
                <w:color w:val="auto"/>
                <w:kern w:val="0"/>
                <w:sz w:val="24"/>
                <w:highlight w:val="none"/>
              </w:rPr>
              <w:sym w:font="Wingdings" w:char="F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pPr>
              <w:spacing w:line="360" w:lineRule="auto"/>
              <w:rPr>
                <w:rFonts w:ascii="仿宋" w:hAnsi="仿宋" w:eastAsia="仿宋" w:cs="宋体"/>
                <w:color w:val="auto"/>
                <w:kern w:val="0"/>
                <w:sz w:val="24"/>
                <w:highlight w:val="none"/>
              </w:rPr>
            </w:pPr>
            <w:sdt>
              <w:sdtPr>
                <w:rPr>
                  <w:rFonts w:hint="eastAsia" w:ascii="仿宋" w:hAnsi="仿宋" w:eastAsia="仿宋" w:cs="宋体"/>
                  <w:color w:val="auto"/>
                  <w:kern w:val="0"/>
                  <w:sz w:val="24"/>
                  <w:highlight w:val="none"/>
                </w:rPr>
                <w:id w:val="1174071719"/>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color w:val="auto"/>
                <w:kern w:val="0"/>
                <w:sz w:val="24"/>
                <w:highlight w:val="none"/>
              </w:rPr>
              <w:t>B组织。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（1）在评标时安排每个投标人进行方案讲解演示。每个投标人时间不超过</w:t>
            </w:r>
            <w:r>
              <w:rPr>
                <w:rFonts w:hint="eastAsia" w:ascii="仿宋" w:hAnsi="仿宋" w:eastAsia="仿宋" w:cs="宋体"/>
                <w:color w:val="auto"/>
                <w:kern w:val="0"/>
                <w:sz w:val="24"/>
                <w:highlight w:val="none"/>
                <w:u w:val="single"/>
              </w:rPr>
              <w:t>20（编制时可根据项目情况进行调整）</w:t>
            </w:r>
            <w:r>
              <w:rPr>
                <w:rFonts w:hint="eastAsia" w:ascii="仿宋" w:hAnsi="仿宋" w:eastAsia="仿宋" w:cs="宋体"/>
                <w:color w:val="auto"/>
                <w:kern w:val="0"/>
                <w:sz w:val="24"/>
                <w:highlight w:val="none"/>
              </w:rPr>
              <w:t>分钟，讲解次序以投标文件解密时间先后次序为准，讲解演示人员不超过</w:t>
            </w:r>
            <w:r>
              <w:rPr>
                <w:rFonts w:hint="eastAsia" w:ascii="仿宋" w:hAnsi="仿宋" w:eastAsia="仿宋" w:cs="宋体"/>
                <w:color w:val="auto"/>
                <w:kern w:val="0"/>
                <w:sz w:val="24"/>
                <w:highlight w:val="none"/>
                <w:u w:val="single"/>
              </w:rPr>
              <w:t>3（编制时可根据项目情况进行调整）</w:t>
            </w:r>
            <w:r>
              <w:rPr>
                <w:rFonts w:hint="eastAsia" w:ascii="仿宋" w:hAnsi="仿宋" w:eastAsia="仿宋" w:cs="宋体"/>
                <w:color w:val="auto"/>
                <w:kern w:val="0"/>
                <w:sz w:val="24"/>
                <w:highlight w:val="none"/>
              </w:rPr>
              <w:t>人。讲解演示结束后按要求解答评标委员会提问。</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（2）方案讲解演示可选择以下其中一种方式：</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（1）资格证明文件：见招标文件第二部分11.1。</w:t>
            </w:r>
          </w:p>
          <w:p>
            <w:pPr>
              <w:spacing w:line="360" w:lineRule="auto"/>
              <w:rPr>
                <w:rFonts w:ascii="仿宋" w:hAnsi="仿宋" w:eastAsia="仿宋" w:cs="宋体"/>
                <w:snapToGrid w:val="0"/>
                <w:color w:val="auto"/>
                <w:kern w:val="0"/>
                <w:szCs w:val="21"/>
                <w:highlight w:val="none"/>
              </w:rPr>
            </w:pPr>
            <w:r>
              <w:rPr>
                <w:rFonts w:hint="eastAsia" w:ascii="仿宋" w:hAnsi="仿宋" w:eastAsia="仿宋"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auto"/>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有关本项目实施所需的所有费用（含税费）均计入报价。投标报价包含为完成本项目服务可能发生的全部费用及供应商的利润和应交纳的税金、项目不可预见的风险等一切费用【包括但不限于：包括人员工资、福利、津贴、高温费、加班费、食宿费（采购人提供备勤室的除外）、交通费、培训费、体检费、服装费、装备费及法律规定的各类社会保险等所有涉及的一切费用】。</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宋体"/>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s="宋体"/>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pPr>
              <w:spacing w:line="360" w:lineRule="auto"/>
              <w:ind w:firstLine="241" w:firstLineChars="100"/>
              <w:rPr>
                <w:rFonts w:ascii="仿宋" w:hAnsi="仿宋" w:eastAsia="仿宋" w:cs="宋体"/>
                <w:color w:val="auto"/>
                <w:sz w:val="24"/>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宋体"/>
                <w:color w:val="auto"/>
                <w:kern w:val="28"/>
                <w:sz w:val="24"/>
                <w:highlight w:val="none"/>
              </w:rPr>
            </w:pPr>
            <w:r>
              <w:rPr>
                <w:rFonts w:hint="eastAsia" w:ascii="仿宋" w:hAnsi="仿宋" w:eastAsia="仿宋" w:cs="宋体"/>
                <w:color w:val="auto"/>
                <w:kern w:val="28"/>
                <w:sz w:val="24"/>
                <w:szCs w:val="24"/>
                <w:highlight w:val="none"/>
              </w:rPr>
              <w:t>备份投标文件送达地点：杭州市拱墅区祥园路45号盘石全球数字经济产业园D座409室；备份投标文件签收人员联系电话：</w:t>
            </w:r>
            <w:r>
              <w:rPr>
                <w:rFonts w:hint="eastAsia" w:ascii="仿宋" w:hAnsi="仿宋" w:eastAsia="仿宋" w:cs="宋体"/>
                <w:color w:val="auto"/>
                <w:kern w:val="28"/>
                <w:sz w:val="24"/>
                <w:szCs w:val="24"/>
                <w:highlight w:val="none"/>
                <w:lang w:val="en-US" w:eastAsia="zh-CN"/>
              </w:rPr>
              <w:t>方晨；18057185267</w:t>
            </w:r>
            <w:r>
              <w:rPr>
                <w:rFonts w:hint="eastAsia" w:ascii="仿宋" w:hAnsi="仿宋" w:eastAsia="仿宋" w:cs="宋体"/>
                <w:color w:val="auto"/>
                <w:sz w:val="24"/>
                <w:szCs w:val="24"/>
                <w:highlight w:val="none"/>
              </w:rPr>
              <w:t>。</w:t>
            </w:r>
            <w:r>
              <w:rPr>
                <w:rFonts w:hint="eastAsia" w:ascii="仿宋" w:hAnsi="仿宋" w:eastAsia="仿宋"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1075" w:type="pct"/>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招标服务费</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default" w:ascii="仿宋" w:hAnsi="仿宋" w:eastAsia="仿宋" w:cs="宋体"/>
                <w:snapToGrid w:val="0"/>
                <w:color w:val="auto"/>
                <w:kern w:val="28"/>
                <w:sz w:val="24"/>
                <w:highlight w:val="none"/>
              </w:rPr>
            </w:pPr>
            <w:r>
              <w:rPr>
                <w:rFonts w:hint="default" w:ascii="仿宋" w:hAnsi="仿宋" w:eastAsia="仿宋" w:cs="宋体"/>
                <w:snapToGrid w:val="0"/>
                <w:color w:val="auto"/>
                <w:kern w:val="28"/>
                <w:sz w:val="24"/>
                <w:highlight w:val="none"/>
              </w:rPr>
              <w:t>中标人需向</w:t>
            </w:r>
            <w:r>
              <w:rPr>
                <w:rFonts w:hint="default" w:ascii="仿宋" w:hAnsi="仿宋" w:eastAsia="仿宋" w:cs="宋体"/>
                <w:snapToGrid w:val="0"/>
                <w:color w:val="auto"/>
                <w:kern w:val="28"/>
                <w:sz w:val="24"/>
                <w:highlight w:val="none"/>
                <w:lang w:eastAsia="zh-CN"/>
              </w:rPr>
              <w:t>浙江正浩招标代理有限公司</w:t>
            </w:r>
            <w:r>
              <w:rPr>
                <w:rFonts w:hint="default" w:ascii="仿宋" w:hAnsi="仿宋" w:eastAsia="仿宋" w:cs="宋体"/>
                <w:snapToGrid w:val="0"/>
                <w:color w:val="auto"/>
                <w:kern w:val="28"/>
                <w:sz w:val="24"/>
                <w:highlight w:val="none"/>
              </w:rPr>
              <w:t>支付招标代理服务费，收费标准为：以中标通知书中确定的中标总金额作为收费的计算基数，按照《关于杭州市招标代理服务收费管理有关问题的通知》(杭价费[2003]148号)文件规定的相应项目收费标准下浮</w:t>
            </w:r>
            <w:r>
              <w:rPr>
                <w:rFonts w:hint="default" w:ascii="仿宋" w:hAnsi="仿宋" w:eastAsia="仿宋" w:cs="宋体"/>
                <w:snapToGrid w:val="0"/>
                <w:color w:val="auto"/>
                <w:kern w:val="28"/>
                <w:sz w:val="24"/>
                <w:highlight w:val="none"/>
                <w:lang w:val="en-US" w:eastAsia="zh-CN"/>
              </w:rPr>
              <w:t>65</w:t>
            </w:r>
            <w:r>
              <w:rPr>
                <w:rFonts w:hint="default" w:ascii="仿宋" w:hAnsi="仿宋" w:eastAsia="仿宋" w:cs="宋体"/>
                <w:snapToGrid w:val="0"/>
                <w:color w:val="auto"/>
                <w:kern w:val="28"/>
                <w:sz w:val="24"/>
                <w:highlight w:val="none"/>
              </w:rPr>
              <w:t>%取费。</w:t>
            </w:r>
          </w:p>
          <w:p>
            <w:pPr>
              <w:spacing w:line="360" w:lineRule="auto"/>
              <w:jc w:val="left"/>
              <w:rPr>
                <w:rFonts w:ascii="仿宋" w:hAnsi="仿宋" w:eastAsia="仿宋" w:cs="宋体"/>
                <w:snapToGrid w:val="0"/>
                <w:color w:val="auto"/>
                <w:kern w:val="28"/>
                <w:sz w:val="24"/>
                <w:highlight w:val="none"/>
              </w:rPr>
            </w:pPr>
            <w:r>
              <w:rPr>
                <w:rFonts w:hint="default" w:ascii="仿宋" w:hAnsi="仿宋" w:eastAsia="仿宋" w:cs="宋体"/>
                <w:snapToGrid w:val="0"/>
                <w:color w:val="auto"/>
                <w:kern w:val="28"/>
                <w:sz w:val="24"/>
                <w:highlight w:val="none"/>
                <w:lang w:val="en-US" w:eastAsia="zh-CN"/>
              </w:rPr>
              <w:t>以上费用由中标人在领取中标通知书时一次性向采购代理机构付清。(开户名：浙江正浩招标代理有限公司,</w:t>
            </w:r>
            <w:r>
              <w:rPr>
                <w:rFonts w:hint="default" w:ascii="仿宋" w:hAnsi="仿宋" w:eastAsia="仿宋" w:cs="宋体"/>
                <w:snapToGrid w:val="0"/>
                <w:color w:val="auto"/>
                <w:kern w:val="28"/>
                <w:sz w:val="24"/>
                <w:highlight w:val="none"/>
              </w:rPr>
              <w:t>开户银行：浙商银行杭州分行营业部；账号：3310010010120101045391</w:t>
            </w:r>
            <w:r>
              <w:rPr>
                <w:rFonts w:hint="default" w:ascii="仿宋" w:hAnsi="仿宋" w:eastAsia="仿宋" w:cs="宋体"/>
                <w:snapToGrid w:val="0"/>
                <w:color w:val="auto"/>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1075" w:type="pct"/>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r>
              <w:rPr>
                <w:rFonts w:hint="eastAsia" w:ascii="仿宋" w:hAnsi="仿宋" w:eastAsia="仿宋" w:cs="仿宋_GB2312"/>
                <w:b/>
                <w:color w:val="auto"/>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color w:val="auto"/>
                <w:sz w:val="24"/>
                <w:highlight w:val="none"/>
              </w:rPr>
            </w:pPr>
          </w:p>
        </w:tc>
        <w:tc>
          <w:tcPr>
            <w:tcW w:w="1075" w:type="pct"/>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auto"/>
                <w:sz w:val="24"/>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auto"/>
                <w:kern w:val="28"/>
                <w:sz w:val="24"/>
                <w:highlight w:val="none"/>
              </w:rPr>
            </w:pPr>
            <w:sdt>
              <w:sdtPr>
                <w:rPr>
                  <w:rFonts w:hint="eastAsia" w:ascii="仿宋" w:hAnsi="仿宋" w:eastAsia="仿宋" w:cs="Arial"/>
                  <w:color w:val="auto"/>
                  <w:kern w:val="0"/>
                  <w:sz w:val="24"/>
                  <w:highlight w:val="none"/>
                </w:rPr>
                <w:id w:val="-1816336663"/>
              </w:sdtPr>
              <w:sdtEndPr>
                <w:rPr>
                  <w:rFonts w:hint="eastAsia" w:ascii="仿宋" w:hAnsi="仿宋" w:eastAsia="仿宋" w:cs="Arial"/>
                  <w:color w:val="auto"/>
                  <w:kern w:val="0"/>
                  <w:sz w:val="24"/>
                  <w:highlight w:val="none"/>
                </w:rPr>
              </w:sdtEndPr>
              <w:sdtContent>
                <w:r>
                  <w:rPr>
                    <w:rFonts w:hint="eastAsia" w:ascii="仿宋" w:hAnsi="MS Mincho" w:eastAsia="MS Mincho" w:cs="MS Mincho"/>
                    <w:color w:val="auto"/>
                    <w:kern w:val="0"/>
                    <w:sz w:val="24"/>
                    <w:highlight w:val="none"/>
                  </w:rPr>
                  <w:t>☐</w:t>
                </w:r>
              </w:sdtContent>
            </w:sdt>
            <w:r>
              <w:rPr>
                <w:rFonts w:hint="eastAsia" w:ascii="仿宋" w:hAnsi="仿宋" w:eastAsia="仿宋"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auto"/>
                <w:kern w:val="28"/>
                <w:sz w:val="24"/>
                <w:highlight w:val="none"/>
              </w:rPr>
            </w:pPr>
            <w:sdt>
              <w:sdtPr>
                <w:rPr>
                  <w:rFonts w:hint="eastAsia" w:ascii="仿宋" w:hAnsi="仿宋" w:eastAsia="仿宋" w:cs="Arial"/>
                  <w:color w:val="auto"/>
                  <w:kern w:val="0"/>
                  <w:sz w:val="24"/>
                  <w:highlight w:val="none"/>
                </w:rPr>
                <w:id w:val="-232311894"/>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hint="eastAsia" w:ascii="仿宋" w:hAnsi="仿宋" w:eastAsia="仿宋"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 w:hAnsi="仿宋" w:eastAsia="仿宋" w:cs="宋体"/>
          <w:b/>
          <w:color w:val="auto"/>
          <w:sz w:val="32"/>
          <w:szCs w:val="20"/>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rPr>
          <w:color w:val="auto"/>
          <w:highlight w:val="none"/>
        </w:rPr>
      </w:pPr>
    </w:p>
    <w:p>
      <w:pPr>
        <w:rPr>
          <w:color w:val="auto"/>
          <w:highlight w:val="none"/>
        </w:rPr>
      </w:pPr>
    </w:p>
    <w:bookmarkEnd w:id="10"/>
    <w:p>
      <w:pPr>
        <w:adjustRightInd/>
        <w:spacing w:line="240" w:lineRule="auto"/>
        <w:ind w:firstLine="0" w:firstLineChars="0"/>
        <w:outlineLvl w:val="9"/>
        <w:rPr>
          <w:rFonts w:hint="eastAsia" w:ascii="仿宋" w:hAnsi="仿宋" w:eastAsia="仿宋" w:cs="宋体"/>
          <w:b/>
          <w:color w:val="auto"/>
          <w:sz w:val="32"/>
          <w:szCs w:val="20"/>
          <w:highlight w:val="none"/>
        </w:rPr>
      </w:pPr>
      <w:bookmarkStart w:id="11" w:name="_Toc164416483"/>
      <w:bookmarkStart w:id="12" w:name="第三部分"/>
      <w:r>
        <w:rPr>
          <w:rFonts w:hint="eastAsia" w:ascii="仿宋" w:hAnsi="仿宋" w:eastAsia="仿宋" w:cs="宋体"/>
          <w:b/>
          <w:color w:val="auto"/>
          <w:sz w:val="32"/>
          <w:szCs w:val="20"/>
          <w:highlight w:val="none"/>
        </w:rPr>
        <w:br w:type="page"/>
      </w:r>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sdt>
        <w:sdtPr>
          <w:rPr>
            <w:rFonts w:hint="eastAsia" w:ascii="仿宋" w:hAnsi="仿宋" w:eastAsia="仿宋" w:cs="宋体"/>
            <w:color w:val="auto"/>
            <w:kern w:val="0"/>
            <w:sz w:val="24"/>
            <w:highlight w:val="none"/>
          </w:rPr>
          <w:id w:val="512970236"/>
        </w:sdtPr>
        <w:sdtEndPr>
          <w:rPr>
            <w:rFonts w:hint="eastAsia" w:ascii="仿宋" w:hAnsi="仿宋" w:eastAsia="仿宋" w:cs="宋体"/>
            <w:color w:val="auto"/>
            <w:kern w:val="0"/>
            <w:sz w:val="24"/>
            <w:highlight w:val="none"/>
          </w:rPr>
        </w:sdtEndPr>
        <w:sdtContent>
          <w:r>
            <w:rPr>
              <w:rFonts w:ascii="仿宋" w:hAnsi="仿宋" w:eastAsia="仿宋" w:cs="宋体"/>
              <w:color w:val="auto"/>
              <w:kern w:val="0"/>
              <w:sz w:val="24"/>
              <w:highlight w:val="none"/>
            </w:rPr>
            <w:t></w:t>
          </w:r>
        </w:sdtContent>
      </w:sdt>
      <w:r>
        <w:rPr>
          <w:rFonts w:hint="eastAsia" w:ascii="仿宋" w:hAnsi="仿宋" w:eastAsia="仿宋" w:cs="宋体"/>
          <w:color w:val="auto"/>
          <w:sz w:val="24"/>
          <w:highlight w:val="none"/>
        </w:rPr>
        <w:t>” 系指适用本项目的要求，“</w:t>
      </w:r>
      <w:sdt>
        <w:sdtPr>
          <w:rPr>
            <w:rFonts w:hint="eastAsia" w:ascii="仿宋" w:hAnsi="仿宋" w:eastAsia="仿宋" w:cs="宋体"/>
            <w:color w:val="auto"/>
            <w:kern w:val="0"/>
            <w:sz w:val="24"/>
            <w:highlight w:val="none"/>
          </w:rPr>
          <w:id w:val="404888855"/>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color w:val="auto"/>
          <w:sz w:val="24"/>
          <w:highlight w:val="none"/>
        </w:rPr>
        <w:t>” 系指不适用本项目的要求。</w:t>
      </w:r>
    </w:p>
    <w:p>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auto"/>
          <w:kern w:val="0"/>
          <w:sz w:val="24"/>
          <w:highlight w:val="none"/>
        </w:rPr>
        <w:t>优先采购向我国企业转让技术、与我国企业签订消化吸收再创新方案的供应商的进口产品</w:t>
      </w:r>
      <w:r>
        <w:rPr>
          <w:rFonts w:hint="eastAsia" w:ascii="仿宋" w:hAnsi="仿宋" w:eastAsia="仿宋" w:cs="宋体"/>
          <w:color w:val="auto"/>
          <w:sz w:val="24"/>
          <w:highlight w:val="none"/>
        </w:rPr>
        <w:t>。</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 xml:space="preserve">3.2.4 </w:t>
      </w:r>
      <w:r>
        <w:rPr>
          <w:rFonts w:hint="eastAsia" w:ascii="仿宋" w:hAnsi="仿宋" w:eastAsia="仿宋"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仿宋" w:hAnsi="仿宋" w:eastAsia="仿宋" w:cs="宋体"/>
          <w:color w:val="auto"/>
          <w:sz w:val="24"/>
          <w:highlight w:val="none"/>
        </w:rPr>
        <w:t>20</w:t>
      </w:r>
      <w:r>
        <w:rPr>
          <w:rFonts w:hint="eastAsia" w:ascii="仿宋" w:hAnsi="仿宋" w:eastAsia="仿宋"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仿宋" w:hAnsi="仿宋" w:eastAsia="仿宋" w:cs="宋体"/>
          <w:color w:val="auto"/>
          <w:sz w:val="24"/>
          <w:highlight w:val="none"/>
        </w:rPr>
        <w:t>6</w:t>
      </w:r>
      <w:r>
        <w:rPr>
          <w:rFonts w:hint="eastAsia" w:ascii="仿宋" w:hAnsi="仿宋" w:eastAsia="仿宋"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宋体"/>
          <w:color w:val="auto"/>
          <w:sz w:val="24"/>
          <w:highlight w:val="none"/>
          <w:lang w:val="en-US"/>
        </w:rPr>
      </w:pPr>
      <w:r>
        <w:rPr>
          <w:rFonts w:hint="eastAsia" w:ascii="仿宋" w:hAnsi="仿宋" w:eastAsia="仿宋" w:cs="宋体"/>
          <w:color w:val="auto"/>
          <w:sz w:val="24"/>
          <w:highlight w:val="none"/>
          <w:lang w:val="en-US"/>
        </w:rPr>
        <w:t xml:space="preserve">3.4.3 </w:t>
      </w:r>
      <w:r>
        <w:rPr>
          <w:rFonts w:hint="eastAsia" w:ascii="仿宋" w:hAnsi="仿宋" w:eastAsia="仿宋" w:cs="宋体"/>
          <w:color w:val="auto"/>
          <w:sz w:val="24"/>
          <w:highlight w:val="none"/>
          <w:lang w:val="en-US" w:eastAsia="zh-CN"/>
        </w:rPr>
        <w:t>采购人应当贯彻落实知识产权保护相关法律法规，</w:t>
      </w:r>
      <w:r>
        <w:rPr>
          <w:rFonts w:hint="eastAsia" w:ascii="仿宋" w:hAnsi="仿宋" w:eastAsia="仿宋" w:cs="宋体"/>
          <w:color w:val="auto"/>
          <w:sz w:val="24"/>
          <w:highlight w:val="none"/>
          <w:lang w:val="en-US"/>
        </w:rPr>
        <w:t>应当采购使用正版软件。</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pPr>
        <w:pStyle w:val="33"/>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.2供应商认为招标文件、采购过程和中标结果使自己的权益受到损害的，可以在知道或者应知其权益受到损害之日起7个工作日内，以书面形式向采购代理机构提出质疑，否则，采购代理机构不予受理：</w:t>
      </w:r>
    </w:p>
    <w:p>
      <w:pPr>
        <w:pStyle w:val="5"/>
        <w:spacing w:line="360" w:lineRule="auto"/>
        <w:ind w:firstLine="480" w:firstLineChars="200"/>
        <w:rPr>
          <w:rFonts w:ascii="仿宋" w:hAnsi="仿宋" w:eastAsia="仿宋" w:cs="宋体"/>
          <w:snapToGrid/>
          <w:color w:val="auto"/>
          <w:kern w:val="2"/>
          <w:sz w:val="24"/>
          <w:highlight w:val="none"/>
        </w:rPr>
      </w:pPr>
      <w:r>
        <w:rPr>
          <w:rFonts w:hint="eastAsia" w:ascii="仿宋" w:hAnsi="仿宋" w:eastAsia="仿宋"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4.3.3.1供应商的姓名或者名称、地址、邮编、联系人及联系电话；</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4.3.3.2质疑项目的名称、编号；</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4.3.3.3具体、明确的质疑事项和与质疑事项相关的请求；</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4.3.3.4事实依据；</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4.3.3.5必要的法律依据；</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4.5 补偿救济</w:t>
      </w:r>
    </w:p>
    <w:p>
      <w:pPr>
        <w:pStyle w:val="886"/>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pPr>
        <w:pStyle w:val="128"/>
        <w:snapToGrid w:val="0"/>
        <w:spacing w:before="0"/>
        <w:ind w:firstLine="360"/>
        <w:rPr>
          <w:rFonts w:ascii="仿宋" w:hAnsi="仿宋" w:eastAsia="仿宋" w:cs="宋体"/>
          <w:color w:val="auto"/>
          <w:sz w:val="18"/>
          <w:szCs w:val="18"/>
          <w:highlight w:val="none"/>
        </w:rPr>
      </w:pPr>
    </w:p>
    <w:p>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color w:val="auto"/>
          <w:sz w:val="18"/>
          <w:szCs w:val="18"/>
          <w:highlight w:val="none"/>
          <w:lang w:val="en-US"/>
        </w:rPr>
      </w:pPr>
    </w:p>
    <w:p>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0" w:leftChars="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0" w:leftChars="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pStyle w:val="3"/>
        <w:adjustRightInd w:val="0"/>
        <w:ind w:left="0"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spacing w:line="360" w:lineRule="auto"/>
        <w:ind w:firstLine="720" w:firstLineChars="300"/>
        <w:rPr>
          <w:rFonts w:hint="eastAsia" w:ascii="仿宋" w:hAnsi="仿宋" w:eastAsia="仿宋" w:cs="仿宋"/>
          <w:b/>
          <w:color w:val="auto"/>
          <w:sz w:val="24"/>
          <w:szCs w:val="21"/>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pPr>
        <w:pStyle w:val="128"/>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pPr>
        <w:pStyle w:val="128"/>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pPr>
        <w:pStyle w:val="128"/>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pPr>
        <w:pStyle w:val="128"/>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pPr>
        <w:pStyle w:val="33"/>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w:t>
      </w:r>
      <w:r>
        <w:rPr>
          <w:rFonts w:hint="eastAsia" w:ascii="仿宋" w:hAnsi="仿宋" w:eastAsia="仿宋" w:cs="宋体"/>
          <w:color w:val="auto"/>
          <w:sz w:val="24"/>
          <w:highlight w:val="none"/>
        </w:rPr>
        <w:t>DVD光盘等存储介质</w:t>
      </w:r>
      <w:r>
        <w:rPr>
          <w:rFonts w:hint="eastAsia" w:ascii="仿宋" w:hAnsi="仿宋" w:eastAsia="仿宋"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auto"/>
          <w:sz w:val="24"/>
          <w:szCs w:val="24"/>
          <w:highlight w:val="none"/>
        </w:rPr>
        <w:t>招标文件第二部分投标人须知前附表规定的备份投标文件送达地点；</w:t>
      </w:r>
      <w:r>
        <w:rPr>
          <w:rFonts w:hint="eastAsia" w:ascii="仿宋" w:hAnsi="仿宋" w:eastAsia="仿宋"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pPr>
        <w:pStyle w:val="25"/>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pPr>
        <w:pStyle w:val="128"/>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pPr>
        <w:pStyle w:val="128"/>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pPr>
        <w:pStyle w:val="128"/>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宋体"/>
          <w:b/>
          <w:color w:val="auto"/>
          <w:sz w:val="32"/>
          <w:highlight w:val="none"/>
        </w:rPr>
      </w:pPr>
    </w:p>
    <w:p>
      <w:pPr>
        <w:pStyle w:val="128"/>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pPr>
        <w:pStyle w:val="554"/>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pPr>
        <w:pStyle w:val="554"/>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18.3</w:t>
      </w:r>
      <w:r>
        <w:rPr>
          <w:rFonts w:hint="eastAsia" w:ascii="仿宋" w:hAnsi="仿宋" w:eastAsia="仿宋"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　19、资格审查</w:t>
      </w:r>
    </w:p>
    <w:p>
      <w:pPr>
        <w:pStyle w:val="128"/>
        <w:spacing w:before="0"/>
        <w:ind w:firstLine="240" w:firstLineChars="100"/>
        <w:rPr>
          <w:rFonts w:ascii="仿宋" w:hAnsi="仿宋" w:eastAsia="仿宋" w:cs="宋体"/>
          <w:bCs/>
          <w:color w:val="auto"/>
          <w:szCs w:val="24"/>
          <w:highlight w:val="none"/>
        </w:rPr>
      </w:pPr>
      <w:r>
        <w:rPr>
          <w:rFonts w:hint="eastAsia" w:ascii="仿宋" w:hAnsi="仿宋" w:eastAsia="仿宋" w:cs="宋体"/>
          <w:bCs/>
          <w:color w:val="auto"/>
          <w:szCs w:val="24"/>
          <w:highlight w:val="none"/>
        </w:rPr>
        <w:t>19.1采购人或采购代理机构依据法律法规和招标文件的规定，对投标人的资格进行审查。</w:t>
      </w:r>
    </w:p>
    <w:p>
      <w:pPr>
        <w:pStyle w:val="128"/>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19.2投标人未按照招标文件要求提供与</w:t>
      </w:r>
      <w:r>
        <w:rPr>
          <w:rFonts w:hint="eastAsia" w:ascii="仿宋" w:hAnsi="仿宋" w:eastAsia="仿宋" w:cs="宋体"/>
          <w:color w:val="auto"/>
          <w:highlight w:val="none"/>
        </w:rPr>
        <w:t>资格条件相应的</w:t>
      </w:r>
      <w:r>
        <w:rPr>
          <w:rFonts w:hint="eastAsia" w:ascii="仿宋" w:hAnsi="仿宋" w:eastAsia="仿宋" w:cs="宋体"/>
          <w:color w:val="auto"/>
          <w:kern w:val="0"/>
          <w:szCs w:val="24"/>
          <w:highlight w:val="none"/>
        </w:rPr>
        <w:t>有效资格证明材料的，视为</w:t>
      </w:r>
      <w:r>
        <w:rPr>
          <w:rFonts w:hint="eastAsia" w:ascii="仿宋" w:hAnsi="仿宋" w:eastAsia="仿宋" w:cs="宋体"/>
          <w:color w:val="auto"/>
          <w:highlight w:val="none"/>
        </w:rPr>
        <w:t>投标人不具备招标文件中规定的资格要求，其投标无效。</w:t>
      </w:r>
    </w:p>
    <w:p>
      <w:pPr>
        <w:pStyle w:val="128"/>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3对未通过资格审查的投标人，采购人或采购代理机构告知其未通过的原因。</w:t>
      </w:r>
    </w:p>
    <w:p>
      <w:pPr>
        <w:pStyle w:val="128"/>
        <w:spacing w:before="0"/>
        <w:ind w:firstLine="480"/>
        <w:rPr>
          <w:rFonts w:hint="eastAsia"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pPr>
        <w:pStyle w:val="128"/>
        <w:spacing w:before="0"/>
        <w:ind w:firstLine="480"/>
        <w:rPr>
          <w:rFonts w:hint="eastAsia" w:ascii="仿宋" w:hAnsi="仿宋" w:eastAsia="仿宋" w:cs="宋体"/>
          <w:color w:val="auto"/>
          <w:highlight w:val="none"/>
        </w:rPr>
      </w:pPr>
      <w:r>
        <w:rPr>
          <w:rFonts w:hint="eastAsia" w:ascii="仿宋" w:hAnsi="仿宋" w:eastAsia="仿宋"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8"/>
        <w:spacing w:before="0"/>
        <w:ind w:firstLine="48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pPr>
        <w:pStyle w:val="128"/>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pPr>
        <w:pStyle w:val="128"/>
        <w:spacing w:before="0"/>
        <w:ind w:firstLine="0" w:firstLineChars="0"/>
        <w:rPr>
          <w:rFonts w:ascii="仿宋" w:hAnsi="仿宋" w:eastAsia="仿宋" w:cs="宋体"/>
          <w:color w:val="auto"/>
          <w:kern w:val="0"/>
          <w:szCs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评标委员会由采购人代表和评审专家组成，成员人数为5人（采购人代表1人，评标专家4人由政</w:t>
      </w:r>
      <w:r>
        <w:rPr>
          <w:rFonts w:hint="eastAsia" w:ascii="仿宋" w:hAnsi="仿宋" w:eastAsia="仿宋" w:cs="仿宋_GB2312"/>
          <w:color w:val="auto"/>
          <w:sz w:val="24"/>
          <w:highlight w:val="none"/>
        </w:rPr>
        <w:t>采云平台相关专业随机抽取产生</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w:t>
      </w:r>
      <w:r>
        <w:rPr>
          <w:rFonts w:hint="eastAsia" w:ascii="仿宋" w:hAnsi="仿宋" w:eastAsia="仿宋" w:cs="宋体"/>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pPr>
        <w:spacing w:line="360" w:lineRule="auto"/>
        <w:rPr>
          <w:rFonts w:ascii="仿宋" w:hAnsi="仿宋" w:eastAsia="仿宋" w:cs="宋体"/>
          <w:b/>
          <w:color w:val="auto"/>
          <w:sz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pPr>
        <w:pStyle w:val="128"/>
        <w:snapToGrid w:val="0"/>
        <w:spacing w:before="0"/>
        <w:ind w:firstLine="480"/>
        <w:rPr>
          <w:rFonts w:ascii="仿宋" w:hAnsi="仿宋" w:eastAsia="仿宋" w:cs="宋体"/>
          <w:b w:val="0"/>
          <w:bCs/>
          <w:color w:val="auto"/>
          <w:szCs w:val="24"/>
          <w:highlight w:val="none"/>
        </w:rPr>
      </w:pPr>
      <w:r>
        <w:rPr>
          <w:rFonts w:hint="eastAsia" w:ascii="仿宋" w:hAnsi="仿宋" w:eastAsia="仿宋" w:cs="宋体"/>
          <w:b w:val="0"/>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宋体"/>
          <w:b w:val="0"/>
          <w:bCs/>
          <w:color w:val="auto"/>
          <w:szCs w:val="24"/>
          <w:highlight w:val="none"/>
          <w:lang w:val="en-US" w:eastAsia="zh-CN"/>
        </w:rPr>
        <w:t>鼓励</w:t>
      </w:r>
      <w:r>
        <w:rPr>
          <w:rFonts w:hint="eastAsia" w:ascii="仿宋" w:hAnsi="仿宋" w:eastAsia="仿宋" w:cs="宋体"/>
          <w:b w:val="0"/>
          <w:bCs/>
          <w:color w:val="auto"/>
          <w:szCs w:val="24"/>
          <w:highlight w:val="none"/>
        </w:rPr>
        <w:t>在收到评审报告当天</w:t>
      </w:r>
      <w:r>
        <w:rPr>
          <w:rFonts w:hint="eastAsia" w:ascii="仿宋" w:hAnsi="仿宋" w:eastAsia="仿宋" w:cs="宋体"/>
          <w:b w:val="0"/>
          <w:bCs/>
          <w:color w:val="auto"/>
          <w:szCs w:val="24"/>
          <w:highlight w:val="none"/>
          <w:lang w:val="en-US" w:eastAsia="zh-CN"/>
        </w:rPr>
        <w:t>在线</w:t>
      </w:r>
      <w:r>
        <w:rPr>
          <w:rFonts w:hint="eastAsia" w:ascii="仿宋" w:hAnsi="仿宋" w:eastAsia="仿宋" w:cs="宋体"/>
          <w:b w:val="0"/>
          <w:bCs/>
          <w:color w:val="auto"/>
          <w:szCs w:val="24"/>
          <w:highlight w:val="none"/>
        </w:rPr>
        <w:t>确定中标或者成交供应商。中标、成交通知书和中标、成交结果公告应当在规定时间内同时发出。</w:t>
      </w:r>
    </w:p>
    <w:p>
      <w:pPr>
        <w:pStyle w:val="128"/>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color w:val="auto"/>
          <w:sz w:val="24"/>
          <w:highlight w:val="none"/>
        </w:rPr>
        <w:t>资格审查情况、评审专家抽取规则、符合性审查情况、</w:t>
      </w:r>
      <w:bookmarkEnd w:id="14"/>
      <w:r>
        <w:rPr>
          <w:rFonts w:hint="eastAsia" w:ascii="仿宋" w:hAnsi="仿宋" w:eastAsia="仿宋"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 xml:space="preserve">23.4 </w:t>
      </w:r>
      <w:r>
        <w:rPr>
          <w:rFonts w:hint="eastAsia" w:ascii="仿宋" w:hAnsi="仿宋" w:eastAsia="仿宋" w:cs="宋体"/>
          <w:color w:val="auto"/>
          <w:sz w:val="24"/>
          <w:highlight w:val="none"/>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color w:val="auto"/>
          <w:sz w:val="32"/>
          <w:highlight w:val="none"/>
        </w:rPr>
      </w:pP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w:t>
      </w:r>
      <w:r>
        <w:rPr>
          <w:rFonts w:ascii="仿宋" w:hAnsi="仿宋" w:eastAsia="仿宋" w:cs="宋体"/>
          <w:color w:val="auto"/>
          <w:sz w:val="24"/>
          <w:highlight w:val="none"/>
        </w:rPr>
        <w:t>1</w:t>
      </w:r>
      <w:r>
        <w:rPr>
          <w:rFonts w:hint="eastAsia" w:ascii="仿宋" w:hAnsi="仿宋" w:eastAsia="仿宋"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pPr>
        <w:pStyle w:val="3"/>
        <w:ind w:left="0" w:firstLine="480" w:firstLineChars="200"/>
        <w:rPr>
          <w:rFonts w:ascii="仿宋" w:eastAsia="仿宋" w:cs="宋体"/>
          <w:b w:val="0"/>
          <w:bCs w:val="0"/>
          <w:snapToGrid w:val="0"/>
          <w:color w:val="auto"/>
          <w:kern w:val="28"/>
          <w:sz w:val="24"/>
          <w:highlight w:val="none"/>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olor w:val="auto"/>
          <w:highlight w:val="none"/>
        </w:rPr>
      </w:pPr>
      <w:r>
        <w:rPr>
          <w:rFonts w:ascii="仿宋" w:eastAsia="仿宋"/>
          <w:color w:val="auto"/>
          <w:sz w:val="24"/>
          <w:highlight w:val="none"/>
          <w:lang w:val="en-US"/>
        </w:rPr>
        <w:t>27.预付款</w:t>
      </w:r>
    </w:p>
    <w:p>
      <w:pPr>
        <w:adjustRightInd/>
        <w:spacing w:line="360" w:lineRule="auto"/>
        <w:ind w:firstLine="480" w:firstLineChars="200"/>
        <w:rPr>
          <w:rFonts w:ascii="仿宋" w:hAnsi="仿宋" w:eastAsia="仿宋"/>
          <w:color w:val="auto"/>
          <w:highlight w:val="none"/>
        </w:rPr>
      </w:pPr>
      <w:r>
        <w:rPr>
          <w:rFonts w:hint="eastAsia" w:ascii="仿宋" w:hAnsi="仿宋" w:eastAsia="仿宋"/>
          <w:color w:val="auto"/>
          <w:sz w:val="24"/>
          <w:highlight w:val="none"/>
        </w:rPr>
        <w:t>采购单位应当在政府采购合同中约定预付款，对中小企业合同预付款比例原则上不低于合同金额的</w:t>
      </w:r>
      <w:r>
        <w:rPr>
          <w:rFonts w:ascii="仿宋" w:hAnsi="仿宋" w:eastAsia="仿宋"/>
          <w:color w:val="auto"/>
          <w:sz w:val="24"/>
          <w:highlight w:val="none"/>
        </w:rPr>
        <w:t>40％</w:t>
      </w:r>
      <w:r>
        <w:rPr>
          <w:rFonts w:hint="eastAsia" w:ascii="仿宋" w:hAnsi="仿宋" w:eastAsia="仿宋"/>
          <w:color w:val="auto"/>
          <w:sz w:val="24"/>
          <w:highlight w:val="none"/>
        </w:rPr>
        <w:t>，不高于合同金额的</w:t>
      </w:r>
      <w:r>
        <w:rPr>
          <w:rFonts w:ascii="仿宋" w:hAnsi="仿宋" w:eastAsia="仿宋"/>
          <w:color w:val="auto"/>
          <w:sz w:val="24"/>
          <w:highlight w:val="none"/>
        </w:rPr>
        <w:t>70%；项目分年安排预算的，每年预付款比例</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w:t>
      </w:r>
      <w:r>
        <w:rPr>
          <w:rFonts w:hint="eastAsia" w:ascii="仿宋" w:hAnsi="仿宋" w:eastAsia="仿宋"/>
          <w:color w:val="auto"/>
          <w:sz w:val="24"/>
          <w:highlight w:val="none"/>
        </w:rPr>
        <w:t>，不高于合同金额的</w:t>
      </w:r>
      <w:r>
        <w:rPr>
          <w:rFonts w:ascii="仿宋" w:hAnsi="仿宋" w:eastAsia="仿宋"/>
          <w:color w:val="auto"/>
          <w:sz w:val="24"/>
          <w:highlight w:val="none"/>
        </w:rPr>
        <w:t>70%；采购项目实施以人工投入为主的，</w:t>
      </w:r>
      <w:r>
        <w:rPr>
          <w:rFonts w:hint="eastAsia" w:ascii="仿宋" w:hAnsi="仿宋" w:eastAsia="仿宋"/>
          <w:color w:val="auto"/>
          <w:sz w:val="24"/>
          <w:highlight w:val="none"/>
        </w:rPr>
        <w:t>可适当降低预付款比例，但不得低于</w:t>
      </w:r>
      <w:r>
        <w:rPr>
          <w:rFonts w:ascii="仿宋" w:hAnsi="仿宋" w:eastAsia="仿宋"/>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highlight w:val="none"/>
        </w:rPr>
        <w:t>供应商</w:t>
      </w:r>
      <w:r>
        <w:rPr>
          <w:rFonts w:ascii="仿宋" w:hAnsi="仿宋" w:eastAsia="仿宋"/>
          <w:color w:val="auto"/>
          <w:sz w:val="24"/>
          <w:highlight w:val="none"/>
        </w:rPr>
        <w:t>明确表示无需预付款或者主动要求降低预付款比例的，</w:t>
      </w:r>
      <w:r>
        <w:rPr>
          <w:rFonts w:hint="eastAsia" w:ascii="仿宋" w:hAnsi="仿宋" w:eastAsia="仿宋"/>
          <w:color w:val="auto"/>
          <w:sz w:val="24"/>
          <w:highlight w:val="none"/>
        </w:rPr>
        <w:t>采购单位</w:t>
      </w:r>
      <w:r>
        <w:rPr>
          <w:rFonts w:ascii="仿宋" w:hAnsi="仿宋" w:eastAsia="仿宋"/>
          <w:color w:val="auto"/>
          <w:sz w:val="24"/>
          <w:highlight w:val="none"/>
        </w:rPr>
        <w:t>可不适用前述规定。</w:t>
      </w:r>
      <w:r>
        <w:rPr>
          <w:rFonts w:hint="eastAsia" w:ascii="仿宋" w:hAnsi="仿宋" w:eastAsia="仿宋"/>
          <w:color w:val="auto"/>
          <w:sz w:val="24"/>
          <w:highlight w:val="none"/>
        </w:rPr>
        <w:t>采购单位</w:t>
      </w:r>
      <w:r>
        <w:rPr>
          <w:rFonts w:ascii="仿宋" w:hAnsi="仿宋" w:eastAsia="仿宋"/>
          <w:color w:val="auto"/>
          <w:sz w:val="24"/>
          <w:highlight w:val="none"/>
        </w:rPr>
        <w:t>根据项目特点、供应商诚信等因素，可以要求</w:t>
      </w:r>
      <w:r>
        <w:rPr>
          <w:rFonts w:hint="eastAsia" w:ascii="仿宋" w:hAnsi="仿宋" w:eastAsia="仿宋"/>
          <w:color w:val="auto"/>
          <w:sz w:val="24"/>
          <w:highlight w:val="none"/>
        </w:rPr>
        <w:t>供应商</w:t>
      </w:r>
      <w:r>
        <w:rPr>
          <w:rFonts w:ascii="仿宋" w:hAnsi="仿宋" w:eastAsia="仿宋"/>
          <w:color w:val="auto"/>
          <w:sz w:val="24"/>
          <w:highlight w:val="none"/>
        </w:rPr>
        <w:t>提交银行、保险公司等金融机构出具的预付款保函或其他担保措施。政府采购预付款应在合同生效以及具备实施条件后5个工作日内支付。</w:t>
      </w:r>
      <w:r>
        <w:rPr>
          <w:rFonts w:hint="eastAsia" w:ascii="仿宋" w:hAnsi="仿宋" w:eastAsia="仿宋"/>
          <w:color w:val="auto"/>
          <w:sz w:val="24"/>
          <w:highlight w:val="none"/>
        </w:rPr>
        <w:t>政府采购工程以及与工程建设有关的货物、服务，采用招标方式采购的，预付款从其相关规定。供应商可登录政采云前台大厅选择金融服务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pPr>
        <w:rPr>
          <w:rFonts w:ascii="仿宋" w:hAnsi="仿宋" w:eastAsia="仿宋"/>
          <w:color w:val="auto"/>
          <w:highlight w:val="none"/>
        </w:rPr>
      </w:pPr>
    </w:p>
    <w:p>
      <w:pPr>
        <w:snapToGrid w:val="0"/>
        <w:spacing w:line="360" w:lineRule="auto"/>
        <w:ind w:firstLine="3357" w:firstLineChars="1045"/>
        <w:rPr>
          <w:rFonts w:ascii="仿宋" w:hAnsi="仿宋" w:eastAsia="仿宋" w:cs="宋体"/>
          <w:b/>
          <w:color w:val="auto"/>
          <w:sz w:val="32"/>
          <w:highlight w:val="none"/>
        </w:rPr>
      </w:pPr>
    </w:p>
    <w:p>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pPr>
        <w:pStyle w:val="128"/>
        <w:snapToGrid w:val="0"/>
        <w:spacing w:before="0"/>
        <w:ind w:firstLine="0" w:firstLineChars="0"/>
        <w:rPr>
          <w:rFonts w:ascii="仿宋" w:hAnsi="仿宋" w:eastAsia="仿宋" w:cs="宋体"/>
          <w:color w:val="auto"/>
          <w:highlight w:val="none"/>
        </w:rPr>
      </w:pPr>
      <w:r>
        <w:rPr>
          <w:rFonts w:ascii="仿宋" w:hAnsi="仿宋" w:eastAsia="仿宋" w:cs="宋体"/>
          <w:b/>
          <w:bCs/>
          <w:color w:val="auto"/>
          <w:highlight w:val="none"/>
        </w:rPr>
        <w:t>2</w:t>
      </w:r>
      <w:r>
        <w:rPr>
          <w:rFonts w:ascii="仿宋" w:hAnsi="仿宋" w:eastAsia="仿宋" w:cs="宋体"/>
          <w:b/>
          <w:bCs/>
          <w:color w:val="auto"/>
          <w:szCs w:val="24"/>
          <w:highlight w:val="none"/>
        </w:rPr>
        <w:t>8</w:t>
      </w:r>
      <w:r>
        <w:rPr>
          <w:rFonts w:hint="eastAsia" w:ascii="仿宋" w:hAnsi="仿宋" w:eastAsia="仿宋" w:cs="宋体"/>
          <w:b/>
          <w:color w:val="auto"/>
          <w:szCs w:val="24"/>
          <w:highlight w:val="none"/>
        </w:rPr>
        <w:t>. 电子交易活动的中止。</w:t>
      </w:r>
      <w:r>
        <w:rPr>
          <w:rFonts w:hint="eastAsia" w:ascii="仿宋" w:hAnsi="仿宋" w:eastAsia="仿宋"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 xml:space="preserve">28.1电子交易平台发生故障而无法登录访问的； </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28.2电子交易平台应用或数据库出现错误，不能进行正常操作的；</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28.3电子交易平台发现严重安全漏洞，有潜在泄密危险的；</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 xml:space="preserve">28.4病毒发作导致不能进行正常操作的； </w:t>
      </w:r>
    </w:p>
    <w:p>
      <w:pPr>
        <w:pStyle w:val="128"/>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28.5其他无法保证电子交易的公平、公正和安全的情况。</w:t>
      </w:r>
    </w:p>
    <w:p>
      <w:pPr>
        <w:pStyle w:val="128"/>
        <w:snapToGrid w:val="0"/>
        <w:spacing w:before="0"/>
        <w:ind w:firstLine="0" w:firstLineChars="0"/>
        <w:rPr>
          <w:rFonts w:ascii="仿宋" w:hAnsi="仿宋" w:eastAsia="仿宋" w:cs="宋体"/>
          <w:color w:val="auto"/>
          <w:highlight w:val="none"/>
        </w:rPr>
      </w:pPr>
      <w:r>
        <w:rPr>
          <w:rFonts w:hint="eastAsia" w:ascii="仿宋" w:hAnsi="仿宋" w:eastAsia="仿宋"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color w:val="auto"/>
          <w:sz w:val="24"/>
          <w:highlight w:val="none"/>
        </w:rPr>
      </w:pP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pPr>
        <w:pStyle w:val="25"/>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pPr>
        <w:tabs>
          <w:tab w:val="left" w:pos="0"/>
        </w:tabs>
        <w:spacing w:line="360" w:lineRule="auto"/>
        <w:ind w:firstLine="48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30.3严格按照采购合同开展履约验收。采购人委托</w:t>
      </w:r>
      <w:r>
        <w:rPr>
          <w:rFonts w:hint="eastAsia" w:ascii="仿宋" w:hAnsi="仿宋" w:eastAsia="仿宋" w:cs="宋体"/>
          <w:color w:val="auto"/>
          <w:kern w:val="0"/>
          <w:sz w:val="24"/>
          <w:highlight w:val="none"/>
          <w:lang w:val="en-US" w:eastAsia="zh-CN"/>
        </w:rPr>
        <w:t>第三方机构</w:t>
      </w:r>
      <w:r>
        <w:rPr>
          <w:rFonts w:hint="eastAsia" w:ascii="仿宋" w:hAnsi="仿宋" w:eastAsia="仿宋" w:cs="宋体"/>
          <w:color w:val="auto"/>
          <w:kern w:val="0"/>
          <w:sz w:val="24"/>
          <w:highlight w:val="none"/>
        </w:rPr>
        <w:t>组织验收，成立验收小组</w:t>
      </w:r>
      <w:r>
        <w:rPr>
          <w:rFonts w:hint="eastAsia" w:ascii="仿宋" w:hAnsi="仿宋" w:eastAsia="仿宋" w:cs="仿宋"/>
          <w:color w:val="auto"/>
          <w:kern w:val="0"/>
          <w:sz w:val="24"/>
          <w:highlight w:val="none"/>
        </w:rPr>
        <w:t>（验收小组由</w:t>
      </w:r>
      <w:r>
        <w:rPr>
          <w:rFonts w:ascii="仿宋" w:hAnsi="仿宋" w:eastAsia="仿宋" w:cs="仿宋"/>
          <w:color w:val="auto"/>
          <w:kern w:val="0"/>
          <w:sz w:val="24"/>
          <w:highlight w:val="none"/>
        </w:rPr>
        <w:t>5人组成：其中采购人1名，</w:t>
      </w:r>
      <w:r>
        <w:rPr>
          <w:rFonts w:hint="eastAsia" w:ascii="仿宋" w:hAnsi="仿宋" w:eastAsia="仿宋" w:cs="仿宋"/>
          <w:color w:val="auto"/>
          <w:kern w:val="0"/>
          <w:sz w:val="24"/>
          <w:highlight w:val="none"/>
        </w:rPr>
        <w:t>服务对象1</w:t>
      </w:r>
      <w:r>
        <w:rPr>
          <w:rFonts w:hint="eastAsia" w:ascii="仿宋" w:hAnsi="仿宋" w:eastAsia="仿宋" w:cs="仿宋"/>
          <w:color w:val="auto"/>
          <w:kern w:val="0"/>
          <w:sz w:val="24"/>
          <w:highlight w:val="none"/>
          <w:lang w:val="en-US" w:eastAsia="zh-CN"/>
        </w:rPr>
        <w:t>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其余3名验收专家</w:t>
      </w:r>
      <w:r>
        <w:rPr>
          <w:rFonts w:ascii="仿宋" w:hAnsi="仿宋" w:eastAsia="仿宋" w:cs="仿宋"/>
          <w:color w:val="auto"/>
          <w:kern w:val="0"/>
          <w:sz w:val="24"/>
          <w:highlight w:val="none"/>
        </w:rPr>
        <w:t>由第三方机构从政采云政企区专家库</w:t>
      </w:r>
      <w:r>
        <w:rPr>
          <w:rFonts w:hint="eastAsia" w:ascii="仿宋" w:hAnsi="仿宋" w:eastAsia="仿宋" w:cs="仿宋"/>
          <w:color w:val="auto"/>
          <w:kern w:val="0"/>
          <w:sz w:val="24"/>
          <w:highlight w:val="none"/>
          <w:lang w:val="en-US" w:eastAsia="zh-CN"/>
        </w:rPr>
        <w:t>相关专业</w:t>
      </w:r>
      <w:r>
        <w:rPr>
          <w:rFonts w:ascii="仿宋" w:hAnsi="仿宋" w:eastAsia="仿宋" w:cs="仿宋"/>
          <w:color w:val="auto"/>
          <w:kern w:val="0"/>
          <w:sz w:val="24"/>
          <w:highlight w:val="none"/>
        </w:rPr>
        <w:t>随机抽取）</w:t>
      </w:r>
      <w:r>
        <w:rPr>
          <w:rFonts w:hint="eastAsia" w:ascii="仿宋" w:hAnsi="仿宋" w:eastAsia="仿宋" w:cs="宋体"/>
          <w:color w:val="auto"/>
          <w:kern w:val="0"/>
          <w:sz w:val="24"/>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5236101"/>
      <w:bookmarkEnd w:id="15"/>
      <w:bookmarkStart w:id="16" w:name="_Hlt68072990"/>
      <w:bookmarkEnd w:id="16"/>
      <w:bookmarkStart w:id="17" w:name="_Hlt68057669"/>
      <w:bookmarkEnd w:id="17"/>
      <w:bookmarkStart w:id="18" w:name="_Hlt75236290"/>
      <w:bookmarkEnd w:id="18"/>
      <w:bookmarkStart w:id="19" w:name="_Hlt68072998"/>
      <w:bookmarkEnd w:id="19"/>
      <w:bookmarkStart w:id="20" w:name="_Hlt74714665"/>
      <w:bookmarkEnd w:id="20"/>
      <w:bookmarkStart w:id="21" w:name="_Hlt68073093"/>
      <w:bookmarkEnd w:id="21"/>
      <w:bookmarkStart w:id="22" w:name="_Hlt68403820"/>
      <w:bookmarkEnd w:id="22"/>
      <w:bookmarkStart w:id="23" w:name="_Hlt74729768"/>
      <w:bookmarkEnd w:id="23"/>
      <w:bookmarkStart w:id="24" w:name="_Hlt75236011"/>
      <w:bookmarkEnd w:id="24"/>
      <w:bookmarkStart w:id="25" w:name="_Hlt74730295"/>
      <w:bookmarkEnd w:id="25"/>
      <w:bookmarkStart w:id="26" w:name="_Hlt74707468"/>
      <w:bookmarkEnd w:id="26"/>
    </w:p>
    <w:p>
      <w:pPr>
        <w:tabs>
          <w:tab w:val="left" w:pos="0"/>
        </w:tabs>
        <w:spacing w:line="360" w:lineRule="auto"/>
        <w:ind w:firstLine="480"/>
        <w:rPr>
          <w:rFonts w:ascii="仿宋" w:hAnsi="仿宋" w:eastAsia="仿宋" w:cs="宋体"/>
          <w:color w:val="auto"/>
          <w:kern w:val="0"/>
          <w:sz w:val="24"/>
          <w:highlight w:val="none"/>
          <w:lang w:val="en-US"/>
        </w:rPr>
      </w:pPr>
      <w:r>
        <w:rPr>
          <w:rFonts w:hint="eastAsia" w:ascii="仿宋" w:hAnsi="仿宋" w:eastAsia="仿宋"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宋体"/>
          <w:color w:val="auto"/>
          <w:kern w:val="0"/>
          <w:sz w:val="24"/>
          <w:highlight w:val="none"/>
          <w:lang w:val="en-US" w:eastAsia="zh-CN"/>
        </w:rPr>
        <w:t>合同管理</w:t>
      </w:r>
      <w:r>
        <w:rPr>
          <w:rFonts w:hint="eastAsia" w:ascii="仿宋" w:hAnsi="仿宋" w:eastAsia="仿宋" w:cs="宋体"/>
          <w:color w:val="auto"/>
          <w:kern w:val="0"/>
          <w:sz w:val="24"/>
          <w:highlight w:val="none"/>
          <w:lang w:val="en-US"/>
        </w:rPr>
        <w:t>-支付管理。对于供应商提起在线支付申请的，采购</w:t>
      </w:r>
      <w:r>
        <w:rPr>
          <w:rFonts w:hint="eastAsia" w:ascii="仿宋" w:hAnsi="仿宋" w:eastAsia="仿宋" w:cs="宋体"/>
          <w:color w:val="auto"/>
          <w:kern w:val="0"/>
          <w:sz w:val="24"/>
          <w:highlight w:val="none"/>
          <w:lang w:val="en-US" w:eastAsia="zh-CN"/>
        </w:rPr>
        <w:t>人</w:t>
      </w:r>
      <w:r>
        <w:rPr>
          <w:rFonts w:hint="eastAsia" w:ascii="仿宋" w:hAnsi="仿宋" w:eastAsia="仿宋" w:cs="宋体"/>
          <w:color w:val="auto"/>
          <w:kern w:val="0"/>
          <w:sz w:val="24"/>
          <w:highlight w:val="none"/>
          <w:lang w:val="en-US"/>
        </w:rPr>
        <w:t>应当</w:t>
      </w:r>
      <w:r>
        <w:rPr>
          <w:rFonts w:hint="eastAsia" w:ascii="仿宋" w:hAnsi="仿宋" w:eastAsia="仿宋" w:cs="宋体"/>
          <w:color w:val="auto"/>
          <w:kern w:val="0"/>
          <w:sz w:val="24"/>
          <w:highlight w:val="none"/>
          <w:lang w:val="en-US" w:eastAsia="zh-CN"/>
        </w:rPr>
        <w:t>按规定</w:t>
      </w:r>
      <w:r>
        <w:rPr>
          <w:rFonts w:hint="eastAsia" w:ascii="仿宋" w:hAnsi="仿宋" w:eastAsia="仿宋" w:cs="宋体"/>
          <w:color w:val="auto"/>
          <w:kern w:val="0"/>
          <w:sz w:val="24"/>
          <w:highlight w:val="none"/>
          <w:lang w:val="en-US"/>
        </w:rPr>
        <w:t>做好审核并完成支付。</w:t>
      </w:r>
    </w:p>
    <w:p>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宋体"/>
          <w:b/>
          <w:color w:val="auto"/>
          <w:sz w:val="36"/>
          <w:szCs w:val="36"/>
          <w:highlight w:val="none"/>
        </w:rPr>
      </w:pPr>
      <w:bookmarkStart w:id="27" w:name="第四部分"/>
      <w:r>
        <w:rPr>
          <w:rFonts w:hint="eastAsia" w:ascii="仿宋" w:hAnsi="仿宋" w:eastAsia="仿宋" w:cs="宋体"/>
          <w:b/>
          <w:color w:val="auto"/>
          <w:sz w:val="36"/>
          <w:szCs w:val="36"/>
          <w:highlight w:val="none"/>
        </w:rPr>
        <w:t>第三部分   采购需求</w:t>
      </w:r>
    </w:p>
    <w:p>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（一）项目概况</w:t>
      </w:r>
    </w:p>
    <w:p>
      <w:pP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根据杭州市机动车驾驶员考试服务中心实际日常安保工作情况的需要,提供安全保卫保安员服务</w:t>
      </w:r>
      <w:r>
        <w:rPr>
          <w:rFonts w:hint="eastAsia" w:ascii="仿宋" w:hAnsi="仿宋" w:eastAsia="仿宋" w:cs="仿宋"/>
          <w:color w:val="auto"/>
          <w:sz w:val="24"/>
          <w:highlight w:val="none"/>
          <w:u w:val="single"/>
          <w:lang w:eastAsia="zh-CN"/>
        </w:rPr>
        <w:t>，负责各地秩序管理及门岗执勤</w:t>
      </w:r>
      <w:r>
        <w:rPr>
          <w:rFonts w:hint="eastAsia" w:ascii="仿宋" w:hAnsi="仿宋" w:eastAsia="仿宋" w:cs="仿宋"/>
          <w:color w:val="auto"/>
          <w:sz w:val="24"/>
          <w:highlight w:val="none"/>
          <w:u w:val="single"/>
        </w:rPr>
        <w:t>。安保岗位主要分布在杭州市机动车</w:t>
      </w:r>
      <w:r>
        <w:rPr>
          <w:rFonts w:hint="eastAsia" w:ascii="仿宋" w:hAnsi="仿宋" w:eastAsia="仿宋" w:cs="仿宋"/>
          <w:color w:val="auto"/>
          <w:sz w:val="24"/>
          <w:highlight w:val="none"/>
          <w:u w:val="single"/>
        </w:rPr>
        <w:t>驾驶员考试服务中心</w:t>
      </w:r>
      <w:r>
        <w:rPr>
          <w:rFonts w:hint="eastAsia" w:ascii="仿宋" w:hAnsi="仿宋" w:eastAsia="仿宋" w:cs="仿宋"/>
          <w:color w:val="auto"/>
          <w:sz w:val="24"/>
          <w:highlight w:val="none"/>
          <w:u w:val="single"/>
          <w:lang w:eastAsia="zh-CN"/>
        </w:rPr>
        <w:t>场口考场、河坊街、龙舌嘴、萧山考场</w:t>
      </w:r>
      <w:r>
        <w:rPr>
          <w:rFonts w:hint="eastAsia" w:ascii="仿宋" w:hAnsi="仿宋" w:eastAsia="仿宋" w:cs="仿宋"/>
          <w:color w:val="auto"/>
          <w:sz w:val="24"/>
          <w:highlight w:val="none"/>
          <w:u w:val="single"/>
          <w:lang w:val="en-US" w:eastAsia="zh-CN"/>
        </w:rPr>
        <w:t>四</w:t>
      </w:r>
      <w:r>
        <w:rPr>
          <w:rFonts w:hint="eastAsia" w:ascii="仿宋" w:hAnsi="仿宋" w:eastAsia="仿宋" w:cs="仿宋"/>
          <w:color w:val="auto"/>
          <w:sz w:val="24"/>
          <w:highlight w:val="none"/>
          <w:u w:val="single"/>
        </w:rPr>
        <w:t>个服务点。服务人员组成：场口考场</w:t>
      </w:r>
      <w:r>
        <w:rPr>
          <w:rFonts w:hint="eastAsia" w:ascii="仿宋" w:hAnsi="仿宋" w:eastAsia="仿宋" w:cs="仿宋"/>
          <w:color w:val="auto"/>
          <w:sz w:val="24"/>
          <w:highlight w:val="none"/>
          <w:u w:val="single"/>
          <w:lang w:val="en-US" w:eastAsia="zh-CN"/>
        </w:rPr>
        <w:t>42</w:t>
      </w:r>
      <w:r>
        <w:rPr>
          <w:rFonts w:hint="eastAsia" w:ascii="仿宋" w:hAnsi="仿宋" w:eastAsia="仿宋" w:cs="仿宋"/>
          <w:color w:val="auto"/>
          <w:sz w:val="24"/>
          <w:highlight w:val="none"/>
          <w:u w:val="single"/>
        </w:rPr>
        <w:t>人、河坊街</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人、龙</w:t>
      </w:r>
      <w:r>
        <w:rPr>
          <w:rFonts w:hint="eastAsia" w:ascii="仿宋" w:hAnsi="仿宋" w:eastAsia="仿宋" w:cs="仿宋"/>
          <w:color w:val="auto"/>
          <w:sz w:val="24"/>
          <w:highlight w:val="none"/>
          <w:u w:val="single"/>
        </w:rPr>
        <w:t>舌嘴7人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萧山考场10人</w:t>
      </w:r>
      <w:r>
        <w:rPr>
          <w:rFonts w:hint="eastAsia" w:ascii="仿宋" w:hAnsi="仿宋" w:eastAsia="仿宋" w:cs="仿宋"/>
          <w:color w:val="auto"/>
          <w:sz w:val="24"/>
          <w:highlight w:val="none"/>
          <w:u w:val="single"/>
        </w:rPr>
        <w:t>，共计</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8人。</w:t>
      </w:r>
    </w:p>
    <w:p>
      <w:pPr>
        <w:spacing w:line="360" w:lineRule="auto"/>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（二）预算金额：</w:t>
      </w:r>
      <w:r>
        <w:rPr>
          <w:rFonts w:hint="eastAsia" w:ascii="仿宋" w:hAnsi="仿宋" w:eastAsia="仿宋" w:cs="仿宋"/>
          <w:b/>
          <w:color w:val="auto"/>
          <w:sz w:val="24"/>
          <w:highlight w:val="none"/>
          <w:u w:val="single"/>
          <w:lang w:val="en-US" w:eastAsia="zh-CN"/>
        </w:rPr>
        <w:t>367.2</w:t>
      </w:r>
      <w:r>
        <w:rPr>
          <w:rFonts w:hint="eastAsia" w:ascii="仿宋" w:hAnsi="仿宋" w:eastAsia="仿宋" w:cs="仿宋"/>
          <w:b/>
          <w:color w:val="auto"/>
          <w:sz w:val="24"/>
          <w:highlight w:val="none"/>
          <w:u w:val="single"/>
        </w:rPr>
        <w:t>万元（其中202</w:t>
      </w:r>
      <w:r>
        <w:rPr>
          <w:rFonts w:hint="eastAsia" w:ascii="仿宋" w:hAnsi="仿宋" w:eastAsia="仿宋" w:cs="仿宋"/>
          <w:b/>
          <w:color w:val="auto"/>
          <w:sz w:val="24"/>
          <w:highlight w:val="none"/>
          <w:u w:val="single"/>
          <w:lang w:val="en-US" w:eastAsia="zh-CN"/>
        </w:rPr>
        <w:t>4</w:t>
      </w:r>
      <w:r>
        <w:rPr>
          <w:rFonts w:hint="eastAsia" w:ascii="仿宋" w:hAnsi="仿宋" w:eastAsia="仿宋" w:cs="仿宋"/>
          <w:b/>
          <w:color w:val="auto"/>
          <w:sz w:val="24"/>
          <w:highlight w:val="none"/>
          <w:u w:val="single"/>
        </w:rPr>
        <w:t>年安排146.</w:t>
      </w:r>
      <w:r>
        <w:rPr>
          <w:rFonts w:hint="eastAsia" w:ascii="仿宋" w:hAnsi="仿宋" w:eastAsia="仿宋" w:cs="仿宋"/>
          <w:b/>
          <w:color w:val="auto"/>
          <w:sz w:val="24"/>
          <w:highlight w:val="none"/>
          <w:u w:val="single"/>
          <w:lang w:val="en-US" w:eastAsia="zh-CN"/>
        </w:rPr>
        <w:t>88</w:t>
      </w:r>
      <w:r>
        <w:rPr>
          <w:rFonts w:hint="eastAsia" w:ascii="仿宋" w:hAnsi="仿宋" w:eastAsia="仿宋" w:cs="仿宋"/>
          <w:b/>
          <w:color w:val="auto"/>
          <w:sz w:val="24"/>
          <w:highlight w:val="none"/>
          <w:u w:val="single"/>
        </w:rPr>
        <w:t>万元）</w:t>
      </w:r>
    </w:p>
    <w:p>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（三）需满足的政府采购政策目标和具体支持对象</w:t>
      </w:r>
    </w:p>
    <w:p>
      <w:pPr>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扶持中小企业</w:t>
      </w:r>
      <w:r>
        <w:rPr>
          <w:rFonts w:hint="eastAsia" w:ascii="仿宋" w:hAnsi="仿宋" w:eastAsia="仿宋" w:cs="仿宋"/>
          <w:color w:val="auto"/>
          <w:sz w:val="24"/>
          <w:highlight w:val="none"/>
          <w:u w:val="single"/>
        </w:rPr>
        <w:t>（本项目专门面向小微企业采购）</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节能环保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（四）采购标的是否进口产品：</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进口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国产，</w:t>
      </w:r>
      <w:r>
        <w:rPr>
          <w:rFonts w:hint="eastAsia" w:ascii="仿宋" w:hAnsi="仿宋" w:eastAsia="仿宋" w:cs="仿宋"/>
          <w:color w:val="auto"/>
          <w:sz w:val="24"/>
          <w:highlight w:val="none"/>
          <w:u w:val="single"/>
        </w:rPr>
        <w:t>本项目为服务采购。</w:t>
      </w:r>
    </w:p>
    <w:p>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（五）拟采购标的的服务要求</w:t>
      </w:r>
    </w:p>
    <w:p>
      <w:pPr>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一）各点保安员岗位设置表</w:t>
      </w:r>
    </w:p>
    <w:p>
      <w:pPr>
        <w:spacing w:line="360" w:lineRule="auto"/>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▲投标人须为本项目配备保安员共计</w:t>
      </w:r>
      <w:r>
        <w:rPr>
          <w:rFonts w:hint="eastAsia" w:ascii="仿宋" w:hAnsi="仿宋" w:eastAsia="仿宋" w:cs="仿宋"/>
          <w:b/>
          <w:color w:val="auto"/>
          <w:sz w:val="24"/>
          <w:highlight w:val="none"/>
          <w:u w:val="single"/>
          <w:lang w:val="en-US" w:eastAsia="zh-CN"/>
        </w:rPr>
        <w:t>6</w:t>
      </w:r>
      <w:r>
        <w:rPr>
          <w:rFonts w:hint="eastAsia" w:ascii="仿宋" w:hAnsi="仿宋" w:eastAsia="仿宋" w:cs="仿宋"/>
          <w:b/>
          <w:color w:val="auto"/>
          <w:sz w:val="24"/>
          <w:highlight w:val="none"/>
          <w:u w:val="single"/>
        </w:rPr>
        <w:t>8人。</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69"/>
        <w:gridCol w:w="4227"/>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88"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w:t>
            </w:r>
          </w:p>
        </w:tc>
        <w:tc>
          <w:tcPr>
            <w:tcW w:w="2487"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工作内容及时间</w:t>
            </w:r>
          </w:p>
        </w:tc>
        <w:tc>
          <w:tcPr>
            <w:tcW w:w="1405" w:type="pct"/>
            <w:noWrap/>
            <w:vAlign w:val="center"/>
          </w:tcPr>
          <w:p>
            <w:pPr>
              <w:spacing w:line="276"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18" w:type="pct"/>
            <w:noWrap/>
            <w:vAlign w:val="center"/>
          </w:tcPr>
          <w:p>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一</w:t>
            </w:r>
          </w:p>
        </w:tc>
        <w:tc>
          <w:tcPr>
            <w:tcW w:w="688"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场口考场4</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人</w:t>
            </w:r>
          </w:p>
        </w:tc>
        <w:tc>
          <w:tcPr>
            <w:tcW w:w="2487" w:type="pct"/>
            <w:noWrap/>
            <w:vAlign w:val="center"/>
          </w:tcPr>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1、正大门24小时值勤，分三班</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2、科目二廊子下秩序维护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上午6:30时至16:30时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3、科目三大厅秩序维护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6:30时至16:30时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4、科目三起点考试、租车秩序维护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6:30时至22:30时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5、西前门值勤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6:30时至14:30时至22:30时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6、西前门门禁值勤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6:30时至14:30时至22:30时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7、西中门值勤（含夜间巡逻）24小时值勤，分三班</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8、西北门值勤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6:30时至22:30时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9、科目二A区训练秩序维护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6:30时至1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10、机动岗</w:t>
            </w:r>
          </w:p>
          <w:p>
            <w:pPr>
              <w:spacing w:line="276"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6:30时至22:30时</w:t>
            </w:r>
          </w:p>
        </w:tc>
        <w:tc>
          <w:tcPr>
            <w:tcW w:w="1405" w:type="pct"/>
            <w:noWrap/>
            <w:vAlign w:val="center"/>
          </w:tcPr>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1、投标人配齐保安员值勤装备</w:t>
            </w:r>
          </w:p>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2、采购人提供备勤室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p>
        </w:tc>
        <w:tc>
          <w:tcPr>
            <w:tcW w:w="688"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河坊街</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人</w:t>
            </w:r>
          </w:p>
        </w:tc>
        <w:tc>
          <w:tcPr>
            <w:tcW w:w="2487" w:type="pct"/>
            <w:noWrap/>
            <w:vAlign w:val="center"/>
          </w:tcPr>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1、正大门24小时值勤，分三班</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2、大厅秩序维护（含机动）</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8:30时至17:00时</w:t>
            </w:r>
          </w:p>
        </w:tc>
        <w:tc>
          <w:tcPr>
            <w:tcW w:w="1405" w:type="pct"/>
            <w:noWrap/>
            <w:vAlign w:val="center"/>
          </w:tcPr>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1、投标人配齐保安员值勤装备</w:t>
            </w:r>
          </w:p>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2、采购人提供备勤室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p>
        </w:tc>
        <w:tc>
          <w:tcPr>
            <w:tcW w:w="688" w:type="pct"/>
            <w:noWrap/>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龙舌嘴7人</w:t>
            </w:r>
          </w:p>
        </w:tc>
        <w:tc>
          <w:tcPr>
            <w:tcW w:w="2487" w:type="pct"/>
            <w:noWrap/>
            <w:vAlign w:val="center"/>
          </w:tcPr>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1、正大门24小时值勤，分三班</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2、安教学校秩序维护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8:30时至17:00时</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3、大门口秩序维护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8:30时至17:00时</w:t>
            </w:r>
          </w:p>
        </w:tc>
        <w:tc>
          <w:tcPr>
            <w:tcW w:w="1405" w:type="pct"/>
            <w:noWrap/>
            <w:vAlign w:val="center"/>
          </w:tcPr>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1、投标人配齐保安员值勤装备</w:t>
            </w:r>
          </w:p>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2、采购人提供备勤室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noWrap/>
            <w:vAlign w:val="center"/>
          </w:tcPr>
          <w:p>
            <w:pPr>
              <w:spacing w:line="276"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w:t>
            </w:r>
          </w:p>
        </w:tc>
        <w:tc>
          <w:tcPr>
            <w:tcW w:w="688" w:type="pct"/>
            <w:noWrap/>
            <w:vAlign w:val="center"/>
          </w:tcPr>
          <w:p>
            <w:pPr>
              <w:spacing w:line="276"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萧山考场10人</w:t>
            </w:r>
          </w:p>
        </w:tc>
        <w:tc>
          <w:tcPr>
            <w:tcW w:w="2487" w:type="pct"/>
            <w:noWrap/>
            <w:vAlign w:val="center"/>
          </w:tcPr>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门岗</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正大门门卫执勤 24小时，分三班</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巡逻岗</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考训场内安全巡查</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上午6:00 －20:.00</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秩序维护岗</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候考大厅秩序维护</w:t>
            </w:r>
          </w:p>
          <w:p>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上午7：00－16: 00</w:t>
            </w:r>
          </w:p>
        </w:tc>
        <w:tc>
          <w:tcPr>
            <w:tcW w:w="1405" w:type="pct"/>
            <w:noWrap/>
            <w:vAlign w:val="center"/>
          </w:tcPr>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1、投标人配齐保安员值勤装备</w:t>
            </w:r>
          </w:p>
          <w:p>
            <w:pPr>
              <w:spacing w:line="276"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2、采购人提供备勤室</w:t>
            </w:r>
          </w:p>
        </w:tc>
      </w:tr>
    </w:tbl>
    <w:p>
      <w:pPr>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以上人员岗位的人数及排班由投标人自行考虑编制，人员配置须保证值勤期间岗位工作达到采购人要求。</w:t>
      </w:r>
    </w:p>
    <w:p>
      <w:pPr>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二）安保服务工作职责要求：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投标人须认真履行职责，严格按照服务质量保证体系做好服务工作，确保在岗在位，尽心尽职，保证</w:t>
      </w:r>
      <w:r>
        <w:rPr>
          <w:rFonts w:hint="eastAsia" w:ascii="仿宋" w:hAnsi="仿宋" w:eastAsia="仿宋" w:cs="仿宋"/>
          <w:color w:val="auto"/>
          <w:sz w:val="24"/>
          <w:highlight w:val="none"/>
        </w:rPr>
        <w:t>场口考场、河坊街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龙舌嘴</w:t>
      </w:r>
      <w:r>
        <w:rPr>
          <w:rFonts w:hint="eastAsia" w:ascii="仿宋" w:hAnsi="仿宋" w:eastAsia="仿宋" w:cs="仿宋"/>
          <w:color w:val="auto"/>
          <w:sz w:val="24"/>
          <w:highlight w:val="none"/>
          <w:lang w:val="en-US" w:eastAsia="zh-CN"/>
        </w:rPr>
        <w:t>及萧山考场</w:t>
      </w:r>
      <w:r>
        <w:rPr>
          <w:rFonts w:hint="eastAsia" w:ascii="仿宋" w:hAnsi="仿宋" w:eastAsia="仿宋" w:cs="仿宋"/>
          <w:color w:val="auto"/>
          <w:sz w:val="24"/>
          <w:highlight w:val="none"/>
        </w:rPr>
        <w:t>等服务点安保工作</w:t>
      </w:r>
      <w:r>
        <w:rPr>
          <w:rFonts w:hint="eastAsia" w:ascii="仿宋" w:hAnsi="仿宋" w:eastAsia="仿宋" w:cs="仿宋"/>
          <w:color w:val="auto"/>
          <w:sz w:val="24"/>
          <w:highlight w:val="none"/>
          <w:lang w:val="zh-CN"/>
        </w:rPr>
        <w:t>正常运转。</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1、岗位要求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1.1门卫值勤岗：</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严格执行门卫执勤制度，做好车辆、人员进出的登记；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1.2秩序维护岗：</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做好管辖区域内容的巡逻，巡逻的频次为6:00-24:00每两小时巡查一次，24:00-6:00每三小时巡查一次，加强重点部位检查（包括主通道，应急通道，主大厅，主回廊，消监控室，配电房，水泵房，考区，车库区等），增强防范意识，确保管辖区域安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1.3机动岗：</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负责补充门卫值勤岗、秩序维护岗，确保以上岗位投入人员力量满足采购人要求。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w:t>
      </w:r>
      <w:r>
        <w:rPr>
          <w:rFonts w:hint="eastAsia" w:ascii="仿宋" w:hAnsi="仿宋" w:eastAsia="仿宋" w:cs="仿宋"/>
          <w:color w:val="auto"/>
          <w:sz w:val="24"/>
          <w:highlight w:val="none"/>
        </w:rPr>
        <w:t>他要求：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2.1自觉遵守上下班制度，做到不迟到早退，按时交接班，严禁离岗、脱岗、睡觉等行为。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2.2执勤巡逻期间规范着装，能正确使用配备的装备。遇到突发事件、火灾、爆炸等事故，采取合理处理措施防止事态扩大，同时做好现场保护工作。</w:t>
      </w:r>
    </w:p>
    <w:p>
      <w:pPr>
        <w:snapToGrid w:val="0"/>
        <w:spacing w:line="360" w:lineRule="auto"/>
        <w:ind w:firstLine="480" w:firstLineChars="200"/>
        <w:rPr>
          <w:color w:val="auto"/>
          <w:highlight w:val="none"/>
        </w:rPr>
      </w:pPr>
      <w:r>
        <w:rPr>
          <w:rFonts w:hint="eastAsia" w:ascii="仿宋" w:hAnsi="仿宋" w:eastAsia="仿宋" w:cs="仿宋"/>
          <w:color w:val="auto"/>
          <w:sz w:val="24"/>
          <w:highlight w:val="none"/>
        </w:rPr>
        <w:t>2.3熟悉采购人单位内部环境，重点部位。了解消防器材设备的性能和使用方法。</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消防设施巡查要求：</w:t>
      </w:r>
    </w:p>
    <w:p>
      <w:pPr>
        <w:numPr>
          <w:ilvl w:val="-1"/>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每一个月巡查一次。</w:t>
      </w:r>
    </w:p>
    <w:p>
      <w:pPr>
        <w:numPr>
          <w:ilvl w:val="-1"/>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检查各灭火器气压是不是正常，有没有过期。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（3）检查消防栓是否正常。</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（4）检查消防水带有没有老化破损。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2.4严格遵守采购人的各项规章制度。</w:t>
      </w:r>
    </w:p>
    <w:p>
      <w:pPr>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三）安保服务人员标准要求：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1、项目负责人</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1.1投标人必须指定项目负责人1名，</w:t>
      </w:r>
      <w:r>
        <w:rPr>
          <w:rFonts w:hint="eastAsia" w:ascii="仿宋" w:hAnsi="仿宋" w:eastAsia="仿宋" w:cs="仿宋"/>
          <w:b/>
          <w:color w:val="auto"/>
          <w:sz w:val="24"/>
          <w:highlight w:val="none"/>
          <w:u w:val="none"/>
        </w:rPr>
        <w:t>▲</w:t>
      </w:r>
      <w:r>
        <w:rPr>
          <w:rFonts w:hint="eastAsia" w:ascii="仿宋" w:hAnsi="仿宋" w:eastAsia="仿宋" w:cs="仿宋"/>
          <w:b/>
          <w:color w:val="auto"/>
          <w:sz w:val="24"/>
          <w:highlight w:val="none"/>
          <w:lang w:val="en-US" w:eastAsia="zh-CN"/>
        </w:rPr>
        <w:t>承诺</w:t>
      </w:r>
      <w:r>
        <w:rPr>
          <w:rFonts w:hint="eastAsia" w:ascii="仿宋" w:hAnsi="仿宋" w:eastAsia="仿宋" w:cs="仿宋"/>
          <w:b/>
          <w:color w:val="auto"/>
          <w:sz w:val="24"/>
          <w:highlight w:val="none"/>
        </w:rPr>
        <w:t>持有保安员上岗资格证书</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1.2具有保安服务管理岗位工作经验（需提供业绩合同</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业主证明材料，以上证明材料至少有一项中须体现项目负责人姓名）；</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1.3主要负责项目整体实施管理、保安人员管理，及与采购人的沟通协调等工作。</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2、保安服务人员要求：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2.1拥护中华人民共和国宪法、法律，具有良好的品行，无不良嗜好，未曾因犯罪受过刑事处罚的。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2.2具有履行职责的身体条件，无重大疾病、传染病、无吸毒、无纹身。</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2.3具有初中</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以上文化程度，有良好沟通语言表达能力。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2.4退伍军人、共产党员优先。</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
          <w:color w:val="auto"/>
          <w:sz w:val="24"/>
          <w:highlight w:val="none"/>
          <w:u w:val="none"/>
        </w:rPr>
        <w:t>▲</w:t>
      </w:r>
      <w:r>
        <w:rPr>
          <w:rFonts w:hint="eastAsia" w:ascii="仿宋" w:hAnsi="仿宋" w:eastAsia="仿宋" w:cs="仿宋"/>
          <w:b/>
          <w:color w:val="auto"/>
          <w:sz w:val="24"/>
          <w:highlight w:val="none"/>
          <w:lang w:val="en-US" w:eastAsia="zh-CN"/>
        </w:rPr>
        <w:t>承诺所派人员</w:t>
      </w:r>
      <w:r>
        <w:rPr>
          <w:rFonts w:hint="eastAsia" w:ascii="仿宋" w:hAnsi="仿宋" w:eastAsia="仿宋" w:cs="仿宋"/>
          <w:b/>
          <w:color w:val="auto"/>
          <w:sz w:val="24"/>
          <w:highlight w:val="none"/>
        </w:rPr>
        <w:t>持有保安员上岗资格证书。</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2.6具有保安服务管理岗位工作经验（需提供业绩合同</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业主证明材料，以上证明材料至少有一项中须体现人员姓名）。</w:t>
      </w:r>
    </w:p>
    <w:p>
      <w:pPr>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四）其他要求：</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、投标人</w:t>
      </w:r>
      <w:r>
        <w:rPr>
          <w:rFonts w:hint="eastAsia" w:ascii="仿宋" w:hAnsi="仿宋" w:eastAsia="仿宋" w:cs="仿宋"/>
          <w:color w:val="auto"/>
          <w:kern w:val="0"/>
          <w:sz w:val="24"/>
          <w:highlight w:val="none"/>
        </w:rPr>
        <w:t>需建立针对本项目完善的日常管理规章制度（包括保安人员岗位职责、交接班制度、档案管理制度、装备管理制度等）</w:t>
      </w:r>
      <w:r>
        <w:rPr>
          <w:rFonts w:hint="eastAsia" w:ascii="仿宋" w:hAnsi="仿宋" w:eastAsia="仿宋" w:cs="仿宋"/>
          <w:color w:val="auto"/>
          <w:sz w:val="24"/>
          <w:highlight w:val="none"/>
          <w:lang w:val="zh-CN"/>
        </w:rPr>
        <w:t>，以保证整个保安服务系统安全、高效、有序和有计划的运转。</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、投标人建立有岗前培训机制，保安人员需100%经过岗前培训合格才上岗。培训时间不少于一天，上午2个课时，下午2个课时，每课时1小时。</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、如有保安人员离职，投标人应提前一周通知采购人，并将补充保安人员信息资料一同提供给采购人，</w:t>
      </w:r>
      <w:r>
        <w:rPr>
          <w:rFonts w:hint="eastAsia" w:ascii="仿宋" w:hAnsi="仿宋" w:eastAsia="仿宋" w:cs="仿宋"/>
          <w:color w:val="auto"/>
          <w:sz w:val="24"/>
          <w:highlight w:val="none"/>
        </w:rPr>
        <w:t>需采购人经办人、审核人对服务人员变更进行审批，审批通过后方可更换，更换人员资历不得低于投标时人员资历。</w:t>
      </w:r>
      <w:r>
        <w:rPr>
          <w:rFonts w:hint="eastAsia" w:ascii="仿宋" w:hAnsi="仿宋" w:eastAsia="仿宋" w:cs="仿宋"/>
          <w:color w:val="auto"/>
          <w:sz w:val="24"/>
          <w:highlight w:val="none"/>
          <w:lang w:val="zh-CN"/>
        </w:rPr>
        <w:t>如有保安人员缺位，投标人应在接到采购人通知后24小时内响应，并在48小时内保证人员到位，且达到采购人要求为止。</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、投标人有责任配合采购人接受上级领导部门的监督、检查；</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、投标人配置项目相关人员的装备，要求如下：</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val="zh-CN"/>
        </w:rPr>
        <w:t>服装标准：配备春秋装、夏装、冬装各两套，冬大衣、白手套、皮鞋、每人各一套。服装款式需经采购人确认，才可使用。上岗前统一服装，佩戴规范。(投标人需提供全新服装并计入合同总价。)</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zh-CN"/>
        </w:rPr>
        <w:t>装备标准：每岗配备对讲机，每人配备强光手电、辣椒水、武装带、伸缩警棍各1件，如发生突发事件能及时使用。(投标人需提供全新装备并计入合同总价。)</w:t>
      </w:r>
    </w:p>
    <w:p>
      <w:pPr>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rPr>
        <w:t>6、投标人应针对本项目建立突发性事件的应急方案，方案内容应包括自然灾害、突发事件（火灾、爆炸等）、临时任务等的运行服务保障应急预案及对可能遇到的问题采用相应的应对措施。</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7、保密要求：</w:t>
      </w:r>
    </w:p>
    <w:p>
      <w:pPr>
        <w:spacing w:line="360" w:lineRule="auto"/>
        <w:ind w:firstLine="482" w:firstLineChars="200"/>
        <w:jc w:val="left"/>
        <w:outlineLvl w:val="2"/>
        <w:rPr>
          <w:rFonts w:hint="default" w:ascii="仿宋" w:hAnsi="仿宋" w:eastAsia="仿宋" w:cs="仿宋"/>
          <w:b/>
          <w:color w:val="auto"/>
          <w:sz w:val="24"/>
          <w:highlight w:val="none"/>
          <w:u w:val="single"/>
          <w:lang w:val="en-US" w:eastAsia="zh-CN"/>
        </w:rPr>
      </w:pPr>
      <w:r>
        <w:rPr>
          <w:rFonts w:hint="default" w:ascii="仿宋" w:hAnsi="仿宋" w:eastAsia="仿宋" w:cs="仿宋"/>
          <w:b/>
          <w:color w:val="auto"/>
          <w:sz w:val="24"/>
          <w:highlight w:val="none"/>
          <w:u w:val="single"/>
          <w:lang w:val="en-US" w:eastAsia="zh-CN"/>
        </w:rPr>
        <w:t>①投标人需与采购人签订保密协议，采取安全预防措施，</w:t>
      </w:r>
      <w:r>
        <w:rPr>
          <w:rFonts w:hint="eastAsia" w:ascii="仿宋" w:hAnsi="仿宋" w:eastAsia="仿宋" w:cs="仿宋"/>
          <w:b/>
          <w:color w:val="auto"/>
          <w:sz w:val="24"/>
          <w:highlight w:val="none"/>
          <w:u w:val="single"/>
        </w:rPr>
        <w:t>确保不</w:t>
      </w:r>
      <w:r>
        <w:rPr>
          <w:rFonts w:hint="default" w:ascii="仿宋" w:hAnsi="仿宋" w:eastAsia="仿宋" w:cs="仿宋"/>
          <w:b/>
          <w:color w:val="auto"/>
          <w:sz w:val="24"/>
          <w:highlight w:val="none"/>
          <w:u w:val="single"/>
          <w:lang w:val="en-US" w:eastAsia="zh-CN"/>
        </w:rPr>
        <w:t>将掌握的任何有关采购人信息透露给任何未经授权的人等（包括但不限于合同服务期内），如发生泄密责任，采购人将追究投标人一切法律责任。</w:t>
      </w:r>
    </w:p>
    <w:p>
      <w:pPr>
        <w:spacing w:line="360" w:lineRule="auto"/>
        <w:ind w:firstLine="482" w:firstLineChars="200"/>
        <w:jc w:val="left"/>
        <w:outlineLvl w:val="2"/>
        <w:rPr>
          <w:rFonts w:hint="default" w:ascii="仿宋" w:hAnsi="仿宋" w:eastAsia="仿宋" w:cs="仿宋"/>
          <w:b/>
          <w:color w:val="auto"/>
          <w:sz w:val="24"/>
          <w:highlight w:val="none"/>
          <w:u w:val="single"/>
          <w:lang w:val="en-US" w:eastAsia="zh-CN"/>
        </w:rPr>
      </w:pPr>
      <w:r>
        <w:rPr>
          <w:rFonts w:hint="default" w:ascii="仿宋" w:hAnsi="仿宋" w:eastAsia="仿宋" w:cs="仿宋"/>
          <w:b/>
          <w:color w:val="auto"/>
          <w:sz w:val="24"/>
          <w:highlight w:val="none"/>
          <w:u w:val="single"/>
          <w:lang w:val="en-US" w:eastAsia="zh-CN"/>
        </w:rPr>
        <w:t>②采购人对投标人及工作人员开展常态化安全保密教育，组织签订安全保密承诺书，明确具体安全管理内容、安全保密义务和责任；</w:t>
      </w:r>
    </w:p>
    <w:p>
      <w:pPr>
        <w:spacing w:line="360" w:lineRule="auto"/>
        <w:ind w:firstLine="482" w:firstLineChars="200"/>
        <w:jc w:val="left"/>
        <w:outlineLvl w:val="2"/>
        <w:rPr>
          <w:rFonts w:hint="default" w:ascii="仿宋" w:hAnsi="仿宋" w:eastAsia="仿宋" w:cs="仿宋"/>
          <w:b/>
          <w:color w:val="auto"/>
          <w:sz w:val="24"/>
          <w:highlight w:val="none"/>
          <w:u w:val="single"/>
          <w:lang w:val="en-US" w:eastAsia="zh-CN"/>
        </w:rPr>
      </w:pPr>
      <w:r>
        <w:rPr>
          <w:rFonts w:hint="default" w:ascii="仿宋" w:hAnsi="仿宋" w:eastAsia="仿宋" w:cs="仿宋"/>
          <w:b/>
          <w:color w:val="auto"/>
          <w:sz w:val="24"/>
          <w:highlight w:val="none"/>
          <w:u w:val="single"/>
          <w:lang w:val="en-US" w:eastAsia="zh-CN"/>
        </w:rPr>
        <w:t>③投标人及工作人员违反安全管理要求，构成违法犯罪的，采购人将及时报送本级政府采购和市场监督管理部门，提请列入政府采购严重违法失信行为记录名单、市场监督管理严重失信名单，并追究相关责任。</w:t>
      </w:r>
    </w:p>
    <w:p>
      <w:pPr>
        <w:spacing w:line="360" w:lineRule="auto"/>
        <w:ind w:firstLine="482" w:firstLineChars="200"/>
        <w:jc w:val="left"/>
        <w:outlineLvl w:val="2"/>
        <w:rPr>
          <w:rFonts w:hint="default" w:ascii="仿宋" w:hAnsi="仿宋" w:eastAsia="仿宋" w:cs="仿宋"/>
          <w:b/>
          <w:color w:val="auto"/>
          <w:sz w:val="24"/>
          <w:highlight w:val="none"/>
          <w:u w:val="single"/>
          <w:lang w:val="en-US" w:eastAsia="zh-CN"/>
        </w:rPr>
      </w:pPr>
      <w:r>
        <w:rPr>
          <w:rFonts w:hint="default" w:ascii="仿宋" w:hAnsi="仿宋" w:eastAsia="仿宋" w:cs="仿宋"/>
          <w:b/>
          <w:color w:val="auto"/>
          <w:sz w:val="24"/>
          <w:highlight w:val="none"/>
          <w:u w:val="single"/>
          <w:lang w:val="en-US" w:eastAsia="zh-CN"/>
        </w:rPr>
        <w:t>④投标人须严格按照采购人规定使用、存储、处理文档资料和数据。合同终止时，应当交还全部资料和数据。</w:t>
      </w:r>
    </w:p>
    <w:p>
      <w:pPr>
        <w:spacing w:line="360" w:lineRule="auto"/>
        <w:ind w:firstLine="482" w:firstLineChars="200"/>
        <w:jc w:val="left"/>
        <w:outlineLvl w:val="2"/>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u w:val="single"/>
          <w:lang w:val="en-US" w:eastAsia="zh-CN"/>
        </w:rPr>
        <w:t>投标人所有人员的事故和投标人或投标人派遣人员工作过错造成的安全管理事故，投标人自行负全部责任及相关费用。</w:t>
      </w:r>
    </w:p>
    <w:p>
      <w:pPr>
        <w:spacing w:line="360" w:lineRule="auto"/>
        <w:ind w:firstLine="482" w:firstLineChars="200"/>
        <w:jc w:val="left"/>
        <w:outlineLvl w:val="2"/>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▲8、供应商投入的人员不能与其承接的项目重复兼任,一经发现，将提请财政以提供虚假资料予以废标，并列入黑名单，没收全部履约保证金，并承担就由此给采购人造成的损失。</w:t>
      </w:r>
    </w:p>
    <w:p>
      <w:pPr>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（六）拟采购标的的商务要求</w:t>
      </w:r>
    </w:p>
    <w:p>
      <w:pPr>
        <w:snapToGrid w:val="0"/>
        <w:spacing w:line="360" w:lineRule="auto"/>
        <w:ind w:firstLine="482" w:firstLineChars="200"/>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1.交付（实施）的时间（期限）：</w:t>
      </w:r>
      <w:r>
        <w:rPr>
          <w:rFonts w:hint="eastAsia" w:ascii="仿宋" w:hAnsi="仿宋" w:eastAsia="仿宋" w:cs="仿宋"/>
          <w:color w:val="auto"/>
          <w:sz w:val="24"/>
          <w:highlight w:val="none"/>
          <w:u w:val="single"/>
        </w:rPr>
        <w:t>2024年6月1日至2025年5月31日。</w:t>
      </w:r>
    </w:p>
    <w:p>
      <w:pPr>
        <w:snapToGrid w:val="0"/>
        <w:spacing w:line="360" w:lineRule="auto"/>
        <w:ind w:firstLine="482" w:firstLineChars="200"/>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2.交付（实施）的地点（范围）：</w:t>
      </w:r>
      <w:r>
        <w:rPr>
          <w:rFonts w:hint="eastAsia" w:ascii="仿宋" w:hAnsi="仿宋" w:eastAsia="仿宋" w:cs="仿宋"/>
          <w:color w:val="auto"/>
          <w:sz w:val="24"/>
          <w:highlight w:val="none"/>
          <w:u w:val="single"/>
        </w:rPr>
        <w:t>杭州市机动车驾驶员考试服务中心</w:t>
      </w:r>
      <w:r>
        <w:rPr>
          <w:rFonts w:hint="eastAsia" w:ascii="仿宋" w:hAnsi="仿宋" w:eastAsia="仿宋" w:cs="仿宋"/>
          <w:color w:val="auto"/>
          <w:sz w:val="24"/>
          <w:highlight w:val="none"/>
          <w:u w:val="single"/>
          <w:lang w:eastAsia="zh-CN"/>
        </w:rPr>
        <w:t>场口考场、河坊街、龙舌嘴、萧山考场</w:t>
      </w:r>
      <w:r>
        <w:rPr>
          <w:rFonts w:hint="eastAsia" w:ascii="仿宋" w:hAnsi="仿宋" w:eastAsia="仿宋" w:cs="仿宋"/>
          <w:color w:val="auto"/>
          <w:sz w:val="24"/>
          <w:highlight w:val="none"/>
          <w:u w:val="single"/>
        </w:rPr>
        <w:t>服务点。</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3.付款条件（进度和方式）</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第一期：签订合同后5个工作日内，</w:t>
      </w:r>
      <w:r>
        <w:rPr>
          <w:rFonts w:hint="eastAsia" w:ascii="仿宋" w:hAnsi="仿宋" w:eastAsia="仿宋" w:cs="仿宋"/>
          <w:color w:val="auto"/>
          <w:sz w:val="24"/>
          <w:highlight w:val="none"/>
          <w:u w:val="single"/>
        </w:rPr>
        <w:t>项目具备实施条件后，采购人</w:t>
      </w:r>
      <w:r>
        <w:rPr>
          <w:rFonts w:hint="eastAsia" w:ascii="仿宋" w:hAnsi="仿宋" w:eastAsia="仿宋" w:cs="仿宋"/>
          <w:color w:val="auto"/>
          <w:sz w:val="24"/>
          <w:highlight w:val="none"/>
          <w:u w:val="single"/>
          <w:lang w:val="zh-CN"/>
        </w:rPr>
        <w:t>支付合同总价的40%，同时</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val="zh-CN"/>
        </w:rPr>
        <w:t>收取履约保证金为合同总价1%。</w:t>
      </w:r>
    </w:p>
    <w:p>
      <w:pPr>
        <w:snapToGrid/>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第二期：服务至202</w:t>
      </w:r>
      <w:r>
        <w:rPr>
          <w:rFonts w:hint="eastAsia" w:ascii="仿宋" w:hAnsi="仿宋" w:eastAsia="仿宋" w:cs="仿宋"/>
          <w:color w:val="auto"/>
          <w:sz w:val="24"/>
          <w:highlight w:val="none"/>
          <w:u w:val="single"/>
          <w:lang w:val="zh-CN" w:eastAsia="zh-CN"/>
        </w:rPr>
        <w:t>4</w:t>
      </w:r>
      <w:r>
        <w:rPr>
          <w:rFonts w:hint="eastAsia" w:ascii="仿宋" w:hAnsi="仿宋" w:eastAsia="仿宋" w:cs="仿宋"/>
          <w:color w:val="auto"/>
          <w:sz w:val="24"/>
          <w:highlight w:val="none"/>
          <w:u w:val="single"/>
          <w:lang w:val="zh-CN"/>
        </w:rPr>
        <w:t>年11月30日经验收合格后，凭双方签字盖章的验收意见、验收小组签字的验收报告、每月考核表、人员清单、人员变更审批表（如有）、每日人员钉钉考勤记录、保安人员身份证清单、资历证明、保安员上岗证书、退伍证、党员证、每月社保缴纳清单、服装发放清单、装备发放清单、应急方案、日常管理规章制度、巡逻检查记录、培训材料、单位保密协议、个人安全保密承诺书、日常保密教育台账、小微企业证明资料等相关资料，按人员按合同单价、实际到岗人数、服务天数结算（服装、装备按实际使用套数结算）且最多支付至</w:t>
      </w:r>
      <w:r>
        <w:rPr>
          <w:rFonts w:hint="eastAsia" w:ascii="仿宋" w:hAnsi="仿宋" w:eastAsia="仿宋" w:cs="仿宋"/>
          <w:color w:val="auto"/>
          <w:sz w:val="24"/>
          <w:highlight w:val="none"/>
          <w:u w:val="single"/>
          <w:lang w:val="zh-CN" w:eastAsia="zh-CN"/>
        </w:rPr>
        <w:t>146.88</w:t>
      </w:r>
      <w:r>
        <w:rPr>
          <w:rFonts w:hint="eastAsia" w:ascii="仿宋" w:hAnsi="仿宋" w:eastAsia="仿宋" w:cs="仿宋"/>
          <w:color w:val="auto"/>
          <w:sz w:val="24"/>
          <w:highlight w:val="none"/>
          <w:u w:val="single"/>
          <w:lang w:val="zh-CN"/>
        </w:rPr>
        <w:t>万元（含采购人已向投标人支付的第一期合同价款）；</w:t>
      </w:r>
    </w:p>
    <w:p>
      <w:pPr>
        <w:snapToGrid/>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第三期：至202</w:t>
      </w:r>
      <w:r>
        <w:rPr>
          <w:rFonts w:hint="eastAsia" w:ascii="仿宋" w:hAnsi="仿宋" w:eastAsia="仿宋" w:cs="仿宋"/>
          <w:color w:val="auto"/>
          <w:sz w:val="24"/>
          <w:highlight w:val="none"/>
          <w:u w:val="single"/>
          <w:lang w:val="zh-CN" w:eastAsia="zh-CN"/>
        </w:rPr>
        <w:t>5</w:t>
      </w:r>
      <w:r>
        <w:rPr>
          <w:rFonts w:hint="eastAsia" w:ascii="仿宋" w:hAnsi="仿宋" w:eastAsia="仿宋" w:cs="仿宋"/>
          <w:color w:val="auto"/>
          <w:sz w:val="24"/>
          <w:highlight w:val="none"/>
          <w:u w:val="single"/>
          <w:lang w:val="zh-CN"/>
        </w:rPr>
        <w:t>年5月</w:t>
      </w:r>
      <w:r>
        <w:rPr>
          <w:rFonts w:hint="eastAsia" w:ascii="仿宋" w:hAnsi="仿宋" w:eastAsia="仿宋" w:cs="仿宋"/>
          <w:color w:val="auto"/>
          <w:sz w:val="24"/>
          <w:highlight w:val="none"/>
          <w:u w:val="single"/>
          <w:lang w:val="en-US" w:eastAsia="zh-CN"/>
        </w:rPr>
        <w:t>31日</w:t>
      </w:r>
      <w:r>
        <w:rPr>
          <w:rFonts w:hint="eastAsia" w:ascii="仿宋" w:hAnsi="仿宋" w:eastAsia="仿宋" w:cs="仿宋"/>
          <w:color w:val="auto"/>
          <w:sz w:val="24"/>
          <w:highlight w:val="none"/>
          <w:u w:val="single"/>
          <w:lang w:val="zh-CN"/>
        </w:rPr>
        <w:t>服务期结束，经验收合格后，凭双方签字盖章的验收意见、验收小组签字的验收报告、每月考核表、人员清单、人员变更审批表（如有）、每日人员钉钉考勤记录、保安人员身份证清单、资历证明、保安员上岗证书、退伍证、党员证、每月社保缴纳清单、服装发放清单、装备发放清单、应急方案、日常管理规章制度、巡逻检查记录、培训材料、单位保密协议、个人安全保密承诺书、日常保密教育台账、小微企业证明资料等相关资料，按人员按合同单价、实际到岗人数、服务天数结算（服装、装备按实际使用套数结算）剩余应付的合同款项，同时扣除投标人应向采购人支付的违约金。</w:t>
      </w:r>
    </w:p>
    <w:p>
      <w:pPr>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双方确认，采购人按前款结算并向投标人支付的款项总额不超过合同总价。</w:t>
      </w:r>
    </w:p>
    <w:p>
      <w:pPr>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前述采购人按合同单价、实际到岗人数、</w:t>
      </w:r>
      <w:r>
        <w:rPr>
          <w:rFonts w:hint="eastAsia" w:ascii="仿宋" w:hAnsi="仿宋" w:eastAsia="仿宋" w:cs="仿宋"/>
          <w:color w:val="auto"/>
          <w:sz w:val="24"/>
          <w:highlight w:val="none"/>
          <w:u w:val="single"/>
        </w:rPr>
        <w:t>天数（</w:t>
      </w:r>
      <w:r>
        <w:rPr>
          <w:rFonts w:hint="eastAsia" w:ascii="仿宋" w:hAnsi="仿宋" w:eastAsia="仿宋" w:cs="仿宋"/>
          <w:color w:val="auto"/>
          <w:sz w:val="24"/>
          <w:highlight w:val="none"/>
          <w:u w:val="single"/>
          <w:lang w:val="zh-CN"/>
        </w:rPr>
        <w:t>服装、装备按实际使用套数结算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zh-CN"/>
        </w:rPr>
        <w:t>与投标人进行结算付款的方式不影响投标人承担其因未全面履行本项目义务而产生的相应违约金。</w:t>
      </w:r>
    </w:p>
    <w:p>
      <w:pPr>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（七）采购项目的其他要求</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1、验收：</w:t>
      </w:r>
    </w:p>
    <w:p>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（2）严格按照采购合同开展履约验收。</w:t>
      </w:r>
      <w:r>
        <w:rPr>
          <w:rFonts w:hint="eastAsia" w:ascii="仿宋" w:hAnsi="仿宋" w:eastAsia="仿宋" w:cs="宋体"/>
          <w:color w:val="auto"/>
          <w:kern w:val="0"/>
          <w:sz w:val="24"/>
          <w:highlight w:val="none"/>
          <w:u w:val="single"/>
        </w:rPr>
        <w:t>采购人委托</w:t>
      </w:r>
      <w:r>
        <w:rPr>
          <w:rFonts w:hint="eastAsia" w:ascii="仿宋" w:hAnsi="仿宋" w:eastAsia="仿宋" w:cs="宋体"/>
          <w:color w:val="auto"/>
          <w:kern w:val="0"/>
          <w:sz w:val="24"/>
          <w:highlight w:val="none"/>
          <w:u w:val="single"/>
          <w:lang w:val="en-US" w:eastAsia="zh-CN"/>
        </w:rPr>
        <w:t>第三方机构</w:t>
      </w:r>
      <w:r>
        <w:rPr>
          <w:rFonts w:hint="eastAsia" w:ascii="仿宋" w:hAnsi="仿宋" w:eastAsia="仿宋" w:cs="宋体"/>
          <w:color w:val="auto"/>
          <w:kern w:val="0"/>
          <w:sz w:val="24"/>
          <w:highlight w:val="none"/>
          <w:u w:val="single"/>
        </w:rPr>
        <w:t>组织验收，成立验收小组</w:t>
      </w:r>
      <w:r>
        <w:rPr>
          <w:rFonts w:hint="eastAsia" w:ascii="仿宋" w:hAnsi="仿宋" w:eastAsia="仿宋" w:cs="仿宋"/>
          <w:color w:val="auto"/>
          <w:kern w:val="0"/>
          <w:sz w:val="24"/>
          <w:highlight w:val="none"/>
          <w:u w:val="single"/>
        </w:rPr>
        <w:t>（验收小组由</w:t>
      </w:r>
      <w:r>
        <w:rPr>
          <w:rFonts w:ascii="仿宋" w:hAnsi="仿宋" w:eastAsia="仿宋" w:cs="仿宋"/>
          <w:color w:val="auto"/>
          <w:kern w:val="0"/>
          <w:sz w:val="24"/>
          <w:highlight w:val="none"/>
          <w:u w:val="single"/>
        </w:rPr>
        <w:t>5人组成：其中采购人1名，</w:t>
      </w:r>
      <w:r>
        <w:rPr>
          <w:rFonts w:hint="eastAsia" w:ascii="仿宋" w:hAnsi="仿宋" w:eastAsia="仿宋" w:cs="仿宋"/>
          <w:color w:val="auto"/>
          <w:kern w:val="0"/>
          <w:sz w:val="24"/>
          <w:highlight w:val="none"/>
          <w:u w:val="single"/>
        </w:rPr>
        <w:t>服务对象1</w:t>
      </w:r>
      <w:r>
        <w:rPr>
          <w:rFonts w:hint="eastAsia" w:ascii="仿宋" w:hAnsi="仿宋" w:eastAsia="仿宋" w:cs="仿宋"/>
          <w:color w:val="auto"/>
          <w:kern w:val="0"/>
          <w:sz w:val="24"/>
          <w:highlight w:val="none"/>
          <w:u w:val="single"/>
          <w:lang w:val="en-US" w:eastAsia="zh-CN"/>
        </w:rPr>
        <w:t>名</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其余3名验收专家</w:t>
      </w:r>
      <w:r>
        <w:rPr>
          <w:rFonts w:ascii="仿宋" w:hAnsi="仿宋" w:eastAsia="仿宋" w:cs="仿宋"/>
          <w:color w:val="auto"/>
          <w:kern w:val="0"/>
          <w:sz w:val="24"/>
          <w:highlight w:val="none"/>
          <w:u w:val="single"/>
        </w:rPr>
        <w:t>由第三方机构从政采云政企区专家库</w:t>
      </w:r>
      <w:r>
        <w:rPr>
          <w:rFonts w:hint="eastAsia" w:ascii="仿宋" w:hAnsi="仿宋" w:eastAsia="仿宋" w:cs="仿宋"/>
          <w:color w:val="auto"/>
          <w:kern w:val="0"/>
          <w:sz w:val="24"/>
          <w:highlight w:val="none"/>
          <w:u w:val="single"/>
          <w:lang w:val="en-US" w:eastAsia="zh-CN"/>
        </w:rPr>
        <w:t>相关专业</w:t>
      </w:r>
      <w:r>
        <w:rPr>
          <w:rFonts w:ascii="仿宋" w:hAnsi="仿宋" w:eastAsia="仿宋" w:cs="仿宋"/>
          <w:color w:val="auto"/>
          <w:kern w:val="0"/>
          <w:sz w:val="24"/>
          <w:highlight w:val="none"/>
          <w:u w:val="single"/>
        </w:rPr>
        <w:t>随机抽取）</w:t>
      </w:r>
      <w:r>
        <w:rPr>
          <w:rFonts w:hint="eastAsia" w:ascii="仿宋" w:hAnsi="仿宋" w:eastAsia="仿宋" w:cs="宋体"/>
          <w:color w:val="auto"/>
          <w:kern w:val="0"/>
          <w:sz w:val="24"/>
          <w:highlight w:val="none"/>
          <w:u w:val="single"/>
        </w:rPr>
        <w:t>，</w:t>
      </w:r>
      <w:r>
        <w:rPr>
          <w:rFonts w:hint="eastAsia" w:ascii="仿宋" w:hAnsi="仿宋" w:eastAsia="仿宋" w:cs="仿宋"/>
          <w:color w:val="auto"/>
          <w:sz w:val="24"/>
          <w:highlight w:val="none"/>
          <w:u w:val="single"/>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（4）验收产生的费用首次验收费用由采购人承担，如首次验收不合格，后续验收费用由投标人支付。</w:t>
      </w:r>
    </w:p>
    <w:p>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（5）验收内容及资料要求：</w:t>
      </w:r>
    </w:p>
    <w:p>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u w:val="single"/>
        </w:rPr>
        <w:t>5.1验收内容</w:t>
      </w:r>
    </w:p>
    <w:tbl>
      <w:tblPr>
        <w:tblStyle w:val="62"/>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4"/>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96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3584"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restar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963" w:type="pct"/>
            <w:vMerge w:val="restart"/>
            <w:noWrap/>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服务质量 </w:t>
            </w:r>
          </w:p>
        </w:tc>
        <w:tc>
          <w:tcPr>
            <w:tcW w:w="3584" w:type="pct"/>
            <w:noWrap/>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各岗位的保安人员按时到岗，岗位的服务时间遵守采购需求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continue"/>
            <w:noWrap/>
            <w:vAlign w:val="center"/>
          </w:tcPr>
          <w:p>
            <w:pPr>
              <w:widowControl/>
              <w:jc w:val="center"/>
              <w:rPr>
                <w:rFonts w:hint="eastAsia" w:ascii="仿宋" w:hAnsi="仿宋" w:eastAsia="仿宋" w:cs="仿宋"/>
                <w:bCs/>
                <w:color w:val="auto"/>
                <w:kern w:val="0"/>
                <w:sz w:val="24"/>
                <w:highlight w:val="none"/>
              </w:rPr>
            </w:pPr>
          </w:p>
        </w:tc>
        <w:tc>
          <w:tcPr>
            <w:tcW w:w="963" w:type="pct"/>
            <w:vMerge w:val="continue"/>
            <w:noWrap/>
            <w:vAlign w:val="center"/>
          </w:tcPr>
          <w:p>
            <w:pPr>
              <w:widowControl/>
              <w:jc w:val="center"/>
              <w:rPr>
                <w:rFonts w:hint="eastAsia" w:ascii="仿宋" w:hAnsi="仿宋" w:eastAsia="仿宋" w:cs="仿宋"/>
                <w:bCs/>
                <w:color w:val="auto"/>
                <w:kern w:val="0"/>
                <w:sz w:val="24"/>
                <w:highlight w:val="none"/>
              </w:rPr>
            </w:pPr>
          </w:p>
        </w:tc>
        <w:tc>
          <w:tcPr>
            <w:tcW w:w="3584" w:type="pct"/>
            <w:noWrap/>
            <w:vAlign w:val="center"/>
          </w:tcPr>
          <w:p>
            <w:pPr>
              <w:pStyle w:val="859"/>
              <w:widowControl/>
              <w:snapToGrid w:val="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门卫安保管理的服务质量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continue"/>
            <w:noWrap/>
            <w:vAlign w:val="center"/>
          </w:tcPr>
          <w:p>
            <w:pPr>
              <w:widowControl/>
              <w:jc w:val="left"/>
              <w:rPr>
                <w:rFonts w:hint="eastAsia" w:ascii="仿宋" w:hAnsi="仿宋" w:eastAsia="仿宋" w:cs="仿宋"/>
                <w:bCs/>
                <w:color w:val="auto"/>
                <w:kern w:val="0"/>
                <w:sz w:val="24"/>
                <w:highlight w:val="none"/>
              </w:rPr>
            </w:pPr>
          </w:p>
        </w:tc>
        <w:tc>
          <w:tcPr>
            <w:tcW w:w="963" w:type="pct"/>
            <w:vMerge w:val="continue"/>
            <w:noWrap/>
            <w:vAlign w:val="center"/>
          </w:tcPr>
          <w:p>
            <w:pPr>
              <w:widowControl/>
              <w:jc w:val="center"/>
              <w:rPr>
                <w:rFonts w:hint="eastAsia" w:ascii="仿宋" w:hAnsi="仿宋" w:eastAsia="仿宋" w:cs="仿宋"/>
                <w:bCs/>
                <w:color w:val="auto"/>
                <w:kern w:val="0"/>
                <w:sz w:val="24"/>
                <w:highlight w:val="none"/>
              </w:rPr>
            </w:pPr>
          </w:p>
        </w:tc>
        <w:tc>
          <w:tcPr>
            <w:tcW w:w="3584" w:type="pct"/>
            <w:noWrap/>
            <w:vAlign w:val="center"/>
          </w:tcPr>
          <w:p>
            <w:pPr>
              <w:widowControl/>
              <w:tabs>
                <w:tab w:val="left" w:pos="710"/>
              </w:tabs>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值勤巡逻的服务质量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continue"/>
            <w:noWrap/>
            <w:vAlign w:val="center"/>
          </w:tcPr>
          <w:p>
            <w:pPr>
              <w:widowControl/>
              <w:jc w:val="left"/>
              <w:rPr>
                <w:rFonts w:hint="eastAsia" w:ascii="仿宋" w:hAnsi="仿宋" w:eastAsia="仿宋" w:cs="仿宋"/>
                <w:bCs/>
                <w:color w:val="auto"/>
                <w:kern w:val="0"/>
                <w:sz w:val="24"/>
                <w:highlight w:val="none"/>
              </w:rPr>
            </w:pPr>
          </w:p>
        </w:tc>
        <w:tc>
          <w:tcPr>
            <w:tcW w:w="963" w:type="pct"/>
            <w:vMerge w:val="continue"/>
            <w:noWrap/>
            <w:vAlign w:val="center"/>
          </w:tcPr>
          <w:p>
            <w:pPr>
              <w:widowControl/>
              <w:jc w:val="center"/>
              <w:rPr>
                <w:rFonts w:hint="eastAsia" w:ascii="仿宋" w:hAnsi="仿宋" w:eastAsia="仿宋" w:cs="仿宋"/>
                <w:bCs/>
                <w:color w:val="auto"/>
                <w:kern w:val="0"/>
                <w:sz w:val="24"/>
                <w:highlight w:val="none"/>
              </w:rPr>
            </w:pPr>
          </w:p>
        </w:tc>
        <w:tc>
          <w:tcPr>
            <w:tcW w:w="3584" w:type="pct"/>
            <w:noWrap/>
            <w:vAlign w:val="center"/>
          </w:tcPr>
          <w:p>
            <w:pPr>
              <w:widowControl/>
              <w:tabs>
                <w:tab w:val="left" w:pos="710"/>
              </w:tabs>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消防设施巡查服务质量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continue"/>
            <w:noWrap/>
            <w:vAlign w:val="center"/>
          </w:tcPr>
          <w:p>
            <w:pPr>
              <w:widowControl/>
              <w:jc w:val="left"/>
              <w:rPr>
                <w:rFonts w:hint="eastAsia" w:ascii="仿宋" w:hAnsi="仿宋" w:eastAsia="仿宋" w:cs="仿宋"/>
                <w:bCs/>
                <w:color w:val="auto"/>
                <w:kern w:val="0"/>
                <w:sz w:val="24"/>
                <w:highlight w:val="none"/>
              </w:rPr>
            </w:pPr>
          </w:p>
        </w:tc>
        <w:tc>
          <w:tcPr>
            <w:tcW w:w="963" w:type="pct"/>
            <w:vMerge w:val="continue"/>
            <w:noWrap/>
            <w:vAlign w:val="center"/>
          </w:tcPr>
          <w:p>
            <w:pPr>
              <w:widowControl/>
              <w:jc w:val="center"/>
              <w:rPr>
                <w:rFonts w:hint="eastAsia" w:ascii="仿宋" w:hAnsi="仿宋" w:eastAsia="仿宋" w:cs="仿宋"/>
                <w:bCs/>
                <w:color w:val="auto"/>
                <w:kern w:val="0"/>
                <w:sz w:val="24"/>
                <w:highlight w:val="none"/>
              </w:rPr>
            </w:pPr>
          </w:p>
        </w:tc>
        <w:tc>
          <w:tcPr>
            <w:tcW w:w="3584" w:type="pct"/>
            <w:noWrap/>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处理应急突发事件的情况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96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服务进度</w:t>
            </w:r>
          </w:p>
        </w:tc>
        <w:tc>
          <w:tcPr>
            <w:tcW w:w="3584" w:type="pct"/>
            <w:noWrap/>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岗位分工、每日的钉钉考勤记录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restar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963" w:type="pct"/>
            <w:vMerge w:val="restar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人员、设备</w:t>
            </w:r>
          </w:p>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配备情况</w:t>
            </w:r>
          </w:p>
        </w:tc>
        <w:tc>
          <w:tcPr>
            <w:tcW w:w="3584" w:type="pct"/>
            <w:noWrap/>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保安人员人员配备数量、素质满足采购人要求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continue"/>
            <w:noWrap/>
            <w:vAlign w:val="center"/>
          </w:tcPr>
          <w:p>
            <w:pPr>
              <w:widowControl/>
              <w:jc w:val="left"/>
              <w:rPr>
                <w:rFonts w:hint="eastAsia" w:ascii="仿宋" w:hAnsi="仿宋" w:eastAsia="仿宋" w:cs="仿宋"/>
                <w:bCs/>
                <w:color w:val="auto"/>
                <w:kern w:val="0"/>
                <w:sz w:val="24"/>
                <w:highlight w:val="none"/>
              </w:rPr>
            </w:pPr>
          </w:p>
        </w:tc>
        <w:tc>
          <w:tcPr>
            <w:tcW w:w="963" w:type="pct"/>
            <w:vMerge w:val="continue"/>
            <w:noWrap/>
            <w:vAlign w:val="center"/>
          </w:tcPr>
          <w:p>
            <w:pPr>
              <w:widowControl/>
              <w:jc w:val="left"/>
              <w:rPr>
                <w:rFonts w:hint="eastAsia" w:ascii="仿宋" w:hAnsi="仿宋" w:eastAsia="仿宋" w:cs="仿宋"/>
                <w:bCs/>
                <w:color w:val="auto"/>
                <w:kern w:val="0"/>
                <w:sz w:val="24"/>
                <w:highlight w:val="none"/>
              </w:rPr>
            </w:pPr>
          </w:p>
        </w:tc>
        <w:tc>
          <w:tcPr>
            <w:tcW w:w="3584" w:type="pct"/>
            <w:noWrap/>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装备、服装、通讯设备按承诺配备给安保人员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3" w:type="pct"/>
            <w:vMerge w:val="continue"/>
            <w:noWrap/>
            <w:vAlign w:val="center"/>
          </w:tcPr>
          <w:p>
            <w:pPr>
              <w:widowControl/>
              <w:jc w:val="left"/>
              <w:rPr>
                <w:rFonts w:hint="eastAsia" w:ascii="仿宋" w:hAnsi="仿宋" w:eastAsia="仿宋" w:cs="仿宋"/>
                <w:bCs/>
                <w:color w:val="auto"/>
                <w:kern w:val="0"/>
                <w:sz w:val="24"/>
                <w:highlight w:val="none"/>
              </w:rPr>
            </w:pPr>
          </w:p>
        </w:tc>
        <w:tc>
          <w:tcPr>
            <w:tcW w:w="963" w:type="pct"/>
            <w:vMerge w:val="continue"/>
            <w:noWrap/>
            <w:vAlign w:val="center"/>
          </w:tcPr>
          <w:p>
            <w:pPr>
              <w:widowControl/>
              <w:jc w:val="left"/>
              <w:rPr>
                <w:rFonts w:hint="eastAsia" w:ascii="仿宋" w:hAnsi="仿宋" w:eastAsia="仿宋" w:cs="仿宋"/>
                <w:bCs/>
                <w:color w:val="auto"/>
                <w:kern w:val="0"/>
                <w:sz w:val="24"/>
                <w:highlight w:val="none"/>
              </w:rPr>
            </w:pPr>
          </w:p>
        </w:tc>
        <w:tc>
          <w:tcPr>
            <w:tcW w:w="3584" w:type="pct"/>
            <w:noWrap/>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人员变更满足采购要求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53" w:type="pct"/>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96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培训服务</w:t>
            </w:r>
          </w:p>
        </w:tc>
        <w:tc>
          <w:tcPr>
            <w:tcW w:w="3584" w:type="pct"/>
            <w:noWrap/>
            <w:vAlign w:val="center"/>
          </w:tcPr>
          <w:p>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按投标承诺提供培训记录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5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963" w:type="pct"/>
            <w:noWrap/>
            <w:vAlign w:val="center"/>
          </w:tcPr>
          <w:p>
            <w:pPr>
              <w:snapToGrid w:val="0"/>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日常管理制度落实</w:t>
            </w:r>
          </w:p>
        </w:tc>
        <w:tc>
          <w:tcPr>
            <w:tcW w:w="3584" w:type="pct"/>
            <w:noWrap/>
            <w:vAlign w:val="center"/>
          </w:tcPr>
          <w:p>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遵照承诺的日常管理制度进行项目管理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96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应急事件处理</w:t>
            </w:r>
          </w:p>
        </w:tc>
        <w:tc>
          <w:tcPr>
            <w:tcW w:w="3584" w:type="pct"/>
            <w:noWrap/>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按承诺的应急发案处理突发性事件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w:t>
            </w:r>
          </w:p>
        </w:tc>
        <w:tc>
          <w:tcPr>
            <w:tcW w:w="96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保密要求</w:t>
            </w:r>
          </w:p>
        </w:tc>
        <w:tc>
          <w:tcPr>
            <w:tcW w:w="3584" w:type="pct"/>
            <w:noWrap/>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保密要求满足采购人保密规定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w:t>
            </w:r>
          </w:p>
        </w:tc>
        <w:tc>
          <w:tcPr>
            <w:tcW w:w="96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中小企业要求</w:t>
            </w:r>
          </w:p>
        </w:tc>
        <w:tc>
          <w:tcPr>
            <w:tcW w:w="3584" w:type="pct"/>
            <w:noWrap/>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服务全部由符合政策要求的小微企业承接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w:t>
            </w:r>
          </w:p>
        </w:tc>
        <w:tc>
          <w:tcPr>
            <w:tcW w:w="963" w:type="pct"/>
            <w:noWrap/>
            <w:vAlign w:val="center"/>
          </w:tcPr>
          <w:p>
            <w:pPr>
              <w:widowControl/>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3584" w:type="pct"/>
            <w:noWrap/>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履行项目采购文件、投标文件、合同条款中涉及的其他承诺的情况。 </w:t>
            </w:r>
          </w:p>
        </w:tc>
      </w:tr>
    </w:tbl>
    <w:p>
      <w:pPr>
        <w:pStyle w:val="33"/>
        <w:snapToGrid w:val="0"/>
        <w:spacing w:line="360" w:lineRule="auto"/>
        <w:ind w:right="-512" w:firstLine="542" w:firstLineChars="22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验收资料和文件是项目验收的重要依据，投标人从项目实施开始就应完整地积累和保管，验收时在职能部门的指导、配合下按照采购人有关要求编目建档。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验收资料要求包括（不限于）以下内容：</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考核表：每月考核表（采购人经办人、审核人、投标人签字盖章）；</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人员清单：项目实施人员明细清单、人员变更审批表（如有）；</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每日人员钉钉考勤记录：需采购人经办人、复核人、投标人签字并盖章；</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保安人员身份证清单、资历证明、保安员上岗证书、退伍证、党员证；</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每月人员社保缴纳清单；</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服装、装备发放清单；</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应急方案、日常管理规章制度、巡逻检查记录；</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培训材料：培训方案、培训人员签到表；</w:t>
      </w:r>
    </w:p>
    <w:p>
      <w:pPr>
        <w:numPr>
          <w:ilvl w:val="0"/>
          <w:numId w:val="2"/>
        </w:numPr>
        <w:tabs>
          <w:tab w:val="left" w:pos="904"/>
        </w:tabs>
        <w:snapToGrid w:val="0"/>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其他需提供的相关材料：</w:t>
      </w:r>
      <w:r>
        <w:rPr>
          <w:rFonts w:hint="eastAsia" w:ascii="仿宋" w:hAnsi="仿宋" w:eastAsia="仿宋" w:cs="仿宋"/>
          <w:color w:val="auto"/>
          <w:sz w:val="24"/>
          <w:highlight w:val="none"/>
          <w:lang w:val="zh-CN"/>
        </w:rPr>
        <w:t>单位保密协议、个人安全保密承诺书、日常保密教育台账、小微企业证明资料</w:t>
      </w:r>
      <w:r>
        <w:rPr>
          <w:rFonts w:hint="eastAsia" w:ascii="仿宋" w:hAnsi="仿宋" w:eastAsia="仿宋" w:cs="仿宋"/>
          <w:color w:val="auto"/>
          <w:sz w:val="24"/>
          <w:highlight w:val="none"/>
        </w:rPr>
        <w:t>。</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2、考核：</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投标人履行对服务全流程服务内容及其相关的服务项目，采购人负责投标人的管理指导、验收考核等职责，督促其履行合同。</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考核以百分制的方式进行，时间为合同期每月进行考核，采购人按月对投标人进行考核，考核分值高于90分（含90分）视为合格，90分以下视为不合格。每扣除1分处以100元违约金；如投标人经采购人考核连续两次均为不合格,则采购人有权无条件终止合同,并没收投标人全部履约保证金。如给采购人造成损失的有权向投标人提出索赔。</w:t>
      </w:r>
      <w:r>
        <w:rPr>
          <w:rFonts w:hint="eastAsia" w:ascii="仿宋" w:hAnsi="仿宋" w:eastAsia="仿宋" w:cs="仿宋"/>
          <w:color w:val="auto"/>
          <w:sz w:val="24"/>
          <w:szCs w:val="21"/>
          <w:highlight w:val="none"/>
          <w:u w:val="single"/>
          <w:lang w:val="zh-CN"/>
        </w:rPr>
        <w:t>如考核周期内重复出现相同扣分情形，累计计算扣除分值。</w:t>
      </w:r>
    </w:p>
    <w:p>
      <w:pPr>
        <w:spacing w:before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每月考核表（202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w:t>
      </w:r>
    </w:p>
    <w:tbl>
      <w:tblPr>
        <w:tblStyle w:val="62"/>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3969"/>
        <w:gridCol w:w="142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2" w:type="dxa"/>
            <w:gridSpan w:val="2"/>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w:t>
            </w:r>
          </w:p>
        </w:tc>
        <w:tc>
          <w:tcPr>
            <w:tcW w:w="6343" w:type="dxa"/>
            <w:gridSpan w:val="3"/>
            <w:noWrap/>
          </w:tcPr>
          <w:p>
            <w:pPr>
              <w:spacing w:beforeLines="50"/>
              <w:ind w:firstLine="482" w:firstLineChars="200"/>
              <w:outlineLvl w:val="3"/>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811" w:type="dxa"/>
            <w:gridSpan w:val="2"/>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考核内容</w:t>
            </w:r>
          </w:p>
        </w:tc>
        <w:tc>
          <w:tcPr>
            <w:tcW w:w="1422"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考核扣分</w:t>
            </w:r>
          </w:p>
        </w:tc>
        <w:tc>
          <w:tcPr>
            <w:tcW w:w="952"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1" w:type="dxa"/>
            <w:gridSpan w:val="3"/>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考核扣分项</w:t>
            </w:r>
          </w:p>
        </w:tc>
        <w:tc>
          <w:tcPr>
            <w:tcW w:w="1422" w:type="dxa"/>
            <w:noWrap/>
          </w:tcPr>
          <w:p>
            <w:pPr>
              <w:spacing w:beforeLines="50"/>
              <w:ind w:firstLine="482" w:firstLineChars="200"/>
              <w:outlineLvl w:val="3"/>
              <w:rPr>
                <w:rFonts w:hint="eastAsia" w:ascii="仿宋" w:hAnsi="仿宋" w:eastAsia="仿宋" w:cs="仿宋"/>
                <w:b/>
                <w:bCs/>
                <w:color w:val="auto"/>
                <w:sz w:val="24"/>
                <w:highlight w:val="none"/>
              </w:rPr>
            </w:pPr>
          </w:p>
        </w:tc>
        <w:tc>
          <w:tcPr>
            <w:tcW w:w="952" w:type="dxa"/>
            <w:noWrap/>
          </w:tcPr>
          <w:p>
            <w:pPr>
              <w:spacing w:beforeLines="50"/>
              <w:ind w:firstLine="482" w:firstLineChars="200"/>
              <w:outlineLvl w:val="3"/>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保安人员未按岗位要求提供保安服务的，每发生一次扣5分。</w:t>
            </w:r>
          </w:p>
        </w:tc>
        <w:tc>
          <w:tcPr>
            <w:tcW w:w="1422" w:type="dxa"/>
            <w:noWrap/>
          </w:tcPr>
          <w:p>
            <w:pPr>
              <w:spacing w:beforeLines="50"/>
              <w:ind w:firstLine="480" w:firstLineChars="200"/>
              <w:outlineLvl w:val="3"/>
              <w:rPr>
                <w:rFonts w:hint="eastAsia" w:ascii="仿宋" w:hAnsi="仿宋" w:eastAsia="仿宋" w:cs="仿宋"/>
                <w:color w:val="auto"/>
                <w:sz w:val="24"/>
                <w:highlight w:val="none"/>
              </w:rPr>
            </w:pPr>
          </w:p>
        </w:tc>
        <w:tc>
          <w:tcPr>
            <w:tcW w:w="952" w:type="dxa"/>
            <w:noWrap/>
          </w:tcPr>
          <w:p>
            <w:pPr>
              <w:spacing w:beforeLines="50"/>
              <w:ind w:firstLine="480" w:firstLineChars="200"/>
              <w:outlineLvl w:val="3"/>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保安人员不按规定时间上下班，有离岗、脱岗、睡觉等行为，每发生一次扣2分。</w:t>
            </w:r>
          </w:p>
        </w:tc>
        <w:tc>
          <w:tcPr>
            <w:tcW w:w="1422" w:type="dxa"/>
            <w:noWrap/>
          </w:tcPr>
          <w:p>
            <w:pPr>
              <w:spacing w:beforeLines="50"/>
              <w:ind w:firstLine="480" w:firstLineChars="200"/>
              <w:outlineLvl w:val="3"/>
              <w:rPr>
                <w:rFonts w:hint="eastAsia" w:ascii="仿宋" w:hAnsi="仿宋" w:eastAsia="仿宋" w:cs="仿宋"/>
                <w:color w:val="auto"/>
                <w:sz w:val="24"/>
                <w:highlight w:val="none"/>
              </w:rPr>
            </w:pPr>
          </w:p>
        </w:tc>
        <w:tc>
          <w:tcPr>
            <w:tcW w:w="952" w:type="dxa"/>
            <w:noWrap/>
          </w:tcPr>
          <w:p>
            <w:pPr>
              <w:spacing w:beforeLines="50"/>
              <w:ind w:firstLine="480" w:firstLineChars="200"/>
              <w:outlineLvl w:val="3"/>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保安人员执勤巡逻期间不按照规定着装，每发生一次扣1分。</w:t>
            </w:r>
          </w:p>
        </w:tc>
        <w:tc>
          <w:tcPr>
            <w:tcW w:w="1422" w:type="dxa"/>
            <w:noWrap/>
          </w:tcPr>
          <w:p>
            <w:pPr>
              <w:spacing w:beforeLines="50"/>
              <w:ind w:firstLine="480" w:firstLineChars="200"/>
              <w:outlineLvl w:val="3"/>
              <w:rPr>
                <w:rFonts w:hint="eastAsia" w:ascii="仿宋" w:hAnsi="仿宋" w:eastAsia="仿宋" w:cs="仿宋"/>
                <w:color w:val="auto"/>
                <w:sz w:val="24"/>
                <w:highlight w:val="none"/>
              </w:rPr>
            </w:pPr>
          </w:p>
        </w:tc>
        <w:tc>
          <w:tcPr>
            <w:tcW w:w="952" w:type="dxa"/>
            <w:noWrap/>
          </w:tcPr>
          <w:p>
            <w:pPr>
              <w:spacing w:beforeLines="50"/>
              <w:ind w:firstLine="480" w:firstLineChars="200"/>
              <w:outlineLvl w:val="3"/>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保安人员有违反采购人规章制度情况的，每发生一次扣2分。</w:t>
            </w:r>
          </w:p>
        </w:tc>
        <w:tc>
          <w:tcPr>
            <w:tcW w:w="1422" w:type="dxa"/>
            <w:noWrap/>
          </w:tcPr>
          <w:p>
            <w:pPr>
              <w:spacing w:beforeLines="50"/>
              <w:ind w:firstLine="480" w:firstLineChars="200"/>
              <w:outlineLvl w:val="3"/>
              <w:rPr>
                <w:rFonts w:hint="eastAsia" w:ascii="仿宋" w:hAnsi="仿宋" w:eastAsia="仿宋" w:cs="仿宋"/>
                <w:color w:val="auto"/>
                <w:sz w:val="24"/>
                <w:highlight w:val="none"/>
              </w:rPr>
            </w:pPr>
          </w:p>
        </w:tc>
        <w:tc>
          <w:tcPr>
            <w:tcW w:w="952" w:type="dxa"/>
            <w:noWrap/>
          </w:tcPr>
          <w:p>
            <w:pPr>
              <w:spacing w:beforeLines="50"/>
              <w:ind w:firstLine="480" w:firstLineChars="200"/>
              <w:outlineLvl w:val="3"/>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未按采购需求和投标承诺为保安人员配备服装、装备的，每发生一次扣2分。</w:t>
            </w:r>
          </w:p>
        </w:tc>
        <w:tc>
          <w:tcPr>
            <w:tcW w:w="1422" w:type="dxa"/>
            <w:noWrap/>
          </w:tcPr>
          <w:p>
            <w:pPr>
              <w:spacing w:beforeLines="50"/>
              <w:ind w:firstLine="480" w:firstLineChars="200"/>
              <w:outlineLvl w:val="3"/>
              <w:rPr>
                <w:rFonts w:hint="eastAsia" w:ascii="仿宋" w:hAnsi="仿宋" w:eastAsia="仿宋" w:cs="仿宋"/>
                <w:color w:val="auto"/>
                <w:sz w:val="24"/>
                <w:highlight w:val="none"/>
              </w:rPr>
            </w:pPr>
          </w:p>
        </w:tc>
        <w:tc>
          <w:tcPr>
            <w:tcW w:w="952" w:type="dxa"/>
            <w:noWrap/>
          </w:tcPr>
          <w:p>
            <w:pPr>
              <w:spacing w:beforeLines="50"/>
              <w:ind w:firstLine="480" w:firstLineChars="200"/>
              <w:outlineLvl w:val="3"/>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人员服务质量未达到采购人要求的，每发生一次扣5分。</w:t>
            </w:r>
          </w:p>
        </w:tc>
        <w:tc>
          <w:tcPr>
            <w:tcW w:w="1422" w:type="dxa"/>
            <w:noWrap/>
          </w:tcPr>
          <w:p>
            <w:pPr>
              <w:spacing w:beforeLines="50"/>
              <w:ind w:firstLine="480" w:firstLineChars="200"/>
              <w:outlineLvl w:val="3"/>
              <w:rPr>
                <w:rFonts w:hint="eastAsia" w:ascii="仿宋" w:hAnsi="仿宋" w:eastAsia="仿宋" w:cs="仿宋"/>
                <w:color w:val="auto"/>
                <w:sz w:val="24"/>
                <w:highlight w:val="none"/>
              </w:rPr>
            </w:pPr>
          </w:p>
        </w:tc>
        <w:tc>
          <w:tcPr>
            <w:tcW w:w="952" w:type="dxa"/>
            <w:noWrap/>
          </w:tcPr>
          <w:p>
            <w:pPr>
              <w:spacing w:beforeLines="50"/>
              <w:ind w:firstLine="480" w:firstLineChars="200"/>
              <w:outlineLvl w:val="3"/>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保安人员遇到突发事件未按应急预案及措施应对的，每发生一次扣10分。</w:t>
            </w:r>
          </w:p>
        </w:tc>
        <w:tc>
          <w:tcPr>
            <w:tcW w:w="1422" w:type="dxa"/>
            <w:noWrap/>
          </w:tcPr>
          <w:p>
            <w:pPr>
              <w:spacing w:beforeLines="50"/>
              <w:ind w:firstLine="480" w:firstLineChars="200"/>
              <w:outlineLvl w:val="3"/>
              <w:rPr>
                <w:rFonts w:hint="eastAsia" w:ascii="仿宋" w:hAnsi="仿宋" w:eastAsia="仿宋" w:cs="仿宋"/>
                <w:color w:val="auto"/>
                <w:sz w:val="24"/>
                <w:highlight w:val="none"/>
              </w:rPr>
            </w:pPr>
          </w:p>
        </w:tc>
        <w:tc>
          <w:tcPr>
            <w:tcW w:w="952" w:type="dxa"/>
            <w:noWrap/>
          </w:tcPr>
          <w:p>
            <w:pPr>
              <w:spacing w:beforeLines="50"/>
              <w:ind w:firstLine="480" w:firstLineChars="200"/>
              <w:outlineLvl w:val="3"/>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811" w:type="dxa"/>
            <w:gridSpan w:val="2"/>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未按保密管理条款规定执行的，每发现一次处违约金10000元，如发生泄密事件，除赔偿采购人损失外，还应承担全部法律责任。</w:t>
            </w:r>
          </w:p>
        </w:tc>
        <w:tc>
          <w:tcPr>
            <w:tcW w:w="1422" w:type="dxa"/>
            <w:noWrap/>
          </w:tcPr>
          <w:p>
            <w:pPr>
              <w:spacing w:beforeLines="50"/>
              <w:ind w:firstLine="482" w:firstLineChars="200"/>
              <w:outlineLvl w:val="3"/>
              <w:rPr>
                <w:rFonts w:hint="eastAsia" w:ascii="仿宋" w:hAnsi="仿宋" w:eastAsia="仿宋" w:cs="仿宋"/>
                <w:b/>
                <w:bCs/>
                <w:color w:val="auto"/>
                <w:sz w:val="24"/>
                <w:highlight w:val="none"/>
              </w:rPr>
            </w:pPr>
          </w:p>
        </w:tc>
        <w:tc>
          <w:tcPr>
            <w:tcW w:w="952" w:type="dxa"/>
            <w:noWrap/>
          </w:tcPr>
          <w:p>
            <w:pPr>
              <w:spacing w:beforeLines="50"/>
              <w:ind w:firstLine="482" w:firstLineChars="200"/>
              <w:outlineLvl w:val="3"/>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811" w:type="dxa"/>
            <w:gridSpan w:val="2"/>
            <w:noWrap/>
          </w:tcPr>
          <w:p>
            <w:pPr>
              <w:spacing w:beforeLines="50"/>
              <w:outlineLvl w:val="3"/>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及工作人员违反安全管理要求，出现各类涉及采购人业务的文字内容、影视资料等外流泄密，构成违法犯罪的，采购人应当及时报送本级政府采购和市场监督管理部门，提请列入政府采购严重违法失信行为记录名单、市场监督管理严重失信名单，并追究相关责任。</w:t>
            </w:r>
          </w:p>
        </w:tc>
        <w:tc>
          <w:tcPr>
            <w:tcW w:w="1422" w:type="dxa"/>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bCs/>
                <w:color w:val="auto"/>
                <w:sz w:val="24"/>
                <w:highlight w:val="none"/>
              </w:rPr>
              <w:t>没收全部履约保证金</w:t>
            </w:r>
          </w:p>
        </w:tc>
        <w:tc>
          <w:tcPr>
            <w:tcW w:w="952" w:type="dxa"/>
            <w:noWrap/>
          </w:tcPr>
          <w:p>
            <w:pPr>
              <w:spacing w:beforeLines="50"/>
              <w:outlineLvl w:val="3"/>
              <w:rPr>
                <w:rFonts w:hint="eastAsia" w:ascii="仿宋" w:hAnsi="仿宋" w:eastAsia="仿宋" w:cs="仿宋"/>
                <w:color w:val="auto"/>
                <w:sz w:val="24"/>
                <w:highlight w:val="none"/>
              </w:rPr>
            </w:pPr>
            <w:r>
              <w:rPr>
                <w:rFonts w:hint="eastAsia" w:ascii="仿宋" w:hAnsi="仿宋" w:eastAsia="仿宋" w:cs="仿宋"/>
                <w:bCs/>
                <w:color w:val="auto"/>
                <w:sz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811" w:type="dxa"/>
            <w:gridSpan w:val="2"/>
            <w:noWrap/>
          </w:tcPr>
          <w:p>
            <w:pPr>
              <w:spacing w:beforeLines="50"/>
              <w:outlineLvl w:val="3"/>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未配合采购人接受上级领导部门的监督、检查，每发生一次扣10分。</w:t>
            </w:r>
          </w:p>
        </w:tc>
        <w:tc>
          <w:tcPr>
            <w:tcW w:w="1422" w:type="dxa"/>
            <w:noWrap/>
          </w:tcPr>
          <w:p>
            <w:pPr>
              <w:spacing w:beforeLines="50"/>
              <w:outlineLvl w:val="3"/>
              <w:rPr>
                <w:rFonts w:hint="eastAsia" w:ascii="仿宋" w:hAnsi="仿宋" w:eastAsia="仿宋" w:cs="仿宋"/>
                <w:bCs/>
                <w:color w:val="auto"/>
                <w:sz w:val="24"/>
                <w:highlight w:val="none"/>
              </w:rPr>
            </w:pPr>
          </w:p>
        </w:tc>
        <w:tc>
          <w:tcPr>
            <w:tcW w:w="952" w:type="dxa"/>
            <w:noWrap/>
          </w:tcPr>
          <w:p>
            <w:pPr>
              <w:spacing w:beforeLines="50"/>
              <w:outlineLvl w:val="3"/>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811" w:type="dxa"/>
            <w:gridSpan w:val="2"/>
            <w:noWrap/>
          </w:tcPr>
          <w:p>
            <w:pPr>
              <w:spacing w:beforeLines="50"/>
              <w:outlineLvl w:val="3"/>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lang w:val="zh-CN"/>
              </w:rPr>
              <w:t>未按承诺由小微企业承接的，采购人有权无条件终止合同,并没收投标人全部履约保证金。报送本级政府采购监管部门，提前列入失信行为记录名单，追究相关责任，且投标人应向采购人支付合同总价30%的违约金。</w:t>
            </w:r>
          </w:p>
        </w:tc>
        <w:tc>
          <w:tcPr>
            <w:tcW w:w="1422" w:type="dxa"/>
            <w:noWrap/>
          </w:tcPr>
          <w:p>
            <w:pPr>
              <w:spacing w:beforeLines="50"/>
              <w:outlineLvl w:val="3"/>
              <w:rPr>
                <w:rFonts w:hint="eastAsia" w:ascii="仿宋" w:hAnsi="仿宋" w:eastAsia="仿宋" w:cs="仿宋"/>
                <w:bCs/>
                <w:color w:val="auto"/>
                <w:sz w:val="24"/>
                <w:highlight w:val="none"/>
              </w:rPr>
            </w:pPr>
          </w:p>
        </w:tc>
        <w:tc>
          <w:tcPr>
            <w:tcW w:w="952" w:type="dxa"/>
            <w:noWrap/>
          </w:tcPr>
          <w:p>
            <w:pPr>
              <w:spacing w:beforeLines="50"/>
              <w:outlineLvl w:val="3"/>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1" w:type="dxa"/>
            <w:gridSpan w:val="3"/>
            <w:noWrap/>
            <w:vAlign w:val="center"/>
          </w:tcPr>
          <w:p>
            <w:pPr>
              <w:spacing w:beforeLines="50"/>
              <w:jc w:val="center"/>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1422" w:type="dxa"/>
            <w:noWrap/>
            <w:vAlign w:val="center"/>
          </w:tcPr>
          <w:p>
            <w:pPr>
              <w:spacing w:beforeLines="50"/>
              <w:ind w:firstLine="482" w:firstLineChars="200"/>
              <w:outlineLvl w:val="3"/>
              <w:rPr>
                <w:rFonts w:hint="eastAsia" w:ascii="仿宋" w:hAnsi="仿宋" w:eastAsia="仿宋" w:cs="仿宋"/>
                <w:b/>
                <w:bCs/>
                <w:color w:val="auto"/>
                <w:sz w:val="24"/>
                <w:highlight w:val="none"/>
              </w:rPr>
            </w:pPr>
          </w:p>
        </w:tc>
        <w:tc>
          <w:tcPr>
            <w:tcW w:w="952" w:type="dxa"/>
            <w:noWrap/>
            <w:vAlign w:val="center"/>
          </w:tcPr>
          <w:p>
            <w:pPr>
              <w:spacing w:beforeLines="50"/>
              <w:ind w:firstLine="482" w:firstLineChars="200"/>
              <w:outlineLvl w:val="3"/>
              <w:rPr>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95" w:type="dxa"/>
            <w:gridSpan w:val="5"/>
            <w:noWrap/>
            <w:vAlign w:val="center"/>
          </w:tcPr>
          <w:p>
            <w:pPr>
              <w:widowControl/>
              <w:snapToGrid w:val="0"/>
              <w:spacing w:line="276"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采购人项目经办人（签字）：             投标人项目负责人（签字、盖章）：</w:t>
            </w:r>
          </w:p>
          <w:p>
            <w:pPr>
              <w:widowControl/>
              <w:snapToGrid w:val="0"/>
              <w:spacing w:line="276"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采购人项目审核人（签字、盖章）：      </w:t>
            </w:r>
          </w:p>
          <w:p>
            <w:pPr>
              <w:spacing w:beforeLines="50"/>
              <w:outlineLvl w:val="3"/>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日  期：                                日  期：</w:t>
            </w:r>
          </w:p>
        </w:tc>
      </w:tr>
    </w:tbl>
    <w:p>
      <w:pPr>
        <w:rPr>
          <w:rFonts w:hint="eastAsia" w:ascii="仿宋" w:hAnsi="仿宋" w:eastAsia="仿宋" w:cs="仿宋"/>
          <w:snapToGrid w:val="0"/>
          <w:color w:val="auto"/>
          <w:kern w:val="0"/>
          <w:sz w:val="24"/>
          <w:highlight w:val="none"/>
        </w:rPr>
      </w:pPr>
    </w:p>
    <w:p>
      <w:pPr>
        <w:pStyle w:val="23"/>
        <w:rPr>
          <w:rFonts w:hint="eastAsia" w:ascii="仿宋" w:hAnsi="仿宋" w:eastAsia="仿宋" w:cs="仿宋"/>
          <w:snapToGrid w:val="0"/>
          <w:color w:val="auto"/>
          <w:kern w:val="0"/>
          <w:sz w:val="24"/>
          <w:highlight w:val="none"/>
        </w:rPr>
      </w:pPr>
    </w:p>
    <w:p>
      <w:pPr>
        <w:pStyle w:val="24"/>
        <w:rPr>
          <w:rFonts w:hint="eastAsia" w:ascii="仿宋" w:hAnsi="仿宋" w:eastAsia="仿宋" w:cs="仿宋"/>
          <w:color w:val="auto"/>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0298"/>
      <w:bookmarkEnd w:id="28"/>
      <w:bookmarkStart w:id="29" w:name="_Toc184312088"/>
      <w:bookmarkEnd w:id="29"/>
      <w:bookmarkStart w:id="30" w:name="_Toc184314463"/>
      <w:bookmarkEnd w:id="30"/>
      <w:bookmarkStart w:id="31" w:name="_Toc184308053"/>
      <w:bookmarkEnd w:id="31"/>
      <w:bookmarkStart w:id="32" w:name="_Toc184314471"/>
      <w:bookmarkEnd w:id="32"/>
      <w:bookmarkStart w:id="33" w:name="_Toc184308103"/>
      <w:bookmarkEnd w:id="33"/>
      <w:bookmarkStart w:id="34" w:name="_Toc184314424"/>
      <w:bookmarkEnd w:id="34"/>
      <w:bookmarkStart w:id="35" w:name="_Toc184314439"/>
      <w:bookmarkEnd w:id="35"/>
      <w:bookmarkStart w:id="36" w:name="_Toc184314469"/>
      <w:bookmarkEnd w:id="36"/>
      <w:bookmarkStart w:id="37" w:name="_Toc184310336"/>
      <w:bookmarkEnd w:id="37"/>
      <w:bookmarkStart w:id="38" w:name="_Toc184308082"/>
      <w:bookmarkEnd w:id="38"/>
      <w:bookmarkStart w:id="39" w:name="_Toc184310338"/>
      <w:bookmarkEnd w:id="39"/>
      <w:bookmarkStart w:id="40" w:name="_Toc184310291"/>
      <w:bookmarkEnd w:id="40"/>
      <w:bookmarkStart w:id="41" w:name="_Toc184312115"/>
      <w:bookmarkEnd w:id="41"/>
      <w:bookmarkStart w:id="42" w:name="_Toc184312107"/>
      <w:bookmarkEnd w:id="42"/>
      <w:bookmarkStart w:id="43" w:name="_Toc184313297"/>
      <w:bookmarkEnd w:id="43"/>
      <w:bookmarkStart w:id="44" w:name="_Toc184312068"/>
      <w:bookmarkEnd w:id="44"/>
      <w:bookmarkStart w:id="45" w:name="_Toc184314479"/>
      <w:bookmarkEnd w:id="45"/>
      <w:bookmarkStart w:id="46" w:name="_Toc184313303"/>
      <w:bookmarkEnd w:id="46"/>
      <w:bookmarkStart w:id="47" w:name="_Toc184310324"/>
      <w:bookmarkEnd w:id="47"/>
      <w:bookmarkStart w:id="48" w:name="_Toc184308038"/>
      <w:bookmarkEnd w:id="48"/>
      <w:bookmarkStart w:id="49" w:name="_Toc184310327"/>
      <w:bookmarkEnd w:id="49"/>
      <w:bookmarkStart w:id="50" w:name="_Toc184308079"/>
      <w:bookmarkEnd w:id="50"/>
      <w:bookmarkStart w:id="51" w:name="_Toc184308055"/>
      <w:bookmarkEnd w:id="51"/>
      <w:bookmarkStart w:id="52" w:name="_Toc184313290"/>
      <w:bookmarkEnd w:id="52"/>
      <w:bookmarkStart w:id="53" w:name="_Toc184313276"/>
      <w:bookmarkEnd w:id="53"/>
      <w:bookmarkStart w:id="54" w:name="_Toc184310282"/>
      <w:bookmarkEnd w:id="54"/>
      <w:bookmarkStart w:id="55" w:name="_Toc184313255"/>
      <w:bookmarkEnd w:id="55"/>
      <w:bookmarkStart w:id="56" w:name="_Toc184314418"/>
      <w:bookmarkEnd w:id="56"/>
      <w:bookmarkStart w:id="57" w:name="_Toc184314429"/>
      <w:bookmarkEnd w:id="57"/>
      <w:bookmarkStart w:id="58" w:name="_Toc184310334"/>
      <w:bookmarkEnd w:id="58"/>
      <w:bookmarkStart w:id="59" w:name="_Toc184313239"/>
      <w:bookmarkEnd w:id="59"/>
      <w:bookmarkStart w:id="60" w:name="_Toc184312096"/>
      <w:bookmarkEnd w:id="60"/>
      <w:bookmarkStart w:id="61" w:name="_Toc184312111"/>
      <w:bookmarkEnd w:id="61"/>
      <w:bookmarkStart w:id="62" w:name="_Toc184314414"/>
      <w:bookmarkEnd w:id="62"/>
      <w:bookmarkStart w:id="63" w:name="_Toc184308085"/>
      <w:bookmarkEnd w:id="63"/>
      <w:bookmarkStart w:id="64" w:name="_Toc184310301"/>
      <w:bookmarkEnd w:id="64"/>
      <w:bookmarkStart w:id="65" w:name="_Toc184313296"/>
      <w:bookmarkEnd w:id="65"/>
      <w:bookmarkStart w:id="66" w:name="_Toc184310292"/>
      <w:bookmarkEnd w:id="66"/>
      <w:bookmarkStart w:id="67" w:name="_Toc184313282"/>
      <w:bookmarkEnd w:id="67"/>
      <w:bookmarkStart w:id="68" w:name="_Toc184310319"/>
      <w:bookmarkEnd w:id="68"/>
      <w:bookmarkStart w:id="69" w:name="_Toc184312082"/>
      <w:bookmarkEnd w:id="69"/>
      <w:bookmarkStart w:id="70" w:name="_Toc184310331"/>
      <w:bookmarkEnd w:id="70"/>
      <w:bookmarkStart w:id="71" w:name="_Toc184308068"/>
      <w:bookmarkEnd w:id="71"/>
      <w:bookmarkStart w:id="72" w:name="_Toc184314436"/>
      <w:bookmarkEnd w:id="72"/>
      <w:bookmarkStart w:id="73" w:name="_Toc184314445"/>
      <w:bookmarkEnd w:id="73"/>
      <w:bookmarkStart w:id="74" w:name="_Toc184312095"/>
      <w:bookmarkEnd w:id="74"/>
      <w:bookmarkStart w:id="75" w:name="_Toc184310314"/>
      <w:bookmarkEnd w:id="75"/>
      <w:bookmarkStart w:id="76" w:name="_Toc184314413"/>
      <w:bookmarkEnd w:id="76"/>
      <w:bookmarkStart w:id="77" w:name="_Toc184308063"/>
      <w:bookmarkEnd w:id="77"/>
      <w:bookmarkStart w:id="78" w:name="_Toc184308107"/>
      <w:bookmarkEnd w:id="78"/>
      <w:bookmarkStart w:id="79" w:name="_Toc184313259"/>
      <w:bookmarkEnd w:id="79"/>
      <w:bookmarkStart w:id="80" w:name="_Toc184314450"/>
      <w:bookmarkEnd w:id="80"/>
      <w:bookmarkStart w:id="81" w:name="_Toc184310295"/>
      <w:bookmarkEnd w:id="81"/>
      <w:bookmarkStart w:id="82" w:name="_Toc184310276"/>
      <w:bookmarkEnd w:id="82"/>
      <w:bookmarkStart w:id="83" w:name="_Toc184314444"/>
      <w:bookmarkEnd w:id="83"/>
      <w:bookmarkStart w:id="84" w:name="_Toc184310272"/>
      <w:bookmarkEnd w:id="84"/>
      <w:bookmarkStart w:id="85" w:name="_Toc184310304"/>
      <w:bookmarkEnd w:id="85"/>
      <w:bookmarkStart w:id="86" w:name="_Toc184313257"/>
      <w:bookmarkEnd w:id="86"/>
      <w:bookmarkStart w:id="87" w:name="_Toc184313310"/>
      <w:bookmarkEnd w:id="87"/>
      <w:bookmarkStart w:id="88" w:name="_Toc184308093"/>
      <w:bookmarkEnd w:id="88"/>
      <w:bookmarkStart w:id="89" w:name="_Toc184313261"/>
      <w:bookmarkEnd w:id="89"/>
      <w:bookmarkStart w:id="90" w:name="_Toc184313269"/>
      <w:bookmarkEnd w:id="90"/>
      <w:bookmarkStart w:id="91" w:name="_Toc184312100"/>
      <w:bookmarkEnd w:id="91"/>
      <w:bookmarkStart w:id="92" w:name="_Toc184308069"/>
      <w:bookmarkEnd w:id="92"/>
      <w:bookmarkStart w:id="93" w:name="_Toc184313295"/>
      <w:bookmarkEnd w:id="93"/>
      <w:bookmarkStart w:id="94" w:name="_Toc184310280"/>
      <w:bookmarkEnd w:id="94"/>
      <w:bookmarkStart w:id="95" w:name="_Toc184314464"/>
      <w:bookmarkEnd w:id="95"/>
      <w:bookmarkStart w:id="96" w:name="_Toc184313293"/>
      <w:bookmarkEnd w:id="96"/>
      <w:bookmarkStart w:id="97" w:name="_Toc184313277"/>
      <w:bookmarkEnd w:id="97"/>
      <w:bookmarkStart w:id="98" w:name="_Toc184310311"/>
      <w:bookmarkEnd w:id="98"/>
      <w:bookmarkStart w:id="99" w:name="_Toc184310306"/>
      <w:bookmarkEnd w:id="99"/>
      <w:bookmarkStart w:id="100" w:name="_Toc184313287"/>
      <w:bookmarkEnd w:id="100"/>
      <w:bookmarkStart w:id="101" w:name="_Toc184314410"/>
      <w:bookmarkEnd w:id="101"/>
      <w:bookmarkStart w:id="102" w:name="_Toc184312136"/>
      <w:bookmarkEnd w:id="102"/>
      <w:bookmarkStart w:id="103" w:name="_Toc184314416"/>
      <w:bookmarkEnd w:id="103"/>
      <w:bookmarkStart w:id="104" w:name="_Toc184314421"/>
      <w:bookmarkEnd w:id="104"/>
      <w:bookmarkStart w:id="105" w:name="_Toc184312138"/>
      <w:bookmarkEnd w:id="105"/>
      <w:bookmarkStart w:id="106" w:name="_Toc184314426"/>
      <w:bookmarkEnd w:id="106"/>
      <w:bookmarkStart w:id="107" w:name="_Toc184308105"/>
      <w:bookmarkEnd w:id="107"/>
      <w:bookmarkStart w:id="108" w:name="_Toc184314472"/>
      <w:bookmarkEnd w:id="108"/>
      <w:bookmarkStart w:id="109" w:name="_Toc184314473"/>
      <w:bookmarkEnd w:id="109"/>
      <w:bookmarkStart w:id="110" w:name="_Toc184308078"/>
      <w:bookmarkEnd w:id="110"/>
      <w:bookmarkStart w:id="111" w:name="_Toc184314481"/>
      <w:bookmarkEnd w:id="111"/>
      <w:bookmarkStart w:id="112" w:name="_Toc184308086"/>
      <w:bookmarkEnd w:id="112"/>
      <w:bookmarkStart w:id="113" w:name="_Toc184312120"/>
      <w:bookmarkEnd w:id="113"/>
      <w:bookmarkStart w:id="114" w:name="_Toc184314460"/>
      <w:bookmarkEnd w:id="114"/>
      <w:bookmarkStart w:id="115" w:name="_Toc184310342"/>
      <w:bookmarkEnd w:id="115"/>
      <w:bookmarkStart w:id="116" w:name="_Toc184314441"/>
      <w:bookmarkEnd w:id="116"/>
      <w:bookmarkStart w:id="117" w:name="_Toc184314476"/>
      <w:bookmarkEnd w:id="117"/>
      <w:bookmarkStart w:id="118" w:name="_Toc184310341"/>
      <w:bookmarkEnd w:id="118"/>
      <w:bookmarkStart w:id="119" w:name="_Toc184308050"/>
      <w:bookmarkEnd w:id="119"/>
      <w:bookmarkStart w:id="120" w:name="_Toc184313272"/>
      <w:bookmarkEnd w:id="120"/>
      <w:bookmarkStart w:id="121" w:name="_Toc184312130"/>
      <w:bookmarkEnd w:id="121"/>
      <w:bookmarkStart w:id="122" w:name="_Toc184308047"/>
      <w:bookmarkEnd w:id="122"/>
      <w:bookmarkStart w:id="123" w:name="_Toc184313251"/>
      <w:bookmarkEnd w:id="123"/>
      <w:bookmarkStart w:id="124" w:name="_Toc184314475"/>
      <w:bookmarkEnd w:id="124"/>
      <w:bookmarkStart w:id="125" w:name="_Toc184312103"/>
      <w:bookmarkEnd w:id="125"/>
      <w:bookmarkStart w:id="126" w:name="_Toc184308098"/>
      <w:bookmarkEnd w:id="126"/>
      <w:bookmarkStart w:id="127" w:name="_Toc184308074"/>
      <w:bookmarkEnd w:id="127"/>
      <w:bookmarkStart w:id="128" w:name="_Toc184313279"/>
      <w:bookmarkEnd w:id="128"/>
      <w:bookmarkStart w:id="129" w:name="_Toc184314451"/>
      <w:bookmarkEnd w:id="129"/>
      <w:bookmarkStart w:id="130" w:name="_Toc184314461"/>
      <w:bookmarkEnd w:id="130"/>
      <w:bookmarkStart w:id="131" w:name="_Toc184308046"/>
      <w:bookmarkEnd w:id="131"/>
      <w:bookmarkStart w:id="132" w:name="_Toc184314427"/>
      <w:bookmarkEnd w:id="132"/>
      <w:bookmarkStart w:id="133" w:name="_Toc184313307"/>
      <w:bookmarkEnd w:id="133"/>
      <w:bookmarkStart w:id="134" w:name="_Toc184310310"/>
      <w:bookmarkEnd w:id="134"/>
      <w:bookmarkStart w:id="135" w:name="_Toc184310302"/>
      <w:bookmarkEnd w:id="135"/>
      <w:bookmarkStart w:id="136" w:name="_Toc184308039"/>
      <w:bookmarkEnd w:id="136"/>
      <w:bookmarkStart w:id="137" w:name="_Toc184310326"/>
      <w:bookmarkEnd w:id="137"/>
      <w:bookmarkStart w:id="138" w:name="_Toc184313300"/>
      <w:bookmarkEnd w:id="138"/>
      <w:bookmarkStart w:id="139" w:name="_Toc184313286"/>
      <w:bookmarkEnd w:id="139"/>
      <w:bookmarkStart w:id="140" w:name="_Toc184314477"/>
      <w:bookmarkEnd w:id="140"/>
      <w:bookmarkStart w:id="141" w:name="_Toc184312112"/>
      <w:bookmarkEnd w:id="141"/>
      <w:bookmarkStart w:id="142" w:name="_Toc184313284"/>
      <w:bookmarkEnd w:id="142"/>
      <w:bookmarkStart w:id="143" w:name="_Toc184308099"/>
      <w:bookmarkEnd w:id="143"/>
      <w:bookmarkStart w:id="144" w:name="_Toc184312074"/>
      <w:bookmarkEnd w:id="144"/>
      <w:bookmarkStart w:id="145" w:name="_Toc184310339"/>
      <w:bookmarkEnd w:id="145"/>
      <w:bookmarkStart w:id="146" w:name="_Toc184314417"/>
      <w:bookmarkEnd w:id="146"/>
      <w:bookmarkStart w:id="147" w:name="_Toc184312110"/>
      <w:bookmarkEnd w:id="147"/>
      <w:bookmarkStart w:id="148" w:name="_Toc184312077"/>
      <w:bookmarkEnd w:id="148"/>
      <w:bookmarkStart w:id="149" w:name="_Toc184312132"/>
      <w:bookmarkEnd w:id="149"/>
      <w:bookmarkStart w:id="150" w:name="_Toc184313280"/>
      <w:bookmarkEnd w:id="150"/>
      <w:bookmarkStart w:id="151" w:name="_Toc184312108"/>
      <w:bookmarkEnd w:id="151"/>
      <w:bookmarkStart w:id="152" w:name="_Toc184312117"/>
      <w:bookmarkEnd w:id="152"/>
      <w:bookmarkStart w:id="153" w:name="_Toc184310333"/>
      <w:bookmarkEnd w:id="153"/>
      <w:bookmarkStart w:id="154" w:name="_Toc184310323"/>
      <w:bookmarkEnd w:id="154"/>
      <w:bookmarkStart w:id="155" w:name="_Toc184313246"/>
      <w:bookmarkEnd w:id="155"/>
      <w:bookmarkStart w:id="156" w:name="_Toc184313275"/>
      <w:bookmarkEnd w:id="156"/>
      <w:bookmarkStart w:id="157" w:name="_Toc184312086"/>
      <w:bookmarkEnd w:id="157"/>
      <w:bookmarkStart w:id="158" w:name="_Toc184312124"/>
      <w:bookmarkEnd w:id="158"/>
      <w:bookmarkStart w:id="159" w:name="_Toc184313283"/>
      <w:bookmarkEnd w:id="159"/>
      <w:bookmarkStart w:id="160" w:name="_Toc184314482"/>
      <w:bookmarkEnd w:id="160"/>
      <w:bookmarkStart w:id="161" w:name="_Toc184314423"/>
      <w:bookmarkEnd w:id="161"/>
      <w:bookmarkStart w:id="162" w:name="_Toc184310279"/>
      <w:bookmarkEnd w:id="162"/>
      <w:bookmarkStart w:id="163" w:name="_Toc184310285"/>
      <w:bookmarkEnd w:id="163"/>
      <w:bookmarkStart w:id="164" w:name="_Toc184313263"/>
      <w:bookmarkEnd w:id="164"/>
      <w:bookmarkStart w:id="165" w:name="_Toc184308049"/>
      <w:bookmarkEnd w:id="165"/>
      <w:bookmarkStart w:id="166" w:name="_Toc184308037"/>
      <w:bookmarkEnd w:id="166"/>
      <w:bookmarkStart w:id="167" w:name="_Toc184308089"/>
      <w:bookmarkEnd w:id="167"/>
      <w:bookmarkStart w:id="168" w:name="_Toc184308081"/>
      <w:bookmarkEnd w:id="168"/>
      <w:bookmarkStart w:id="169" w:name="_Toc184312126"/>
      <w:bookmarkEnd w:id="169"/>
      <w:bookmarkStart w:id="170" w:name="_Toc184312084"/>
      <w:bookmarkEnd w:id="170"/>
      <w:bookmarkStart w:id="171" w:name="_Toc184314433"/>
      <w:bookmarkEnd w:id="171"/>
      <w:bookmarkStart w:id="172" w:name="_Toc184313309"/>
      <w:bookmarkEnd w:id="172"/>
      <w:bookmarkStart w:id="173" w:name="_Toc184313305"/>
      <w:bookmarkEnd w:id="173"/>
      <w:bookmarkStart w:id="174" w:name="_Toc184314458"/>
      <w:bookmarkEnd w:id="174"/>
      <w:bookmarkStart w:id="175" w:name="_Toc184314468"/>
      <w:bookmarkEnd w:id="175"/>
      <w:bookmarkStart w:id="176" w:name="_Toc184312139"/>
      <w:bookmarkEnd w:id="176"/>
      <w:bookmarkStart w:id="177" w:name="_Toc184312097"/>
      <w:bookmarkEnd w:id="177"/>
      <w:bookmarkStart w:id="178" w:name="_Toc184310287"/>
      <w:bookmarkEnd w:id="178"/>
      <w:bookmarkStart w:id="179" w:name="_Toc184313288"/>
      <w:bookmarkEnd w:id="179"/>
      <w:bookmarkStart w:id="180" w:name="_Toc184310305"/>
      <w:bookmarkEnd w:id="180"/>
      <w:bookmarkStart w:id="181" w:name="_Toc184310296"/>
      <w:bookmarkEnd w:id="181"/>
      <w:bookmarkStart w:id="182" w:name="_Toc184310293"/>
      <w:bookmarkEnd w:id="182"/>
      <w:bookmarkStart w:id="183" w:name="_Toc184313247"/>
      <w:bookmarkEnd w:id="183"/>
      <w:bookmarkStart w:id="184" w:name="_Toc184310278"/>
      <w:bookmarkEnd w:id="184"/>
      <w:bookmarkStart w:id="185" w:name="_Toc184310332"/>
      <w:bookmarkEnd w:id="185"/>
      <w:bookmarkStart w:id="186" w:name="_Toc184313240"/>
      <w:bookmarkEnd w:id="186"/>
      <w:bookmarkStart w:id="187" w:name="_Toc184314425"/>
      <w:bookmarkEnd w:id="187"/>
      <w:bookmarkStart w:id="188" w:name="_Toc184314455"/>
      <w:bookmarkEnd w:id="188"/>
      <w:bookmarkStart w:id="189" w:name="_Toc184312083"/>
      <w:bookmarkEnd w:id="189"/>
      <w:bookmarkStart w:id="190" w:name="_Toc184313302"/>
      <w:bookmarkEnd w:id="190"/>
      <w:bookmarkStart w:id="191" w:name="_Toc184314480"/>
      <w:bookmarkEnd w:id="191"/>
      <w:bookmarkStart w:id="192" w:name="_Toc184310290"/>
      <w:bookmarkEnd w:id="192"/>
      <w:bookmarkStart w:id="193" w:name="_Toc184312127"/>
      <w:bookmarkEnd w:id="193"/>
      <w:bookmarkStart w:id="194" w:name="_Toc184312093"/>
      <w:bookmarkEnd w:id="194"/>
      <w:bookmarkStart w:id="195" w:name="_Toc184314452"/>
      <w:bookmarkEnd w:id="195"/>
      <w:bookmarkStart w:id="196" w:name="_Toc184308041"/>
      <w:bookmarkEnd w:id="196"/>
      <w:bookmarkStart w:id="197" w:name="_Toc184313243"/>
      <w:bookmarkEnd w:id="197"/>
      <w:bookmarkStart w:id="198" w:name="_Toc184308044"/>
      <w:bookmarkEnd w:id="198"/>
      <w:bookmarkStart w:id="199" w:name="_Toc184313281"/>
      <w:bookmarkEnd w:id="199"/>
      <w:bookmarkStart w:id="200" w:name="_Toc184308056"/>
      <w:bookmarkEnd w:id="200"/>
      <w:bookmarkStart w:id="201" w:name="_Toc184313256"/>
      <w:bookmarkEnd w:id="201"/>
      <w:bookmarkStart w:id="202" w:name="_Toc184314446"/>
      <w:bookmarkEnd w:id="202"/>
      <w:bookmarkStart w:id="203" w:name="_Toc184312106"/>
      <w:bookmarkEnd w:id="203"/>
      <w:bookmarkStart w:id="204" w:name="_Toc184312099"/>
      <w:bookmarkEnd w:id="204"/>
      <w:bookmarkStart w:id="205" w:name="_Toc184308072"/>
      <w:bookmarkEnd w:id="205"/>
      <w:bookmarkStart w:id="206" w:name="_Toc184312071"/>
      <w:bookmarkEnd w:id="206"/>
      <w:bookmarkStart w:id="207" w:name="_Toc184310321"/>
      <w:bookmarkEnd w:id="207"/>
      <w:bookmarkStart w:id="208" w:name="_Toc184313270"/>
      <w:bookmarkEnd w:id="208"/>
      <w:bookmarkStart w:id="209" w:name="_Toc184310328"/>
      <w:bookmarkEnd w:id="209"/>
      <w:bookmarkStart w:id="210" w:name="_Toc184308065"/>
      <w:bookmarkEnd w:id="210"/>
      <w:bookmarkStart w:id="211" w:name="_Toc184310277"/>
      <w:bookmarkEnd w:id="211"/>
      <w:bookmarkStart w:id="212" w:name="_Toc184312137"/>
      <w:bookmarkEnd w:id="212"/>
      <w:bookmarkStart w:id="213" w:name="_Toc184314454"/>
      <w:bookmarkEnd w:id="213"/>
      <w:bookmarkStart w:id="214" w:name="_Toc184314434"/>
      <w:bookmarkEnd w:id="214"/>
      <w:bookmarkStart w:id="215" w:name="_Toc184308061"/>
      <w:bookmarkEnd w:id="215"/>
      <w:bookmarkStart w:id="216" w:name="_Toc184312094"/>
      <w:bookmarkEnd w:id="216"/>
      <w:bookmarkStart w:id="217" w:name="_Toc184308088"/>
      <w:bookmarkEnd w:id="217"/>
      <w:bookmarkStart w:id="218" w:name="_Toc184308067"/>
      <w:bookmarkEnd w:id="218"/>
      <w:bookmarkStart w:id="219" w:name="_Toc184312116"/>
      <w:bookmarkEnd w:id="219"/>
      <w:bookmarkStart w:id="220" w:name="_Toc184312118"/>
      <w:bookmarkEnd w:id="220"/>
      <w:bookmarkStart w:id="221" w:name="_Toc184314442"/>
      <w:bookmarkEnd w:id="221"/>
      <w:bookmarkStart w:id="222" w:name="_Toc184312079"/>
      <w:bookmarkEnd w:id="222"/>
      <w:bookmarkStart w:id="223" w:name="_Toc184310329"/>
      <w:bookmarkEnd w:id="223"/>
      <w:bookmarkStart w:id="224" w:name="_Toc184312089"/>
      <w:bookmarkEnd w:id="224"/>
      <w:bookmarkStart w:id="225" w:name="_Toc184312070"/>
      <w:bookmarkEnd w:id="225"/>
      <w:bookmarkStart w:id="226" w:name="_Toc184314415"/>
      <w:bookmarkEnd w:id="226"/>
      <w:bookmarkStart w:id="227" w:name="_Toc184313298"/>
      <w:bookmarkEnd w:id="227"/>
      <w:bookmarkStart w:id="228" w:name="_Toc184313267"/>
      <w:bookmarkEnd w:id="228"/>
      <w:bookmarkStart w:id="229" w:name="_Toc184312098"/>
      <w:bookmarkEnd w:id="229"/>
      <w:bookmarkStart w:id="230" w:name="_Toc184308059"/>
      <w:bookmarkEnd w:id="230"/>
      <w:bookmarkStart w:id="231" w:name="_Toc184313278"/>
      <w:bookmarkEnd w:id="231"/>
      <w:bookmarkStart w:id="232" w:name="_Toc184308042"/>
      <w:bookmarkEnd w:id="232"/>
      <w:bookmarkStart w:id="233" w:name="_Toc184312121"/>
      <w:bookmarkEnd w:id="233"/>
      <w:bookmarkStart w:id="234" w:name="_Toc184313245"/>
      <w:bookmarkEnd w:id="234"/>
      <w:bookmarkStart w:id="235" w:name="_Toc184314443"/>
      <w:bookmarkEnd w:id="235"/>
      <w:bookmarkStart w:id="236" w:name="_Toc184314449"/>
      <w:bookmarkEnd w:id="236"/>
      <w:bookmarkStart w:id="237" w:name="_Toc184313273"/>
      <w:bookmarkEnd w:id="237"/>
      <w:bookmarkStart w:id="238" w:name="_Toc184314440"/>
      <w:bookmarkEnd w:id="238"/>
      <w:bookmarkStart w:id="239" w:name="_Toc184313289"/>
      <w:bookmarkEnd w:id="239"/>
      <w:bookmarkStart w:id="240" w:name="_Toc184314430"/>
      <w:bookmarkEnd w:id="240"/>
      <w:bookmarkStart w:id="241" w:name="_Toc184312069"/>
      <w:bookmarkEnd w:id="241"/>
      <w:bookmarkStart w:id="242" w:name="_Toc184310284"/>
      <w:bookmarkEnd w:id="242"/>
      <w:bookmarkStart w:id="243" w:name="_Toc184310289"/>
      <w:bookmarkEnd w:id="243"/>
      <w:bookmarkStart w:id="244" w:name="_Toc184314438"/>
      <w:bookmarkEnd w:id="244"/>
      <w:bookmarkStart w:id="245" w:name="_Toc184310322"/>
      <w:bookmarkEnd w:id="245"/>
      <w:bookmarkStart w:id="246" w:name="_Toc184310316"/>
      <w:bookmarkEnd w:id="246"/>
      <w:bookmarkStart w:id="247" w:name="_Toc184310274"/>
      <w:bookmarkEnd w:id="247"/>
      <w:bookmarkStart w:id="248" w:name="_Toc184308057"/>
      <w:bookmarkEnd w:id="248"/>
      <w:bookmarkStart w:id="249" w:name="_Toc184308052"/>
      <w:bookmarkEnd w:id="249"/>
      <w:bookmarkStart w:id="250" w:name="_Toc184313304"/>
      <w:bookmarkEnd w:id="250"/>
      <w:bookmarkStart w:id="251" w:name="_Toc184310325"/>
      <w:bookmarkEnd w:id="251"/>
      <w:bookmarkStart w:id="252" w:name="_Toc184308096"/>
      <w:bookmarkEnd w:id="252"/>
      <w:bookmarkStart w:id="253" w:name="_Toc184314462"/>
      <w:bookmarkEnd w:id="253"/>
      <w:bookmarkStart w:id="254" w:name="_Toc184308076"/>
      <w:bookmarkEnd w:id="254"/>
      <w:bookmarkStart w:id="255" w:name="_Toc184308104"/>
      <w:bookmarkEnd w:id="255"/>
      <w:bookmarkStart w:id="256" w:name="_Toc184308106"/>
      <w:bookmarkEnd w:id="256"/>
      <w:bookmarkStart w:id="257" w:name="_Toc184314437"/>
      <w:bookmarkEnd w:id="257"/>
      <w:bookmarkStart w:id="258" w:name="_Toc184312085"/>
      <w:bookmarkEnd w:id="258"/>
      <w:bookmarkStart w:id="259" w:name="_Toc184314466"/>
      <w:bookmarkEnd w:id="259"/>
      <w:bookmarkStart w:id="260" w:name="_Toc184314435"/>
      <w:bookmarkEnd w:id="260"/>
      <w:bookmarkStart w:id="261" w:name="_Toc184313254"/>
      <w:bookmarkEnd w:id="261"/>
      <w:bookmarkStart w:id="262" w:name="_Toc184313241"/>
      <w:bookmarkEnd w:id="262"/>
      <w:bookmarkStart w:id="263" w:name="_Toc184313262"/>
      <w:bookmarkEnd w:id="263"/>
      <w:bookmarkStart w:id="264" w:name="_Toc184312109"/>
      <w:bookmarkEnd w:id="264"/>
      <w:bookmarkStart w:id="265" w:name="_Toc184313308"/>
      <w:bookmarkEnd w:id="265"/>
      <w:bookmarkStart w:id="266" w:name="_Toc184310344"/>
      <w:bookmarkEnd w:id="266"/>
      <w:bookmarkStart w:id="267" w:name="_Toc184312113"/>
      <w:bookmarkEnd w:id="267"/>
      <w:bookmarkStart w:id="268" w:name="_Toc184308071"/>
      <w:bookmarkEnd w:id="268"/>
      <w:bookmarkStart w:id="269" w:name="_Toc184313238"/>
      <w:bookmarkEnd w:id="269"/>
      <w:bookmarkStart w:id="270" w:name="_Toc184314457"/>
      <w:bookmarkEnd w:id="270"/>
      <w:bookmarkStart w:id="271" w:name="_Toc184310335"/>
      <w:bookmarkEnd w:id="271"/>
      <w:bookmarkStart w:id="272" w:name="_Toc184314453"/>
      <w:bookmarkEnd w:id="272"/>
      <w:bookmarkStart w:id="273" w:name="_Toc184313253"/>
      <w:bookmarkEnd w:id="273"/>
      <w:bookmarkStart w:id="274" w:name="_Toc184308043"/>
      <w:bookmarkEnd w:id="274"/>
      <w:bookmarkStart w:id="275" w:name="_Toc184313258"/>
      <w:bookmarkEnd w:id="275"/>
      <w:bookmarkStart w:id="276" w:name="_Toc184312135"/>
      <w:bookmarkEnd w:id="276"/>
      <w:bookmarkStart w:id="277" w:name="_Toc184313285"/>
      <w:bookmarkEnd w:id="277"/>
      <w:bookmarkStart w:id="278" w:name="_Toc184310343"/>
      <w:bookmarkEnd w:id="278"/>
      <w:bookmarkStart w:id="279" w:name="_Toc184313264"/>
      <w:bookmarkEnd w:id="279"/>
      <w:bookmarkStart w:id="280" w:name="_Toc184308102"/>
      <w:bookmarkEnd w:id="280"/>
      <w:bookmarkStart w:id="281" w:name="_Toc184313291"/>
      <w:bookmarkEnd w:id="281"/>
      <w:bookmarkStart w:id="282" w:name="_Toc184312101"/>
      <w:bookmarkEnd w:id="282"/>
      <w:bookmarkStart w:id="283" w:name="_Toc184308091"/>
      <w:bookmarkEnd w:id="283"/>
      <w:bookmarkStart w:id="284" w:name="_Toc184308087"/>
      <w:bookmarkEnd w:id="284"/>
      <w:bookmarkStart w:id="285" w:name="_Toc184314470"/>
      <w:bookmarkEnd w:id="285"/>
      <w:bookmarkStart w:id="286" w:name="_Toc184310318"/>
      <w:bookmarkEnd w:id="286"/>
      <w:bookmarkStart w:id="287" w:name="_Toc184310294"/>
      <w:bookmarkEnd w:id="287"/>
      <w:bookmarkStart w:id="288" w:name="_Toc184312105"/>
      <w:bookmarkEnd w:id="288"/>
      <w:bookmarkStart w:id="289" w:name="_Toc184313260"/>
      <w:bookmarkEnd w:id="289"/>
      <w:bookmarkStart w:id="290" w:name="_Toc184308070"/>
      <w:bookmarkEnd w:id="290"/>
      <w:bookmarkStart w:id="291" w:name="_Toc184312134"/>
      <w:bookmarkEnd w:id="291"/>
      <w:bookmarkStart w:id="292" w:name="_Toc184312076"/>
      <w:bookmarkEnd w:id="292"/>
      <w:bookmarkStart w:id="293" w:name="_Toc184308075"/>
      <w:bookmarkEnd w:id="293"/>
      <w:bookmarkStart w:id="294" w:name="_Toc184308062"/>
      <w:bookmarkEnd w:id="294"/>
      <w:bookmarkStart w:id="295" w:name="_Toc184312122"/>
      <w:bookmarkEnd w:id="295"/>
      <w:bookmarkStart w:id="296" w:name="_Toc184310299"/>
      <w:bookmarkEnd w:id="296"/>
      <w:bookmarkStart w:id="297" w:name="_Toc184310288"/>
      <w:bookmarkEnd w:id="297"/>
      <w:bookmarkStart w:id="298" w:name="_Toc184314431"/>
      <w:bookmarkEnd w:id="298"/>
      <w:bookmarkStart w:id="299" w:name="_Toc184308060"/>
      <w:bookmarkEnd w:id="299"/>
      <w:bookmarkStart w:id="300" w:name="_Toc184310308"/>
      <w:bookmarkEnd w:id="300"/>
      <w:bookmarkStart w:id="301" w:name="_Toc184313248"/>
      <w:bookmarkEnd w:id="301"/>
      <w:bookmarkStart w:id="302" w:name="_Toc184312072"/>
      <w:bookmarkEnd w:id="302"/>
      <w:bookmarkStart w:id="303" w:name="_Toc184314422"/>
      <w:bookmarkEnd w:id="303"/>
      <w:bookmarkStart w:id="304" w:name="_Toc184312104"/>
      <w:bookmarkEnd w:id="304"/>
      <w:bookmarkStart w:id="305" w:name="_Toc184308077"/>
      <w:bookmarkEnd w:id="305"/>
      <w:bookmarkStart w:id="306" w:name="_Toc184313249"/>
      <w:bookmarkEnd w:id="306"/>
      <w:bookmarkStart w:id="307" w:name="_Toc184313242"/>
      <w:bookmarkEnd w:id="307"/>
      <w:bookmarkStart w:id="308" w:name="_Toc184308084"/>
      <w:bookmarkEnd w:id="308"/>
      <w:bookmarkStart w:id="309" w:name="_Toc184310320"/>
      <w:bookmarkEnd w:id="309"/>
      <w:bookmarkStart w:id="310" w:name="_Toc184310297"/>
      <w:bookmarkEnd w:id="310"/>
      <w:bookmarkStart w:id="311" w:name="_Toc184310300"/>
      <w:bookmarkEnd w:id="311"/>
      <w:bookmarkStart w:id="312" w:name="_Toc184308045"/>
      <w:bookmarkEnd w:id="312"/>
      <w:bookmarkStart w:id="313" w:name="_Toc184308097"/>
      <w:bookmarkEnd w:id="313"/>
      <w:bookmarkStart w:id="314" w:name="_Toc184308040"/>
      <w:bookmarkEnd w:id="314"/>
      <w:bookmarkStart w:id="315" w:name="_Toc184312128"/>
      <w:bookmarkEnd w:id="315"/>
      <w:bookmarkStart w:id="316" w:name="_Toc184313292"/>
      <w:bookmarkEnd w:id="316"/>
      <w:bookmarkStart w:id="317" w:name="_Toc184312092"/>
      <w:bookmarkEnd w:id="317"/>
      <w:bookmarkStart w:id="318" w:name="_Toc184314447"/>
      <w:bookmarkEnd w:id="318"/>
      <w:bookmarkStart w:id="319" w:name="_Toc184310313"/>
      <w:bookmarkEnd w:id="319"/>
      <w:bookmarkStart w:id="320" w:name="_Toc184313252"/>
      <w:bookmarkEnd w:id="320"/>
      <w:bookmarkStart w:id="321" w:name="_Toc184314420"/>
      <w:bookmarkEnd w:id="321"/>
      <w:bookmarkStart w:id="322" w:name="_Toc184308090"/>
      <w:bookmarkEnd w:id="322"/>
      <w:bookmarkStart w:id="323" w:name="_Toc184312073"/>
      <w:bookmarkEnd w:id="323"/>
      <w:bookmarkStart w:id="324" w:name="_Toc184308073"/>
      <w:bookmarkEnd w:id="324"/>
      <w:bookmarkStart w:id="325" w:name="_Toc184313266"/>
      <w:bookmarkEnd w:id="325"/>
      <w:bookmarkStart w:id="326" w:name="_Toc184314459"/>
      <w:bookmarkEnd w:id="326"/>
      <w:bookmarkStart w:id="327" w:name="_Toc184310317"/>
      <w:bookmarkEnd w:id="327"/>
      <w:bookmarkStart w:id="328" w:name="_Toc184313268"/>
      <w:bookmarkEnd w:id="328"/>
      <w:bookmarkStart w:id="329" w:name="_Toc184312119"/>
      <w:bookmarkEnd w:id="329"/>
      <w:bookmarkStart w:id="330" w:name="_Toc184312123"/>
      <w:bookmarkEnd w:id="330"/>
      <w:bookmarkStart w:id="331" w:name="_Toc184308083"/>
      <w:bookmarkEnd w:id="331"/>
      <w:bookmarkStart w:id="332" w:name="_Toc184314428"/>
      <w:bookmarkEnd w:id="332"/>
      <w:bookmarkStart w:id="333" w:name="_Toc184310286"/>
      <w:bookmarkEnd w:id="333"/>
      <w:bookmarkStart w:id="334" w:name="_Toc184312102"/>
      <w:bookmarkEnd w:id="334"/>
      <w:bookmarkStart w:id="335" w:name="_Toc184310315"/>
      <w:bookmarkEnd w:id="335"/>
      <w:bookmarkStart w:id="336" w:name="_Toc184310337"/>
      <w:bookmarkEnd w:id="336"/>
      <w:bookmarkStart w:id="337" w:name="_Toc184312129"/>
      <w:bookmarkEnd w:id="337"/>
      <w:bookmarkStart w:id="338" w:name="_Toc184310283"/>
      <w:bookmarkEnd w:id="338"/>
      <w:bookmarkStart w:id="339" w:name="_Toc184312081"/>
      <w:bookmarkEnd w:id="339"/>
      <w:bookmarkStart w:id="340" w:name="_Toc184308094"/>
      <w:bookmarkEnd w:id="340"/>
      <w:bookmarkStart w:id="341" w:name="_Toc184308054"/>
      <w:bookmarkEnd w:id="341"/>
      <w:bookmarkStart w:id="342" w:name="_Toc184308051"/>
      <w:bookmarkEnd w:id="342"/>
      <w:bookmarkStart w:id="343" w:name="_Toc184313294"/>
      <w:bookmarkEnd w:id="343"/>
      <w:bookmarkStart w:id="344" w:name="_Toc184308066"/>
      <w:bookmarkEnd w:id="344"/>
      <w:bookmarkStart w:id="345" w:name="_Toc184314465"/>
      <w:bookmarkEnd w:id="345"/>
      <w:bookmarkStart w:id="346" w:name="_Toc184313244"/>
      <w:bookmarkEnd w:id="346"/>
      <w:bookmarkStart w:id="347" w:name="_Toc184308108"/>
      <w:bookmarkEnd w:id="347"/>
      <w:bookmarkStart w:id="348" w:name="_Toc184313265"/>
      <w:bookmarkEnd w:id="348"/>
      <w:bookmarkStart w:id="349" w:name="_Toc184308048"/>
      <w:bookmarkEnd w:id="349"/>
      <w:bookmarkStart w:id="350" w:name="_Toc184308080"/>
      <w:bookmarkEnd w:id="350"/>
      <w:bookmarkStart w:id="351" w:name="_Toc184308064"/>
      <w:bookmarkEnd w:id="351"/>
      <w:bookmarkStart w:id="352" w:name="_Toc184312080"/>
      <w:bookmarkEnd w:id="352"/>
      <w:bookmarkStart w:id="353" w:name="_Toc184310281"/>
      <w:bookmarkEnd w:id="353"/>
      <w:bookmarkStart w:id="354" w:name="_Toc184314432"/>
      <w:bookmarkEnd w:id="354"/>
      <w:bookmarkStart w:id="355" w:name="_Toc184314467"/>
      <w:bookmarkEnd w:id="355"/>
      <w:bookmarkStart w:id="356" w:name="_Toc184312090"/>
      <w:bookmarkEnd w:id="356"/>
      <w:bookmarkStart w:id="357" w:name="_Toc184314419"/>
      <w:bookmarkEnd w:id="357"/>
      <w:bookmarkStart w:id="358" w:name="_Toc184312091"/>
      <w:bookmarkEnd w:id="358"/>
      <w:bookmarkStart w:id="359" w:name="_Toc184313274"/>
      <w:bookmarkEnd w:id="359"/>
      <w:bookmarkStart w:id="360" w:name="_Toc184314474"/>
      <w:bookmarkEnd w:id="360"/>
      <w:bookmarkStart w:id="361" w:name="_Toc184310275"/>
      <w:bookmarkEnd w:id="361"/>
      <w:bookmarkStart w:id="362" w:name="_Toc184313301"/>
      <w:bookmarkEnd w:id="362"/>
      <w:bookmarkStart w:id="363" w:name="_Toc184314478"/>
      <w:bookmarkEnd w:id="363"/>
      <w:bookmarkStart w:id="364" w:name="_Toc184314456"/>
      <w:bookmarkEnd w:id="364"/>
      <w:bookmarkStart w:id="365" w:name="_Toc184308095"/>
      <w:bookmarkEnd w:id="365"/>
      <w:bookmarkStart w:id="366" w:name="_Toc184310309"/>
      <w:bookmarkEnd w:id="366"/>
      <w:bookmarkStart w:id="367" w:name="_Toc184312078"/>
      <w:bookmarkEnd w:id="367"/>
      <w:bookmarkStart w:id="368" w:name="_Toc184308092"/>
      <w:bookmarkEnd w:id="368"/>
      <w:bookmarkStart w:id="369" w:name="_Toc184310273"/>
      <w:bookmarkEnd w:id="369"/>
      <w:bookmarkStart w:id="370" w:name="_Toc184312125"/>
      <w:bookmarkEnd w:id="370"/>
      <w:bookmarkStart w:id="371" w:name="_Toc184310307"/>
      <w:bookmarkEnd w:id="371"/>
      <w:bookmarkStart w:id="372" w:name="_Toc184310340"/>
      <w:bookmarkEnd w:id="372"/>
      <w:bookmarkStart w:id="373" w:name="_Toc184312067"/>
      <w:bookmarkEnd w:id="373"/>
      <w:bookmarkStart w:id="374" w:name="_Toc184314412"/>
      <w:bookmarkEnd w:id="374"/>
      <w:bookmarkStart w:id="375" w:name="_Toc184314411"/>
      <w:bookmarkEnd w:id="375"/>
      <w:bookmarkStart w:id="376" w:name="_Toc184312087"/>
      <w:bookmarkEnd w:id="376"/>
      <w:bookmarkStart w:id="377" w:name="_Toc184308058"/>
      <w:bookmarkEnd w:id="377"/>
      <w:bookmarkStart w:id="378" w:name="_Toc184313271"/>
      <w:bookmarkEnd w:id="378"/>
      <w:bookmarkStart w:id="379" w:name="_Toc184308036"/>
      <w:bookmarkEnd w:id="379"/>
      <w:bookmarkStart w:id="380" w:name="_Toc184310303"/>
      <w:bookmarkEnd w:id="380"/>
      <w:bookmarkStart w:id="381" w:name="_Toc184312114"/>
      <w:bookmarkEnd w:id="381"/>
      <w:bookmarkStart w:id="382" w:name="_Toc184314448"/>
      <w:bookmarkEnd w:id="382"/>
      <w:bookmarkStart w:id="383" w:name="_Toc184313299"/>
      <w:bookmarkEnd w:id="383"/>
      <w:bookmarkStart w:id="384" w:name="_Toc184310312"/>
      <w:bookmarkEnd w:id="384"/>
      <w:bookmarkStart w:id="385" w:name="_Toc184312131"/>
      <w:bookmarkEnd w:id="385"/>
      <w:bookmarkStart w:id="386" w:name="_Toc184313250"/>
      <w:bookmarkEnd w:id="386"/>
      <w:bookmarkStart w:id="387" w:name="_Toc184313306"/>
      <w:bookmarkEnd w:id="387"/>
      <w:bookmarkStart w:id="388" w:name="_Toc184312133"/>
      <w:bookmarkEnd w:id="388"/>
      <w:bookmarkStart w:id="389" w:name="_Toc184308100"/>
      <w:bookmarkEnd w:id="389"/>
      <w:bookmarkStart w:id="390" w:name="_Toc184308101"/>
      <w:bookmarkEnd w:id="390"/>
      <w:bookmarkStart w:id="391" w:name="_Toc184310330"/>
      <w:bookmarkEnd w:id="391"/>
      <w:bookmarkStart w:id="392" w:name="_Toc184312075"/>
      <w:bookmarkEnd w:id="392"/>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339"/>
        <w:gridCol w:w="4162"/>
        <w:gridCol w:w="850"/>
        <w:gridCol w:w="5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8" w:type="pct"/>
            <w:noWrap/>
            <w:vAlign w:val="center"/>
          </w:tcPr>
          <w:p>
            <w:pPr>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37" w:type="pct"/>
            <w:gridSpan w:val="2"/>
            <w:noWrap/>
            <w:vAlign w:val="center"/>
          </w:tcPr>
          <w:p>
            <w:pPr>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500" w:type="pct"/>
            <w:noWrap/>
            <w:vAlign w:val="center"/>
          </w:tcPr>
          <w:p>
            <w:pPr>
              <w:snapToGrid w:val="0"/>
              <w:spacing w:line="276"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主观分/客观分属性</w:t>
            </w:r>
          </w:p>
        </w:tc>
        <w:tc>
          <w:tcPr>
            <w:tcW w:w="309" w:type="pct"/>
            <w:noWrap/>
            <w:vAlign w:val="center"/>
          </w:tcPr>
          <w:p>
            <w:pPr>
              <w:snapToGrid w:val="0"/>
              <w:spacing w:line="276"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673" w:type="pct"/>
            <w:noWrap/>
          </w:tcPr>
          <w:p>
            <w:pPr>
              <w:snapToGrid w:val="0"/>
              <w:spacing w:line="276"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r>
              <w:rPr>
                <w:rFonts w:ascii="Calibri" w:hAnsi="Calibri" w:eastAsia="仿宋" w:cs="Calibri"/>
                <w:b/>
                <w:bCs/>
                <w:color w:val="auto"/>
                <w:sz w:val="24"/>
                <w:highlight w:val="none"/>
              </w:rPr>
              <w:t> </w:t>
            </w:r>
            <w:r>
              <w:rPr>
                <w:rFonts w:ascii="仿宋" w:hAnsi="仿宋" w:eastAsia="仿宋" w:cs="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78"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一</w:t>
            </w:r>
          </w:p>
        </w:tc>
        <w:tc>
          <w:tcPr>
            <w:tcW w:w="3237" w:type="pct"/>
            <w:gridSpan w:val="2"/>
            <w:noWrap/>
            <w:vAlign w:val="center"/>
          </w:tcPr>
          <w:p>
            <w:pPr>
              <w:snapToGrid w:val="0"/>
              <w:rPr>
                <w:rFonts w:ascii="仿宋" w:hAnsi="仿宋" w:eastAsia="仿宋" w:cs="仿宋"/>
                <w:b/>
                <w:color w:val="auto"/>
                <w:sz w:val="24"/>
                <w:highlight w:val="none"/>
              </w:rPr>
            </w:pPr>
            <w:r>
              <w:rPr>
                <w:rFonts w:hint="eastAsia" w:ascii="仿宋" w:hAnsi="仿宋" w:eastAsia="仿宋" w:cs="仿宋"/>
                <w:b/>
                <w:color w:val="auto"/>
                <w:sz w:val="24"/>
                <w:highlight w:val="none"/>
              </w:rPr>
              <w:t>技术和服务方案（7</w:t>
            </w:r>
            <w:r>
              <w:rPr>
                <w:rFonts w:ascii="仿宋" w:hAnsi="仿宋" w:eastAsia="仿宋" w:cs="仿宋"/>
                <w:b/>
                <w:color w:val="auto"/>
                <w:sz w:val="24"/>
                <w:highlight w:val="none"/>
              </w:rPr>
              <w:t>8</w:t>
            </w:r>
            <w:r>
              <w:rPr>
                <w:rFonts w:hint="eastAsia" w:ascii="仿宋" w:hAnsi="仿宋" w:eastAsia="仿宋" w:cs="仿宋"/>
                <w:b/>
                <w:color w:val="auto"/>
                <w:sz w:val="24"/>
                <w:highlight w:val="none"/>
              </w:rPr>
              <w:t>分）：</w:t>
            </w:r>
            <w:r>
              <w:rPr>
                <w:rFonts w:hint="eastAsia" w:ascii="仿宋" w:hAnsi="仿宋" w:eastAsia="仿宋" w:cs="仿宋"/>
                <w:color w:val="auto"/>
                <w:sz w:val="24"/>
                <w:highlight w:val="none"/>
              </w:rPr>
              <w:t>主要包含方案的先进性、科学性和完整性，与需求的符合程度等情况，以及服务人员情况、对项目熟悉程度等方面的因素。</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ascii="仿宋" w:hAnsi="仿宋" w:eastAsia="仿宋" w:cs="仿宋"/>
                <w:b/>
                <w:color w:val="auto"/>
                <w:sz w:val="24"/>
                <w:highlight w:val="none"/>
              </w:rPr>
              <w:t>78</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8" w:type="pct"/>
            <w:vMerge w:val="restar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服务方案优势情况</w:t>
            </w:r>
          </w:p>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（28分）</w:t>
            </w:r>
          </w:p>
        </w:tc>
        <w:tc>
          <w:tcPr>
            <w:tcW w:w="2449" w:type="pct"/>
            <w:noWrap/>
            <w:vAlign w:val="center"/>
          </w:tcPr>
          <w:p>
            <w:pPr>
              <w:snapToGrid w:val="0"/>
              <w:ind w:firstLine="0" w:firstLineChars="0"/>
              <w:jc w:val="left"/>
              <w:rPr>
                <w:rFonts w:ascii="仿宋" w:hAnsi="仿宋" w:eastAsia="仿宋"/>
                <w:color w:val="auto"/>
                <w:sz w:val="24"/>
                <w:highlight w:val="none"/>
              </w:rPr>
            </w:pP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zh-CN"/>
              </w:rPr>
              <w:t>方案与需求的吻合程度以及方案的优势情况，包括①门卫执勤方案；②保安巡查方案及加强重点部位的检查方案；③人员服务质量保障，④人员稳定保障方案。</w:t>
            </w:r>
            <w:r>
              <w:rPr>
                <w:rFonts w:hint="eastAsia" w:ascii="仿宋" w:hAnsi="仿宋" w:eastAsia="仿宋" w:cs="仿宋"/>
                <w:color w:val="auto"/>
                <w:sz w:val="24"/>
                <w:highlight w:val="none"/>
              </w:rPr>
              <w:t>每项方案详细、合理</w:t>
            </w:r>
            <w:r>
              <w:rPr>
                <w:rFonts w:hint="eastAsia" w:ascii="仿宋" w:hAnsi="仿宋" w:eastAsia="仿宋" w:cs="仿宋"/>
                <w:b w:val="0"/>
                <w:bCs w:val="0"/>
                <w:color w:val="auto"/>
                <w:sz w:val="24"/>
                <w:highlight w:val="none"/>
              </w:rPr>
              <w:t>，满足采购需求的得5分，方案不详细、合理，不符合采购需求的不得分，最高得</w:t>
            </w:r>
            <w:r>
              <w:rPr>
                <w:rFonts w:ascii="仿宋" w:hAnsi="仿宋" w:eastAsia="仿宋" w:cs="仿宋"/>
                <w:b w:val="0"/>
                <w:bCs w:val="0"/>
                <w:color w:val="auto"/>
                <w:sz w:val="24"/>
                <w:highlight w:val="none"/>
              </w:rPr>
              <w:t>20</w:t>
            </w:r>
            <w:r>
              <w:rPr>
                <w:rFonts w:hint="eastAsia" w:ascii="仿宋" w:hAnsi="仿宋" w:eastAsia="仿宋" w:cs="仿宋"/>
                <w:b w:val="0"/>
                <w:bCs w:val="0"/>
                <w:color w:val="auto"/>
                <w:sz w:val="24"/>
                <w:highlight w:val="none"/>
              </w:rPr>
              <w:t>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主观分</w:t>
            </w:r>
          </w:p>
        </w:tc>
        <w:tc>
          <w:tcPr>
            <w:tcW w:w="309" w:type="pct"/>
            <w:noWrap/>
            <w:vAlign w:val="center"/>
          </w:tcPr>
          <w:p>
            <w:pPr>
              <w:snapToGrid w:val="0"/>
              <w:jc w:val="center"/>
              <w:rPr>
                <w:rFonts w:ascii="仿宋" w:hAnsi="仿宋" w:eastAsia="仿宋" w:cs="仿宋"/>
                <w:b/>
                <w:color w:val="auto"/>
                <w:sz w:val="24"/>
                <w:highlight w:val="none"/>
              </w:rPr>
            </w:pPr>
            <w:r>
              <w:rPr>
                <w:rFonts w:ascii="仿宋" w:hAnsi="仿宋" w:eastAsia="仿宋" w:cs="仿宋"/>
                <w:b/>
                <w:color w:val="auto"/>
                <w:sz w:val="24"/>
                <w:highlight w:val="none"/>
              </w:rPr>
              <w:t>20</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8" w:type="pct"/>
            <w:vMerge w:val="continue"/>
            <w:noWrap/>
            <w:vAlign w:val="center"/>
          </w:tcPr>
          <w:p>
            <w:pPr>
              <w:snapToGrid w:val="0"/>
              <w:jc w:val="center"/>
              <w:rPr>
                <w:rFonts w:ascii="仿宋" w:hAnsi="仿宋" w:eastAsia="仿宋" w:cs="仿宋"/>
                <w:b/>
                <w:color w:val="auto"/>
                <w:sz w:val="24"/>
                <w:highlight w:val="none"/>
              </w:rPr>
            </w:pPr>
          </w:p>
        </w:tc>
        <w:tc>
          <w:tcPr>
            <w:tcW w:w="2449" w:type="pct"/>
            <w:noWrap/>
            <w:vAlign w:val="center"/>
          </w:tcPr>
          <w:p>
            <w:pPr>
              <w:snapToGrid w:val="0"/>
              <w:spacing w:line="240" w:lineRule="auto"/>
              <w:ind w:firstLine="0" w:firstLineChars="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针对本项目</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val="zh-CN"/>
              </w:rPr>
              <w:t>个服务点、点位分散等情况提出的应对方案，包括：①各点位的管理组织协调、②人员分配方案；根据提供的服务内容进行评分，每项方案满足采购需求的得4分，</w:t>
            </w:r>
            <w:r>
              <w:rPr>
                <w:rFonts w:hint="eastAsia" w:ascii="仿宋" w:hAnsi="仿宋" w:eastAsia="仿宋" w:cs="仿宋"/>
                <w:color w:val="auto"/>
                <w:sz w:val="24"/>
                <w:highlight w:val="none"/>
              </w:rPr>
              <w:t>方案不详细、合理，不符合采购需求的不得分</w:t>
            </w:r>
            <w:r>
              <w:rPr>
                <w:rFonts w:hint="eastAsia" w:ascii="仿宋" w:hAnsi="仿宋" w:eastAsia="仿宋" w:cs="仿宋"/>
                <w:color w:val="auto"/>
                <w:sz w:val="24"/>
                <w:highlight w:val="none"/>
                <w:lang w:val="zh-CN"/>
              </w:rPr>
              <w:t>，最高得8分。</w:t>
            </w:r>
          </w:p>
        </w:tc>
        <w:tc>
          <w:tcPr>
            <w:tcW w:w="500" w:type="pct"/>
            <w:noWrap/>
            <w:vAlign w:val="center"/>
          </w:tcPr>
          <w:p>
            <w:pPr>
              <w:snapToGrid w:val="0"/>
              <w:spacing w:line="276"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主观分</w:t>
            </w:r>
          </w:p>
        </w:tc>
        <w:tc>
          <w:tcPr>
            <w:tcW w:w="309" w:type="pct"/>
            <w:noWrap/>
            <w:vAlign w:val="center"/>
          </w:tcPr>
          <w:p>
            <w:pPr>
              <w:snapToGrid w:val="0"/>
              <w:spacing w:line="276"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8</w:t>
            </w:r>
          </w:p>
        </w:tc>
        <w:tc>
          <w:tcPr>
            <w:tcW w:w="673" w:type="pct"/>
            <w:noWrap/>
          </w:tcPr>
          <w:p>
            <w:pPr>
              <w:snapToGrid w:val="0"/>
              <w:spacing w:line="276"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8" w:type="pct"/>
            <w:noWrap/>
            <w:vAlign w:val="center"/>
          </w:tcPr>
          <w:p>
            <w:pPr>
              <w:snapToGrid w:val="0"/>
              <w:jc w:val="both"/>
              <w:rPr>
                <w:rFonts w:ascii="仿宋" w:hAnsi="仿宋" w:eastAsia="仿宋" w:cs="仿宋"/>
                <w:b/>
                <w:color w:val="auto"/>
                <w:sz w:val="24"/>
                <w:highlight w:val="none"/>
              </w:rPr>
            </w:pPr>
            <w:r>
              <w:rPr>
                <w:rFonts w:hint="eastAsia" w:ascii="仿宋" w:hAnsi="仿宋" w:eastAsia="仿宋" w:cs="仿宋"/>
                <w:b/>
                <w:color w:val="auto"/>
                <w:sz w:val="24"/>
                <w:highlight w:val="none"/>
                <w:lang w:val="zh-CN"/>
              </w:rPr>
              <w:t>管理制度</w:t>
            </w: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val="zh-CN"/>
              </w:rPr>
              <w:t>分</w:t>
            </w:r>
            <w:r>
              <w:rPr>
                <w:rFonts w:hint="eastAsia" w:ascii="仿宋" w:hAnsi="仿宋" w:eastAsia="仿宋" w:cs="仿宋"/>
                <w:b/>
                <w:color w:val="auto"/>
                <w:sz w:val="24"/>
                <w:highlight w:val="none"/>
              </w:rPr>
              <w:t>）</w:t>
            </w:r>
          </w:p>
        </w:tc>
        <w:tc>
          <w:tcPr>
            <w:tcW w:w="2449" w:type="pct"/>
            <w:noWrap/>
            <w:vAlign w:val="center"/>
          </w:tcPr>
          <w:p>
            <w:pPr>
              <w:snapToGrid w:val="0"/>
              <w:spacing w:line="240" w:lineRule="auto"/>
              <w:ind w:firstLine="0" w:firstLineChars="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投标人具有完善的日常管理规章制度（包括保安人员岗位职责、交接班制度、档案管理制度、装备管理制度等）根据提供的方案内容进行评分，每一项制度满足采购需求的得1分，</w:t>
            </w:r>
            <w:r>
              <w:rPr>
                <w:rFonts w:hint="eastAsia" w:ascii="仿宋" w:hAnsi="仿宋" w:eastAsia="仿宋" w:cs="仿宋"/>
                <w:color w:val="auto"/>
                <w:sz w:val="24"/>
                <w:highlight w:val="none"/>
              </w:rPr>
              <w:t>方案不详细、合理，不符合采购需求的不得分</w:t>
            </w:r>
            <w:r>
              <w:rPr>
                <w:rFonts w:hint="eastAsia" w:ascii="仿宋" w:hAnsi="仿宋" w:eastAsia="仿宋" w:cs="仿宋"/>
                <w:color w:val="auto"/>
                <w:sz w:val="24"/>
                <w:highlight w:val="none"/>
                <w:lang w:val="zh-CN"/>
              </w:rPr>
              <w:t>，最高得4分。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主观分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4</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8"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bCs/>
                <w:color w:val="auto"/>
                <w:sz w:val="24"/>
                <w:highlight w:val="none"/>
              </w:rPr>
              <w:t>突发特殊情况下的应急保障措施情况</w:t>
            </w:r>
            <w:r>
              <w:rPr>
                <w:rFonts w:hint="eastAsia" w:ascii="仿宋" w:hAnsi="仿宋" w:eastAsia="仿宋" w:cs="仿宋"/>
                <w:b/>
                <w:color w:val="auto"/>
                <w:sz w:val="24"/>
                <w:highlight w:val="none"/>
              </w:rPr>
              <w:t>（4分）</w:t>
            </w:r>
          </w:p>
        </w:tc>
        <w:tc>
          <w:tcPr>
            <w:tcW w:w="2449" w:type="pct"/>
            <w:noWrap/>
            <w:vAlign w:val="center"/>
          </w:tcPr>
          <w:p>
            <w:pPr>
              <w:snapToGrid w:val="0"/>
              <w:ind w:firstLine="0" w:firstLineChars="0"/>
              <w:rPr>
                <w:rFonts w:ascii="仿宋" w:hAnsi="仿宋" w:eastAsia="仿宋" w:cs="仿宋"/>
                <w:bCs/>
                <w:color w:val="auto"/>
                <w:sz w:val="24"/>
                <w:highlight w:val="none"/>
              </w:rPr>
            </w:pPr>
            <w:r>
              <w:rPr>
                <w:rFonts w:hint="eastAsia" w:ascii="仿宋" w:hAnsi="仿宋" w:eastAsia="仿宋" w:cs="仿宋"/>
                <w:color w:val="auto"/>
                <w:sz w:val="24"/>
                <w:highlight w:val="none"/>
              </w:rPr>
              <w:t>应急方案内容应包括自然灾害、突发事件（火灾、爆炸等）、临时任务等的运行服务保障应急预案及对可能遇到的问题采用相应的应对措施，满足采购需求的得4分，方案不详细、合理，不符合采购需求的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主观分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4</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88" w:type="pct"/>
            <w:vMerge w:val="restar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安保人员服装、装备配备情况（10分）</w:t>
            </w:r>
          </w:p>
        </w:tc>
        <w:tc>
          <w:tcPr>
            <w:tcW w:w="2449" w:type="pct"/>
            <w:noWrap/>
            <w:vAlign w:val="center"/>
          </w:tcPr>
          <w:p>
            <w:pPr>
              <w:snapToGrid w:val="0"/>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承诺配备春秋装、夏装、冬装各两套，冬大衣、白手套、皮鞋、每人各一套。服装需经采购人确认，才可使用。上岗前统一服装，佩戴规范。满足采购需求的得5分，不满足不得分。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5</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88" w:type="pct"/>
            <w:vMerge w:val="continue"/>
            <w:noWrap/>
            <w:vAlign w:val="center"/>
          </w:tcPr>
          <w:p>
            <w:pPr>
              <w:snapToGrid w:val="0"/>
              <w:rPr>
                <w:rFonts w:ascii="仿宋" w:hAnsi="仿宋" w:eastAsia="仿宋" w:cs="仿宋"/>
                <w:b/>
                <w:color w:val="auto"/>
                <w:sz w:val="24"/>
                <w:highlight w:val="none"/>
              </w:rPr>
            </w:pPr>
          </w:p>
        </w:tc>
        <w:tc>
          <w:tcPr>
            <w:tcW w:w="2449" w:type="pct"/>
            <w:noWrap/>
            <w:vAlign w:val="center"/>
          </w:tcPr>
          <w:p>
            <w:pPr>
              <w:snapToGrid w:val="0"/>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承诺配备装备标准：</w:t>
            </w:r>
            <w:r>
              <w:rPr>
                <w:rFonts w:hint="eastAsia" w:ascii="仿宋" w:hAnsi="仿宋" w:eastAsia="仿宋" w:cs="仿宋"/>
                <w:color w:val="auto"/>
                <w:sz w:val="24"/>
                <w:highlight w:val="none"/>
                <w:lang w:val="zh-CN"/>
              </w:rPr>
              <w:t>每岗配备对讲机，</w:t>
            </w:r>
            <w:r>
              <w:rPr>
                <w:rFonts w:hint="eastAsia" w:ascii="仿宋" w:hAnsi="仿宋" w:eastAsia="仿宋" w:cs="仿宋"/>
                <w:color w:val="auto"/>
                <w:sz w:val="24"/>
                <w:highlight w:val="none"/>
              </w:rPr>
              <w:t>每人配备强光手电、辣椒水、武装带、伸缩警棍各1件，如发生突发事件能及时使用。满足采购需求的得5分，不满足不得分。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5</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88" w:type="pct"/>
            <w:vMerge w:val="restart"/>
            <w:noWrap/>
            <w:vAlign w:val="center"/>
          </w:tcPr>
          <w:p>
            <w:pPr>
              <w:tabs>
                <w:tab w:val="left" w:pos="780"/>
              </w:tabs>
              <w:autoSpaceDE w:val="0"/>
              <w:autoSpaceDN w:val="0"/>
              <w:snapToGrid w:val="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项目组人员素质和经验情况</w:t>
            </w:r>
          </w:p>
          <w:p>
            <w:pPr>
              <w:tabs>
                <w:tab w:val="left" w:pos="780"/>
              </w:tabs>
              <w:autoSpaceDE w:val="0"/>
              <w:autoSpaceDN w:val="0"/>
              <w:snapToGrid w:val="0"/>
              <w:rPr>
                <w:rFonts w:ascii="仿宋" w:hAnsi="仿宋" w:eastAsia="仿宋" w:cs="仿宋"/>
                <w:b/>
                <w:color w:val="auto"/>
                <w:sz w:val="24"/>
                <w:highlight w:val="none"/>
              </w:rPr>
            </w:pP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zh-CN"/>
              </w:rPr>
              <w:t>分）</w:t>
            </w:r>
          </w:p>
        </w:tc>
        <w:tc>
          <w:tcPr>
            <w:tcW w:w="2449" w:type="pct"/>
            <w:noWrap/>
            <w:vAlign w:val="center"/>
          </w:tcPr>
          <w:p>
            <w:pPr>
              <w:pStyle w:val="33"/>
              <w:snapToGrid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拟担任本项目负责人，具有保安服务管理岗位工作经验（需提供社保缴纳证明、业绩合同</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bCs/>
                <w:color w:val="auto"/>
                <w:sz w:val="24"/>
                <w:szCs w:val="24"/>
                <w:highlight w:val="none"/>
              </w:rPr>
              <w:t>业主证明材料，以上证明材料至少有一项中须体现项目负责人姓名），满足的得2分，不提供不得分。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8" w:type="pct"/>
            <w:noWrap/>
            <w:vAlign w:val="center"/>
          </w:tcPr>
          <w:p>
            <w:pPr>
              <w:snapToGrid w:val="0"/>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788" w:type="pct"/>
            <w:vMerge w:val="continue"/>
            <w:noWrap/>
            <w:vAlign w:val="center"/>
          </w:tcPr>
          <w:p>
            <w:pPr>
              <w:snapToGrid w:val="0"/>
              <w:rPr>
                <w:rFonts w:ascii="仿宋" w:hAnsi="仿宋" w:eastAsia="仿宋" w:cs="仿宋"/>
                <w:b/>
                <w:color w:val="auto"/>
                <w:sz w:val="24"/>
                <w:highlight w:val="none"/>
              </w:rPr>
            </w:pPr>
          </w:p>
        </w:tc>
        <w:tc>
          <w:tcPr>
            <w:tcW w:w="2449" w:type="pct"/>
            <w:noWrap/>
            <w:vAlign w:val="center"/>
          </w:tcPr>
          <w:p>
            <w:pPr>
              <w:pStyle w:val="33"/>
              <w:snapToGrid w:val="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zh-CN"/>
              </w:rPr>
              <w:t>对本项目拟派保安员具有保安服务管理岗位工作经验（需提供业绩合同</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zh-CN"/>
              </w:rPr>
              <w:t>业主证明材料，以上证明材料至少有一项中须体现人员姓名），并承诺提供的保安人员满足采购需求要求的得6分，不满足不得分。（</w:t>
            </w:r>
            <w:r>
              <w:rPr>
                <w:rFonts w:hint="eastAsia" w:ascii="仿宋" w:hAnsi="仿宋" w:eastAsia="仿宋" w:cs="仿宋"/>
                <w:bCs/>
                <w:color w:val="auto"/>
                <w:sz w:val="24"/>
                <w:szCs w:val="24"/>
                <w:highlight w:val="none"/>
              </w:rPr>
              <w:t>需提供社保缴纳证明、业绩合同</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bCs/>
                <w:color w:val="auto"/>
                <w:sz w:val="24"/>
                <w:szCs w:val="24"/>
                <w:highlight w:val="none"/>
              </w:rPr>
              <w:t>业主证明材料，以上证明材料至少有一项中须体现人员姓名</w:t>
            </w:r>
            <w:r>
              <w:rPr>
                <w:rFonts w:hint="eastAsia" w:ascii="仿宋" w:hAnsi="仿宋" w:eastAsia="仿宋" w:cs="仿宋"/>
                <w:color w:val="auto"/>
                <w:sz w:val="24"/>
                <w:szCs w:val="24"/>
                <w:highlight w:val="none"/>
                <w:lang w:val="zh-CN"/>
              </w:rPr>
              <w:t>，不提供不得分）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6</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788" w:type="pct"/>
            <w:noWrap/>
            <w:vAlign w:val="center"/>
          </w:tcPr>
          <w:p>
            <w:pPr>
              <w:snapToGrid w:val="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服务承诺（20分）</w:t>
            </w:r>
          </w:p>
        </w:tc>
        <w:tc>
          <w:tcPr>
            <w:tcW w:w="2449" w:type="pct"/>
            <w:noWrap/>
            <w:vAlign w:val="center"/>
          </w:tcPr>
          <w:p>
            <w:pPr>
              <w:pStyle w:val="33"/>
              <w:snapToGrid w:val="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●承诺保安人员熟悉采购人单位内部环境，重点部位。了解消防器材设备的性能和使用方法。</w:t>
            </w:r>
            <w:r>
              <w:rPr>
                <w:rFonts w:ascii="仿宋" w:hAnsi="仿宋" w:eastAsia="仿宋" w:cs="仿宋"/>
                <w:color w:val="auto"/>
                <w:sz w:val="24"/>
                <w:szCs w:val="24"/>
                <w:highlight w:val="none"/>
                <w:lang w:val="zh-CN"/>
              </w:rPr>
              <w:t>满足要求得</w:t>
            </w:r>
            <w:r>
              <w:rPr>
                <w:rFonts w:hint="eastAsia" w:ascii="仿宋" w:hAnsi="仿宋" w:eastAsia="仿宋" w:cs="仿宋"/>
                <w:color w:val="auto"/>
                <w:sz w:val="24"/>
                <w:szCs w:val="24"/>
                <w:highlight w:val="none"/>
                <w:lang w:val="zh-CN"/>
              </w:rPr>
              <w:t>4分，不满足不得分。</w:t>
            </w:r>
          </w:p>
          <w:p>
            <w:pPr>
              <w:pStyle w:val="33"/>
              <w:snapToGrid w:val="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●承诺严格遵守采购人的各项规章制度。</w:t>
            </w:r>
            <w:r>
              <w:rPr>
                <w:rFonts w:ascii="仿宋" w:hAnsi="仿宋" w:eastAsia="仿宋" w:cs="仿宋"/>
                <w:color w:val="auto"/>
                <w:sz w:val="24"/>
                <w:szCs w:val="24"/>
                <w:highlight w:val="none"/>
                <w:lang w:val="zh-CN"/>
              </w:rPr>
              <w:t>满足要求得</w:t>
            </w:r>
            <w:r>
              <w:rPr>
                <w:rFonts w:hint="eastAsia" w:ascii="仿宋" w:hAnsi="仿宋" w:eastAsia="仿宋" w:cs="仿宋"/>
                <w:color w:val="auto"/>
                <w:sz w:val="24"/>
                <w:szCs w:val="24"/>
                <w:highlight w:val="none"/>
                <w:lang w:val="zh-CN"/>
              </w:rPr>
              <w:t>4分，不满足不得分。</w:t>
            </w:r>
          </w:p>
          <w:p>
            <w:pPr>
              <w:pStyle w:val="33"/>
              <w:snapToGrid w:val="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承诺有保安人员离职，投标人应提前一周通知采购人，并将补充保安人员信息资料一同提供给采购人，需采购人经办人、审核人对服务人员变更进行审批，审批通过后方可更换，更换人员资历不得低于投标时人员资历。</w:t>
            </w:r>
            <w:r>
              <w:rPr>
                <w:rFonts w:ascii="仿宋" w:hAnsi="仿宋" w:eastAsia="仿宋" w:cs="仿宋"/>
                <w:color w:val="auto"/>
                <w:sz w:val="24"/>
                <w:szCs w:val="24"/>
                <w:highlight w:val="none"/>
                <w:lang w:val="zh-CN"/>
              </w:rPr>
              <w:t>满足要求得</w:t>
            </w:r>
            <w:r>
              <w:rPr>
                <w:rFonts w:hint="eastAsia" w:ascii="仿宋" w:hAnsi="仿宋" w:eastAsia="仿宋" w:cs="仿宋"/>
                <w:color w:val="auto"/>
                <w:sz w:val="24"/>
                <w:szCs w:val="24"/>
                <w:highlight w:val="none"/>
                <w:lang w:val="zh-CN"/>
              </w:rPr>
              <w:t>4分，不满足不得分。</w:t>
            </w:r>
          </w:p>
          <w:p>
            <w:pPr>
              <w:pStyle w:val="33"/>
              <w:snapToGrid w:val="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●承诺如有保安人员缺位，投标人应在接到采购人通知后</w:t>
            </w:r>
            <w:r>
              <w:rPr>
                <w:rFonts w:ascii="仿宋" w:hAnsi="仿宋" w:eastAsia="仿宋" w:cs="仿宋"/>
                <w:color w:val="auto"/>
                <w:sz w:val="24"/>
                <w:szCs w:val="24"/>
                <w:highlight w:val="none"/>
                <w:lang w:val="zh-CN"/>
              </w:rPr>
              <w:t>24小时内响应，并在48小时内保证人员到位，且达到采购人要求为止。满足要求得</w:t>
            </w:r>
            <w:r>
              <w:rPr>
                <w:rFonts w:hint="eastAsia" w:ascii="仿宋" w:hAnsi="仿宋" w:eastAsia="仿宋" w:cs="仿宋"/>
                <w:color w:val="auto"/>
                <w:sz w:val="24"/>
                <w:szCs w:val="24"/>
                <w:highlight w:val="none"/>
                <w:lang w:val="zh-CN"/>
              </w:rPr>
              <w:t>4分，不满足不得分。</w:t>
            </w:r>
          </w:p>
          <w:p>
            <w:pPr>
              <w:pStyle w:val="33"/>
              <w:snapToGrid w:val="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●承诺配合采购人接受上级领导部门的监督、检查。</w:t>
            </w:r>
            <w:r>
              <w:rPr>
                <w:rFonts w:ascii="仿宋" w:hAnsi="仿宋" w:eastAsia="仿宋" w:cs="仿宋"/>
                <w:color w:val="auto"/>
                <w:sz w:val="24"/>
                <w:szCs w:val="24"/>
                <w:highlight w:val="none"/>
                <w:lang w:val="zh-CN"/>
              </w:rPr>
              <w:t>满足要求得</w:t>
            </w:r>
            <w:r>
              <w:rPr>
                <w:rFonts w:hint="eastAsia" w:ascii="仿宋" w:hAnsi="仿宋" w:eastAsia="仿宋" w:cs="仿宋"/>
                <w:color w:val="auto"/>
                <w:sz w:val="24"/>
                <w:szCs w:val="24"/>
                <w:highlight w:val="none"/>
                <w:lang w:val="zh-CN"/>
              </w:rPr>
              <w:t>4分，不满足不得分。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20</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8" w:type="pct"/>
            <w:noWrap/>
            <w:vAlign w:val="center"/>
          </w:tcPr>
          <w:p>
            <w:pPr>
              <w:snapToGrid w:val="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培训（2分）</w:t>
            </w:r>
          </w:p>
        </w:tc>
        <w:tc>
          <w:tcPr>
            <w:tcW w:w="2449" w:type="pct"/>
            <w:noWrap/>
            <w:vAlign w:val="center"/>
          </w:tcPr>
          <w:p>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承诺培训满足满足采购需求的得2分，不满足不得分。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8" w:type="pct"/>
            <w:noWrap/>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88" w:type="pct"/>
            <w:noWrap/>
            <w:vAlign w:val="center"/>
          </w:tcPr>
          <w:p>
            <w:pPr>
              <w:snapToGrid w:val="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保密（</w:t>
            </w:r>
            <w:r>
              <w:rPr>
                <w:rFonts w:hint="eastAsia" w:ascii="仿宋" w:hAnsi="仿宋" w:eastAsia="仿宋" w:cs="仿宋"/>
                <w:b/>
                <w:color w:val="auto"/>
                <w:sz w:val="24"/>
                <w:highlight w:val="none"/>
                <w:lang w:val="zh-CN"/>
              </w:rPr>
              <w:t>2分</w:t>
            </w:r>
            <w:r>
              <w:rPr>
                <w:rFonts w:ascii="仿宋" w:hAnsi="仿宋" w:eastAsia="仿宋" w:cs="仿宋"/>
                <w:b/>
                <w:color w:val="auto"/>
                <w:sz w:val="24"/>
                <w:highlight w:val="none"/>
                <w:lang w:val="zh-CN"/>
              </w:rPr>
              <w:t>）</w:t>
            </w:r>
          </w:p>
        </w:tc>
        <w:tc>
          <w:tcPr>
            <w:tcW w:w="2449" w:type="pct"/>
            <w:noWrap/>
            <w:vAlign w:val="center"/>
          </w:tcPr>
          <w:p>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承诺保密工作满足采购人要求的得2分，不满足不得分。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78"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二</w:t>
            </w:r>
          </w:p>
        </w:tc>
        <w:tc>
          <w:tcPr>
            <w:tcW w:w="788" w:type="pct"/>
            <w:noWrap/>
            <w:vAlign w:val="center"/>
          </w:tcPr>
          <w:p>
            <w:pPr>
              <w:snapToGrid w:val="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投标人的业绩情况</w:t>
            </w:r>
          </w:p>
          <w:p>
            <w:pPr>
              <w:snapToGrid w:val="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w:t>
            </w:r>
            <w:r>
              <w:rPr>
                <w:rFonts w:ascii="仿宋" w:hAnsi="仿宋" w:eastAsia="仿宋" w:cs="仿宋"/>
                <w:b/>
                <w:color w:val="auto"/>
                <w:sz w:val="24"/>
                <w:highlight w:val="none"/>
                <w:lang w:val="zh-CN"/>
              </w:rPr>
              <w:t>2</w:t>
            </w:r>
            <w:r>
              <w:rPr>
                <w:rFonts w:hint="eastAsia" w:ascii="仿宋" w:hAnsi="仿宋" w:eastAsia="仿宋" w:cs="仿宋"/>
                <w:b/>
                <w:color w:val="auto"/>
                <w:sz w:val="24"/>
                <w:highlight w:val="none"/>
                <w:lang w:val="zh-CN"/>
              </w:rPr>
              <w:t>分）</w:t>
            </w:r>
          </w:p>
        </w:tc>
        <w:tc>
          <w:tcPr>
            <w:tcW w:w="2449" w:type="pct"/>
            <w:noWrap/>
            <w:vAlign w:val="center"/>
          </w:tcPr>
          <w:p>
            <w:pPr>
              <w:snapToGrid w:val="0"/>
              <w:rPr>
                <w:rFonts w:ascii="仿宋" w:hAnsi="仿宋" w:eastAsia="仿宋" w:cs="仿宋"/>
                <w:b/>
                <w:color w:val="auto"/>
                <w:sz w:val="24"/>
                <w:highlight w:val="none"/>
              </w:rPr>
            </w:pPr>
            <w:r>
              <w:rPr>
                <w:rFonts w:hint="eastAsia" w:ascii="仿宋" w:hAnsi="仿宋" w:eastAsia="仿宋" w:cs="仿宋"/>
                <w:bCs/>
                <w:color w:val="auto"/>
                <w:sz w:val="24"/>
                <w:highlight w:val="none"/>
              </w:rPr>
              <w:t>投标人自202</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年1月1日（以合同签订日期为准）以来承担过保安服务项目的，每个得1分，</w:t>
            </w:r>
            <w:r>
              <w:rPr>
                <w:rFonts w:hint="eastAsia" w:ascii="仿宋" w:hAnsi="仿宋" w:eastAsia="仿宋" w:cs="仿宋"/>
                <w:b/>
                <w:bCs/>
                <w:color w:val="auto"/>
                <w:sz w:val="24"/>
                <w:highlight w:val="none"/>
              </w:rPr>
              <w:t>本项最高得</w:t>
            </w:r>
            <w:r>
              <w:rPr>
                <w:rFonts w:ascii="仿宋" w:hAnsi="仿宋" w:eastAsia="仿宋" w:cs="仿宋"/>
                <w:b/>
                <w:bCs/>
                <w:color w:val="auto"/>
                <w:sz w:val="24"/>
                <w:highlight w:val="none"/>
              </w:rPr>
              <w:t>2</w:t>
            </w:r>
            <w:r>
              <w:rPr>
                <w:rFonts w:hint="eastAsia" w:ascii="仿宋" w:hAnsi="仿宋" w:eastAsia="仿宋" w:cs="仿宋"/>
                <w:b/>
                <w:bCs/>
                <w:color w:val="auto"/>
                <w:sz w:val="24"/>
                <w:highlight w:val="none"/>
              </w:rPr>
              <w:t>分。</w:t>
            </w:r>
            <w:r>
              <w:rPr>
                <w:rFonts w:hint="eastAsia" w:ascii="仿宋" w:hAnsi="仿宋" w:eastAsia="仿宋" w:cs="仿宋"/>
                <w:bCs/>
                <w:color w:val="auto"/>
                <w:sz w:val="24"/>
                <w:highlight w:val="none"/>
              </w:rPr>
              <w:t>（同时提供合同</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项目业主对其履约情况的证明材料，否则不得分）</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客观分</w:t>
            </w:r>
          </w:p>
        </w:tc>
        <w:tc>
          <w:tcPr>
            <w:tcW w:w="309"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673" w:type="pct"/>
            <w:noWrap/>
          </w:tcPr>
          <w:p>
            <w:pPr>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78"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三</w:t>
            </w:r>
          </w:p>
        </w:tc>
        <w:tc>
          <w:tcPr>
            <w:tcW w:w="3237" w:type="pct"/>
            <w:gridSpan w:val="2"/>
            <w:noWrap/>
          </w:tcPr>
          <w:p>
            <w:pPr>
              <w:snapToGrid w:val="0"/>
              <w:rPr>
                <w:rFonts w:ascii="仿宋" w:hAnsi="仿宋" w:eastAsia="仿宋" w:cs="仿宋"/>
                <w:color w:val="auto"/>
                <w:sz w:val="24"/>
                <w:highlight w:val="none"/>
              </w:rPr>
            </w:pPr>
            <w:bookmarkStart w:id="393" w:name="_Toc94096625"/>
            <w:r>
              <w:rPr>
                <w:rFonts w:hint="eastAsia" w:ascii="仿宋" w:hAnsi="仿宋" w:eastAsia="仿宋" w:cs="仿宋"/>
                <w:color w:val="auto"/>
                <w:sz w:val="24"/>
                <w:highlight w:val="none"/>
              </w:rPr>
              <w:t>有效投标报价的最低价作为评标基准价，其最低报价为满分；按［投标报价得分</w:t>
            </w:r>
            <w:r>
              <w:rPr>
                <w:rFonts w:ascii="仿宋" w:hAnsi="仿宋" w:eastAsia="仿宋" w:cs="仿宋"/>
                <w:color w:val="auto"/>
                <w:sz w:val="24"/>
                <w:highlight w:val="none"/>
              </w:rPr>
              <w:t>=（评标基准价/投标报价）*</w:t>
            </w:r>
            <w:r>
              <w:rPr>
                <w:rFonts w:hint="eastAsia" w:ascii="仿宋" w:hAnsi="仿宋" w:eastAsia="仿宋" w:cs="仿宋"/>
                <w:color w:val="auto"/>
                <w:sz w:val="24"/>
                <w:highlight w:val="none"/>
              </w:rPr>
              <w:t>价格权重</w:t>
            </w:r>
            <w:r>
              <w:rPr>
                <w:rFonts w:ascii="仿宋" w:hAnsi="仿宋" w:eastAsia="仿宋" w:cs="仿宋"/>
                <w:color w:val="auto"/>
                <w:sz w:val="24"/>
                <w:highlight w:val="none"/>
              </w:rPr>
              <w:t>］的计算公式计算。</w:t>
            </w:r>
            <w:bookmarkEnd w:id="393"/>
          </w:p>
          <w:p>
            <w:pPr>
              <w:snapToGrid w:val="0"/>
              <w:rPr>
                <w:rFonts w:ascii="仿宋" w:hAnsi="仿宋" w:eastAsia="仿宋"/>
                <w:color w:val="auto"/>
                <w:sz w:val="24"/>
                <w:highlight w:val="none"/>
              </w:rPr>
            </w:pPr>
            <w:r>
              <w:rPr>
                <w:rFonts w:ascii="仿宋" w:hAnsi="仿宋" w:eastAsia="仿宋" w:cs="仿宋"/>
                <w:color w:val="auto"/>
                <w:sz w:val="24"/>
                <w:highlight w:val="none"/>
              </w:rPr>
              <w:t>评标过程中，不得去掉报价中的最高报价和最低报价。</w:t>
            </w:r>
          </w:p>
        </w:tc>
        <w:tc>
          <w:tcPr>
            <w:tcW w:w="500" w:type="pct"/>
            <w:noWrap/>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309" w:type="pct"/>
            <w:noWrap/>
            <w:vAlign w:val="center"/>
          </w:tcPr>
          <w:p>
            <w:pPr>
              <w:snapToGrid w:val="0"/>
              <w:jc w:val="center"/>
              <w:rPr>
                <w:rFonts w:ascii="仿宋" w:hAnsi="仿宋" w:eastAsia="仿宋" w:cs="仿宋"/>
                <w:b/>
                <w:color w:val="auto"/>
                <w:sz w:val="24"/>
                <w:highlight w:val="none"/>
              </w:rPr>
            </w:pPr>
            <w:r>
              <w:rPr>
                <w:rFonts w:ascii="仿宋" w:hAnsi="仿宋" w:eastAsia="仿宋" w:cs="仿宋"/>
                <w:b/>
                <w:color w:val="auto"/>
                <w:sz w:val="24"/>
                <w:highlight w:val="none"/>
              </w:rPr>
              <w:t>20</w:t>
            </w:r>
          </w:p>
        </w:tc>
        <w:tc>
          <w:tcPr>
            <w:tcW w:w="673" w:type="pct"/>
            <w:noWrap/>
          </w:tcPr>
          <w:p>
            <w:pPr>
              <w:snapToGrid w:val="0"/>
              <w:jc w:val="center"/>
              <w:rPr>
                <w:rFonts w:ascii="仿宋" w:hAnsi="仿宋" w:eastAsia="仿宋" w:cs="仿宋"/>
                <w:b/>
                <w:color w:val="auto"/>
                <w:sz w:val="24"/>
                <w:highlight w:val="none"/>
              </w:rPr>
            </w:pPr>
          </w:p>
        </w:tc>
      </w:tr>
    </w:tbl>
    <w:p>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0" w:firstLineChars="19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推进采购需求和评审因素编制的科学化和精细化，评审小组成员个人主观打分偏离所有评审小组成员主观打分平均值</w:t>
      </w:r>
      <w:r>
        <w:rPr>
          <w:rFonts w:ascii="仿宋" w:hAnsi="仿宋" w:eastAsia="仿宋" w:cs="宋体"/>
          <w:color w:val="auto"/>
          <w:kern w:val="0"/>
          <w:sz w:val="24"/>
          <w:highlight w:val="none"/>
        </w:rPr>
        <w:t>30%以上的，由评审委员会启动评分畸高、畸低行为认定程序，限制专家自由裁量权。</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pPr>
        <w:pStyle w:val="128"/>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pPr>
        <w:pStyle w:val="12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pPr>
        <w:pStyle w:val="12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pPr>
        <w:pStyle w:val="12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仿宋" w:hAnsi="仿宋" w:eastAsia="仿宋" w:cs="宋体"/>
          <w:color w:val="auto"/>
          <w:kern w:val="0"/>
          <w:szCs w:val="24"/>
          <w:highlight w:val="none"/>
        </w:rPr>
        <w:t>20</w:t>
      </w:r>
      <w:r>
        <w:rPr>
          <w:rFonts w:hint="eastAsia" w:ascii="仿宋" w:hAnsi="仿宋" w:eastAsia="仿宋"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仿宋" w:hAnsi="仿宋" w:eastAsia="仿宋" w:cs="宋体"/>
          <w:color w:val="auto"/>
          <w:kern w:val="0"/>
          <w:szCs w:val="24"/>
          <w:highlight w:val="none"/>
        </w:rPr>
        <w:t>6</w:t>
      </w:r>
      <w:r>
        <w:rPr>
          <w:rFonts w:hint="eastAsia" w:ascii="仿宋" w:hAnsi="仿宋" w:eastAsia="仿宋"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pPr>
        <w:pStyle w:val="128"/>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pPr>
        <w:pStyle w:val="3"/>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废标后，采购代理机构应当将废标理由通知所有投标人。</w:t>
      </w:r>
    </w:p>
    <w:p>
      <w:pPr>
        <w:pStyle w:val="25"/>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ascii="仿宋" w:hAnsi="仿宋" w:eastAsia="仿宋" w:cs="宋体"/>
          <w:color w:val="auto"/>
          <w:highlight w:val="none"/>
        </w:rPr>
      </w:pPr>
    </w:p>
    <w:bookmarkEnd w:id="27"/>
    <w:p>
      <w:pPr>
        <w:spacing w:line="240" w:lineRule="auto"/>
        <w:ind w:left="0" w:leftChars="0" w:firstLine="0" w:firstLineChars="0"/>
        <w:outlineLvl w:val="9"/>
        <w:rPr>
          <w:rFonts w:hint="eastAsia" w:ascii="仿宋" w:hAnsi="仿宋" w:eastAsia="仿宋" w:cs="宋体"/>
          <w:b/>
          <w:color w:val="auto"/>
          <w:sz w:val="36"/>
          <w:szCs w:val="36"/>
          <w:highlight w:val="none"/>
        </w:rPr>
      </w:pPr>
      <w:bookmarkStart w:id="394" w:name="_Toc86217003"/>
      <w:bookmarkStart w:id="395" w:name="第五部分"/>
      <w:r>
        <w:rPr>
          <w:rFonts w:hint="eastAsia" w:ascii="仿宋" w:hAnsi="仿宋" w:eastAsia="仿宋" w:cs="宋体"/>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宋体"/>
          <w:b/>
          <w:color w:val="auto"/>
          <w:sz w:val="36"/>
          <w:szCs w:val="36"/>
          <w:highlight w:val="none"/>
        </w:rPr>
      </w:pPr>
    </w:p>
    <w:p>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pPr>
        <w:rPr>
          <w:rFonts w:ascii="仿宋" w:hAnsi="仿宋" w:eastAsia="仿宋" w:cs="宋体"/>
          <w:color w:val="auto"/>
          <w:sz w:val="24"/>
          <w:highlight w:val="none"/>
        </w:rPr>
      </w:pPr>
    </w:p>
    <w:p>
      <w:pPr>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pPr>
        <w:spacing w:line="480" w:lineRule="auto"/>
        <w:jc w:val="center"/>
        <w:rPr>
          <w:rFonts w:ascii="仿宋" w:hAnsi="仿宋" w:eastAsia="仿宋" w:cs="宋体"/>
          <w:b/>
          <w:color w:val="auto"/>
          <w:sz w:val="28"/>
          <w:szCs w:val="28"/>
          <w:highlight w:val="none"/>
        </w:rPr>
      </w:pPr>
    </w:p>
    <w:p>
      <w:pPr>
        <w:spacing w:line="480" w:lineRule="auto"/>
        <w:jc w:val="center"/>
        <w:rPr>
          <w:rFonts w:ascii="仿宋" w:hAnsi="仿宋" w:eastAsia="仿宋" w:cs="宋体"/>
          <w:b/>
          <w:color w:val="auto"/>
          <w:sz w:val="24"/>
          <w:highlight w:val="none"/>
        </w:rPr>
      </w:pPr>
    </w:p>
    <w:p>
      <w:pPr>
        <w:spacing w:line="480" w:lineRule="auto"/>
        <w:jc w:val="center"/>
        <w:rPr>
          <w:rFonts w:ascii="仿宋" w:hAnsi="仿宋" w:eastAsia="仿宋" w:cs="宋体"/>
          <w:b/>
          <w:color w:val="auto"/>
          <w:sz w:val="24"/>
          <w:highlight w:val="none"/>
        </w:rPr>
      </w:pPr>
    </w:p>
    <w:p>
      <w:pPr>
        <w:spacing w:before="120" w:line="22" w:lineRule="atLeast"/>
        <w:ind w:firstLine="1260" w:firstLineChars="450"/>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b/>
          <w:color w:val="auto"/>
          <w:sz w:val="28"/>
          <w:szCs w:val="28"/>
          <w:highlight w:val="none"/>
        </w:rPr>
        <w:t>机动车驾驶员考试服务后勤经费-保安服务费</w:t>
      </w:r>
    </w:p>
    <w:p>
      <w:pPr>
        <w:spacing w:before="120" w:line="22" w:lineRule="atLeast"/>
        <w:ind w:firstLine="1260" w:firstLineChars="450"/>
        <w:rPr>
          <w:rFonts w:ascii="仿宋" w:hAnsi="仿宋" w:eastAsia="仿宋"/>
          <w:color w:val="auto"/>
          <w:sz w:val="28"/>
          <w:szCs w:val="28"/>
          <w:highlight w:val="none"/>
        </w:rPr>
      </w:pPr>
    </w:p>
    <w:p>
      <w:pPr>
        <w:spacing w:before="120" w:line="22" w:lineRule="atLeast"/>
        <w:ind w:firstLine="1260" w:firstLineChars="450"/>
        <w:rPr>
          <w:rFonts w:ascii="仿宋" w:hAnsi="仿宋" w:eastAsia="仿宋"/>
          <w:color w:val="auto"/>
          <w:sz w:val="28"/>
          <w:szCs w:val="28"/>
          <w:highlight w:val="none"/>
        </w:rPr>
      </w:pPr>
    </w:p>
    <w:p>
      <w:pPr>
        <w:ind w:firstLine="1260" w:firstLineChars="450"/>
        <w:rPr>
          <w:rFonts w:ascii="仿宋" w:hAnsi="仿宋" w:eastAsia="仿宋"/>
          <w:color w:val="auto"/>
          <w:sz w:val="28"/>
          <w:szCs w:val="28"/>
          <w:highlight w:val="none"/>
        </w:rPr>
      </w:pPr>
    </w:p>
    <w:p>
      <w:pPr>
        <w:spacing w:before="120" w:line="22" w:lineRule="atLeast"/>
        <w:ind w:firstLine="1260" w:firstLineChars="45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甲方：</w:t>
      </w:r>
      <w:r>
        <w:rPr>
          <w:rFonts w:hint="eastAsia" w:ascii="仿宋" w:hAnsi="仿宋" w:eastAsia="仿宋"/>
          <w:b/>
          <w:bCs/>
          <w:color w:val="auto"/>
          <w:sz w:val="28"/>
          <w:szCs w:val="28"/>
          <w:highlight w:val="none"/>
        </w:rPr>
        <w:t>杭州市机动车驾驶员考试服务中心</w:t>
      </w:r>
    </w:p>
    <w:p>
      <w:pPr>
        <w:spacing w:before="120" w:line="22" w:lineRule="atLeast"/>
        <w:ind w:firstLine="1260" w:firstLineChars="450"/>
        <w:rPr>
          <w:rFonts w:ascii="仿宋" w:hAnsi="仿宋" w:eastAsia="仿宋"/>
          <w:color w:val="auto"/>
          <w:sz w:val="28"/>
          <w:szCs w:val="28"/>
          <w:highlight w:val="none"/>
        </w:rPr>
      </w:pPr>
    </w:p>
    <w:p>
      <w:pPr>
        <w:spacing w:before="120" w:line="22" w:lineRule="atLeast"/>
        <w:ind w:firstLine="1260" w:firstLineChars="450"/>
        <w:rPr>
          <w:rFonts w:ascii="仿宋" w:hAnsi="仿宋" w:eastAsia="仿宋"/>
          <w:color w:val="auto"/>
          <w:sz w:val="28"/>
          <w:szCs w:val="28"/>
          <w:highlight w:val="none"/>
        </w:rPr>
      </w:pPr>
      <w:r>
        <w:rPr>
          <w:rFonts w:hint="eastAsia" w:ascii="仿宋" w:hAnsi="仿宋" w:eastAsia="仿宋"/>
          <w:color w:val="auto"/>
          <w:sz w:val="28"/>
          <w:szCs w:val="28"/>
          <w:highlight w:val="none"/>
        </w:rPr>
        <w:t>乙方：</w:t>
      </w:r>
    </w:p>
    <w:p>
      <w:pPr>
        <w:spacing w:before="120" w:line="22" w:lineRule="atLeast"/>
        <w:ind w:firstLine="1260" w:firstLineChars="450"/>
        <w:rPr>
          <w:rFonts w:ascii="仿宋" w:hAnsi="仿宋" w:eastAsia="仿宋"/>
          <w:color w:val="auto"/>
          <w:sz w:val="28"/>
          <w:szCs w:val="28"/>
          <w:highlight w:val="none"/>
        </w:rPr>
      </w:pPr>
    </w:p>
    <w:p>
      <w:pPr>
        <w:spacing w:before="120" w:line="22" w:lineRule="atLeast"/>
        <w:ind w:firstLine="1260" w:firstLineChars="450"/>
        <w:rPr>
          <w:rFonts w:ascii="仿宋" w:hAnsi="仿宋" w:eastAsia="仿宋"/>
          <w:color w:val="auto"/>
          <w:sz w:val="28"/>
          <w:szCs w:val="28"/>
          <w:highlight w:val="none"/>
        </w:rPr>
      </w:pPr>
    </w:p>
    <w:p>
      <w:pPr>
        <w:spacing w:before="120" w:line="22" w:lineRule="atLeast"/>
        <w:ind w:firstLine="1260" w:firstLineChars="45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签订地：杭州市</w:t>
      </w:r>
    </w:p>
    <w:p>
      <w:pPr>
        <w:spacing w:before="120" w:line="22" w:lineRule="atLeast"/>
        <w:ind w:firstLine="1260" w:firstLineChars="450"/>
        <w:rPr>
          <w:rFonts w:ascii="仿宋" w:hAnsi="仿宋" w:eastAsia="仿宋"/>
          <w:color w:val="auto"/>
          <w:sz w:val="28"/>
          <w:szCs w:val="28"/>
          <w:highlight w:val="none"/>
        </w:rPr>
      </w:pPr>
    </w:p>
    <w:p>
      <w:pPr>
        <w:spacing w:before="120" w:line="22" w:lineRule="atLeast"/>
        <w:ind w:firstLine="1260" w:firstLineChars="45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签订日期：年月日</w:t>
      </w:r>
    </w:p>
    <w:p>
      <w:pPr>
        <w:widowControl/>
        <w:ind w:firstLine="1080" w:firstLineChars="450"/>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pPr>
        <w:rPr>
          <w:rFonts w:ascii="仿宋" w:hAnsi="仿宋" w:eastAsia="仿宋" w:cs="宋体"/>
          <w:b/>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2024</w:t>
      </w: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杭州市机动车驾驶员考试服务中心</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公开招标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机动车驾驶员考试服务后勤经费-保安服务费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评标委员会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（中标供应商名称） </w:t>
      </w:r>
      <w:r>
        <w:rPr>
          <w:rFonts w:hint="eastAsia" w:ascii="仿宋" w:hAnsi="仿宋" w:eastAsia="仿宋"/>
          <w:color w:val="auto"/>
          <w:sz w:val="24"/>
          <w:highlight w:val="none"/>
        </w:rPr>
        <w:t>为该项目</w:t>
      </w:r>
      <w:r>
        <w:rPr>
          <w:rFonts w:hint="eastAsia" w:ascii="仿宋" w:hAnsi="仿宋" w:eastAsia="仿宋" w:cs="宋体"/>
          <w:color w:val="auto"/>
          <w:sz w:val="24"/>
          <w:highlight w:val="none"/>
        </w:rPr>
        <w:t>中标供应商</w:t>
      </w:r>
      <w:r>
        <w:rPr>
          <w:rFonts w:hint="eastAsia" w:ascii="仿宋" w:hAnsi="仿宋" w:eastAsia="仿宋"/>
          <w:color w:val="auto"/>
          <w:sz w:val="24"/>
          <w:highlight w:val="none"/>
        </w:rPr>
        <w:t>。现于</w:t>
      </w:r>
      <w:r>
        <w:rPr>
          <w:rFonts w:hint="eastAsia" w:ascii="仿宋" w:hAnsi="仿宋" w:eastAsia="仿宋" w:cs="宋体"/>
          <w:color w:val="auto"/>
          <w:sz w:val="24"/>
          <w:highlight w:val="none"/>
        </w:rPr>
        <w:t>中标通知书</w:t>
      </w:r>
      <w:r>
        <w:rPr>
          <w:rFonts w:hint="eastAsia" w:ascii="仿宋" w:hAnsi="仿宋" w:eastAsia="仿宋"/>
          <w:color w:val="auto"/>
          <w:sz w:val="24"/>
          <w:highlight w:val="none"/>
        </w:rPr>
        <w:t>发出之日起10个工作日内，按照采购文件确定的事项签订本合同。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杭州市机动车驾驶员考试服务中心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360" w:lineRule="auto"/>
        <w:ind w:firstLine="482" w:firstLineChars="200"/>
        <w:outlineLvl w:val="0"/>
        <w:rPr>
          <w:rFonts w:ascii="仿宋" w:hAnsi="仿宋" w:eastAsia="仿宋"/>
          <w:color w:val="auto"/>
          <w:sz w:val="24"/>
          <w:highlight w:val="none"/>
        </w:rPr>
      </w:pPr>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p>
    <w:p>
      <w:pPr>
        <w:widowControl/>
        <w:snapToGrid w:val="0"/>
        <w:spacing w:line="360" w:lineRule="auto"/>
        <w:ind w:firstLine="480" w:firstLineChars="200"/>
        <w:jc w:val="left"/>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s="仿宋"/>
          <w:color w:val="auto"/>
          <w:kern w:val="0"/>
          <w:sz w:val="24"/>
          <w:highlight w:val="none"/>
          <w:u w:val="single"/>
        </w:rPr>
        <w:t>根据杭州市机动车驾驶员考试服务中心实际日常安保工作情况的需要,提供安全保卫保安员服务，负责各地秩序管理及门岗执勤。安保岗位主要分布在杭州市机动车驾驶员考试服务中心场口考场、河坊街、龙舌嘴、萧山考场四个服务点。服务人员组成：场口考场42人、河坊街9人、龙舌嘴7人、萧山考场10人，共计68人</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s="宋体"/>
          <w:color w:val="auto"/>
          <w:sz w:val="24"/>
          <w:highlight w:val="none"/>
          <w:u w:val="single"/>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ascii="仿宋" w:hAnsi="仿宋" w:eastAsia="仿宋"/>
          <w:color w:val="auto"/>
          <w:sz w:val="24"/>
          <w:highlight w:val="none"/>
          <w:u w:val="single"/>
        </w:rPr>
        <w:t xml:space="preserve">按乙方提供的服务承诺、日常管理制度保障本合同有效执行 </w:t>
      </w:r>
      <w:r>
        <w:rPr>
          <w:rFonts w:hint="eastAsia" w:ascii="仿宋" w:hAnsi="仿宋" w:eastAsia="仿宋"/>
          <w:color w:val="auto"/>
          <w:sz w:val="24"/>
          <w:highlight w:val="none"/>
          <w:u w:val="singl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详见附件二</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1.3 价款</w:t>
      </w:r>
    </w:p>
    <w:p>
      <w:pPr>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本项目采用以下第1.3.2条款规定的计价方式计价。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w:t>
      </w:r>
      <w:r>
        <w:rPr>
          <w:rFonts w:ascii="仿宋" w:hAnsi="仿宋" w:eastAsia="仿宋"/>
          <w:color w:val="auto"/>
          <w:sz w:val="24"/>
          <w:highlight w:val="none"/>
        </w:rPr>
        <w:t>本合同总价</w:t>
      </w:r>
      <w:r>
        <w:rPr>
          <w:rFonts w:hint="eastAsia" w:ascii="仿宋" w:hAnsi="仿宋" w:eastAsia="仿宋"/>
          <w:color w:val="auto"/>
          <w:sz w:val="24"/>
          <w:highlight w:val="none"/>
        </w:rPr>
        <w:t>（含税）</w:t>
      </w:r>
      <w:r>
        <w:rPr>
          <w:rFonts w:ascii="仿宋" w:hAnsi="仿宋" w:eastAsia="仿宋"/>
          <w:color w:val="auto"/>
          <w:sz w:val="24"/>
          <w:highlight w:val="none"/>
        </w:rPr>
        <w:t>为</w:t>
      </w:r>
      <w:r>
        <w:rPr>
          <w:rFonts w:hint="eastAsia" w:ascii="仿宋" w:hAnsi="仿宋" w:eastAsia="仿宋"/>
          <w:color w:val="auto"/>
          <w:sz w:val="24"/>
          <w:highlight w:val="none"/>
        </w:rPr>
        <w:t>：￥ /</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pPr>
        <w:spacing w:line="360" w:lineRule="auto"/>
        <w:ind w:firstLine="480" w:firstLineChars="200"/>
        <w:rPr>
          <w:rFonts w:ascii="仿宋" w:hAnsi="仿宋" w:eastAsia="仿宋"/>
          <w:b/>
          <w:bCs/>
          <w:color w:val="auto"/>
          <w:sz w:val="24"/>
          <w:highlight w:val="none"/>
        </w:rPr>
      </w:pPr>
      <w:r>
        <w:rPr>
          <w:rFonts w:hint="eastAsia" w:ascii="仿宋" w:hAnsi="仿宋" w:eastAsia="仿宋"/>
          <w:bCs/>
          <w:color w:val="auto"/>
          <w:sz w:val="24"/>
          <w:highlight w:val="none"/>
        </w:rPr>
        <w:t>1.3.2单价合同</w:t>
      </w:r>
      <w:r>
        <w:rPr>
          <w:rFonts w:ascii="仿宋" w:hAnsi="仿宋" w:eastAsia="仿宋"/>
          <w:color w:val="auto"/>
          <w:sz w:val="24"/>
          <w:highlight w:val="none"/>
        </w:rPr>
        <w:t>。</w:t>
      </w:r>
      <w:r>
        <w:rPr>
          <w:rFonts w:hint="eastAsia" w:ascii="仿宋" w:hAnsi="仿宋" w:eastAsia="仿宋"/>
          <w:color w:val="auto"/>
          <w:sz w:val="24"/>
          <w:highlight w:val="none"/>
        </w:rPr>
        <w:t>服务工作量的计量方式为：</w:t>
      </w:r>
      <w:r>
        <w:rPr>
          <w:rFonts w:hint="eastAsia" w:ascii="仿宋" w:hAnsi="仿宋" w:eastAsia="仿宋" w:cs="宋体"/>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单价合同，在合同履行期间内，根据实际完成的工作量据实结算，但结算总价上限不得超过合同金额￥</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hint="eastAsia" w:ascii="仿宋" w:hAnsi="仿宋" w:eastAsia="仿宋"/>
          <w:b/>
          <w:bCs/>
          <w:color w:val="auto"/>
          <w:sz w:val="24"/>
          <w:highlight w:val="none"/>
        </w:rPr>
        <w:t>详见附件三。</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1.3.3其他计价方式：</w:t>
      </w:r>
      <w:r>
        <w:rPr>
          <w:rFonts w:hint="eastAsia" w:ascii="仿宋" w:hAnsi="仿宋" w:eastAsia="仿宋" w:cs="宋体"/>
          <w:color w:val="auto"/>
          <w:kern w:val="0"/>
          <w:sz w:val="24"/>
          <w:highlight w:val="none"/>
          <w:u w:val="single"/>
        </w:rPr>
        <w:t xml:space="preserve">  /  </w:t>
      </w:r>
      <w:r>
        <w:rPr>
          <w:rFonts w:hint="eastAsia" w:ascii="仿宋" w:hAnsi="仿宋" w:eastAsia="仿宋" w:cs="宋体"/>
          <w:color w:val="auto"/>
          <w:kern w:val="0"/>
          <w:sz w:val="24"/>
          <w:highlight w:val="none"/>
        </w:rPr>
        <w:t>。</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1.4履约保证金</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1.4.1履约保证金的比例为合同金额的</w:t>
      </w:r>
      <w:r>
        <w:rPr>
          <w:rFonts w:hint="eastAsia" w:ascii="仿宋" w:hAnsi="仿宋" w:eastAsia="仿宋" w:cs="宋体"/>
          <w:color w:val="auto"/>
          <w:kern w:val="0"/>
          <w:sz w:val="24"/>
          <w:highlight w:val="none"/>
          <w:u w:val="single"/>
        </w:rPr>
        <w:t xml:space="preserve"> 1%</w:t>
      </w:r>
      <w:r>
        <w:rPr>
          <w:rFonts w:hint="eastAsia" w:ascii="仿宋" w:hAnsi="仿宋" w:eastAsia="仿宋" w:cs="宋体"/>
          <w:color w:val="auto"/>
          <w:kern w:val="0"/>
          <w:sz w:val="24"/>
          <w:highlight w:val="none"/>
        </w:rPr>
        <w:t>；</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1.4.2履约保证金支付方式详见</w:t>
      </w:r>
      <w:r>
        <w:rPr>
          <w:rFonts w:hint="eastAsia" w:ascii="仿宋" w:hAnsi="仿宋" w:eastAsia="仿宋" w:cs="宋体"/>
          <w:b/>
          <w:bCs/>
          <w:i/>
          <w:iCs/>
          <w:color w:val="auto"/>
          <w:kern w:val="0"/>
          <w:sz w:val="24"/>
          <w:highlight w:val="none"/>
          <w:u w:val="single"/>
        </w:rPr>
        <w:t>合同专用条款</w:t>
      </w:r>
      <w:r>
        <w:rPr>
          <w:rFonts w:hint="eastAsia" w:ascii="仿宋" w:hAnsi="仿宋" w:eastAsia="仿宋" w:cs="宋体"/>
          <w:color w:val="auto"/>
          <w:kern w:val="0"/>
          <w:sz w:val="24"/>
          <w:highlight w:val="none"/>
        </w:rPr>
        <w:t>；</w:t>
      </w:r>
    </w:p>
    <w:p>
      <w:pPr>
        <w:pStyle w:val="3"/>
        <w:tabs>
          <w:tab w:val="left" w:pos="0"/>
        </w:tabs>
        <w:spacing w:line="360" w:lineRule="auto"/>
        <w:ind w:left="0" w:firstLine="480" w:firstLineChars="200"/>
        <w:rPr>
          <w:rFonts w:ascii="仿宋" w:eastAsia="仿宋"/>
          <w:color w:val="auto"/>
          <w:highlight w:val="none"/>
          <w:lang w:val="en-US"/>
        </w:rPr>
      </w:pPr>
      <w:r>
        <w:rPr>
          <w:rFonts w:hint="eastAsia" w:ascii="仿宋" w:eastAsia="仿宋"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1.4.4甲方在项目验收结束后及时退还履约保证金。甲方在项目通过验收且收到乙方退还履约保证金申请之日起5个工作日内凭双方签字盖章的验收意见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highlight w:val="none"/>
          <w:u w:val="single"/>
        </w:rPr>
        <w:t xml:space="preserve">  0.05 </w:t>
      </w:r>
      <w:r>
        <w:rPr>
          <w:rFonts w:hint="eastAsia" w:ascii="仿宋" w:hAnsi="仿宋" w:eastAsia="仿宋" w:cs="宋体"/>
          <w:color w:val="auto"/>
          <w:kern w:val="0"/>
          <w:sz w:val="24"/>
          <w:highlight w:val="none"/>
        </w:rPr>
        <w:t>%计算，最高限额为本合同履约保证金的</w:t>
      </w:r>
      <w:r>
        <w:rPr>
          <w:rFonts w:hint="eastAsia" w:ascii="仿宋" w:hAnsi="仿宋" w:eastAsia="仿宋" w:cs="宋体"/>
          <w:color w:val="auto"/>
          <w:kern w:val="0"/>
          <w:sz w:val="24"/>
          <w:highlight w:val="none"/>
          <w:u w:val="single"/>
        </w:rPr>
        <w:t xml:space="preserve"> 20 </w:t>
      </w:r>
      <w:r>
        <w:rPr>
          <w:rFonts w:hint="eastAsia" w:ascii="仿宋" w:hAnsi="仿宋" w:eastAsia="仿宋" w:cs="宋体"/>
          <w:color w:val="auto"/>
          <w:kern w:val="0"/>
          <w:sz w:val="24"/>
          <w:highlight w:val="none"/>
        </w:rPr>
        <w:t xml:space="preserve"> %。</w:t>
      </w:r>
    </w:p>
    <w:p>
      <w:pPr>
        <w:spacing w:line="360" w:lineRule="auto"/>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1.5预付款</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1.5.1预付款比例、支付方式、时间详见</w:t>
      </w:r>
      <w:r>
        <w:rPr>
          <w:rFonts w:hint="eastAsia" w:ascii="仿宋" w:hAnsi="仿宋" w:eastAsia="仿宋" w:cs="宋体"/>
          <w:b/>
          <w:bCs/>
          <w:i/>
          <w:iCs/>
          <w:color w:val="auto"/>
          <w:kern w:val="0"/>
          <w:sz w:val="24"/>
          <w:highlight w:val="none"/>
          <w:u w:val="single"/>
        </w:rPr>
        <w:t>合同专用条款</w:t>
      </w:r>
      <w:r>
        <w:rPr>
          <w:rFonts w:hint="eastAsia" w:ascii="仿宋" w:hAnsi="仿宋" w:eastAsia="仿宋" w:cs="宋体"/>
          <w:color w:val="auto"/>
          <w:kern w:val="0"/>
          <w:sz w:val="24"/>
          <w:highlight w:val="none"/>
        </w:rPr>
        <w:t>；</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1.5.2预付款的扣回方式详见</w:t>
      </w:r>
      <w:r>
        <w:rPr>
          <w:rFonts w:hint="eastAsia" w:ascii="仿宋" w:hAnsi="仿宋" w:eastAsia="仿宋" w:cs="宋体"/>
          <w:b/>
          <w:bCs/>
          <w:i/>
          <w:iCs/>
          <w:color w:val="auto"/>
          <w:kern w:val="0"/>
          <w:sz w:val="24"/>
          <w:highlight w:val="none"/>
          <w:u w:val="single"/>
        </w:rPr>
        <w:t>合同专用条款</w:t>
      </w:r>
      <w:r>
        <w:rPr>
          <w:rFonts w:hint="eastAsia" w:ascii="仿宋" w:hAnsi="仿宋" w:eastAsia="仿宋" w:cs="宋体"/>
          <w:color w:val="auto"/>
          <w:kern w:val="0"/>
          <w:sz w:val="24"/>
          <w:highlight w:val="none"/>
        </w:rPr>
        <w:t>；</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1.5.3预付款的担保措施详见</w:t>
      </w:r>
      <w:r>
        <w:rPr>
          <w:rFonts w:hint="eastAsia" w:ascii="仿宋" w:hAnsi="仿宋" w:eastAsia="仿宋" w:cs="宋体"/>
          <w:b/>
          <w:bCs/>
          <w:i/>
          <w:iCs/>
          <w:color w:val="auto"/>
          <w:kern w:val="0"/>
          <w:sz w:val="24"/>
          <w:highlight w:val="none"/>
          <w:u w:val="single"/>
        </w:rPr>
        <w:t>合同专用条款</w:t>
      </w:r>
      <w:r>
        <w:rPr>
          <w:rFonts w:hint="eastAsia" w:ascii="仿宋" w:hAnsi="仿宋" w:eastAsia="仿宋" w:cs="宋体"/>
          <w:color w:val="auto"/>
          <w:kern w:val="0"/>
          <w:sz w:val="24"/>
          <w:highlight w:val="none"/>
        </w:rPr>
        <w:t>。</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1.6资金支付</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1.6.1甲方应严格履行合同，及时组织验收，验收合格后及时将合同款支付完毕。对于满足合同约定支付条件的，甲方自收到发票后5个工作日内将资金支付到合同约定的乙方账户。甲方不得以机构变动、人员更替、政策调整、单位放假等为由延迟付款。</w:t>
      </w:r>
    </w:p>
    <w:p>
      <w:pPr>
        <w:spacing w:line="360" w:lineRule="auto"/>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1.6.2资金支付的方式、时间和条件详见</w:t>
      </w:r>
      <w:r>
        <w:rPr>
          <w:rFonts w:hint="eastAsia" w:ascii="仿宋" w:hAnsi="仿宋" w:eastAsia="仿宋" w:cs="宋体"/>
          <w:b/>
          <w:bCs/>
          <w:i/>
          <w:iCs/>
          <w:color w:val="auto"/>
          <w:kern w:val="0"/>
          <w:sz w:val="24"/>
          <w:highlight w:val="none"/>
          <w:u w:val="single"/>
        </w:rPr>
        <w:t>合同专用条款</w:t>
      </w:r>
      <w:r>
        <w:rPr>
          <w:rFonts w:hint="eastAsia" w:ascii="仿宋" w:hAnsi="仿宋" w:eastAsia="仿宋" w:cs="宋体"/>
          <w:color w:val="auto"/>
          <w:kern w:val="0"/>
          <w:sz w:val="24"/>
          <w:highlight w:val="none"/>
        </w:rPr>
        <w:t>。</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服务交付（实施）的时间（期限）</w:t>
      </w:r>
      <w:r>
        <w:rPr>
          <w:rFonts w:ascii="仿宋" w:hAnsi="仿宋" w:eastAsia="仿宋"/>
          <w:color w:val="auto"/>
          <w:sz w:val="24"/>
          <w:highlight w:val="none"/>
        </w:rPr>
        <w:t>：</w:t>
      </w:r>
      <w:r>
        <w:rPr>
          <w:rFonts w:hint="eastAsia" w:ascii="仿宋" w:hAnsi="仿宋" w:eastAsia="仿宋" w:cs="宋体"/>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服</w:t>
      </w:r>
      <w:r>
        <w:rPr>
          <w:rFonts w:hint="eastAsia" w:ascii="仿宋" w:hAnsi="仿宋" w:eastAsia="仿宋" w:cs="宋体"/>
          <w:color w:val="auto"/>
          <w:sz w:val="24"/>
          <w:highlight w:val="none"/>
        </w:rPr>
        <w:t>务交付（实施）的地点（地域范围）：详见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.3 </w:t>
      </w:r>
      <w:r>
        <w:rPr>
          <w:rFonts w:hint="eastAsia" w:ascii="仿宋" w:hAnsi="仿宋" w:eastAsia="仿宋"/>
          <w:color w:val="auto"/>
          <w:sz w:val="24"/>
          <w:highlight w:val="none"/>
        </w:rPr>
        <w:t>服务交付（实施）的方式：</w:t>
      </w:r>
      <w:r>
        <w:rPr>
          <w:rFonts w:hint="eastAsia" w:ascii="仿宋" w:hAnsi="仿宋" w:eastAsia="仿宋" w:cs="宋体"/>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bCs/>
          <w:color w:val="auto"/>
          <w:sz w:val="24"/>
          <w:highlight w:val="none"/>
        </w:rPr>
      </w:pPr>
      <w:r>
        <w:rPr>
          <w:rFonts w:hint="eastAsia" w:ascii="仿宋" w:hAnsi="仿宋" w:eastAsia="仿宋"/>
          <w:bCs/>
          <w:color w:val="auto"/>
          <w:sz w:val="24"/>
          <w:highlight w:val="none"/>
        </w:rPr>
        <w:t xml:space="preserve">1.7.4若服务涉及货物的，则货物的 </w:t>
      </w:r>
      <w:r>
        <w:rPr>
          <w:rFonts w:hint="eastAsia" w:ascii="仿宋" w:hAnsi="仿宋" w:eastAsia="仿宋"/>
          <w:bCs/>
          <w:color w:val="auto"/>
          <w:sz w:val="24"/>
          <w:highlight w:val="none"/>
          <w:u w:val="single"/>
        </w:rPr>
        <w:t xml:space="preserve">   /    </w:t>
      </w:r>
      <w:r>
        <w:rPr>
          <w:rFonts w:hint="eastAsia" w:ascii="仿宋" w:hAnsi="仿宋" w:eastAsia="仿宋"/>
          <w:bCs/>
          <w:color w:val="auto"/>
          <w:sz w:val="24"/>
          <w:highlight w:val="none"/>
        </w:rPr>
        <w:t xml:space="preserve">  ：</w:t>
      </w:r>
    </w:p>
    <w:p>
      <w:pP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1.7.4.1 交付期限：详见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1.7.4.2 交付地点：详见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1.7.4.3 交付方式：详见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pPr>
        <w:spacing w:line="360" w:lineRule="auto"/>
        <w:ind w:firstLine="482" w:firstLineChars="200"/>
        <w:outlineLvl w:val="0"/>
        <w:rPr>
          <w:rFonts w:ascii="仿宋" w:hAnsi="仿宋" w:eastAsia="仿宋"/>
          <w:color w:val="auto"/>
          <w:sz w:val="24"/>
          <w:highlight w:val="none"/>
          <w:u w:val="single"/>
        </w:rPr>
      </w:pPr>
      <w:r>
        <w:rPr>
          <w:rFonts w:ascii="仿宋" w:hAnsi="仿宋" w:eastAsia="仿宋"/>
          <w:b/>
          <w:color w:val="auto"/>
          <w:sz w:val="24"/>
          <w:highlight w:val="none"/>
        </w:rPr>
        <w:t>1.</w:t>
      </w:r>
      <w:r>
        <w:rPr>
          <w:rFonts w:hint="eastAsia" w:ascii="仿宋" w:hAnsi="仿宋" w:eastAsia="仿宋"/>
          <w:b/>
          <w:color w:val="auto"/>
          <w:sz w:val="24"/>
          <w:highlight w:val="none"/>
        </w:rPr>
        <w:t>8违约责任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宋体"/>
          <w:color w:val="auto"/>
          <w:sz w:val="24"/>
          <w:highlight w:val="none"/>
          <w:u w:val="single"/>
        </w:rPr>
        <w:t>0.05</w:t>
      </w:r>
      <w:r>
        <w:rPr>
          <w:rFonts w:hint="eastAsia" w:ascii="仿宋" w:hAnsi="仿宋" w:eastAsia="仿宋" w:cs="宋体"/>
          <w:color w:val="auto"/>
          <w:sz w:val="24"/>
          <w:highlight w:val="none"/>
        </w:rPr>
        <w:t>%计算，最高限额为本合同总价的</w:t>
      </w:r>
      <w:r>
        <w:rPr>
          <w:rFonts w:hint="eastAsia" w:ascii="仿宋" w:hAnsi="仿宋" w:eastAsia="仿宋" w:cs="宋体"/>
          <w:color w:val="auto"/>
          <w:sz w:val="24"/>
          <w:highlight w:val="none"/>
          <w:u w:val="single"/>
        </w:rPr>
        <w:t xml:space="preserve"> 20 </w:t>
      </w:r>
      <w:r>
        <w:rPr>
          <w:rFonts w:hint="eastAsia" w:ascii="仿宋" w:hAnsi="仿宋" w:eastAsia="仿宋" w:cs="宋体"/>
          <w:color w:val="auto"/>
          <w:sz w:val="24"/>
          <w:highlight w:val="none"/>
        </w:rPr>
        <w:t xml:space="preserve"> %；迟延履行的违约金计算数额达到前述最高限额之日起，甲方有权在要求乙方支付违约金的同时，书面通知乙方解除本合同；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color w:val="auto"/>
          <w:sz w:val="24"/>
          <w:highlight w:val="none"/>
          <w:u w:val="single"/>
        </w:rPr>
        <w:t xml:space="preserve"> 0.05</w:t>
      </w:r>
      <w:r>
        <w:rPr>
          <w:rFonts w:hint="eastAsia" w:ascii="仿宋" w:hAnsi="仿宋" w:eastAsia="仿宋" w:cs="宋体"/>
          <w:color w:val="auto"/>
          <w:sz w:val="24"/>
          <w:highlight w:val="none"/>
        </w:rPr>
        <w:t xml:space="preserve"> %计算，最高限额为本合同总价的</w:t>
      </w:r>
      <w:r>
        <w:rPr>
          <w:rFonts w:hint="eastAsia" w:ascii="仿宋" w:hAnsi="仿宋" w:eastAsia="仿宋" w:cs="宋体"/>
          <w:color w:val="auto"/>
          <w:sz w:val="24"/>
          <w:highlight w:val="none"/>
          <w:u w:val="single"/>
        </w:rPr>
        <w:t xml:space="preserve"> 20 </w:t>
      </w:r>
      <w:r>
        <w:rPr>
          <w:rFonts w:hint="eastAsia" w:ascii="仿宋" w:hAnsi="仿宋" w:eastAsia="仿宋"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highlight w:val="none"/>
          <w:u w:val="single"/>
        </w:rPr>
        <w:t xml:space="preserve">0.05 </w:t>
      </w:r>
      <w:r>
        <w:rPr>
          <w:rFonts w:hint="eastAsia" w:ascii="仿宋" w:hAnsi="仿宋" w:eastAsia="仿宋" w:cs="宋体"/>
          <w:color w:val="auto"/>
          <w:sz w:val="24"/>
          <w:highlight w:val="none"/>
        </w:rPr>
        <w:t>%计算，最高限额为本合同总价的</w:t>
      </w:r>
      <w:r>
        <w:rPr>
          <w:rFonts w:hint="eastAsia" w:ascii="仿宋" w:hAnsi="仿宋" w:eastAsia="仿宋" w:cs="宋体"/>
          <w:color w:val="auto"/>
          <w:sz w:val="24"/>
          <w:highlight w:val="none"/>
          <w:u w:val="single"/>
        </w:rPr>
        <w:t>20</w:t>
      </w:r>
      <w:r>
        <w:rPr>
          <w:rFonts w:hint="eastAsia" w:ascii="仿宋" w:hAnsi="仿宋" w:eastAsia="仿宋" w:cs="宋体"/>
          <w:color w:val="auto"/>
          <w:sz w:val="24"/>
          <w:highlight w:val="none"/>
        </w:rPr>
        <w:t>%；迟延付款的违约金计算数额达到前述最高限额之日起，乙方有权在要求甲方支付违约金的同时，书面通知甲方解除本合同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0" w:rightChars="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1.8.7违约责任</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另有约定的，从其约定。</w:t>
      </w:r>
    </w:p>
    <w:p>
      <w:pPr>
        <w:spacing w:line="360" w:lineRule="auto"/>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1.9合同争议的解决</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本合同履行过程中发生的任何争议，双方当事人均可通过和解或者调解解决；不愿和解、调解或者和解、调解不成的，可以选择以下第1.9.2条款规定的方式解决：</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1.9.1 将争议提交</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仲裁委员会依申请仲裁时其现行有效的仲裁规则裁决；</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1.9.2 向</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人民法院起诉。</w:t>
      </w:r>
    </w:p>
    <w:p>
      <w:pPr>
        <w:spacing w:line="360" w:lineRule="auto"/>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2.0 合同生效</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本合同自双方当事人盖章签字时生效。</w:t>
      </w:r>
    </w:p>
    <w:p>
      <w:pPr>
        <w:autoSpaceDE w:val="0"/>
        <w:autoSpaceDN w:val="0"/>
        <w:spacing w:line="360" w:lineRule="auto"/>
        <w:ind w:firstLine="480" w:firstLineChars="200"/>
        <w:rPr>
          <w:rFonts w:ascii="仿宋" w:hAnsi="仿宋" w:eastAsia="仿宋"/>
          <w:color w:val="auto"/>
          <w:sz w:val="24"/>
          <w:highlight w:val="none"/>
          <w:lang w:val="zh-CN"/>
        </w:rPr>
      </w:pPr>
    </w:p>
    <w:p>
      <w:pPr>
        <w:autoSpaceDE w:val="0"/>
        <w:autoSpaceDN w:val="0"/>
        <w:spacing w:line="360" w:lineRule="auto"/>
        <w:ind w:firstLine="482" w:firstLineChars="200"/>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pPr>
        <w:autoSpaceDE w:val="0"/>
        <w:autoSpaceDN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开户账号：                               开户账号：</w:t>
      </w:r>
    </w:p>
    <w:p>
      <w:pPr>
        <w:widowControl/>
        <w:spacing w:line="560" w:lineRule="exact"/>
        <w:jc w:val="left"/>
        <w:rPr>
          <w:rFonts w:ascii="仿宋" w:hAnsi="仿宋" w:eastAsia="仿宋"/>
          <w:b/>
          <w:color w:val="auto"/>
          <w:sz w:val="24"/>
          <w:highlight w:val="none"/>
        </w:rPr>
      </w:pPr>
    </w:p>
    <w:p>
      <w:pPr>
        <w:widowControl/>
        <w:adjustRightInd/>
        <w:jc w:val="left"/>
        <w:rPr>
          <w:rFonts w:ascii="仿宋" w:hAnsi="仿宋" w:eastAsia="仿宋"/>
          <w:b/>
          <w:color w:val="auto"/>
          <w:sz w:val="24"/>
          <w:highlight w:val="none"/>
        </w:rPr>
      </w:pPr>
      <w:r>
        <w:rPr>
          <w:rFonts w:ascii="仿宋" w:hAnsi="仿宋" w:eastAsia="仿宋"/>
          <w:b/>
          <w:color w:val="auto"/>
          <w:highlight w:val="none"/>
        </w:rPr>
        <w:br w:type="page"/>
      </w:r>
    </w:p>
    <w:p>
      <w:pPr>
        <w:pStyle w:val="699"/>
        <w:spacing w:line="560" w:lineRule="exact"/>
        <w:ind w:left="0" w:leftChars="0" w:firstLine="0" w:firstLineChars="0"/>
        <w:jc w:val="center"/>
        <w:rPr>
          <w:rFonts w:ascii="仿宋" w:hAnsi="仿宋" w:eastAsia="仿宋"/>
          <w:b/>
          <w:color w:val="auto"/>
          <w:szCs w:val="24"/>
          <w:highlight w:val="none"/>
        </w:rPr>
      </w:pPr>
      <w:r>
        <w:rPr>
          <w:rFonts w:hint="eastAsia" w:ascii="仿宋" w:hAnsi="仿宋" w:eastAsia="仿宋"/>
          <w:b/>
          <w:color w:val="auto"/>
          <w:szCs w:val="24"/>
          <w:highlight w:val="none"/>
        </w:rPr>
        <w:t>第二部分 合同一般条款</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 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供应商签订的载明双方当事人所达成的协议，并包括所有的附件、附录和构成合同的其他文件。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供应商的价格。</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2.2 技术规范</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2.3 知识产权</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，乙方还应及时澄清相关信息，使甲方声誉免受损害，甲方保留追责的权利。</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2.5 结算方式和付款条件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2.6 技术资料和保密义务</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甲乙双方签订合同后，乙方应按照合同约定履行合同义务，除不可抗力外，乙方不得延迟履行。</w:t>
      </w:r>
      <w:r>
        <w:rPr>
          <w:rFonts w:ascii="仿宋" w:hAnsi="仿宋" w:eastAsia="仿宋"/>
          <w:color w:val="auto"/>
          <w:sz w:val="24"/>
          <w:highlight w:val="none"/>
        </w:rPr>
        <w:t>在合同履行过程中，如果</w:t>
      </w:r>
      <w:r>
        <w:rPr>
          <w:rFonts w:hint="eastAsia" w:ascii="仿宋" w:hAnsi="仿宋" w:eastAsia="仿宋"/>
          <w:color w:val="auto"/>
          <w:sz w:val="24"/>
          <w:highlight w:val="none"/>
        </w:rPr>
        <w:t>因不可抗力，</w:t>
      </w:r>
      <w:r>
        <w:rPr>
          <w:rFonts w:ascii="仿宋" w:hAnsi="仿宋" w:eastAsia="仿宋"/>
          <w:color w:val="auto"/>
          <w:sz w:val="24"/>
          <w:highlight w:val="none"/>
        </w:rPr>
        <w:t>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2.10 合同转让和分包</w:t>
      </w:r>
    </w:p>
    <w:p>
      <w:pPr>
        <w:spacing w:line="360" w:lineRule="auto"/>
        <w:ind w:firstLine="482" w:firstLineChars="200"/>
        <w:outlineLvl w:val="0"/>
        <w:rPr>
          <w:rFonts w:ascii="仿宋" w:hAnsi="仿宋" w:eastAsia="仿宋"/>
          <w:color w:val="auto"/>
          <w:sz w:val="24"/>
          <w:highlight w:val="none"/>
        </w:rPr>
      </w:pPr>
      <w:r>
        <w:rPr>
          <w:rFonts w:hint="eastAsia" w:ascii="仿宋" w:hAnsi="仿宋" w:eastAsia="仿宋"/>
          <w:b/>
          <w:color w:val="auto"/>
          <w:sz w:val="24"/>
          <w:highlight w:val="none"/>
        </w:rPr>
        <w:t>本合同不得转让、分包。</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2.11 不可抗力</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2.12 税费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2.13 乙方破产</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2.14 合同中止、终止</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2.15 检验和验收</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2.16 通知和送达</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p>
    <w:p>
      <w:pPr>
        <w:spacing w:line="360" w:lineRule="auto"/>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pPr>
        <w:spacing w:line="360" w:lineRule="auto"/>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2.18 计量单位</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除技术规范中另有规定外,合同的计量单位均使用国家法定计量单位。</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19</w:t>
      </w:r>
      <w:r>
        <w:rPr>
          <w:rFonts w:ascii="仿宋" w:hAnsi="仿宋" w:eastAsia="仿宋"/>
          <w:b/>
          <w:color w:val="auto"/>
          <w:sz w:val="24"/>
          <w:highlight w:val="none"/>
        </w:rPr>
        <w:t>合同份数</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r>
        <w:rPr>
          <w:rFonts w:hint="eastAsia" w:ascii="仿宋" w:hAnsi="仿宋" w:eastAsia="仿宋" w:cs="宋体"/>
          <w:b/>
          <w:color w:val="auto"/>
          <w:sz w:val="24"/>
          <w:highlight w:val="none"/>
        </w:rPr>
        <w:t>第三部分  合同专用条款</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1.3.2服务工作量的计量方式为：</w:t>
      </w:r>
      <w:r>
        <w:rPr>
          <w:rFonts w:hint="eastAsia" w:ascii="仿宋" w:hAnsi="仿宋" w:eastAsia="仿宋" w:cs="宋体"/>
          <w:color w:val="auto"/>
          <w:sz w:val="24"/>
          <w:highlight w:val="none"/>
          <w:u w:val="single"/>
        </w:rPr>
        <w:t>最终按合同单价、实际到岗人数、服务天数进行结算（</w:t>
      </w:r>
      <w:r>
        <w:rPr>
          <w:rFonts w:hint="eastAsia" w:ascii="仿宋" w:hAnsi="仿宋" w:eastAsia="仿宋" w:cs="仿宋"/>
          <w:color w:val="auto"/>
          <w:sz w:val="24"/>
          <w:highlight w:val="none"/>
          <w:u w:val="single"/>
          <w:lang w:val="zh-CN"/>
        </w:rPr>
        <w:t>服装、装备按实际使用套数结算</w:t>
      </w:r>
      <w:r>
        <w:rPr>
          <w:rFonts w:hint="eastAsia" w:ascii="仿宋" w:hAnsi="仿宋" w:eastAsia="仿宋" w:cs="宋体"/>
          <w:color w:val="auto"/>
          <w:sz w:val="24"/>
          <w:highlight w:val="none"/>
          <w:u w:val="single"/>
        </w:rPr>
        <w:t>）。</w:t>
      </w:r>
    </w:p>
    <w:p>
      <w:pPr>
        <w:spacing w:line="360" w:lineRule="auto"/>
        <w:ind w:left="0" w:leftChars="0" w:right="0" w:rightChars="0"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1.4.2履约保证金支付方式:</w:t>
      </w:r>
      <w:r>
        <w:rPr>
          <w:rFonts w:hint="eastAsia" w:ascii="仿宋" w:hAnsi="仿宋" w:eastAsia="仿宋" w:cs="宋体"/>
          <w:color w:val="auto"/>
          <w:sz w:val="24"/>
          <w:highlight w:val="none"/>
          <w:u w:val="single"/>
        </w:rPr>
        <w:t>以支票、汇票、本票或者金融机构、担保机构出具的保函等非现金形式提交履约保证金。鼓励和支持乙方以履约保函形式提供履约保证。</w:t>
      </w:r>
    </w:p>
    <w:p>
      <w:pPr>
        <w:spacing w:line="360" w:lineRule="auto"/>
        <w:ind w:left="0" w:leftChars="0" w:right="0" w:rightChars="0"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1.5.1预付款比例、支付方式、时间:</w:t>
      </w:r>
      <w:r>
        <w:rPr>
          <w:rFonts w:hint="eastAsia" w:ascii="仿宋" w:hAnsi="仿宋" w:eastAsia="仿宋" w:cs="仿宋"/>
          <w:color w:val="auto"/>
          <w:sz w:val="24"/>
          <w:highlight w:val="none"/>
          <w:u w:val="single"/>
          <w:lang w:val="zh-CN"/>
        </w:rPr>
        <w:t>签订合同后5个工作日内，</w:t>
      </w:r>
      <w:r>
        <w:rPr>
          <w:rFonts w:hint="eastAsia" w:ascii="仿宋" w:hAnsi="仿宋" w:eastAsia="仿宋" w:cs="仿宋"/>
          <w:color w:val="auto"/>
          <w:sz w:val="24"/>
          <w:highlight w:val="none"/>
          <w:u w:val="single"/>
        </w:rPr>
        <w:t>项目具备实施条件后，甲方</w:t>
      </w:r>
      <w:r>
        <w:rPr>
          <w:rFonts w:hint="eastAsia" w:ascii="仿宋" w:hAnsi="仿宋" w:eastAsia="仿宋" w:cs="宋体"/>
          <w:color w:val="auto"/>
          <w:sz w:val="24"/>
          <w:highlight w:val="none"/>
          <w:u w:val="single"/>
        </w:rPr>
        <w:t>以国库转账方式支付合同总价40%的预付款。</w:t>
      </w:r>
    </w:p>
    <w:p>
      <w:pPr>
        <w:spacing w:line="360" w:lineRule="auto"/>
        <w:ind w:left="0" w:leftChars="0" w:right="0" w:rightChars="0" w:firstLine="480" w:firstLineChars="200"/>
        <w:rPr>
          <w:rFonts w:ascii="仿宋" w:hAnsi="仿宋" w:eastAsia="仿宋" w:cs="仿宋"/>
          <w:color w:val="auto"/>
          <w:sz w:val="24"/>
          <w:highlight w:val="none"/>
          <w:u w:val="single"/>
        </w:rPr>
      </w:pPr>
      <w:r>
        <w:rPr>
          <w:rFonts w:hint="eastAsia" w:ascii="仿宋" w:hAnsi="仿宋" w:eastAsia="仿宋" w:cs="宋体"/>
          <w:color w:val="auto"/>
          <w:sz w:val="24"/>
          <w:highlight w:val="none"/>
        </w:rPr>
        <w:t>1.5.2预付款的扣回方式：</w:t>
      </w:r>
      <w:r>
        <w:rPr>
          <w:rFonts w:hint="eastAsia" w:ascii="仿宋" w:hAnsi="仿宋" w:eastAsia="仿宋" w:cs="仿宋"/>
          <w:color w:val="auto"/>
          <w:sz w:val="24"/>
          <w:highlight w:val="none"/>
          <w:u w:val="single"/>
        </w:rPr>
        <w:t>预付款不扣回，包含在第二期合同款支付内。</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1.6.2资金支付的方式、时间和条件：</w:t>
      </w:r>
    </w:p>
    <w:p>
      <w:pPr>
        <w:spacing w:line="360" w:lineRule="auto"/>
        <w:ind w:left="0" w:leftChars="0" w:right="0" w:rightChars="0"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第一期：签订合同后5个工作日内，项目具备实施条件后，甲方支付合同总价的40%，同时甲方收取履约保证金为合同总价1%。</w:t>
      </w:r>
    </w:p>
    <w:p>
      <w:pPr>
        <w:spacing w:line="360" w:lineRule="auto"/>
        <w:ind w:left="0" w:leftChars="0" w:right="0" w:rightChars="0"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第二期：服务至2024年11月30日经验收合格后，凭双方签字盖章的验收意见、验收小组签字的验收报告、每月考核表、人员清单、人员变更审批表（如有）、每日人员钉钉考勤记录、保安人员身份证清单、资历证明、保安员上岗证书、退伍证、党员证、每月社保缴纳清单、服装发放清单、装备发放清单、应急方案、日常管理规章制度、巡逻检查记录、培训材料、单位保密协议、个人安全保密承诺书、日常保密教育台账、小微企业证明资料等相关资料，按人员按合同单价、实际到岗人数、服务天数结算（服装、装备按实际使用套数结算）且最多支付至146.88万元（含甲方已向乙方支付的第一期合同价款）；</w:t>
      </w:r>
    </w:p>
    <w:p>
      <w:pPr>
        <w:spacing w:line="360" w:lineRule="auto"/>
        <w:ind w:left="0" w:leftChars="0" w:right="0" w:rightChars="0"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第三期：至2025年5月3</w:t>
      </w:r>
      <w:r>
        <w:rPr>
          <w:rFonts w:ascii="仿宋" w:hAnsi="仿宋" w:eastAsia="仿宋" w:cs="宋体"/>
          <w:color w:val="auto"/>
          <w:sz w:val="24"/>
          <w:highlight w:val="none"/>
          <w:u w:val="single"/>
          <w:lang w:val="zh-CN"/>
        </w:rPr>
        <w:t>1</w:t>
      </w:r>
      <w:r>
        <w:rPr>
          <w:rFonts w:hint="eastAsia" w:ascii="仿宋" w:hAnsi="仿宋" w:eastAsia="仿宋" w:cs="宋体"/>
          <w:color w:val="auto"/>
          <w:sz w:val="24"/>
          <w:highlight w:val="none"/>
          <w:u w:val="single"/>
          <w:lang w:val="zh-CN"/>
        </w:rPr>
        <w:t>日服务期结束，经验收合格后，凭双方签字盖章的验收意见、验收小组签字的验收报告、每月考核表、人员清单、人员变更审批表（如有）、每日人员钉钉考勤记录、保安人员身份证清单、资历证明、保安员上岗证书、退伍证、党员证、每月社保缴纳清单、服装发放清单、装备发放清单、应急方案、日常管理规章制度、巡逻检查记录、培训材料、单位保密协议、个人安全保密承诺书、日常保密教育台账、小微企业证明资料等相关资料，按人员按合同单价、实际到岗人数、服务天数结算（服装、装备按实际使用套数结算）剩余应付的合同款项，同时扣除乙方应向甲方支付的违约金。</w:t>
      </w:r>
    </w:p>
    <w:p>
      <w:pPr>
        <w:spacing w:line="360" w:lineRule="auto"/>
        <w:ind w:left="0" w:leftChars="0" w:right="0" w:rightChars="0"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双方确认，甲方按前款结算并向乙方支付的款项总额不超过合同总价。</w:t>
      </w:r>
    </w:p>
    <w:p>
      <w:pPr>
        <w:spacing w:line="360" w:lineRule="auto"/>
        <w:ind w:left="0" w:leftChars="0" w:right="0" w:rightChars="0"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前述甲方按合同单价、实际到岗人数、天数（服装、装备按实际使用套数结算）与乙方进行结算付款的方式不影响乙方承担其因未全面履行本项目义务而产生的相应违约金。</w:t>
      </w:r>
    </w:p>
    <w:p>
      <w:pPr>
        <w:spacing w:line="360" w:lineRule="auto"/>
        <w:ind w:left="0" w:leftChars="0" w:right="0" w:rightChars="0"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1.7.1服务实施的时间：2024年6月1日至2025年5月31日。</w:t>
      </w:r>
    </w:p>
    <w:p>
      <w:pPr>
        <w:spacing w:line="360" w:lineRule="auto"/>
        <w:ind w:left="0" w:leftChars="0" w:right="0" w:rightChars="0"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1.7.2服务实施的地点：杭州市机动车驾驶员考试服务中心场口考场、河坊街、龙舌嘴、萧山考场服务点。</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1.7.3</w:t>
      </w:r>
      <w:r>
        <w:rPr>
          <w:rFonts w:hint="eastAsia" w:ascii="仿宋" w:hAnsi="仿宋" w:eastAsia="仿宋"/>
          <w:color w:val="auto"/>
          <w:sz w:val="24"/>
          <w:highlight w:val="none"/>
        </w:rPr>
        <w:t>服务实施的方式：</w:t>
      </w:r>
      <w:r>
        <w:rPr>
          <w:rFonts w:hint="eastAsia" w:ascii="仿宋" w:hAnsi="仿宋" w:eastAsia="仿宋"/>
          <w:color w:val="auto"/>
          <w:sz w:val="24"/>
          <w:highlight w:val="none"/>
          <w:u w:val="single"/>
        </w:rPr>
        <w:t>服务期内，乙方派服务人员至</w:t>
      </w:r>
      <w:r>
        <w:rPr>
          <w:rFonts w:hint="eastAsia" w:ascii="仿宋" w:hAnsi="仿宋" w:eastAsia="仿宋" w:cs="宋体"/>
          <w:color w:val="auto"/>
          <w:sz w:val="24"/>
          <w:highlight w:val="none"/>
          <w:u w:val="single"/>
          <w:lang w:val="zh-CN"/>
        </w:rPr>
        <w:t>杭州市机动车驾驶员考试服务中心场口考场、河坊街、龙舌嘴、萧山考场服务点</w:t>
      </w:r>
      <w:r>
        <w:rPr>
          <w:rFonts w:hint="eastAsia" w:ascii="仿宋" w:hAnsi="仿宋" w:eastAsia="仿宋" w:cs="宋体"/>
          <w:color w:val="auto"/>
          <w:sz w:val="24"/>
          <w:highlight w:val="none"/>
          <w:u w:val="single"/>
        </w:rPr>
        <w:t>现场实施。</w:t>
      </w:r>
    </w:p>
    <w:p>
      <w:pPr>
        <w:spacing w:line="360" w:lineRule="auto"/>
        <w:ind w:left="0" w:leftChars="0" w:right="0" w:rightChars="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1.8.7违约责任：</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（1）乙方应完全按照甲方招标文件的要求和乙方投标文件及相关文件承诺完成本项目，因乙方自身财务、技术、人力等原因导致项目风险的，应承担全部责任。</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3）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无息退还乙方履约保证金。逾期退还的，乙方可要求甲方支付违约金，违约金按每迟延退还一日的应退还而未退还金额的0.05%计算，最高限额为本合同履约保证金的20%。</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（6）乙方擅自将本合同的全部或部分事务转由第三人承担，甲方可解除本合同，且乙方应按合同总价的30％向甲方支付违约金。如发生损失的，乙方还应赔偿甲方损失。</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（7）服务期间，甲方每月对乙方实施考核，如有违约的，根据考核条款进行处置，直至解除合同。</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（8）乙方派遣人员给甲方造成的经济损失，由乙方负责。乙方必须按实际损失予以赔偿。</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（9）</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所有人员的事故和乙方或乙方派遣人员工作过错造成的安全管理事故，乙方自行负全部责任及相关费用</w:t>
      </w:r>
      <w:r>
        <w:rPr>
          <w:rFonts w:hint="eastAsia" w:ascii="仿宋" w:hAnsi="仿宋" w:eastAsia="仿宋" w:cs="宋体"/>
          <w:color w:val="auto"/>
          <w:sz w:val="24"/>
          <w:highlight w:val="none"/>
          <w:u w:val="single"/>
          <w:lang w:val="zh-CN"/>
        </w:rPr>
        <w:t>。</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（1</w:t>
      </w:r>
      <w:r>
        <w:rPr>
          <w:rFonts w:hint="eastAsia" w:ascii="仿宋" w:hAnsi="仿宋" w:eastAsia="仿宋" w:cs="宋体"/>
          <w:color w:val="auto"/>
          <w:sz w:val="24"/>
          <w:highlight w:val="none"/>
          <w:u w:val="single"/>
        </w:rPr>
        <w:t>0</w:t>
      </w:r>
      <w:r>
        <w:rPr>
          <w:rFonts w:hint="eastAsia" w:ascii="仿宋" w:hAnsi="仿宋" w:eastAsia="仿宋" w:cs="宋体"/>
          <w:color w:val="auto"/>
          <w:sz w:val="24"/>
          <w:highlight w:val="none"/>
          <w:u w:val="single"/>
          <w:lang w:val="zh-CN"/>
        </w:rPr>
        <w:t>）</w:t>
      </w:r>
      <w:r>
        <w:rPr>
          <w:rFonts w:hint="eastAsia" w:ascii="仿宋" w:hAnsi="仿宋" w:eastAsia="仿宋" w:cs="宋体"/>
          <w:color w:val="auto"/>
          <w:sz w:val="24"/>
          <w:highlight w:val="none"/>
          <w:u w:val="single"/>
        </w:rPr>
        <w:t>乙方</w:t>
      </w:r>
      <w:r>
        <w:rPr>
          <w:rFonts w:hint="eastAsia" w:ascii="仿宋" w:hAnsi="仿宋" w:eastAsia="仿宋" w:cs="宋体"/>
          <w:color w:val="auto"/>
          <w:sz w:val="24"/>
          <w:highlight w:val="none"/>
          <w:u w:val="single"/>
          <w:lang w:val="zh-CN"/>
        </w:rPr>
        <w:t>未按保密管理条款规定执行的，每发现一次处违约金10000元，如发生泄密事件，除赔偿</w:t>
      </w:r>
      <w:r>
        <w:rPr>
          <w:rFonts w:hint="eastAsia" w:ascii="仿宋" w:hAnsi="仿宋" w:eastAsia="仿宋" w:cs="宋体"/>
          <w:color w:val="auto"/>
          <w:sz w:val="24"/>
          <w:highlight w:val="none"/>
          <w:u w:val="single"/>
        </w:rPr>
        <w:t>甲方</w:t>
      </w:r>
      <w:r>
        <w:rPr>
          <w:rFonts w:hint="eastAsia" w:ascii="仿宋" w:hAnsi="仿宋" w:eastAsia="仿宋" w:cs="宋体"/>
          <w:color w:val="auto"/>
          <w:sz w:val="24"/>
          <w:highlight w:val="none"/>
          <w:u w:val="single"/>
          <w:lang w:val="zh-CN"/>
        </w:rPr>
        <w:t>损失外，还应承担全部法律责任。如乙方及乙方服务人员违反安全管理要求，构成违法犯罪的，甲方将及时报送本级政府采购和市场监督管理部门，提请列入政府采购严重违法失信行为记录名单、市场监督管理严重失信名单，并追究相关责任。</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（1</w:t>
      </w:r>
      <w:r>
        <w:rPr>
          <w:rFonts w:hint="eastAsia" w:ascii="仿宋" w:hAnsi="仿宋" w:eastAsia="仿宋" w:cs="宋体"/>
          <w:color w:val="auto"/>
          <w:sz w:val="24"/>
          <w:highlight w:val="none"/>
          <w:u w:val="single"/>
        </w:rPr>
        <w:t>1</w:t>
      </w:r>
      <w:r>
        <w:rPr>
          <w:rFonts w:hint="eastAsia" w:ascii="仿宋" w:hAnsi="仿宋" w:eastAsia="仿宋" w:cs="宋体"/>
          <w:color w:val="auto"/>
          <w:sz w:val="24"/>
          <w:highlight w:val="none"/>
          <w:u w:val="single"/>
          <w:lang w:val="zh-CN"/>
        </w:rPr>
        <w:t>）本项目履约过程中，乙方承诺预留小微企业的比例应达到合同总价的【100】%，若未达到此要求，甲方有权没收全部履约保证金，报送本级政府采购监管部门，提前列入失信行为记录名单，追究相关责任，且乙方应向甲方支付合同总价30%的违约金。</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（1</w:t>
      </w:r>
      <w:r>
        <w:rPr>
          <w:rFonts w:hint="eastAsia" w:ascii="仿宋" w:hAnsi="仿宋" w:eastAsia="仿宋" w:cs="宋体"/>
          <w:color w:val="auto"/>
          <w:sz w:val="24"/>
          <w:highlight w:val="none"/>
          <w:u w:val="single"/>
        </w:rPr>
        <w:t>2</w:t>
      </w:r>
      <w:r>
        <w:rPr>
          <w:rFonts w:hint="eastAsia" w:ascii="仿宋" w:hAnsi="仿宋" w:eastAsia="仿宋" w:cs="宋体"/>
          <w:color w:val="auto"/>
          <w:sz w:val="24"/>
          <w:highlight w:val="none"/>
          <w:u w:val="single"/>
          <w:lang w:val="zh-CN"/>
        </w:rPr>
        <w:t>）乙方投入的人员不能与其承接的项目重复兼任,一经发现，将提请财政以提供虚假资料予以废标，并列入黑名单，没收全部履约保证金，并承担就由此给甲方造成的损失。</w:t>
      </w:r>
    </w:p>
    <w:p>
      <w:pPr>
        <w:spacing w:line="360" w:lineRule="auto"/>
        <w:ind w:left="0" w:leftChars="0" w:right="0" w:rightChars="0" w:firstLine="480" w:firstLineChars="200"/>
        <w:jc w:val="left"/>
        <w:rPr>
          <w:rFonts w:ascii="仿宋" w:hAnsi="仿宋" w:eastAsia="仿宋" w:cs="宋体"/>
          <w:color w:val="auto"/>
          <w:sz w:val="24"/>
          <w:highlight w:val="none"/>
          <w:u w:val="single"/>
          <w:lang w:val="zh-CN"/>
        </w:rPr>
      </w:pPr>
      <w:r>
        <w:rPr>
          <w:rFonts w:hint="eastAsia" w:ascii="仿宋" w:hAnsi="仿宋" w:eastAsia="仿宋" w:cs="宋体"/>
          <w:color w:val="auto"/>
          <w:sz w:val="24"/>
          <w:highlight w:val="none"/>
          <w:u w:val="single"/>
          <w:lang w:val="zh-CN"/>
        </w:rPr>
        <w:t>（1</w:t>
      </w:r>
      <w:r>
        <w:rPr>
          <w:rFonts w:hint="eastAsia" w:ascii="仿宋" w:hAnsi="仿宋" w:eastAsia="仿宋" w:cs="宋体"/>
          <w:color w:val="auto"/>
          <w:sz w:val="24"/>
          <w:highlight w:val="none"/>
          <w:u w:val="single"/>
        </w:rPr>
        <w:t>3</w:t>
      </w:r>
      <w:r>
        <w:rPr>
          <w:rFonts w:hint="eastAsia" w:ascii="仿宋" w:hAnsi="仿宋" w:eastAsia="仿宋" w:cs="宋体"/>
          <w:color w:val="auto"/>
          <w:sz w:val="24"/>
          <w:highlight w:val="none"/>
          <w:u w:val="single"/>
          <w:lang w:val="zh-CN"/>
        </w:rPr>
        <w:t>）违约金在结算合同尾款时一次性扣除。</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 xml:space="preserve"> 1.9.2条</w:t>
      </w:r>
      <w:r>
        <w:rPr>
          <w:rFonts w:hint="eastAsia" w:ascii="仿宋" w:hAnsi="仿宋" w:eastAsia="仿宋" w:cs="仿宋"/>
          <w:color w:val="auto"/>
          <w:sz w:val="24"/>
          <w:highlight w:val="none"/>
        </w:rPr>
        <w:t>款规定的方式解决：</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将争议提交仲裁委员会依申请仲裁时其现行有效的仲裁规则裁决；</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向甲方所在地人民法院起诉。</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w:t>
      </w:r>
      <w:r>
        <w:rPr>
          <w:rFonts w:hint="eastAsia" w:ascii="仿宋" w:hAnsi="仿宋" w:eastAsia="仿宋"/>
          <w:color w:val="auto"/>
          <w:sz w:val="24"/>
          <w:highlight w:val="none"/>
        </w:rPr>
        <w:t>合同涉及技术成果的归属和收益的分成办法的</w:t>
      </w:r>
      <w:r>
        <w:rPr>
          <w:rFonts w:hint="eastAsia" w:ascii="仿宋" w:hAnsi="仿宋" w:eastAsia="仿宋"/>
          <w:color w:val="auto"/>
          <w:sz w:val="24"/>
          <w:highlight w:val="none"/>
          <w:u w:val="single"/>
        </w:rPr>
        <w:t xml:space="preserve"> 无  </w:t>
      </w:r>
      <w:r>
        <w:rPr>
          <w:rFonts w:ascii="仿宋" w:hAnsi="仿宋" w:eastAsia="仿宋"/>
          <w:color w:val="auto"/>
          <w:sz w:val="24"/>
          <w:highlight w:val="none"/>
        </w:rPr>
        <w:t>。</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5</w:t>
      </w:r>
      <w:r>
        <w:rPr>
          <w:rFonts w:ascii="仿宋" w:hAnsi="仿宋" w:eastAsia="仿宋"/>
          <w:b/>
          <w:color w:val="auto"/>
          <w:sz w:val="24"/>
          <w:highlight w:val="none"/>
        </w:rPr>
        <w:t>结算方式和付款条件</w:t>
      </w:r>
      <w:r>
        <w:rPr>
          <w:rFonts w:hint="eastAsia" w:ascii="仿宋" w:hAnsi="仿宋" w:eastAsia="仿宋"/>
          <w:b/>
          <w:color w:val="auto"/>
          <w:sz w:val="24"/>
          <w:highlight w:val="none"/>
        </w:rPr>
        <w:t>：见1.6.2条款。</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ascii="仿宋" w:hAnsi="仿宋" w:eastAsia="仿宋"/>
          <w:b/>
          <w:i/>
          <w:color w:val="auto"/>
          <w:sz w:val="24"/>
          <w:highlight w:val="none"/>
          <w:u w:val="single"/>
        </w:rPr>
        <w:t>15</w:t>
      </w:r>
      <w:r>
        <w:rPr>
          <w:rFonts w:hint="eastAsia" w:ascii="仿宋" w:hAnsi="仿宋" w:eastAsia="仿宋"/>
          <w:b/>
          <w:i/>
          <w:color w:val="auto"/>
          <w:sz w:val="24"/>
          <w:highlight w:val="none"/>
          <w:u w:val="single"/>
        </w:rPr>
        <w:t>个工作日</w:t>
      </w:r>
      <w:r>
        <w:rPr>
          <w:rFonts w:hint="eastAsia" w:ascii="仿宋" w:hAnsi="仿宋" w:eastAsia="仿宋" w:cs="仿宋"/>
          <w:color w:val="auto"/>
          <w:sz w:val="24"/>
          <w:highlight w:val="none"/>
        </w:rPr>
        <w:t>内以书面形式变更合同；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ascii="仿宋" w:hAnsi="仿宋" w:eastAsia="仿宋"/>
          <w:b/>
          <w:i/>
          <w:color w:val="auto"/>
          <w:sz w:val="24"/>
          <w:highlight w:val="none"/>
          <w:u w:val="single"/>
        </w:rPr>
        <w:t>7</w:t>
      </w:r>
      <w:r>
        <w:rPr>
          <w:rFonts w:hint="eastAsia" w:ascii="仿宋" w:hAnsi="仿宋" w:eastAsia="仿宋"/>
          <w:b/>
          <w:i/>
          <w:color w:val="auto"/>
          <w:sz w:val="24"/>
          <w:highlight w:val="none"/>
          <w:u w:val="single"/>
        </w:rPr>
        <w:t>个工作日</w:t>
      </w:r>
      <w:r>
        <w:rPr>
          <w:rFonts w:hint="eastAsia" w:ascii="仿宋" w:hAnsi="仿宋" w:eastAsia="仿宋" w:cs="仿宋"/>
          <w:color w:val="auto"/>
          <w:sz w:val="24"/>
          <w:highlight w:val="none"/>
        </w:rPr>
        <w:t>内以书面形式通知对方当事人，并在</w:t>
      </w:r>
      <w:r>
        <w:rPr>
          <w:rFonts w:hint="eastAsia" w:ascii="仿宋" w:hAnsi="仿宋" w:eastAsia="仿宋"/>
          <w:b/>
          <w:i/>
          <w:color w:val="auto"/>
          <w:sz w:val="24"/>
          <w:highlight w:val="none"/>
          <w:u w:val="single"/>
        </w:rPr>
        <w:t>10个工作日</w:t>
      </w:r>
      <w:r>
        <w:rPr>
          <w:rFonts w:hint="eastAsia" w:ascii="仿宋" w:hAnsi="仿宋" w:eastAsia="仿宋" w:cs="仿宋"/>
          <w:color w:val="auto"/>
          <w:sz w:val="24"/>
          <w:highlight w:val="none"/>
        </w:rPr>
        <w:t>内，将有关部门出具的证明文件送达对方当事人。</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15</w:t>
      </w: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履约验收时间：第一次验收时间2024年11月30日后，第二次验收时间2025年5月31日服务期结束后。</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15</w:t>
      </w: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检验和验收标准、程序</w:t>
      </w:r>
    </w:p>
    <w:p>
      <w:pPr>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w:t>
      </w:r>
      <w:r>
        <w:rPr>
          <w:rFonts w:ascii="仿宋" w:hAnsi="仿宋" w:eastAsia="仿宋"/>
          <w:color w:val="auto"/>
          <w:sz w:val="24"/>
          <w:highlight w:val="none"/>
          <w:u w:val="single"/>
        </w:rPr>
        <w:t>2</w:t>
      </w:r>
      <w:r>
        <w:rPr>
          <w:rFonts w:hint="eastAsia" w:ascii="仿宋" w:hAnsi="仿宋" w:eastAsia="仿宋"/>
          <w:color w:val="auto"/>
          <w:sz w:val="24"/>
          <w:highlight w:val="none"/>
          <w:u w:val="single"/>
        </w:rPr>
        <w:t>）严格按照采购合同开展履约验收。甲方委托第三方机构组织验收，成立验收小组（验收小组由5人组成：其中甲方1名，服务对象1名，其余3名由第三方机构从政采云政企区专家库相关专业随机抽取），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w:t>
      </w:r>
      <w:r>
        <w:rPr>
          <w:rFonts w:ascii="仿宋" w:hAnsi="仿宋" w:eastAsia="仿宋"/>
          <w:color w:val="auto"/>
          <w:sz w:val="24"/>
          <w:highlight w:val="none"/>
          <w:u w:val="single"/>
        </w:rPr>
        <w:t>3</w:t>
      </w:r>
      <w:r>
        <w:rPr>
          <w:rFonts w:hint="eastAsia" w:ascii="仿宋" w:hAnsi="仿宋" w:eastAsia="仿宋"/>
          <w:color w:val="auto"/>
          <w:sz w:val="24"/>
          <w:highlight w:val="none"/>
          <w:u w:val="single"/>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w:t>
      </w:r>
      <w:r>
        <w:rPr>
          <w:rFonts w:ascii="仿宋" w:hAnsi="仿宋" w:eastAsia="仿宋"/>
          <w:color w:val="auto"/>
          <w:sz w:val="24"/>
          <w:highlight w:val="none"/>
          <w:u w:val="single"/>
        </w:rPr>
        <w:t>4</w:t>
      </w:r>
      <w:r>
        <w:rPr>
          <w:rFonts w:hint="eastAsia" w:ascii="仿宋" w:hAnsi="仿宋" w:eastAsia="仿宋"/>
          <w:color w:val="auto"/>
          <w:sz w:val="24"/>
          <w:highlight w:val="none"/>
          <w:u w:val="single"/>
        </w:rPr>
        <w:t>）验收产生的费用首次验收费用由甲方承担，如首次验收不合格，后续验收费用由乙方支付。</w:t>
      </w:r>
    </w:p>
    <w:p>
      <w:pPr>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w:t>
      </w:r>
      <w:r>
        <w:rPr>
          <w:rFonts w:ascii="仿宋" w:hAnsi="仿宋" w:eastAsia="仿宋"/>
          <w:color w:val="auto"/>
          <w:sz w:val="24"/>
          <w:highlight w:val="none"/>
          <w:u w:val="single"/>
        </w:rPr>
        <w:t>5</w:t>
      </w:r>
      <w:r>
        <w:rPr>
          <w:rFonts w:hint="eastAsia" w:ascii="仿宋" w:hAnsi="仿宋" w:eastAsia="仿宋"/>
          <w:color w:val="auto"/>
          <w:sz w:val="24"/>
          <w:highlight w:val="none"/>
          <w:u w:val="single"/>
        </w:rPr>
        <w:t>）验收内容及资料要求：</w:t>
      </w:r>
    </w:p>
    <w:p>
      <w:pPr>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80" w:firstLineChars="200"/>
        <w:jc w:val="left"/>
        <w:rPr>
          <w:rFonts w:ascii="仿宋" w:hAnsi="仿宋" w:eastAsia="仿宋"/>
          <w:b/>
          <w:color w:val="auto"/>
          <w:sz w:val="24"/>
          <w:highlight w:val="none"/>
        </w:rPr>
      </w:pPr>
      <w:r>
        <w:rPr>
          <w:rFonts w:ascii="仿宋" w:hAnsi="仿宋" w:eastAsia="仿宋"/>
          <w:color w:val="auto"/>
          <w:sz w:val="24"/>
          <w:highlight w:val="none"/>
          <w:u w:val="single"/>
        </w:rPr>
        <w:t>5</w:t>
      </w:r>
      <w:r>
        <w:rPr>
          <w:rFonts w:hint="eastAsia" w:ascii="仿宋" w:hAnsi="仿宋" w:eastAsia="仿宋"/>
          <w:color w:val="auto"/>
          <w:sz w:val="24"/>
          <w:highlight w:val="none"/>
          <w:u w:val="single"/>
        </w:rPr>
        <w:t>.1验收内容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45"/>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47"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209"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3442"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restar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209" w:type="pct"/>
            <w:vMerge w:val="restart"/>
            <w:noWrap/>
            <w:vAlign w:val="center"/>
          </w:tcPr>
          <w:p>
            <w:pPr>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服务质量 </w:t>
            </w:r>
          </w:p>
        </w:tc>
        <w:tc>
          <w:tcPr>
            <w:tcW w:w="3442" w:type="pct"/>
            <w:noWrap/>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各岗位的保安人员按时到岗，岗位的服务时间遵守采购需求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continue"/>
            <w:noWrap/>
            <w:vAlign w:val="center"/>
          </w:tcPr>
          <w:p>
            <w:pPr>
              <w:widowControl/>
              <w:jc w:val="center"/>
              <w:rPr>
                <w:rFonts w:ascii="仿宋" w:hAnsi="仿宋" w:eastAsia="仿宋" w:cs="仿宋"/>
                <w:bCs/>
                <w:color w:val="auto"/>
                <w:kern w:val="0"/>
                <w:sz w:val="24"/>
                <w:highlight w:val="none"/>
              </w:rPr>
            </w:pPr>
          </w:p>
        </w:tc>
        <w:tc>
          <w:tcPr>
            <w:tcW w:w="1209" w:type="pct"/>
            <w:vMerge w:val="continue"/>
            <w:noWrap/>
            <w:vAlign w:val="center"/>
          </w:tcPr>
          <w:p>
            <w:pPr>
              <w:widowControl/>
              <w:jc w:val="center"/>
              <w:rPr>
                <w:rFonts w:ascii="仿宋" w:hAnsi="仿宋" w:eastAsia="仿宋" w:cs="仿宋"/>
                <w:bCs/>
                <w:color w:val="auto"/>
                <w:kern w:val="0"/>
                <w:sz w:val="24"/>
                <w:highlight w:val="none"/>
              </w:rPr>
            </w:pPr>
          </w:p>
        </w:tc>
        <w:tc>
          <w:tcPr>
            <w:tcW w:w="3442" w:type="pct"/>
            <w:noWrap/>
            <w:vAlign w:val="center"/>
          </w:tcPr>
          <w:p>
            <w:pPr>
              <w:pStyle w:val="859"/>
              <w:widowControl/>
              <w:snapToGrid w:val="0"/>
              <w:ind w:firstLine="0"/>
              <w:rPr>
                <w:rFonts w:ascii="仿宋" w:hAnsi="仿宋" w:eastAsia="仿宋" w:cs="仿宋"/>
                <w:color w:val="auto"/>
                <w:kern w:val="0"/>
                <w:highlight w:val="none"/>
              </w:rPr>
            </w:pPr>
            <w:r>
              <w:rPr>
                <w:rFonts w:hint="eastAsia" w:ascii="仿宋" w:hAnsi="仿宋" w:eastAsia="仿宋" w:cs="仿宋"/>
                <w:color w:val="auto"/>
                <w:kern w:val="0"/>
                <w:highlight w:val="none"/>
              </w:rPr>
              <w:t>门卫安保管理的服务质量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continue"/>
            <w:noWrap/>
            <w:vAlign w:val="center"/>
          </w:tcPr>
          <w:p>
            <w:pPr>
              <w:widowControl/>
              <w:jc w:val="left"/>
              <w:rPr>
                <w:rFonts w:ascii="仿宋" w:hAnsi="仿宋" w:eastAsia="仿宋" w:cs="仿宋"/>
                <w:bCs/>
                <w:color w:val="auto"/>
                <w:kern w:val="0"/>
                <w:sz w:val="24"/>
                <w:highlight w:val="none"/>
              </w:rPr>
            </w:pPr>
          </w:p>
        </w:tc>
        <w:tc>
          <w:tcPr>
            <w:tcW w:w="1209" w:type="pct"/>
            <w:vMerge w:val="continue"/>
            <w:noWrap/>
            <w:vAlign w:val="center"/>
          </w:tcPr>
          <w:p>
            <w:pPr>
              <w:widowControl/>
              <w:jc w:val="center"/>
              <w:rPr>
                <w:rFonts w:ascii="仿宋" w:hAnsi="仿宋" w:eastAsia="仿宋" w:cs="仿宋"/>
                <w:bCs/>
                <w:color w:val="auto"/>
                <w:kern w:val="0"/>
                <w:sz w:val="24"/>
                <w:highlight w:val="none"/>
              </w:rPr>
            </w:pPr>
          </w:p>
        </w:tc>
        <w:tc>
          <w:tcPr>
            <w:tcW w:w="3442" w:type="pct"/>
            <w:noWrap/>
            <w:vAlign w:val="center"/>
          </w:tcPr>
          <w:p>
            <w:pPr>
              <w:widowControl/>
              <w:tabs>
                <w:tab w:val="left" w:pos="710"/>
              </w:tabs>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值勤巡逻的服务质量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continue"/>
            <w:noWrap/>
            <w:vAlign w:val="center"/>
          </w:tcPr>
          <w:p>
            <w:pPr>
              <w:widowControl/>
              <w:jc w:val="left"/>
              <w:rPr>
                <w:rFonts w:ascii="仿宋" w:hAnsi="仿宋" w:eastAsia="仿宋" w:cs="仿宋"/>
                <w:bCs/>
                <w:color w:val="auto"/>
                <w:kern w:val="0"/>
                <w:sz w:val="24"/>
                <w:highlight w:val="none"/>
              </w:rPr>
            </w:pPr>
          </w:p>
        </w:tc>
        <w:tc>
          <w:tcPr>
            <w:tcW w:w="1209" w:type="pct"/>
            <w:vMerge w:val="continue"/>
            <w:noWrap/>
            <w:vAlign w:val="center"/>
          </w:tcPr>
          <w:p>
            <w:pPr>
              <w:widowControl/>
              <w:jc w:val="center"/>
              <w:rPr>
                <w:rFonts w:ascii="仿宋" w:hAnsi="仿宋" w:eastAsia="仿宋" w:cs="仿宋"/>
                <w:bCs/>
                <w:color w:val="auto"/>
                <w:kern w:val="0"/>
                <w:sz w:val="24"/>
                <w:highlight w:val="none"/>
              </w:rPr>
            </w:pPr>
          </w:p>
        </w:tc>
        <w:tc>
          <w:tcPr>
            <w:tcW w:w="3442" w:type="pct"/>
            <w:noWrap/>
            <w:vAlign w:val="center"/>
          </w:tcPr>
          <w:p>
            <w:pPr>
              <w:widowControl/>
              <w:tabs>
                <w:tab w:val="left" w:pos="710"/>
              </w:tabs>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消防设施巡查服务质量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continue"/>
            <w:noWrap/>
            <w:vAlign w:val="center"/>
          </w:tcPr>
          <w:p>
            <w:pPr>
              <w:widowControl/>
              <w:jc w:val="left"/>
              <w:rPr>
                <w:rFonts w:ascii="仿宋" w:hAnsi="仿宋" w:eastAsia="仿宋" w:cs="仿宋"/>
                <w:bCs/>
                <w:color w:val="auto"/>
                <w:kern w:val="0"/>
                <w:sz w:val="24"/>
                <w:highlight w:val="none"/>
              </w:rPr>
            </w:pPr>
          </w:p>
        </w:tc>
        <w:tc>
          <w:tcPr>
            <w:tcW w:w="1209" w:type="pct"/>
            <w:vMerge w:val="continue"/>
            <w:noWrap/>
            <w:vAlign w:val="center"/>
          </w:tcPr>
          <w:p>
            <w:pPr>
              <w:widowControl/>
              <w:jc w:val="center"/>
              <w:rPr>
                <w:rFonts w:ascii="仿宋" w:hAnsi="仿宋" w:eastAsia="仿宋" w:cs="仿宋"/>
                <w:bCs/>
                <w:color w:val="auto"/>
                <w:kern w:val="0"/>
                <w:sz w:val="24"/>
                <w:highlight w:val="none"/>
              </w:rPr>
            </w:pPr>
          </w:p>
        </w:tc>
        <w:tc>
          <w:tcPr>
            <w:tcW w:w="3442" w:type="pct"/>
            <w:noWrap/>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处理应急突发事件的情况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209"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服务进度</w:t>
            </w:r>
          </w:p>
        </w:tc>
        <w:tc>
          <w:tcPr>
            <w:tcW w:w="3442" w:type="pct"/>
            <w:noWrap/>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岗位分工、每日的钉钉考勤记录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restar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1209" w:type="pct"/>
            <w:vMerge w:val="restar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人员、设备</w:t>
            </w:r>
          </w:p>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配备情况</w:t>
            </w:r>
          </w:p>
        </w:tc>
        <w:tc>
          <w:tcPr>
            <w:tcW w:w="3442" w:type="pct"/>
            <w:noWrap/>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保安人员人员配备数量、素质满足甲方要求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continue"/>
            <w:noWrap/>
            <w:vAlign w:val="center"/>
          </w:tcPr>
          <w:p>
            <w:pPr>
              <w:widowControl/>
              <w:jc w:val="left"/>
              <w:rPr>
                <w:rFonts w:ascii="仿宋" w:hAnsi="仿宋" w:eastAsia="仿宋" w:cs="仿宋"/>
                <w:bCs/>
                <w:color w:val="auto"/>
                <w:kern w:val="0"/>
                <w:sz w:val="24"/>
                <w:highlight w:val="none"/>
              </w:rPr>
            </w:pPr>
          </w:p>
        </w:tc>
        <w:tc>
          <w:tcPr>
            <w:tcW w:w="1209" w:type="pct"/>
            <w:vMerge w:val="continue"/>
            <w:noWrap/>
            <w:vAlign w:val="center"/>
          </w:tcPr>
          <w:p>
            <w:pPr>
              <w:widowControl/>
              <w:jc w:val="left"/>
              <w:rPr>
                <w:rFonts w:ascii="仿宋" w:hAnsi="仿宋" w:eastAsia="仿宋" w:cs="仿宋"/>
                <w:bCs/>
                <w:color w:val="auto"/>
                <w:kern w:val="0"/>
                <w:sz w:val="24"/>
                <w:highlight w:val="none"/>
              </w:rPr>
            </w:pPr>
          </w:p>
        </w:tc>
        <w:tc>
          <w:tcPr>
            <w:tcW w:w="3442" w:type="pct"/>
            <w:noWrap/>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装备、服装、通讯设备按承诺配备给安保人员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7" w:type="pct"/>
            <w:vMerge w:val="continue"/>
            <w:noWrap/>
            <w:vAlign w:val="center"/>
          </w:tcPr>
          <w:p>
            <w:pPr>
              <w:widowControl/>
              <w:jc w:val="left"/>
              <w:rPr>
                <w:rFonts w:ascii="仿宋" w:hAnsi="仿宋" w:eastAsia="仿宋" w:cs="仿宋"/>
                <w:bCs/>
                <w:color w:val="auto"/>
                <w:kern w:val="0"/>
                <w:sz w:val="24"/>
                <w:highlight w:val="none"/>
              </w:rPr>
            </w:pPr>
          </w:p>
        </w:tc>
        <w:tc>
          <w:tcPr>
            <w:tcW w:w="1209" w:type="pct"/>
            <w:vMerge w:val="continue"/>
            <w:noWrap/>
            <w:vAlign w:val="center"/>
          </w:tcPr>
          <w:p>
            <w:pPr>
              <w:widowControl/>
              <w:jc w:val="left"/>
              <w:rPr>
                <w:rFonts w:ascii="仿宋" w:hAnsi="仿宋" w:eastAsia="仿宋" w:cs="仿宋"/>
                <w:bCs/>
                <w:color w:val="auto"/>
                <w:kern w:val="0"/>
                <w:sz w:val="24"/>
                <w:highlight w:val="none"/>
              </w:rPr>
            </w:pPr>
          </w:p>
        </w:tc>
        <w:tc>
          <w:tcPr>
            <w:tcW w:w="3442" w:type="pct"/>
            <w:noWrap/>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人员变更满足采购要求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47" w:type="pct"/>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209"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培训服务</w:t>
            </w:r>
          </w:p>
        </w:tc>
        <w:tc>
          <w:tcPr>
            <w:tcW w:w="3442" w:type="pct"/>
            <w:noWrap/>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按投标承诺提供培训记录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7"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209" w:type="pct"/>
            <w:noWrap/>
            <w:vAlign w:val="center"/>
          </w:tcPr>
          <w:p>
            <w:pPr>
              <w:snapToGrid w:val="0"/>
              <w:spacing w:line="276" w:lineRule="auto"/>
              <w:jc w:val="center"/>
              <w:rPr>
                <w:rFonts w:ascii="仿宋" w:hAnsi="仿宋" w:eastAsia="仿宋" w:cs="宋体"/>
                <w:color w:val="auto"/>
                <w:sz w:val="24"/>
                <w:highlight w:val="none"/>
              </w:rPr>
            </w:pPr>
            <w:r>
              <w:rPr>
                <w:rFonts w:ascii="仿宋" w:hAnsi="仿宋" w:eastAsia="仿宋" w:cs="宋体"/>
                <w:color w:val="auto"/>
                <w:sz w:val="24"/>
                <w:highlight w:val="none"/>
              </w:rPr>
              <w:t>日常管理制度落实</w:t>
            </w:r>
          </w:p>
        </w:tc>
        <w:tc>
          <w:tcPr>
            <w:tcW w:w="3442" w:type="pct"/>
            <w:noWrap/>
            <w:vAlign w:val="center"/>
          </w:tcPr>
          <w:p>
            <w:pPr>
              <w:snapToGrid w:val="0"/>
              <w:spacing w:line="276" w:lineRule="auto"/>
              <w:rPr>
                <w:rFonts w:ascii="仿宋" w:hAnsi="仿宋" w:eastAsia="仿宋" w:cs="宋体"/>
                <w:color w:val="auto"/>
                <w:sz w:val="24"/>
                <w:highlight w:val="none"/>
              </w:rPr>
            </w:pPr>
            <w:r>
              <w:rPr>
                <w:rFonts w:hint="eastAsia" w:ascii="仿宋" w:hAnsi="仿宋" w:eastAsia="仿宋" w:cs="仿宋"/>
                <w:color w:val="auto"/>
                <w:kern w:val="0"/>
                <w:sz w:val="24"/>
                <w:highlight w:val="none"/>
              </w:rPr>
              <w:t>遵照承诺的日常管理制度进行项目管理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7"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1209"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应急事件处理</w:t>
            </w:r>
          </w:p>
        </w:tc>
        <w:tc>
          <w:tcPr>
            <w:tcW w:w="3442" w:type="pct"/>
            <w:noWrap/>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按承诺的应急发案处理突发性事件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7" w:type="pct"/>
            <w:noWrap/>
            <w:vAlign w:val="center"/>
          </w:tcPr>
          <w:p>
            <w:pPr>
              <w:widowControl/>
              <w:jc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7</w:t>
            </w:r>
          </w:p>
        </w:tc>
        <w:tc>
          <w:tcPr>
            <w:tcW w:w="1209"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保密要求</w:t>
            </w:r>
          </w:p>
        </w:tc>
        <w:tc>
          <w:tcPr>
            <w:tcW w:w="3442" w:type="pct"/>
            <w:noWrap/>
            <w:vAlign w:val="center"/>
          </w:tcPr>
          <w:p>
            <w:pPr>
              <w:widowControl/>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保密要求满足</w:t>
            </w:r>
            <w:r>
              <w:rPr>
                <w:rFonts w:hint="eastAsia" w:ascii="仿宋" w:hAnsi="仿宋" w:eastAsia="仿宋" w:cs="仿宋"/>
                <w:color w:val="auto"/>
                <w:kern w:val="0"/>
                <w:sz w:val="24"/>
                <w:highlight w:val="none"/>
              </w:rPr>
              <w:t>甲方</w:t>
            </w:r>
            <w:r>
              <w:rPr>
                <w:rFonts w:ascii="仿宋" w:hAnsi="仿宋" w:eastAsia="仿宋" w:cs="仿宋"/>
                <w:color w:val="auto"/>
                <w:kern w:val="0"/>
                <w:sz w:val="24"/>
                <w:highlight w:val="none"/>
              </w:rPr>
              <w:t>保密规定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7"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w:t>
            </w:r>
          </w:p>
        </w:tc>
        <w:tc>
          <w:tcPr>
            <w:tcW w:w="1209"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中小企业要求</w:t>
            </w:r>
          </w:p>
        </w:tc>
        <w:tc>
          <w:tcPr>
            <w:tcW w:w="3442" w:type="pct"/>
            <w:noWrap/>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服务全部由符合政策要求的小微企业承接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7"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w:t>
            </w:r>
          </w:p>
        </w:tc>
        <w:tc>
          <w:tcPr>
            <w:tcW w:w="1209" w:type="pct"/>
            <w:noWrap/>
            <w:vAlign w:val="center"/>
          </w:tcPr>
          <w:p>
            <w:pPr>
              <w:widowControl/>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3442" w:type="pct"/>
            <w:noWrap/>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履行项目采购文件、投标文件、合同条款中涉及的其他承诺的情况。 </w:t>
            </w:r>
          </w:p>
        </w:tc>
      </w:tr>
    </w:tbl>
    <w:p>
      <w:pPr>
        <w:pStyle w:val="33"/>
        <w:snapToGrid w:val="0"/>
        <w:spacing w:line="360" w:lineRule="auto"/>
        <w:ind w:right="0"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验收资料：</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验收资料和文件是项目验收的重要依据，乙方从项目实施开始就应完整地积累和保管，验收时在职能部门的指导、配合下按照甲方有关要求编目建档。</w:t>
      </w:r>
    </w:p>
    <w:p>
      <w:pPr>
        <w:pStyle w:val="33"/>
        <w:snapToGrid w:val="0"/>
        <w:spacing w:line="360" w:lineRule="auto"/>
        <w:ind w:right="0"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验收资料要求包括（不限于）以下内容：</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采购文件；</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采购合同；</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考核表：每月考核表（甲方经办人、审核人、乙方签字盖章）；</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人员清单：项目实施人员明细清单、人员变更审批表（如有）；</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每日人员钉钉考勤记录：需甲方经办人、复核人、乙方签字并盖章；</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保安人员身份证清单、资历证明、保安员上岗证书、退伍证、党员证；</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每月人员社保缴纳清单；</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服装、装备发放清单；</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zh-CN"/>
        </w:rPr>
        <w:t>应急方案、日常管理规章制度、巡逻检查记录；</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培训材料：培训方案、培训人员签到表；</w:t>
      </w:r>
    </w:p>
    <w:p>
      <w:pPr>
        <w:numPr>
          <w:ilvl w:val="0"/>
          <w:numId w:val="3"/>
        </w:numPr>
        <w:tabs>
          <w:tab w:val="left" w:pos="904"/>
        </w:tabs>
        <w:adjustRightInd/>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其他需提供的相关材料：</w:t>
      </w:r>
      <w:r>
        <w:rPr>
          <w:rFonts w:hint="eastAsia" w:ascii="仿宋" w:hAnsi="仿宋" w:eastAsia="仿宋" w:cs="仿宋"/>
          <w:color w:val="auto"/>
          <w:sz w:val="24"/>
          <w:highlight w:val="none"/>
          <w:lang w:val="zh-CN"/>
        </w:rPr>
        <w:t>单位保密协议、个人安全保密承诺书、日常保密教育台账、小微企业证明资料</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2.19本合同正本壹式陆份，具有同等法律效力，甲乙双方各执叁份。</w:t>
      </w:r>
    </w:p>
    <w:p>
      <w:pPr>
        <w:pStyle w:val="3"/>
        <w:ind w:left="0" w:firstLine="482" w:firstLineChars="200"/>
        <w:rPr>
          <w:rFonts w:eastAsia="仿宋"/>
          <w:color w:val="auto"/>
          <w:highlight w:val="none"/>
          <w:lang w:val="en-US"/>
        </w:rPr>
      </w:pPr>
      <w:r>
        <w:rPr>
          <w:rFonts w:hint="eastAsia" w:ascii="仿宋" w:eastAsia="仿宋" w:cs="宋体"/>
          <w:color w:val="auto"/>
          <w:sz w:val="24"/>
          <w:highlight w:val="none"/>
          <w:lang w:val="en-US"/>
        </w:rPr>
        <w:t>3.服务要求</w:t>
      </w:r>
    </w:p>
    <w:p>
      <w:pPr>
        <w:spacing w:line="360" w:lineRule="auto"/>
        <w:ind w:firstLine="482" w:firstLineChars="200"/>
        <w:jc w:val="left"/>
        <w:outlineLvl w:val="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一）各点保安员岗位设置表</w:t>
      </w:r>
    </w:p>
    <w:p>
      <w:pPr>
        <w:spacing w:line="360" w:lineRule="auto"/>
        <w:ind w:firstLine="482" w:firstLineChars="2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乙方须为本项目配备保安员共计68人。</w:t>
      </w:r>
    </w:p>
    <w:tbl>
      <w:tblPr>
        <w:tblStyle w:val="62"/>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99"/>
        <w:gridCol w:w="429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6"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07"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岗位</w:t>
            </w:r>
          </w:p>
        </w:tc>
        <w:tc>
          <w:tcPr>
            <w:tcW w:w="2291" w:type="pct"/>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工作内容及时间</w:t>
            </w:r>
          </w:p>
        </w:tc>
        <w:tc>
          <w:tcPr>
            <w:tcW w:w="1394" w:type="pct"/>
            <w:noWrap/>
            <w:vAlign w:val="center"/>
          </w:tcPr>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907"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河坊街9人</w:t>
            </w:r>
          </w:p>
        </w:tc>
        <w:tc>
          <w:tcPr>
            <w:tcW w:w="2291" w:type="pct"/>
            <w:vAlign w:val="center"/>
          </w:tcPr>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1、正大门24小时值勤，分三班</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2、大厅秩序维护（含机动）</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8:30时至17:00时</w:t>
            </w:r>
          </w:p>
        </w:tc>
        <w:tc>
          <w:tcPr>
            <w:tcW w:w="1394" w:type="pct"/>
            <w:noWrap/>
            <w:vAlign w:val="center"/>
          </w:tcPr>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1、乙方配齐保安员值勤装备</w:t>
            </w:r>
          </w:p>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2、甲方提供备勤室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907"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龙舌嘴老警校7人</w:t>
            </w:r>
          </w:p>
        </w:tc>
        <w:tc>
          <w:tcPr>
            <w:tcW w:w="2291" w:type="pct"/>
            <w:vAlign w:val="center"/>
          </w:tcPr>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1、正大门24小时值勤，分三班</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2、安教学校秩序维护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8:30时至17:00时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3、大门口秩序维护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8:30时至17:00时</w:t>
            </w:r>
          </w:p>
        </w:tc>
        <w:tc>
          <w:tcPr>
            <w:tcW w:w="1394" w:type="pct"/>
            <w:noWrap/>
            <w:vAlign w:val="center"/>
          </w:tcPr>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1、乙方配齐保安员值勤装备</w:t>
            </w:r>
          </w:p>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2、甲方提供备勤室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907" w:type="pct"/>
            <w:noWrap/>
            <w:vAlign w:val="center"/>
          </w:tcPr>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场口考场42人</w:t>
            </w:r>
          </w:p>
        </w:tc>
        <w:tc>
          <w:tcPr>
            <w:tcW w:w="2291" w:type="pct"/>
            <w:vAlign w:val="center"/>
          </w:tcPr>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1、正大门24小时值勤，分三班</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2、科目二廊子下秩序维护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上午6:30时至16:30时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3、科目三大厅秩序维护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6:30时至16:30时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4、科目三起点考试、租车秩序维护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6:30时至22:30时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5、西前门值勤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6:30时至14:30时至22:30时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6、西前门门禁值勤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6:30时至14:30时至22:30时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7、西中门值勤（含夜间巡逻）24小时值勤，分三班</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8、西北门值勤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6:30时至22:30时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9、科目二A区训练秩序维护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6:30时至19:30时</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10、机动岗</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6:30时至22:30时</w:t>
            </w:r>
          </w:p>
        </w:tc>
        <w:tc>
          <w:tcPr>
            <w:tcW w:w="1394" w:type="pct"/>
            <w:noWrap/>
            <w:vAlign w:val="center"/>
          </w:tcPr>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1、乙方配齐保安员值勤装备</w:t>
            </w:r>
          </w:p>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2、甲方提供备勤室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907" w:type="pct"/>
            <w:noWrap/>
            <w:vAlign w:val="center"/>
          </w:tcPr>
          <w:p>
            <w:pPr>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萧山考场10人</w:t>
            </w:r>
          </w:p>
        </w:tc>
        <w:tc>
          <w:tcPr>
            <w:tcW w:w="2291" w:type="pct"/>
            <w:vAlign w:val="center"/>
          </w:tcPr>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1、门岗</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正大门门卫执勤 24小时，分三班</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2、巡逻岗</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考训场内安全巡查</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上午6:00 －20:.00</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3、秩序维护岗</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候考大厅秩序维护</w:t>
            </w:r>
          </w:p>
          <w:p>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上午7：00－16: 00</w:t>
            </w:r>
          </w:p>
        </w:tc>
        <w:tc>
          <w:tcPr>
            <w:tcW w:w="1394" w:type="pct"/>
            <w:noWrap/>
            <w:vAlign w:val="center"/>
          </w:tcPr>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1、乙方配齐保安员值勤装备</w:t>
            </w:r>
          </w:p>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2、甲方提供备勤室</w:t>
            </w:r>
          </w:p>
        </w:tc>
      </w:tr>
    </w:tbl>
    <w:p>
      <w:pPr>
        <w:spacing w:beforeLines="0" w:line="360" w:lineRule="auto"/>
        <w:ind w:firstLine="482" w:firstLineChars="200"/>
        <w:jc w:val="left"/>
        <w:outlineLvl w:val="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注：以上人员岗位的人数及排班由乙方自行考虑编制，人员配置须保证值勤期间岗位工作达到甲方要求。</w:t>
      </w:r>
    </w:p>
    <w:p>
      <w:pPr>
        <w:spacing w:beforeLines="0" w:line="360" w:lineRule="auto"/>
        <w:ind w:firstLine="482" w:firstLineChars="200"/>
        <w:jc w:val="left"/>
        <w:outlineLvl w:val="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二）安保服务工作职责要求：</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乙方须认真履行职责，严格按照服务质量保证体系做好服务工作，确保在岗在位，尽心尽职，保证</w:t>
      </w:r>
      <w:r>
        <w:rPr>
          <w:rFonts w:hint="eastAsia" w:ascii="仿宋" w:hAnsi="仿宋" w:eastAsia="仿宋" w:cs="仿宋"/>
          <w:color w:val="auto"/>
          <w:sz w:val="24"/>
          <w:highlight w:val="none"/>
        </w:rPr>
        <w:t>场口考场、河坊街及龙舌嘴老警校等服务点安保工作</w:t>
      </w:r>
      <w:r>
        <w:rPr>
          <w:rFonts w:hint="eastAsia" w:ascii="仿宋" w:hAnsi="仿宋" w:eastAsia="仿宋" w:cs="仿宋"/>
          <w:color w:val="auto"/>
          <w:sz w:val="24"/>
          <w:highlight w:val="none"/>
          <w:lang w:val="zh-CN"/>
        </w:rPr>
        <w:t>正常运转。</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1、岗位要求</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1.1门卫值勤岗：</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严格执行门卫执勤制度，做好车辆、人员进出的登记；</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1.2秩序维护岗：</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做好管辖区域内容的巡逻，巡逻的频次为6:00-24:00每两小时巡查一次，24:00-6:00每三小时巡查一次，加强重点部位检查（包括主通道，应急通道，主大厅，主回廊，消监控室，配电房，水泵房，考区，车库区等），增强防范意识，确保管辖区域安全。</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1.3机动岗：</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负责补充门卫值勤岗、秩序维护岗，确保以上岗位投入人员力量满足甲方要求。</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2、其他要求：</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2.1自觉遵守上下班制度，做到不迟到早退，按时交接班，严禁离岗、脱岗、睡觉等行为。</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2.2执勤巡逻期间规范着装，能正确使用配备的装备。遇到突发事件、火灾、爆炸等事故，采取合理处理措施防止事态扩大，同时做好现场保护工作。</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2.3熟悉甲方单位内部环境，重点部位。了解消防器材设备的性能和使用方法。</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消防设施巡查要求：</w:t>
      </w:r>
    </w:p>
    <w:p>
      <w:pPr>
        <w:numPr>
          <w:ilvl w:val="255"/>
          <w:numId w:val="0"/>
        </w:num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（1）每一个月巡查一次。</w:t>
      </w:r>
    </w:p>
    <w:p>
      <w:pPr>
        <w:numPr>
          <w:ilvl w:val="255"/>
          <w:numId w:val="0"/>
        </w:num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（2）检查各灭火器气压是不是正常，有没有过期。</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（3）检查消防栓是否正常。</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（4）检查消防水带有没有老化破损。</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2.4严格遵守甲方的各项规章制度。</w:t>
      </w:r>
    </w:p>
    <w:p>
      <w:pPr>
        <w:spacing w:beforeLines="0" w:line="360" w:lineRule="auto"/>
        <w:ind w:firstLine="482" w:firstLineChars="200"/>
        <w:jc w:val="left"/>
        <w:outlineLvl w:val="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三）安保服务人员标准要求：</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1、项目负责人</w:t>
      </w:r>
    </w:p>
    <w:p>
      <w:pPr>
        <w:snapToGrid w:val="0"/>
        <w:spacing w:beforeLines="0"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1.1乙方必须指定项目负责人1名，</w:t>
      </w:r>
      <w:r>
        <w:rPr>
          <w:rFonts w:hint="eastAsia" w:ascii="仿宋" w:hAnsi="仿宋" w:eastAsia="仿宋" w:cs="仿宋"/>
          <w:b/>
          <w:color w:val="auto"/>
          <w:sz w:val="24"/>
          <w:highlight w:val="none"/>
        </w:rPr>
        <w:t>▲承诺持有保安员上岗资格证书</w:t>
      </w:r>
      <w:r>
        <w:rPr>
          <w:rFonts w:hint="eastAsia" w:ascii="仿宋" w:hAnsi="仿宋" w:eastAsia="仿宋" w:cs="仿宋"/>
          <w:color w:val="auto"/>
          <w:sz w:val="24"/>
          <w:highlight w:val="none"/>
        </w:rPr>
        <w:t>。</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1.2具有保安服务管理岗位工作经验（需提供业绩合同或业主证明材料，以上证明材料至少有一项中须体现项目负责人姓名）；</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1.3主要负责项目整体实施管理、保安人员管理，及与采购人的沟通协调等工作。</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2、保安服务人员要求：</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2.1拥护中华人民共和国宪法、法律，具有良好的品行，无不良嗜好，未曾因犯罪受过刑事处罚的。</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2.2具有履行职责的身体条件，无重大疾病、传染病、无吸毒、无纹身。</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2.3具有初中及以上文化程度，有良好沟通语言表达能力。</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2.4退伍军人、共产党员优先。</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
          <w:color w:val="auto"/>
          <w:sz w:val="24"/>
          <w:highlight w:val="none"/>
        </w:rPr>
        <w:t>▲承诺所派人员持有保安员上岗资格证书。</w:t>
      </w:r>
    </w:p>
    <w:p>
      <w:pPr>
        <w:snapToGrid w:val="0"/>
        <w:spacing w:before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2.6具有保安服务管理岗位工作经验（需提供业绩合同或业主证明材料，以上证明材料至少有一项中须体现人员姓名）。</w:t>
      </w:r>
    </w:p>
    <w:p>
      <w:pPr>
        <w:spacing w:beforeLines="0" w:line="360" w:lineRule="auto"/>
        <w:ind w:firstLine="482" w:firstLineChars="200"/>
        <w:jc w:val="left"/>
        <w:outlineLvl w:val="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四）其他要求：</w:t>
      </w:r>
    </w:p>
    <w:p>
      <w:pPr>
        <w:spacing w:before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、乙方</w:t>
      </w:r>
      <w:r>
        <w:rPr>
          <w:rFonts w:hint="eastAsia" w:ascii="仿宋" w:hAnsi="仿宋" w:eastAsia="仿宋" w:cs="仿宋"/>
          <w:color w:val="auto"/>
          <w:kern w:val="0"/>
          <w:sz w:val="24"/>
          <w:highlight w:val="none"/>
        </w:rPr>
        <w:t>需建立针对本项目完善的日常管理规章制度（包括保安人员岗位职责、交接班制度、档案管理制度、装备管理制度等）</w:t>
      </w:r>
      <w:r>
        <w:rPr>
          <w:rFonts w:hint="eastAsia" w:ascii="仿宋" w:hAnsi="仿宋" w:eastAsia="仿宋" w:cs="仿宋"/>
          <w:color w:val="auto"/>
          <w:sz w:val="24"/>
          <w:highlight w:val="none"/>
          <w:lang w:val="zh-CN"/>
        </w:rPr>
        <w:t>，以保证整个保安服务系统安全、高效、有序和有计划的运转。</w:t>
      </w:r>
    </w:p>
    <w:p>
      <w:pPr>
        <w:snapToGrid w:val="0"/>
        <w:spacing w:before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、乙方建立有岗前培训机制，保安人员需</w:t>
      </w:r>
      <w:r>
        <w:rPr>
          <w:rFonts w:ascii="仿宋" w:hAnsi="仿宋" w:eastAsia="仿宋" w:cs="仿宋"/>
          <w:color w:val="auto"/>
          <w:sz w:val="24"/>
          <w:highlight w:val="none"/>
          <w:lang w:val="zh-CN"/>
        </w:rPr>
        <w:t>100%经过岗前培训合格才上岗。</w:t>
      </w:r>
      <w:r>
        <w:rPr>
          <w:rFonts w:hint="eastAsia" w:ascii="仿宋" w:hAnsi="仿宋" w:eastAsia="仿宋" w:cs="仿宋"/>
          <w:color w:val="auto"/>
          <w:sz w:val="24"/>
          <w:highlight w:val="none"/>
          <w:lang w:val="zh-CN"/>
        </w:rPr>
        <w:t>培训时间不少于一天，上午</w:t>
      </w:r>
      <w:r>
        <w:rPr>
          <w:rFonts w:ascii="仿宋" w:hAnsi="仿宋" w:eastAsia="仿宋" w:cs="仿宋"/>
          <w:color w:val="auto"/>
          <w:sz w:val="24"/>
          <w:highlight w:val="none"/>
          <w:lang w:val="zh-CN"/>
        </w:rPr>
        <w:t>2个课时，下午2个课时，每课时1小时。</w:t>
      </w:r>
    </w:p>
    <w:p>
      <w:pPr>
        <w:snapToGrid w:val="0"/>
        <w:spacing w:before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、如有保安人员离职，乙方应提前一周通知甲方，并将补充保安人员信息资料一同提供给甲方，</w:t>
      </w:r>
      <w:r>
        <w:rPr>
          <w:rFonts w:hint="eastAsia" w:ascii="仿宋" w:hAnsi="仿宋" w:eastAsia="仿宋" w:cs="宋体"/>
          <w:color w:val="auto"/>
          <w:sz w:val="24"/>
          <w:highlight w:val="none"/>
        </w:rPr>
        <w:t>需甲方经办人、审核人对服务人员变更进行审批，审批通过后方可更换，更换人员资历不得低于投标时人员资历。</w:t>
      </w:r>
      <w:r>
        <w:rPr>
          <w:rFonts w:hint="eastAsia" w:ascii="仿宋" w:hAnsi="仿宋" w:eastAsia="仿宋" w:cs="仿宋"/>
          <w:color w:val="auto"/>
          <w:sz w:val="24"/>
          <w:highlight w:val="none"/>
          <w:lang w:val="zh-CN"/>
        </w:rPr>
        <w:t>如有保安人员缺位，乙方应在接到甲方通知后</w:t>
      </w:r>
      <w:r>
        <w:rPr>
          <w:rFonts w:ascii="仿宋" w:hAnsi="仿宋" w:eastAsia="仿宋" w:cs="仿宋"/>
          <w:color w:val="auto"/>
          <w:sz w:val="24"/>
          <w:highlight w:val="none"/>
          <w:lang w:val="zh-CN"/>
        </w:rPr>
        <w:t>24小时内响应，并在48小时内保证人员到位，且达到甲方要求为止。</w:t>
      </w:r>
    </w:p>
    <w:p>
      <w:pPr>
        <w:snapToGrid w:val="0"/>
        <w:spacing w:before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、乙方有责任配合甲方接受上级领导部门的监督、检查；</w:t>
      </w:r>
    </w:p>
    <w:p>
      <w:pPr>
        <w:snapToGrid w:val="0"/>
        <w:spacing w:before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、乙方配置项目相关人员的装备，要求如下：</w:t>
      </w:r>
    </w:p>
    <w:p>
      <w:pPr>
        <w:snapToGrid w:val="0"/>
        <w:spacing w:before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val="zh-CN"/>
        </w:rPr>
        <w:t>服装标准：配备春秋装、夏装、冬装各两套，冬大衣、白手套、皮鞋、每人各一套。服装款式需经甲方确认，才可使用。上岗前统一服装，佩戴规范。(乙方需提供全新服装并计入合同总价。)</w:t>
      </w:r>
    </w:p>
    <w:p>
      <w:pPr>
        <w:snapToGrid w:val="0"/>
        <w:spacing w:before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zh-CN"/>
        </w:rPr>
        <w:t>装备标准：每岗配备对讲机，每人配备强光手电、辣椒水、武装带、伸缩警棍各1件，如发生突发事件能及时使用。(乙方需提供全新装备并计入合同总价。)</w:t>
      </w:r>
    </w:p>
    <w:p>
      <w:pPr>
        <w:spacing w:beforeLines="0"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highlight w:val="none"/>
        </w:rPr>
        <w:t>6、乙方应针对本项目建立突发性事件的应急方案，方案内容应包括自然灾害、突发事件（火灾、爆炸等）、临时任务等的运行服务保障应急预案及对可能遇到的问题采用相应的应对措施。</w:t>
      </w:r>
    </w:p>
    <w:p>
      <w:pPr>
        <w:spacing w:before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7、保密要求：</w:t>
      </w:r>
    </w:p>
    <w:p>
      <w:pPr>
        <w:spacing w:beforeLines="0" w:line="360" w:lineRule="auto"/>
        <w:ind w:firstLine="482" w:firstLineChars="200"/>
        <w:jc w:val="left"/>
        <w:outlineLvl w:val="2"/>
        <w:rPr>
          <w:rFonts w:ascii="仿宋" w:hAnsi="仿宋" w:eastAsia="仿宋" w:cs="仿宋"/>
          <w:b/>
          <w:color w:val="auto"/>
          <w:sz w:val="24"/>
          <w:highlight w:val="none"/>
          <w:u w:val="single"/>
        </w:rPr>
      </w:pPr>
      <w:r>
        <w:rPr>
          <w:rFonts w:ascii="仿宋" w:hAnsi="仿宋" w:eastAsia="仿宋" w:cs="仿宋"/>
          <w:b/>
          <w:color w:val="auto"/>
          <w:sz w:val="24"/>
          <w:highlight w:val="none"/>
          <w:u w:val="single"/>
        </w:rPr>
        <w:t>①</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需与</w:t>
      </w:r>
      <w:r>
        <w:rPr>
          <w:rFonts w:hint="eastAsia" w:ascii="仿宋" w:hAnsi="仿宋" w:eastAsia="仿宋" w:cs="仿宋"/>
          <w:b/>
          <w:color w:val="auto"/>
          <w:sz w:val="24"/>
          <w:highlight w:val="none"/>
          <w:u w:val="single"/>
        </w:rPr>
        <w:t>甲方</w:t>
      </w:r>
      <w:r>
        <w:rPr>
          <w:rFonts w:ascii="仿宋" w:hAnsi="仿宋" w:eastAsia="仿宋" w:cs="仿宋"/>
          <w:b/>
          <w:color w:val="auto"/>
          <w:sz w:val="24"/>
          <w:highlight w:val="none"/>
          <w:u w:val="single"/>
        </w:rPr>
        <w:t>签订保密协议，采取安全预防措施，</w:t>
      </w:r>
      <w:r>
        <w:rPr>
          <w:rFonts w:hint="eastAsia" w:ascii="仿宋" w:hAnsi="仿宋" w:eastAsia="仿宋" w:cs="仿宋"/>
          <w:b/>
          <w:color w:val="auto"/>
          <w:sz w:val="24"/>
          <w:highlight w:val="none"/>
          <w:u w:val="single"/>
        </w:rPr>
        <w:t>确保不</w:t>
      </w:r>
      <w:r>
        <w:rPr>
          <w:rFonts w:ascii="仿宋" w:hAnsi="仿宋" w:eastAsia="仿宋" w:cs="仿宋"/>
          <w:b/>
          <w:color w:val="auto"/>
          <w:sz w:val="24"/>
          <w:highlight w:val="none"/>
          <w:u w:val="single"/>
        </w:rPr>
        <w:t>将掌握的任何有关</w:t>
      </w:r>
      <w:r>
        <w:rPr>
          <w:rFonts w:hint="eastAsia" w:ascii="仿宋" w:hAnsi="仿宋" w:eastAsia="仿宋" w:cs="仿宋"/>
          <w:b/>
          <w:color w:val="auto"/>
          <w:sz w:val="24"/>
          <w:highlight w:val="none"/>
          <w:u w:val="single"/>
        </w:rPr>
        <w:t>甲方</w:t>
      </w:r>
      <w:r>
        <w:rPr>
          <w:rFonts w:ascii="仿宋" w:hAnsi="仿宋" w:eastAsia="仿宋" w:cs="仿宋"/>
          <w:b/>
          <w:color w:val="auto"/>
          <w:sz w:val="24"/>
          <w:highlight w:val="none"/>
          <w:u w:val="single"/>
        </w:rPr>
        <w:t>信息透露给任何未经授权的人等（包括但不限于合同服务期内），如发生泄密责任，</w:t>
      </w:r>
      <w:r>
        <w:rPr>
          <w:rFonts w:hint="eastAsia" w:ascii="仿宋" w:hAnsi="仿宋" w:eastAsia="仿宋" w:cs="仿宋"/>
          <w:b/>
          <w:color w:val="auto"/>
          <w:sz w:val="24"/>
          <w:highlight w:val="none"/>
          <w:u w:val="single"/>
        </w:rPr>
        <w:t>甲方</w:t>
      </w:r>
      <w:r>
        <w:rPr>
          <w:rFonts w:ascii="仿宋" w:hAnsi="仿宋" w:eastAsia="仿宋" w:cs="仿宋"/>
          <w:b/>
          <w:color w:val="auto"/>
          <w:sz w:val="24"/>
          <w:highlight w:val="none"/>
          <w:u w:val="single"/>
        </w:rPr>
        <w:t>将追究</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一切法律责任。</w:t>
      </w:r>
    </w:p>
    <w:p>
      <w:pPr>
        <w:spacing w:beforeLines="0" w:line="360" w:lineRule="auto"/>
        <w:ind w:firstLine="482" w:firstLineChars="200"/>
        <w:jc w:val="left"/>
        <w:outlineLvl w:val="2"/>
        <w:rPr>
          <w:rFonts w:ascii="仿宋" w:hAnsi="仿宋" w:eastAsia="仿宋" w:cs="仿宋"/>
          <w:b/>
          <w:color w:val="auto"/>
          <w:sz w:val="24"/>
          <w:highlight w:val="none"/>
          <w:u w:val="single"/>
        </w:rPr>
      </w:pPr>
      <w:r>
        <w:rPr>
          <w:rFonts w:ascii="仿宋" w:hAnsi="仿宋" w:eastAsia="仿宋" w:cs="仿宋"/>
          <w:b/>
          <w:color w:val="auto"/>
          <w:sz w:val="24"/>
          <w:highlight w:val="none"/>
          <w:u w:val="single"/>
        </w:rPr>
        <w:t>②</w:t>
      </w:r>
      <w:r>
        <w:rPr>
          <w:rFonts w:hint="eastAsia" w:ascii="仿宋" w:hAnsi="仿宋" w:eastAsia="仿宋" w:cs="仿宋"/>
          <w:b/>
          <w:color w:val="auto"/>
          <w:sz w:val="24"/>
          <w:highlight w:val="none"/>
          <w:u w:val="single"/>
        </w:rPr>
        <w:t>甲方</w:t>
      </w:r>
      <w:r>
        <w:rPr>
          <w:rFonts w:ascii="仿宋" w:hAnsi="仿宋" w:eastAsia="仿宋" w:cs="仿宋"/>
          <w:b/>
          <w:color w:val="auto"/>
          <w:sz w:val="24"/>
          <w:highlight w:val="none"/>
          <w:u w:val="single"/>
        </w:rPr>
        <w:t>对</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及工作人员开展常态化安全保密教育，组织签订安全保密承诺书，明确具体安全管理内容、安全保密义务和责任；</w:t>
      </w:r>
    </w:p>
    <w:p>
      <w:pPr>
        <w:spacing w:beforeLines="0" w:line="360" w:lineRule="auto"/>
        <w:ind w:firstLine="482" w:firstLineChars="200"/>
        <w:jc w:val="left"/>
        <w:outlineLvl w:val="2"/>
        <w:rPr>
          <w:rFonts w:ascii="仿宋" w:hAnsi="仿宋" w:eastAsia="仿宋" w:cs="仿宋"/>
          <w:b/>
          <w:color w:val="auto"/>
          <w:sz w:val="24"/>
          <w:highlight w:val="none"/>
          <w:u w:val="single"/>
        </w:rPr>
      </w:pPr>
      <w:r>
        <w:rPr>
          <w:rFonts w:ascii="仿宋" w:hAnsi="仿宋" w:eastAsia="仿宋" w:cs="仿宋"/>
          <w:b/>
          <w:color w:val="auto"/>
          <w:sz w:val="24"/>
          <w:highlight w:val="none"/>
          <w:u w:val="single"/>
        </w:rPr>
        <w:t>③</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及工作人员违反安全管理要求，构成违法犯罪的，</w:t>
      </w:r>
      <w:r>
        <w:rPr>
          <w:rFonts w:hint="eastAsia" w:ascii="仿宋" w:hAnsi="仿宋" w:eastAsia="仿宋" w:cs="仿宋"/>
          <w:b/>
          <w:color w:val="auto"/>
          <w:sz w:val="24"/>
          <w:highlight w:val="none"/>
          <w:u w:val="single"/>
        </w:rPr>
        <w:t>甲方</w:t>
      </w:r>
      <w:r>
        <w:rPr>
          <w:rFonts w:ascii="仿宋" w:hAnsi="仿宋" w:eastAsia="仿宋" w:cs="仿宋"/>
          <w:b/>
          <w:color w:val="auto"/>
          <w:sz w:val="24"/>
          <w:highlight w:val="none"/>
          <w:u w:val="single"/>
        </w:rPr>
        <w:t>将及时报送本级政府采购和市场监督管理部门，提请列入政府采购严重违法失信行为记录名单、市场监督管理严重失信名单，并追究相关责任。</w:t>
      </w:r>
    </w:p>
    <w:p>
      <w:pPr>
        <w:spacing w:beforeLines="0" w:line="360" w:lineRule="auto"/>
        <w:ind w:firstLine="482" w:firstLineChars="200"/>
        <w:jc w:val="left"/>
        <w:outlineLvl w:val="2"/>
        <w:rPr>
          <w:rFonts w:ascii="仿宋" w:hAnsi="仿宋" w:eastAsia="仿宋" w:cs="仿宋"/>
          <w:b/>
          <w:color w:val="auto"/>
          <w:sz w:val="24"/>
          <w:highlight w:val="none"/>
          <w:u w:val="single"/>
        </w:rPr>
      </w:pPr>
      <w:r>
        <w:rPr>
          <w:rFonts w:ascii="仿宋" w:hAnsi="仿宋" w:eastAsia="仿宋" w:cs="仿宋"/>
          <w:b/>
          <w:color w:val="auto"/>
          <w:sz w:val="24"/>
          <w:highlight w:val="none"/>
          <w:u w:val="single"/>
        </w:rPr>
        <w:t>④</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须严格按照</w:t>
      </w:r>
      <w:r>
        <w:rPr>
          <w:rFonts w:hint="eastAsia" w:ascii="仿宋" w:hAnsi="仿宋" w:eastAsia="仿宋" w:cs="仿宋"/>
          <w:b/>
          <w:color w:val="auto"/>
          <w:sz w:val="24"/>
          <w:highlight w:val="none"/>
          <w:u w:val="single"/>
        </w:rPr>
        <w:t>甲方</w:t>
      </w:r>
      <w:r>
        <w:rPr>
          <w:rFonts w:ascii="仿宋" w:hAnsi="仿宋" w:eastAsia="仿宋" w:cs="仿宋"/>
          <w:b/>
          <w:color w:val="auto"/>
          <w:sz w:val="24"/>
          <w:highlight w:val="none"/>
          <w:u w:val="single"/>
        </w:rPr>
        <w:t>规定使用、存储、处理文档资料和数据。合同终止时，应当交还全部资料和数据。</w:t>
      </w:r>
    </w:p>
    <w:p>
      <w:pPr>
        <w:spacing w:beforeLines="0" w:line="360" w:lineRule="auto"/>
        <w:ind w:firstLine="482" w:firstLineChars="200"/>
        <w:jc w:val="left"/>
        <w:outlineLvl w:val="2"/>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8、乙方</w:t>
      </w:r>
      <w:r>
        <w:rPr>
          <w:rFonts w:ascii="仿宋" w:hAnsi="仿宋" w:eastAsia="仿宋" w:cs="仿宋"/>
          <w:b/>
          <w:color w:val="auto"/>
          <w:sz w:val="24"/>
          <w:highlight w:val="none"/>
          <w:u w:val="single"/>
        </w:rPr>
        <w:t>所有人员的事故和</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或</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派遣人员工作过错造成的安全管理事故，</w:t>
      </w:r>
      <w:r>
        <w:rPr>
          <w:rFonts w:hint="eastAsia" w:ascii="仿宋" w:hAnsi="仿宋" w:eastAsia="仿宋" w:cs="仿宋"/>
          <w:b/>
          <w:color w:val="auto"/>
          <w:sz w:val="24"/>
          <w:highlight w:val="none"/>
          <w:u w:val="single"/>
        </w:rPr>
        <w:t>乙方</w:t>
      </w:r>
      <w:r>
        <w:rPr>
          <w:rFonts w:ascii="仿宋" w:hAnsi="仿宋" w:eastAsia="仿宋" w:cs="仿宋"/>
          <w:b/>
          <w:color w:val="auto"/>
          <w:sz w:val="24"/>
          <w:highlight w:val="none"/>
          <w:u w:val="single"/>
        </w:rPr>
        <w:t>自行负全部责任及相关费用。</w:t>
      </w:r>
    </w:p>
    <w:p>
      <w:pPr>
        <w:spacing w:beforeLines="0" w:line="360" w:lineRule="auto"/>
        <w:ind w:firstLine="482" w:firstLineChars="200"/>
        <w:jc w:val="left"/>
        <w:outlineLvl w:val="2"/>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9、乙方投入的人员不能与其承接的项目重复兼任,一经发现，将提请财政以提供虚假资料予以废标，并列入黑名单，没收全部履约保证金，并承担就由此给甲方造成的损失。</w:t>
      </w:r>
    </w:p>
    <w:p>
      <w:pPr>
        <w:snapToGrid w:val="0"/>
        <w:spacing w:before="0" w:beforeLines="0"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附件一：每月考核表</w:t>
      </w:r>
    </w:p>
    <w:p>
      <w:pPr>
        <w:snapToGrid w:val="0"/>
        <w:spacing w:beforeLines="0"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乙方履行对服务全流程服务内容及其相关的服务项目，甲方负责乙方的管理指导、验收考核等职责，督促其履行合同。</w:t>
      </w:r>
    </w:p>
    <w:p>
      <w:pPr>
        <w:snapToGrid w:val="0"/>
        <w:spacing w:beforeLines="0"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考核以百分制的方式进行，时间为合同期每月进行考核，甲方按月对乙方进行考核，考核分值高于90分（含90分）视为合格，90分以下视为不合格。每扣除1分处以100元违约金；如乙方经甲方考核连续两次均为不合格,则甲方有权无条件终止合同,并没收乙方全部履约保证金。如给甲方造成损失的有权向乙方提出索赔。</w:t>
      </w:r>
      <w:r>
        <w:rPr>
          <w:rFonts w:hint="eastAsia" w:ascii="仿宋" w:hAnsi="仿宋" w:eastAsia="仿宋" w:cs="仿宋"/>
          <w:color w:val="auto"/>
          <w:sz w:val="24"/>
          <w:szCs w:val="21"/>
          <w:highlight w:val="none"/>
          <w:u w:val="single"/>
          <w:lang w:val="zh-CN"/>
        </w:rPr>
        <w:t>如考核周期内重复出现相同扣分情形，累计计算扣除分值。</w:t>
      </w:r>
    </w:p>
    <w:p>
      <w:pPr>
        <w:spacing w:before="120" w:beforeLines="50"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每月</w:t>
      </w:r>
      <w:r>
        <w:rPr>
          <w:rFonts w:ascii="仿宋" w:hAnsi="仿宋" w:eastAsia="仿宋" w:cs="宋体"/>
          <w:color w:val="auto"/>
          <w:sz w:val="24"/>
          <w:highlight w:val="none"/>
        </w:rPr>
        <w:t>考核表</w:t>
      </w:r>
      <w:r>
        <w:rPr>
          <w:rFonts w:hint="eastAsia" w:ascii="仿宋" w:hAnsi="仿宋" w:eastAsia="仿宋" w:cs="宋体"/>
          <w:color w:val="auto"/>
          <w:sz w:val="24"/>
          <w:highlight w:val="none"/>
        </w:rPr>
        <w:t>（2024年  月）</w:t>
      </w:r>
    </w:p>
    <w:tbl>
      <w:tblPr>
        <w:tblStyle w:val="62"/>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3969"/>
        <w:gridCol w:w="142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2" w:type="dxa"/>
            <w:gridSpan w:val="2"/>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乙方</w:t>
            </w:r>
          </w:p>
        </w:tc>
        <w:tc>
          <w:tcPr>
            <w:tcW w:w="6343" w:type="dxa"/>
            <w:gridSpan w:val="3"/>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ascii="仿宋" w:hAnsi="仿宋" w:eastAsia="仿宋" w:cs="宋体"/>
                <w:color w:val="auto"/>
                <w:sz w:val="24"/>
                <w:highlight w:val="none"/>
              </w:rPr>
              <w:t>序号</w:t>
            </w:r>
          </w:p>
        </w:tc>
        <w:tc>
          <w:tcPr>
            <w:tcW w:w="5811" w:type="dxa"/>
            <w:gridSpan w:val="2"/>
            <w:noWrap/>
            <w:vAlign w:val="center"/>
          </w:tcPr>
          <w:p>
            <w:pPr>
              <w:spacing w:before="120" w:beforeLines="50"/>
              <w:jc w:val="center"/>
              <w:outlineLvl w:val="3"/>
              <w:rPr>
                <w:rFonts w:ascii="仿宋" w:hAnsi="仿宋" w:eastAsia="仿宋" w:cs="宋体"/>
                <w:color w:val="auto"/>
                <w:sz w:val="24"/>
                <w:highlight w:val="none"/>
              </w:rPr>
            </w:pPr>
            <w:r>
              <w:rPr>
                <w:rFonts w:ascii="仿宋" w:hAnsi="仿宋" w:eastAsia="仿宋" w:cs="宋体"/>
                <w:color w:val="auto"/>
                <w:sz w:val="24"/>
                <w:highlight w:val="none"/>
              </w:rPr>
              <w:t>考核内容</w:t>
            </w:r>
          </w:p>
        </w:tc>
        <w:tc>
          <w:tcPr>
            <w:tcW w:w="1422" w:type="dxa"/>
            <w:noWrap/>
            <w:vAlign w:val="center"/>
          </w:tcPr>
          <w:p>
            <w:pPr>
              <w:spacing w:before="120" w:beforeLines="50"/>
              <w:jc w:val="center"/>
              <w:outlineLvl w:val="3"/>
              <w:rPr>
                <w:rFonts w:ascii="仿宋" w:hAnsi="仿宋" w:eastAsia="仿宋" w:cs="宋体"/>
                <w:color w:val="auto"/>
                <w:sz w:val="24"/>
                <w:highlight w:val="none"/>
              </w:rPr>
            </w:pPr>
            <w:r>
              <w:rPr>
                <w:rFonts w:ascii="仿宋" w:hAnsi="仿宋" w:eastAsia="仿宋" w:cs="宋体"/>
                <w:color w:val="auto"/>
                <w:sz w:val="24"/>
                <w:highlight w:val="none"/>
              </w:rPr>
              <w:t>考核</w:t>
            </w:r>
            <w:r>
              <w:rPr>
                <w:rFonts w:hint="eastAsia" w:ascii="仿宋" w:hAnsi="仿宋" w:eastAsia="仿宋" w:cs="宋体"/>
                <w:color w:val="auto"/>
                <w:sz w:val="24"/>
                <w:highlight w:val="none"/>
              </w:rPr>
              <w:t>扣分</w:t>
            </w:r>
          </w:p>
        </w:tc>
        <w:tc>
          <w:tcPr>
            <w:tcW w:w="952" w:type="dxa"/>
            <w:noWrap/>
            <w:vAlign w:val="center"/>
          </w:tcPr>
          <w:p>
            <w:pPr>
              <w:spacing w:before="120" w:beforeLines="50"/>
              <w:jc w:val="center"/>
              <w:outlineLvl w:val="3"/>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1" w:type="dxa"/>
            <w:gridSpan w:val="3"/>
            <w:noWrap/>
          </w:tcPr>
          <w:p>
            <w:pPr>
              <w:spacing w:before="120" w:beforeLines="50"/>
              <w:outlineLvl w:val="3"/>
              <w:rPr>
                <w:rFonts w:ascii="仿宋" w:hAnsi="仿宋" w:eastAsia="仿宋" w:cs="宋体"/>
                <w:color w:val="auto"/>
                <w:sz w:val="24"/>
                <w:highlight w:val="none"/>
              </w:rPr>
            </w:pPr>
            <w:r>
              <w:rPr>
                <w:rFonts w:ascii="仿宋" w:hAnsi="仿宋" w:eastAsia="仿宋" w:cs="宋体"/>
                <w:color w:val="auto"/>
                <w:sz w:val="24"/>
                <w:highlight w:val="none"/>
              </w:rPr>
              <w:t>考核扣分项</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ascii="仿宋" w:hAnsi="仿宋" w:eastAsia="仿宋" w:cs="宋体"/>
                <w:color w:val="auto"/>
                <w:sz w:val="24"/>
                <w:highlight w:val="none"/>
              </w:rPr>
              <w:t>1</w:t>
            </w:r>
          </w:p>
        </w:tc>
        <w:tc>
          <w:tcPr>
            <w:tcW w:w="5811" w:type="dxa"/>
            <w:gridSpan w:val="2"/>
            <w:noWrap/>
          </w:tcPr>
          <w:p>
            <w:pPr>
              <w:spacing w:before="120" w:beforeLines="50"/>
              <w:outlineLvl w:val="3"/>
              <w:rPr>
                <w:rFonts w:ascii="仿宋" w:hAnsi="仿宋" w:eastAsia="仿宋" w:cs="宋体"/>
                <w:color w:val="auto"/>
                <w:sz w:val="24"/>
                <w:highlight w:val="none"/>
              </w:rPr>
            </w:pPr>
            <w:r>
              <w:rPr>
                <w:rFonts w:hint="eastAsia" w:ascii="仿宋" w:hAnsi="仿宋" w:eastAsia="仿宋" w:cs="宋体"/>
                <w:color w:val="auto"/>
                <w:sz w:val="24"/>
                <w:highlight w:val="none"/>
              </w:rPr>
              <w:t>保安人员未按岗位要求提供保安服务的，每发生一次扣5分。</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5811" w:type="dxa"/>
            <w:gridSpan w:val="2"/>
            <w:noWrap/>
          </w:tcPr>
          <w:p>
            <w:pPr>
              <w:spacing w:before="120" w:beforeLines="50"/>
              <w:outlineLvl w:val="3"/>
              <w:rPr>
                <w:rFonts w:ascii="仿宋" w:hAnsi="仿宋" w:eastAsia="仿宋" w:cs="宋体"/>
                <w:color w:val="auto"/>
                <w:sz w:val="24"/>
                <w:highlight w:val="none"/>
              </w:rPr>
            </w:pPr>
            <w:r>
              <w:rPr>
                <w:rFonts w:hint="eastAsia" w:ascii="仿宋" w:hAnsi="仿宋" w:eastAsia="仿宋" w:cs="仿宋"/>
                <w:color w:val="auto"/>
                <w:sz w:val="24"/>
                <w:highlight w:val="none"/>
              </w:rPr>
              <w:t>保安人员不按规定时间上下班，有离岗、脱岗、睡觉等行为</w:t>
            </w:r>
            <w:r>
              <w:rPr>
                <w:rFonts w:hint="eastAsia" w:ascii="仿宋" w:hAnsi="仿宋" w:eastAsia="仿宋" w:cs="宋体"/>
                <w:color w:val="auto"/>
                <w:sz w:val="24"/>
                <w:highlight w:val="none"/>
              </w:rPr>
              <w:t>，</w:t>
            </w:r>
            <w:r>
              <w:rPr>
                <w:rFonts w:ascii="仿宋" w:hAnsi="仿宋" w:eastAsia="仿宋" w:cs="宋体"/>
                <w:color w:val="auto"/>
                <w:sz w:val="24"/>
                <w:highlight w:val="none"/>
              </w:rPr>
              <w:t>每发生一次</w:t>
            </w:r>
            <w:r>
              <w:rPr>
                <w:rFonts w:hint="eastAsia" w:ascii="仿宋" w:hAnsi="仿宋" w:eastAsia="仿宋" w:cs="宋体"/>
                <w:color w:val="auto"/>
                <w:sz w:val="24"/>
                <w:highlight w:val="none"/>
              </w:rPr>
              <w:t>扣2</w:t>
            </w:r>
            <w:r>
              <w:rPr>
                <w:rFonts w:ascii="仿宋" w:hAnsi="仿宋" w:eastAsia="仿宋" w:cs="宋体"/>
                <w:color w:val="auto"/>
                <w:sz w:val="24"/>
                <w:highlight w:val="none"/>
              </w:rPr>
              <w:t>分。</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5811" w:type="dxa"/>
            <w:gridSpan w:val="2"/>
            <w:noWrap/>
          </w:tcPr>
          <w:p>
            <w:pPr>
              <w:spacing w:before="120" w:beforeLines="50"/>
              <w:outlineLvl w:val="3"/>
              <w:rPr>
                <w:rFonts w:ascii="仿宋" w:hAnsi="仿宋" w:eastAsia="仿宋" w:cs="宋体"/>
                <w:color w:val="auto"/>
                <w:sz w:val="24"/>
                <w:highlight w:val="none"/>
              </w:rPr>
            </w:pPr>
            <w:r>
              <w:rPr>
                <w:rFonts w:hint="eastAsia" w:ascii="仿宋" w:hAnsi="仿宋" w:eastAsia="仿宋" w:cs="仿宋"/>
                <w:color w:val="auto"/>
                <w:sz w:val="24"/>
                <w:highlight w:val="none"/>
              </w:rPr>
              <w:t>保安人员执勤巡逻期间不按照规定着装，</w:t>
            </w:r>
            <w:r>
              <w:rPr>
                <w:rFonts w:ascii="仿宋" w:hAnsi="仿宋" w:eastAsia="仿宋" w:cs="宋体"/>
                <w:color w:val="auto"/>
                <w:sz w:val="24"/>
                <w:highlight w:val="none"/>
              </w:rPr>
              <w:t>每发生一次扣</w:t>
            </w:r>
            <w:r>
              <w:rPr>
                <w:rFonts w:hint="eastAsia" w:ascii="仿宋" w:hAnsi="仿宋" w:eastAsia="仿宋" w:cs="宋体"/>
                <w:color w:val="auto"/>
                <w:sz w:val="24"/>
                <w:highlight w:val="none"/>
              </w:rPr>
              <w:t>1</w:t>
            </w:r>
            <w:r>
              <w:rPr>
                <w:rFonts w:ascii="仿宋" w:hAnsi="仿宋" w:eastAsia="仿宋" w:cs="宋体"/>
                <w:color w:val="auto"/>
                <w:sz w:val="24"/>
                <w:highlight w:val="none"/>
              </w:rPr>
              <w:t>分。</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5811" w:type="dxa"/>
            <w:gridSpan w:val="2"/>
            <w:noWrap/>
          </w:tcPr>
          <w:p>
            <w:pPr>
              <w:spacing w:before="120" w:beforeLines="50"/>
              <w:outlineLvl w:val="3"/>
              <w:rPr>
                <w:rFonts w:ascii="仿宋" w:hAnsi="仿宋" w:eastAsia="仿宋" w:cs="宋体"/>
                <w:color w:val="auto"/>
                <w:sz w:val="24"/>
                <w:highlight w:val="none"/>
              </w:rPr>
            </w:pPr>
            <w:r>
              <w:rPr>
                <w:rFonts w:hint="eastAsia" w:ascii="仿宋" w:hAnsi="仿宋" w:eastAsia="仿宋" w:cs="仿宋"/>
                <w:color w:val="auto"/>
                <w:sz w:val="24"/>
                <w:highlight w:val="none"/>
              </w:rPr>
              <w:t>保安人员有违反甲方规章制度情况的，每发生一次扣2分。</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5811" w:type="dxa"/>
            <w:gridSpan w:val="2"/>
            <w:noWrap/>
          </w:tcPr>
          <w:p>
            <w:pPr>
              <w:spacing w:before="120" w:beforeLines="50"/>
              <w:outlineLvl w:val="3"/>
              <w:rPr>
                <w:rFonts w:ascii="仿宋" w:hAnsi="仿宋" w:eastAsia="仿宋" w:cs="宋体"/>
                <w:color w:val="auto"/>
                <w:sz w:val="24"/>
                <w:highlight w:val="none"/>
              </w:rPr>
            </w:pPr>
            <w:r>
              <w:rPr>
                <w:rFonts w:hint="eastAsia" w:ascii="仿宋" w:hAnsi="仿宋" w:eastAsia="仿宋" w:cs="宋体"/>
                <w:color w:val="auto"/>
                <w:sz w:val="24"/>
                <w:highlight w:val="none"/>
              </w:rPr>
              <w:t>未按采购需求和投标承诺为保安人员配备服装、装备的，每发生一次扣2分。</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5811" w:type="dxa"/>
            <w:gridSpan w:val="2"/>
            <w:noWrap/>
          </w:tcPr>
          <w:p>
            <w:pPr>
              <w:spacing w:before="120" w:beforeLines="50"/>
              <w:outlineLvl w:val="3"/>
              <w:rPr>
                <w:rFonts w:ascii="仿宋" w:hAnsi="仿宋" w:eastAsia="仿宋" w:cs="宋体"/>
                <w:color w:val="auto"/>
                <w:sz w:val="24"/>
                <w:highlight w:val="none"/>
              </w:rPr>
            </w:pPr>
            <w:r>
              <w:rPr>
                <w:rFonts w:hint="eastAsia" w:ascii="仿宋" w:hAnsi="仿宋" w:eastAsia="仿宋" w:cs="宋体"/>
                <w:color w:val="auto"/>
                <w:sz w:val="24"/>
                <w:highlight w:val="none"/>
              </w:rPr>
              <w:t>人员服务质量未达到甲方要求的，每发生一次扣5分。</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5811" w:type="dxa"/>
            <w:gridSpan w:val="2"/>
            <w:noWrap/>
          </w:tcPr>
          <w:p>
            <w:pPr>
              <w:spacing w:before="120" w:beforeLines="50"/>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保安人员遇到突发事件未按应急预案及措施应对的，每发生一次扣10分。</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5811" w:type="dxa"/>
            <w:gridSpan w:val="2"/>
            <w:noWrap/>
          </w:tcPr>
          <w:p>
            <w:pPr>
              <w:spacing w:before="120" w:beforeLines="50"/>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乙方未按保密管理条款规定执行的，每发现一次处违约金10000元，如发生泄密事件，除赔偿甲方损失外，还应承担全部法律责任。</w:t>
            </w:r>
          </w:p>
        </w:tc>
        <w:tc>
          <w:tcPr>
            <w:tcW w:w="1422" w:type="dxa"/>
            <w:noWrap/>
          </w:tcPr>
          <w:p>
            <w:pPr>
              <w:spacing w:before="120" w:beforeLines="50"/>
              <w:ind w:firstLine="480" w:firstLineChars="200"/>
              <w:outlineLvl w:val="3"/>
              <w:rPr>
                <w:rFonts w:ascii="仿宋" w:hAnsi="仿宋" w:eastAsia="仿宋" w:cs="宋体"/>
                <w:color w:val="auto"/>
                <w:sz w:val="24"/>
                <w:highlight w:val="none"/>
              </w:rPr>
            </w:pPr>
          </w:p>
        </w:tc>
        <w:tc>
          <w:tcPr>
            <w:tcW w:w="952" w:type="dxa"/>
            <w:noWrap/>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5811" w:type="dxa"/>
            <w:gridSpan w:val="2"/>
            <w:noWrap/>
          </w:tcPr>
          <w:p>
            <w:pPr>
              <w:spacing w:before="120" w:beforeLines="50"/>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乙方及工作人员违反安全管理要求，出现各类涉及甲方业务的文字内容、影视资料等信息外流泄密，构成违法犯罪的，甲方应当及时报送本级政府采购和市场监督管理部门，提请列入政府采购严重违法失信行为记录名单、市场监督管理严重失信名单，并追究相关责任。</w:t>
            </w:r>
          </w:p>
        </w:tc>
        <w:tc>
          <w:tcPr>
            <w:tcW w:w="1422" w:type="dxa"/>
            <w:noWrap/>
          </w:tcPr>
          <w:p>
            <w:pPr>
              <w:spacing w:before="120" w:beforeLines="50"/>
              <w:outlineLvl w:val="3"/>
              <w:rPr>
                <w:rFonts w:ascii="仿宋" w:hAnsi="仿宋" w:eastAsia="仿宋" w:cs="宋体"/>
                <w:color w:val="auto"/>
                <w:sz w:val="24"/>
                <w:highlight w:val="none"/>
              </w:rPr>
            </w:pPr>
            <w:r>
              <w:rPr>
                <w:rFonts w:hint="eastAsia" w:ascii="仿宋" w:hAnsi="仿宋" w:eastAsia="仿宋" w:cs="仿宋"/>
                <w:bCs/>
                <w:color w:val="auto"/>
                <w:sz w:val="24"/>
                <w:highlight w:val="none"/>
              </w:rPr>
              <w:t>没收全部履约保证金</w:t>
            </w:r>
          </w:p>
        </w:tc>
        <w:tc>
          <w:tcPr>
            <w:tcW w:w="952" w:type="dxa"/>
            <w:noWrap/>
          </w:tcPr>
          <w:p>
            <w:pPr>
              <w:spacing w:before="120" w:beforeLines="50"/>
              <w:outlineLvl w:val="3"/>
              <w:rPr>
                <w:rFonts w:ascii="仿宋" w:hAnsi="仿宋" w:eastAsia="仿宋" w:cs="宋体"/>
                <w:color w:val="auto"/>
                <w:sz w:val="24"/>
                <w:highlight w:val="none"/>
              </w:rPr>
            </w:pPr>
            <w:r>
              <w:rPr>
                <w:rFonts w:hint="eastAsia" w:ascii="仿宋" w:hAnsi="仿宋" w:eastAsia="仿宋" w:cs="仿宋"/>
                <w:bCs/>
                <w:color w:val="auto"/>
                <w:sz w:val="24"/>
                <w:highlight w:val="none"/>
              </w:rPr>
              <w:t>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5811" w:type="dxa"/>
            <w:gridSpan w:val="2"/>
            <w:noWrap/>
          </w:tcPr>
          <w:p>
            <w:pPr>
              <w:spacing w:before="120" w:beforeLines="50"/>
              <w:outlineLvl w:val="3"/>
              <w:rPr>
                <w:rFonts w:ascii="仿宋" w:hAnsi="仿宋" w:eastAsia="仿宋" w:cs="仿宋"/>
                <w:bCs/>
                <w:color w:val="auto"/>
                <w:sz w:val="24"/>
                <w:highlight w:val="none"/>
              </w:rPr>
            </w:pPr>
            <w:r>
              <w:rPr>
                <w:rFonts w:hint="eastAsia" w:ascii="仿宋" w:hAnsi="仿宋" w:eastAsia="仿宋" w:cs="仿宋"/>
                <w:color w:val="auto"/>
                <w:sz w:val="24"/>
                <w:highlight w:val="none"/>
                <w:lang w:val="zh-CN"/>
              </w:rPr>
              <w:t>未配合甲方接受上级领导部门的监督、检查，每发生一次扣10分。</w:t>
            </w:r>
          </w:p>
        </w:tc>
        <w:tc>
          <w:tcPr>
            <w:tcW w:w="1422" w:type="dxa"/>
            <w:noWrap/>
          </w:tcPr>
          <w:p>
            <w:pPr>
              <w:spacing w:before="120" w:beforeLines="50"/>
              <w:outlineLvl w:val="3"/>
              <w:rPr>
                <w:rFonts w:ascii="仿宋" w:hAnsi="仿宋" w:eastAsia="仿宋" w:cs="仿宋"/>
                <w:bCs/>
                <w:color w:val="auto"/>
                <w:sz w:val="24"/>
                <w:highlight w:val="none"/>
              </w:rPr>
            </w:pPr>
          </w:p>
        </w:tc>
        <w:tc>
          <w:tcPr>
            <w:tcW w:w="952" w:type="dxa"/>
            <w:noWrap/>
          </w:tcPr>
          <w:p>
            <w:pPr>
              <w:spacing w:before="120" w:beforeLines="50"/>
              <w:outlineLvl w:val="3"/>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before="120" w:beforeLines="50"/>
              <w:jc w:val="center"/>
              <w:outlineLvl w:val="3"/>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5811" w:type="dxa"/>
            <w:gridSpan w:val="2"/>
            <w:noWrap/>
          </w:tcPr>
          <w:p>
            <w:pPr>
              <w:spacing w:before="120" w:beforeLines="50"/>
              <w:outlineLvl w:val="3"/>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按承诺由小微企业承接的，甲方有权无条件终止合同,并没收乙方全部履约保证金（如有）。报送本级政府采购监管部门，提前列入失信行为记录名单，追究相关责任，且乙方应向甲方支付合同总价30%的违约金。</w:t>
            </w:r>
          </w:p>
        </w:tc>
        <w:tc>
          <w:tcPr>
            <w:tcW w:w="1422" w:type="dxa"/>
            <w:noWrap/>
          </w:tcPr>
          <w:p>
            <w:pPr>
              <w:spacing w:before="120" w:beforeLines="50"/>
              <w:outlineLvl w:val="3"/>
              <w:rPr>
                <w:rFonts w:ascii="仿宋" w:hAnsi="仿宋" w:eastAsia="仿宋" w:cs="仿宋"/>
                <w:bCs/>
                <w:color w:val="auto"/>
                <w:sz w:val="24"/>
                <w:highlight w:val="none"/>
              </w:rPr>
            </w:pPr>
          </w:p>
        </w:tc>
        <w:tc>
          <w:tcPr>
            <w:tcW w:w="952" w:type="dxa"/>
            <w:noWrap/>
          </w:tcPr>
          <w:p>
            <w:pPr>
              <w:spacing w:before="120" w:beforeLines="50"/>
              <w:outlineLvl w:val="3"/>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1" w:type="dxa"/>
            <w:gridSpan w:val="3"/>
            <w:noWrap/>
            <w:vAlign w:val="center"/>
          </w:tcPr>
          <w:p>
            <w:pPr>
              <w:spacing w:before="120" w:beforeLines="50"/>
              <w:jc w:val="center"/>
              <w:outlineLvl w:val="3"/>
              <w:rPr>
                <w:rFonts w:ascii="仿宋" w:hAnsi="仿宋" w:eastAsia="仿宋" w:cs="宋体"/>
                <w:color w:val="auto"/>
                <w:sz w:val="24"/>
                <w:highlight w:val="none"/>
              </w:rPr>
            </w:pPr>
            <w:r>
              <w:rPr>
                <w:rFonts w:ascii="仿宋" w:hAnsi="仿宋" w:eastAsia="仿宋" w:cs="宋体"/>
                <w:color w:val="auto"/>
                <w:sz w:val="24"/>
                <w:highlight w:val="none"/>
              </w:rPr>
              <w:t>小计</w:t>
            </w:r>
          </w:p>
        </w:tc>
        <w:tc>
          <w:tcPr>
            <w:tcW w:w="1422" w:type="dxa"/>
            <w:noWrap/>
            <w:vAlign w:val="center"/>
          </w:tcPr>
          <w:p>
            <w:pPr>
              <w:spacing w:before="120" w:beforeLines="50"/>
              <w:ind w:firstLine="480" w:firstLineChars="200"/>
              <w:outlineLvl w:val="3"/>
              <w:rPr>
                <w:rFonts w:ascii="仿宋" w:hAnsi="仿宋" w:eastAsia="仿宋" w:cs="宋体"/>
                <w:color w:val="auto"/>
                <w:sz w:val="24"/>
                <w:highlight w:val="none"/>
              </w:rPr>
            </w:pPr>
          </w:p>
        </w:tc>
        <w:tc>
          <w:tcPr>
            <w:tcW w:w="952" w:type="dxa"/>
            <w:noWrap/>
            <w:vAlign w:val="center"/>
          </w:tcPr>
          <w:p>
            <w:pPr>
              <w:spacing w:before="120" w:beforeLines="50"/>
              <w:ind w:firstLine="480" w:firstLineChars="200"/>
              <w:outlineLvl w:val="3"/>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95" w:type="dxa"/>
            <w:gridSpan w:val="5"/>
            <w:noWrap/>
            <w:vAlign w:val="center"/>
          </w:tcPr>
          <w:p>
            <w:pPr>
              <w:widowControl/>
              <w:snapToGrid w:val="0"/>
              <w:spacing w:line="276" w:lineRule="auto"/>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甲方项目经办人（签字）：             乙方项目负责人（签字、盖章）：</w:t>
            </w:r>
          </w:p>
          <w:p>
            <w:pPr>
              <w:widowControl/>
              <w:snapToGrid w:val="0"/>
              <w:spacing w:line="276" w:lineRule="auto"/>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甲方项目审核人（签字、盖章）：      </w:t>
            </w:r>
          </w:p>
          <w:p>
            <w:pPr>
              <w:spacing w:before="120" w:beforeLines="50"/>
              <w:outlineLvl w:val="3"/>
              <w:rPr>
                <w:rFonts w:ascii="仿宋" w:hAnsi="仿宋" w:eastAsia="仿宋" w:cs="仿宋"/>
                <w:bCs/>
                <w:color w:val="auto"/>
                <w:sz w:val="24"/>
                <w:highlight w:val="none"/>
              </w:rPr>
            </w:pPr>
            <w:r>
              <w:rPr>
                <w:rFonts w:hint="eastAsia" w:ascii="仿宋" w:hAnsi="仿宋" w:eastAsia="仿宋" w:cs="宋体"/>
                <w:color w:val="auto"/>
                <w:kern w:val="0"/>
                <w:sz w:val="24"/>
                <w:highlight w:val="none"/>
              </w:rPr>
              <w:t>日  期：                                日  期：</w:t>
            </w:r>
          </w:p>
        </w:tc>
      </w:tr>
    </w:tbl>
    <w:p>
      <w:pPr>
        <w:rPr>
          <w:rFonts w:ascii="仿宋" w:hAnsi="仿宋" w:eastAsia="仿宋"/>
          <w:color w:val="auto"/>
          <w:sz w:val="24"/>
          <w:highlight w:val="none"/>
        </w:rPr>
      </w:pPr>
    </w:p>
    <w:p>
      <w:pPr>
        <w:rPr>
          <w:color w:val="auto"/>
          <w:highlight w:val="none"/>
        </w:rPr>
      </w:pPr>
    </w:p>
    <w:p>
      <w:pPr>
        <w:snapToGrid w:val="0"/>
        <w:spacing w:before="120" w:beforeLines="50" w:line="360" w:lineRule="auto"/>
        <w:ind w:firstLine="484" w:firstLineChars="201"/>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附件二：</w:t>
      </w:r>
      <w:r>
        <w:rPr>
          <w:rFonts w:ascii="仿宋" w:hAnsi="仿宋" w:eastAsia="仿宋" w:cs="仿宋"/>
          <w:b/>
          <w:color w:val="auto"/>
          <w:sz w:val="24"/>
          <w:highlight w:val="none"/>
        </w:rPr>
        <w:t>项目人员名单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945"/>
        <w:gridCol w:w="1547"/>
        <w:gridCol w:w="1285"/>
        <w:gridCol w:w="2176"/>
        <w:gridCol w:w="128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序号</w:t>
            </w:r>
          </w:p>
        </w:tc>
        <w:tc>
          <w:tcPr>
            <w:tcW w:w="509" w:type="pct"/>
            <w:noWrap/>
            <w:vAlign w:val="center"/>
          </w:tcPr>
          <w:p>
            <w:pPr>
              <w:snapToGrid w:val="0"/>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姓名</w:t>
            </w:r>
          </w:p>
        </w:tc>
        <w:tc>
          <w:tcPr>
            <w:tcW w:w="833" w:type="pct"/>
            <w:noWrap/>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692" w:type="pct"/>
            <w:noWrap/>
            <w:vAlign w:val="center"/>
          </w:tcPr>
          <w:p>
            <w:pPr>
              <w:snapToGrid w:val="0"/>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联系方式</w:t>
            </w:r>
          </w:p>
        </w:tc>
        <w:tc>
          <w:tcPr>
            <w:tcW w:w="1172" w:type="pct"/>
            <w:noWrap/>
            <w:vAlign w:val="center"/>
          </w:tcPr>
          <w:p>
            <w:pPr>
              <w:snapToGrid w:val="0"/>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本项目承担的职责</w:t>
            </w:r>
          </w:p>
        </w:tc>
        <w:tc>
          <w:tcPr>
            <w:tcW w:w="691" w:type="pct"/>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保安证号</w:t>
            </w:r>
          </w:p>
        </w:tc>
        <w:tc>
          <w:tcPr>
            <w:tcW w:w="692" w:type="pct"/>
            <w:noWrap/>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pacing w:line="360" w:lineRule="auto"/>
              <w:jc w:val="center"/>
              <w:rPr>
                <w:rFonts w:ascii="仿宋" w:hAnsi="仿宋" w:eastAsia="仿宋" w:cs="仿宋"/>
                <w:b/>
                <w:color w:val="auto"/>
                <w:sz w:val="24"/>
                <w:highlight w:val="none"/>
              </w:rPr>
            </w:pPr>
          </w:p>
        </w:tc>
        <w:tc>
          <w:tcPr>
            <w:tcW w:w="692" w:type="pct"/>
            <w:noWrap/>
            <w:vAlign w:val="center"/>
          </w:tcPr>
          <w:p>
            <w:pPr>
              <w:spacing w:line="360" w:lineRule="auto"/>
              <w:jc w:val="center"/>
              <w:rPr>
                <w:rFonts w:ascii="仿宋" w:hAnsi="仿宋" w:eastAsia="仿宋" w:cs="仿宋"/>
                <w:b/>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pacing w:line="360" w:lineRule="auto"/>
              <w:jc w:val="center"/>
              <w:rPr>
                <w:rFonts w:ascii="仿宋" w:hAnsi="仿宋" w:eastAsia="仿宋" w:cs="仿宋"/>
                <w:b/>
                <w:color w:val="auto"/>
                <w:sz w:val="24"/>
                <w:highlight w:val="none"/>
              </w:rPr>
            </w:pPr>
          </w:p>
        </w:tc>
        <w:tc>
          <w:tcPr>
            <w:tcW w:w="692" w:type="pct"/>
            <w:noWrap/>
            <w:vAlign w:val="center"/>
          </w:tcPr>
          <w:p>
            <w:pPr>
              <w:spacing w:line="360" w:lineRule="auto"/>
              <w:jc w:val="center"/>
              <w:rPr>
                <w:rFonts w:ascii="仿宋" w:hAnsi="仿宋" w:eastAsia="仿宋" w:cs="仿宋"/>
                <w:b/>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pacing w:line="360" w:lineRule="auto"/>
              <w:jc w:val="center"/>
              <w:rPr>
                <w:rFonts w:ascii="仿宋" w:hAnsi="仿宋" w:eastAsia="仿宋" w:cs="仿宋"/>
                <w:b/>
                <w:color w:val="auto"/>
                <w:sz w:val="24"/>
                <w:highlight w:val="none"/>
              </w:rPr>
            </w:pPr>
          </w:p>
        </w:tc>
        <w:tc>
          <w:tcPr>
            <w:tcW w:w="692" w:type="pct"/>
            <w:noWrap/>
            <w:vAlign w:val="center"/>
          </w:tcPr>
          <w:p>
            <w:pPr>
              <w:spacing w:line="360" w:lineRule="auto"/>
              <w:jc w:val="center"/>
              <w:rPr>
                <w:rFonts w:ascii="仿宋" w:hAnsi="仿宋" w:eastAsia="仿宋" w:cs="仿宋"/>
                <w:b/>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napToGrid w:val="0"/>
              <w:spacing w:line="360" w:lineRule="auto"/>
              <w:jc w:val="center"/>
              <w:rPr>
                <w:rFonts w:ascii="仿宋" w:hAnsi="仿宋" w:eastAsia="仿宋" w:cs="仿宋"/>
                <w:color w:val="auto"/>
                <w:sz w:val="24"/>
                <w:highlight w:val="none"/>
              </w:rPr>
            </w:pPr>
          </w:p>
        </w:tc>
        <w:tc>
          <w:tcPr>
            <w:tcW w:w="692" w:type="pct"/>
            <w:noWrap/>
            <w:vAlign w:val="center"/>
          </w:tcPr>
          <w:p>
            <w:pPr>
              <w:snapToGrid w:val="0"/>
              <w:spacing w:line="360" w:lineRule="auto"/>
              <w:jc w:val="center"/>
              <w:rPr>
                <w:rFonts w:ascii="仿宋" w:hAnsi="仿宋" w:eastAsia="仿宋" w:cs="仿宋"/>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napToGrid w:val="0"/>
              <w:spacing w:line="360" w:lineRule="auto"/>
              <w:jc w:val="center"/>
              <w:rPr>
                <w:rFonts w:ascii="仿宋" w:hAnsi="仿宋" w:eastAsia="仿宋" w:cs="仿宋"/>
                <w:color w:val="auto"/>
                <w:sz w:val="24"/>
                <w:highlight w:val="none"/>
              </w:rPr>
            </w:pPr>
          </w:p>
        </w:tc>
        <w:tc>
          <w:tcPr>
            <w:tcW w:w="692" w:type="pct"/>
            <w:noWrap/>
            <w:vAlign w:val="center"/>
          </w:tcPr>
          <w:p>
            <w:pPr>
              <w:snapToGrid w:val="0"/>
              <w:spacing w:line="360" w:lineRule="auto"/>
              <w:jc w:val="center"/>
              <w:rPr>
                <w:rFonts w:ascii="仿宋" w:hAnsi="仿宋" w:eastAsia="仿宋" w:cs="仿宋"/>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napToGrid w:val="0"/>
              <w:spacing w:line="360" w:lineRule="auto"/>
              <w:jc w:val="center"/>
              <w:rPr>
                <w:rFonts w:ascii="仿宋" w:hAnsi="仿宋" w:eastAsia="仿宋" w:cs="仿宋"/>
                <w:color w:val="auto"/>
                <w:sz w:val="24"/>
                <w:highlight w:val="none"/>
              </w:rPr>
            </w:pPr>
          </w:p>
        </w:tc>
        <w:tc>
          <w:tcPr>
            <w:tcW w:w="692" w:type="pct"/>
            <w:noWrap/>
            <w:vAlign w:val="center"/>
          </w:tcPr>
          <w:p>
            <w:pPr>
              <w:snapToGrid w:val="0"/>
              <w:spacing w:line="360" w:lineRule="auto"/>
              <w:jc w:val="center"/>
              <w:rPr>
                <w:rFonts w:ascii="仿宋" w:hAnsi="仿宋" w:eastAsia="仿宋" w:cs="仿宋"/>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napToGrid w:val="0"/>
              <w:spacing w:line="360" w:lineRule="auto"/>
              <w:jc w:val="center"/>
              <w:rPr>
                <w:rFonts w:ascii="仿宋" w:hAnsi="仿宋" w:eastAsia="仿宋" w:cs="仿宋"/>
                <w:color w:val="auto"/>
                <w:sz w:val="24"/>
                <w:highlight w:val="none"/>
              </w:rPr>
            </w:pPr>
          </w:p>
        </w:tc>
        <w:tc>
          <w:tcPr>
            <w:tcW w:w="692" w:type="pct"/>
            <w:noWrap/>
            <w:vAlign w:val="center"/>
          </w:tcPr>
          <w:p>
            <w:pPr>
              <w:snapToGrid w:val="0"/>
              <w:spacing w:line="360" w:lineRule="auto"/>
              <w:jc w:val="center"/>
              <w:rPr>
                <w:rFonts w:ascii="仿宋" w:hAnsi="仿宋" w:eastAsia="仿宋" w:cs="仿宋"/>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napToGrid w:val="0"/>
              <w:spacing w:line="360" w:lineRule="auto"/>
              <w:jc w:val="center"/>
              <w:rPr>
                <w:rFonts w:ascii="仿宋" w:hAnsi="仿宋" w:eastAsia="仿宋" w:cs="仿宋"/>
                <w:color w:val="auto"/>
                <w:sz w:val="24"/>
                <w:highlight w:val="none"/>
              </w:rPr>
            </w:pPr>
          </w:p>
        </w:tc>
        <w:tc>
          <w:tcPr>
            <w:tcW w:w="692" w:type="pct"/>
            <w:noWrap/>
            <w:vAlign w:val="center"/>
          </w:tcPr>
          <w:p>
            <w:pPr>
              <w:snapToGrid w:val="0"/>
              <w:spacing w:line="360" w:lineRule="auto"/>
              <w:jc w:val="center"/>
              <w:rPr>
                <w:rFonts w:ascii="仿宋" w:hAnsi="仿宋" w:eastAsia="仿宋" w:cs="仿宋"/>
                <w:color w:val="auto"/>
                <w:sz w:val="24"/>
                <w:highlight w:val="none"/>
              </w:rPr>
            </w:pPr>
          </w:p>
        </w:tc>
        <w:tc>
          <w:tcPr>
            <w:tcW w:w="1172" w:type="pct"/>
            <w:noWrap/>
            <w:vAlign w:val="center"/>
          </w:tcPr>
          <w:p>
            <w:pPr>
              <w:spacing w:line="360" w:lineRule="auto"/>
              <w:jc w:val="center"/>
              <w:rPr>
                <w:rFonts w:ascii="仿宋" w:hAnsi="仿宋" w:eastAsia="仿宋" w:cs="仿宋"/>
                <w:color w:val="auto"/>
                <w:sz w:val="24"/>
                <w:highlight w:val="none"/>
              </w:rPr>
            </w:pPr>
          </w:p>
        </w:tc>
        <w:tc>
          <w:tcPr>
            <w:tcW w:w="691" w:type="pct"/>
          </w:tcPr>
          <w:p>
            <w:pPr>
              <w:spacing w:line="360" w:lineRule="auto"/>
              <w:jc w:val="center"/>
              <w:rPr>
                <w:rFonts w:ascii="仿宋" w:hAnsi="仿宋" w:eastAsia="仿宋" w:cs="仿宋"/>
                <w:color w:val="auto"/>
                <w:sz w:val="24"/>
                <w:highlight w:val="none"/>
              </w:rPr>
            </w:pPr>
          </w:p>
        </w:tc>
        <w:tc>
          <w:tcPr>
            <w:tcW w:w="692" w:type="pct"/>
            <w:noWrap/>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68</w:t>
            </w:r>
          </w:p>
        </w:tc>
        <w:tc>
          <w:tcPr>
            <w:tcW w:w="509" w:type="pct"/>
            <w:noWrap/>
            <w:vAlign w:val="center"/>
          </w:tcPr>
          <w:p>
            <w:pPr>
              <w:snapToGrid w:val="0"/>
              <w:spacing w:line="360" w:lineRule="auto"/>
              <w:jc w:val="center"/>
              <w:rPr>
                <w:rFonts w:ascii="仿宋" w:hAnsi="仿宋" w:eastAsia="仿宋" w:cs="仿宋"/>
                <w:color w:val="auto"/>
                <w:sz w:val="24"/>
                <w:highlight w:val="none"/>
              </w:rPr>
            </w:pPr>
          </w:p>
        </w:tc>
        <w:tc>
          <w:tcPr>
            <w:tcW w:w="833" w:type="pct"/>
            <w:noWrap/>
          </w:tcPr>
          <w:p>
            <w:pPr>
              <w:snapToGrid w:val="0"/>
              <w:spacing w:line="360" w:lineRule="auto"/>
              <w:jc w:val="center"/>
              <w:rPr>
                <w:rFonts w:ascii="仿宋" w:hAnsi="仿宋" w:eastAsia="仿宋" w:cs="仿宋"/>
                <w:color w:val="auto"/>
                <w:sz w:val="24"/>
                <w:highlight w:val="none"/>
              </w:rPr>
            </w:pPr>
          </w:p>
        </w:tc>
        <w:tc>
          <w:tcPr>
            <w:tcW w:w="692" w:type="pct"/>
            <w:noWrap/>
            <w:vAlign w:val="center"/>
          </w:tcPr>
          <w:p>
            <w:pPr>
              <w:snapToGrid w:val="0"/>
              <w:spacing w:line="360" w:lineRule="auto"/>
              <w:jc w:val="center"/>
              <w:rPr>
                <w:rFonts w:ascii="仿宋" w:hAnsi="仿宋" w:eastAsia="仿宋" w:cs="仿宋"/>
                <w:color w:val="auto"/>
                <w:sz w:val="24"/>
                <w:highlight w:val="none"/>
              </w:rPr>
            </w:pPr>
          </w:p>
        </w:tc>
        <w:tc>
          <w:tcPr>
            <w:tcW w:w="1172" w:type="pct"/>
            <w:noWrap/>
            <w:vAlign w:val="center"/>
          </w:tcPr>
          <w:p>
            <w:pPr>
              <w:snapToGrid w:val="0"/>
              <w:spacing w:line="360" w:lineRule="auto"/>
              <w:jc w:val="center"/>
              <w:rPr>
                <w:rFonts w:ascii="仿宋" w:hAnsi="仿宋" w:eastAsia="仿宋" w:cs="仿宋"/>
                <w:color w:val="auto"/>
                <w:sz w:val="24"/>
                <w:highlight w:val="none"/>
              </w:rPr>
            </w:pPr>
          </w:p>
        </w:tc>
        <w:tc>
          <w:tcPr>
            <w:tcW w:w="691" w:type="pct"/>
          </w:tcPr>
          <w:p>
            <w:pPr>
              <w:snapToGrid w:val="0"/>
              <w:spacing w:line="360" w:lineRule="auto"/>
              <w:jc w:val="center"/>
              <w:rPr>
                <w:rFonts w:ascii="仿宋" w:hAnsi="仿宋" w:eastAsia="仿宋" w:cs="仿宋"/>
                <w:color w:val="auto"/>
                <w:sz w:val="24"/>
                <w:highlight w:val="none"/>
              </w:rPr>
            </w:pPr>
          </w:p>
        </w:tc>
        <w:tc>
          <w:tcPr>
            <w:tcW w:w="692" w:type="pct"/>
            <w:noWrap/>
          </w:tcPr>
          <w:p>
            <w:pPr>
              <w:snapToGrid w:val="0"/>
              <w:spacing w:line="360" w:lineRule="auto"/>
              <w:jc w:val="center"/>
              <w:rPr>
                <w:rFonts w:ascii="仿宋" w:hAnsi="仿宋" w:eastAsia="仿宋" w:cs="仿宋"/>
                <w:color w:val="auto"/>
                <w:sz w:val="24"/>
                <w:highlight w:val="none"/>
              </w:rPr>
            </w:pPr>
          </w:p>
        </w:tc>
      </w:tr>
    </w:tbl>
    <w:p>
      <w:pPr>
        <w:rPr>
          <w:rFonts w:ascii="仿宋" w:hAnsi="仿宋" w:eastAsia="仿宋"/>
          <w:color w:val="auto"/>
          <w:sz w:val="24"/>
          <w:highlight w:val="none"/>
        </w:rPr>
      </w:pPr>
    </w:p>
    <w:p>
      <w:pPr>
        <w:rPr>
          <w:rFonts w:ascii="仿宋" w:hAnsi="仿宋" w:eastAsia="仿宋" w:cs="仿宋"/>
          <w:b/>
          <w:color w:val="auto"/>
          <w:sz w:val="24"/>
          <w:highlight w:val="none"/>
        </w:rPr>
      </w:pPr>
      <w:r>
        <w:rPr>
          <w:rFonts w:ascii="仿宋" w:hAnsi="仿宋" w:eastAsia="仿宋" w:cs="仿宋"/>
          <w:b/>
          <w:color w:val="auto"/>
          <w:sz w:val="24"/>
          <w:highlight w:val="none"/>
        </w:rPr>
        <w:br w:type="page"/>
      </w:r>
    </w:p>
    <w:p>
      <w:pPr>
        <w:snapToGrid w:val="0"/>
        <w:spacing w:before="120" w:beforeLines="50" w:line="360" w:lineRule="auto"/>
        <w:ind w:firstLine="484" w:firstLineChars="201"/>
        <w:outlineLvl w:val="2"/>
        <w:rPr>
          <w:rFonts w:ascii="仿宋" w:hAnsi="仿宋" w:eastAsia="仿宋" w:cs="仿宋"/>
          <w:b/>
          <w:color w:val="auto"/>
          <w:sz w:val="24"/>
          <w:highlight w:val="none"/>
        </w:rPr>
      </w:pPr>
      <w:r>
        <w:rPr>
          <w:rFonts w:ascii="仿宋" w:hAnsi="仿宋" w:eastAsia="仿宋" w:cs="仿宋"/>
          <w:b/>
          <w:color w:val="auto"/>
          <w:sz w:val="24"/>
          <w:highlight w:val="none"/>
        </w:rPr>
        <w:t>附件三</w:t>
      </w:r>
      <w:r>
        <w:rPr>
          <w:rFonts w:hint="eastAsia" w:ascii="仿宋" w:hAnsi="仿宋" w:eastAsia="仿宋" w:cs="仿宋"/>
          <w:b/>
          <w:color w:val="auto"/>
          <w:sz w:val="24"/>
          <w:highlight w:val="none"/>
        </w:rPr>
        <w:t>：合同价格清单</w:t>
      </w:r>
    </w:p>
    <w:p>
      <w:pPr>
        <w:rPr>
          <w:color w:val="auto"/>
          <w:sz w:val="24"/>
          <w:highlight w:val="none"/>
        </w:rPr>
      </w:pPr>
    </w:p>
    <w:tbl>
      <w:tblPr>
        <w:tblStyle w:val="62"/>
        <w:tblW w:w="528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560"/>
        <w:gridCol w:w="802"/>
        <w:gridCol w:w="4057"/>
        <w:gridCol w:w="911"/>
        <w:gridCol w:w="1029"/>
        <w:gridCol w:w="1061"/>
        <w:gridCol w:w="832"/>
        <w:gridCol w:w="37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3" w:hRule="atLeast"/>
          <w:jc w:val="center"/>
        </w:trPr>
        <w:tc>
          <w:tcPr>
            <w:tcW w:w="290" w:type="pct"/>
            <w:tcBorders>
              <w:top w:val="single" w:color="auto" w:sz="18"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416" w:type="pct"/>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_GB2312" w:hAnsi="仿宋" w:eastAsia="仿宋_GB2312"/>
                <w:color w:val="auto"/>
                <w:sz w:val="24"/>
                <w:highlight w:val="none"/>
              </w:rPr>
              <w:t>名称</w:t>
            </w:r>
          </w:p>
        </w:tc>
        <w:tc>
          <w:tcPr>
            <w:tcW w:w="2107" w:type="pct"/>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服务内容</w:t>
            </w:r>
          </w:p>
        </w:tc>
        <w:tc>
          <w:tcPr>
            <w:tcW w:w="473" w:type="pct"/>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eastAsia="仿宋" w:cs="仿宋"/>
                <w:color w:val="auto"/>
                <w:sz w:val="24"/>
                <w:highlight w:val="none"/>
              </w:rPr>
            </w:pPr>
            <w:r>
              <w:rPr>
                <w:rFonts w:hint="eastAsia" w:ascii="仿宋" w:hAnsi="仿宋" w:eastAsia="仿宋" w:cs="仿宋"/>
                <w:bCs/>
                <w:color w:val="auto"/>
                <w:sz w:val="24"/>
                <w:highlight w:val="none"/>
              </w:rPr>
              <w:t>人数</w:t>
            </w:r>
          </w:p>
        </w:tc>
        <w:tc>
          <w:tcPr>
            <w:tcW w:w="534" w:type="pct"/>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w:t>
            </w:r>
          </w:p>
        </w:tc>
        <w:tc>
          <w:tcPr>
            <w:tcW w:w="551" w:type="pct"/>
            <w:tcBorders>
              <w:top w:val="single" w:color="auto" w:sz="18" w:space="0"/>
              <w:left w:val="single" w:color="auto" w:sz="2" w:space="0"/>
              <w:bottom w:val="single" w:color="auto" w:sz="2" w:space="0"/>
              <w:right w:val="single" w:color="auto" w:sz="8"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bCs/>
                <w:color w:val="auto"/>
                <w:sz w:val="24"/>
                <w:highlight w:val="none"/>
              </w:rPr>
              <w:t>服务天数（天）</w:t>
            </w:r>
          </w:p>
        </w:tc>
        <w:tc>
          <w:tcPr>
            <w:tcW w:w="432" w:type="pct"/>
            <w:tcBorders>
              <w:top w:val="single" w:color="auto" w:sz="18" w:space="0"/>
              <w:left w:val="single" w:color="auto" w:sz="2" w:space="0"/>
              <w:bottom w:val="single" w:color="auto" w:sz="2" w:space="0"/>
              <w:right w:val="single" w:color="auto" w:sz="8"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合价</w:t>
            </w:r>
          </w:p>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（元）</w:t>
            </w:r>
          </w:p>
        </w:tc>
        <w:tc>
          <w:tcPr>
            <w:tcW w:w="194" w:type="pct"/>
            <w:tcBorders>
              <w:top w:val="single" w:color="auto" w:sz="18" w:space="0"/>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290" w:type="pct"/>
            <w:tcBorders>
              <w:top w:val="single" w:color="auto" w:sz="2"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p>
        </w:tc>
        <w:tc>
          <w:tcPr>
            <w:tcW w:w="416"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工资</w:t>
            </w:r>
          </w:p>
        </w:tc>
        <w:tc>
          <w:tcPr>
            <w:tcW w:w="2107"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包括</w:t>
            </w:r>
            <w:r>
              <w:rPr>
                <w:rFonts w:hint="eastAsia" w:ascii="仿宋" w:hAnsi="仿宋" w:eastAsia="仿宋" w:cs="宋体"/>
                <w:color w:val="auto"/>
                <w:kern w:val="0"/>
                <w:sz w:val="24"/>
                <w:highlight w:val="none"/>
                <w:lang w:val="zh-CN"/>
              </w:rPr>
              <w:t>人员工资、福利、津贴、高温费、加班费、食宿费（甲方提供备勤室的除外）、法律规定的各类社会保险、交通费、培训费、体检费</w:t>
            </w:r>
            <w:r>
              <w:rPr>
                <w:rFonts w:hint="eastAsia" w:ascii="仿宋" w:hAnsi="仿宋" w:eastAsia="仿宋" w:cs="仿宋"/>
                <w:color w:val="auto"/>
                <w:sz w:val="24"/>
                <w:highlight w:val="none"/>
              </w:rPr>
              <w:t>等</w:t>
            </w:r>
          </w:p>
        </w:tc>
        <w:tc>
          <w:tcPr>
            <w:tcW w:w="473"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68</w:t>
            </w:r>
            <w:r>
              <w:rPr>
                <w:rFonts w:ascii="仿宋" w:hAnsi="仿宋" w:eastAsia="仿宋" w:cs="仿宋"/>
                <w:color w:val="auto"/>
                <w:sz w:val="24"/>
                <w:highlight w:val="none"/>
              </w:rPr>
              <w:t>人</w:t>
            </w:r>
          </w:p>
        </w:tc>
        <w:tc>
          <w:tcPr>
            <w:tcW w:w="534"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/人/天</w:t>
            </w:r>
          </w:p>
        </w:tc>
        <w:tc>
          <w:tcPr>
            <w:tcW w:w="551"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365</w:t>
            </w:r>
          </w:p>
        </w:tc>
        <w:tc>
          <w:tcPr>
            <w:tcW w:w="432"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194" w:type="pct"/>
            <w:tcBorders>
              <w:top w:val="single" w:color="auto" w:sz="2" w:space="0"/>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290" w:type="pct"/>
            <w:tcBorders>
              <w:top w:val="single" w:color="auto" w:sz="2"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w:t>
            </w:r>
          </w:p>
        </w:tc>
        <w:tc>
          <w:tcPr>
            <w:tcW w:w="416"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服装费</w:t>
            </w:r>
          </w:p>
        </w:tc>
        <w:tc>
          <w:tcPr>
            <w:tcW w:w="2107"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服装费：</w:t>
            </w:r>
            <w:r>
              <w:rPr>
                <w:rFonts w:hint="eastAsia" w:ascii="仿宋" w:hAnsi="仿宋" w:eastAsia="仿宋" w:cs="仿宋"/>
                <w:color w:val="auto"/>
                <w:sz w:val="24"/>
                <w:highlight w:val="none"/>
                <w:lang w:val="zh-CN"/>
              </w:rPr>
              <w:t>配备春秋装、夏装、冬装各两套，冬大衣、白手套、皮鞋、每人各一套。</w:t>
            </w:r>
          </w:p>
        </w:tc>
        <w:tc>
          <w:tcPr>
            <w:tcW w:w="473"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8套</w:t>
            </w:r>
          </w:p>
        </w:tc>
        <w:tc>
          <w:tcPr>
            <w:tcW w:w="534"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/套</w:t>
            </w:r>
          </w:p>
        </w:tc>
        <w:tc>
          <w:tcPr>
            <w:tcW w:w="551"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r>
              <w:rPr>
                <w:rFonts w:ascii="仿宋" w:hAnsi="仿宋" w:eastAsia="仿宋" w:cs="仿宋"/>
                <w:bCs/>
                <w:color w:val="auto"/>
                <w:sz w:val="24"/>
                <w:highlight w:val="none"/>
              </w:rPr>
              <w:t>/</w:t>
            </w:r>
          </w:p>
        </w:tc>
        <w:tc>
          <w:tcPr>
            <w:tcW w:w="432"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194" w:type="pct"/>
            <w:tcBorders>
              <w:top w:val="single" w:color="auto" w:sz="2" w:space="0"/>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9" w:hRule="atLeast"/>
          <w:jc w:val="center"/>
        </w:trPr>
        <w:tc>
          <w:tcPr>
            <w:tcW w:w="290" w:type="pct"/>
            <w:vMerge w:val="restart"/>
            <w:tcBorders>
              <w:top w:val="single" w:color="auto" w:sz="2" w:space="0"/>
              <w:left w:val="single" w:color="auto" w:sz="18"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3</w:t>
            </w:r>
          </w:p>
        </w:tc>
        <w:tc>
          <w:tcPr>
            <w:tcW w:w="416" w:type="pct"/>
            <w:vMerge w:val="restart"/>
            <w:tcBorders>
              <w:top w:val="single" w:color="auto" w:sz="2" w:space="0"/>
              <w:left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装备费</w:t>
            </w:r>
          </w:p>
        </w:tc>
        <w:tc>
          <w:tcPr>
            <w:tcW w:w="2107"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装备费：每人配备强光手电、辣椒水、武装带、伸缩警棍各</w:t>
            </w:r>
            <w:r>
              <w:rPr>
                <w:rFonts w:ascii="仿宋" w:hAnsi="仿宋" w:eastAsia="仿宋" w:cs="仿宋"/>
                <w:color w:val="auto"/>
                <w:sz w:val="24"/>
                <w:highlight w:val="none"/>
              </w:rPr>
              <w:t>1件。</w:t>
            </w:r>
          </w:p>
        </w:tc>
        <w:tc>
          <w:tcPr>
            <w:tcW w:w="473" w:type="pct"/>
            <w:tcBorders>
              <w:top w:val="single" w:color="auto" w:sz="2" w:space="0"/>
              <w:left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8套</w:t>
            </w:r>
          </w:p>
        </w:tc>
        <w:tc>
          <w:tcPr>
            <w:tcW w:w="534" w:type="pct"/>
            <w:tcBorders>
              <w:top w:val="single" w:color="auto" w:sz="2" w:space="0"/>
              <w:left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/套</w:t>
            </w:r>
          </w:p>
        </w:tc>
        <w:tc>
          <w:tcPr>
            <w:tcW w:w="551" w:type="pct"/>
            <w:vMerge w:val="restart"/>
            <w:tcBorders>
              <w:top w:val="single" w:color="auto" w:sz="2" w:space="0"/>
              <w:left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r>
              <w:rPr>
                <w:rFonts w:ascii="仿宋" w:hAnsi="仿宋" w:eastAsia="仿宋" w:cs="仿宋"/>
                <w:bCs/>
                <w:color w:val="auto"/>
                <w:sz w:val="24"/>
                <w:highlight w:val="none"/>
              </w:rPr>
              <w:t>/</w:t>
            </w:r>
          </w:p>
        </w:tc>
        <w:tc>
          <w:tcPr>
            <w:tcW w:w="432" w:type="pct"/>
            <w:vMerge w:val="restart"/>
            <w:tcBorders>
              <w:top w:val="single" w:color="auto" w:sz="2" w:space="0"/>
              <w:left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194" w:type="pct"/>
            <w:vMerge w:val="restart"/>
            <w:tcBorders>
              <w:top w:val="single" w:color="auto" w:sz="2" w:space="0"/>
              <w:left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jc w:val="center"/>
        </w:trPr>
        <w:tc>
          <w:tcPr>
            <w:tcW w:w="290" w:type="pct"/>
            <w:vMerge w:val="continue"/>
            <w:tcBorders>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p>
        </w:tc>
        <w:tc>
          <w:tcPr>
            <w:tcW w:w="416" w:type="pct"/>
            <w:vMerge w:val="continue"/>
            <w:tcBorders>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p>
        </w:tc>
        <w:tc>
          <w:tcPr>
            <w:tcW w:w="2107"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每岗配备对讲机</w:t>
            </w:r>
          </w:p>
        </w:tc>
        <w:tc>
          <w:tcPr>
            <w:tcW w:w="473" w:type="pct"/>
            <w:tcBorders>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15台</w:t>
            </w:r>
          </w:p>
        </w:tc>
        <w:tc>
          <w:tcPr>
            <w:tcW w:w="534" w:type="pct"/>
            <w:tcBorders>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/台</w:t>
            </w:r>
          </w:p>
        </w:tc>
        <w:tc>
          <w:tcPr>
            <w:tcW w:w="551" w:type="pct"/>
            <w:vMerge w:val="continue"/>
            <w:tcBorders>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p>
        </w:tc>
        <w:tc>
          <w:tcPr>
            <w:tcW w:w="432" w:type="pct"/>
            <w:vMerge w:val="continue"/>
            <w:tcBorders>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194" w:type="pct"/>
            <w:vMerge w:val="continue"/>
            <w:tcBorders>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9" w:hRule="atLeast"/>
          <w:jc w:val="center"/>
        </w:trPr>
        <w:tc>
          <w:tcPr>
            <w:tcW w:w="3287" w:type="pct"/>
            <w:gridSpan w:val="4"/>
            <w:tcBorders>
              <w:top w:val="single" w:color="auto" w:sz="18" w:space="0"/>
              <w:left w:val="single" w:color="auto" w:sz="18" w:space="0"/>
              <w:bottom w:val="single" w:color="auto" w:sz="2" w:space="0"/>
              <w:right w:val="single" w:color="auto" w:sz="4" w:space="0"/>
            </w:tcBorders>
            <w:noWrap/>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合同总价（小写）人民币</w:t>
            </w:r>
          </w:p>
        </w:tc>
        <w:tc>
          <w:tcPr>
            <w:tcW w:w="1712" w:type="pct"/>
            <w:gridSpan w:val="4"/>
            <w:tcBorders>
              <w:top w:val="single" w:color="auto" w:sz="18" w:space="0"/>
              <w:left w:val="single" w:color="auto" w:sz="4" w:space="0"/>
              <w:bottom w:val="single" w:color="auto" w:sz="2" w:space="0"/>
              <w:right w:val="single" w:color="auto" w:sz="18" w:space="0"/>
            </w:tcBorders>
            <w:noWrap/>
            <w:vAlign w:val="center"/>
          </w:tcPr>
          <w:p>
            <w:pPr>
              <w:snapToGrid w:val="0"/>
              <w:spacing w:line="276" w:lineRule="auto"/>
              <w:rPr>
                <w:rFonts w:ascii="仿宋" w:hAnsi="仿宋" w:eastAsia="仿宋" w:cs="仿宋"/>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9" w:hRule="atLeast"/>
          <w:jc w:val="center"/>
        </w:trPr>
        <w:tc>
          <w:tcPr>
            <w:tcW w:w="3287" w:type="pct"/>
            <w:gridSpan w:val="4"/>
            <w:tcBorders>
              <w:top w:val="single" w:color="auto" w:sz="2" w:space="0"/>
              <w:left w:val="single" w:color="auto" w:sz="18" w:space="0"/>
              <w:bottom w:val="single" w:color="auto" w:sz="18" w:space="0"/>
              <w:right w:val="single" w:color="auto" w:sz="4" w:space="0"/>
            </w:tcBorders>
            <w:noWrap/>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合同总价（大写）人民币</w:t>
            </w:r>
          </w:p>
        </w:tc>
        <w:tc>
          <w:tcPr>
            <w:tcW w:w="1712" w:type="pct"/>
            <w:gridSpan w:val="4"/>
            <w:tcBorders>
              <w:top w:val="single" w:color="auto" w:sz="2" w:space="0"/>
              <w:left w:val="single" w:color="auto" w:sz="4" w:space="0"/>
              <w:bottom w:val="single" w:color="auto" w:sz="18" w:space="0"/>
              <w:right w:val="single" w:color="auto" w:sz="18" w:space="0"/>
            </w:tcBorders>
            <w:noWrap/>
            <w:vAlign w:val="center"/>
          </w:tcPr>
          <w:p>
            <w:pPr>
              <w:snapToGrid w:val="0"/>
              <w:spacing w:line="276" w:lineRule="auto"/>
              <w:rPr>
                <w:rFonts w:ascii="仿宋" w:hAnsi="仿宋" w:eastAsia="仿宋" w:cs="仿宋"/>
                <w:color w:val="auto"/>
                <w:kern w:val="0"/>
                <w:sz w:val="24"/>
                <w:highlight w:val="none"/>
              </w:rPr>
            </w:pPr>
          </w:p>
        </w:tc>
      </w:tr>
    </w:tbl>
    <w:p>
      <w:pPr>
        <w:spacing w:line="240" w:lineRule="auto"/>
        <w:ind w:left="0" w:leftChars="0" w:firstLine="0" w:firstLineChars="0"/>
        <w:outlineLvl w:val="9"/>
        <w:rPr>
          <w:rFonts w:hint="eastAsia" w:ascii="仿宋" w:hAnsi="仿宋" w:eastAsia="仿宋" w:cs="宋体"/>
          <w:b/>
          <w:color w:val="auto"/>
          <w:sz w:val="36"/>
          <w:szCs w:val="36"/>
          <w:highlight w:val="none"/>
        </w:rPr>
      </w:pPr>
    </w:p>
    <w:p>
      <w:pPr>
        <w:spacing w:line="240" w:lineRule="auto"/>
        <w:ind w:left="0" w:leftChars="0" w:firstLine="0" w:firstLineChars="0"/>
        <w:outlineLvl w:val="9"/>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br w:type="page"/>
      </w:r>
    </w:p>
    <w:p>
      <w:pPr>
        <w:widowControl/>
        <w:adjustRightInd/>
        <w:jc w:val="left"/>
        <w:rPr>
          <w:rFonts w:hint="eastAsia" w:ascii="仿宋" w:hAnsi="仿宋" w:eastAsia="仿宋" w:cs="宋体"/>
          <w:b/>
          <w:color w:val="auto"/>
          <w:sz w:val="36"/>
          <w:szCs w:val="20"/>
          <w:highlight w:val="none"/>
        </w:rPr>
      </w:pPr>
    </w:p>
    <w:p>
      <w:pPr>
        <w:widowControl/>
        <w:adjustRightInd/>
        <w:jc w:val="center"/>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4"/>
      <w:bookmarkEnd w:id="395"/>
      <w:r>
        <w:rPr>
          <w:rFonts w:hint="eastAsia" w:ascii="仿宋" w:hAnsi="仿宋" w:eastAsia="仿宋" w:cs="宋体"/>
          <w:b/>
          <w:color w:val="auto"/>
          <w:sz w:val="36"/>
          <w:szCs w:val="20"/>
          <w:highlight w:val="none"/>
          <w:lang w:val="en-US" w:eastAsia="zh-CN"/>
        </w:rPr>
        <w:t xml:space="preserve"> </w:t>
      </w:r>
      <w:r>
        <w:rPr>
          <w:rFonts w:hint="eastAsia" w:ascii="仿宋" w:hAnsi="仿宋" w:eastAsia="仿宋" w:cs="宋体"/>
          <w:b/>
          <w:color w:val="auto"/>
          <w:sz w:val="36"/>
          <w:szCs w:val="20"/>
          <w:highlight w:val="none"/>
        </w:rPr>
        <w:t>应提交的有关格式范例</w:t>
      </w:r>
    </w:p>
    <w:p>
      <w:pPr>
        <w:spacing w:line="360" w:lineRule="auto"/>
        <w:jc w:val="center"/>
        <w:outlineLvl w:val="0"/>
        <w:rPr>
          <w:rFonts w:ascii="仿宋" w:hAnsi="仿宋" w:eastAsia="仿宋" w:cs="宋体"/>
          <w:b/>
          <w:color w:val="auto"/>
          <w:kern w:val="0"/>
          <w:sz w:val="36"/>
          <w:szCs w:val="36"/>
          <w:highlight w:val="none"/>
        </w:r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pPr>
        <w:snapToGrid w:val="0"/>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杭州市机动车驾驶员考试服务中心、</w:t>
      </w:r>
      <w:r>
        <w:rPr>
          <w:rFonts w:hint="eastAsia" w:ascii="仿宋" w:hAnsi="仿宋" w:eastAsia="仿宋" w:cs="宋体"/>
          <w:color w:val="auto"/>
          <w:sz w:val="24"/>
          <w:highlight w:val="none"/>
          <w:lang w:eastAsia="zh-CN"/>
        </w:rPr>
        <w:t>浙江正浩招标代理有限公司</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】政府采购活动，郑重承诺：</w:t>
      </w:r>
    </w:p>
    <w:p>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投标人名称(电子签名)：</w:t>
      </w:r>
    </w:p>
    <w:p>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月日</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r>
        <w:rPr>
          <w:rFonts w:hint="eastAsia" w:ascii="仿宋" w:hAnsi="仿宋" w:eastAsia="仿宋" w:cs="宋体"/>
          <w:b/>
          <w:color w:val="auto"/>
          <w:kern w:val="0"/>
          <w:sz w:val="32"/>
          <w:szCs w:val="32"/>
          <w:highlight w:val="none"/>
        </w:rPr>
        <w:t>二、联合协议（如果有）</w:t>
      </w: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A.专门面向中小企业，服务全部由符合政策要求的中小企业（或小微企业）承接的，提供相应的中小企业声明函（附件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B.要求以联合体形式参加的，提供联合协议（附件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widowControl/>
        <w:spacing w:line="360" w:lineRule="auto"/>
        <w:ind w:left="150"/>
        <w:jc w:val="center"/>
        <w:rPr>
          <w:rFonts w:ascii="仿宋" w:hAnsi="仿宋" w:eastAsia="仿宋" w:cs="宋体"/>
          <w:b/>
          <w:color w:val="auto"/>
          <w:kern w:val="0"/>
          <w:sz w:val="32"/>
          <w:szCs w:val="32"/>
          <w:highlight w:val="none"/>
        </w:rPr>
      </w:pPr>
    </w:p>
    <w:p>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pPr>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pPr>
        <w:spacing w:line="360" w:lineRule="auto"/>
        <w:ind w:right="420" w:firstLine="3614" w:firstLineChars="100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pPr>
        <w:spacing w:line="360" w:lineRule="auto"/>
        <w:jc w:val="center"/>
        <w:outlineLvl w:val="0"/>
        <w:rPr>
          <w:rFonts w:ascii="仿宋" w:hAnsi="仿宋" w:eastAsia="仿宋" w:cs="宋体"/>
          <w:b/>
          <w:color w:val="auto"/>
          <w:kern w:val="0"/>
          <w:sz w:val="24"/>
          <w:highlight w:val="none"/>
        </w:rPr>
      </w:pPr>
    </w:p>
    <w:p>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rPr>
          <w:rFonts w:ascii="仿宋" w:hAnsi="仿宋" w:eastAsia="仿宋" w:cs="宋体"/>
          <w:b/>
          <w:color w:val="auto"/>
          <w:kern w:val="0"/>
          <w:sz w:val="32"/>
          <w:szCs w:val="32"/>
          <w:highlight w:val="none"/>
          <w:lang w:val="zh-CN"/>
        </w:rPr>
      </w:pPr>
    </w:p>
    <w:p>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杭州市机动车驾驶员考试服务中心、</w:t>
      </w:r>
      <w:r>
        <w:rPr>
          <w:rFonts w:hint="eastAsia" w:ascii="仿宋" w:hAnsi="仿宋" w:eastAsia="仿宋" w:cs="宋体"/>
          <w:color w:val="auto"/>
          <w:sz w:val="24"/>
          <w:highlight w:val="none"/>
          <w:lang w:eastAsia="zh-CN"/>
        </w:rPr>
        <w:t>浙江正浩招标代理有限公司</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】招标的有关活动，并对此项目进行投标。为此：</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90</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2.1资格文件：</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2.1.1承诺函；</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2.1.2联合协议</w:t>
      </w:r>
      <w:bookmarkStart w:id="396" w:name="_Hlk101257010"/>
      <w:r>
        <w:rPr>
          <w:rFonts w:hint="eastAsia" w:ascii="仿宋" w:hAnsi="仿宋" w:eastAsia="仿宋" w:cs="宋体"/>
          <w:color w:val="auto"/>
          <w:sz w:val="24"/>
          <w:highlight w:val="none"/>
        </w:rPr>
        <w:t>（如果有)</w:t>
      </w:r>
      <w:bookmarkEnd w:id="396"/>
      <w:r>
        <w:rPr>
          <w:rFonts w:hint="eastAsia" w:ascii="仿宋" w:hAnsi="仿宋" w:eastAsia="仿宋" w:cs="宋体"/>
          <w:color w:val="auto"/>
          <w:sz w:val="24"/>
          <w:highlight w:val="none"/>
        </w:rPr>
        <w:t>；</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2.1.3落实政府采购政策需满足的资格要求（如果有）；</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 xml:space="preserve"> </w:t>
      </w:r>
      <w:r>
        <w:rPr>
          <w:rFonts w:hint="eastAsia" w:ascii="仿宋" w:hAnsi="仿宋" w:eastAsia="仿宋" w:cs="宋体"/>
          <w:color w:val="auto"/>
          <w:sz w:val="24"/>
          <w:highlight w:val="none"/>
        </w:rPr>
        <w:t>商务技术</w:t>
      </w:r>
      <w:r>
        <w:rPr>
          <w:rFonts w:hint="eastAsia" w:ascii="仿宋" w:hAnsi="仿宋" w:eastAsia="仿宋" w:cs="宋体"/>
          <w:color w:val="auto"/>
          <w:sz w:val="24"/>
          <w:highlight w:val="none"/>
          <w:lang w:val="zh-CN"/>
        </w:rPr>
        <w:t>文件：</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2.2.1投标函；</w:t>
      </w:r>
      <w:r>
        <w:rPr>
          <w:rFonts w:hint="eastAsia" w:ascii="仿宋" w:hAnsi="仿宋" w:eastAsia="仿宋" w:cs="宋体"/>
          <w:color w:val="auto"/>
          <w:sz w:val="24"/>
          <w:highlight w:val="none"/>
          <w:lang w:val="zh-CN"/>
        </w:rPr>
        <w:t xml:space="preserve"> </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2.2.3分包意向协议（如果有)；</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2.2.4符合性审查资料；</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2.2.5评标标准相应的商务技术资料；</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2.2.6投标标的清单；</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2.2.7商务技术偏离表；</w:t>
      </w:r>
    </w:p>
    <w:p>
      <w:pPr>
        <w:snapToGrid w:val="0"/>
        <w:spacing w:line="360" w:lineRule="auto"/>
        <w:ind w:left="210" w:leftChars="100" w:firstLine="480" w:firstLineChars="200"/>
        <w:rPr>
          <w:rFonts w:hint="eastAsia"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pPr>
        <w:snapToGrid w:val="0"/>
        <w:spacing w:line="360" w:lineRule="auto"/>
        <w:ind w:left="210" w:leftChars="100" w:firstLine="480" w:firstLineChars="20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2.3.2 报价情况说明（如果有）</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2.3.2中小企业声明函（如果有）。</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pPr>
        <w:spacing w:line="360" w:lineRule="auto"/>
        <w:ind w:firstLine="3600" w:firstLineChars="15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snapToGrid w:val="0"/>
        <w:spacing w:line="360" w:lineRule="auto"/>
        <w:ind w:left="420" w:leftChars="200" w:firstLine="4200" w:firstLineChars="1750"/>
        <w:rPr>
          <w:rFonts w:ascii="仿宋" w:hAnsi="仿宋" w:eastAsia="仿宋" w:cs="宋体"/>
          <w:color w:val="auto"/>
          <w:kern w:val="0"/>
          <w:sz w:val="24"/>
          <w:highlight w:val="none"/>
          <w:u w:val="singl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napToGrid w:val="0"/>
        <w:spacing w:line="360" w:lineRule="auto"/>
        <w:jc w:val="center"/>
        <w:rPr>
          <w:rFonts w:ascii="仿宋" w:hAnsi="仿宋" w:eastAsia="仿宋" w:cs="宋体"/>
          <w:b/>
          <w:color w:val="auto"/>
          <w:kern w:val="0"/>
          <w:sz w:val="32"/>
          <w:szCs w:val="32"/>
          <w:highlight w:val="none"/>
        </w:rPr>
      </w:pPr>
    </w:p>
    <w:p>
      <w:pPr>
        <w:snapToGrid w:val="0"/>
        <w:spacing w:line="360" w:lineRule="auto"/>
        <w:rPr>
          <w:rFonts w:ascii="仿宋" w:hAnsi="仿宋" w:eastAsia="仿宋" w:cs="宋体"/>
          <w:color w:val="auto"/>
          <w:sz w:val="24"/>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宋体"/>
          <w:color w:val="auto"/>
          <w:sz w:val="24"/>
          <w:highlight w:val="none"/>
        </w:rPr>
      </w:pPr>
    </w:p>
    <w:p>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杭州市机动车驾驶员考试服务中心、</w:t>
      </w:r>
      <w:r>
        <w:rPr>
          <w:rFonts w:hint="eastAsia" w:ascii="仿宋" w:hAnsi="仿宋" w:eastAsia="仿宋" w:cs="宋体"/>
          <w:color w:val="auto"/>
          <w:sz w:val="24"/>
          <w:highlight w:val="none"/>
          <w:lang w:eastAsia="zh-CN"/>
        </w:rPr>
        <w:t>浙江正浩招标代理有限公司</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委托（姓名）为我方代理人（身份证号码：，手机：），以我方名义处理</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pPr>
        <w:snapToGrid w:val="0"/>
        <w:spacing w:line="360" w:lineRule="auto"/>
        <w:rPr>
          <w:rFonts w:ascii="仿宋" w:hAnsi="仿宋" w:eastAsia="仿宋" w:cs="宋体"/>
          <w:color w:val="auto"/>
          <w:sz w:val="24"/>
          <w:highlight w:val="none"/>
        </w:rPr>
      </w:pPr>
    </w:p>
    <w:p>
      <w:pPr>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pPr>
        <w:snapToGrid w:val="0"/>
        <w:spacing w:line="360" w:lineRule="auto"/>
        <w:rPr>
          <w:rFonts w:hint="eastAsia" w:ascii="仿宋" w:hAnsi="仿宋" w:eastAsia="仿宋" w:cs="宋体"/>
          <w:color w:val="auto"/>
          <w:sz w:val="24"/>
          <w:highlight w:val="none"/>
        </w:rPr>
      </w:pP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杭州市机动车驾驶员考试服务中心、</w:t>
      </w:r>
      <w:r>
        <w:rPr>
          <w:rFonts w:hint="eastAsia" w:ascii="仿宋" w:hAnsi="仿宋" w:eastAsia="仿宋" w:cs="宋体"/>
          <w:color w:val="auto"/>
          <w:sz w:val="24"/>
          <w:highlight w:val="none"/>
          <w:lang w:eastAsia="zh-CN"/>
        </w:rPr>
        <w:t>浙江正浩招标代理有限公司</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委托（姓名）为我方代理人（身份证号码：，手机：），以我方名义处理</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jc w:val="center"/>
        <w:rPr>
          <w:rFonts w:ascii="仿宋" w:hAnsi="仿宋" w:eastAsia="仿宋" w:cs="宋体"/>
          <w:b/>
          <w:color w:val="auto"/>
          <w:kern w:val="0"/>
          <w:sz w:val="32"/>
          <w:szCs w:val="32"/>
          <w:highlight w:val="none"/>
        </w:rPr>
      </w:pPr>
    </w:p>
    <w:p>
      <w:pPr>
        <w:rPr>
          <w:rFonts w:ascii="仿宋" w:hAnsi="仿宋" w:eastAsia="仿宋" w:cs="宋体"/>
          <w:color w:val="auto"/>
          <w:highlight w:val="none"/>
        </w:rPr>
      </w:pP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pPr>
        <w:pStyle w:val="146"/>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pPr>
              <w:pStyle w:val="146"/>
              <w:adjustRightInd w:val="0"/>
              <w:spacing w:line="360" w:lineRule="auto"/>
              <w:rPr>
                <w:rFonts w:ascii="仿宋" w:hAnsi="仿宋" w:eastAsia="仿宋" w:cs="宋体"/>
                <w:bCs/>
                <w:color w:val="auto"/>
                <w:sz w:val="24"/>
                <w:highlight w:val="none"/>
              </w:rPr>
            </w:pPr>
          </w:p>
        </w:tc>
      </w:tr>
    </w:tbl>
    <w:p>
      <w:pPr>
        <w:snapToGrid w:val="0"/>
        <w:spacing w:line="360" w:lineRule="auto"/>
        <w:ind w:firstLine="576"/>
        <w:jc w:val="center"/>
        <w:rPr>
          <w:rFonts w:ascii="仿宋" w:hAnsi="仿宋" w:eastAsia="仿宋" w:cs="宋体"/>
          <w:color w:val="auto"/>
          <w:kern w:val="0"/>
          <w:sz w:val="24"/>
          <w:highlight w:val="none"/>
          <w:lang w:val="zh-CN"/>
        </w:rPr>
      </w:pPr>
    </w:p>
    <w:p>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                              </w:t>
      </w:r>
    </w:p>
    <w:p>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0" w:firstLineChars="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rPr>
          <w:rFonts w:ascii="仿宋" w:hAnsi="仿宋" w:eastAsia="仿宋" w:cs="宋体"/>
          <w:color w:val="auto"/>
          <w:kern w:val="0"/>
          <w:sz w:val="24"/>
          <w:highlight w:val="none"/>
        </w:rPr>
      </w:pPr>
    </w:p>
    <w:p>
      <w:pPr>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p>
      <w:pPr>
        <w:jc w:val="center"/>
        <w:rPr>
          <w:rFonts w:ascii="仿宋" w:hAnsi="仿宋" w:eastAsia="仿宋"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708"/>
        <w:gridCol w:w="342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3708" w:type="dxa"/>
            <w:vAlign w:val="center"/>
          </w:tcPr>
          <w:p>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3425" w:type="dxa"/>
            <w:vAlign w:val="center"/>
          </w:tcPr>
          <w:p>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827" w:type="dxa"/>
            <w:vAlign w:val="center"/>
          </w:tcPr>
          <w:p>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6" w:type="dxa"/>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708" w:type="dxa"/>
            <w:vAlign w:val="center"/>
          </w:tcPr>
          <w:p>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3425" w:type="dxa"/>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827" w:type="dxa"/>
            <w:vAlign w:val="center"/>
          </w:tcPr>
          <w:p>
            <w:pPr>
              <w:jc w:val="center"/>
              <w:rPr>
                <w:rFonts w:ascii="仿宋" w:hAnsi="仿宋" w:eastAsia="仿宋" w:cs="宋体"/>
                <w:color w:val="auto"/>
                <w:sz w:val="24"/>
                <w:highlight w:val="none"/>
              </w:rPr>
            </w:pPr>
          </w:p>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pPr>
              <w:jc w:val="center"/>
              <w:rPr>
                <w:rFonts w:ascii="仿宋" w:hAnsi="仿宋" w:eastAsia="仿宋" w:cs="宋体"/>
                <w:color w:val="auto"/>
                <w:highlight w:val="none"/>
              </w:rPr>
            </w:pPr>
            <w:r>
              <w:rPr>
                <w:rFonts w:hint="eastAsia" w:ascii="仿宋" w:hAnsi="仿宋" w:eastAsia="仿宋"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6" w:type="dxa"/>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708" w:type="dxa"/>
            <w:vAlign w:val="center"/>
          </w:tcPr>
          <w:p>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3425" w:type="dxa"/>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827" w:type="dxa"/>
            <w:vAlign w:val="center"/>
          </w:tcPr>
          <w:p>
            <w:pPr>
              <w:jc w:val="center"/>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6" w:type="dxa"/>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708" w:type="dxa"/>
            <w:vAlign w:val="center"/>
          </w:tcPr>
          <w:p>
            <w:pPr>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投标文件满足招标文件的其它实质性要求。</w:t>
            </w:r>
          </w:p>
        </w:tc>
        <w:tc>
          <w:tcPr>
            <w:tcW w:w="3425" w:type="dxa"/>
            <w:vAlign w:val="center"/>
          </w:tcPr>
          <w:p>
            <w:pPr>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827" w:type="dxa"/>
            <w:vAlign w:val="center"/>
          </w:tcPr>
          <w:p>
            <w:pPr>
              <w:jc w:val="center"/>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bl>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hint="eastAsia" w:ascii="仿宋" w:hAnsi="仿宋" w:eastAsia="仿宋" w:cs="宋体"/>
          <w:b/>
          <w:color w:val="auto"/>
          <w:kern w:val="0"/>
          <w:sz w:val="32"/>
          <w:szCs w:val="32"/>
          <w:highlight w:val="none"/>
        </w:rPr>
      </w:pPr>
    </w:p>
    <w:p>
      <w:pPr>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pPr>
        <w:snapToGrid w:val="0"/>
        <w:spacing w:line="360" w:lineRule="auto"/>
        <w:jc w:val="left"/>
        <w:rPr>
          <w:rFonts w:hint="eastAsia" w:ascii="仿宋" w:hAnsi="仿宋" w:eastAsia="仿宋" w:cs="宋体"/>
          <w:b/>
          <w:color w:val="auto"/>
          <w:sz w:val="24"/>
          <w:highlight w:val="none"/>
        </w:rPr>
      </w:pPr>
    </w:p>
    <w:p>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numPr>
          <w:ilvl w:val="0"/>
          <w:numId w:val="4"/>
        </w:numPr>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投标标的清单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18"/>
        <w:gridCol w:w="1599"/>
        <w:gridCol w:w="1599"/>
        <w:gridCol w:w="214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822" w:type="pct"/>
            <w:noWrap/>
            <w:vAlign w:val="center"/>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姓名</w:t>
            </w:r>
          </w:p>
        </w:tc>
        <w:tc>
          <w:tcPr>
            <w:tcW w:w="866" w:type="pct"/>
            <w:noWrap/>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身份证号码</w:t>
            </w:r>
          </w:p>
        </w:tc>
        <w:tc>
          <w:tcPr>
            <w:tcW w:w="866" w:type="pct"/>
            <w:noWrap/>
            <w:vAlign w:val="center"/>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联系方式</w:t>
            </w:r>
          </w:p>
        </w:tc>
        <w:tc>
          <w:tcPr>
            <w:tcW w:w="1146" w:type="pct"/>
            <w:noWrap/>
            <w:vAlign w:val="center"/>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本项目承担的职责</w:t>
            </w:r>
          </w:p>
        </w:tc>
        <w:tc>
          <w:tcPr>
            <w:tcW w:w="935" w:type="pct"/>
            <w:noWrap/>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noWrap/>
            <w:vAlign w:val="center"/>
          </w:tcPr>
          <w:p>
            <w:pPr>
              <w:jc w:val="center"/>
              <w:rPr>
                <w:rFonts w:ascii="仿宋" w:hAnsi="仿宋" w:eastAsia="仿宋" w:cs="宋体"/>
                <w:b/>
                <w:bCs/>
                <w:color w:val="auto"/>
                <w:sz w:val="24"/>
                <w:highlight w:val="none"/>
              </w:rPr>
            </w:pPr>
          </w:p>
        </w:tc>
        <w:tc>
          <w:tcPr>
            <w:tcW w:w="822" w:type="pct"/>
            <w:noWrap/>
            <w:vAlign w:val="center"/>
          </w:tcPr>
          <w:p>
            <w:pPr>
              <w:jc w:val="center"/>
              <w:rPr>
                <w:rFonts w:ascii="仿宋" w:hAnsi="仿宋" w:eastAsia="仿宋" w:cs="宋体"/>
                <w:b/>
                <w:bCs/>
                <w:color w:val="auto"/>
                <w:sz w:val="24"/>
                <w:highlight w:val="none"/>
              </w:rPr>
            </w:pPr>
          </w:p>
        </w:tc>
        <w:tc>
          <w:tcPr>
            <w:tcW w:w="866" w:type="pct"/>
            <w:noWrap/>
          </w:tcPr>
          <w:p>
            <w:pPr>
              <w:jc w:val="center"/>
              <w:rPr>
                <w:rFonts w:ascii="仿宋" w:hAnsi="仿宋" w:eastAsia="仿宋" w:cs="宋体"/>
                <w:b/>
                <w:bCs/>
                <w:color w:val="auto"/>
                <w:sz w:val="24"/>
                <w:highlight w:val="none"/>
              </w:rPr>
            </w:pPr>
          </w:p>
        </w:tc>
        <w:tc>
          <w:tcPr>
            <w:tcW w:w="866" w:type="pct"/>
            <w:noWrap/>
            <w:vAlign w:val="center"/>
          </w:tcPr>
          <w:p>
            <w:pPr>
              <w:jc w:val="center"/>
              <w:rPr>
                <w:rFonts w:ascii="仿宋" w:hAnsi="仿宋" w:eastAsia="仿宋" w:cs="宋体"/>
                <w:b/>
                <w:bCs/>
                <w:color w:val="auto"/>
                <w:sz w:val="24"/>
                <w:highlight w:val="none"/>
              </w:rPr>
            </w:pPr>
          </w:p>
        </w:tc>
        <w:tc>
          <w:tcPr>
            <w:tcW w:w="1146" w:type="pct"/>
            <w:noWrap/>
            <w:vAlign w:val="center"/>
          </w:tcPr>
          <w:p>
            <w:pPr>
              <w:jc w:val="center"/>
              <w:rPr>
                <w:rFonts w:ascii="仿宋" w:hAnsi="仿宋" w:eastAsia="仿宋" w:cs="宋体"/>
                <w:b/>
                <w:bCs/>
                <w:color w:val="auto"/>
                <w:sz w:val="24"/>
                <w:highlight w:val="none"/>
              </w:rPr>
            </w:pPr>
          </w:p>
        </w:tc>
        <w:tc>
          <w:tcPr>
            <w:tcW w:w="935" w:type="pct"/>
            <w:noWrap/>
          </w:tcPr>
          <w:p>
            <w:pPr>
              <w:jc w:val="center"/>
              <w:rPr>
                <w:rFonts w:ascii="仿宋" w:hAnsi="仿宋" w:eastAsia="仿宋" w:cs="宋体"/>
                <w:b/>
                <w:bCs/>
                <w:color w:val="auto"/>
                <w:sz w:val="24"/>
                <w:highlight w:val="none"/>
              </w:rPr>
            </w:pPr>
          </w:p>
        </w:tc>
      </w:tr>
    </w:tbl>
    <w:p>
      <w:pPr>
        <w:pStyle w:val="3"/>
        <w:ind w:left="0" w:firstLine="0"/>
        <w:rPr>
          <w:color w:val="auto"/>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p>
    <w:p>
      <w:pPr>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tcPr>
          <w:p>
            <w:pPr>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tcPr>
          <w:p>
            <w:pPr>
              <w:jc w:val="center"/>
              <w:rPr>
                <w:rFonts w:ascii="仿宋" w:hAnsi="仿宋" w:eastAsia="仿宋" w:cs="宋体"/>
                <w:b/>
                <w:color w:val="auto"/>
                <w:kern w:val="0"/>
                <w:sz w:val="32"/>
                <w:szCs w:val="32"/>
                <w:highlight w:val="none"/>
              </w:rPr>
            </w:pPr>
          </w:p>
        </w:tc>
        <w:tc>
          <w:tcPr>
            <w:tcW w:w="3546" w:type="dxa"/>
          </w:tcPr>
          <w:p>
            <w:pPr>
              <w:jc w:val="center"/>
              <w:rPr>
                <w:rFonts w:ascii="仿宋" w:hAnsi="仿宋" w:eastAsia="仿宋" w:cs="宋体"/>
                <w:b/>
                <w:color w:val="auto"/>
                <w:kern w:val="0"/>
                <w:sz w:val="32"/>
                <w:szCs w:val="32"/>
                <w:highlight w:val="none"/>
              </w:rPr>
            </w:pPr>
          </w:p>
        </w:tc>
        <w:tc>
          <w:tcPr>
            <w:tcW w:w="1276" w:type="dxa"/>
          </w:tcPr>
          <w:p>
            <w:pPr>
              <w:jc w:val="center"/>
              <w:rPr>
                <w:rFonts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tcPr>
          <w:p>
            <w:pPr>
              <w:jc w:val="center"/>
              <w:rPr>
                <w:rFonts w:ascii="仿宋" w:hAnsi="仿宋" w:eastAsia="仿宋" w:cs="宋体"/>
                <w:b/>
                <w:color w:val="auto"/>
                <w:kern w:val="0"/>
                <w:sz w:val="32"/>
                <w:szCs w:val="32"/>
                <w:highlight w:val="none"/>
              </w:rPr>
            </w:pPr>
          </w:p>
        </w:tc>
        <w:tc>
          <w:tcPr>
            <w:tcW w:w="3546" w:type="dxa"/>
          </w:tcPr>
          <w:p>
            <w:pPr>
              <w:jc w:val="center"/>
              <w:rPr>
                <w:rFonts w:ascii="仿宋" w:hAnsi="仿宋" w:eastAsia="仿宋" w:cs="宋体"/>
                <w:b/>
                <w:color w:val="auto"/>
                <w:kern w:val="0"/>
                <w:sz w:val="32"/>
                <w:szCs w:val="32"/>
                <w:highlight w:val="none"/>
              </w:rPr>
            </w:pPr>
          </w:p>
        </w:tc>
        <w:tc>
          <w:tcPr>
            <w:tcW w:w="1276" w:type="dxa"/>
          </w:tcPr>
          <w:p>
            <w:pPr>
              <w:jc w:val="center"/>
              <w:rPr>
                <w:rFonts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tcPr>
          <w:p>
            <w:pPr>
              <w:jc w:val="center"/>
              <w:rPr>
                <w:rFonts w:ascii="仿宋" w:hAnsi="仿宋" w:eastAsia="仿宋" w:cs="宋体"/>
                <w:b/>
                <w:color w:val="auto"/>
                <w:kern w:val="0"/>
                <w:sz w:val="32"/>
                <w:szCs w:val="32"/>
                <w:highlight w:val="none"/>
              </w:rPr>
            </w:pPr>
          </w:p>
        </w:tc>
        <w:tc>
          <w:tcPr>
            <w:tcW w:w="3546" w:type="dxa"/>
          </w:tcPr>
          <w:p>
            <w:pPr>
              <w:jc w:val="center"/>
              <w:rPr>
                <w:rFonts w:ascii="仿宋" w:hAnsi="仿宋" w:eastAsia="仿宋" w:cs="宋体"/>
                <w:b/>
                <w:color w:val="auto"/>
                <w:kern w:val="0"/>
                <w:sz w:val="32"/>
                <w:szCs w:val="32"/>
                <w:highlight w:val="none"/>
              </w:rPr>
            </w:pPr>
          </w:p>
        </w:tc>
        <w:tc>
          <w:tcPr>
            <w:tcW w:w="1276" w:type="dxa"/>
          </w:tcPr>
          <w:p>
            <w:pPr>
              <w:jc w:val="center"/>
              <w:rPr>
                <w:rFonts w:ascii="仿宋" w:hAnsi="仿宋" w:eastAsia="仿宋" w:cs="宋体"/>
                <w:b/>
                <w:color w:val="auto"/>
                <w:kern w:val="0"/>
                <w:sz w:val="32"/>
                <w:szCs w:val="32"/>
                <w:highlight w:val="none"/>
              </w:rPr>
            </w:pPr>
          </w:p>
        </w:tc>
      </w:tr>
    </w:tbl>
    <w:p>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pPr>
        <w:jc w:val="center"/>
        <w:rPr>
          <w:rFonts w:ascii="仿宋" w:hAnsi="仿宋" w:eastAsia="仿宋" w:cs="宋体"/>
          <w:b/>
          <w:color w:val="auto"/>
          <w:kern w:val="0"/>
          <w:sz w:val="32"/>
          <w:szCs w:val="32"/>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ind w:firstLine="1911" w:firstLineChars="595"/>
        <w:rPr>
          <w:rFonts w:ascii="仿宋" w:hAnsi="仿宋" w:eastAsia="仿宋" w:cs="宋体"/>
          <w:b/>
          <w:bCs/>
          <w:color w:val="auto"/>
          <w:sz w:val="32"/>
          <w:szCs w:val="32"/>
          <w:highlight w:val="none"/>
        </w:rPr>
      </w:pPr>
    </w:p>
    <w:p>
      <w:pPr>
        <w:ind w:firstLine="1911" w:firstLineChars="595"/>
        <w:rPr>
          <w:rFonts w:ascii="仿宋" w:hAnsi="仿宋" w:eastAsia="仿宋" w:cs="宋体"/>
          <w:b/>
          <w:bCs/>
          <w:color w:val="auto"/>
          <w:sz w:val="32"/>
          <w:szCs w:val="32"/>
          <w:highlight w:val="none"/>
        </w:rPr>
      </w:pPr>
    </w:p>
    <w:p>
      <w:pPr>
        <w:ind w:firstLine="1911" w:firstLineChars="595"/>
        <w:rPr>
          <w:rFonts w:ascii="仿宋" w:hAnsi="仿宋" w:eastAsia="仿宋" w:cs="宋体"/>
          <w:b/>
          <w:bCs/>
          <w:color w:val="auto"/>
          <w:sz w:val="32"/>
          <w:szCs w:val="32"/>
          <w:highlight w:val="none"/>
        </w:rPr>
      </w:pPr>
    </w:p>
    <w:p>
      <w:pPr>
        <w:widowControl/>
        <w:adjustRightInd/>
        <w:jc w:val="left"/>
        <w:rPr>
          <w:rFonts w:ascii="仿宋" w:hAnsi="仿宋" w:eastAsia="仿宋" w:cs="宋体"/>
          <w:b/>
          <w:bCs/>
          <w:color w:val="auto"/>
          <w:sz w:val="32"/>
          <w:szCs w:val="32"/>
          <w:highlight w:val="none"/>
        </w:rPr>
      </w:pPr>
      <w:r>
        <w:rPr>
          <w:rFonts w:ascii="仿宋" w:hAnsi="仿宋" w:eastAsia="仿宋" w:cs="宋体"/>
          <w:b/>
          <w:bCs/>
          <w:color w:val="auto"/>
          <w:sz w:val="32"/>
          <w:szCs w:val="32"/>
          <w:highlight w:val="none"/>
        </w:rPr>
        <w:br w:type="page"/>
      </w:r>
    </w:p>
    <w:p>
      <w:pPr>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杭州市机动车驾驶员考试服务中心、</w:t>
      </w:r>
      <w:r>
        <w:rPr>
          <w:rFonts w:hint="eastAsia" w:ascii="仿宋" w:hAnsi="仿宋" w:eastAsia="仿宋" w:cs="宋体"/>
          <w:color w:val="auto"/>
          <w:sz w:val="24"/>
          <w:highlight w:val="none"/>
          <w:lang w:eastAsia="zh-CN"/>
        </w:rPr>
        <w:t>浙江正浩招标代理有限公司</w:t>
      </w:r>
      <w:r>
        <w:rPr>
          <w:rFonts w:hint="eastAsia" w:ascii="仿宋" w:hAnsi="仿宋" w:eastAsia="仿宋" w:cs="宋体"/>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投标人名称（</w:t>
      </w:r>
      <w:r>
        <w:rPr>
          <w:rFonts w:hint="eastAsia" w:ascii="仿宋" w:hAnsi="仿宋" w:eastAsia="仿宋" w:cs="宋体"/>
          <w:color w:val="auto"/>
          <w:sz w:val="24"/>
          <w:highlight w:val="none"/>
        </w:rPr>
        <w:t>电子签名</w:t>
      </w:r>
      <w:r>
        <w:rPr>
          <w:rFonts w:hint="eastAsia" w:ascii="仿宋" w:hAnsi="仿宋" w:eastAsia="仿宋" w:cs="宋体"/>
          <w:color w:val="auto"/>
          <w:kern w:val="0"/>
          <w:sz w:val="24"/>
          <w:highlight w:val="none"/>
          <w:lang w:val="zh-CN"/>
        </w:rPr>
        <w:t xml:space="preserve">）：                                                                                                                                                                                                               </w:t>
      </w:r>
    </w:p>
    <w:p>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pPr>
        <w:spacing w:line="360" w:lineRule="auto"/>
        <w:jc w:val="center"/>
        <w:rPr>
          <w:rFonts w:ascii="仿宋" w:hAnsi="仿宋" w:eastAsia="仿宋" w:cs="宋体"/>
          <w:b/>
          <w:bCs/>
          <w:color w:val="auto"/>
          <w:sz w:val="24"/>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开标一览表（报价表）………………………………………………………（页码）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报价情况说明</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（页码）</w:t>
      </w:r>
    </w:p>
    <w:p>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）中小企业声明函………………………………………………………………（页码）</w:t>
      </w:r>
    </w:p>
    <w:p>
      <w:pPr>
        <w:snapToGrid w:val="0"/>
        <w:spacing w:line="360" w:lineRule="auto"/>
        <w:rPr>
          <w:rFonts w:ascii="仿宋" w:hAnsi="仿宋" w:eastAsia="仿宋" w:cs="宋体"/>
          <w:color w:val="auto"/>
          <w:sz w:val="24"/>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杭州市机动车驾驶员考试服务中心、</w:t>
      </w:r>
      <w:r>
        <w:rPr>
          <w:rFonts w:hint="eastAsia" w:ascii="仿宋" w:hAnsi="仿宋" w:eastAsia="仿宋" w:cs="宋体"/>
          <w:color w:val="auto"/>
          <w:sz w:val="24"/>
          <w:highlight w:val="none"/>
          <w:lang w:eastAsia="zh-CN"/>
        </w:rPr>
        <w:t>浙江正浩招标代理有限公司</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2"/>
        <w:tblW w:w="1441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56"/>
        <w:gridCol w:w="1275"/>
        <w:gridCol w:w="5844"/>
        <w:gridCol w:w="1162"/>
        <w:gridCol w:w="1577"/>
        <w:gridCol w:w="1390"/>
        <w:gridCol w:w="1415"/>
        <w:gridCol w:w="99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3" w:hRule="atLeast"/>
          <w:jc w:val="center"/>
        </w:trPr>
        <w:tc>
          <w:tcPr>
            <w:tcW w:w="756" w:type="dxa"/>
            <w:tcBorders>
              <w:top w:val="single" w:color="auto" w:sz="18"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275" w:type="dxa"/>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_GB2312" w:hAnsi="仿宋" w:eastAsia="仿宋_GB2312"/>
                <w:color w:val="auto"/>
                <w:sz w:val="24"/>
                <w:highlight w:val="none"/>
              </w:rPr>
              <w:t>名称</w:t>
            </w:r>
          </w:p>
        </w:tc>
        <w:tc>
          <w:tcPr>
            <w:tcW w:w="5844" w:type="dxa"/>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服务内容</w:t>
            </w:r>
          </w:p>
        </w:tc>
        <w:tc>
          <w:tcPr>
            <w:tcW w:w="1162" w:type="dxa"/>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eastAsia="仿宋" w:cs="仿宋"/>
                <w:color w:val="auto"/>
                <w:sz w:val="24"/>
                <w:highlight w:val="none"/>
              </w:rPr>
            </w:pPr>
            <w:r>
              <w:rPr>
                <w:rFonts w:hint="eastAsia" w:ascii="仿宋" w:hAnsi="仿宋" w:eastAsia="仿宋" w:cs="仿宋"/>
                <w:bCs/>
                <w:color w:val="auto"/>
                <w:sz w:val="24"/>
                <w:highlight w:val="none"/>
              </w:rPr>
              <w:t>人数</w:t>
            </w:r>
          </w:p>
        </w:tc>
        <w:tc>
          <w:tcPr>
            <w:tcW w:w="1577" w:type="dxa"/>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w:t>
            </w:r>
          </w:p>
        </w:tc>
        <w:tc>
          <w:tcPr>
            <w:tcW w:w="1390" w:type="dxa"/>
            <w:tcBorders>
              <w:top w:val="single" w:color="auto" w:sz="18" w:space="0"/>
              <w:left w:val="single" w:color="auto" w:sz="2" w:space="0"/>
              <w:bottom w:val="single" w:color="auto" w:sz="2" w:space="0"/>
              <w:right w:val="single" w:color="auto" w:sz="8"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bCs/>
                <w:color w:val="auto"/>
                <w:sz w:val="24"/>
                <w:highlight w:val="none"/>
              </w:rPr>
              <w:t>服务天数（天）</w:t>
            </w:r>
          </w:p>
        </w:tc>
        <w:tc>
          <w:tcPr>
            <w:tcW w:w="1415" w:type="dxa"/>
            <w:tcBorders>
              <w:top w:val="single" w:color="auto" w:sz="18" w:space="0"/>
              <w:left w:val="single" w:color="auto" w:sz="2" w:space="0"/>
              <w:bottom w:val="single" w:color="auto" w:sz="2" w:space="0"/>
              <w:right w:val="single" w:color="auto" w:sz="8"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合价</w:t>
            </w:r>
          </w:p>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（元）</w:t>
            </w:r>
          </w:p>
        </w:tc>
        <w:tc>
          <w:tcPr>
            <w:tcW w:w="996" w:type="dxa"/>
            <w:tcBorders>
              <w:top w:val="single" w:color="auto" w:sz="18" w:space="0"/>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756" w:type="dxa"/>
            <w:tcBorders>
              <w:top w:val="single" w:color="auto" w:sz="2"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p>
        </w:tc>
        <w:tc>
          <w:tcPr>
            <w:tcW w:w="1275"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工资</w:t>
            </w:r>
          </w:p>
        </w:tc>
        <w:tc>
          <w:tcPr>
            <w:tcW w:w="5844"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包括</w:t>
            </w:r>
            <w:r>
              <w:rPr>
                <w:rFonts w:hint="eastAsia" w:ascii="仿宋" w:hAnsi="仿宋" w:eastAsia="仿宋" w:cs="宋体"/>
                <w:color w:val="auto"/>
                <w:kern w:val="0"/>
                <w:sz w:val="24"/>
                <w:highlight w:val="none"/>
                <w:lang w:val="zh-CN"/>
              </w:rPr>
              <w:t>人员工资、福利、津贴、高温费、加班费、食宿费（甲方提供备勤室的除外）、法律规定的各类社会保险、交通费、培训费、体检费</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lang w:val="zh-CN"/>
              </w:rPr>
              <w:t>。</w:t>
            </w:r>
          </w:p>
        </w:tc>
        <w:tc>
          <w:tcPr>
            <w:tcW w:w="1162"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8人</w:t>
            </w:r>
          </w:p>
        </w:tc>
        <w:tc>
          <w:tcPr>
            <w:tcW w:w="1577"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/人/天</w:t>
            </w:r>
          </w:p>
        </w:tc>
        <w:tc>
          <w:tcPr>
            <w:tcW w:w="1390" w:type="dxa"/>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5</w:t>
            </w:r>
          </w:p>
        </w:tc>
        <w:tc>
          <w:tcPr>
            <w:tcW w:w="1415" w:type="dxa"/>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996" w:type="dxa"/>
            <w:tcBorders>
              <w:top w:val="single" w:color="auto" w:sz="2" w:space="0"/>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756" w:type="dxa"/>
            <w:tcBorders>
              <w:top w:val="single" w:color="auto" w:sz="2"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w:t>
            </w:r>
          </w:p>
        </w:tc>
        <w:tc>
          <w:tcPr>
            <w:tcW w:w="1275"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服装费</w:t>
            </w:r>
          </w:p>
        </w:tc>
        <w:tc>
          <w:tcPr>
            <w:tcW w:w="5844"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服装费：</w:t>
            </w:r>
            <w:r>
              <w:rPr>
                <w:rFonts w:hint="eastAsia" w:ascii="仿宋" w:hAnsi="仿宋" w:eastAsia="仿宋" w:cs="仿宋"/>
                <w:color w:val="auto"/>
                <w:sz w:val="24"/>
                <w:highlight w:val="none"/>
                <w:lang w:val="zh-CN"/>
              </w:rPr>
              <w:t>配备春秋装、夏装、冬装各两套，冬大衣、白手套、皮鞋、每人各一套。</w:t>
            </w:r>
          </w:p>
        </w:tc>
        <w:tc>
          <w:tcPr>
            <w:tcW w:w="1162"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8套</w:t>
            </w:r>
          </w:p>
        </w:tc>
        <w:tc>
          <w:tcPr>
            <w:tcW w:w="1577"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/套</w:t>
            </w:r>
          </w:p>
        </w:tc>
        <w:tc>
          <w:tcPr>
            <w:tcW w:w="1390" w:type="dxa"/>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r>
              <w:rPr>
                <w:rFonts w:ascii="仿宋" w:hAnsi="仿宋" w:eastAsia="仿宋" w:cs="仿宋"/>
                <w:bCs/>
                <w:color w:val="auto"/>
                <w:sz w:val="24"/>
                <w:highlight w:val="none"/>
              </w:rPr>
              <w:t>/</w:t>
            </w:r>
          </w:p>
        </w:tc>
        <w:tc>
          <w:tcPr>
            <w:tcW w:w="1415" w:type="dxa"/>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996" w:type="dxa"/>
            <w:tcBorders>
              <w:top w:val="single" w:color="auto" w:sz="2" w:space="0"/>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9" w:hRule="atLeast"/>
          <w:jc w:val="center"/>
        </w:trPr>
        <w:tc>
          <w:tcPr>
            <w:tcW w:w="756" w:type="dxa"/>
            <w:vMerge w:val="restart"/>
            <w:tcBorders>
              <w:top w:val="single" w:color="auto" w:sz="2" w:space="0"/>
              <w:left w:val="single" w:color="auto" w:sz="18"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3</w:t>
            </w:r>
          </w:p>
        </w:tc>
        <w:tc>
          <w:tcPr>
            <w:tcW w:w="1275" w:type="dxa"/>
            <w:vMerge w:val="restart"/>
            <w:tcBorders>
              <w:top w:val="single" w:color="auto" w:sz="2" w:space="0"/>
              <w:left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装备费</w:t>
            </w:r>
          </w:p>
        </w:tc>
        <w:tc>
          <w:tcPr>
            <w:tcW w:w="5844"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装备费：每人配备强光手电、辣椒水、武装带、伸缩警棍各</w:t>
            </w:r>
            <w:r>
              <w:rPr>
                <w:rFonts w:ascii="仿宋" w:hAnsi="仿宋" w:eastAsia="仿宋" w:cs="仿宋"/>
                <w:color w:val="auto"/>
                <w:sz w:val="24"/>
                <w:highlight w:val="none"/>
              </w:rPr>
              <w:t>1件。</w:t>
            </w:r>
          </w:p>
        </w:tc>
        <w:tc>
          <w:tcPr>
            <w:tcW w:w="1162" w:type="dxa"/>
            <w:tcBorders>
              <w:top w:val="single" w:color="auto" w:sz="2" w:space="0"/>
              <w:left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8套</w:t>
            </w:r>
          </w:p>
        </w:tc>
        <w:tc>
          <w:tcPr>
            <w:tcW w:w="1577" w:type="dxa"/>
            <w:tcBorders>
              <w:top w:val="single" w:color="auto" w:sz="2" w:space="0"/>
              <w:left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/套</w:t>
            </w:r>
          </w:p>
        </w:tc>
        <w:tc>
          <w:tcPr>
            <w:tcW w:w="1390" w:type="dxa"/>
            <w:vMerge w:val="restart"/>
            <w:tcBorders>
              <w:top w:val="single" w:color="auto" w:sz="2" w:space="0"/>
              <w:left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r>
              <w:rPr>
                <w:rFonts w:ascii="仿宋" w:hAnsi="仿宋" w:eastAsia="仿宋" w:cs="仿宋"/>
                <w:bCs/>
                <w:color w:val="auto"/>
                <w:sz w:val="24"/>
                <w:highlight w:val="none"/>
              </w:rPr>
              <w:t>/</w:t>
            </w:r>
          </w:p>
        </w:tc>
        <w:tc>
          <w:tcPr>
            <w:tcW w:w="1415" w:type="dxa"/>
            <w:vMerge w:val="restart"/>
            <w:tcBorders>
              <w:top w:val="single" w:color="auto" w:sz="2" w:space="0"/>
              <w:left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996" w:type="dxa"/>
            <w:vMerge w:val="restart"/>
            <w:tcBorders>
              <w:top w:val="single" w:color="auto" w:sz="2" w:space="0"/>
              <w:left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jc w:val="center"/>
        </w:trPr>
        <w:tc>
          <w:tcPr>
            <w:tcW w:w="756" w:type="dxa"/>
            <w:vMerge w:val="continue"/>
            <w:tcBorders>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p>
        </w:tc>
        <w:tc>
          <w:tcPr>
            <w:tcW w:w="1275" w:type="dxa"/>
            <w:vMerge w:val="continue"/>
            <w:tcBorders>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p>
        </w:tc>
        <w:tc>
          <w:tcPr>
            <w:tcW w:w="5844" w:type="dxa"/>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每岗配备对讲机</w:t>
            </w:r>
            <w:r>
              <w:rPr>
                <w:rFonts w:hint="eastAsia" w:ascii="仿宋" w:hAnsi="仿宋" w:eastAsia="仿宋" w:cs="仿宋"/>
                <w:color w:val="auto"/>
                <w:sz w:val="24"/>
                <w:highlight w:val="none"/>
                <w:lang w:val="zh-CN"/>
              </w:rPr>
              <w:t>。</w:t>
            </w:r>
          </w:p>
        </w:tc>
        <w:tc>
          <w:tcPr>
            <w:tcW w:w="1162" w:type="dxa"/>
            <w:tcBorders>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15台</w:t>
            </w:r>
          </w:p>
        </w:tc>
        <w:tc>
          <w:tcPr>
            <w:tcW w:w="1577" w:type="dxa"/>
            <w:tcBorders>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元</w:t>
            </w:r>
            <w:r>
              <w:rPr>
                <w:rFonts w:hint="eastAsia" w:ascii="仿宋" w:hAnsi="仿宋" w:eastAsia="仿宋" w:cs="仿宋"/>
                <w:color w:val="auto"/>
                <w:kern w:val="0"/>
                <w:sz w:val="24"/>
                <w:highlight w:val="none"/>
              </w:rPr>
              <w:t>/台</w:t>
            </w:r>
          </w:p>
        </w:tc>
        <w:tc>
          <w:tcPr>
            <w:tcW w:w="1390" w:type="dxa"/>
            <w:vMerge w:val="continue"/>
            <w:tcBorders>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Cs/>
                <w:color w:val="auto"/>
                <w:sz w:val="24"/>
                <w:highlight w:val="none"/>
              </w:rPr>
            </w:pPr>
          </w:p>
        </w:tc>
        <w:tc>
          <w:tcPr>
            <w:tcW w:w="1415" w:type="dxa"/>
            <w:vMerge w:val="continue"/>
            <w:tcBorders>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color w:val="auto"/>
                <w:sz w:val="24"/>
                <w:highlight w:val="none"/>
              </w:rPr>
            </w:pPr>
          </w:p>
        </w:tc>
        <w:tc>
          <w:tcPr>
            <w:tcW w:w="996" w:type="dxa"/>
            <w:vMerge w:val="continue"/>
            <w:tcBorders>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9" w:hRule="atLeast"/>
          <w:jc w:val="center"/>
        </w:trPr>
        <w:tc>
          <w:tcPr>
            <w:tcW w:w="9037" w:type="dxa"/>
            <w:gridSpan w:val="4"/>
            <w:tcBorders>
              <w:top w:val="single" w:color="auto" w:sz="18" w:space="0"/>
              <w:left w:val="single" w:color="auto" w:sz="18" w:space="0"/>
              <w:bottom w:val="single" w:color="auto" w:sz="2" w:space="0"/>
              <w:right w:val="single" w:color="auto" w:sz="4" w:space="0"/>
            </w:tcBorders>
            <w:noWrap/>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投标报价（小写）人民币</w:t>
            </w:r>
          </w:p>
        </w:tc>
        <w:tc>
          <w:tcPr>
            <w:tcW w:w="5378" w:type="dxa"/>
            <w:gridSpan w:val="4"/>
            <w:tcBorders>
              <w:top w:val="single" w:color="auto" w:sz="18" w:space="0"/>
              <w:left w:val="single" w:color="auto" w:sz="4" w:space="0"/>
              <w:bottom w:val="single" w:color="auto" w:sz="2" w:space="0"/>
              <w:right w:val="single" w:color="auto" w:sz="18" w:space="0"/>
            </w:tcBorders>
            <w:noWrap/>
            <w:vAlign w:val="center"/>
          </w:tcPr>
          <w:p>
            <w:pPr>
              <w:snapToGrid w:val="0"/>
              <w:spacing w:line="276" w:lineRule="auto"/>
              <w:rPr>
                <w:rFonts w:ascii="仿宋" w:hAnsi="仿宋" w:eastAsia="仿宋" w:cs="仿宋"/>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9" w:hRule="atLeast"/>
          <w:jc w:val="center"/>
        </w:trPr>
        <w:tc>
          <w:tcPr>
            <w:tcW w:w="9037" w:type="dxa"/>
            <w:gridSpan w:val="4"/>
            <w:tcBorders>
              <w:top w:val="single" w:color="auto" w:sz="2" w:space="0"/>
              <w:left w:val="single" w:color="auto" w:sz="18" w:space="0"/>
              <w:bottom w:val="single" w:color="auto" w:sz="18" w:space="0"/>
              <w:right w:val="single" w:color="auto" w:sz="4" w:space="0"/>
            </w:tcBorders>
            <w:noWrap/>
          </w:tcPr>
          <w:p>
            <w:pPr>
              <w:snapToGrid w:val="0"/>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投标报价（大写）人民币</w:t>
            </w:r>
          </w:p>
        </w:tc>
        <w:tc>
          <w:tcPr>
            <w:tcW w:w="5378" w:type="dxa"/>
            <w:gridSpan w:val="4"/>
            <w:tcBorders>
              <w:top w:val="single" w:color="auto" w:sz="2" w:space="0"/>
              <w:left w:val="single" w:color="auto" w:sz="4" w:space="0"/>
              <w:bottom w:val="single" w:color="auto" w:sz="18" w:space="0"/>
              <w:right w:val="single" w:color="auto" w:sz="18" w:space="0"/>
            </w:tcBorders>
            <w:noWrap/>
            <w:vAlign w:val="center"/>
          </w:tcPr>
          <w:p>
            <w:pPr>
              <w:snapToGrid w:val="0"/>
              <w:spacing w:line="276" w:lineRule="auto"/>
              <w:rPr>
                <w:rFonts w:ascii="仿宋" w:hAnsi="仿宋" w:eastAsia="仿宋" w:cs="仿宋"/>
                <w:color w:val="auto"/>
                <w:kern w:val="0"/>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
        <w:rPr>
          <w:rFonts w:eastAsia="仿宋"/>
          <w:color w:val="auto"/>
          <w:highlight w:val="none"/>
          <w:lang w:val="en-US"/>
        </w:rPr>
      </w:pPr>
    </w:p>
    <w:p>
      <w:pPr>
        <w:spacing w:line="360" w:lineRule="auto"/>
        <w:ind w:firstLine="482" w:firstLineChars="200"/>
        <w:rPr>
          <w:rFonts w:ascii="仿宋" w:hAnsi="仿宋" w:eastAsia="仿宋"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 w:hAnsi="仿宋" w:eastAsia="仿宋"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numPr>
          <w:ilvl w:val="0"/>
          <w:numId w:val="5"/>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pPr>
        <w:pStyle w:val="3"/>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hint="eastAsia" w:ascii="仿宋" w:hAnsi="仿宋" w:eastAsia="仿宋" w:cs="宋体"/>
          <w:b/>
          <w:color w:val="auto"/>
          <w:spacing w:val="6"/>
          <w:sz w:val="40"/>
          <w:szCs w:val="40"/>
          <w:highlight w:val="none"/>
        </w:rPr>
      </w:pPr>
    </w:p>
    <w:p>
      <w:pPr>
        <w:rPr>
          <w:rFonts w:hint="eastAsia" w:ascii="仿宋" w:hAnsi="仿宋" w:eastAsia="仿宋" w:cs="宋体"/>
          <w:b/>
          <w:color w:val="auto"/>
          <w:spacing w:val="6"/>
          <w:sz w:val="40"/>
          <w:szCs w:val="40"/>
          <w:highlight w:val="none"/>
        </w:rPr>
      </w:pPr>
      <w:r>
        <w:rPr>
          <w:rFonts w:hint="eastAsia" w:ascii="仿宋" w:hAnsi="仿宋" w:eastAsia="仿宋" w:cs="宋体"/>
          <w:b/>
          <w:color w:val="auto"/>
          <w:spacing w:val="6"/>
          <w:sz w:val="40"/>
          <w:szCs w:val="40"/>
          <w:highlight w:val="none"/>
        </w:rPr>
        <w:br w:type="page"/>
      </w:r>
    </w:p>
    <w:p>
      <w:pPr>
        <w:spacing w:line="360" w:lineRule="auto"/>
        <w:jc w:val="center"/>
        <w:rPr>
          <w:rFonts w:ascii="仿宋" w:hAnsi="仿宋" w:eastAsia="仿宋" w:cs="宋体"/>
          <w:b/>
          <w:color w:val="auto"/>
          <w:spacing w:val="6"/>
          <w:sz w:val="40"/>
          <w:szCs w:val="40"/>
          <w:highlight w:val="none"/>
        </w:rPr>
      </w:pPr>
      <w:r>
        <w:rPr>
          <w:rFonts w:hint="eastAsia" w:ascii="仿宋" w:hAnsi="仿宋" w:eastAsia="仿宋" w:cs="宋体"/>
          <w:b/>
          <w:color w:val="auto"/>
          <w:spacing w:val="6"/>
          <w:sz w:val="40"/>
          <w:szCs w:val="40"/>
          <w:highlight w:val="none"/>
        </w:rPr>
        <w:t>附件</w:t>
      </w:r>
    </w:p>
    <w:p>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pPr>
        <w:spacing w:line="360" w:lineRule="auto"/>
        <w:jc w:val="center"/>
        <w:rPr>
          <w:rFonts w:ascii="仿宋" w:hAnsi="仿宋" w:eastAsia="仿宋" w:cs="宋体"/>
          <w:b/>
          <w:color w:val="auto"/>
          <w:spacing w:val="6"/>
          <w:sz w:val="32"/>
          <w:szCs w:val="32"/>
          <w:highlight w:val="none"/>
        </w:rPr>
      </w:pPr>
      <w:bookmarkStart w:id="397" w:name="OLE_LINK13"/>
      <w:bookmarkStart w:id="398" w:name="OLE_LINK14"/>
      <w:r>
        <w:rPr>
          <w:rFonts w:hint="eastAsia" w:ascii="仿宋" w:hAnsi="仿宋" w:eastAsia="仿宋" w:cs="宋体"/>
          <w:b/>
          <w:color w:val="auto"/>
          <w:spacing w:val="6"/>
          <w:sz w:val="32"/>
          <w:szCs w:val="32"/>
          <w:highlight w:val="none"/>
        </w:rPr>
        <w:t>残疾人福利性单位声明函</w:t>
      </w:r>
    </w:p>
    <w:bookmarkEnd w:id="397"/>
    <w:bookmarkEnd w:id="398"/>
    <w:p>
      <w:pPr>
        <w:spacing w:line="360" w:lineRule="auto"/>
        <w:rPr>
          <w:rFonts w:ascii="仿宋" w:hAnsi="仿宋" w:eastAsia="仿宋" w:cs="宋体"/>
          <w:b/>
          <w:color w:val="auto"/>
          <w:spacing w:val="6"/>
          <w:sz w:val="30"/>
          <w:szCs w:val="30"/>
          <w:highlight w:val="none"/>
        </w:rPr>
      </w:pP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lang w:eastAsia="zh-CN"/>
        </w:rPr>
        <w:t>机动车驾驶员考试服务后勤经费-保安服务费</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投标人名称（电子签名）</w:t>
      </w:r>
      <w:r>
        <w:rPr>
          <w:rFonts w:hint="eastAsia" w:ascii="仿宋" w:hAnsi="仿宋" w:eastAsia="仿宋" w:cs="宋体"/>
          <w:color w:val="auto"/>
          <w:sz w:val="24"/>
          <w:highlight w:val="none"/>
        </w:rPr>
        <w:t>：</w:t>
      </w: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pPr>
        <w:spacing w:line="360" w:lineRule="auto"/>
        <w:ind w:firstLine="480" w:firstLineChars="200"/>
        <w:rPr>
          <w:rFonts w:ascii="仿宋" w:hAnsi="仿宋" w:eastAsia="仿宋" w:cs="宋体"/>
          <w:color w:val="auto"/>
          <w:sz w:val="24"/>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jc w:val="left"/>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附件2：质疑函范本及制作说明</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pPr>
        <w:snapToGrid w:val="0"/>
        <w:spacing w:line="360" w:lineRule="auto"/>
        <w:rPr>
          <w:rFonts w:ascii="仿宋" w:hAnsi="仿宋" w:eastAsia="仿宋" w:cs="宋体"/>
          <w:color w:val="auto"/>
          <w:sz w:val="24"/>
          <w:highlight w:val="none"/>
          <w:u w:val="dotted"/>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jc w:val="center"/>
        <w:rPr>
          <w:rFonts w:ascii="仿宋" w:hAnsi="仿宋" w:eastAsia="仿宋" w:cs="宋体"/>
          <w:b/>
          <w:bCs/>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auto"/>
          <w:sz w:val="30"/>
          <w:szCs w:val="30"/>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附件3：投诉书范本及制作说明</w:t>
      </w: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pPr>
        <w:spacing w:line="360" w:lineRule="auto"/>
        <w:rPr>
          <w:rFonts w:ascii="仿宋" w:hAnsi="仿宋" w:eastAsia="仿宋" w:cs="宋体"/>
          <w:color w:val="auto"/>
          <w:sz w:val="24"/>
          <w:highlight w:val="none"/>
          <w:u w:val="dotted"/>
        </w:rPr>
      </w:pPr>
    </w:p>
    <w:p>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auto"/>
          <w:sz w:val="24"/>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bCs/>
          <w:color w:val="auto"/>
          <w:sz w:val="32"/>
          <w:szCs w:val="32"/>
          <w:highlight w:val="none"/>
        </w:rPr>
      </w:pPr>
      <w:r>
        <w:rPr>
          <w:rFonts w:hint="eastAsia" w:ascii="仿宋" w:hAnsi="仿宋" w:eastAsia="仿宋" w:cs="宋体"/>
          <w:b/>
          <w:color w:val="auto"/>
          <w:spacing w:val="6"/>
          <w:sz w:val="32"/>
          <w:szCs w:val="32"/>
          <w:highlight w:val="none"/>
        </w:rPr>
        <w:t>附件4：</w:t>
      </w:r>
      <w:r>
        <w:rPr>
          <w:rFonts w:hint="eastAsia" w:ascii="仿宋" w:hAnsi="仿宋" w:eastAsia="仿宋" w:cs="宋体"/>
          <w:b/>
          <w:bCs/>
          <w:color w:val="auto"/>
          <w:sz w:val="32"/>
          <w:szCs w:val="32"/>
          <w:highlight w:val="none"/>
        </w:rPr>
        <w:t>业务专用章使用说明函</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杭州市机动车驾驶员考试服务中心、</w:t>
      </w:r>
      <w:r>
        <w:rPr>
          <w:rFonts w:hint="eastAsia" w:ascii="仿宋" w:hAnsi="仿宋" w:eastAsia="仿宋" w:cs="宋体"/>
          <w:color w:val="auto"/>
          <w:sz w:val="24"/>
          <w:highlight w:val="none"/>
          <w:u w:val="single"/>
          <w:lang w:eastAsia="zh-CN"/>
        </w:rPr>
        <w:t>浙江正浩招标代理有限公司</w:t>
      </w:r>
      <w:r>
        <w:rPr>
          <w:rFonts w:hint="eastAsia" w:ascii="仿宋" w:hAnsi="仿宋" w:eastAsia="仿宋" w:cs="宋体"/>
          <w:color w:val="auto"/>
          <w:sz w:val="24"/>
          <w:highlight w:val="none"/>
          <w:u w:val="singl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宋体"/>
          <w:b/>
          <w:color w:val="auto"/>
          <w:sz w:val="24"/>
          <w:highlight w:val="none"/>
        </w:rPr>
      </w:pP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 xml:space="preserve">投标。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399"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399"/>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400" w:name="_Hlk101133598"/>
      <w:r>
        <w:rPr>
          <w:rFonts w:hint="eastAsia" w:ascii="仿宋" w:hAnsi="仿宋" w:eastAsia="仿宋"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400"/>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01" w:name="_Hlk101133173"/>
      <w:r>
        <w:rPr>
          <w:rFonts w:hint="eastAsia" w:ascii="仿宋" w:hAnsi="仿宋" w:eastAsia="仿宋" w:cs="宋体"/>
          <w:color w:val="auto"/>
          <w:sz w:val="24"/>
          <w:highlight w:val="none"/>
        </w:rPr>
        <w:t>中小企业合同金额达到%，小微企业合同金额达到%</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401"/>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snapToGrid w:val="0"/>
        <w:spacing w:line="360" w:lineRule="auto"/>
        <w:ind w:firstLine="3666" w:firstLineChars="1100"/>
        <w:rPr>
          <w:rFonts w:ascii="仿宋" w:hAnsi="仿宋" w:eastAsia="仿宋" w:cs="宋体"/>
          <w:b/>
          <w:color w:val="auto"/>
          <w:spacing w:val="6"/>
          <w:sz w:val="32"/>
          <w:szCs w:val="32"/>
          <w:highlight w:val="none"/>
        </w:rPr>
      </w:pPr>
    </w:p>
    <w:p>
      <w:pPr>
        <w:widowControl/>
        <w:adjustRightInd/>
        <w:jc w:val="left"/>
        <w:rPr>
          <w:rFonts w:ascii="仿宋" w:hAnsi="仿宋" w:eastAsia="仿宋" w:cs="宋体"/>
          <w:b/>
          <w:color w:val="auto"/>
          <w:spacing w:val="6"/>
          <w:sz w:val="32"/>
          <w:szCs w:val="32"/>
          <w:highlight w:val="none"/>
        </w:rPr>
      </w:pPr>
      <w:r>
        <w:rPr>
          <w:rFonts w:ascii="仿宋" w:hAnsi="仿宋" w:eastAsia="仿宋" w:cs="宋体"/>
          <w:b/>
          <w:color w:val="auto"/>
          <w:spacing w:val="6"/>
          <w:sz w:val="32"/>
          <w:szCs w:val="32"/>
          <w:highlight w:val="none"/>
        </w:rPr>
        <w:br w:type="page"/>
      </w:r>
    </w:p>
    <w:p>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rPr>
        <w:t>分包意向协议</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lang w:eastAsia="zh-CN"/>
        </w:rPr>
        <w:t>机动车驾驶员考试服务后勤经费-保安服务费</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lang w:eastAsia="zh-CN"/>
        </w:rPr>
        <w:t>ZHZB-2024HZGA-04</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p>
    <w:p>
      <w:pPr>
        <w:pStyle w:val="3"/>
        <w:ind w:left="664" w:leftChars="316" w:firstLine="229" w:firstLineChars="95"/>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w:t>
      </w:r>
    </w:p>
    <w:p>
      <w:pPr>
        <w:rPr>
          <w:rFonts w:ascii="仿宋" w:hAnsi="仿宋" w:eastAsia="仿宋"/>
          <w:color w:val="auto"/>
          <w:highlight w:val="none"/>
        </w:rPr>
      </w:pP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……）提供的服务全部由小微企业承接，</w:t>
      </w:r>
      <w:r>
        <w:rPr>
          <w:rFonts w:hint="eastAsia" w:ascii="仿宋" w:hAnsi="仿宋" w:eastAsia="仿宋" w:cs="宋体"/>
          <w:color w:val="auto"/>
          <w:kern w:val="0"/>
          <w:sz w:val="24"/>
          <w:highlight w:val="none"/>
        </w:rPr>
        <w:t>其合同份额占到合同总金额%以上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2、中小企业合同金额达到%，小微企业合同金额达到%</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pPr>
        <w:snapToGrid w:val="0"/>
        <w:spacing w:line="360" w:lineRule="auto"/>
        <w:ind w:firstLine="576"/>
        <w:rPr>
          <w:rFonts w:ascii="仿宋" w:hAnsi="仿宋" w:eastAsia="仿宋" w:cs="宋体"/>
          <w:color w:val="auto"/>
          <w:highlight w:val="none"/>
          <w:u w:val="single"/>
        </w:rPr>
      </w:pP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pPr>
        <w:snapToGrid w:val="0"/>
        <w:spacing w:line="360" w:lineRule="auto"/>
        <w:ind w:firstLine="576"/>
        <w:rPr>
          <w:rFonts w:ascii="仿宋" w:hAnsi="仿宋" w:eastAsia="仿宋" w:cs="宋体"/>
          <w:color w:val="auto"/>
          <w:kern w:val="0"/>
          <w:sz w:val="24"/>
          <w:highlight w:val="none"/>
          <w:lang w:val="zh-CN"/>
        </w:rPr>
      </w:pP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pPr>
        <w:snapToGrid w:val="0"/>
        <w:spacing w:line="360" w:lineRule="auto"/>
        <w:ind w:left="573" w:leftChars="273"/>
        <w:rPr>
          <w:rFonts w:ascii="仿宋" w:hAnsi="仿宋" w:eastAsia="仿宋" w:cs="宋体"/>
          <w:color w:val="auto"/>
          <w:kern w:val="0"/>
          <w:sz w:val="24"/>
          <w:highlight w:val="none"/>
          <w:lang w:val="zh-CN"/>
        </w:rPr>
      </w:pPr>
    </w:p>
    <w:p>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pPr>
        <w:snapToGrid w:val="0"/>
        <w:spacing w:line="360" w:lineRule="auto"/>
        <w:ind w:firstLine="576"/>
        <w:rPr>
          <w:rFonts w:ascii="仿宋" w:hAnsi="仿宋" w:eastAsia="仿宋" w:cs="宋体"/>
          <w:color w:val="auto"/>
          <w:kern w:val="0"/>
          <w:sz w:val="24"/>
          <w:highlight w:val="none"/>
          <w:lang w:val="zh-CN"/>
        </w:rPr>
      </w:pP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pPr>
        <w:snapToGrid w:val="0"/>
        <w:spacing w:line="360" w:lineRule="auto"/>
        <w:ind w:firstLine="576"/>
        <w:rPr>
          <w:rFonts w:ascii="仿宋" w:hAnsi="仿宋" w:eastAsia="仿宋" w:cs="宋体"/>
          <w:color w:val="auto"/>
          <w:kern w:val="0"/>
          <w:sz w:val="24"/>
          <w:highlight w:val="none"/>
          <w:lang w:val="zh-CN"/>
        </w:rPr>
      </w:pP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八、其他</w:t>
      </w:r>
    </w:p>
    <w:p>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中小企业合同金额达到%，小微企业合同金额达到%</w:t>
      </w:r>
      <w:r>
        <w:rPr>
          <w:rFonts w:hint="eastAsia" w:ascii="仿宋" w:hAnsi="仿宋" w:eastAsia="仿宋" w:cs="宋体"/>
          <w:color w:val="auto"/>
          <w:kern w:val="0"/>
          <w:sz w:val="24"/>
          <w:highlight w:val="none"/>
          <w:lang w:val="zh-CN"/>
        </w:rPr>
        <w:t xml:space="preserve">  。                                           投标人名称(电子签名)：</w:t>
      </w:r>
    </w:p>
    <w:p>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autoSpaceDE w:val="0"/>
        <w:autoSpaceDN w:val="0"/>
        <w:jc w:val="center"/>
        <w:rPr>
          <w:rFonts w:ascii="仿宋" w:hAnsi="仿宋" w:eastAsia="仿宋" w:cs="宋体"/>
          <w:b/>
          <w:color w:val="auto"/>
          <w:spacing w:val="6"/>
          <w:sz w:val="32"/>
          <w:szCs w:val="32"/>
          <w:highlight w:val="none"/>
        </w:rPr>
      </w:pPr>
    </w:p>
    <w:p>
      <w:pPr>
        <w:spacing w:line="360" w:lineRule="auto"/>
        <w:jc w:val="left"/>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：中小企业声明函</w:t>
      </w:r>
    </w:p>
    <w:p>
      <w:pPr>
        <w:spacing w:line="360" w:lineRule="auto"/>
        <w:jc w:val="center"/>
        <w:rPr>
          <w:rFonts w:ascii="仿宋" w:hAnsi="仿宋" w:eastAsia="仿宋" w:cs="宋体"/>
          <w:color w:val="auto"/>
          <w:sz w:val="24"/>
          <w:highlight w:val="none"/>
          <w:u w:val="single"/>
        </w:rPr>
      </w:pPr>
    </w:p>
    <w:p>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杭州市机动车驾驶员考试服务中心</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机动车驾驶员考试服务后勤经费-保安服务费</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投标人名称（电子签名）：</w:t>
      </w:r>
    </w:p>
    <w:p>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pPr>
        <w:spacing w:line="360" w:lineRule="auto"/>
        <w:ind w:firstLine="310" w:firstLineChars="147"/>
        <w:jc w:val="left"/>
        <w:rPr>
          <w:rFonts w:ascii="仿宋" w:hAnsi="仿宋" w:eastAsia="仿宋" w:cs="宋体"/>
          <w:b/>
          <w:color w:val="auto"/>
          <w:szCs w:val="21"/>
          <w:highlight w:val="none"/>
        </w:rPr>
      </w:pPr>
      <w:r>
        <w:rPr>
          <w:rFonts w:hint="eastAsia" w:ascii="仿宋" w:hAnsi="仿宋" w:eastAsia="仿宋" w:cs="宋体"/>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宋体"/>
          <w:color w:val="auto"/>
          <w:sz w:val="24"/>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 xml:space="preserve">   注：</w:t>
      </w:r>
    </w:p>
    <w:p>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仿宋" w:eastAsia="仿宋" w:cs="宋体"/>
          <w:color w:val="auto"/>
          <w:highlight w:val="none"/>
          <w:lang w:val="en-US"/>
        </w:rPr>
      </w:pPr>
    </w:p>
    <w:p>
      <w:pPr>
        <w:spacing w:line="360" w:lineRule="auto"/>
        <w:ind w:right="420"/>
        <w:rPr>
          <w:rFonts w:ascii="仿宋" w:hAnsi="仿宋" w:eastAsia="仿宋" w:cs="宋体"/>
          <w:color w:val="auto"/>
          <w:highlight w:val="none"/>
        </w:rPr>
      </w:pPr>
    </w:p>
    <w:p>
      <w:pPr>
        <w:spacing w:line="360" w:lineRule="auto"/>
        <w:rPr>
          <w:rFonts w:ascii="仿宋" w:hAnsi="仿宋" w:eastAsia="仿宋"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宋体"/>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402" w:name="_Toc91899912"/>
    <w:bookmarkStart w:id="403" w:name="_Toc36110187"/>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2935C"/>
    <w:multiLevelType w:val="multilevel"/>
    <w:tmpl w:val="15C2935C"/>
    <w:lvl w:ilvl="0" w:tentative="0">
      <w:start w:val="1"/>
      <w:numFmt w:val="decimal"/>
      <w:suff w:val="space"/>
      <w:lvlText w:val="（%1）"/>
      <w:lvlJc w:val="left"/>
      <w:pPr>
        <w:ind w:left="0" w:leftChars="0" w:firstLine="0" w:firstLineChars="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B85C87A"/>
    <w:multiLevelType w:val="multilevel"/>
    <w:tmpl w:val="4B85C87A"/>
    <w:lvl w:ilvl="0" w:tentative="0">
      <w:start w:val="1"/>
      <w:numFmt w:val="decimal"/>
      <w:lvlText w:val="（%1）"/>
      <w:lvlJc w:val="left"/>
      <w:pPr>
        <w:ind w:left="114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4C2881C"/>
    <w:multiLevelType w:val="singleLevel"/>
    <w:tmpl w:val="64C2881C"/>
    <w:lvl w:ilvl="0" w:tentative="0">
      <w:start w:val="1"/>
      <w:numFmt w:val="decimal"/>
      <w:suff w:val="nothing"/>
      <w:lvlText w:val="（%1）"/>
      <w:lvlJc w:val="left"/>
    </w:lvl>
  </w:abstractNum>
  <w:abstractNum w:abstractNumId="4">
    <w:nsid w:val="724E7D6F"/>
    <w:multiLevelType w:val="singleLevel"/>
    <w:tmpl w:val="724E7D6F"/>
    <w:lvl w:ilvl="0" w:tentative="0">
      <w:start w:val="6"/>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WNhMDZhNGE2M2NkMDk4OTU3MzNkMWMxYzA3ZjcifQ=="/>
  </w:docVars>
  <w:rsids>
    <w:rsidRoot w:val="00172A27"/>
    <w:rsid w:val="00000451"/>
    <w:rsid w:val="00000AD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32"/>
    <w:rsid w:val="00011A4B"/>
    <w:rsid w:val="00012251"/>
    <w:rsid w:val="000125E5"/>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D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78A"/>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3D"/>
    <w:rsid w:val="000C3970"/>
    <w:rsid w:val="000C3B1A"/>
    <w:rsid w:val="000C4727"/>
    <w:rsid w:val="000C47AE"/>
    <w:rsid w:val="000C47BC"/>
    <w:rsid w:val="000C51AD"/>
    <w:rsid w:val="000C5374"/>
    <w:rsid w:val="000C5EC0"/>
    <w:rsid w:val="000C6162"/>
    <w:rsid w:val="000C64CC"/>
    <w:rsid w:val="000C6688"/>
    <w:rsid w:val="000C692E"/>
    <w:rsid w:val="000C6B28"/>
    <w:rsid w:val="000C7BEB"/>
    <w:rsid w:val="000D0124"/>
    <w:rsid w:val="000D11E5"/>
    <w:rsid w:val="000D13EE"/>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CFD"/>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81B"/>
    <w:rsid w:val="0010304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F34"/>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0B3"/>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A6E"/>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EB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A4A"/>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428"/>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A4"/>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49D"/>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508"/>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820"/>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978"/>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1B4"/>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B98"/>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1CB"/>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A44"/>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850"/>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CAF"/>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AA9"/>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EF6"/>
    <w:rsid w:val="00622B22"/>
    <w:rsid w:val="00622F67"/>
    <w:rsid w:val="00623571"/>
    <w:rsid w:val="00623A5E"/>
    <w:rsid w:val="006241E9"/>
    <w:rsid w:val="00625008"/>
    <w:rsid w:val="0062548B"/>
    <w:rsid w:val="00626710"/>
    <w:rsid w:val="00626930"/>
    <w:rsid w:val="00626AD3"/>
    <w:rsid w:val="00626BAC"/>
    <w:rsid w:val="006271C3"/>
    <w:rsid w:val="00627811"/>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6F4"/>
    <w:rsid w:val="006527D3"/>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6F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E33"/>
    <w:rsid w:val="006A39D0"/>
    <w:rsid w:val="006A3E91"/>
    <w:rsid w:val="006A430B"/>
    <w:rsid w:val="006A4321"/>
    <w:rsid w:val="006A4E20"/>
    <w:rsid w:val="006A4F11"/>
    <w:rsid w:val="006A563C"/>
    <w:rsid w:val="006A5A6F"/>
    <w:rsid w:val="006A5F7E"/>
    <w:rsid w:val="006A6786"/>
    <w:rsid w:val="006A6A17"/>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554"/>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BA9"/>
    <w:rsid w:val="006F0CB2"/>
    <w:rsid w:val="006F1DE9"/>
    <w:rsid w:val="006F2046"/>
    <w:rsid w:val="006F2F59"/>
    <w:rsid w:val="006F311E"/>
    <w:rsid w:val="006F3442"/>
    <w:rsid w:val="006F36A5"/>
    <w:rsid w:val="006F40F3"/>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5AE"/>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766"/>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6FE"/>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8D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526"/>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6D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0E1"/>
    <w:rsid w:val="008465B4"/>
    <w:rsid w:val="0084665B"/>
    <w:rsid w:val="00846D25"/>
    <w:rsid w:val="008477F2"/>
    <w:rsid w:val="00847E20"/>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8A"/>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2B"/>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677"/>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4E0"/>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AEC"/>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08C"/>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8B"/>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CD"/>
    <w:rsid w:val="00A41C9A"/>
    <w:rsid w:val="00A41D73"/>
    <w:rsid w:val="00A4236D"/>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A63"/>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139"/>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3A6"/>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F0F"/>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77DEF"/>
    <w:rsid w:val="00B804F8"/>
    <w:rsid w:val="00B8095A"/>
    <w:rsid w:val="00B81274"/>
    <w:rsid w:val="00B815D3"/>
    <w:rsid w:val="00B81742"/>
    <w:rsid w:val="00B817B5"/>
    <w:rsid w:val="00B821B1"/>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8B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96A"/>
    <w:rsid w:val="00BA7CD7"/>
    <w:rsid w:val="00BB00E5"/>
    <w:rsid w:val="00BB12CE"/>
    <w:rsid w:val="00BB1688"/>
    <w:rsid w:val="00BB18E9"/>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74"/>
    <w:rsid w:val="00BF7EF5"/>
    <w:rsid w:val="00C00BF6"/>
    <w:rsid w:val="00C0234A"/>
    <w:rsid w:val="00C0247B"/>
    <w:rsid w:val="00C02A23"/>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33"/>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E8"/>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E07"/>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6A8"/>
    <w:rsid w:val="00CC4701"/>
    <w:rsid w:val="00CC56B4"/>
    <w:rsid w:val="00CC5F95"/>
    <w:rsid w:val="00CC642A"/>
    <w:rsid w:val="00CC6AC7"/>
    <w:rsid w:val="00CC6B1D"/>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A38"/>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A9F"/>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88"/>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36A"/>
    <w:rsid w:val="00D316D9"/>
    <w:rsid w:val="00D31B07"/>
    <w:rsid w:val="00D31B9D"/>
    <w:rsid w:val="00D3272E"/>
    <w:rsid w:val="00D32D38"/>
    <w:rsid w:val="00D32FA0"/>
    <w:rsid w:val="00D33112"/>
    <w:rsid w:val="00D331CB"/>
    <w:rsid w:val="00D3451E"/>
    <w:rsid w:val="00D3497A"/>
    <w:rsid w:val="00D35F2F"/>
    <w:rsid w:val="00D35FC6"/>
    <w:rsid w:val="00D36BB8"/>
    <w:rsid w:val="00D36F72"/>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4D4"/>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475"/>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B82"/>
    <w:rsid w:val="00D9413E"/>
    <w:rsid w:val="00D94C8D"/>
    <w:rsid w:val="00D95F88"/>
    <w:rsid w:val="00D96698"/>
    <w:rsid w:val="00D96876"/>
    <w:rsid w:val="00D96940"/>
    <w:rsid w:val="00D96B12"/>
    <w:rsid w:val="00D96F59"/>
    <w:rsid w:val="00D9726C"/>
    <w:rsid w:val="00D97BEB"/>
    <w:rsid w:val="00DA0175"/>
    <w:rsid w:val="00DA099C"/>
    <w:rsid w:val="00DA0F18"/>
    <w:rsid w:val="00DA1387"/>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D08"/>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0C6"/>
    <w:rsid w:val="00DC32FC"/>
    <w:rsid w:val="00DC345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40"/>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4EB7"/>
    <w:rsid w:val="00E15183"/>
    <w:rsid w:val="00E15D6C"/>
    <w:rsid w:val="00E1720B"/>
    <w:rsid w:val="00E17FAE"/>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F48"/>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1"/>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96F"/>
    <w:rsid w:val="00E83C4F"/>
    <w:rsid w:val="00E84212"/>
    <w:rsid w:val="00E84C04"/>
    <w:rsid w:val="00E84F72"/>
    <w:rsid w:val="00E856A2"/>
    <w:rsid w:val="00E8572B"/>
    <w:rsid w:val="00E8575B"/>
    <w:rsid w:val="00E85929"/>
    <w:rsid w:val="00E85AD2"/>
    <w:rsid w:val="00E86976"/>
    <w:rsid w:val="00E87A37"/>
    <w:rsid w:val="00E87CF7"/>
    <w:rsid w:val="00E9036E"/>
    <w:rsid w:val="00E904E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0EDB"/>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5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6DB0"/>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84B"/>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0A3"/>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813"/>
    <w:rsid w:val="00FA18E8"/>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BAC"/>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BF8"/>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5A5B"/>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820B1"/>
    <w:rsid w:val="05A16594"/>
    <w:rsid w:val="05A7762D"/>
    <w:rsid w:val="060E5941"/>
    <w:rsid w:val="06110FAF"/>
    <w:rsid w:val="06493CA7"/>
    <w:rsid w:val="065A6178"/>
    <w:rsid w:val="066F1CF3"/>
    <w:rsid w:val="06930BB8"/>
    <w:rsid w:val="06B1215B"/>
    <w:rsid w:val="07245D42"/>
    <w:rsid w:val="07264C62"/>
    <w:rsid w:val="0779354C"/>
    <w:rsid w:val="08061376"/>
    <w:rsid w:val="08452D77"/>
    <w:rsid w:val="084A17A4"/>
    <w:rsid w:val="086401F8"/>
    <w:rsid w:val="08751CAA"/>
    <w:rsid w:val="087E4C40"/>
    <w:rsid w:val="08A871D0"/>
    <w:rsid w:val="08D66AD6"/>
    <w:rsid w:val="08DA33A3"/>
    <w:rsid w:val="08E80F13"/>
    <w:rsid w:val="09335624"/>
    <w:rsid w:val="0944690F"/>
    <w:rsid w:val="0946032A"/>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C44A1"/>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C7D83"/>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C4B78"/>
    <w:rsid w:val="16A8729C"/>
    <w:rsid w:val="16B33777"/>
    <w:rsid w:val="16BC70A7"/>
    <w:rsid w:val="16C6339E"/>
    <w:rsid w:val="172F2D79"/>
    <w:rsid w:val="17557BEF"/>
    <w:rsid w:val="17D349C1"/>
    <w:rsid w:val="1830729E"/>
    <w:rsid w:val="1870062C"/>
    <w:rsid w:val="18817102"/>
    <w:rsid w:val="18830A15"/>
    <w:rsid w:val="18852B28"/>
    <w:rsid w:val="188B5321"/>
    <w:rsid w:val="198063D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C318D"/>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D0C45"/>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81F2A"/>
    <w:rsid w:val="2B7807EE"/>
    <w:rsid w:val="2BA50BF7"/>
    <w:rsid w:val="2BBF00EC"/>
    <w:rsid w:val="2BC37CFD"/>
    <w:rsid w:val="2BD5237F"/>
    <w:rsid w:val="2BE536CE"/>
    <w:rsid w:val="2BE758D9"/>
    <w:rsid w:val="2C09049E"/>
    <w:rsid w:val="2C0A653C"/>
    <w:rsid w:val="2C191F85"/>
    <w:rsid w:val="2CC753EA"/>
    <w:rsid w:val="2CE82D6F"/>
    <w:rsid w:val="2D0669E7"/>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5F1E64"/>
    <w:rsid w:val="336963EB"/>
    <w:rsid w:val="33816EEB"/>
    <w:rsid w:val="33E12019"/>
    <w:rsid w:val="33EB55CD"/>
    <w:rsid w:val="33EC4C02"/>
    <w:rsid w:val="340D2360"/>
    <w:rsid w:val="3410665D"/>
    <w:rsid w:val="34211214"/>
    <w:rsid w:val="342E63AB"/>
    <w:rsid w:val="34950E68"/>
    <w:rsid w:val="34986E94"/>
    <w:rsid w:val="34AF62C9"/>
    <w:rsid w:val="34CB4388"/>
    <w:rsid w:val="34FA6E12"/>
    <w:rsid w:val="354D7158"/>
    <w:rsid w:val="358D5588"/>
    <w:rsid w:val="35AE7430"/>
    <w:rsid w:val="36120BFD"/>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035CA"/>
    <w:rsid w:val="39B417A9"/>
    <w:rsid w:val="39FC5695"/>
    <w:rsid w:val="3A006D8E"/>
    <w:rsid w:val="3A3651E5"/>
    <w:rsid w:val="3A744481"/>
    <w:rsid w:val="3A8C7BEF"/>
    <w:rsid w:val="3A906246"/>
    <w:rsid w:val="3AA83164"/>
    <w:rsid w:val="3B2349B7"/>
    <w:rsid w:val="3B35720A"/>
    <w:rsid w:val="3B616CFF"/>
    <w:rsid w:val="3B6259F6"/>
    <w:rsid w:val="3B7A70C9"/>
    <w:rsid w:val="3B976654"/>
    <w:rsid w:val="3BC01EFC"/>
    <w:rsid w:val="3BCA786A"/>
    <w:rsid w:val="3BD31E2F"/>
    <w:rsid w:val="3BF15831"/>
    <w:rsid w:val="3C105946"/>
    <w:rsid w:val="3C471448"/>
    <w:rsid w:val="3C5F759A"/>
    <w:rsid w:val="3C6C525A"/>
    <w:rsid w:val="3CCE23CB"/>
    <w:rsid w:val="3CD17D17"/>
    <w:rsid w:val="3D1F5237"/>
    <w:rsid w:val="3D2C2DB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06316"/>
    <w:rsid w:val="3F756B8F"/>
    <w:rsid w:val="3F95482B"/>
    <w:rsid w:val="4019356B"/>
    <w:rsid w:val="40592157"/>
    <w:rsid w:val="406E1CAE"/>
    <w:rsid w:val="40A0133A"/>
    <w:rsid w:val="40C31A53"/>
    <w:rsid w:val="40FF545D"/>
    <w:rsid w:val="410067C8"/>
    <w:rsid w:val="418F0D2A"/>
    <w:rsid w:val="41D01505"/>
    <w:rsid w:val="422B5A2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84189"/>
    <w:rsid w:val="477B778F"/>
    <w:rsid w:val="478203EC"/>
    <w:rsid w:val="478D6A41"/>
    <w:rsid w:val="47B025FA"/>
    <w:rsid w:val="4809698F"/>
    <w:rsid w:val="4811697D"/>
    <w:rsid w:val="487A3E25"/>
    <w:rsid w:val="488B5503"/>
    <w:rsid w:val="48937E21"/>
    <w:rsid w:val="489A0361"/>
    <w:rsid w:val="48B94FF3"/>
    <w:rsid w:val="48E37AAB"/>
    <w:rsid w:val="48EB082C"/>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D46C0"/>
    <w:rsid w:val="4B707271"/>
    <w:rsid w:val="4B9739F7"/>
    <w:rsid w:val="4BEE2503"/>
    <w:rsid w:val="4C245A30"/>
    <w:rsid w:val="4CB6685F"/>
    <w:rsid w:val="4CC367FE"/>
    <w:rsid w:val="4D077F3C"/>
    <w:rsid w:val="4D123355"/>
    <w:rsid w:val="4D2A3B31"/>
    <w:rsid w:val="4D312C52"/>
    <w:rsid w:val="4D905305"/>
    <w:rsid w:val="4D964A72"/>
    <w:rsid w:val="4D9C1254"/>
    <w:rsid w:val="4E35193A"/>
    <w:rsid w:val="4E793892"/>
    <w:rsid w:val="4E800872"/>
    <w:rsid w:val="4EC569ED"/>
    <w:rsid w:val="4ED50EA1"/>
    <w:rsid w:val="4EEC050C"/>
    <w:rsid w:val="4F104EC3"/>
    <w:rsid w:val="4F47354A"/>
    <w:rsid w:val="4F911C54"/>
    <w:rsid w:val="4F9F38BD"/>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F22A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345C2"/>
    <w:rsid w:val="54DD4057"/>
    <w:rsid w:val="54E7490F"/>
    <w:rsid w:val="550764A4"/>
    <w:rsid w:val="550B2BF6"/>
    <w:rsid w:val="55214EB5"/>
    <w:rsid w:val="552F3026"/>
    <w:rsid w:val="55364EFD"/>
    <w:rsid w:val="554271C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A5835"/>
    <w:rsid w:val="58AE4F0C"/>
    <w:rsid w:val="58B85899"/>
    <w:rsid w:val="58E363A9"/>
    <w:rsid w:val="595E1678"/>
    <w:rsid w:val="59681395"/>
    <w:rsid w:val="596D5BD4"/>
    <w:rsid w:val="597E3DD8"/>
    <w:rsid w:val="59F80043"/>
    <w:rsid w:val="5A09252F"/>
    <w:rsid w:val="5A0B2778"/>
    <w:rsid w:val="5A192935"/>
    <w:rsid w:val="5A2A7C7B"/>
    <w:rsid w:val="5A3E2560"/>
    <w:rsid w:val="5A5D3B6E"/>
    <w:rsid w:val="5A637A76"/>
    <w:rsid w:val="5A670AE9"/>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6176C"/>
    <w:rsid w:val="5D0C4701"/>
    <w:rsid w:val="5D0F0395"/>
    <w:rsid w:val="5D221076"/>
    <w:rsid w:val="5D397964"/>
    <w:rsid w:val="5D5A391C"/>
    <w:rsid w:val="5D5F10C0"/>
    <w:rsid w:val="5D891B7B"/>
    <w:rsid w:val="5DAD38EE"/>
    <w:rsid w:val="5E006862"/>
    <w:rsid w:val="5E0207B9"/>
    <w:rsid w:val="5E1834A1"/>
    <w:rsid w:val="5E1E63F9"/>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A6D1E"/>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A5181"/>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87B03"/>
    <w:rsid w:val="673E055F"/>
    <w:rsid w:val="67551CE3"/>
    <w:rsid w:val="67A22552"/>
    <w:rsid w:val="67B22DCC"/>
    <w:rsid w:val="67BE71AA"/>
    <w:rsid w:val="67D90273"/>
    <w:rsid w:val="67DE5875"/>
    <w:rsid w:val="67E55852"/>
    <w:rsid w:val="67EB1AB4"/>
    <w:rsid w:val="67F966DE"/>
    <w:rsid w:val="67FA1285"/>
    <w:rsid w:val="68551F4F"/>
    <w:rsid w:val="687C10C9"/>
    <w:rsid w:val="68840C16"/>
    <w:rsid w:val="68872541"/>
    <w:rsid w:val="68876EFB"/>
    <w:rsid w:val="68884654"/>
    <w:rsid w:val="689F444F"/>
    <w:rsid w:val="68B96DBB"/>
    <w:rsid w:val="68CA2805"/>
    <w:rsid w:val="68E937A3"/>
    <w:rsid w:val="691664E5"/>
    <w:rsid w:val="6922399A"/>
    <w:rsid w:val="69320EA6"/>
    <w:rsid w:val="693E15D3"/>
    <w:rsid w:val="69627681"/>
    <w:rsid w:val="6977531D"/>
    <w:rsid w:val="698F1430"/>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F506B"/>
    <w:rsid w:val="6D7D1C53"/>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242FAE"/>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984A00"/>
    <w:rsid w:val="77D1700D"/>
    <w:rsid w:val="77EC04CC"/>
    <w:rsid w:val="78435FF9"/>
    <w:rsid w:val="7862383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01D72"/>
    <w:rsid w:val="7A615382"/>
    <w:rsid w:val="7A67303B"/>
    <w:rsid w:val="7AAB1D04"/>
    <w:rsid w:val="7ABA4368"/>
    <w:rsid w:val="7AD05746"/>
    <w:rsid w:val="7B257FFD"/>
    <w:rsid w:val="7B273D20"/>
    <w:rsid w:val="7B3069E1"/>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autoRedefine/>
    <w:qFormat/>
    <w:uiPriority w:val="0"/>
    <w:pPr>
      <w:ind w:firstLine="420"/>
    </w:pPr>
    <w:rPr>
      <w:rFonts w:hAnsi="Calibri" w:cs="Times New Roman"/>
      <w:snapToGrid/>
      <w:szCs w:val="20"/>
    </w:rPr>
  </w:style>
  <w:style w:type="paragraph" w:styleId="25">
    <w:name w:val="Body Text Indent"/>
    <w:basedOn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99"/>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0"/>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character" w:customStyle="1" w:styleId="963">
    <w:name w:val="纯文本 Char3"/>
    <w:autoRedefine/>
    <w:qFormat/>
    <w:uiPriority w:val="0"/>
    <w:rPr>
      <w:rFonts w:ascii="??" w:hAnsi="??" w:eastAsia="??" w:cs="宋体"/>
      <w:kern w:val="2"/>
      <w:sz w:val="21"/>
      <w:szCs w:val="21"/>
    </w:rPr>
  </w:style>
  <w:style w:type="paragraph" w:customStyle="1" w:styleId="964">
    <w:name w:val="正文空2字"/>
    <w:basedOn w:val="96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B46D8-D673-4534-892B-DEB138DE357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46074</Words>
  <Characters>48601</Characters>
  <Lines>55</Lines>
  <Paragraphs>105</Paragraphs>
  <TotalTime>6</TotalTime>
  <ScaleCrop>false</ScaleCrop>
  <LinksUpToDate>false</LinksUpToDate>
  <CharactersWithSpaces>50464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liulu</cp:lastModifiedBy>
  <cp:lastPrinted>2024-02-23T01:42:00Z</cp:lastPrinted>
  <dcterms:modified xsi:type="dcterms:W3CDTF">2024-05-10T07:30:31Z</dcterms:modified>
  <dc:title>杭州市市民卡扩大发卡工程</dc:title>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785CD4C36FF24D75A6C01D8C5294C696_13</vt:lpwstr>
  </property>
</Properties>
</file>