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cs="仿宋_GB2312" w:asciiTheme="minorEastAsia" w:hAnsiTheme="minorEastAsia" w:eastAsiaTheme="minorEastAsia"/>
          <w:b/>
          <w:color w:val="auto"/>
          <w:sz w:val="44"/>
          <w:szCs w:val="44"/>
          <w:highlight w:val="none"/>
        </w:rPr>
      </w:pPr>
    </w:p>
    <w:p>
      <w:pPr>
        <w:adjustRightInd/>
        <w:spacing w:line="360" w:lineRule="auto"/>
        <w:jc w:val="center"/>
        <w:rPr>
          <w:rFonts w:hint="eastAsia" w:cs="仿宋_GB2312" w:asciiTheme="minorEastAsia" w:hAnsiTheme="minorEastAsia" w:eastAsiaTheme="minorEastAsia"/>
          <w:b/>
          <w:color w:val="auto"/>
          <w:sz w:val="44"/>
          <w:szCs w:val="44"/>
          <w:highlight w:val="none"/>
          <w:lang w:eastAsia="zh-CN"/>
        </w:rPr>
      </w:pPr>
      <w:r>
        <w:rPr>
          <w:rFonts w:hint="eastAsia" w:cs="仿宋_GB2312" w:asciiTheme="minorEastAsia" w:hAnsiTheme="minorEastAsia" w:eastAsiaTheme="minorEastAsia"/>
          <w:b/>
          <w:color w:val="auto"/>
          <w:sz w:val="44"/>
          <w:szCs w:val="44"/>
          <w:highlight w:val="none"/>
          <w:lang w:eastAsia="zh-CN"/>
        </w:rPr>
        <w:t>浙江省红十字会宣传传播载体运营维护项目</w:t>
      </w:r>
    </w:p>
    <w:p>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pPr>
        <w:snapToGrid w:val="0"/>
        <w:spacing w:line="360" w:lineRule="auto"/>
        <w:jc w:val="center"/>
        <w:rPr>
          <w:rFonts w:cs="仿宋_GB2312" w:asciiTheme="minorEastAsia" w:hAnsiTheme="minorEastAsia" w:eastAsiaTheme="minorEastAsia"/>
          <w:color w:val="auto"/>
          <w:sz w:val="30"/>
          <w:szCs w:val="30"/>
          <w:highlight w:val="none"/>
        </w:rPr>
      </w:pPr>
    </w:p>
    <w:p>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ZHZB-2023SHSZH-01</w:t>
      </w:r>
    </w:p>
    <w:p>
      <w:pPr>
        <w:adjustRightInd/>
        <w:spacing w:line="360" w:lineRule="auto"/>
        <w:rPr>
          <w:rFonts w:cs="仿宋_GB2312" w:asciiTheme="minorEastAsia" w:hAnsiTheme="minorEastAsia" w:eastAsiaTheme="minorEastAsia"/>
          <w:color w:val="auto"/>
          <w:sz w:val="28"/>
          <w:szCs w:val="20"/>
          <w:highlight w:val="none"/>
        </w:rPr>
      </w:pPr>
    </w:p>
    <w:p>
      <w:pPr>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color w:val="auto"/>
          <w:sz w:val="24"/>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pPr>
        <w:snapToGrid w:val="0"/>
        <w:spacing w:line="360" w:lineRule="auto"/>
        <w:jc w:val="center"/>
        <w:rPr>
          <w:rFonts w:cs="仿宋_GB2312" w:asciiTheme="minorEastAsia" w:hAnsiTheme="minorEastAsia" w:eastAsiaTheme="minorEastAsia"/>
          <w:color w:val="auto"/>
          <w:sz w:val="32"/>
          <w:szCs w:val="32"/>
          <w:highlight w:val="none"/>
        </w:rPr>
      </w:pPr>
    </w:p>
    <w:p>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浙江省红十字会</w:t>
      </w:r>
    </w:p>
    <w:p>
      <w:pPr>
        <w:snapToGrid w:val="0"/>
        <w:spacing w:line="360" w:lineRule="auto"/>
        <w:jc w:val="center"/>
        <w:rPr>
          <w:rFonts w:hint="eastAsia" w:ascii="宋体" w:hAnsi="宋体" w:cs="宋体" w:eastAsiaTheme="minorEastAsia"/>
          <w:bCs/>
          <w:color w:val="auto"/>
          <w:sz w:val="32"/>
          <w:szCs w:val="32"/>
          <w:highlight w:val="none"/>
          <w:lang w:eastAsia="zh-CN"/>
        </w:rPr>
      </w:pPr>
      <w:r>
        <w:rPr>
          <w:rFonts w:hint="eastAsia" w:ascii="宋体" w:hAnsi="宋体" w:cs="宋体" w:eastAsiaTheme="minorEastAsia"/>
          <w:bCs/>
          <w:color w:val="auto"/>
          <w:sz w:val="32"/>
          <w:szCs w:val="32"/>
          <w:highlight w:val="none"/>
          <w:lang w:eastAsia="zh-CN"/>
        </w:rPr>
        <w:t>浙江正浩招标代理有限公司</w:t>
      </w:r>
    </w:p>
    <w:p>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三</w:t>
      </w:r>
      <w:r>
        <w:rPr>
          <w:rFonts w:hint="eastAsia" w:cs="仿宋_GB2312" w:asciiTheme="minorEastAsia" w:hAnsiTheme="minorEastAsia" w:eastAsiaTheme="minorEastAsia"/>
          <w:bCs/>
          <w:color w:val="auto"/>
          <w:sz w:val="32"/>
          <w:szCs w:val="32"/>
          <w:highlight w:val="none"/>
        </w:rPr>
        <w:t>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pPr>
        <w:spacing w:line="360" w:lineRule="auto"/>
        <w:rPr>
          <w:rFonts w:cs="仿宋_GB2312" w:asciiTheme="minorEastAsia" w:hAnsiTheme="minorEastAsia" w:eastAsiaTheme="minorEastAsia"/>
          <w:color w:val="auto"/>
          <w:sz w:val="32"/>
          <w:szCs w:val="32"/>
          <w:highlight w:val="none"/>
        </w:rPr>
      </w:pPr>
    </w:p>
    <w:p>
      <w:pPr>
        <w:spacing w:line="360" w:lineRule="auto"/>
        <w:rPr>
          <w:rFonts w:cs="仿宋_GB2312" w:asciiTheme="minorEastAsia" w:hAnsiTheme="minorEastAsia" w:eastAsiaTheme="minorEastAsia"/>
          <w:color w:val="auto"/>
          <w:sz w:val="32"/>
          <w:szCs w:val="32"/>
          <w:highlight w:val="none"/>
        </w:rPr>
      </w:pP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1" w:name="_Hlt91233176"/>
      <w:bookmarkEnd w:id="1"/>
      <w:bookmarkStart w:id="2" w:name="第一部分"/>
      <w:bookmarkStart w:id="3" w:name="_Toc91899869"/>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pPr>
        <w:spacing w:line="360" w:lineRule="auto"/>
        <w:rPr>
          <w:rFonts w:asciiTheme="minorEastAsia" w:hAnsiTheme="minorEastAsia" w:eastAsiaTheme="minorEastAsia"/>
          <w:color w:val="auto"/>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浙江省红十字会宣传传播载体运营维护项目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color w:val="auto"/>
          <w:sz w:val="24"/>
          <w:highlight w:val="none"/>
          <w:u w:val="single"/>
        </w:rPr>
        <w:t>https://www.zcygov.cn/</w:t>
      </w:r>
      <w:r>
        <w:rPr>
          <w:rStyle w:val="71"/>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28359012"/>
      <w:bookmarkStart w:id="13" w:name="_Toc35393629"/>
      <w:bookmarkStart w:id="14" w:name="_Toc35393798"/>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ZHZB-2023SHSZH-01</w:t>
      </w:r>
    </w:p>
    <w:p>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浙江省红十字会宣传传播载体运营维护项目</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700000</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700000</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cs="Times New Roman" w:asciiTheme="minorEastAsia" w:hAnsiTheme="minorEastAsia" w:eastAsiaTheme="minorEastAsia"/>
          <w:color w:val="auto"/>
          <w:sz w:val="24"/>
          <w:highlight w:val="none"/>
          <w:lang w:eastAsia="zh-CN"/>
        </w:rPr>
        <w:t>浙江省红十字会宣传传播载体运营维护项目主要内容：承担《浙江红十字》报（浙内准字第0136号）的设计、编辑、印刷、出版、邮寄等任务；承担“浙江红十字”官方微信公众号的日常运行和维护；承担“浙江省红十字会”官方网站运营维护工作；承担省红十字会新浪官方微博、视频号、抖音号和哔哩哔哩号等自媒体的运行和维护工作；</w:t>
      </w:r>
      <w:r>
        <w:rPr>
          <w:rFonts w:hint="eastAsia" w:cs="Times New Roman" w:asciiTheme="minorEastAsia" w:hAnsiTheme="minorEastAsia" w:eastAsiaTheme="minorEastAsia"/>
          <w:color w:val="auto"/>
          <w:sz w:val="24"/>
          <w:highlight w:val="none"/>
          <w:lang w:val="en-US" w:eastAsia="zh-CN"/>
        </w:rPr>
        <w:t>承担省委、省政府召开的有关红十字工作会议、省红十字会举办的重要会议和重大活动的新闻采编及图片、视频摄录等等</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lang w:val="en-US" w:eastAsia="zh-CN"/>
        </w:rPr>
        <w:t>具体内容</w:t>
      </w:r>
      <w:r>
        <w:rPr>
          <w:rFonts w:hint="eastAsia" w:cs="Times New Roman" w:asciiTheme="minorEastAsia" w:hAnsiTheme="minorEastAsia" w:eastAsiaTheme="minorEastAsia"/>
          <w:color w:val="auto"/>
          <w:sz w:val="24"/>
          <w:highlight w:val="none"/>
          <w:lang w:eastAsia="zh-CN"/>
        </w:rPr>
        <w:t>详见磋商文件。</w:t>
      </w:r>
    </w:p>
    <w:p>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default" w:cs="Times New Roman" w:asciiTheme="minorEastAsia" w:hAnsiTheme="minorEastAsia" w:eastAsiaTheme="minorEastAsia"/>
          <w:color w:val="auto"/>
          <w:sz w:val="24"/>
          <w:highlight w:val="none"/>
          <w:u w:val="none"/>
          <w:lang w:val="en-US" w:eastAsia="zh-CN"/>
        </w:rPr>
        <w:t>2023</w:t>
      </w:r>
      <w:r>
        <w:rPr>
          <w:rFonts w:hint="eastAsia" w:cs="Times New Roman" w:asciiTheme="minorEastAsia" w:hAnsiTheme="minorEastAsia" w:eastAsiaTheme="minorEastAsia"/>
          <w:color w:val="auto"/>
          <w:sz w:val="24"/>
          <w:highlight w:val="none"/>
          <w:u w:val="none"/>
          <w:lang w:val="en-US" w:eastAsia="zh-CN"/>
        </w:rPr>
        <w:t>年3月27日至2024年3月26日</w:t>
      </w:r>
      <w:r>
        <w:rPr>
          <w:rFonts w:hint="eastAsia" w:cs="Times New Roman" w:asciiTheme="minorEastAsia" w:hAnsiTheme="minorEastAsia" w:eastAsiaTheme="minorEastAsia"/>
          <w:color w:val="auto"/>
          <w:sz w:val="24"/>
          <w:highlight w:val="none"/>
          <w:u w:val="none"/>
          <w:lang w:eastAsia="zh-CN"/>
        </w:rPr>
        <w:t>。</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Mincho" w:cs="MS Mincho"/>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否。</w:t>
      </w:r>
    </w:p>
    <w:p>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28359013"/>
      <w:bookmarkStart w:id="17" w:name="_Toc28359090"/>
      <w:bookmarkStart w:id="18" w:name="_Toc35393799"/>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color w:val="auto"/>
          <w:sz w:val="24"/>
          <w:highlight w:val="none"/>
        </w:rPr>
      </w:pPr>
      <w:bookmarkStart w:id="19" w:name="_Toc35393631"/>
      <w:bookmarkStart w:id="20" w:name="_Toc28359091"/>
      <w:bookmarkStart w:id="21" w:name="_Toc28359014"/>
      <w:bookmarkStart w:id="22" w:name="_Toc35393800"/>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sz w:val="24"/>
          <w:highlight w:val="none"/>
        </w:rPr>
        <w:t>https://www.zcygov.cn/</w:t>
      </w:r>
      <w:r>
        <w:rPr>
          <w:rStyle w:val="71"/>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仿宋_GB2312" w:asciiTheme="minorEastAsia" w:hAnsiTheme="minorEastAsia" w:eastAsiaTheme="minorEastAsia"/>
          <w:b/>
          <w:color w:val="auto"/>
          <w:kern w:val="2"/>
          <w:sz w:val="24"/>
          <w:szCs w:val="24"/>
          <w:highlight w:val="none"/>
        </w:rPr>
        <w:t>https://www.zcygov.cn/</w:t>
      </w:r>
      <w:r>
        <w:rPr>
          <w:rStyle w:val="71"/>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93"/>
      <w:bookmarkStart w:id="29" w:name="_Toc28359016"/>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3</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20</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35393803"/>
      <w:bookmarkStart w:id="32" w:name="_Toc35393634"/>
      <w:bookmarkStart w:id="33" w:name="_Toc28359017"/>
      <w:bookmarkStart w:id="34" w:name="_Toc2835909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635"/>
      <w:bookmarkStart w:id="36" w:name="_Toc35393804"/>
      <w:r>
        <w:rPr>
          <w:rFonts w:hint="eastAsia" w:cs="宋体" w:asciiTheme="minorEastAsia" w:hAnsiTheme="minorEastAsia" w:eastAsiaTheme="minorEastAsia"/>
          <w:color w:val="auto"/>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b/>
          <w:bCs/>
          <w:color w:val="auto"/>
          <w:sz w:val="24"/>
          <w:highlight w:val="none"/>
        </w:rPr>
        <w:t>（3</w:t>
      </w:r>
      <w:r>
        <w:rPr>
          <w:rFonts w:hint="eastAsia" w:cs="宋体" w:asciiTheme="minorEastAsia" w:hAnsiTheme="minorEastAsia" w:eastAsiaTheme="minorEastAsia"/>
          <w:b/>
          <w:bCs/>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37" w:name="_Toc35393805"/>
      <w:bookmarkStart w:id="38" w:name="_Toc28359095"/>
      <w:bookmarkStart w:id="39" w:name="_Toc35393636"/>
      <w:bookmarkStart w:id="40"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28359096"/>
      <w:bookmarkStart w:id="42" w:name="_Toc35393806"/>
      <w:bookmarkStart w:id="43" w:name="_Toc28359019"/>
      <w:bookmarkStart w:id="44" w:name="_Toc35393637"/>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hint="eastAsia" w:ascii="宋体" w:hAnsi="宋体" w:cs="宋体"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浙江省红十字会</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址：杭州市上城区秋涛北路324号</w:t>
      </w:r>
    </w:p>
    <w:p>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张老师</w:t>
      </w:r>
    </w:p>
    <w:p>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0571-86496908</w:t>
      </w:r>
    </w:p>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吴老师</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87707675</w:t>
      </w:r>
    </w:p>
    <w:p>
      <w:pPr>
        <w:pStyle w:val="5"/>
        <w:numPr>
          <w:ilvl w:val="0"/>
          <w:numId w:val="0"/>
        </w:numPr>
        <w:ind w:left="432" w:hanging="432"/>
        <w:rPr>
          <w:rFonts w:cs="宋体" w:asciiTheme="minorEastAsia" w:hAnsiTheme="minorEastAsia" w:eastAsiaTheme="minorEastAsia"/>
          <w:color w:val="auto"/>
          <w:sz w:val="24"/>
          <w:highlight w:val="none"/>
        </w:rPr>
      </w:pPr>
      <w:bookmarkStart w:id="45" w:name="_Toc28359097"/>
      <w:bookmarkStart w:id="46" w:name="_Toc28359020"/>
      <w:bookmarkStart w:id="47" w:name="_Toc3539380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浙江正浩招标代理有限公司</w:t>
      </w:r>
    </w:p>
    <w:p>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val="en-US" w:eastAsia="zh-CN"/>
        </w:rPr>
        <w:t>浙江省杭州市拱墅区文晖路183号中国通信服务浙江产业园6楼</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项目联系人（询问）：陈瑶、陈涵珺</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项目联系方式（询问）：18757567243、15395821972</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质疑联系人：许工</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质疑联系方式：0571-86838130</w:t>
      </w:r>
    </w:p>
    <w:p>
      <w:pPr>
        <w:spacing w:line="360" w:lineRule="auto"/>
        <w:rPr>
          <w:rFonts w:asciiTheme="minorEastAsia" w:hAnsiTheme="minorEastAsia" w:eastAsiaTheme="minorEastAsia"/>
          <w:b/>
          <w:color w:val="auto"/>
          <w:sz w:val="24"/>
          <w:highlight w:val="none"/>
        </w:rPr>
      </w:pPr>
      <w:bookmarkStart w:id="49" w:name="_Toc28359098"/>
      <w:bookmarkStart w:id="50" w:name="_Toc35393808"/>
      <w:bookmarkStart w:id="51" w:name="_Toc28359021"/>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w:t>
      </w:r>
    </w:p>
    <w:p>
      <w:pPr>
        <w:spacing w:line="360" w:lineRule="auto"/>
        <w:ind w:left="1680" w:hanging="1680" w:hangingChars="700"/>
        <w:rPr>
          <w:rFonts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End w:id="49"/>
      <w:bookmarkEnd w:id="50"/>
      <w:bookmarkEnd w:id="51"/>
      <w:bookmarkEnd w:id="52"/>
      <w:r>
        <w:rPr>
          <w:rFonts w:hint="eastAsia" w:ascii="宋体" w:hAnsi="宋体" w:cs="宋体"/>
          <w:color w:val="auto"/>
          <w:sz w:val="24"/>
          <w:highlight w:val="none"/>
        </w:rPr>
        <w:t>名    称：浙江省财政厅政府采购监管处/浙江省政府采购行政裁决服务中心（杭州）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联系人：朱女士、王女士</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监督投诉电话：0571-85252453</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预算金额未达100万元的采购项目，由采购人处理采购争议。</w:t>
      </w:r>
    </w:p>
    <w:p>
      <w:pPr>
        <w:spacing w:line="360" w:lineRule="auto"/>
        <w:ind w:firstLine="480" w:firstLineChars="200"/>
        <w:rPr>
          <w:rFonts w:hint="eastAsia"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pPr>
        <w:pStyle w:val="34"/>
        <w:spacing w:line="360" w:lineRule="auto"/>
        <w:ind w:firstLine="480" w:firstLineChars="200"/>
        <w:jc w:val="right"/>
        <w:rPr>
          <w:rFonts w:cs="仿宋_GB2312" w:asciiTheme="minorEastAsia" w:hAnsiTheme="minorEastAsia" w:eastAsiaTheme="minorEastAsia"/>
          <w:color w:val="auto"/>
          <w:sz w:val="24"/>
          <w:szCs w:val="24"/>
          <w:highlight w:val="none"/>
        </w:rPr>
      </w:pP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pPr>
        <w:pStyle w:val="392"/>
        <w:numPr>
          <w:ilvl w:val="0"/>
          <w:numId w:val="0"/>
        </w:numPr>
        <w:spacing w:before="0"/>
        <w:ind w:left="480" w:leftChars="0"/>
        <w:rPr>
          <w:rFonts w:asciiTheme="minorEastAsia" w:hAnsiTheme="minorEastAsia" w:eastAsiaTheme="minorEastAsia"/>
          <w:color w:val="auto"/>
          <w:szCs w:val="24"/>
          <w:highlight w:val="none"/>
        </w:rPr>
      </w:pPr>
      <w:sdt>
        <w:sdtPr>
          <w:rPr>
            <w:rFonts w:hint="eastAsia" w:cs="宋体" w:asciiTheme="minorEastAsia" w:hAnsiTheme="minorEastAsia" w:eastAsiaTheme="minorEastAsia"/>
            <w:color w:val="auto"/>
            <w:kern w:val="0"/>
            <w:sz w:val="24"/>
            <w:highlight w:val="none"/>
          </w:rPr>
          <w:id w:val="346306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pPr>
        <w:pStyle w:val="392"/>
        <w:numPr>
          <w:ilvl w:val="0"/>
          <w:numId w:val="0"/>
        </w:numPr>
        <w:spacing w:before="0"/>
        <w:ind w:left="480" w:leftChars="0"/>
        <w:rPr>
          <w:rFonts w:asciiTheme="minorEastAsia" w:hAnsiTheme="minorEastAsia" w:eastAsiaTheme="minorEastAsia"/>
          <w:color w:val="auto"/>
          <w:szCs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pPr>
        <w:pStyle w:val="392"/>
        <w:numPr>
          <w:ilvl w:val="0"/>
          <w:numId w:val="0"/>
        </w:numPr>
        <w:spacing w:before="0"/>
        <w:ind w:left="480" w:leftChars="0"/>
        <w:rPr>
          <w:rFonts w:asciiTheme="minorEastAsia" w:hAnsiTheme="minorEastAsia" w:eastAsiaTheme="minorEastAsia"/>
          <w:color w:val="auto"/>
          <w:szCs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利用政采云平台发起磋商邀请</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视情况：</w:t>
      </w:r>
      <w:r>
        <w:rPr>
          <w:rFonts w:hint="eastAsia" w:asciiTheme="minorEastAsia" w:hAnsiTheme="minorEastAsia" w:eastAsiaTheme="minorEastAsia"/>
          <w:color w:val="auto"/>
          <w:szCs w:val="24"/>
          <w:highlight w:val="none"/>
        </w:rPr>
        <w:t>供应商</w:t>
      </w:r>
      <w:r>
        <w:rPr>
          <w:rFonts w:hint="eastAsia" w:asciiTheme="minorEastAsia" w:hAnsiTheme="minorEastAsia" w:eastAsiaTheme="minorEastAsia"/>
          <w:color w:val="auto"/>
          <w:szCs w:val="24"/>
          <w:highlight w:val="none"/>
          <w:lang w:val="en-US" w:eastAsia="zh-CN"/>
        </w:rPr>
        <w:t>可以</w:t>
      </w:r>
      <w:r>
        <w:rPr>
          <w:rFonts w:hint="eastAsia" w:asciiTheme="minorEastAsia" w:hAnsiTheme="minorEastAsia" w:eastAsiaTheme="minorEastAsia"/>
          <w:color w:val="auto"/>
          <w:szCs w:val="24"/>
          <w:highlight w:val="none"/>
        </w:rPr>
        <w:t>通过政采云“在线评审室”进行远程视频磋商。供应商使用CA数字证书登陆政采云平台——收到视频评审邀请——点击“视频评审”进入“视频评审系统”——开始远程磋商活动;对于要求到</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现场进行磋商的供应商，可在</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讲标室通过视频会议系统或自备CA数字证书、笔记本电脑等开展磋商活动</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供应商也</w:t>
      </w:r>
      <w:r>
        <w:rPr>
          <w:rFonts w:hint="eastAsia" w:asciiTheme="minorEastAsia" w:hAnsiTheme="minorEastAsia" w:eastAsiaTheme="minorEastAsia"/>
          <w:color w:val="auto"/>
          <w:szCs w:val="24"/>
          <w:highlight w:val="none"/>
        </w:rPr>
        <w:t>可</w:t>
      </w:r>
      <w:r>
        <w:rPr>
          <w:rFonts w:hint="eastAsia" w:asciiTheme="minorEastAsia" w:hAnsiTheme="minorEastAsia" w:eastAsiaTheme="minorEastAsia"/>
          <w:color w:val="auto"/>
          <w:szCs w:val="24"/>
          <w:highlight w:val="none"/>
          <w:lang w:val="en-US" w:eastAsia="zh-CN"/>
        </w:rPr>
        <w:t>远程提供</w:t>
      </w:r>
      <w:r>
        <w:rPr>
          <w:rFonts w:hint="eastAsia" w:asciiTheme="minorEastAsia" w:hAnsiTheme="minorEastAsia" w:eastAsiaTheme="minorEastAsia"/>
          <w:color w:val="auto"/>
          <w:szCs w:val="24"/>
          <w:highlight w:val="none"/>
        </w:rPr>
        <w:t>会议系统或自备CA数字证书、笔记本电脑等开展磋商活动。</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4.成交</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w:t>
      </w:r>
      <w:r>
        <w:rPr>
          <w:rFonts w:hint="eastAsia" w:asciiTheme="minorEastAsia" w:hAnsiTheme="minorEastAsia" w:eastAsiaTheme="minorEastAsia"/>
          <w:color w:val="auto"/>
          <w:szCs w:val="24"/>
          <w:highlight w:val="none"/>
          <w:lang w:val="en-US" w:eastAsia="zh-CN"/>
        </w:rPr>
        <w:t>30</w:t>
      </w:r>
      <w:r>
        <w:rPr>
          <w:rFonts w:hint="eastAsia" w:asciiTheme="minorEastAsia" w:hAnsiTheme="minorEastAsia" w:eastAsiaTheme="minorEastAsia"/>
          <w:color w:val="auto"/>
          <w:szCs w:val="24"/>
          <w:highlight w:val="none"/>
        </w:rPr>
        <w:t>日内签订政府采购合同。</w:t>
      </w:r>
    </w:p>
    <w:p>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如果有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pPr>
        <w:widowControl/>
        <w:adjustRightInd/>
        <w:jc w:val="left"/>
        <w:rPr>
          <w:rFonts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3"/>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3742"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l2br w:val="nil"/>
              <w:tr2bl w:val="nil"/>
            </w:tcBorders>
            <w:vAlign w:val="center"/>
          </w:tcPr>
          <w:p>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l2br w:val="nil"/>
              <w:tr2bl w:val="nil"/>
            </w:tcBorders>
            <w:vAlign w:val="center"/>
          </w:tcPr>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浙江省红十字会宣传传播载体运营维护项目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（十六）其他未列明</w:t>
            </w:r>
            <w:r>
              <w:rPr>
                <w:rFonts w:hint="eastAsia" w:cs="宋体" w:asciiTheme="minorEastAsia" w:hAnsiTheme="minorEastAsia" w:eastAsiaTheme="minorEastAsia"/>
                <w:color w:val="auto"/>
                <w:kern w:val="0"/>
                <w:sz w:val="24"/>
                <w:highlight w:val="none"/>
                <w:u w:val="none"/>
              </w:rPr>
              <w:t>行业</w:t>
            </w:r>
            <w:r>
              <w:rPr>
                <w:rFonts w:hint="eastAsia" w:cs="宋体" w:asciiTheme="minorEastAsia" w:hAnsiTheme="minorEastAsia" w:eastAsiaTheme="minorEastAsia"/>
                <w:color w:val="auto"/>
                <w:kern w:val="0"/>
                <w:sz w:val="24"/>
                <w:highlight w:val="none"/>
              </w:rPr>
              <w:t>；</w:t>
            </w:r>
          </w:p>
          <w:p>
            <w:pPr>
              <w:pStyle w:val="5"/>
              <w:numPr>
                <w:ilvl w:val="0"/>
                <w:numId w:val="0"/>
              </w:numPr>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u w:val="none"/>
                <w:lang w:val="en-US" w:eastAsia="zh-CN" w:bidi="ar-SA"/>
              </w:rPr>
              <w:t>注：根据《关于印发中小企业划型标准规定的通知》（工信部联企业〔2011〕300号），其他未列明行业：从业人员300人以下的为中小微型企业。其中，从业人员100人及以上的为中型企业；从业人员10人及以上的为小型企业；从业人员10人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593"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l2br w:val="nil"/>
              <w:tr2bl w:val="nil"/>
            </w:tcBorders>
            <w:vAlign w:val="center"/>
          </w:tcPr>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09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88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vMerge w:val="restart"/>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vMerge w:val="continue"/>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l2br w:val="nil"/>
              <w:tr2bl w:val="nil"/>
            </w:tcBorders>
            <w:vAlign w:val="center"/>
          </w:tcPr>
          <w:p>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l2br w:val="nil"/>
              <w:tr2bl w:val="nil"/>
            </w:tcBorders>
            <w:vAlign w:val="center"/>
          </w:tcPr>
          <w:p>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l2br w:val="nil"/>
              <w:tr2bl w:val="nil"/>
            </w:tcBorders>
            <w:vAlign w:val="center"/>
          </w:tcPr>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l2br w:val="nil"/>
              <w:tr2bl w:val="nil"/>
            </w:tcBorders>
            <w:vAlign w:val="center"/>
          </w:tcPr>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0"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l2br w:val="nil"/>
              <w:tr2bl w:val="nil"/>
            </w:tcBorders>
            <w:vAlign w:val="center"/>
          </w:tcPr>
          <w:p>
            <w:pPr>
              <w:pStyle w:val="34"/>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lang w:val="en-US" w:eastAsia="zh-CN"/>
              </w:rPr>
              <w:t>浙江省杭州市拱墅区文晖路183号中国通信服务浙江产业园6楼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rPr>
              <w:t>陈涵珺，15395821972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2" w:hRule="atLeast"/>
        </w:trPr>
        <w:tc>
          <w:tcPr>
            <w:tcW w:w="629" w:type="dxa"/>
            <w:tcBorders>
              <w:tl2br w:val="nil"/>
              <w:tr2bl w:val="nil"/>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tcBorders>
              <w:tl2br w:val="nil"/>
              <w:tr2bl w:val="nil"/>
            </w:tcBorders>
            <w:vAlign w:val="center"/>
          </w:tcPr>
          <w:p>
            <w:pPr>
              <w:snapToGrid w:val="0"/>
              <w:spacing w:line="360" w:lineRule="auto"/>
              <w:jc w:val="center"/>
              <w:rPr>
                <w:rFonts w:cs="宋体"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采购代理服务费</w:t>
            </w:r>
          </w:p>
        </w:tc>
        <w:tc>
          <w:tcPr>
            <w:tcW w:w="6095" w:type="dxa"/>
            <w:tcBorders>
              <w:tl2br w:val="nil"/>
              <w:tr2bl w:val="nil"/>
            </w:tcBorders>
            <w:vAlign w:val="center"/>
          </w:tcPr>
          <w:p>
            <w:pPr>
              <w:pStyle w:val="34"/>
              <w:spacing w:line="360"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以中标金额为计费基准，按差额定率累进制计算,具体标准为:国家发展和改革委员会发改价格【2011】534号文件规定的服务类收费标准支付招标代理服务费。</w:t>
            </w:r>
          </w:p>
          <w:p>
            <w:pPr>
              <w:pStyle w:val="34"/>
              <w:spacing w:line="360" w:lineRule="auto"/>
              <w:rPr>
                <w:rFonts w:ascii="宋体" w:hAnsi="宋体" w:cs="宋体"/>
                <w:snapToGrid w:val="0"/>
                <w:color w:val="auto"/>
                <w:kern w:val="28"/>
                <w:sz w:val="24"/>
                <w:highlight w:val="none"/>
              </w:rPr>
            </w:pPr>
            <w:r>
              <w:rPr>
                <w:rFonts w:hint="eastAsia" w:cs="宋体" w:asciiTheme="minorEastAsia" w:hAnsiTheme="minorEastAsia" w:eastAsiaTheme="minorEastAsia"/>
                <w:color w:val="auto"/>
                <w:kern w:val="28"/>
                <w:sz w:val="24"/>
                <w:szCs w:val="24"/>
                <w:highlight w:val="none"/>
              </w:rPr>
              <w:t>结算方式及时间为：在领取中标通知书时由中标人一次性向采购代理机构付清。(开户名：浙江正浩招标代理有限公司,开户银行：浙商银行杭州分行营业部，账户号码：3310010010120101045391)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2" w:hRule="atLeast"/>
        </w:trPr>
        <w:tc>
          <w:tcPr>
            <w:tcW w:w="629" w:type="dxa"/>
            <w:vMerge w:val="restart"/>
            <w:tcBorders>
              <w:tl2br w:val="nil"/>
              <w:tr2bl w:val="nil"/>
            </w:tcBorders>
            <w:vAlign w:val="center"/>
          </w:tcPr>
          <w:p>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Merge w:val="restart"/>
            <w:tcBorders>
              <w:tl2br w:val="nil"/>
              <w:tr2bl w:val="nil"/>
            </w:tcBorders>
            <w:vAlign w:val="center"/>
          </w:tcPr>
          <w:p>
            <w:pPr>
              <w:snapToGrid w:val="0"/>
              <w:spacing w:line="360" w:lineRule="auto"/>
              <w:jc w:val="center"/>
              <w:rPr>
                <w:rFonts w:hint="eastAsia"/>
                <w:color w:val="auto"/>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pPr>
              <w:spacing w:line="360" w:lineRule="auto"/>
              <w:rPr>
                <w:rFonts w:hint="default" w:cs="宋体" w:asciiTheme="minorEastAsia" w:hAnsiTheme="minorEastAsia" w:eastAsiaTheme="minorEastAsia"/>
                <w:snapToGrid w:val="0"/>
                <w:color w:val="auto"/>
                <w:kern w:val="28"/>
                <w:sz w:val="24"/>
                <w:highlight w:val="none"/>
                <w:lang w:val="en-US" w:eastAsia="zh-CN"/>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lang w:val="en-US" w:eastAsia="zh-CN"/>
              </w:rPr>
              <w:t>本项目不接受联合体投标</w:t>
            </w:r>
          </w:p>
          <w:p>
            <w:pPr>
              <w:spacing w:line="360" w:lineRule="auto"/>
              <w:rPr>
                <w:rFonts w:hint="eastAsia" w:cs="宋体" w:asciiTheme="minorEastAsia" w:hAnsiTheme="minorEastAsia" w:eastAsiaTheme="minorEastAsia"/>
                <w:color w:val="auto"/>
                <w:kern w:val="28"/>
                <w:sz w:val="24"/>
                <w:szCs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72" w:hRule="atLeast"/>
        </w:trPr>
        <w:tc>
          <w:tcPr>
            <w:tcW w:w="629" w:type="dxa"/>
            <w:vMerge w:val="continue"/>
            <w:tcBorders>
              <w:tl2br w:val="nil"/>
              <w:tr2bl w:val="nil"/>
            </w:tcBorders>
            <w:vAlign w:val="center"/>
          </w:tcPr>
          <w:p>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hint="eastAsia" w:cs="宋体" w:asciiTheme="minorEastAsia" w:hAnsiTheme="minorEastAsia" w:eastAsiaTheme="minorEastAsia"/>
                <w:b/>
                <w:color w:val="auto"/>
                <w:sz w:val="24"/>
                <w:highlight w:val="none"/>
              </w:rPr>
            </w:pPr>
          </w:p>
        </w:tc>
        <w:tc>
          <w:tcPr>
            <w:tcW w:w="6095" w:type="dxa"/>
            <w:tcBorders>
              <w:tl2br w:val="nil"/>
              <w:tr2bl w:val="nil"/>
            </w:tcBorders>
            <w:vAlign w:val="center"/>
          </w:tcPr>
          <w:p>
            <w:pPr>
              <w:spacing w:line="360" w:lineRule="auto"/>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pPr>
              <w:spacing w:line="360" w:lineRule="auto"/>
              <w:rPr>
                <w:rFonts w:hint="eastAsia"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pPr>
        <w:snapToGrid w:val="0"/>
        <w:jc w:val="center"/>
        <w:rPr>
          <w:rFonts w:cs="仿宋_GB2312" w:asciiTheme="minorEastAsia" w:hAnsiTheme="minorEastAsia" w:eastAsiaTheme="minorEastAsia"/>
          <w:b/>
          <w:color w:val="auto"/>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cs="Arial" w:asciiTheme="minorEastAsia" w:hAnsiTheme="minorEastAsia" w:eastAsiaTheme="minorEastAsia"/>
          <w:color w:val="auto"/>
          <w:kern w:val="0"/>
          <w:sz w:val="24"/>
          <w:highlight w:val="none"/>
          <w:lang w:val="en-US"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1"/>
          <w:rFonts w:hint="eastAsia" w:cs="Times New Roman" w:asciiTheme="minorEastAsia" w:hAnsiTheme="minorEastAsia" w:eastAsiaTheme="minorEastAsia"/>
          <w:snapToGrid/>
          <w:color w:val="auto"/>
          <w:kern w:val="2"/>
          <w:sz w:val="24"/>
          <w:szCs w:val="24"/>
          <w:highlight w:val="none"/>
        </w:rPr>
        <w:t>https://www.zcygov.cn/</w:t>
      </w:r>
      <w:r>
        <w:rPr>
          <w:rStyle w:val="71"/>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”系指不适用本项目的要求。</w:t>
      </w:r>
    </w:p>
    <w:p>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3.响应有效期</w:t>
      </w:r>
    </w:p>
    <w:p>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pPr>
        <w:pStyle w:val="34"/>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pPr>
        <w:spacing w:line="360" w:lineRule="auto"/>
        <w:jc w:val="center"/>
        <w:rPr>
          <w:rFonts w:cs="仿宋_GB2312" w:asciiTheme="minorEastAsia" w:hAnsiTheme="minorEastAsia" w:eastAsiaTheme="minorEastAsia"/>
          <w:b/>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pPr>
        <w:pStyle w:val="34"/>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pPr>
        <w:pStyle w:val="3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pPr>
        <w:pStyle w:val="2"/>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3.2.1质疑答复责任主体如下：</w:t>
      </w:r>
    </w:p>
    <w:p>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pPr>
              <w:pStyle w:val="34"/>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pPr>
        <w:pStyle w:val="34"/>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pPr>
        <w:pStyle w:val="34"/>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pPr>
        <w:pStyle w:val="3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pPr>
        <w:pStyle w:val="34"/>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pPr>
        <w:pStyle w:val="34"/>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pPr>
        <w:pStyle w:val="3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pPr>
        <w:pStyle w:val="23"/>
        <w:rPr>
          <w:rFonts w:cs="仿宋_GB2312" w:asciiTheme="minorEastAsia" w:hAnsiTheme="minorEastAsia" w:eastAsiaTheme="minorEastAsia"/>
          <w:color w:val="auto"/>
          <w:sz w:val="18"/>
          <w:szCs w:val="18"/>
          <w:highlight w:val="none"/>
          <w:lang w:val="en-US"/>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pPr>
        <w:pStyle w:val="34"/>
        <w:spacing w:line="360" w:lineRule="auto"/>
        <w:ind w:firstLine="480" w:firstLineChars="200"/>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本项目需提供《中小企业声明函》</w:t>
      </w:r>
      <w:r>
        <w:rPr>
          <w:rFonts w:hint="eastAsia" w:cs="宋体" w:asciiTheme="minorEastAsia" w:hAnsiTheme="minorEastAsia" w:eastAsiaTheme="minorEastAsia"/>
          <w:snapToGrid w:val="0"/>
          <w:color w:val="auto"/>
          <w:kern w:val="28"/>
          <w:sz w:val="24"/>
          <w:highlight w:val="none"/>
        </w:rPr>
        <w:t>；</w:t>
      </w:r>
    </w:p>
    <w:p>
      <w:pPr>
        <w:pStyle w:val="34"/>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highlight w:val="none"/>
        </w:rPr>
        <w:t>所有资信文件</w:t>
      </w:r>
      <w:r>
        <w:rPr>
          <w:rFonts w:hint="eastAsia" w:cs="宋体" w:asciiTheme="minorEastAsia" w:hAnsiTheme="minorEastAsia" w:eastAsiaTheme="minorEastAsia"/>
          <w:color w:val="auto"/>
          <w:kern w:val="0"/>
          <w:sz w:val="24"/>
          <w:highlight w:val="none"/>
        </w:rPr>
        <w:t>（如果有）；</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snapToGrid w:val="0"/>
          <w:color w:val="auto"/>
          <w:sz w:val="24"/>
          <w:highlight w:val="none"/>
          <w:lang w:val="en-US" w:eastAsia="zh-CN"/>
        </w:rPr>
        <w:t>6</w:t>
      </w:r>
      <w:r>
        <w:rPr>
          <w:rFonts w:hint="eastAsia" w:asciiTheme="minorEastAsia" w:hAnsiTheme="minorEastAsia" w:eastAsiaTheme="minorEastAsia"/>
          <w:snapToGrid w:val="0"/>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认为需要的其他商务文件或说明 (如果有) ；</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8</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sz w:val="24"/>
          <w:highlight w:val="none"/>
          <w:lang w:val="zh-CN"/>
        </w:rPr>
        <w:t>服务方案。针对本项目的完整服务方案和实施方案；详细阐述项目方案的实现思路及关键技术；符合本项目对当前和未来发展的要求；以及对功能设计和实施计划的建议；</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9</w:t>
      </w:r>
      <w:r>
        <w:rPr>
          <w:rFonts w:hint="eastAsia" w:asciiTheme="minorEastAsia" w:hAnsiTheme="minorEastAsia" w:eastAsiaTheme="minorEastAsia"/>
          <w:color w:val="auto"/>
          <w:kern w:val="0"/>
          <w:sz w:val="24"/>
          <w:highlight w:val="none"/>
          <w:lang w:val="zh-CN"/>
        </w:rPr>
        <w:t>）组织实施方案。本项目详细工作实施组织方案，包括(但不限于)以下内容：组织机构、工作时间进度表、工作程序和步骤、管理和协调方法、关键步骤的思路和要点；</w:t>
      </w:r>
    </w:p>
    <w:p>
      <w:pPr>
        <w:pStyle w:val="34"/>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lang w:val="en-US" w:eastAsia="zh-CN"/>
        </w:rPr>
        <w:t>0）</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pPr>
        <w:pStyle w:val="34"/>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pPr>
        <w:pStyle w:val="34"/>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12</w:t>
      </w:r>
      <w:r>
        <w:rPr>
          <w:rFonts w:hint="eastAsia"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p>
    <w:p>
      <w:pPr>
        <w:pStyle w:val="34"/>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pPr>
        <w:pStyle w:val="34"/>
        <w:spacing w:line="360" w:lineRule="auto"/>
        <w:ind w:firstLine="480" w:firstLineChars="200"/>
        <w:rPr>
          <w:rFonts w:cs="仿宋_GB2312" w:asciiTheme="minorEastAsia" w:hAnsiTheme="minorEastAsia" w:eastAsiaTheme="minorEastAsia"/>
          <w:color w:val="auto"/>
          <w:sz w:val="24"/>
          <w:szCs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pPr>
        <w:pStyle w:val="3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pPr>
        <w:pStyle w:val="34"/>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pPr>
        <w:pStyle w:val="3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pPr>
        <w:pStyle w:val="3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pPr>
        <w:pStyle w:val="3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1"/>
          <w:rFonts w:hint="eastAsia" w:asciiTheme="minorEastAsia" w:hAnsiTheme="minorEastAsia" w:eastAsiaTheme="minorEastAsia"/>
          <w:snapToGrid/>
          <w:color w:val="auto"/>
          <w:sz w:val="24"/>
          <w:szCs w:val="24"/>
          <w:highlight w:val="none"/>
        </w:rPr>
        <w:t>www.creditchina.gov.cn</w:t>
      </w:r>
      <w:r>
        <w:rPr>
          <w:rStyle w:val="71"/>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4"/>
        <w:spacing w:line="360" w:lineRule="auto"/>
        <w:rPr>
          <w:rFonts w:cs="仿宋_GB2312" w:asciiTheme="minorEastAsia" w:hAnsiTheme="minorEastAsia" w:eastAsiaTheme="minorEastAsia"/>
          <w:b/>
          <w:color w:val="auto"/>
          <w:sz w:val="24"/>
          <w:szCs w:val="24"/>
          <w:highlight w:val="none"/>
        </w:rPr>
      </w:pPr>
    </w:p>
    <w:p>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pPr>
        <w:pStyle w:val="3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pPr>
        <w:adjustRightInd/>
        <w:spacing w:line="360" w:lineRule="auto"/>
        <w:jc w:val="center"/>
        <w:outlineLvl w:val="0"/>
        <w:rPr>
          <w:rFonts w:cs="仿宋_GB2312" w:asciiTheme="minorEastAsia" w:hAnsiTheme="minorEastAsia" w:eastAsiaTheme="minorEastAsia"/>
          <w:b/>
          <w:color w:val="auto"/>
          <w:sz w:val="32"/>
          <w:szCs w:val="20"/>
          <w:highlight w:val="none"/>
        </w:rPr>
      </w:pPr>
    </w:p>
    <w:p>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 xml:space="preserve">2. </w:t>
      </w:r>
      <w:bookmarkStart w:id="230" w:name="_GoBack"/>
      <w:r>
        <w:rPr>
          <w:rFonts w:hint="eastAsia" w:cs="仿宋_GB2312" w:asciiTheme="minorEastAsia" w:hAnsiTheme="minorEastAsia" w:eastAsiaTheme="minorEastAsia"/>
          <w:b/>
          <w:color w:val="auto"/>
          <w:highlight w:val="none"/>
        </w:rPr>
        <w:t>价格分</w:t>
      </w:r>
      <w:bookmarkEnd w:id="230"/>
      <w:r>
        <w:rPr>
          <w:rFonts w:hint="eastAsia" w:cs="仿宋_GB2312" w:asciiTheme="minorEastAsia" w:hAnsiTheme="minorEastAsia" w:eastAsiaTheme="minorEastAsia"/>
          <w:b/>
          <w:color w:val="auto"/>
          <w:highlight w:val="none"/>
        </w:rPr>
        <w:t>计算方法：</w:t>
      </w:r>
      <w:r>
        <w:rPr>
          <w:rFonts w:hint="eastAsia" w:cs="仿宋_GB2312" w:asciiTheme="minorEastAsia" w:hAnsiTheme="minorEastAsia" w:eastAsiaTheme="minorEastAsia"/>
          <w:color w:val="auto"/>
          <w:highlight w:val="none"/>
        </w:rPr>
        <w:t>低价优先法。</w:t>
      </w:r>
    </w:p>
    <w:p>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highlight w:val="none"/>
        </w:rPr>
      </w:pPr>
    </w:p>
    <w:p>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pPr>
        <w:pStyle w:val="3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4"/>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拟签订的合同文本”。</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磋商文件、响应文件等内容通过政府采购电子交易平台在线签订，备案。</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color w:val="auto"/>
          <w:sz w:val="36"/>
          <w:szCs w:val="36"/>
          <w:highlight w:val="none"/>
        </w:rPr>
      </w:pPr>
    </w:p>
    <w:p>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72990"/>
      <w:bookmarkEnd w:id="54"/>
      <w:bookmarkStart w:id="55" w:name="_Hlt68057669"/>
      <w:bookmarkEnd w:id="55"/>
      <w:bookmarkStart w:id="56" w:name="_Hlt74730295"/>
      <w:bookmarkEnd w:id="56"/>
      <w:bookmarkStart w:id="57" w:name="_Hlt75236101"/>
      <w:bookmarkEnd w:id="57"/>
      <w:bookmarkStart w:id="58" w:name="_Hlt75236011"/>
      <w:bookmarkEnd w:id="58"/>
      <w:bookmarkStart w:id="59" w:name="_Hlt74714665"/>
      <w:bookmarkEnd w:id="59"/>
      <w:bookmarkStart w:id="60" w:name="_Hlt75236290"/>
      <w:bookmarkEnd w:id="60"/>
      <w:bookmarkStart w:id="61" w:name="_Hlt74707468"/>
      <w:bookmarkEnd w:id="61"/>
      <w:bookmarkStart w:id="62" w:name="_Hlt74729768"/>
      <w:bookmarkEnd w:id="62"/>
      <w:bookmarkStart w:id="63" w:name="_Toc164416483"/>
      <w:bookmarkStart w:id="64" w:name="第三部分"/>
      <w:r>
        <w:rPr>
          <w:rFonts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pPr>
        <w:keepNext w:val="0"/>
        <w:keepLines w:val="0"/>
        <w:pageBreakBefore w:val="0"/>
        <w:widowControl w:val="0"/>
        <w:kinsoku/>
        <w:wordWrap/>
        <w:overflowPunct/>
        <w:topLinePunct w:val="0"/>
        <w:bidi w:val="0"/>
        <w:adjustRightInd w:val="0"/>
        <w:snapToGrid w:val="0"/>
        <w:spacing w:line="560" w:lineRule="exact"/>
        <w:ind w:firstLine="482" w:firstLineChars="20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一、采购的主要内容</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承担《浙江红十字》报（浙内准字第0136号）每月一期、全年12期、每月赠阅量1.2万份的设计、编辑、印刷、出版</w:t>
      </w:r>
      <w:r>
        <w:rPr>
          <w:rFonts w:hint="eastAsia" w:ascii="宋体" w:hAnsi="宋体" w:eastAsia="宋体" w:cs="宋体"/>
          <w:bCs/>
          <w:color w:val="auto"/>
          <w:sz w:val="24"/>
          <w:szCs w:val="24"/>
          <w:highlight w:val="none"/>
          <w:lang w:eastAsia="zh-CN"/>
        </w:rPr>
        <w:t>、邮寄等</w:t>
      </w:r>
      <w:r>
        <w:rPr>
          <w:rFonts w:hint="eastAsia" w:ascii="宋体" w:hAnsi="宋体" w:eastAsia="宋体" w:cs="宋体"/>
          <w:bCs/>
          <w:color w:val="auto"/>
          <w:sz w:val="24"/>
          <w:szCs w:val="24"/>
          <w:highlight w:val="none"/>
        </w:rPr>
        <w:t>任务</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按要求</w:t>
      </w:r>
      <w:r>
        <w:rPr>
          <w:rFonts w:hint="eastAsia" w:ascii="宋体" w:hAnsi="宋体" w:eastAsia="宋体" w:cs="宋体"/>
          <w:bCs/>
          <w:color w:val="auto"/>
          <w:sz w:val="24"/>
          <w:szCs w:val="24"/>
          <w:highlight w:val="none"/>
          <w:lang w:eastAsia="zh-CN"/>
        </w:rPr>
        <w:t>发放稿费（</w:t>
      </w:r>
      <w:r>
        <w:rPr>
          <w:rFonts w:hint="eastAsia" w:ascii="宋体" w:hAnsi="宋体" w:cs="宋体"/>
          <w:bCs/>
          <w:color w:val="auto"/>
          <w:sz w:val="24"/>
          <w:szCs w:val="24"/>
          <w:highlight w:val="none"/>
          <w:lang w:eastAsia="zh-CN"/>
        </w:rPr>
        <w:t>不低于</w:t>
      </w:r>
      <w:r>
        <w:rPr>
          <w:rFonts w:hint="eastAsia" w:ascii="宋体" w:hAnsi="宋体" w:cs="宋体"/>
          <w:bCs/>
          <w:color w:val="auto"/>
          <w:sz w:val="24"/>
          <w:szCs w:val="24"/>
          <w:highlight w:val="none"/>
          <w:lang w:val="en-US" w:eastAsia="zh-CN"/>
        </w:rPr>
        <w:t>2.4万元</w:t>
      </w:r>
      <w:r>
        <w:rPr>
          <w:rFonts w:hint="eastAsia" w:ascii="宋体" w:hAnsi="宋体" w:eastAsia="宋体" w:cs="宋体"/>
          <w:bCs/>
          <w:color w:val="auto"/>
          <w:sz w:val="24"/>
          <w:szCs w:val="24"/>
          <w:highlight w:val="none"/>
          <w:lang w:val="en-US" w:eastAsia="zh-CN"/>
        </w:rPr>
        <w:t>/年，该笔费用须包含在投标报价中，不另计费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协助举办年度</w:t>
      </w:r>
      <w:r>
        <w:rPr>
          <w:rFonts w:hint="eastAsia" w:ascii="宋体" w:hAnsi="宋体" w:eastAsia="宋体" w:cs="宋体"/>
          <w:bCs/>
          <w:color w:val="auto"/>
          <w:sz w:val="24"/>
          <w:szCs w:val="24"/>
          <w:highlight w:val="none"/>
          <w:lang w:eastAsia="zh-CN"/>
        </w:rPr>
        <w:t>优秀作品和</w:t>
      </w:r>
      <w:r>
        <w:rPr>
          <w:rFonts w:hint="eastAsia" w:ascii="宋体" w:hAnsi="宋体" w:eastAsia="宋体" w:cs="宋体"/>
          <w:bCs/>
          <w:color w:val="auto"/>
          <w:sz w:val="24"/>
          <w:szCs w:val="24"/>
          <w:highlight w:val="none"/>
        </w:rPr>
        <w:t>优秀通讯员评比</w:t>
      </w:r>
      <w:r>
        <w:rPr>
          <w:rFonts w:hint="eastAsia" w:ascii="宋体" w:hAnsi="宋体" w:eastAsia="宋体" w:cs="宋体"/>
          <w:bCs/>
          <w:color w:val="auto"/>
          <w:sz w:val="24"/>
          <w:szCs w:val="24"/>
          <w:highlight w:val="none"/>
          <w:lang w:eastAsia="zh-CN"/>
        </w:rPr>
        <w:t>表扬</w:t>
      </w:r>
      <w:r>
        <w:rPr>
          <w:rFonts w:hint="eastAsia" w:ascii="宋体" w:hAnsi="宋体" w:eastAsia="宋体" w:cs="宋体"/>
          <w:bCs/>
          <w:color w:val="auto"/>
          <w:sz w:val="24"/>
          <w:szCs w:val="24"/>
          <w:highlight w:val="none"/>
        </w:rPr>
        <w:t>活动并给予适当奖励</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eastAsia="zh-CN"/>
        </w:rPr>
        <w:t>不低于</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万元/年，该笔费用须包含在投标报价中，不另计费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结合年度重要会议和“世界红十字日”等重大活动，增加专版和加印报纸等</w:t>
      </w:r>
      <w:r>
        <w:rPr>
          <w:rFonts w:hint="eastAsia" w:ascii="宋体" w:hAnsi="宋体" w:eastAsia="宋体" w:cs="宋体"/>
          <w:bCs/>
          <w:color w:val="auto"/>
          <w:sz w:val="24"/>
          <w:szCs w:val="24"/>
          <w:highlight w:val="none"/>
          <w:lang w:eastAsia="zh-CN"/>
        </w:rPr>
        <w:t>（每年不超过</w:t>
      </w:r>
      <w:r>
        <w:rPr>
          <w:rFonts w:hint="eastAsia" w:ascii="宋体" w:hAnsi="宋体" w:eastAsia="宋体" w:cs="宋体"/>
          <w:bCs/>
          <w:color w:val="auto"/>
          <w:sz w:val="24"/>
          <w:szCs w:val="24"/>
          <w:highlight w:val="none"/>
          <w:lang w:val="en-US" w:eastAsia="zh-CN"/>
        </w:rPr>
        <w:t>2期，该笔费用须包含在投标报价中，不另计费</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2. </w:t>
      </w:r>
      <w:r>
        <w:rPr>
          <w:rFonts w:hint="eastAsia" w:ascii="宋体" w:hAnsi="宋体" w:eastAsia="宋体" w:cs="宋体"/>
          <w:bCs/>
          <w:color w:val="auto"/>
          <w:sz w:val="24"/>
          <w:szCs w:val="24"/>
          <w:highlight w:val="none"/>
        </w:rPr>
        <w:t>承担“浙江红十字”官方微信公众号的日常运行和维护，</w:t>
      </w:r>
      <w:r>
        <w:rPr>
          <w:rFonts w:hint="eastAsia" w:ascii="宋体" w:hAnsi="宋体" w:eastAsia="宋体" w:cs="宋体"/>
          <w:bCs/>
          <w:color w:val="auto"/>
          <w:sz w:val="24"/>
          <w:szCs w:val="24"/>
          <w:highlight w:val="none"/>
          <w:lang w:eastAsia="zh-CN"/>
        </w:rPr>
        <w:t>通过创新</w:t>
      </w:r>
      <w:r>
        <w:rPr>
          <w:rFonts w:hint="eastAsia" w:ascii="宋体" w:hAnsi="宋体" w:eastAsia="宋体" w:cs="宋体"/>
          <w:color w:val="auto"/>
          <w:sz w:val="24"/>
          <w:szCs w:val="24"/>
          <w:highlight w:val="none"/>
          <w:lang w:eastAsia="zh-CN"/>
        </w:rPr>
        <w:t>传播手段和话语方式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提高</w:t>
      </w:r>
      <w:r>
        <w:rPr>
          <w:rFonts w:hint="eastAsia" w:ascii="宋体" w:hAnsi="宋体" w:eastAsia="宋体" w:cs="宋体"/>
          <w:bCs/>
          <w:color w:val="auto"/>
          <w:sz w:val="24"/>
          <w:szCs w:val="24"/>
          <w:highlight w:val="none"/>
          <w:lang w:eastAsia="zh-CN"/>
        </w:rPr>
        <w:t>阅读</w:t>
      </w:r>
      <w:r>
        <w:rPr>
          <w:rFonts w:hint="eastAsia" w:ascii="宋体" w:hAnsi="宋体" w:eastAsia="宋体" w:cs="宋体"/>
          <w:bCs/>
          <w:color w:val="auto"/>
          <w:sz w:val="24"/>
          <w:szCs w:val="24"/>
          <w:highlight w:val="none"/>
        </w:rPr>
        <w:t>流量</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rPr>
        <w:t>转化率，发展线上新用户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正常情况下，每个工作日发布两篇；抗灾救灾、重大活动等特殊时期，根据需要增加发布频度。</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承担“浙江省红十字会”官方网站运营维护工作，</w:t>
      </w:r>
      <w:r>
        <w:rPr>
          <w:rFonts w:hint="eastAsia" w:ascii="宋体" w:hAnsi="宋体" w:eastAsia="宋体" w:cs="宋体"/>
          <w:bCs/>
          <w:color w:val="auto"/>
          <w:sz w:val="24"/>
          <w:szCs w:val="24"/>
          <w:highlight w:val="none"/>
          <w:lang w:eastAsia="zh-CN"/>
        </w:rPr>
        <w:t>负责</w:t>
      </w:r>
      <w:r>
        <w:rPr>
          <w:rFonts w:hint="eastAsia" w:ascii="宋体" w:hAnsi="宋体" w:eastAsia="宋体" w:cs="宋体"/>
          <w:bCs/>
          <w:color w:val="auto"/>
          <w:sz w:val="24"/>
          <w:szCs w:val="24"/>
          <w:highlight w:val="none"/>
        </w:rPr>
        <w:t>日常网站管理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内容更新、公示公告发布等。</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 </w:t>
      </w:r>
      <w:r>
        <w:rPr>
          <w:rFonts w:hint="eastAsia" w:ascii="宋体" w:hAnsi="宋体" w:eastAsia="宋体" w:cs="宋体"/>
          <w:bCs/>
          <w:color w:val="auto"/>
          <w:sz w:val="24"/>
          <w:szCs w:val="24"/>
          <w:highlight w:val="none"/>
        </w:rPr>
        <w:t>承担</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新浪官方微博、视频号、抖音号和哔哩哔哩号等自媒体的运行和维护工作。</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 承担省委、省政府召开的有关红十字工作会议、</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举办的重要会议和重大活动，中国红十字会总会领导来浙江考察调研、</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领导下基层考察调研需要进行的新闻采写、报道和资料摄录、制作等工作。</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 参与</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重大宣传活动、重要宣传制作的策划和设计工作。</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 承担</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各自媒体平台信息发布所需图文、视频的编辑、设计等工作，每月不少于</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条新媒体短视频。</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 协助做好</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网上舆情监测和舆论引导等工作，每月提交网络舆情监测报告，</w:t>
      </w:r>
      <w:r>
        <w:rPr>
          <w:rFonts w:hint="eastAsia" w:ascii="宋体" w:hAnsi="宋体" w:eastAsia="宋体" w:cs="宋体"/>
          <w:bCs/>
          <w:color w:val="auto"/>
          <w:sz w:val="24"/>
          <w:szCs w:val="24"/>
          <w:highlight w:val="none"/>
        </w:rPr>
        <w:t>遇舆情事件时，每天提交舆情监测报告，并参与相关处置工作。</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9. </w:t>
      </w:r>
      <w:r>
        <w:rPr>
          <w:rFonts w:hint="eastAsia" w:ascii="宋体" w:hAnsi="宋体" w:eastAsia="宋体" w:cs="宋体"/>
          <w:bCs/>
          <w:color w:val="auto"/>
          <w:sz w:val="24"/>
          <w:szCs w:val="24"/>
          <w:highlight w:val="none"/>
        </w:rPr>
        <w:t>其他日常或专题宣传工作。</w:t>
      </w:r>
    </w:p>
    <w:p>
      <w:pPr>
        <w:keepNext w:val="0"/>
        <w:keepLines w:val="0"/>
        <w:pageBreakBefore w:val="0"/>
        <w:widowControl w:val="0"/>
        <w:kinsoku/>
        <w:wordWrap/>
        <w:overflowPunct/>
        <w:topLinePunct w:val="0"/>
        <w:autoSpaceDE w:val="0"/>
        <w:autoSpaceDN w:val="0"/>
        <w:bidi w:val="0"/>
        <w:spacing w:line="540" w:lineRule="exact"/>
        <w:ind w:firstLine="482" w:firstLineChars="200"/>
        <w:jc w:val="left"/>
        <w:textAlignment w:val="bottom"/>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服务要求</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必须具有为省级机关部门长期提供宣传服务保障和运行维护网络自媒体的丰富经验和实际能力，并在业内具有公认度和良好口碑。</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必须认真协助</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落实好党的意识形态责任制，严格按照</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信息发布有关规定和程序，做好逐级审核报批和信息发布工作，坚决杜绝意识形态责任事故的发生。</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合同期内，</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必须选派</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名以上（含</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名）工作人员常驻</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机关协助工作。选派人员政治上可靠、热心红十字工作、富有创新和奉献精神、工作经验丰富，具有较好承担受委托各项业务工作的能力。</w:t>
      </w:r>
    </w:p>
    <w:p>
      <w:pPr>
        <w:keepNext w:val="0"/>
        <w:keepLines w:val="0"/>
        <w:pageBreakBefore w:val="0"/>
        <w:widowControl w:val="0"/>
        <w:kinsoku/>
        <w:wordWrap/>
        <w:overflowPunct/>
        <w:topLinePunct w:val="0"/>
        <w:autoSpaceDE w:val="0"/>
        <w:autoSpaceDN w:val="0"/>
        <w:bidi w:val="0"/>
        <w:spacing w:line="540" w:lineRule="exact"/>
        <w:ind w:firstLine="480" w:firstLineChars="200"/>
        <w:jc w:val="left"/>
        <w:textAlignment w:val="bottom"/>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 </w:t>
      </w:r>
      <w:r>
        <w:rPr>
          <w:rFonts w:hint="eastAsia" w:ascii="宋体" w:hAnsi="宋体" w:eastAsia="宋体" w:cs="宋体"/>
          <w:bCs/>
          <w:color w:val="auto"/>
          <w:sz w:val="24"/>
          <w:szCs w:val="24"/>
          <w:highlight w:val="none"/>
        </w:rPr>
        <w:t>选派人员中须明确1人为团队主管。团队主管必须具有新闻、传媒等相关专业本科以上学历，</w:t>
      </w:r>
      <w:r>
        <w:rPr>
          <w:rFonts w:hint="eastAsia" w:ascii="宋体" w:hAnsi="宋体" w:eastAsia="宋体" w:cs="宋体"/>
          <w:bCs/>
          <w:color w:val="auto"/>
          <w:sz w:val="24"/>
          <w:szCs w:val="24"/>
          <w:highlight w:val="none"/>
          <w:lang w:val="en-US" w:eastAsia="zh-CN"/>
        </w:rPr>
        <w:t>35</w:t>
      </w:r>
      <w:r>
        <w:rPr>
          <w:rFonts w:hint="eastAsia" w:ascii="宋体" w:hAnsi="宋体" w:eastAsia="宋体" w:cs="宋体"/>
          <w:bCs/>
          <w:color w:val="auto"/>
          <w:sz w:val="24"/>
          <w:szCs w:val="24"/>
          <w:highlight w:val="none"/>
        </w:rPr>
        <w:t>周岁以下，并有相关从业经历</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年以上（截止2023年1月31日，下同）；团队成员</w:t>
      </w:r>
      <w:r>
        <w:rPr>
          <w:rFonts w:hint="eastAsia" w:ascii="宋体" w:hAnsi="宋体" w:eastAsia="宋体" w:cs="宋体"/>
          <w:bCs/>
          <w:color w:val="auto"/>
          <w:sz w:val="24"/>
          <w:szCs w:val="24"/>
          <w:highlight w:val="none"/>
          <w:lang w:val="en-US" w:eastAsia="zh-CN"/>
        </w:rPr>
        <w:t>中</w:t>
      </w:r>
      <w:r>
        <w:rPr>
          <w:rFonts w:hint="eastAsia" w:ascii="宋体" w:hAnsi="宋体" w:eastAsia="宋体" w:cs="宋体"/>
          <w:bCs/>
          <w:color w:val="auto"/>
          <w:sz w:val="24"/>
          <w:szCs w:val="24"/>
          <w:highlight w:val="none"/>
        </w:rPr>
        <w:t>应有新闻、传媒等相关专业本科以上学历，35周岁以下，并有相关从业经历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年以上。</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选派人员须服从</w:t>
      </w:r>
      <w:r>
        <w:rPr>
          <w:rFonts w:hint="eastAsia" w:ascii="宋体" w:hAnsi="宋体" w:cs="宋体"/>
          <w:bCs/>
          <w:color w:val="auto"/>
          <w:sz w:val="24"/>
          <w:szCs w:val="24"/>
          <w:highlight w:val="none"/>
          <w:lang w:eastAsia="zh-CN"/>
        </w:rPr>
        <w:t>采购人</w:t>
      </w:r>
      <w:r>
        <w:rPr>
          <w:rFonts w:hint="eastAsia" w:ascii="宋体" w:hAnsi="宋体" w:eastAsia="宋体" w:cs="宋体"/>
          <w:bCs/>
          <w:color w:val="auto"/>
          <w:sz w:val="24"/>
          <w:szCs w:val="24"/>
          <w:highlight w:val="none"/>
        </w:rPr>
        <w:t>人道传播与组织管理</w:t>
      </w:r>
      <w:r>
        <w:rPr>
          <w:rFonts w:hint="eastAsia" w:ascii="宋体" w:hAnsi="宋体" w:eastAsia="宋体" w:cs="宋体"/>
          <w:bCs/>
          <w:color w:val="auto"/>
          <w:sz w:val="24"/>
          <w:szCs w:val="24"/>
          <w:highlight w:val="none"/>
          <w:lang w:eastAsia="zh-CN"/>
        </w:rPr>
        <w:t>部</w:t>
      </w:r>
      <w:r>
        <w:rPr>
          <w:rFonts w:hint="eastAsia" w:ascii="宋体" w:hAnsi="宋体" w:eastAsia="宋体" w:cs="宋体"/>
          <w:bCs/>
          <w:color w:val="auto"/>
          <w:sz w:val="24"/>
          <w:szCs w:val="24"/>
          <w:highlight w:val="none"/>
        </w:rPr>
        <w:t>的管理，遵守</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机关各项规章制度，自觉维护</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机关的良好形象。遇到突发情况和重大工作任务，派出人员应服从</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会统一安排，参与临时加班、值班、出差等。选派人员的党组织关系可以迁入</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机关，参与会机关党员活动。</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应加强对相关人员的教育和管理，建立健全考核考勤评价制度，在征求</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用人部门意见的基础上，每年对相关人员进行评比、考核和鼓励。</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应为选派人员提供电脑、摄影、摄像等必要的办公设施设备。</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8. </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w:t>
      </w:r>
      <w:r>
        <w:rPr>
          <w:rFonts w:hint="eastAsia" w:ascii="宋体" w:hAnsi="宋体" w:eastAsia="宋体" w:cs="宋体"/>
          <w:bCs/>
          <w:color w:val="auto"/>
          <w:sz w:val="24"/>
          <w:szCs w:val="24"/>
          <w:highlight w:val="none"/>
          <w:lang w:eastAsia="zh-CN"/>
        </w:rPr>
        <w:t>为选派人员提供强大的团队支撑，特别是在重大宣传报道中应调动单位资源做好各项服务。</w:t>
      </w:r>
    </w:p>
    <w:p>
      <w:pPr>
        <w:pStyle w:val="2"/>
        <w:rPr>
          <w:rFonts w:hint="default"/>
          <w:color w:val="auto"/>
          <w:highlight w:val="none"/>
          <w:lang w:val="en-US" w:eastAsia="zh-CN"/>
        </w:rPr>
      </w:pPr>
      <w:r>
        <w:rPr>
          <w:rFonts w:hint="eastAsia"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必须保证履行相关保密约定；必须保证遵守知识产权保护规定，因知识产权引起的纠纷由</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负全部责任。</w:t>
      </w:r>
    </w:p>
    <w:p>
      <w:pPr>
        <w:keepNext w:val="0"/>
        <w:keepLines w:val="0"/>
        <w:pageBreakBefore w:val="0"/>
        <w:widowControl w:val="0"/>
        <w:kinsoku/>
        <w:wordWrap/>
        <w:overflowPunct/>
        <w:topLinePunct w:val="0"/>
        <w:autoSpaceDE w:val="0"/>
        <w:autoSpaceDN w:val="0"/>
        <w:bidi w:val="0"/>
        <w:spacing w:line="560" w:lineRule="exact"/>
        <w:ind w:firstLine="482" w:firstLineChars="200"/>
        <w:jc w:val="left"/>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的权利和义务</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1.双方合作期间，</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选派人员不符合要求、不认真履行委托责任、工作质量不高、不服从</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管理，或发生重大意识形态责任事故的，</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有权单方面提出调整选派人员甚至中止双方合作的要求，</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必须无条件给予配合。</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服务期为</w:t>
      </w:r>
      <w:r>
        <w:rPr>
          <w:rFonts w:hint="eastAsia" w:ascii="宋体" w:hAnsi="宋体" w:cs="宋体"/>
          <w:bCs/>
          <w:color w:val="auto"/>
          <w:sz w:val="24"/>
          <w:szCs w:val="24"/>
          <w:highlight w:val="none"/>
          <w:lang w:val="en-US" w:eastAsia="zh-CN"/>
        </w:rPr>
        <w:t>2023年3月27日至2024年3月26日。</w:t>
      </w:r>
      <w:r>
        <w:rPr>
          <w:rFonts w:hint="eastAsia" w:ascii="宋体" w:hAnsi="宋体" w:eastAsia="宋体" w:cs="宋体"/>
          <w:bCs/>
          <w:color w:val="auto"/>
          <w:sz w:val="24"/>
          <w:szCs w:val="24"/>
          <w:highlight w:val="none"/>
        </w:rPr>
        <w:t>服务时间满</w:t>
      </w:r>
      <w:r>
        <w:rPr>
          <w:rFonts w:hint="eastAsia" w:ascii="宋体" w:hAnsi="宋体" w:eastAsia="宋体" w:cs="宋体"/>
          <w:bCs/>
          <w:color w:val="auto"/>
          <w:sz w:val="24"/>
          <w:szCs w:val="24"/>
          <w:highlight w:val="none"/>
          <w:lang w:val="en-US" w:eastAsia="zh-CN"/>
        </w:rPr>
        <w:t>半</w:t>
      </w:r>
      <w:r>
        <w:rPr>
          <w:rFonts w:hint="eastAsia" w:ascii="宋体" w:hAnsi="宋体" w:eastAsia="宋体" w:cs="宋体"/>
          <w:bCs/>
          <w:color w:val="auto"/>
          <w:sz w:val="24"/>
          <w:szCs w:val="24"/>
          <w:highlight w:val="none"/>
        </w:rPr>
        <w:t>年需接受采购</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lang w:eastAsia="zh-CN"/>
        </w:rPr>
        <w:t>评估</w:t>
      </w:r>
      <w:r>
        <w:rPr>
          <w:rFonts w:hint="eastAsia" w:ascii="宋体" w:hAnsi="宋体" w:eastAsia="宋体" w:cs="宋体"/>
          <w:bCs/>
          <w:color w:val="auto"/>
          <w:sz w:val="24"/>
          <w:szCs w:val="24"/>
          <w:highlight w:val="none"/>
        </w:rPr>
        <w:t>，如未通过</w:t>
      </w:r>
      <w:r>
        <w:rPr>
          <w:rFonts w:hint="eastAsia" w:ascii="宋体" w:hAnsi="宋体" w:eastAsia="宋体" w:cs="宋体"/>
          <w:bCs/>
          <w:color w:val="auto"/>
          <w:sz w:val="24"/>
          <w:szCs w:val="24"/>
          <w:highlight w:val="none"/>
          <w:lang w:eastAsia="zh-CN"/>
        </w:rPr>
        <w:t>评估</w:t>
      </w:r>
      <w:r>
        <w:rPr>
          <w:rFonts w:hint="eastAsia" w:ascii="宋体" w:hAnsi="宋体" w:eastAsia="宋体" w:cs="宋体"/>
          <w:bCs/>
          <w:color w:val="auto"/>
          <w:sz w:val="24"/>
          <w:szCs w:val="24"/>
          <w:highlight w:val="none"/>
        </w:rPr>
        <w:t>，采购</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有权提前解除合同。</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须为</w:t>
      </w:r>
      <w:r>
        <w:rPr>
          <w:rFonts w:hint="eastAsia" w:ascii="宋体" w:hAnsi="宋体" w:eastAsia="宋体" w:cs="宋体"/>
          <w:bCs/>
          <w:color w:val="auto"/>
          <w:sz w:val="24"/>
          <w:szCs w:val="24"/>
          <w:highlight w:val="none"/>
          <w:lang w:eastAsia="zh-CN"/>
        </w:rPr>
        <w:t>中标人选派人员</w:t>
      </w:r>
      <w:r>
        <w:rPr>
          <w:rFonts w:hint="eastAsia" w:ascii="宋体" w:hAnsi="宋体" w:eastAsia="宋体" w:cs="宋体"/>
          <w:bCs/>
          <w:color w:val="auto"/>
          <w:sz w:val="24"/>
          <w:szCs w:val="24"/>
          <w:highlight w:val="none"/>
        </w:rPr>
        <w:t>提供办公场所。</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将经常性听取</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的工作意见和建议，加强双方合作，力求取得最佳合作效果。</w:t>
      </w:r>
    </w:p>
    <w:p>
      <w:pPr>
        <w:keepNext w:val="0"/>
        <w:keepLines w:val="0"/>
        <w:pageBreakBefore w:val="0"/>
        <w:widowControl w:val="0"/>
        <w:kinsoku/>
        <w:wordWrap/>
        <w:overflowPunct/>
        <w:topLinePunct w:val="0"/>
        <w:autoSpaceDE w:val="0"/>
        <w:autoSpaceDN w:val="0"/>
        <w:bidi w:val="0"/>
        <w:spacing w:line="560" w:lineRule="exact"/>
        <w:ind w:firstLine="482" w:firstLineChars="200"/>
        <w:jc w:val="left"/>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、费用和说明</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项目采购预算：人民币</w:t>
      </w:r>
      <w:r>
        <w:rPr>
          <w:rFonts w:hint="eastAsia" w:ascii="宋体" w:hAnsi="宋体" w:eastAsia="宋体" w:cs="宋体"/>
          <w:snapToGrid w:val="0"/>
          <w:color w:val="auto"/>
          <w:kern w:val="0"/>
          <w:sz w:val="24"/>
          <w:szCs w:val="24"/>
          <w:highlight w:val="none"/>
          <w:lang w:val="en-US" w:eastAsia="zh-CN"/>
        </w:rPr>
        <w:t>70</w:t>
      </w:r>
      <w:r>
        <w:rPr>
          <w:rFonts w:hint="eastAsia" w:ascii="宋体" w:hAnsi="宋体" w:eastAsia="宋体" w:cs="宋体"/>
          <w:snapToGrid w:val="0"/>
          <w:color w:val="auto"/>
          <w:kern w:val="0"/>
          <w:sz w:val="24"/>
          <w:szCs w:val="24"/>
          <w:highlight w:val="none"/>
        </w:rPr>
        <w:t>万元。</w:t>
      </w:r>
      <w:r>
        <w:rPr>
          <w:rFonts w:hint="eastAsia" w:ascii="宋体" w:hAnsi="宋体" w:eastAsia="宋体" w:cs="宋体"/>
          <w:bCs/>
          <w:color w:val="auto"/>
          <w:sz w:val="24"/>
          <w:szCs w:val="24"/>
          <w:highlight w:val="none"/>
        </w:rPr>
        <w:t>采购预算包含：采购的主要内容所需费用，包含但不限于《浙江红十字》报编印出版的所有费用、人员费用、</w:t>
      </w:r>
      <w:r>
        <w:rPr>
          <w:rFonts w:hint="eastAsia" w:ascii="宋体" w:hAnsi="宋体" w:eastAsia="宋体" w:cs="宋体"/>
          <w:bCs/>
          <w:color w:val="auto"/>
          <w:sz w:val="24"/>
          <w:szCs w:val="24"/>
          <w:highlight w:val="none"/>
          <w:lang w:eastAsia="zh-CN"/>
        </w:rPr>
        <w:t>各自媒体平台的运营费用、</w:t>
      </w:r>
      <w:r>
        <w:rPr>
          <w:rFonts w:hint="eastAsia" w:ascii="宋体" w:hAnsi="宋体" w:eastAsia="宋体" w:cs="宋体"/>
          <w:bCs/>
          <w:color w:val="auto"/>
          <w:sz w:val="24"/>
          <w:szCs w:val="24"/>
          <w:highlight w:val="none"/>
        </w:rPr>
        <w:t>各类实施项目所需的设备、税费等。</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.付款方式：</w:t>
      </w:r>
      <w:r>
        <w:rPr>
          <w:rFonts w:hint="eastAsia" w:cs="仿宋_GB2312" w:asciiTheme="minorEastAsia" w:hAnsiTheme="minorEastAsia" w:eastAsiaTheme="minorEastAsia"/>
          <w:color w:val="auto"/>
          <w:sz w:val="24"/>
          <w:highlight w:val="none"/>
        </w:rPr>
        <w:t>正式签署合同</w:t>
      </w:r>
      <w:r>
        <w:rPr>
          <w:rFonts w:hint="eastAsia" w:cs="仿宋_GB2312" w:asciiTheme="minorEastAsia" w:hAnsiTheme="minorEastAsia" w:eastAsiaTheme="minorEastAsia"/>
          <w:color w:val="auto"/>
          <w:sz w:val="24"/>
          <w:highlight w:val="none"/>
          <w:lang w:val="en-US" w:eastAsia="zh-CN"/>
        </w:rPr>
        <w:t>后</w:t>
      </w:r>
      <w:r>
        <w:rPr>
          <w:rFonts w:hint="eastAsia" w:cs="仿宋_GB2312" w:asciiTheme="minorEastAsia" w:hAnsiTheme="minorEastAsia" w:eastAsiaTheme="minorEastAsia"/>
          <w:color w:val="auto"/>
          <w:sz w:val="24"/>
          <w:highlight w:val="none"/>
        </w:rPr>
        <w:t>5个工作日内</w:t>
      </w:r>
      <w:r>
        <w:rPr>
          <w:rFonts w:hint="eastAsia" w:ascii="宋体" w:hAnsi="宋体" w:eastAsia="宋体" w:cs="宋体"/>
          <w:bCs/>
          <w:color w:val="auto"/>
          <w:kern w:val="2"/>
          <w:sz w:val="24"/>
          <w:szCs w:val="24"/>
          <w:highlight w:val="none"/>
        </w:rPr>
        <w:t>，采购人支付中标人合同金额的</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0%，</w:t>
      </w:r>
      <w:r>
        <w:rPr>
          <w:rFonts w:hint="eastAsia" w:ascii="宋体" w:hAnsi="宋体" w:eastAsia="宋体" w:cs="宋体"/>
          <w:bCs/>
          <w:color w:val="auto"/>
          <w:kern w:val="2"/>
          <w:sz w:val="24"/>
          <w:szCs w:val="24"/>
          <w:highlight w:val="none"/>
          <w:lang w:val="en-US" w:eastAsia="zh-CN"/>
        </w:rPr>
        <w:t>2023年</w:t>
      </w:r>
      <w:r>
        <w:rPr>
          <w:rFonts w:hint="eastAsia" w:ascii="宋体" w:hAnsi="宋体" w:cs="宋体"/>
          <w:bCs/>
          <w:color w:val="auto"/>
          <w:kern w:val="2"/>
          <w:sz w:val="24"/>
          <w:szCs w:val="24"/>
          <w:highlight w:val="none"/>
          <w:lang w:val="en-US" w:eastAsia="zh-CN"/>
        </w:rPr>
        <w:t>11月底前</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rPr>
        <w:t>项目</w:t>
      </w:r>
      <w:r>
        <w:rPr>
          <w:rFonts w:hint="eastAsia" w:ascii="宋体" w:hAnsi="宋体" w:cs="宋体"/>
          <w:bCs/>
          <w:color w:val="auto"/>
          <w:kern w:val="2"/>
          <w:sz w:val="24"/>
          <w:szCs w:val="24"/>
          <w:highlight w:val="none"/>
          <w:lang w:val="en-US" w:eastAsia="zh-CN"/>
        </w:rPr>
        <w:t>中期</w:t>
      </w:r>
      <w:r>
        <w:rPr>
          <w:rFonts w:hint="eastAsia" w:ascii="宋体" w:hAnsi="宋体" w:eastAsia="宋体" w:cs="宋体"/>
          <w:bCs/>
          <w:color w:val="auto"/>
          <w:kern w:val="2"/>
          <w:sz w:val="24"/>
          <w:szCs w:val="24"/>
          <w:highlight w:val="none"/>
        </w:rPr>
        <w:t>验收合格后一次性向中标人支付合同余款。中标人应在采购人付款前向采购人开具同等金额增值税发票，采购人收到发票后须在上述约定时间内支付款项。</w:t>
      </w:r>
    </w:p>
    <w:p>
      <w:pPr>
        <w:keepNext w:val="0"/>
        <w:keepLines w:val="0"/>
        <w:pageBreakBefore w:val="0"/>
        <w:widowControl w:val="0"/>
        <w:kinsoku/>
        <w:wordWrap/>
        <w:overflowPunct/>
        <w:topLinePunct w:val="0"/>
        <w:autoSpaceDE w:val="0"/>
        <w:autoSpaceDN w:val="0"/>
        <w:bidi w:val="0"/>
        <w:spacing w:line="560" w:lineRule="exact"/>
        <w:ind w:firstLine="482" w:firstLineChars="200"/>
        <w:jc w:val="left"/>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应</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会要求发布的各类新闻及图片，所有权及使用权归</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所有。当合作到期后，所有用户数据须完整移交给</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或</w:t>
      </w:r>
      <w:r>
        <w:rPr>
          <w:rFonts w:hint="eastAsia" w:ascii="宋体" w:hAnsi="宋体" w:cs="宋体"/>
          <w:bCs/>
          <w:color w:val="auto"/>
          <w:sz w:val="24"/>
          <w:szCs w:val="24"/>
          <w:highlight w:val="none"/>
          <w:lang w:val="en-US" w:eastAsia="zh-CN"/>
        </w:rPr>
        <w:t>经采购人授权的</w:t>
      </w:r>
      <w:r>
        <w:rPr>
          <w:rFonts w:hint="eastAsia" w:ascii="宋体" w:hAnsi="宋体" w:eastAsia="宋体" w:cs="宋体"/>
          <w:bCs/>
          <w:color w:val="auto"/>
          <w:sz w:val="24"/>
          <w:szCs w:val="24"/>
          <w:highlight w:val="none"/>
        </w:rPr>
        <w:t>下一任服务商。</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 w:val="0"/>
          <w:bCs/>
          <w:color w:val="auto"/>
          <w:sz w:val="24"/>
          <w:szCs w:val="24"/>
          <w:highlight w:val="none"/>
        </w:rPr>
        <w:t>服务地点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Cs/>
          <w:color w:val="auto"/>
          <w:sz w:val="24"/>
          <w:szCs w:val="24"/>
          <w:highlight w:val="none"/>
        </w:rPr>
        <w:t>浙江省红十字会</w:t>
      </w:r>
      <w:r>
        <w:rPr>
          <w:rFonts w:hint="eastAsia" w:ascii="宋体" w:hAnsi="宋体" w:eastAsia="宋体" w:cs="宋体"/>
          <w:bCs/>
          <w:color w:val="auto"/>
          <w:sz w:val="24"/>
          <w:szCs w:val="24"/>
          <w:highlight w:val="none"/>
          <w:lang w:val="en-US" w:eastAsia="zh-CN"/>
        </w:rPr>
        <w:t>及其指定地点</w:t>
      </w:r>
      <w:r>
        <w:rPr>
          <w:rFonts w:hint="eastAsia" w:ascii="宋体" w:hAnsi="宋体" w:cs="宋体"/>
          <w:bCs/>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pacing w:line="560" w:lineRule="exact"/>
        <w:ind w:firstLine="480" w:firstLineChars="200"/>
        <w:jc w:val="left"/>
        <w:textAlignment w:val="bottom"/>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3.本项目不允许分包或转包。</w:t>
      </w:r>
    </w:p>
    <w:p>
      <w:pPr>
        <w:keepNext w:val="0"/>
        <w:keepLines w:val="0"/>
        <w:pageBreakBefore w:val="0"/>
        <w:widowControl w:val="0"/>
        <w:kinsoku/>
        <w:wordWrap/>
        <w:overflowPunct/>
        <w:topLinePunct w:val="0"/>
        <w:autoSpaceDE w:val="0"/>
        <w:autoSpaceDN w:val="0"/>
        <w:bidi w:val="0"/>
        <w:adjustRightInd/>
        <w:snapToGrid/>
        <w:spacing w:line="560" w:lineRule="exact"/>
        <w:ind w:firstLine="482" w:firstLineChars="200"/>
        <w:jc w:val="left"/>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六、验收</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1.验收由采购人负责实施；</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2.验收依据：</w:t>
      </w:r>
    </w:p>
    <w:p>
      <w:pPr>
        <w:autoSpaceDE w:val="0"/>
        <w:autoSpaceDN w:val="0"/>
        <w:adjustRightInd/>
        <w:snapToGrid/>
        <w:spacing w:line="560" w:lineRule="exact"/>
        <w:ind w:firstLine="720" w:firstLineChars="3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2.1合同、招标文件、投标文件；</w:t>
      </w:r>
    </w:p>
    <w:p>
      <w:pPr>
        <w:autoSpaceDE w:val="0"/>
        <w:autoSpaceDN w:val="0"/>
        <w:adjustRightInd/>
        <w:snapToGrid/>
        <w:spacing w:line="560" w:lineRule="exact"/>
        <w:ind w:firstLine="720" w:firstLineChars="3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2.2投标人提供经采购人认可的有效文件；</w:t>
      </w:r>
    </w:p>
    <w:p>
      <w:pPr>
        <w:autoSpaceDE w:val="0"/>
        <w:autoSpaceDN w:val="0"/>
        <w:adjustRightInd/>
        <w:snapToGrid/>
        <w:spacing w:line="560" w:lineRule="exact"/>
        <w:ind w:firstLine="720" w:firstLineChars="3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2.3投标人投标文件中提供的经采购人认可的验收标准（符合中国有关的国家、地方、行业标准）。</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3.验收时发现问题，</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负责妥善处理直至采购人满意，由此产生的费用由</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承担。</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4.验收合格的条件：</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4.1所提供的服务符合招标文件、投标文件及合同的要求；</w:t>
      </w:r>
    </w:p>
    <w:p>
      <w:pPr>
        <w:autoSpaceDE w:val="0"/>
        <w:autoSpaceDN w:val="0"/>
        <w:adjustRightInd/>
        <w:snapToGrid/>
        <w:spacing w:line="560" w:lineRule="exact"/>
        <w:ind w:firstLine="480" w:firstLineChars="200"/>
        <w:jc w:val="left"/>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4.2在服务、验收过程中发现的问题已被解决并得到采购人的认可；</w:t>
      </w:r>
    </w:p>
    <w:p>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left"/>
        <w:textAlignment w:val="bottom"/>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4.3所有相关的技术文件及资料均已提交并得到接受。</w:t>
      </w:r>
    </w:p>
    <w:p>
      <w:pPr>
        <w:keepNext w:val="0"/>
        <w:keepLines w:val="0"/>
        <w:pageBreakBefore w:val="0"/>
        <w:widowControl w:val="0"/>
        <w:numPr>
          <w:ilvl w:val="-1"/>
          <w:numId w:val="0"/>
        </w:numPr>
        <w:kinsoku/>
        <w:wordWrap/>
        <w:overflowPunct/>
        <w:topLinePunct w:val="0"/>
        <w:bidi w:val="0"/>
        <w:adjustRightInd w:val="0"/>
        <w:snapToGrid w:val="0"/>
        <w:spacing w:line="56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pPr>
        <w:keepNext w:val="0"/>
        <w:keepLines w:val="0"/>
        <w:pageBreakBefore w:val="0"/>
        <w:widowControl w:val="0"/>
        <w:numPr>
          <w:ilvl w:val="-1"/>
          <w:numId w:val="0"/>
        </w:numPr>
        <w:kinsoku/>
        <w:wordWrap/>
        <w:overflowPunct/>
        <w:topLinePunct w:val="0"/>
        <w:bidi w:val="0"/>
        <w:adjustRightInd w:val="0"/>
        <w:snapToGrid w:val="0"/>
        <w:spacing w:line="5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需执行的国家相关标准、行业标准、地方标准或者其他标准、规范：</w:t>
      </w:r>
      <w:r>
        <w:rPr>
          <w:rFonts w:hint="eastAsia" w:ascii="宋体" w:hAnsi="宋体" w:eastAsia="宋体" w:cs="宋体"/>
          <w:color w:val="auto"/>
          <w:sz w:val="24"/>
          <w:szCs w:val="24"/>
          <w:highlight w:val="none"/>
        </w:rPr>
        <w:t>有强制性标准的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执行国家强制性标准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无强制性标准的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统一执行最新相关标准、规范</w:t>
      </w:r>
      <w:r>
        <w:rPr>
          <w:rFonts w:hint="eastAsia" w:ascii="宋体" w:hAnsi="宋体" w:eastAsia="宋体" w:cs="宋体"/>
          <w:color w:val="auto"/>
          <w:sz w:val="24"/>
          <w:szCs w:val="24"/>
          <w:highlight w:val="none"/>
          <w:lang w:eastAsia="zh-CN"/>
        </w:rPr>
        <w:t>。</w:t>
      </w:r>
    </w:p>
    <w:p>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73"/>
        <w:gridCol w:w="1097"/>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7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磋商文件中评审标准相应的商务技术资料目录</w:t>
            </w:r>
            <w:r>
              <w:rPr>
                <w:rFonts w:hint="eastAsia" w:ascii="宋体" w:hAnsi="宋体" w:eastAsia="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173" w:type="dxa"/>
            <w:vAlign w:val="center"/>
          </w:tcPr>
          <w:p>
            <w:pPr>
              <w:pStyle w:val="392"/>
              <w:spacing w:before="0"/>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业绩：</w:t>
            </w:r>
          </w:p>
          <w:p>
            <w:pPr>
              <w:pStyle w:val="392"/>
              <w:spacing w:before="0"/>
              <w:ind w:firstLine="0" w:firstLineChars="0"/>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投标人自2019年1月1日以来（以合同签订时间为准）同类项目业绩（以提供的合同扫描件为准）：每提供1份合同业绩得0.5分，最高得1分。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73" w:type="dxa"/>
            <w:vAlign w:val="center"/>
          </w:tcPr>
          <w:p>
            <w:pPr>
              <w:pStyle w:val="392"/>
              <w:spacing w:before="0"/>
              <w:ind w:firstLine="0" w:firstLineChars="0"/>
              <w:jc w:val="left"/>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服务满意度：</w:t>
            </w:r>
          </w:p>
          <w:p>
            <w:pPr>
              <w:pStyle w:val="392"/>
              <w:spacing w:before="0"/>
              <w:ind w:firstLine="0" w:firstLineChars="0"/>
              <w:jc w:val="left"/>
              <w:rPr>
                <w:rFonts w:hint="default"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投标人自2019年1月1日以来</w:t>
            </w:r>
            <w:r>
              <w:rPr>
                <w:rFonts w:hint="eastAsia" w:ascii="宋体" w:hAnsi="宋体" w:cs="宋体"/>
                <w:color w:val="auto"/>
                <w:kern w:val="2"/>
                <w:sz w:val="24"/>
                <w:szCs w:val="24"/>
                <w:highlight w:val="none"/>
                <w:lang w:val="en-US" w:eastAsia="zh-CN" w:bidi="ar-SA"/>
              </w:rPr>
              <w:t>收到的服务单位正向的满意度评价，每提供一份证明材料得1分，最高得3分。</w:t>
            </w:r>
          </w:p>
        </w:tc>
        <w:tc>
          <w:tcPr>
            <w:tcW w:w="1097"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173" w:type="dxa"/>
            <w:vAlign w:val="center"/>
          </w:tcPr>
          <w:p>
            <w:pPr>
              <w:adjustRightInd w:val="0"/>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项目的理解及熟悉程度：</w:t>
            </w:r>
          </w:p>
          <w:p>
            <w:pPr>
              <w:adjustRightInd w:val="0"/>
              <w:snapToGrid w:val="0"/>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对本项目的特点、背景、工作内容等理解程度</w:t>
            </w:r>
            <w:r>
              <w:rPr>
                <w:rFonts w:hint="eastAsia" w:ascii="宋体" w:hAnsi="宋体" w:eastAsia="宋体" w:cs="宋体"/>
                <w:color w:val="auto"/>
                <w:sz w:val="24"/>
                <w:szCs w:val="24"/>
                <w:highlight w:val="none"/>
                <w:lang w:val="en-US" w:eastAsia="zh-CN"/>
              </w:rPr>
              <w:t>,是否充分</w:t>
            </w:r>
            <w:r>
              <w:rPr>
                <w:rFonts w:hint="eastAsia" w:ascii="宋体" w:hAnsi="宋体" w:eastAsia="宋体" w:cs="宋体"/>
                <w:color w:val="auto"/>
                <w:sz w:val="24"/>
                <w:szCs w:val="24"/>
                <w:highlight w:val="none"/>
              </w:rPr>
              <w:t>考虑用户的需求，对本次服务内容的目标是否有较深入的理解和渗透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了解全面得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分，熟悉度有所欠缺得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基本不了解得1分，完全不了解或不提供</w:t>
            </w:r>
            <w:r>
              <w:rPr>
                <w:rFonts w:hint="eastAsia" w:ascii="宋体" w:hAnsi="宋体" w:eastAsia="宋体" w:cs="宋体"/>
                <w:color w:val="auto"/>
                <w:sz w:val="24"/>
                <w:szCs w:val="24"/>
                <w:highlight w:val="none"/>
                <w:lang w:val="en-US" w:eastAsia="zh-CN"/>
              </w:rPr>
              <w:t>不得分，本项最高得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173" w:type="dxa"/>
            <w:vAlign w:val="center"/>
          </w:tcPr>
          <w:p>
            <w:pPr>
              <w:adjustRightInd w:val="0"/>
              <w:snapToGrid w:val="0"/>
              <w:spacing w:line="288" w:lineRule="auto"/>
              <w:rPr>
                <w:rFonts w:hint="eastAsia" w:ascii="宋体" w:hAnsi="宋体" w:eastAsia="宋体" w:cs="宋体"/>
                <w:b/>
                <w:bCs w:val="0"/>
                <w:color w:val="auto"/>
                <w:spacing w:val="-4"/>
                <w:sz w:val="24"/>
                <w:szCs w:val="24"/>
                <w:highlight w:val="none"/>
                <w:lang w:eastAsia="zh-CN"/>
              </w:rPr>
            </w:pPr>
            <w:r>
              <w:rPr>
                <w:rFonts w:hint="eastAsia" w:ascii="宋体" w:hAnsi="宋体" w:eastAsia="宋体" w:cs="宋体"/>
                <w:b/>
                <w:bCs w:val="0"/>
                <w:color w:val="auto"/>
                <w:spacing w:val="-4"/>
                <w:sz w:val="24"/>
                <w:szCs w:val="24"/>
                <w:highlight w:val="none"/>
              </w:rPr>
              <w:t>对采购内容和服务要求的响应</w:t>
            </w:r>
            <w:r>
              <w:rPr>
                <w:rFonts w:hint="eastAsia" w:ascii="宋体" w:hAnsi="宋体" w:eastAsia="宋体" w:cs="宋体"/>
                <w:b/>
                <w:bCs w:val="0"/>
                <w:color w:val="auto"/>
                <w:spacing w:val="-4"/>
                <w:sz w:val="24"/>
                <w:szCs w:val="24"/>
                <w:highlight w:val="none"/>
                <w:lang w:eastAsia="zh-CN"/>
              </w:rPr>
              <w:t>：</w:t>
            </w:r>
          </w:p>
          <w:p>
            <w:pPr>
              <w:adjustRightInd w:val="0"/>
              <w:snapToGrid w:val="0"/>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bCs/>
                <w:color w:val="auto"/>
                <w:spacing w:val="-4"/>
                <w:sz w:val="24"/>
                <w:szCs w:val="24"/>
                <w:highlight w:val="none"/>
              </w:rPr>
              <w:t>针对“第四部分  采购需求”的响应情况，全部满足的，得</w:t>
            </w:r>
            <w:r>
              <w:rPr>
                <w:rFonts w:hint="eastAsia" w:ascii="宋体" w:hAnsi="宋体" w:eastAsia="宋体" w:cs="宋体"/>
                <w:bCs/>
                <w:color w:val="auto"/>
                <w:spacing w:val="-4"/>
                <w:sz w:val="24"/>
                <w:szCs w:val="24"/>
                <w:highlight w:val="none"/>
                <w:lang w:val="en-US" w:eastAsia="zh-CN"/>
              </w:rPr>
              <w:t>10</w:t>
            </w:r>
            <w:r>
              <w:rPr>
                <w:rFonts w:hint="eastAsia" w:ascii="宋体" w:hAnsi="宋体" w:eastAsia="宋体" w:cs="宋体"/>
                <w:bCs/>
                <w:color w:val="auto"/>
                <w:spacing w:val="-4"/>
                <w:sz w:val="24"/>
                <w:szCs w:val="24"/>
                <w:highlight w:val="none"/>
              </w:rPr>
              <w:t>分；每缺漏一项具体内容响应或存在负偏离等扣2分，扣完</w:t>
            </w:r>
            <w:r>
              <w:rPr>
                <w:rFonts w:hint="eastAsia" w:ascii="宋体" w:hAnsi="宋体" w:eastAsia="宋体" w:cs="宋体"/>
                <w:bCs/>
                <w:color w:val="auto"/>
                <w:spacing w:val="-4"/>
                <w:sz w:val="24"/>
                <w:szCs w:val="24"/>
                <w:highlight w:val="none"/>
                <w:lang w:val="en-US" w:eastAsia="zh-CN"/>
              </w:rPr>
              <w:t>10</w:t>
            </w:r>
            <w:r>
              <w:rPr>
                <w:rFonts w:hint="eastAsia" w:ascii="宋体" w:hAnsi="宋体" w:eastAsia="宋体" w:cs="宋体"/>
                <w:bCs/>
                <w:color w:val="auto"/>
                <w:spacing w:val="-4"/>
                <w:sz w:val="24"/>
                <w:szCs w:val="24"/>
                <w:highlight w:val="none"/>
              </w:rPr>
              <w:t>分止。</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173" w:type="dxa"/>
            <w:vAlign w:val="center"/>
          </w:tcPr>
          <w:p>
            <w:pPr>
              <w:adjustRightInd w:val="0"/>
              <w:snapToGrid w:val="0"/>
              <w:spacing w:line="288"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实施方案：</w:t>
            </w:r>
          </w:p>
          <w:p>
            <w:pPr>
              <w:adjustRightInd w:val="0"/>
              <w:snapToGrid w:val="0"/>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针对本项目提供的服务方案，主要包括：①《浙江红十字》报（浙内准字第0136号）设计、编辑、印刷、出版、邮寄等任务②“浙江红十字”官方微信公众号的运维③“浙江省红十字会”官方网站的运维④省红十字会相关自媒体的运维⑤红十字有关工作等⑥省红十字会重大宣传活动、重要宣传制作的策划和设计工作⑦省红十字会各自媒体平台信息发布所需图文、视频的编辑、设计等工作⑧红十字会网上舆情监测和舆论引导等工作⑨其他日常或专题宣传工作，每项内容针对性强、科学合理得4分，部分满足得1分，不满足或不提供不得分，本项最高的36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173" w:type="dxa"/>
            <w:vAlign w:val="center"/>
          </w:tcPr>
          <w:p>
            <w:pPr>
              <w:adjustRightInd w:val="0"/>
              <w:snapToGrid w:val="0"/>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响应能力：</w:t>
            </w:r>
          </w:p>
          <w:p>
            <w:pPr>
              <w:pStyle w:val="392"/>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w:t>
            </w:r>
            <w:r>
              <w:rPr>
                <w:rFonts w:hint="eastAsia" w:ascii="宋体" w:hAnsi="宋体" w:eastAsia="宋体" w:cs="宋体"/>
                <w:color w:val="auto"/>
                <w:sz w:val="24"/>
                <w:szCs w:val="24"/>
                <w:highlight w:val="none"/>
              </w:rPr>
              <w:t>本项目的支撑响应配合程度进行综合评分。有详细的</w:t>
            </w:r>
            <w:r>
              <w:rPr>
                <w:rFonts w:hint="eastAsia" w:ascii="宋体" w:hAnsi="宋体" w:eastAsia="宋体" w:cs="宋体"/>
                <w:color w:val="auto"/>
                <w:sz w:val="24"/>
                <w:szCs w:val="24"/>
                <w:highlight w:val="none"/>
                <w:lang w:val="en-US" w:eastAsia="zh-CN"/>
              </w:rPr>
              <w:t>时效响应方案</w:t>
            </w:r>
            <w:r>
              <w:rPr>
                <w:rFonts w:hint="eastAsia" w:ascii="宋体" w:hAnsi="宋体" w:eastAsia="宋体" w:cs="宋体"/>
                <w:color w:val="auto"/>
                <w:sz w:val="24"/>
                <w:szCs w:val="24"/>
                <w:highlight w:val="none"/>
              </w:rPr>
              <w:t>，响应速度及时，响应规模和质量充分满足采购人需求</w:t>
            </w:r>
            <w:r>
              <w:rPr>
                <w:rFonts w:hint="eastAsia" w:ascii="宋体" w:hAnsi="宋体" w:eastAsia="宋体" w:cs="宋体"/>
                <w:color w:val="auto"/>
                <w:sz w:val="24"/>
                <w:szCs w:val="24"/>
                <w:highlight w:val="none"/>
                <w:lang w:val="en-US" w:eastAsia="zh-CN"/>
              </w:rPr>
              <w:t>得5分，</w:t>
            </w:r>
            <w:r>
              <w:rPr>
                <w:rFonts w:hint="eastAsia" w:ascii="宋体" w:hAnsi="宋体" w:eastAsia="宋体" w:cs="宋体"/>
                <w:b w:val="0"/>
                <w:bCs w:val="0"/>
                <w:color w:val="auto"/>
                <w:sz w:val="24"/>
                <w:szCs w:val="24"/>
                <w:highlight w:val="none"/>
              </w:rPr>
              <w:t>响应能力一般的得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分；响应能力欠缺的得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不提供或不满足不得分。</w:t>
            </w:r>
            <w:r>
              <w:rPr>
                <w:rFonts w:hint="eastAsia" w:ascii="宋体" w:hAnsi="宋体" w:eastAsia="宋体" w:cs="宋体"/>
                <w:color w:val="auto"/>
                <w:sz w:val="24"/>
                <w:szCs w:val="24"/>
                <w:highlight w:val="none"/>
                <w:lang w:val="en-US" w:eastAsia="zh-CN"/>
              </w:rPr>
              <w:t>本项最高得5分</w:t>
            </w:r>
            <w:r>
              <w:rPr>
                <w:rFonts w:hint="eastAsia" w:ascii="宋体" w:hAnsi="宋体" w:eastAsia="宋体" w:cs="宋体"/>
                <w:b w:val="0"/>
                <w:bCs w:val="0"/>
                <w:color w:val="auto"/>
                <w:sz w:val="24"/>
                <w:szCs w:val="24"/>
                <w:highlight w:val="none"/>
              </w:rPr>
              <w:t>。</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173" w:type="dxa"/>
            <w:vAlign w:val="center"/>
          </w:tcPr>
          <w:p>
            <w:pPr>
              <w:pStyle w:val="392"/>
              <w:spacing w:before="0"/>
              <w:ind w:firstLine="0" w:firstLine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项目团队：</w:t>
            </w:r>
          </w:p>
          <w:p>
            <w:pPr>
              <w:pStyle w:val="392"/>
              <w:numPr>
                <w:ilvl w:val="0"/>
                <w:numId w:val="0"/>
              </w:numPr>
              <w:spacing w:before="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1.承诺在此项目期间，提供2名以上（含2名）工作人员常驻省红十字会机关协助工作并且自备相关必要的办公设施设备的得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分，不满足不得分。本项最高得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p>
            <w:pPr>
              <w:pStyle w:val="392"/>
              <w:numPr>
                <w:ilvl w:val="0"/>
                <w:numId w:val="0"/>
              </w:numPr>
              <w:spacing w:before="0"/>
              <w:jc w:val="both"/>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团队主管</w:t>
            </w:r>
            <w:r>
              <w:rPr>
                <w:rFonts w:hint="eastAsia" w:ascii="宋体" w:hAnsi="宋体" w:eastAsia="宋体" w:cs="宋体"/>
                <w:b w:val="0"/>
                <w:bCs w:val="0"/>
                <w:color w:val="auto"/>
                <w:sz w:val="24"/>
                <w:szCs w:val="24"/>
                <w:highlight w:val="none"/>
              </w:rPr>
              <w:t>：具有新闻、传媒等相关专业本科以上学历，35周岁以下，并有相关从业经历5年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（截止2023年1月31日）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完全满足得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从业经历</w:t>
            </w:r>
            <w:r>
              <w:rPr>
                <w:rFonts w:hint="eastAsia" w:ascii="宋体" w:hAnsi="宋体" w:eastAsia="宋体" w:cs="宋体"/>
                <w:b w:val="0"/>
                <w:bCs w:val="0"/>
                <w:color w:val="auto"/>
                <w:sz w:val="24"/>
                <w:szCs w:val="24"/>
                <w:highlight w:val="none"/>
                <w:lang w:val="en-US" w:eastAsia="zh-CN"/>
              </w:rPr>
              <w:t>每增加一年得1分，最多得3分。本项最高得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p>
            <w:pPr>
              <w:pStyle w:val="392"/>
              <w:numPr>
                <w:ilvl w:val="0"/>
                <w:numId w:val="0"/>
              </w:numPr>
              <w:spacing w:before="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注：提供学历证书、从业经验证明材料、在投标人单位最近6个月</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社保缴纳证明。</w:t>
            </w:r>
          </w:p>
          <w:p>
            <w:pPr>
              <w:pStyle w:val="392"/>
              <w:numPr>
                <w:ilvl w:val="0"/>
                <w:numId w:val="0"/>
              </w:numPr>
              <w:spacing w:before="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团队成员中应有新闻、传媒等相关专业本科以上学历，35周岁以下，并有相关从业经历1年以上（截止2023年1月31日）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完全满足得2分，不满足不得分。</w:t>
            </w:r>
            <w:r>
              <w:rPr>
                <w:rFonts w:hint="eastAsia" w:ascii="宋体" w:hAnsi="宋体" w:eastAsia="宋体" w:cs="宋体"/>
                <w:b w:val="0"/>
                <w:bCs w:val="0"/>
                <w:color w:val="auto"/>
                <w:sz w:val="24"/>
                <w:szCs w:val="24"/>
                <w:highlight w:val="none"/>
              </w:rPr>
              <w:t>从业经历</w:t>
            </w:r>
            <w:r>
              <w:rPr>
                <w:rFonts w:hint="eastAsia" w:ascii="宋体" w:hAnsi="宋体" w:eastAsia="宋体" w:cs="宋体"/>
                <w:b w:val="0"/>
                <w:bCs w:val="0"/>
                <w:color w:val="auto"/>
                <w:sz w:val="24"/>
                <w:szCs w:val="24"/>
                <w:highlight w:val="none"/>
                <w:lang w:val="en-US" w:eastAsia="zh-CN"/>
              </w:rPr>
              <w:t>每增加一年得1分，最多得3分。本项最高得5分。</w:t>
            </w:r>
          </w:p>
          <w:p>
            <w:pPr>
              <w:pStyle w:val="392"/>
              <w:numPr>
                <w:ilvl w:val="0"/>
                <w:numId w:val="0"/>
              </w:numPr>
              <w:spacing w:before="0"/>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注：提供学历证书、从业经验证明材料、在投标人单位最近3个月得社保缴纳证明。</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173" w:type="dxa"/>
            <w:vAlign w:val="center"/>
          </w:tcPr>
          <w:p>
            <w:pPr>
              <w:adjustRightInd w:val="0"/>
              <w:snapToGrid w:val="0"/>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人员管理</w:t>
            </w:r>
            <w:r>
              <w:rPr>
                <w:rFonts w:hint="eastAsia" w:ascii="宋体" w:hAnsi="宋体" w:eastAsia="宋体" w:cs="宋体"/>
                <w:b/>
                <w:color w:val="auto"/>
                <w:sz w:val="24"/>
                <w:szCs w:val="24"/>
                <w:highlight w:val="none"/>
                <w:lang w:val="en-US" w:eastAsia="zh-CN"/>
              </w:rPr>
              <w:t>及稳定性保障</w:t>
            </w:r>
            <w:r>
              <w:rPr>
                <w:rFonts w:hint="eastAsia" w:ascii="宋体" w:hAnsi="宋体" w:eastAsia="宋体" w:cs="宋体"/>
                <w:b/>
                <w:color w:val="auto"/>
                <w:sz w:val="24"/>
                <w:szCs w:val="24"/>
                <w:highlight w:val="none"/>
              </w:rPr>
              <w:t>：</w:t>
            </w:r>
          </w:p>
          <w:p>
            <w:pPr>
              <w:spacing w:line="360" w:lineRule="auto"/>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rPr>
              <w:t>（1）</w:t>
            </w:r>
            <w:r>
              <w:rPr>
                <w:rFonts w:hint="eastAsia" w:ascii="宋体" w:hAnsi="宋体" w:eastAsia="宋体" w:cs="宋体"/>
                <w:bCs/>
                <w:color w:val="auto"/>
                <w:spacing w:val="-4"/>
                <w:sz w:val="24"/>
                <w:szCs w:val="24"/>
                <w:highlight w:val="none"/>
                <w:lang w:val="en-US" w:eastAsia="zh-CN"/>
              </w:rPr>
              <w:t>驻场</w:t>
            </w:r>
            <w:r>
              <w:rPr>
                <w:rFonts w:hint="eastAsia" w:ascii="宋体" w:hAnsi="宋体" w:eastAsia="宋体" w:cs="宋体"/>
                <w:bCs/>
                <w:color w:val="auto"/>
                <w:spacing w:val="-4"/>
                <w:sz w:val="24"/>
                <w:szCs w:val="24"/>
                <w:highlight w:val="none"/>
              </w:rPr>
              <w:t>服务人员的管理制度</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bCs/>
                <w:color w:val="auto"/>
                <w:spacing w:val="-4"/>
                <w:sz w:val="24"/>
                <w:szCs w:val="24"/>
                <w:highlight w:val="none"/>
                <w:lang w:val="en-US" w:eastAsia="zh-CN"/>
              </w:rPr>
              <w:t>制度</w:t>
            </w:r>
            <w:r>
              <w:rPr>
                <w:rFonts w:hint="eastAsia" w:ascii="宋体" w:hAnsi="宋体" w:eastAsia="宋体" w:cs="宋体"/>
                <w:bCs/>
                <w:color w:val="auto"/>
                <w:spacing w:val="-4"/>
                <w:sz w:val="24"/>
                <w:szCs w:val="24"/>
                <w:highlight w:val="none"/>
              </w:rPr>
              <w:t>健全程度</w:t>
            </w:r>
            <w:r>
              <w:rPr>
                <w:rFonts w:hint="eastAsia" w:ascii="宋体" w:hAnsi="宋体" w:eastAsia="宋体" w:cs="宋体"/>
                <w:bCs/>
                <w:color w:val="auto"/>
                <w:spacing w:val="-4"/>
                <w:sz w:val="24"/>
                <w:szCs w:val="24"/>
                <w:highlight w:val="none"/>
                <w:lang w:val="en-US" w:eastAsia="zh-CN"/>
              </w:rPr>
              <w:t>得3</w:t>
            </w:r>
            <w:r>
              <w:rPr>
                <w:rFonts w:hint="eastAsia" w:ascii="宋体" w:hAnsi="宋体" w:eastAsia="宋体" w:cs="宋体"/>
                <w:bCs/>
                <w:color w:val="auto"/>
                <w:spacing w:val="-4"/>
                <w:sz w:val="24"/>
                <w:szCs w:val="24"/>
                <w:highlight w:val="none"/>
              </w:rPr>
              <w:t>分</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bCs/>
                <w:color w:val="auto"/>
                <w:spacing w:val="-4"/>
                <w:sz w:val="24"/>
                <w:szCs w:val="24"/>
                <w:highlight w:val="none"/>
                <w:lang w:val="en-US" w:eastAsia="zh-CN"/>
              </w:rPr>
              <w:t>有所欠缺得1分，不提供或不满足不得分，本项最高得3分</w:t>
            </w:r>
            <w:r>
              <w:rPr>
                <w:rFonts w:hint="eastAsia" w:ascii="宋体" w:hAnsi="宋体" w:eastAsia="宋体" w:cs="宋体"/>
                <w:bCs/>
                <w:color w:val="auto"/>
                <w:spacing w:val="-4"/>
                <w:sz w:val="24"/>
                <w:szCs w:val="24"/>
                <w:highlight w:val="none"/>
              </w:rPr>
              <w:t>。</w:t>
            </w:r>
          </w:p>
          <w:p>
            <w:pPr>
              <w:pStyle w:val="392"/>
              <w:numPr>
                <w:ilvl w:val="0"/>
                <w:numId w:val="0"/>
              </w:numPr>
              <w:spacing w:before="0"/>
              <w:jc w:val="both"/>
              <w:rPr>
                <w:rFonts w:hint="eastAsia" w:ascii="宋体" w:hAnsi="宋体" w:eastAsia="宋体" w:cs="宋体"/>
                <w:b/>
                <w:bCs/>
                <w:color w:val="auto"/>
                <w:sz w:val="24"/>
                <w:szCs w:val="24"/>
                <w:highlight w:val="none"/>
                <w:lang w:val="en-US"/>
              </w:rPr>
            </w:pPr>
            <w:r>
              <w:rPr>
                <w:rFonts w:hint="eastAsia" w:ascii="宋体" w:hAnsi="宋体" w:eastAsia="宋体" w:cs="宋体"/>
                <w:bCs/>
                <w:color w:val="auto"/>
                <w:spacing w:val="-4"/>
                <w:sz w:val="24"/>
                <w:szCs w:val="24"/>
                <w:highlight w:val="none"/>
              </w:rPr>
              <w:t>（2）服务人员稳定性及保障措施</w:t>
            </w:r>
            <w:r>
              <w:rPr>
                <w:rFonts w:hint="eastAsia" w:ascii="宋体" w:hAnsi="宋体" w:eastAsia="宋体" w:cs="宋体"/>
                <w:bCs/>
                <w:color w:val="auto"/>
                <w:spacing w:val="-4"/>
                <w:sz w:val="24"/>
                <w:szCs w:val="24"/>
                <w:highlight w:val="none"/>
                <w:lang w:eastAsia="zh-CN"/>
              </w:rPr>
              <w:t>：</w:t>
            </w:r>
            <w:r>
              <w:rPr>
                <w:rFonts w:hint="eastAsia" w:ascii="宋体" w:hAnsi="宋体" w:eastAsia="宋体" w:cs="宋体"/>
                <w:color w:val="auto"/>
                <w:sz w:val="24"/>
                <w:szCs w:val="24"/>
                <w:highlight w:val="none"/>
                <w:lang w:val="en-US" w:eastAsia="zh-CN"/>
              </w:rPr>
              <w:t>措施科学可行得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分，内容有所欠缺得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b w:val="0"/>
                <w:bCs w:val="0"/>
                <w:color w:val="auto"/>
                <w:sz w:val="24"/>
                <w:szCs w:val="24"/>
                <w:highlight w:val="none"/>
                <w:lang w:val="en-US" w:eastAsia="zh-CN"/>
              </w:rPr>
              <w:t>方案内容较为简单，不够合理</w:t>
            </w:r>
            <w:r>
              <w:rPr>
                <w:rFonts w:hint="eastAsia" w:ascii="宋体" w:hAnsi="宋体" w:cs="宋体"/>
                <w:b w:val="0"/>
                <w:bCs w:val="0"/>
                <w:color w:val="auto"/>
                <w:sz w:val="24"/>
                <w:szCs w:val="24"/>
                <w:highlight w:val="none"/>
                <w:lang w:val="en-US" w:eastAsia="zh-CN"/>
              </w:rPr>
              <w:t>得</w:t>
            </w:r>
            <w:r>
              <w:rPr>
                <w:rFonts w:hint="eastAsia" w:ascii="宋体" w:hAnsi="宋体" w:eastAsia="宋体" w:cs="宋体"/>
                <w:b w:val="0"/>
                <w:bCs w:val="0"/>
                <w:color w:val="auto"/>
                <w:sz w:val="24"/>
                <w:szCs w:val="24"/>
                <w:highlight w:val="none"/>
                <w:lang w:val="en-US" w:eastAsia="zh-CN"/>
              </w:rPr>
              <w:t>1分，不提供或不满足不得分。本项最高得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63" w:type="dxa"/>
            <w:vAlign w:val="center"/>
          </w:tcPr>
          <w:p>
            <w:pPr>
              <w:pStyle w:val="392"/>
              <w:spacing w:before="0"/>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173" w:type="dxa"/>
            <w:vAlign w:val="center"/>
          </w:tcPr>
          <w:p>
            <w:pPr>
              <w:pStyle w:val="392"/>
              <w:numPr>
                <w:ilvl w:val="0"/>
                <w:numId w:val="0"/>
              </w:numPr>
              <w:spacing w:befor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应对突发情况保障</w:t>
            </w:r>
            <w:r>
              <w:rPr>
                <w:rFonts w:hint="eastAsia" w:ascii="宋体" w:hAnsi="宋体" w:eastAsia="宋体" w:cs="宋体"/>
                <w:b/>
                <w:bCs/>
                <w:color w:val="auto"/>
                <w:sz w:val="24"/>
                <w:szCs w:val="24"/>
                <w:highlight w:val="none"/>
              </w:rPr>
              <w:t>措施</w:t>
            </w:r>
            <w:r>
              <w:rPr>
                <w:rFonts w:hint="eastAsia" w:ascii="宋体" w:hAnsi="宋体" w:eastAsia="宋体" w:cs="宋体"/>
                <w:b/>
                <w:bCs/>
                <w:color w:val="auto"/>
                <w:sz w:val="24"/>
                <w:szCs w:val="24"/>
                <w:highlight w:val="none"/>
                <w:lang w:eastAsia="zh-CN"/>
              </w:rPr>
              <w:t>：</w:t>
            </w:r>
          </w:p>
          <w:p>
            <w:pPr>
              <w:pStyle w:val="392"/>
              <w:numPr>
                <w:ilvl w:val="0"/>
                <w:numId w:val="0"/>
              </w:numPr>
              <w:spacing w:befor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针对该项目可能发生的突发事件、危机事件的处理方案和防范措施，可实施性强</w:t>
            </w:r>
            <w:r>
              <w:rPr>
                <w:rFonts w:hint="eastAsia" w:ascii="宋体" w:hAnsi="宋体" w:eastAsia="宋体" w:cs="宋体"/>
                <w:color w:val="auto"/>
                <w:sz w:val="24"/>
                <w:szCs w:val="24"/>
                <w:highlight w:val="none"/>
                <w:lang w:eastAsia="zh-CN"/>
              </w:rPr>
              <w:t>，方案内容合理</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方案内容</w:t>
            </w:r>
            <w:r>
              <w:rPr>
                <w:rFonts w:hint="eastAsia" w:ascii="宋体" w:hAnsi="宋体" w:eastAsia="宋体" w:cs="宋体"/>
                <w:color w:val="auto"/>
                <w:sz w:val="24"/>
                <w:szCs w:val="24"/>
                <w:highlight w:val="none"/>
                <w:lang w:val="en-US" w:eastAsia="zh-CN"/>
              </w:rPr>
              <w:t>欠缺的得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可实施性</w:t>
            </w:r>
            <w:r>
              <w:rPr>
                <w:rFonts w:hint="eastAsia" w:ascii="宋体" w:hAnsi="宋体" w:eastAsia="宋体" w:cs="宋体"/>
                <w:color w:val="auto"/>
                <w:sz w:val="24"/>
                <w:szCs w:val="24"/>
                <w:highlight w:val="none"/>
                <w:lang w:val="en-US" w:eastAsia="zh-CN"/>
              </w:rPr>
              <w:t>较弱的1分，</w:t>
            </w:r>
            <w:r>
              <w:rPr>
                <w:rFonts w:hint="eastAsia" w:ascii="宋体" w:hAnsi="宋体" w:eastAsia="宋体" w:cs="宋体"/>
                <w:bCs/>
                <w:color w:val="auto"/>
                <w:sz w:val="24"/>
                <w:szCs w:val="24"/>
                <w:highlight w:val="none"/>
              </w:rPr>
              <w:t>未提供或不可行的不得分，最高得</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color w:val="auto"/>
                <w:sz w:val="24"/>
                <w:szCs w:val="24"/>
                <w:highlight w:val="none"/>
              </w:rPr>
              <w:t>。</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173" w:type="dxa"/>
            <w:vAlign w:val="center"/>
          </w:tcPr>
          <w:p>
            <w:pPr>
              <w:pStyle w:val="392"/>
              <w:spacing w:before="0"/>
              <w:ind w:firstLine="0" w:firstLineChars="0"/>
              <w:jc w:val="both"/>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合理化建议及优惠承诺</w:t>
            </w:r>
            <w:r>
              <w:rPr>
                <w:rFonts w:hint="eastAsia" w:ascii="宋体" w:hAnsi="宋体" w:eastAsia="宋体" w:cs="宋体"/>
                <w:b/>
                <w:bCs/>
                <w:color w:val="auto"/>
                <w:sz w:val="24"/>
                <w:szCs w:val="24"/>
                <w:highlight w:val="none"/>
                <w:lang w:eastAsia="zh-CN"/>
              </w:rPr>
              <w:t>：</w:t>
            </w:r>
          </w:p>
          <w:p>
            <w:pPr>
              <w:pStyle w:val="392"/>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投标人对本项目的</w:t>
            </w:r>
            <w:r>
              <w:rPr>
                <w:rFonts w:hint="eastAsia" w:ascii="宋体" w:hAnsi="宋体" w:cs="宋体"/>
                <w:color w:val="auto"/>
                <w:sz w:val="24"/>
                <w:szCs w:val="24"/>
                <w:highlight w:val="none"/>
                <w:lang w:val="en-US" w:eastAsia="zh-CN"/>
              </w:rPr>
              <w:t>合理化建议及优惠承诺，每提供一条</w:t>
            </w:r>
            <w:r>
              <w:rPr>
                <w:rFonts w:hint="eastAsia" w:ascii="宋体" w:hAnsi="宋体" w:eastAsia="宋体" w:cs="宋体"/>
                <w:bCs w:val="0"/>
                <w:color w:val="auto"/>
                <w:sz w:val="24"/>
                <w:szCs w:val="24"/>
                <w:highlight w:val="none"/>
              </w:rPr>
              <w:t>合理、可行</w:t>
            </w:r>
            <w:r>
              <w:rPr>
                <w:rFonts w:hint="eastAsia" w:ascii="宋体" w:hAnsi="宋体" w:cs="宋体"/>
                <w:bCs w:val="0"/>
                <w:color w:val="auto"/>
                <w:sz w:val="24"/>
                <w:szCs w:val="24"/>
                <w:highlight w:val="none"/>
                <w:lang w:val="en-US" w:eastAsia="zh-CN"/>
              </w:rPr>
              <w:t>的合理化建议及优惠承诺得1分。</w:t>
            </w:r>
            <w:r>
              <w:rPr>
                <w:rFonts w:hint="eastAsia" w:ascii="宋体" w:hAnsi="宋体" w:eastAsia="宋体" w:cs="宋体"/>
                <w:bCs w:val="0"/>
                <w:color w:val="auto"/>
                <w:sz w:val="24"/>
                <w:szCs w:val="24"/>
                <w:highlight w:val="none"/>
                <w:lang w:val="en-US" w:eastAsia="zh-CN"/>
              </w:rPr>
              <w:t>本项</w:t>
            </w:r>
            <w:r>
              <w:rPr>
                <w:rFonts w:hint="eastAsia" w:ascii="宋体" w:hAnsi="宋体" w:cs="宋体"/>
                <w:bCs w:val="0"/>
                <w:color w:val="auto"/>
                <w:sz w:val="24"/>
                <w:szCs w:val="24"/>
                <w:highlight w:val="none"/>
                <w:lang w:val="en-US" w:eastAsia="zh-CN"/>
              </w:rPr>
              <w:t>目最高得5分。</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392"/>
              <w:spacing w:before="0"/>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173" w:type="dxa"/>
            <w:vAlign w:val="center"/>
          </w:tcPr>
          <w:p>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有效最后报价的最低价作为评审基准价，其最低报价为满分；按［最后报价得分=（评审基准价/最后报价）*10］的计算公式计算。</w:t>
            </w:r>
          </w:p>
          <w:p>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评审过程中，不得去掉报价中的最高报价和最低报价。</w:t>
            </w:r>
          </w:p>
        </w:tc>
        <w:tc>
          <w:tcPr>
            <w:tcW w:w="1097"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63"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92" w:type="dxa"/>
            <w:vAlign w:val="center"/>
          </w:tcPr>
          <w:p>
            <w:pPr>
              <w:pStyle w:val="392"/>
              <w:spacing w:before="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pPr>
        <w:pStyle w:val="392"/>
        <w:spacing w:before="0"/>
        <w:ind w:firstLine="0" w:firstLineChars="0"/>
        <w:rPr>
          <w:rFonts w:asciiTheme="minorEastAsia" w:hAnsiTheme="minorEastAsia" w:eastAsiaTheme="minorEastAsia"/>
          <w:b/>
          <w:color w:val="auto"/>
          <w:highlight w:val="none"/>
        </w:rPr>
      </w:pPr>
    </w:p>
    <w:p>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pPr>
        <w:pStyle w:val="107"/>
        <w:numPr>
          <w:ilvl w:val="0"/>
          <w:numId w:val="7"/>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pPr>
        <w:pStyle w:val="107"/>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pPr>
        <w:pStyle w:val="392"/>
        <w:spacing w:before="0"/>
        <w:ind w:firstLine="0" w:firstLineChars="0"/>
        <w:rPr>
          <w:rFonts w:cs="仿宋_GB2312" w:asciiTheme="minorEastAsia" w:hAnsiTheme="minorEastAsia" w:eastAsiaTheme="minorEastAsia"/>
          <w:b/>
          <w:color w:val="auto"/>
          <w:highlight w:val="none"/>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pPr>
        <w:pStyle w:val="34"/>
        <w:snapToGrid w:val="0"/>
        <w:spacing w:line="360" w:lineRule="auto"/>
        <w:jc w:val="center"/>
        <w:rPr>
          <w:rFonts w:hAnsi="宋体" w:cs="仿宋"/>
          <w:b/>
          <w:bCs/>
          <w:color w:val="auto"/>
          <w:sz w:val="24"/>
          <w:szCs w:val="24"/>
          <w:highlight w:val="none"/>
        </w:rPr>
      </w:pPr>
      <w:bookmarkStart w:id="66" w:name="第五部分"/>
      <w:bookmarkStart w:id="67" w:name="_Toc86217003"/>
      <w:r>
        <w:rPr>
          <w:rFonts w:hint="eastAsia" w:hAnsi="宋体" w:cs="仿宋"/>
          <w:b/>
          <w:bCs/>
          <w:color w:val="auto"/>
          <w:sz w:val="24"/>
          <w:szCs w:val="24"/>
          <w:highlight w:val="none"/>
        </w:rPr>
        <w:t>（本合同为合同样稿，最终稿由双方协商后确定）</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pPr>
        <w:spacing w:line="360" w:lineRule="auto"/>
        <w:rPr>
          <w:rFonts w:asciiTheme="minorEastAsia" w:hAnsiTheme="minorEastAsia" w:eastAsiaTheme="minorEastAsia"/>
          <w:color w:val="auto"/>
          <w:sz w:val="24"/>
          <w:highlight w:val="none"/>
          <w:u w:val="single"/>
        </w:rPr>
      </w:pPr>
    </w:p>
    <w:p>
      <w:pPr>
        <w:pStyle w:val="281"/>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pPr>
        <w:pStyle w:val="281"/>
        <w:rPr>
          <w:rFonts w:asciiTheme="minorEastAsia" w:hAnsiTheme="minorEastAsia" w:eastAsiaTheme="minorEastAsia"/>
          <w:color w:val="auto"/>
          <w:szCs w:val="24"/>
          <w:highlight w:val="none"/>
        </w:rPr>
      </w:pPr>
    </w:p>
    <w:p>
      <w:pPr>
        <w:pStyle w:val="281"/>
        <w:rPr>
          <w:rFonts w:asciiTheme="minorEastAsia" w:hAnsiTheme="minorEastAsia" w:eastAsiaTheme="minorEastAsia"/>
          <w:color w:val="auto"/>
          <w:szCs w:val="24"/>
          <w:highlight w:val="none"/>
        </w:rPr>
      </w:pP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pPr>
        <w:pStyle w:val="616"/>
        <w:spacing w:before="120"/>
        <w:rPr>
          <w:rFonts w:asciiTheme="minorEastAsia" w:hAnsiTheme="minorEastAsia" w:eastAsiaTheme="minorEastAsia"/>
          <w:color w:val="auto"/>
          <w:szCs w:val="24"/>
          <w:highlight w:val="none"/>
        </w:rPr>
      </w:pPr>
    </w:p>
    <w:p>
      <w:pPr>
        <w:spacing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pPr>
        <w:spacing w:before="120" w:line="360" w:lineRule="auto"/>
        <w:rPr>
          <w:rFonts w:asciiTheme="minorEastAsia" w:hAnsiTheme="minorEastAsia" w:eastAsiaTheme="minorEastAsia"/>
          <w:color w:val="auto"/>
          <w:sz w:val="24"/>
          <w:highlight w:val="none"/>
        </w:rPr>
      </w:pPr>
    </w:p>
    <w:p>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ind w:firstLine="562" w:firstLineChars="20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第一部分 合同书</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val="en-US" w:eastAsia="zh-CN"/>
        </w:rPr>
        <w:t xml:space="preserve">2023 </w:t>
      </w:r>
      <w:r>
        <w:rPr>
          <w:rFonts w:hint="eastAsia" w:asciiTheme="minorEastAsia" w:hAnsiTheme="minorEastAsia" w:eastAsiaTheme="minorEastAsia"/>
          <w:color w:val="auto"/>
          <w:sz w:val="24"/>
          <w:highlight w:val="none"/>
          <w:lang w:val="zh-CN"/>
        </w:rPr>
        <w:t>年</w:t>
      </w:r>
      <w:r>
        <w:rPr>
          <w:rFonts w:hint="eastAsia"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hint="eastAsia"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eastAsia="zh-CN"/>
        </w:rPr>
        <w:t>浙江省红十字会</w:t>
      </w:r>
      <w:r>
        <w:rPr>
          <w:rFonts w:hint="eastAsia"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lang w:val="en-US" w:eastAsia="zh-CN"/>
        </w:rPr>
        <w:t>竞争性磋商方式</w:t>
      </w:r>
      <w:r>
        <w:rPr>
          <w:rFonts w:hint="eastAsia"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u w:val="single"/>
          <w:lang w:eastAsia="zh-CN"/>
        </w:rPr>
        <w:t>浙江省红十字会宣传传播载体运营维护项目</w:t>
      </w:r>
      <w:r>
        <w:rPr>
          <w:rFonts w:hint="eastAsia" w:asciiTheme="minorEastAsia" w:hAnsiTheme="minorEastAsia" w:eastAsiaTheme="minorEastAsia"/>
          <w:color w:val="auto"/>
          <w:sz w:val="24"/>
          <w:highlight w:val="none"/>
        </w:rPr>
        <w:t>进行了采购。经</w:t>
      </w:r>
      <w:r>
        <w:rPr>
          <w:rFonts w:hint="eastAsia" w:asciiTheme="minorEastAsia" w:hAnsiTheme="minorEastAsia" w:eastAsiaTheme="minorEastAsia"/>
          <w:color w:val="auto"/>
          <w:sz w:val="24"/>
          <w:highlight w:val="none"/>
          <w:u w:val="single"/>
        </w:rPr>
        <w:t>（相关评定主体名称）</w:t>
      </w:r>
      <w:r>
        <w:rPr>
          <w:rFonts w:hint="eastAsia" w:asciiTheme="minorEastAsia" w:hAnsiTheme="minorEastAsia" w:eastAsiaTheme="minorEastAsia"/>
          <w:color w:val="auto"/>
          <w:sz w:val="24"/>
          <w:highlight w:val="none"/>
        </w:rPr>
        <w:t>评定，</w:t>
      </w:r>
      <w:r>
        <w:rPr>
          <w:rFonts w:hint="eastAsia" w:asciiTheme="minorEastAsia" w:hAnsiTheme="minorEastAsia" w:eastAsiaTheme="minorEastAsia"/>
          <w:color w:val="auto"/>
          <w:sz w:val="24"/>
          <w:highlight w:val="none"/>
          <w:u w:val="single"/>
        </w:rPr>
        <w:t>（成交供应商名称）</w:t>
      </w:r>
      <w:r>
        <w:rPr>
          <w:rFonts w:hint="eastAsia" w:asciiTheme="minorEastAsia" w:hAnsiTheme="minorEastAsia" w:eastAsiaTheme="minorEastAsia"/>
          <w:color w:val="auto"/>
          <w:sz w:val="24"/>
          <w:highlight w:val="none"/>
        </w:rPr>
        <w:t>为该项目成交供应商。现于成交通知书发出之日起</w:t>
      </w:r>
      <w:r>
        <w:rPr>
          <w:rFonts w:hint="eastAsia" w:asciiTheme="minorEastAsia" w:hAnsiTheme="minorEastAsia" w:eastAsiaTheme="minorEastAsia"/>
          <w:color w:val="auto"/>
          <w:sz w:val="24"/>
          <w:highlight w:val="none"/>
          <w:lang w:val="en-US" w:eastAsia="zh-CN"/>
        </w:rPr>
        <w:t>三十</w:t>
      </w:r>
      <w:r>
        <w:rPr>
          <w:rFonts w:hint="eastAsia" w:asciiTheme="minorEastAsia" w:hAnsiTheme="minorEastAsia" w:eastAsiaTheme="minorEastAsia"/>
          <w:color w:val="auto"/>
          <w:sz w:val="24"/>
          <w:highlight w:val="none"/>
        </w:rPr>
        <w:t>日内，按照采购文件确定的事项签订本合同。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olor w:val="auto"/>
          <w:sz w:val="24"/>
          <w:highlight w:val="none"/>
          <w:u w:val="single"/>
          <w:lang w:eastAsia="zh-CN"/>
        </w:rPr>
        <w:t>浙江省红十</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lang w:eastAsia="zh-CN"/>
        </w:rPr>
        <w:t>字会</w:t>
      </w:r>
      <w:r>
        <w:rPr>
          <w:rFonts w:hint="eastAsia" w:asciiTheme="minorEastAsia" w:hAnsiTheme="minorEastAsia" w:eastAsiaTheme="minorEastAsia"/>
          <w:color w:val="auto"/>
          <w:sz w:val="24"/>
          <w:highlight w:val="none"/>
          <w:lang w:val="zh-CN"/>
        </w:rPr>
        <w:t>(以下简称：甲方)和</w:t>
      </w:r>
      <w:r>
        <w:rPr>
          <w:rFonts w:hint="eastAsia" w:asciiTheme="minorEastAsia" w:hAnsiTheme="minorEastAsia" w:eastAsiaTheme="minorEastAsia"/>
          <w:color w:val="auto"/>
          <w:sz w:val="24"/>
          <w:highlight w:val="none"/>
          <w:u w:val="single"/>
        </w:rPr>
        <w:t>（成交供应商名称）</w:t>
      </w:r>
      <w:r>
        <w:rPr>
          <w:rFonts w:hint="eastAsia"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pacing w:line="360" w:lineRule="auto"/>
        <w:ind w:firstLine="482" w:firstLineChars="200"/>
        <w:outlineLvl w:val="0"/>
        <w:rPr>
          <w:rFonts w:asciiTheme="minorEastAsia" w:hAnsiTheme="minorEastAsia" w:eastAsiaTheme="minorEastAsia"/>
          <w:b/>
          <w:color w:val="auto"/>
          <w:sz w:val="24"/>
          <w:highlight w:val="none"/>
        </w:rPr>
      </w:pPr>
      <w:bookmarkStart w:id="68" w:name="_Toc24059"/>
      <w:bookmarkStart w:id="69" w:name="_Toc2232"/>
      <w:bookmarkStart w:id="70" w:name="_Toc3029"/>
      <w:r>
        <w:rPr>
          <w:rFonts w:hint="eastAsia" w:asciiTheme="minorEastAsia" w:hAnsiTheme="minorEastAsia" w:eastAsiaTheme="minorEastAsia"/>
          <w:b/>
          <w:color w:val="auto"/>
          <w:sz w:val="24"/>
          <w:highlight w:val="none"/>
        </w:rPr>
        <w:t>1.1 合同组成部分</w:t>
      </w:r>
      <w:bookmarkEnd w:id="68"/>
      <w:bookmarkEnd w:id="69"/>
      <w:bookmarkEnd w:id="70"/>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 本合同及其补充合同、变更协议；</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 成交通知书；</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 响应文件及“最后报价”（含澄清或者说明文件）；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 磋商文件（含澄清或者修改文件）；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 其他相关采购文件。</w:t>
      </w:r>
    </w:p>
    <w:p>
      <w:pPr>
        <w:spacing w:line="360" w:lineRule="auto"/>
        <w:ind w:firstLine="482" w:firstLineChars="200"/>
        <w:outlineLvl w:val="0"/>
        <w:rPr>
          <w:rFonts w:asciiTheme="minorEastAsia" w:hAnsiTheme="minorEastAsia" w:eastAsiaTheme="minorEastAsia"/>
          <w:b/>
          <w:color w:val="auto"/>
          <w:sz w:val="24"/>
          <w:highlight w:val="none"/>
        </w:rPr>
      </w:pPr>
      <w:bookmarkStart w:id="71" w:name="_Toc24300"/>
      <w:bookmarkStart w:id="72" w:name="_Toc27126"/>
      <w:bookmarkStart w:id="73" w:name="_Toc21295"/>
      <w:r>
        <w:rPr>
          <w:rFonts w:hint="eastAsia" w:asciiTheme="minorEastAsia" w:hAnsiTheme="minorEastAsia" w:eastAsiaTheme="minorEastAsia"/>
          <w:b/>
          <w:color w:val="auto"/>
          <w:sz w:val="24"/>
          <w:highlight w:val="none"/>
        </w:rPr>
        <w:t>1.2 标的物</w:t>
      </w:r>
      <w:bookmarkEnd w:id="71"/>
      <w:bookmarkEnd w:id="72"/>
      <w:bookmarkEnd w:id="73"/>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1.2.1 标的名称：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1.2.2 标的数量：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 标的质量：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74" w:name="_Toc23292"/>
      <w:bookmarkStart w:id="75" w:name="_Toc21631"/>
      <w:bookmarkStart w:id="76" w:name="_Toc21551"/>
      <w:r>
        <w:rPr>
          <w:rFonts w:hint="eastAsia" w:asciiTheme="minorEastAsia" w:hAnsiTheme="minorEastAsia" w:eastAsiaTheme="minorEastAsia"/>
          <w:b/>
          <w:color w:val="auto"/>
          <w:sz w:val="24"/>
          <w:highlight w:val="none"/>
        </w:rPr>
        <w:t>1.3 价款</w:t>
      </w:r>
      <w:bookmarkEnd w:id="74"/>
      <w:bookmarkEnd w:id="75"/>
      <w:bookmarkEnd w:id="76"/>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本合同总价为：人民币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序号</w:t>
            </w: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621"/>
              <w:spacing w:line="360" w:lineRule="auto"/>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340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360" w:lineRule="auto"/>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621"/>
              <w:spacing w:line="360" w:lineRule="auto"/>
              <w:ind w:firstLine="200"/>
              <w:jc w:val="center"/>
              <w:rPr>
                <w:rFonts w:asciiTheme="minorEastAsia" w:hAnsiTheme="minorEastAsia" w:eastAsiaTheme="minorEastAsia"/>
                <w:color w:val="auto"/>
                <w:sz w:val="24"/>
                <w:szCs w:val="24"/>
                <w:highlight w:val="none"/>
              </w:rPr>
            </w:pPr>
          </w:p>
        </w:tc>
      </w:tr>
    </w:tbl>
    <w:p>
      <w:pPr>
        <w:pStyle w:val="629"/>
        <w:spacing w:before="0" w:beforeAutospacing="0" w:after="0" w:afterAutospacing="0" w:line="360" w:lineRule="auto"/>
        <w:ind w:firstLine="480"/>
        <w:rPr>
          <w:rFonts w:cs="Times New Roman" w:asciiTheme="minorEastAsia" w:hAnsiTheme="minorEastAsia" w:eastAsiaTheme="minorEastAsia"/>
          <w:color w:val="auto"/>
          <w:highlight w:val="none"/>
        </w:rPr>
      </w:pPr>
      <w:bookmarkStart w:id="77" w:name="_Toc19304"/>
      <w:bookmarkStart w:id="78" w:name="_Toc2846"/>
      <w:bookmarkStart w:id="79" w:name="_Toc32071"/>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 履行期限、地点和方式</w:t>
      </w:r>
      <w:bookmarkEnd w:id="77"/>
      <w:bookmarkEnd w:id="78"/>
      <w:bookmarkEnd w:id="79"/>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 履行期限：</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 履行地点：</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 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80" w:name="_Toc27250"/>
      <w:bookmarkStart w:id="81" w:name="_Toc21423"/>
      <w:bookmarkStart w:id="82" w:name="_Toc19554"/>
      <w:r>
        <w:rPr>
          <w:rFonts w:hint="eastAsia" w:asciiTheme="minorEastAsia" w:hAnsiTheme="minorEastAsia" w:eastAsiaTheme="minorEastAsia"/>
          <w:b/>
          <w:color w:val="auto"/>
          <w:sz w:val="24"/>
          <w:highlight w:val="none"/>
        </w:rPr>
        <w:t>1.6 违约责任</w:t>
      </w:r>
      <w:bookmarkEnd w:id="80"/>
      <w:bookmarkEnd w:id="81"/>
      <w:bookmarkEnd w:id="82"/>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 除不可抗力外，如果乙方没有按照本合同约定的期限、地点和方式交付标的物，那么甲方可要求乙方支付违约金，违约金按每迟延交付标的物一日的应交付而未交付标的物价格的</w:t>
      </w:r>
      <w:r>
        <w:rPr>
          <w:rFonts w:hint="eastAsia" w:asciiTheme="minorEastAsia" w:hAnsiTheme="minorEastAsia" w:eastAsiaTheme="minorEastAsia"/>
          <w:color w:val="auto"/>
          <w:sz w:val="24"/>
          <w:highlight w:val="none"/>
          <w:u w:val="single"/>
        </w:rPr>
        <w:t>万分之五</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rPr>
        <w:t>%；迟延交付标的物的违约金计算数额达到前述最高限额之日起，甲方有权在要求乙方支付违约金的同时，书面通知乙方解除本合同；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olor w:val="auto"/>
          <w:sz w:val="24"/>
          <w:highlight w:val="none"/>
          <w:u w:val="single"/>
        </w:rPr>
        <w:t>万分之五</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rPr>
        <w:t>20</w:t>
      </w:r>
      <w:r>
        <w:rPr>
          <w:rFonts w:hint="eastAsia" w:asciiTheme="minorEastAsia" w:hAnsiTheme="minorEastAsia" w:eastAsiaTheme="minorEastAsia"/>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Theme="minorEastAsia" w:hAnsiTheme="minorEastAsia" w:eastAsiaTheme="minorEastAsia"/>
          <w:b/>
          <w:color w:val="auto"/>
          <w:sz w:val="24"/>
          <w:highlight w:val="none"/>
        </w:rPr>
      </w:pPr>
      <w:bookmarkStart w:id="83" w:name="_Toc15583"/>
      <w:bookmarkStart w:id="84" w:name="_Toc16021"/>
      <w:bookmarkStart w:id="85" w:name="_Toc28375"/>
      <w:r>
        <w:rPr>
          <w:rFonts w:hint="eastAsia" w:asciiTheme="minorEastAsia" w:hAnsiTheme="minorEastAsia" w:eastAsiaTheme="minorEastAsia"/>
          <w:b/>
          <w:color w:val="auto"/>
          <w:sz w:val="24"/>
          <w:highlight w:val="none"/>
        </w:rPr>
        <w:t>1.7 合同争议的解决</w:t>
      </w:r>
      <w:bookmarkEnd w:id="83"/>
      <w:bookmarkEnd w:id="84"/>
      <w:bookmarkEnd w:id="8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种方式解决：</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 将争议提交</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仲裁委员会依申请仲裁时其现行有效的仲裁规则裁决；</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 向</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人民法院起诉。</w:t>
      </w:r>
    </w:p>
    <w:p>
      <w:pPr>
        <w:spacing w:line="360" w:lineRule="auto"/>
        <w:ind w:firstLine="482" w:firstLineChars="200"/>
        <w:outlineLvl w:val="0"/>
        <w:rPr>
          <w:rFonts w:asciiTheme="minorEastAsia" w:hAnsiTheme="minorEastAsia" w:eastAsiaTheme="minorEastAsia"/>
          <w:b/>
          <w:color w:val="auto"/>
          <w:sz w:val="24"/>
          <w:highlight w:val="none"/>
        </w:rPr>
      </w:pPr>
      <w:bookmarkStart w:id="86" w:name="_Toc15322"/>
      <w:bookmarkStart w:id="87" w:name="_Toc11173"/>
      <w:bookmarkStart w:id="88" w:name="_Toc7245"/>
      <w:r>
        <w:rPr>
          <w:rFonts w:hint="eastAsia" w:asciiTheme="minorEastAsia" w:hAnsiTheme="minorEastAsia" w:eastAsiaTheme="minorEastAsia"/>
          <w:b/>
          <w:color w:val="auto"/>
          <w:sz w:val="24"/>
          <w:highlight w:val="none"/>
        </w:rPr>
        <w:t>1.8 合同生效</w:t>
      </w:r>
      <w:bookmarkEnd w:id="86"/>
      <w:bookmarkEnd w:id="87"/>
      <w:bookmarkEnd w:id="88"/>
    </w:p>
    <w:p>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本合同自双方当事人盖章或者签字时生效。</w:t>
      </w:r>
    </w:p>
    <w:p>
      <w:pPr>
        <w:autoSpaceDE w:val="0"/>
        <w:autoSpaceDN w:val="0"/>
        <w:spacing w:line="360" w:lineRule="auto"/>
        <w:rPr>
          <w:rFonts w:asciiTheme="minorEastAsia" w:hAnsiTheme="minorEastAsia" w:eastAsiaTheme="minorEastAsia"/>
          <w:color w:val="auto"/>
          <w:sz w:val="24"/>
          <w:highlight w:val="none"/>
          <w:lang w:val="zh-CN"/>
        </w:rPr>
      </w:pP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甲方：                                   乙方：</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                        统一社会信用代码或身份证号码：</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                                   住所：</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                             法定代表人</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授权代表（签字）：                        或授权代表（签字）: </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                                 联系人：</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                           约定送达地址：</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                               邮政编码：</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电话:                                    电话: </w:t>
      </w:r>
    </w:p>
    <w:p>
      <w:pPr>
        <w:autoSpaceDE w:val="0"/>
        <w:autoSpaceDN w:val="0"/>
        <w:spacing w:line="360" w:lineRule="auto"/>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                                    传真:</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                               电子邮箱：</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开户银行：                               开户银行： </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开户名称：                               开户名称： </w:t>
      </w:r>
    </w:p>
    <w:p>
      <w:pPr>
        <w:autoSpaceDE w:val="0"/>
        <w:autoSpaceDN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hint="eastAsia"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widowControl/>
        <w:adjustRightInd/>
        <w:ind w:firstLine="482"/>
        <w:jc w:val="center"/>
        <w:rPr>
          <w:rFonts w:asciiTheme="minorEastAsia" w:hAnsiTheme="minorEastAsia" w:eastAsiaTheme="minorEastAsia"/>
          <w:b/>
          <w:color w:val="auto"/>
          <w:sz w:val="28"/>
          <w:szCs w:val="28"/>
          <w:highlight w:val="none"/>
        </w:rPr>
      </w:pPr>
      <w:bookmarkStart w:id="89" w:name="_Toc331685783"/>
      <w:r>
        <w:rPr>
          <w:rFonts w:hint="eastAsia" w:asciiTheme="minorEastAsia" w:hAnsiTheme="minorEastAsia" w:eastAsiaTheme="minorEastAsia"/>
          <w:b/>
          <w:color w:val="auto"/>
          <w:highlight w:val="none"/>
        </w:rPr>
        <w:br w:type="page"/>
      </w:r>
      <w:r>
        <w:rPr>
          <w:rFonts w:hint="eastAsia" w:asciiTheme="minorEastAsia" w:hAnsiTheme="minorEastAsia" w:eastAsiaTheme="minorEastAsia"/>
          <w:b/>
          <w:color w:val="auto"/>
          <w:sz w:val="28"/>
          <w:szCs w:val="28"/>
          <w:highlight w:val="none"/>
        </w:rPr>
        <w:t>第二部分 合同一般条款</w:t>
      </w:r>
      <w:bookmarkEnd w:id="89"/>
    </w:p>
    <w:p>
      <w:pPr>
        <w:spacing w:line="360" w:lineRule="auto"/>
        <w:ind w:firstLine="482" w:firstLineChars="200"/>
        <w:outlineLvl w:val="0"/>
        <w:rPr>
          <w:rFonts w:asciiTheme="minorEastAsia" w:hAnsiTheme="minorEastAsia" w:eastAsiaTheme="minorEastAsia"/>
          <w:b/>
          <w:color w:val="auto"/>
          <w:sz w:val="24"/>
          <w:highlight w:val="none"/>
        </w:rPr>
      </w:pPr>
      <w:bookmarkStart w:id="90" w:name="_Ref467378463"/>
      <w:bookmarkStart w:id="91" w:name="_Ref467378499"/>
      <w:bookmarkStart w:id="92" w:name="_Toc28763"/>
      <w:bookmarkStart w:id="93" w:name="_Ref467379094"/>
      <w:bookmarkStart w:id="94" w:name="_Ref467379205"/>
      <w:bookmarkStart w:id="95" w:name="_Toc279701240"/>
      <w:bookmarkStart w:id="96" w:name="_Ref467379225"/>
      <w:bookmarkStart w:id="97" w:name="_Ref467379109"/>
      <w:bookmarkStart w:id="98" w:name="_Toc487900349"/>
      <w:bookmarkStart w:id="99" w:name="_Ref467379195"/>
      <w:bookmarkStart w:id="100" w:name="_Ref467379214"/>
      <w:bookmarkStart w:id="101" w:name="_Ref467378404"/>
      <w:bookmarkStart w:id="102" w:name="_Ref467379101"/>
      <w:bookmarkStart w:id="103" w:name="_Toc16917"/>
      <w:bookmarkStart w:id="104" w:name="_Toc259093669"/>
      <w:bookmarkStart w:id="105" w:name="_Toc19614"/>
      <w:r>
        <w:rPr>
          <w:rFonts w:hint="eastAsia" w:asciiTheme="minorEastAsia" w:hAnsiTheme="minorEastAsia" w:eastAsiaTheme="minorEastAsia"/>
          <w:b/>
          <w:color w:val="auto"/>
          <w:sz w:val="24"/>
          <w:highlight w:val="none"/>
        </w:rPr>
        <w:t>2.1 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本合同中的下列词语应按以下内容进行解释：</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 “合同”系指采购人和成交供应商签订的载明双方当事人所达成的协议，并包括所有的附件、附录和构成合同的其他文件。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 “合同价”系指根据合同约定，成交供应商在完全履行合同义务后，采购人应支付给成交供应商的价格。</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Theme="minorEastAsia" w:hAnsiTheme="minorEastAsia" w:eastAsiaTheme="minorEastAsia"/>
          <w:color w:val="auto"/>
          <w:sz w:val="24"/>
          <w:highlight w:val="none"/>
        </w:rPr>
      </w:pPr>
      <w:bookmarkStart w:id="106" w:name="_Ref467378840"/>
      <w:r>
        <w:rPr>
          <w:rFonts w:hint="eastAsia" w:asciiTheme="minorEastAsia" w:hAnsiTheme="minorEastAsia" w:eastAsiaTheme="minorEastAsia"/>
          <w:color w:val="auto"/>
          <w:sz w:val="24"/>
          <w:highlight w:val="none"/>
        </w:rPr>
        <w:t>2.1.4 “甲方”系指与成交供应商签署合同的采购人</w:t>
      </w:r>
      <w:bookmarkEnd w:id="106"/>
      <w:r>
        <w:rPr>
          <w:rFonts w:hint="eastAsia" w:asciiTheme="minorEastAsia" w:hAnsiTheme="minorEastAsia" w:eastAsiaTheme="minorEastAsia"/>
          <w:color w:val="auto"/>
          <w:sz w:val="24"/>
          <w:highlight w:val="none"/>
        </w:rPr>
        <w:t>；采购人委托</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代表其与乙方签订合同的，采购人的授权委托书作为合同附件。</w:t>
      </w:r>
    </w:p>
    <w:p>
      <w:pPr>
        <w:spacing w:line="360" w:lineRule="auto"/>
        <w:ind w:firstLine="480" w:firstLineChars="200"/>
        <w:rPr>
          <w:rFonts w:asciiTheme="minorEastAsia" w:hAnsiTheme="minorEastAsia" w:eastAsiaTheme="minorEastAsia"/>
          <w:color w:val="auto"/>
          <w:sz w:val="24"/>
          <w:highlight w:val="none"/>
        </w:rPr>
      </w:pPr>
      <w:bookmarkStart w:id="107" w:name="_Ref467379400"/>
      <w:r>
        <w:rPr>
          <w:rFonts w:hint="eastAsia" w:asciiTheme="minorEastAsia" w:hAnsiTheme="minorEastAsia" w:eastAsiaTheme="minorEastAsia"/>
          <w:color w:val="auto"/>
          <w:sz w:val="24"/>
          <w:highlight w:val="none"/>
        </w:rPr>
        <w:t>2.1.5 “乙方”系指根据合同约定交付标的物的成交供应商</w:t>
      </w:r>
      <w:bookmarkEnd w:id="107"/>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Theme="minorEastAsia" w:hAnsiTheme="minorEastAsia" w:eastAsiaTheme="minorEastAsia"/>
          <w:color w:val="auto"/>
          <w:sz w:val="24"/>
          <w:highlight w:val="none"/>
        </w:rPr>
      </w:pPr>
      <w:bookmarkStart w:id="108" w:name="_Ref467379436"/>
      <w:r>
        <w:rPr>
          <w:rFonts w:hint="eastAsia" w:asciiTheme="minorEastAsia" w:hAnsiTheme="minorEastAsia" w:eastAsiaTheme="minorEastAsia"/>
          <w:color w:val="auto"/>
          <w:sz w:val="24"/>
          <w:highlight w:val="none"/>
        </w:rPr>
        <w:t>2.1.6 “现场”系指合同约定标的物将要运至或者实施或者安装的地点。</w:t>
      </w:r>
      <w:bookmarkEnd w:id="108"/>
    </w:p>
    <w:p>
      <w:pPr>
        <w:spacing w:line="360" w:lineRule="auto"/>
        <w:ind w:firstLine="482" w:firstLineChars="200"/>
        <w:outlineLvl w:val="0"/>
        <w:rPr>
          <w:rFonts w:asciiTheme="minorEastAsia" w:hAnsiTheme="minorEastAsia" w:eastAsiaTheme="minorEastAsia"/>
          <w:b/>
          <w:color w:val="auto"/>
          <w:sz w:val="24"/>
          <w:highlight w:val="none"/>
        </w:rPr>
      </w:pPr>
      <w:bookmarkStart w:id="109" w:name="_Toc259093670"/>
      <w:bookmarkStart w:id="110" w:name="_Toc13336"/>
      <w:bookmarkStart w:id="111" w:name="_Toc487900350"/>
      <w:bookmarkStart w:id="112" w:name="_Toc279701241"/>
      <w:bookmarkStart w:id="113" w:name="_Toc27635"/>
      <w:bookmarkStart w:id="114" w:name="_Toc32504"/>
      <w:r>
        <w:rPr>
          <w:rFonts w:hint="eastAsia" w:asciiTheme="minorEastAsia" w:hAnsiTheme="minorEastAsia" w:eastAsiaTheme="minorEastAsia"/>
          <w:b/>
          <w:color w:val="auto"/>
          <w:sz w:val="24"/>
          <w:highlight w:val="none"/>
        </w:rPr>
        <w:t>2.2 技术规范</w:t>
      </w:r>
      <w:bookmarkEnd w:id="109"/>
      <w:bookmarkEnd w:id="110"/>
      <w:bookmarkEnd w:id="111"/>
      <w:bookmarkEnd w:id="112"/>
      <w:bookmarkEnd w:id="113"/>
      <w:bookmarkEnd w:id="11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Theme="minorEastAsia" w:hAnsiTheme="minorEastAsia" w:eastAsiaTheme="minorEastAsia"/>
          <w:b/>
          <w:color w:val="auto"/>
          <w:sz w:val="24"/>
          <w:highlight w:val="none"/>
        </w:rPr>
      </w:pPr>
      <w:bookmarkStart w:id="115" w:name="_Toc487900351"/>
      <w:bookmarkStart w:id="116" w:name="_Toc259093671"/>
      <w:bookmarkStart w:id="117" w:name="_Toc279701242"/>
      <w:bookmarkStart w:id="118" w:name="_Toc9829"/>
      <w:bookmarkStart w:id="119" w:name="_Toc31634"/>
      <w:bookmarkStart w:id="120" w:name="_Toc27853"/>
      <w:r>
        <w:rPr>
          <w:rFonts w:hint="eastAsia" w:asciiTheme="minorEastAsia" w:hAnsiTheme="minorEastAsia" w:eastAsiaTheme="minorEastAsia"/>
          <w:b/>
          <w:color w:val="auto"/>
          <w:sz w:val="24"/>
          <w:highlight w:val="none"/>
        </w:rPr>
        <w:t>2.3 知识产权</w:t>
      </w:r>
      <w:bookmarkEnd w:id="115"/>
      <w:bookmarkEnd w:id="116"/>
      <w:bookmarkEnd w:id="117"/>
      <w:bookmarkEnd w:id="118"/>
      <w:bookmarkEnd w:id="119"/>
      <w:bookmarkEnd w:id="120"/>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2.3.2具有知识产权的计算机软件等标的物的知识产权归属，详见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21" w:name="_Toc29149"/>
      <w:bookmarkStart w:id="122" w:name="_Toc4194"/>
      <w:bookmarkStart w:id="123" w:name="_Toc11932"/>
      <w:r>
        <w:rPr>
          <w:rFonts w:hint="eastAsia" w:asciiTheme="minorEastAsia" w:hAnsiTheme="minorEastAsia" w:eastAsiaTheme="minorEastAsia"/>
          <w:b/>
          <w:color w:val="auto"/>
          <w:sz w:val="24"/>
          <w:highlight w:val="none"/>
        </w:rPr>
        <w:t>2.4 包装和装运</w:t>
      </w:r>
      <w:bookmarkEnd w:id="121"/>
      <w:bookmarkEnd w:id="122"/>
      <w:bookmarkEnd w:id="123"/>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 装运标的物的要求和通知，详见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24" w:name="_Ref467379536"/>
      <w:bookmarkStart w:id="125" w:name="_Toc279701245"/>
      <w:bookmarkStart w:id="126" w:name="_Toc259093674"/>
      <w:bookmarkStart w:id="127" w:name="_Ref467378591"/>
      <w:bookmarkStart w:id="128" w:name="_Ref467379542"/>
      <w:bookmarkStart w:id="129" w:name="_Ref467378541"/>
      <w:bookmarkStart w:id="130" w:name="_Toc487900354"/>
      <w:bookmarkStart w:id="131" w:name="_Ref467379527"/>
      <w:bookmarkStart w:id="132" w:name="_Toc30272"/>
      <w:bookmarkStart w:id="133" w:name="_Toc19074"/>
      <w:bookmarkStart w:id="134" w:name="_Toc26182"/>
      <w:r>
        <w:rPr>
          <w:rFonts w:hint="eastAsia" w:asciiTheme="minorEastAsia" w:hAnsiTheme="minorEastAsia" w:eastAsiaTheme="minorEastAsia"/>
          <w:b/>
          <w:color w:val="auto"/>
          <w:sz w:val="24"/>
          <w:highlight w:val="none"/>
        </w:rPr>
        <w:t>2.</w:t>
      </w:r>
      <w:bookmarkEnd w:id="124"/>
      <w:bookmarkEnd w:id="125"/>
      <w:bookmarkEnd w:id="126"/>
      <w:bookmarkEnd w:id="127"/>
      <w:bookmarkEnd w:id="128"/>
      <w:bookmarkEnd w:id="129"/>
      <w:bookmarkEnd w:id="130"/>
      <w:bookmarkEnd w:id="131"/>
      <w:r>
        <w:rPr>
          <w:rFonts w:hint="eastAsia" w:asciiTheme="minorEastAsia" w:hAnsiTheme="minorEastAsia" w:eastAsiaTheme="minorEastAsia"/>
          <w:b/>
          <w:color w:val="auto"/>
          <w:sz w:val="24"/>
          <w:highlight w:val="none"/>
        </w:rPr>
        <w:t>5 履约检查和问题反馈</w:t>
      </w:r>
      <w:bookmarkEnd w:id="132"/>
      <w:bookmarkEnd w:id="133"/>
      <w:bookmarkEnd w:id="134"/>
    </w:p>
    <w:p>
      <w:pPr>
        <w:spacing w:line="360" w:lineRule="auto"/>
        <w:ind w:firstLine="480" w:firstLineChars="200"/>
        <w:rPr>
          <w:rFonts w:asciiTheme="minorEastAsia" w:hAnsiTheme="minorEastAsia" w:eastAsiaTheme="minorEastAsia"/>
          <w:color w:val="auto"/>
          <w:sz w:val="24"/>
          <w:highlight w:val="none"/>
        </w:rPr>
      </w:pPr>
      <w:bookmarkStart w:id="135" w:name="_Ref467379657"/>
      <w:r>
        <w:rPr>
          <w:rFonts w:hint="eastAsia" w:asciiTheme="minorEastAsia" w:hAnsiTheme="minorEastAsia" w:eastAsiaTheme="minorEastAsia"/>
          <w:color w:val="auto"/>
          <w:sz w:val="24"/>
          <w:highlight w:val="none"/>
        </w:rPr>
        <w:t>2.5.1</w:t>
      </w:r>
      <w:bookmarkEnd w:id="135"/>
      <w:bookmarkStart w:id="136" w:name="_Toc186431854"/>
      <w:bookmarkStart w:id="137" w:name="_Toc279701247"/>
      <w:bookmarkStart w:id="138" w:name="_Ref467379807"/>
      <w:bookmarkStart w:id="139" w:name="_Ref467379793"/>
      <w:bookmarkStart w:id="140" w:name="_Toc487900357"/>
      <w:bookmarkStart w:id="141" w:name="_Toc259093676"/>
      <w:r>
        <w:rPr>
          <w:rFonts w:hint="eastAsia" w:asciiTheme="minorEastAsia" w:hAnsiTheme="minorEastAsia" w:eastAsia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 合同履行期间，甲方有权将履行过程中出现的问题反馈给乙方，双方当事人应以书面形式约定需要完善和改进的内容</w:t>
      </w:r>
      <w:bookmarkEnd w:id="136"/>
      <w:bookmarkStart w:id="142" w:name="_Toc186431855"/>
      <w:r>
        <w:rPr>
          <w:rFonts w:hint="eastAsia" w:asciiTheme="minorEastAsia" w:hAnsiTheme="minorEastAsia" w:eastAsiaTheme="minorEastAsia"/>
          <w:color w:val="auto"/>
          <w:sz w:val="24"/>
          <w:highlight w:val="none"/>
        </w:rPr>
        <w:t>。</w:t>
      </w:r>
    </w:p>
    <w:bookmarkEnd w:id="142"/>
    <w:p>
      <w:pPr>
        <w:spacing w:line="360" w:lineRule="auto"/>
        <w:ind w:firstLine="482" w:firstLineChars="200"/>
        <w:outlineLvl w:val="0"/>
        <w:rPr>
          <w:rFonts w:asciiTheme="minorEastAsia" w:hAnsiTheme="minorEastAsia" w:eastAsiaTheme="minorEastAsia"/>
          <w:b/>
          <w:color w:val="auto"/>
          <w:sz w:val="24"/>
          <w:highlight w:val="none"/>
        </w:rPr>
      </w:pPr>
      <w:bookmarkStart w:id="143" w:name="_Toc19219"/>
      <w:bookmarkStart w:id="144" w:name="_Toc28451"/>
      <w:bookmarkStart w:id="145" w:name="_Toc7836"/>
      <w:r>
        <w:rPr>
          <w:rFonts w:hint="eastAsia" w:asciiTheme="minorEastAsia" w:hAnsiTheme="minorEastAsia" w:eastAsiaTheme="minorEastAsia"/>
          <w:b/>
          <w:color w:val="auto"/>
          <w:sz w:val="24"/>
          <w:highlight w:val="none"/>
        </w:rPr>
        <w:t>2.6 结算方式和付款条件</w:t>
      </w:r>
      <w:bookmarkEnd w:id="137"/>
      <w:bookmarkEnd w:id="138"/>
      <w:bookmarkEnd w:id="139"/>
      <w:bookmarkEnd w:id="140"/>
      <w:bookmarkEnd w:id="141"/>
      <w:bookmarkEnd w:id="143"/>
      <w:bookmarkEnd w:id="144"/>
      <w:bookmarkEnd w:id="14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46" w:name="_Toc487900358"/>
      <w:bookmarkStart w:id="147" w:name="_Ref467379852"/>
      <w:bookmarkStart w:id="148" w:name="_Toc279701248"/>
      <w:bookmarkStart w:id="149" w:name="_Toc259093677"/>
      <w:bookmarkStart w:id="150" w:name="_Ref467379863"/>
      <w:bookmarkStart w:id="151" w:name="_Ref467379923"/>
      <w:bookmarkStart w:id="152" w:name="_Toc16110"/>
      <w:bookmarkStart w:id="153" w:name="_Toc774"/>
      <w:bookmarkStart w:id="154" w:name="_Toc3225"/>
      <w:r>
        <w:rPr>
          <w:rFonts w:hint="eastAsia" w:asciiTheme="minorEastAsia" w:hAnsiTheme="minorEastAsia" w:eastAsiaTheme="minorEastAsia"/>
          <w:b/>
          <w:color w:val="auto"/>
          <w:sz w:val="24"/>
          <w:highlight w:val="none"/>
        </w:rPr>
        <w:t>2.7 技术资料</w:t>
      </w:r>
      <w:bookmarkEnd w:id="146"/>
      <w:bookmarkEnd w:id="147"/>
      <w:bookmarkEnd w:id="148"/>
      <w:bookmarkEnd w:id="149"/>
      <w:bookmarkEnd w:id="150"/>
      <w:bookmarkEnd w:id="151"/>
      <w:r>
        <w:rPr>
          <w:rFonts w:hint="eastAsia" w:asciiTheme="minorEastAsia" w:hAnsiTheme="minorEastAsia" w:eastAsiaTheme="minorEastAsia"/>
          <w:b/>
          <w:color w:val="auto"/>
          <w:sz w:val="24"/>
          <w:highlight w:val="none"/>
        </w:rPr>
        <w:t>和保密义务</w:t>
      </w:r>
      <w:bookmarkEnd w:id="152"/>
      <w:bookmarkEnd w:id="153"/>
      <w:bookmarkEnd w:id="15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 乙方有权依据合同约定和项目需要，向甲方了解有关情况，调阅有关资料等，甲方应予积极配合；</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 乙方有义务妥善保管和保护由甲方提供的前款信息和资料等；</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Theme="minorEastAsia" w:hAnsiTheme="minorEastAsia" w:eastAsiaTheme="minorEastAsia"/>
          <w:b/>
          <w:color w:val="auto"/>
          <w:sz w:val="24"/>
          <w:highlight w:val="none"/>
        </w:rPr>
      </w:pPr>
      <w:bookmarkStart w:id="155" w:name="_Toc7860"/>
      <w:r>
        <w:rPr>
          <w:rFonts w:hint="eastAsia" w:asciiTheme="minorEastAsia" w:hAnsiTheme="minorEastAsia" w:eastAsiaTheme="minorEastAsia"/>
          <w:b/>
          <w:color w:val="auto"/>
          <w:sz w:val="24"/>
          <w:highlight w:val="none"/>
        </w:rPr>
        <w:t>2.8 质量保证</w:t>
      </w:r>
      <w:bookmarkEnd w:id="155"/>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 乙方应建立和完善履行合同的内部质量保证体系，并提供相关内部规章制度给甲方，以便甲方进行监督检查；</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Theme="minorEastAsia" w:hAnsiTheme="minorEastAsia" w:eastAsiaTheme="minorEastAsia"/>
          <w:b/>
          <w:color w:val="auto"/>
          <w:sz w:val="24"/>
          <w:highlight w:val="none"/>
        </w:rPr>
      </w:pPr>
      <w:bookmarkStart w:id="156" w:name="_Toc17244"/>
      <w:bookmarkStart w:id="157" w:name="_Toc259093681"/>
      <w:bookmarkStart w:id="158" w:name="_Toc487900362"/>
      <w:bookmarkStart w:id="159" w:name="_Toc279701252"/>
      <w:r>
        <w:rPr>
          <w:rFonts w:hint="eastAsia" w:asciiTheme="minorEastAsia" w:hAnsiTheme="minorEastAsia" w:eastAsiaTheme="minorEastAsia"/>
          <w:b/>
          <w:color w:val="auto"/>
          <w:sz w:val="24"/>
          <w:highlight w:val="none"/>
        </w:rPr>
        <w:t>2.9 标的物的风险负担</w:t>
      </w:r>
      <w:bookmarkEnd w:id="156"/>
    </w:p>
    <w:p>
      <w:pPr>
        <w:spacing w:line="360" w:lineRule="auto"/>
        <w:ind w:firstLine="480"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pacing w:line="360" w:lineRule="auto"/>
        <w:ind w:firstLine="482" w:firstLineChars="200"/>
        <w:outlineLvl w:val="0"/>
        <w:rPr>
          <w:rFonts w:asciiTheme="minorEastAsia" w:hAnsiTheme="minorEastAsia" w:eastAsiaTheme="minorEastAsia"/>
          <w:b/>
          <w:color w:val="auto"/>
          <w:sz w:val="24"/>
          <w:highlight w:val="none"/>
        </w:rPr>
      </w:pPr>
      <w:bookmarkStart w:id="160" w:name="_Toc14055"/>
      <w:r>
        <w:rPr>
          <w:rFonts w:hint="eastAsia" w:asciiTheme="minorEastAsia" w:hAnsiTheme="minorEastAsia" w:eastAsiaTheme="minorEastAsia"/>
          <w:b/>
          <w:color w:val="auto"/>
          <w:sz w:val="24"/>
          <w:highlight w:val="none"/>
        </w:rPr>
        <w:t>2.10 延迟交货</w:t>
      </w:r>
      <w:bookmarkEnd w:id="157"/>
      <w:bookmarkEnd w:id="158"/>
      <w:bookmarkEnd w:id="159"/>
      <w:bookmarkEnd w:id="160"/>
      <w:r>
        <w:rPr>
          <w:rFonts w:hint="eastAsia" w:asciiTheme="minorEastAsia" w:hAnsiTheme="minorEastAsia" w:eastAsiaTheme="minorEastAsia"/>
          <w:b/>
          <w:color w:val="auto"/>
          <w:sz w:val="24"/>
          <w:highlight w:val="none"/>
        </w:rPr>
        <w:t>/交付</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Theme="minorEastAsia" w:hAnsiTheme="minorEastAsia" w:eastAsiaTheme="minorEastAsia"/>
          <w:b/>
          <w:color w:val="auto"/>
          <w:sz w:val="24"/>
          <w:highlight w:val="none"/>
        </w:rPr>
      </w:pPr>
      <w:bookmarkStart w:id="161" w:name="_Toc7502"/>
      <w:bookmarkStart w:id="162" w:name="_Toc487900364"/>
      <w:bookmarkStart w:id="163" w:name="_Ref467378121"/>
      <w:bookmarkStart w:id="164" w:name="_Toc279701254"/>
      <w:bookmarkStart w:id="165" w:name="_Toc259093683"/>
      <w:r>
        <w:rPr>
          <w:rFonts w:hint="eastAsia" w:asciiTheme="minorEastAsia" w:hAnsiTheme="minorEastAsia" w:eastAsiaTheme="minorEastAsia"/>
          <w:b/>
          <w:color w:val="auto"/>
          <w:sz w:val="24"/>
          <w:highlight w:val="none"/>
        </w:rPr>
        <w:t>2.11 合同变更</w:t>
      </w:r>
      <w:bookmarkEnd w:id="161"/>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66" w:name="_Toc259093688"/>
      <w:bookmarkStart w:id="167" w:name="_Toc279701259"/>
      <w:bookmarkStart w:id="168" w:name="_Toc487900369"/>
    </w:p>
    <w:p>
      <w:pPr>
        <w:spacing w:line="360" w:lineRule="auto"/>
        <w:ind w:firstLine="482" w:firstLineChars="200"/>
        <w:outlineLvl w:val="0"/>
        <w:rPr>
          <w:rFonts w:asciiTheme="minorEastAsia" w:hAnsiTheme="minorEastAsia" w:eastAsiaTheme="minorEastAsia"/>
          <w:b/>
          <w:color w:val="auto"/>
          <w:sz w:val="24"/>
          <w:highlight w:val="none"/>
        </w:rPr>
      </w:pPr>
      <w:bookmarkStart w:id="169" w:name="_Toc22955"/>
      <w:bookmarkStart w:id="170" w:name="_Toc10366"/>
      <w:bookmarkStart w:id="171" w:name="_Toc15237"/>
      <w:r>
        <w:rPr>
          <w:rFonts w:hint="eastAsia" w:asciiTheme="minorEastAsia" w:hAnsiTheme="minorEastAsia" w:eastAsiaTheme="minorEastAsia"/>
          <w:b/>
          <w:color w:val="auto"/>
          <w:sz w:val="24"/>
          <w:highlight w:val="none"/>
        </w:rPr>
        <w:t>2.12 合同转让</w:t>
      </w:r>
      <w:bookmarkEnd w:id="166"/>
      <w:bookmarkEnd w:id="167"/>
      <w:bookmarkEnd w:id="168"/>
      <w:r>
        <w:rPr>
          <w:rFonts w:hint="eastAsia" w:asciiTheme="minorEastAsia" w:hAnsiTheme="minorEastAsia" w:eastAsiaTheme="minorEastAsia"/>
          <w:b/>
          <w:color w:val="auto"/>
          <w:sz w:val="24"/>
          <w:highlight w:val="none"/>
        </w:rPr>
        <w:t>和分包</w:t>
      </w:r>
      <w:bookmarkEnd w:id="169"/>
      <w:bookmarkEnd w:id="170"/>
      <w:bookmarkEnd w:id="171"/>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Theme="minorEastAsia" w:hAnsiTheme="minorEastAsia" w:eastAsiaTheme="minorEastAsia"/>
          <w:b/>
          <w:color w:val="auto"/>
          <w:sz w:val="24"/>
          <w:highlight w:val="none"/>
        </w:rPr>
      </w:pPr>
      <w:bookmarkStart w:id="172" w:name="_Toc16508"/>
      <w:bookmarkStart w:id="173" w:name="_Toc14066"/>
      <w:bookmarkStart w:id="174" w:name="_Toc13566"/>
      <w:r>
        <w:rPr>
          <w:rFonts w:hint="eastAsia" w:asciiTheme="minorEastAsia" w:hAnsiTheme="minorEastAsia" w:eastAsiaTheme="minorEastAsia"/>
          <w:b/>
          <w:color w:val="auto"/>
          <w:sz w:val="24"/>
          <w:highlight w:val="none"/>
        </w:rPr>
        <w:t>2.13 不可抗力</w:t>
      </w:r>
      <w:bookmarkEnd w:id="172"/>
      <w:bookmarkEnd w:id="173"/>
      <w:bookmarkEnd w:id="17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2.13.2受不可抗力影响的一方在不可抗力发生后，应在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约定时间内以书面形式通知对方当事人，并在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约定时间内，将有关部门出具的证明文件送达对方当事人。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 因不可抗力致使不能实现合同目的的，当事人可以解除合同；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2.13.4 因不可抗力致使合同有变更必要的，双方当事人应在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约定时间内以书面形式变更合同；</w:t>
      </w:r>
    </w:p>
    <w:p>
      <w:pPr>
        <w:spacing w:line="360" w:lineRule="auto"/>
        <w:ind w:firstLine="482" w:firstLineChars="200"/>
        <w:outlineLvl w:val="0"/>
        <w:rPr>
          <w:rFonts w:asciiTheme="minorEastAsia" w:hAnsiTheme="minorEastAsia" w:eastAsiaTheme="minorEastAsia"/>
          <w:b/>
          <w:color w:val="auto"/>
          <w:sz w:val="24"/>
          <w:highlight w:val="none"/>
        </w:rPr>
      </w:pPr>
      <w:bookmarkStart w:id="175" w:name="_Toc689"/>
      <w:bookmarkStart w:id="176" w:name="_Toc30676"/>
      <w:bookmarkStart w:id="177" w:name="_Toc259093684"/>
      <w:bookmarkStart w:id="178" w:name="_Toc6969"/>
      <w:bookmarkStart w:id="179" w:name="_Toc487900365"/>
      <w:bookmarkStart w:id="180" w:name="_Toc279701255"/>
      <w:r>
        <w:rPr>
          <w:rFonts w:hint="eastAsia" w:asciiTheme="minorEastAsia" w:hAnsiTheme="minorEastAsia" w:eastAsiaTheme="minorEastAsia"/>
          <w:b/>
          <w:color w:val="auto"/>
          <w:sz w:val="24"/>
          <w:highlight w:val="none"/>
        </w:rPr>
        <w:t>2.14 税费</w:t>
      </w:r>
      <w:bookmarkEnd w:id="175"/>
      <w:bookmarkEnd w:id="176"/>
      <w:bookmarkEnd w:id="177"/>
      <w:bookmarkEnd w:id="178"/>
      <w:bookmarkEnd w:id="179"/>
      <w:bookmarkEnd w:id="180"/>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与合同有关的一切税费，均按照中华人民共和国法律的相关规定执行。</w:t>
      </w:r>
    </w:p>
    <w:p>
      <w:pPr>
        <w:spacing w:line="360" w:lineRule="auto"/>
        <w:ind w:firstLine="482" w:firstLineChars="200"/>
        <w:outlineLvl w:val="0"/>
        <w:rPr>
          <w:rFonts w:asciiTheme="minorEastAsia" w:hAnsiTheme="minorEastAsia" w:eastAsiaTheme="minorEastAsia"/>
          <w:b/>
          <w:color w:val="auto"/>
          <w:sz w:val="24"/>
          <w:highlight w:val="none"/>
        </w:rPr>
      </w:pPr>
      <w:bookmarkStart w:id="181" w:name="_Toc259093687"/>
      <w:bookmarkStart w:id="182" w:name="_Toc8298"/>
      <w:bookmarkStart w:id="183" w:name="_Toc487900368"/>
      <w:bookmarkStart w:id="184" w:name="_Toc7102"/>
      <w:bookmarkStart w:id="185" w:name="_Toc16959"/>
      <w:bookmarkStart w:id="186" w:name="_Toc279701258"/>
      <w:r>
        <w:rPr>
          <w:rFonts w:hint="eastAsia" w:asciiTheme="minorEastAsia" w:hAnsiTheme="minorEastAsia" w:eastAsiaTheme="minorEastAsia"/>
          <w:b/>
          <w:color w:val="auto"/>
          <w:sz w:val="24"/>
          <w:highlight w:val="none"/>
        </w:rPr>
        <w:t>2.15 乙方破产</w:t>
      </w:r>
      <w:bookmarkEnd w:id="181"/>
      <w:bookmarkEnd w:id="182"/>
      <w:bookmarkEnd w:id="183"/>
      <w:bookmarkEnd w:id="184"/>
      <w:bookmarkEnd w:id="185"/>
      <w:bookmarkEnd w:id="186"/>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Theme="minorEastAsia" w:hAnsiTheme="minorEastAsia" w:eastAsiaTheme="minorEastAsia"/>
          <w:b/>
          <w:color w:val="auto"/>
          <w:sz w:val="24"/>
          <w:highlight w:val="none"/>
        </w:rPr>
      </w:pPr>
      <w:bookmarkStart w:id="187" w:name="_Toc29333"/>
      <w:bookmarkStart w:id="188" w:name="_Toc6134"/>
      <w:bookmarkStart w:id="189" w:name="_Toc15387"/>
      <w:r>
        <w:rPr>
          <w:rFonts w:hint="eastAsia" w:asciiTheme="minorEastAsia" w:hAnsiTheme="minorEastAsia" w:eastAsiaTheme="minorEastAsia"/>
          <w:b/>
          <w:color w:val="auto"/>
          <w:sz w:val="24"/>
          <w:highlight w:val="none"/>
        </w:rPr>
        <w:t>2.16 合同中止、终止</w:t>
      </w:r>
      <w:bookmarkEnd w:id="187"/>
      <w:bookmarkEnd w:id="188"/>
      <w:bookmarkEnd w:id="189"/>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 双方当事人不得擅自中止或者终止合同；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2.16.3因甲方原因导致变更、中止或终止合同的，甲方应对乙方受到的损失予以赔偿或者补偿。</w:t>
      </w:r>
    </w:p>
    <w:p>
      <w:pPr>
        <w:spacing w:line="360" w:lineRule="auto"/>
        <w:ind w:firstLine="482" w:firstLineChars="200"/>
        <w:rPr>
          <w:rFonts w:asciiTheme="minorEastAsia" w:hAnsiTheme="minorEastAsia" w:eastAsiaTheme="minorEastAsia"/>
          <w:b/>
          <w:color w:val="auto"/>
          <w:sz w:val="24"/>
          <w:highlight w:val="none"/>
        </w:rPr>
      </w:pPr>
      <w:bookmarkStart w:id="190" w:name="_Toc6596"/>
      <w:bookmarkStart w:id="191" w:name="_Toc1125"/>
      <w:bookmarkStart w:id="192" w:name="_Toc14563"/>
      <w:r>
        <w:rPr>
          <w:rFonts w:hint="eastAsia" w:asciiTheme="minorEastAsia" w:hAnsiTheme="minorEastAsia" w:eastAsiaTheme="minorEastAsia"/>
          <w:b/>
          <w:color w:val="auto"/>
          <w:sz w:val="24"/>
          <w:highlight w:val="none"/>
        </w:rPr>
        <w:t>2.17 检验和验收</w:t>
      </w:r>
      <w:bookmarkEnd w:id="190"/>
      <w:bookmarkEnd w:id="191"/>
      <w:bookmarkEnd w:id="192"/>
    </w:p>
    <w:p>
      <w:pPr>
        <w:tabs>
          <w:tab w:val="left" w:pos="360"/>
          <w:tab w:val="left" w:pos="540"/>
          <w:tab w:val="left" w:pos="108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 检验和验收标准、程序等具体内容以及前述验收书的效力详见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62"/>
    <w:bookmarkEnd w:id="163"/>
    <w:bookmarkEnd w:id="164"/>
    <w:bookmarkEnd w:id="165"/>
    <w:p>
      <w:pPr>
        <w:spacing w:line="360" w:lineRule="auto"/>
        <w:ind w:firstLine="482" w:firstLineChars="200"/>
        <w:outlineLvl w:val="0"/>
        <w:rPr>
          <w:rFonts w:asciiTheme="minorEastAsia" w:hAnsiTheme="minorEastAsia" w:eastAsiaTheme="minorEastAsia"/>
          <w:b/>
          <w:color w:val="auto"/>
          <w:sz w:val="24"/>
          <w:highlight w:val="none"/>
        </w:rPr>
      </w:pPr>
      <w:bookmarkStart w:id="193" w:name="_Toc279701261"/>
      <w:bookmarkStart w:id="194" w:name="_Toc487900371"/>
      <w:bookmarkStart w:id="195" w:name="_Toc259093690"/>
      <w:bookmarkStart w:id="196" w:name="_Toc25182"/>
      <w:bookmarkStart w:id="197" w:name="_Toc19604"/>
      <w:bookmarkStart w:id="198" w:name="_Toc11284"/>
      <w:r>
        <w:rPr>
          <w:rFonts w:hint="eastAsia" w:asciiTheme="minorEastAsia" w:hAnsiTheme="minorEastAsia" w:eastAsiaTheme="minorEastAsia"/>
          <w:b/>
          <w:color w:val="auto"/>
          <w:sz w:val="24"/>
          <w:highlight w:val="none"/>
        </w:rPr>
        <w:t>2.18 通知</w:t>
      </w:r>
      <w:bookmarkEnd w:id="193"/>
      <w:bookmarkEnd w:id="194"/>
      <w:bookmarkEnd w:id="195"/>
      <w:r>
        <w:rPr>
          <w:rFonts w:hint="eastAsia" w:asciiTheme="minorEastAsia" w:hAnsiTheme="minorEastAsia" w:eastAsiaTheme="minorEastAsia"/>
          <w:b/>
          <w:color w:val="auto"/>
          <w:sz w:val="24"/>
          <w:highlight w:val="none"/>
        </w:rPr>
        <w:t>和送达</w:t>
      </w:r>
      <w:bookmarkEnd w:id="196"/>
      <w:bookmarkEnd w:id="197"/>
      <w:bookmarkEnd w:id="198"/>
    </w:p>
    <w:p>
      <w:pPr>
        <w:spacing w:line="360" w:lineRule="auto"/>
        <w:ind w:firstLine="480" w:firstLineChars="200"/>
        <w:rPr>
          <w:rFonts w:asciiTheme="minorEastAsia" w:hAnsiTheme="minorEastAsia" w:eastAsiaTheme="minorEastAsia"/>
          <w:color w:val="auto"/>
          <w:sz w:val="24"/>
          <w:highlight w:val="none"/>
        </w:rPr>
      </w:pPr>
      <w:bookmarkStart w:id="199" w:name="_Toc3135"/>
      <w:bookmarkStart w:id="200" w:name="_Toc6698"/>
      <w:bookmarkStart w:id="201" w:name="_Toc487900372"/>
      <w:bookmarkStart w:id="202" w:name="_Toc259093691"/>
      <w:bookmarkStart w:id="203" w:name="_Toc279701262"/>
      <w:r>
        <w:rPr>
          <w:rFonts w:hint="eastAsia" w:asciiTheme="minorEastAsia" w:hAnsiTheme="minorEastAsia" w:eastAsiaTheme="minorEastAsia"/>
          <w:color w:val="auto"/>
          <w:sz w:val="24"/>
          <w:highlight w:val="none"/>
        </w:rPr>
        <w:t>2.18.1 任何一方因履行合同而以合同第一部分尾部所列明的</w:t>
      </w:r>
      <w:r>
        <w:rPr>
          <w:rFonts w:hint="eastAsia" w:asciiTheme="minorEastAsia" w:hAnsiTheme="minorEastAsia" w:eastAsiaTheme="minorEastAsia"/>
          <w:color w:val="auto"/>
          <w:sz w:val="24"/>
          <w:highlight w:val="none"/>
          <w:u w:val="single"/>
        </w:rPr>
        <w:t>“约定送达地址”</w:t>
      </w:r>
      <w:r>
        <w:rPr>
          <w:rFonts w:hint="eastAsia" w:asciiTheme="minorEastAsia" w:hAnsiTheme="minorEastAsia" w:eastAsia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olor w:val="auto"/>
          <w:sz w:val="24"/>
          <w:highlight w:val="none"/>
          <w:u w:val="single"/>
        </w:rPr>
        <w:t xml:space="preserve"> 5 </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bookmarkEnd w:id="199"/>
      <w:bookmarkEnd w:id="200"/>
    </w:p>
    <w:p>
      <w:pPr>
        <w:spacing w:line="360" w:lineRule="auto"/>
        <w:ind w:firstLine="480" w:firstLineChars="200"/>
        <w:rPr>
          <w:rFonts w:asciiTheme="minorEastAsia" w:hAnsiTheme="minorEastAsia" w:eastAsiaTheme="minorEastAsia"/>
          <w:color w:val="auto"/>
          <w:sz w:val="24"/>
          <w:highlight w:val="none"/>
        </w:rPr>
      </w:pPr>
      <w:bookmarkStart w:id="204" w:name="_Toc23294"/>
      <w:bookmarkStart w:id="205" w:name="_Toc23128"/>
      <w:r>
        <w:rPr>
          <w:rFonts w:hint="eastAsia" w:asciiTheme="minorEastAsia" w:hAnsiTheme="minorEastAsia" w:eastAsiaTheme="minorEastAsia"/>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4"/>
      <w:bookmarkEnd w:id="205"/>
    </w:p>
    <w:p>
      <w:pPr>
        <w:spacing w:line="360" w:lineRule="auto"/>
        <w:ind w:firstLine="482" w:firstLineChars="200"/>
        <w:outlineLvl w:val="0"/>
        <w:rPr>
          <w:rFonts w:asciiTheme="minorEastAsia" w:hAnsiTheme="minorEastAsia" w:eastAsiaTheme="minorEastAsia"/>
          <w:b/>
          <w:color w:val="auto"/>
          <w:sz w:val="24"/>
          <w:highlight w:val="none"/>
        </w:rPr>
      </w:pPr>
      <w:bookmarkStart w:id="206" w:name="_Toc18540"/>
      <w:bookmarkStart w:id="207" w:name="_Toc4355"/>
      <w:bookmarkStart w:id="208" w:name="_Toc30599"/>
      <w:r>
        <w:rPr>
          <w:rFonts w:hint="eastAsia" w:asciiTheme="minorEastAsia" w:hAnsiTheme="minorEastAsia" w:eastAsiaTheme="minorEastAsia"/>
          <w:b/>
          <w:color w:val="auto"/>
          <w:sz w:val="24"/>
          <w:highlight w:val="none"/>
        </w:rPr>
        <w:t>2.19 计量单位</w:t>
      </w:r>
      <w:bookmarkEnd w:id="201"/>
      <w:bookmarkEnd w:id="202"/>
      <w:bookmarkEnd w:id="203"/>
      <w:bookmarkEnd w:id="206"/>
      <w:bookmarkEnd w:id="207"/>
      <w:bookmarkEnd w:id="208"/>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除技术规范中另有规定外,合同的计量单位均使用国家法定计量单位。</w:t>
      </w:r>
    </w:p>
    <w:p>
      <w:pPr>
        <w:spacing w:line="360" w:lineRule="auto"/>
        <w:ind w:firstLine="482" w:firstLineChars="200"/>
        <w:outlineLvl w:val="0"/>
        <w:rPr>
          <w:rFonts w:asciiTheme="minorEastAsia" w:hAnsiTheme="minorEastAsia" w:eastAsiaTheme="minorEastAsia"/>
          <w:b/>
          <w:color w:val="auto"/>
          <w:sz w:val="24"/>
          <w:highlight w:val="none"/>
        </w:rPr>
      </w:pPr>
      <w:bookmarkStart w:id="209" w:name="_Toc259093692"/>
      <w:bookmarkStart w:id="210" w:name="_Toc487900373"/>
      <w:bookmarkStart w:id="211" w:name="_Toc18567"/>
      <w:bookmarkStart w:id="212" w:name="_Toc10330"/>
      <w:bookmarkStart w:id="213" w:name="_Toc279701263"/>
      <w:bookmarkStart w:id="214" w:name="_Toc12773"/>
      <w:r>
        <w:rPr>
          <w:rFonts w:hint="eastAsia" w:asciiTheme="minorEastAsia" w:hAnsiTheme="minorEastAsia" w:eastAsiaTheme="minorEastAsia"/>
          <w:b/>
          <w:color w:val="auto"/>
          <w:sz w:val="24"/>
          <w:highlight w:val="none"/>
        </w:rPr>
        <w:t>2.20 合同使用的文字和适用的法律</w:t>
      </w:r>
      <w:bookmarkEnd w:id="209"/>
      <w:bookmarkEnd w:id="210"/>
      <w:bookmarkEnd w:id="211"/>
      <w:bookmarkEnd w:id="212"/>
      <w:bookmarkEnd w:id="213"/>
      <w:bookmarkEnd w:id="21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2.20.1 合同使用汉语书</w:t>
      </w:r>
      <w:r>
        <w:rPr>
          <w:rFonts w:hint="eastAsia" w:asciiTheme="minorEastAsia" w:hAnsiTheme="minorEastAsia" w:eastAsiaTheme="minorEastAsia"/>
          <w:color w:val="auto"/>
          <w:sz w:val="24"/>
          <w:highlight w:val="none"/>
          <w:lang w:val="en-US" w:eastAsia="zh-CN"/>
        </w:rPr>
        <w:t>进行</w:t>
      </w:r>
      <w:r>
        <w:rPr>
          <w:rFonts w:hint="eastAsia" w:asciiTheme="minorEastAsia" w:hAnsiTheme="minorEastAsia" w:eastAsiaTheme="minorEastAsia"/>
          <w:color w:val="auto"/>
          <w:sz w:val="24"/>
          <w:highlight w:val="none"/>
        </w:rPr>
        <w:t>变更和解释；</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2.20.2 合同适用中华人民共和国法律。</w:t>
      </w:r>
    </w:p>
    <w:p>
      <w:pPr>
        <w:spacing w:line="360" w:lineRule="auto"/>
        <w:ind w:firstLine="482" w:firstLineChars="200"/>
        <w:outlineLvl w:val="0"/>
        <w:rPr>
          <w:rFonts w:asciiTheme="minorEastAsia" w:hAnsiTheme="minorEastAsia" w:eastAsiaTheme="minorEastAsia"/>
          <w:b/>
          <w:color w:val="auto"/>
          <w:sz w:val="24"/>
          <w:highlight w:val="none"/>
        </w:rPr>
      </w:pPr>
      <w:bookmarkStart w:id="215" w:name="_Toc12004"/>
      <w:bookmarkStart w:id="216" w:name="_Toc279701264"/>
      <w:bookmarkStart w:id="217" w:name="_Toc259093693"/>
      <w:bookmarkStart w:id="218" w:name="_Toc16673"/>
      <w:bookmarkStart w:id="219" w:name="_Toc3148"/>
      <w:bookmarkStart w:id="220" w:name="_Toc487900374"/>
      <w:r>
        <w:rPr>
          <w:rFonts w:hint="eastAsia" w:asciiTheme="minorEastAsia" w:hAnsiTheme="minorEastAsia" w:eastAsiaTheme="minorEastAsia"/>
          <w:b/>
          <w:color w:val="auto"/>
          <w:sz w:val="24"/>
          <w:highlight w:val="none"/>
        </w:rPr>
        <w:t>2.21 履约保证金</w:t>
      </w:r>
      <w:bookmarkEnd w:id="215"/>
      <w:bookmarkEnd w:id="216"/>
      <w:bookmarkEnd w:id="217"/>
      <w:bookmarkEnd w:id="218"/>
      <w:bookmarkEnd w:id="219"/>
    </w:p>
    <w:p>
      <w:pPr>
        <w:pStyle w:val="629"/>
        <w:spacing w:before="0" w:beforeAutospacing="0" w:after="0" w:afterAutospacing="0" w:line="360" w:lineRule="auto"/>
        <w:ind w:firstLine="42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2.21.1采购文件要求乙方提交履约保证金的，乙方应按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2.21.2  甲方在项目验收结束后及时退还履约保证金。甲方在项目通过验收之日起</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个工作日内将履约保证金退还乙方，逾期退还的，乙方可要求甲方支付违约金，违约金按每迟延退还一日的应退还而未退还金额的</w:t>
      </w:r>
      <w:r>
        <w:rPr>
          <w:rFonts w:asciiTheme="minorEastAsia" w:hAnsiTheme="minorEastAsia" w:eastAsiaTheme="minorEastAsia"/>
          <w:color w:val="auto"/>
          <w:sz w:val="24"/>
          <w:highlight w:val="none"/>
          <w:u w:val="single"/>
        </w:rPr>
        <w:t>0.05</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2.21.4甲方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pacing w:line="360" w:lineRule="auto"/>
        <w:ind w:firstLine="480"/>
        <w:outlineLvl w:val="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b/>
          <w:color w:val="auto"/>
          <w:sz w:val="24"/>
          <w:highlight w:val="none"/>
        </w:rPr>
        <w:t>2.22 中小企业政策</w:t>
      </w:r>
    </w:p>
    <w:p>
      <w:pPr>
        <w:spacing w:line="360" w:lineRule="auto"/>
        <w:ind w:firstLine="480"/>
        <w:outlineLvl w:val="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2.22.1本合同（□是  □否）为可融资合同。</w:t>
      </w:r>
    </w:p>
    <w:p>
      <w:pPr>
        <w:spacing w:line="360" w:lineRule="auto"/>
        <w:ind w:firstLine="480"/>
        <w:outlineLvl w:val="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2.22.2</w:t>
      </w:r>
      <w:r>
        <w:rPr>
          <w:rFonts w:asciiTheme="minorEastAsia" w:hAnsiTheme="minorEastAsia" w:eastAsiaTheme="minorEastAsia"/>
          <w:color w:val="auto"/>
          <w:kern w:val="0"/>
          <w:sz w:val="24"/>
          <w:highlight w:val="none"/>
          <w:lang w:val="zh-CN"/>
        </w:rPr>
        <w:t xml:space="preserve">本合同（□是  </w:t>
      </w:r>
      <w:r>
        <w:rPr>
          <w:rFonts w:hint="eastAsia" w:asciiTheme="minorEastAsia" w:hAnsiTheme="minorEastAsia" w:eastAsiaTheme="minorEastAsia"/>
          <w:color w:val="auto"/>
          <w:kern w:val="0"/>
          <w:sz w:val="24"/>
          <w:highlight w:val="none"/>
          <w:lang w:val="zh-CN"/>
        </w:rPr>
        <w:t>□否）为中小企业预留合同。</w:t>
      </w:r>
    </w:p>
    <w:bookmarkEnd w:id="220"/>
    <w:p>
      <w:pPr>
        <w:spacing w:line="360" w:lineRule="auto"/>
        <w:ind w:firstLine="482" w:firstLineChars="200"/>
        <w:outlineLvl w:val="0"/>
        <w:rPr>
          <w:rFonts w:asciiTheme="minorEastAsia" w:hAnsiTheme="minorEastAsia" w:eastAsiaTheme="minorEastAsia"/>
          <w:b/>
          <w:color w:val="auto"/>
          <w:sz w:val="24"/>
          <w:highlight w:val="none"/>
        </w:rPr>
      </w:pPr>
      <w:bookmarkStart w:id="221" w:name="_Toc14001"/>
      <w:bookmarkStart w:id="222" w:name="_Toc19890"/>
      <w:bookmarkStart w:id="223" w:name="_Toc6885"/>
      <w:r>
        <w:rPr>
          <w:rFonts w:hint="eastAsia" w:asciiTheme="minorEastAsia" w:hAnsiTheme="minorEastAsia" w:eastAsiaTheme="minorEastAsia"/>
          <w:b/>
          <w:color w:val="auto"/>
          <w:sz w:val="24"/>
          <w:highlight w:val="none"/>
        </w:rPr>
        <w:t>2.23 合同份数</w:t>
      </w:r>
      <w:bookmarkEnd w:id="221"/>
      <w:bookmarkEnd w:id="222"/>
      <w:bookmarkEnd w:id="223"/>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份，甲方执</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份，乙方执</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份。每份均具有同等法律效力。</w:t>
      </w:r>
    </w:p>
    <w:p>
      <w:pPr>
        <w:pStyle w:val="281"/>
        <w:jc w:val="center"/>
        <w:rPr>
          <w:rFonts w:asciiTheme="minorEastAsia" w:hAnsiTheme="minorEastAsia" w:eastAsiaTheme="minorEastAsia"/>
          <w:b/>
          <w:color w:val="auto"/>
          <w:szCs w:val="24"/>
          <w:highlight w:val="none"/>
        </w:rPr>
      </w:pPr>
      <w:r>
        <w:rPr>
          <w:rFonts w:hint="eastAsia" w:asciiTheme="minorEastAsia" w:hAnsiTheme="minorEastAsia" w:eastAsiaTheme="minorEastAsia"/>
          <w:color w:val="auto"/>
          <w:szCs w:val="24"/>
          <w:highlight w:val="none"/>
        </w:rPr>
        <w:br w:type="page"/>
      </w:r>
      <w:bookmarkStart w:id="224" w:name="_Toc331685784"/>
      <w:r>
        <w:rPr>
          <w:rFonts w:hint="eastAsia" w:asciiTheme="minorEastAsia" w:hAnsiTheme="minorEastAsia" w:eastAsiaTheme="minorEastAsia"/>
          <w:b/>
          <w:color w:val="auto"/>
          <w:szCs w:val="24"/>
          <w:highlight w:val="none"/>
        </w:rPr>
        <w:t xml:space="preserve">第三部分  </w:t>
      </w:r>
      <w:r>
        <w:rPr>
          <w:rFonts w:hint="eastAsia" w:asciiTheme="minorEastAsia" w:hAnsiTheme="minorEastAsia" w:eastAsiaTheme="minorEastAsia"/>
          <w:b/>
          <w:color w:val="auto"/>
          <w:highlight w:val="none"/>
        </w:rPr>
        <w:t>※</w:t>
      </w:r>
      <w:r>
        <w:rPr>
          <w:rFonts w:hint="eastAsia" w:asciiTheme="minorEastAsia" w:hAnsiTheme="minorEastAsia" w:eastAsiaTheme="minorEastAsia"/>
          <w:b/>
          <w:color w:val="auto"/>
          <w:szCs w:val="24"/>
          <w:highlight w:val="none"/>
        </w:rPr>
        <w:t>合同专用条款</w:t>
      </w:r>
      <w:bookmarkEnd w:id="224"/>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条款号</w:t>
            </w:r>
          </w:p>
        </w:tc>
        <w:tc>
          <w:tcPr>
            <w:tcW w:w="8185" w:type="dxa"/>
            <w:vAlign w:val="center"/>
          </w:tcPr>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1.4.4</w:t>
            </w:r>
          </w:p>
        </w:tc>
        <w:tc>
          <w:tcPr>
            <w:tcW w:w="8185" w:type="dxa"/>
          </w:tcPr>
          <w:p>
            <w:pPr>
              <w:spacing w:line="360" w:lineRule="auto"/>
              <w:outlineLvl w:val="0"/>
              <w:rPr>
                <w:rFonts w:hint="default" w:cs="仿宋_GB2312"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资金支付的方式、时间和条件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银行转账</w:t>
            </w:r>
            <w:r>
              <w:rPr>
                <w:rFonts w:hint="eastAsia" w:cs="Times New Roman" w:asciiTheme="minorEastAsia" w:hAnsiTheme="minorEastAsia" w:eastAsiaTheme="minorEastAsia"/>
                <w:color w:val="auto"/>
                <w:sz w:val="24"/>
                <w:highlight w:val="none"/>
                <w:lang w:val="en-US" w:eastAsia="zh-CN"/>
              </w:rPr>
              <w:t>，具体详见</w:t>
            </w:r>
            <w:r>
              <w:rPr>
                <w:rFonts w:hint="eastAsia" w:cs="Times New Roman" w:asciiTheme="minorEastAsia" w:hAnsiTheme="minorEastAsia" w:eastAsiaTheme="minorEastAsia"/>
                <w:color w:val="auto"/>
                <w:sz w:val="24"/>
                <w:highlight w:val="none"/>
              </w:rPr>
              <w:t>结算方式和付款条件</w:t>
            </w:r>
            <w:r>
              <w:rPr>
                <w:rFonts w:hint="eastAsia" w:cs="Times New Roman" w:asciiTheme="minorEastAsia" w:hAnsiTheme="minorEastAsia" w:eastAsiaTheme="minorEastAsia"/>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1.5.1</w:t>
            </w:r>
          </w:p>
        </w:tc>
        <w:tc>
          <w:tcPr>
            <w:tcW w:w="8185" w:type="dxa"/>
          </w:tcPr>
          <w:p>
            <w:pPr>
              <w:spacing w:line="360" w:lineRule="auto"/>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履行期限：</w:t>
            </w:r>
            <w:r>
              <w:rPr>
                <w:rFonts w:hint="eastAsia" w:ascii="宋体" w:hAnsi="宋体" w:cs="宋体"/>
                <w:bCs/>
                <w:color w:val="auto"/>
                <w:sz w:val="24"/>
                <w:szCs w:val="24"/>
                <w:highlight w:val="none"/>
                <w:lang w:val="en-US" w:eastAsia="zh-CN"/>
              </w:rPr>
              <w:t>2023年3月27日至2024年3月26日</w:t>
            </w:r>
            <w:r>
              <w:rPr>
                <w:rFonts w:hint="eastAsia" w:asciiTheme="minorEastAsia" w:hAnsiTheme="minorEastAsia" w:eastAsiaTheme="minorEastAsia"/>
                <w:color w:val="auto"/>
                <w:sz w:val="24"/>
                <w:highlight w:val="none"/>
                <w:lang w:val="en-US" w:eastAsia="zh-CN"/>
              </w:rPr>
              <w:t>。</w:t>
            </w:r>
            <w:r>
              <w:rPr>
                <w:rFonts w:hint="eastAsia" w:ascii="宋体" w:hAnsi="宋体" w:eastAsia="宋体" w:cs="宋体"/>
                <w:bCs/>
                <w:color w:val="auto"/>
                <w:sz w:val="24"/>
                <w:szCs w:val="24"/>
                <w:highlight w:val="none"/>
              </w:rPr>
              <w:t>服务时间满</w:t>
            </w:r>
            <w:r>
              <w:rPr>
                <w:rFonts w:hint="eastAsia" w:ascii="宋体" w:hAnsi="宋体" w:eastAsia="宋体" w:cs="宋体"/>
                <w:bCs/>
                <w:color w:val="auto"/>
                <w:sz w:val="24"/>
                <w:szCs w:val="24"/>
                <w:highlight w:val="none"/>
                <w:lang w:val="en-US" w:eastAsia="zh-CN"/>
              </w:rPr>
              <w:t>半</w:t>
            </w:r>
            <w:r>
              <w:rPr>
                <w:rFonts w:hint="eastAsia" w:ascii="宋体" w:hAnsi="宋体" w:eastAsia="宋体" w:cs="宋体"/>
                <w:bCs/>
                <w:color w:val="auto"/>
                <w:sz w:val="24"/>
                <w:szCs w:val="24"/>
                <w:highlight w:val="none"/>
              </w:rPr>
              <w:t>年需接受</w:t>
            </w:r>
            <w:r>
              <w:rPr>
                <w:rFonts w:hint="eastAsia" w:ascii="宋体" w:hAnsi="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评估</w:t>
            </w:r>
            <w:r>
              <w:rPr>
                <w:rFonts w:hint="eastAsia" w:ascii="宋体" w:hAnsi="宋体" w:eastAsia="宋体" w:cs="宋体"/>
                <w:bCs/>
                <w:color w:val="auto"/>
                <w:sz w:val="24"/>
                <w:szCs w:val="24"/>
                <w:highlight w:val="none"/>
              </w:rPr>
              <w:t>，如未通过</w:t>
            </w:r>
            <w:r>
              <w:rPr>
                <w:rFonts w:hint="eastAsia" w:ascii="宋体" w:hAnsi="宋体" w:eastAsia="宋体" w:cs="宋体"/>
                <w:bCs/>
                <w:color w:val="auto"/>
                <w:sz w:val="24"/>
                <w:szCs w:val="24"/>
                <w:highlight w:val="none"/>
                <w:lang w:eastAsia="zh-CN"/>
              </w:rPr>
              <w:t>评估</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甲方</w:t>
            </w:r>
            <w:r>
              <w:rPr>
                <w:rFonts w:hint="eastAsia" w:ascii="宋体" w:hAnsi="宋体" w:eastAsia="宋体" w:cs="宋体"/>
                <w:bCs/>
                <w:color w:val="auto"/>
                <w:sz w:val="24"/>
                <w:szCs w:val="24"/>
                <w:highlight w:val="none"/>
              </w:rPr>
              <w:t>有权提前解除合同。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履行地点：</w:t>
            </w:r>
            <w:r>
              <w:rPr>
                <w:rFonts w:hint="eastAsia" w:asciiTheme="minorEastAsia" w:hAnsiTheme="minorEastAsia" w:eastAsiaTheme="minorEastAsia"/>
                <w:color w:val="auto"/>
                <w:sz w:val="24"/>
                <w:highlight w:val="none"/>
                <w:lang w:val="en-US" w:eastAsia="zh-CN"/>
              </w:rPr>
              <w:t>甲方</w:t>
            </w:r>
            <w:r>
              <w:rPr>
                <w:rFonts w:hint="eastAsia" w:asciiTheme="minorEastAsia" w:hAnsiTheme="minorEastAsia" w:eastAsiaTheme="minorEastAsia"/>
                <w:color w:val="auto"/>
                <w:sz w:val="24"/>
                <w:highlight w:val="none"/>
              </w:rPr>
              <w:t>及其指定地点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1.5.3</w:t>
            </w:r>
          </w:p>
        </w:tc>
        <w:tc>
          <w:tcPr>
            <w:tcW w:w="8185" w:type="dxa"/>
          </w:tcPr>
          <w:p>
            <w:pPr>
              <w:spacing w:line="360" w:lineRule="auto"/>
              <w:rPr>
                <w:rFonts w:hint="default" w:cs="仿宋_GB2312"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color w:val="auto"/>
                <w:sz w:val="24"/>
                <w:highlight w:val="none"/>
                <w:lang w:val="en-US" w:eastAsia="zh-CN"/>
              </w:rPr>
              <w:t>根据甲方具体安排提供驻场等服务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w:t>
            </w:r>
          </w:p>
        </w:tc>
        <w:tc>
          <w:tcPr>
            <w:tcW w:w="8185" w:type="dxa"/>
          </w:tcPr>
          <w:p>
            <w:pPr>
              <w:spacing w:line="360" w:lineRule="auto"/>
              <w:rPr>
                <w:rFonts w:hint="default" w:cs="仿宋_GB2312"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1.7.1或1.7.2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1.7.1</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color w:val="auto"/>
                <w:sz w:val="24"/>
                <w:highlight w:val="none"/>
                <w:u w:val="single"/>
                <w:lang w:val="en-US" w:eastAsia="zh-CN"/>
              </w:rPr>
              <w:t>甲方所在地</w:t>
            </w:r>
            <w:r>
              <w:rPr>
                <w:rFonts w:hint="eastAsia" w:asciiTheme="minorEastAsia" w:hAnsiTheme="minorEastAsia" w:eastAsiaTheme="minorEastAsia"/>
                <w:color w:val="auto"/>
                <w:sz w:val="24"/>
                <w:highlight w:val="none"/>
              </w:rPr>
              <w:t>仲裁委员会依申请仲裁时其现行有效的仲裁规则裁决；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1.7.2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color w:val="auto"/>
                <w:sz w:val="24"/>
                <w:highlight w:val="none"/>
                <w:u w:val="single"/>
                <w:lang w:val="en-US" w:eastAsia="zh-CN"/>
              </w:rPr>
              <w:t>甲方所在地</w:t>
            </w:r>
            <w:r>
              <w:rPr>
                <w:rFonts w:hint="eastAsia" w:asciiTheme="minorEastAsia" w:hAnsiTheme="minorEastAsia" w:eastAsiaTheme="minorEastAsia"/>
                <w:color w:val="auto"/>
                <w:sz w:val="24"/>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2.3.2</w:t>
            </w:r>
          </w:p>
        </w:tc>
        <w:tc>
          <w:tcPr>
            <w:tcW w:w="8185" w:type="dxa"/>
          </w:tcPr>
          <w:p>
            <w:pPr>
              <w:spacing w:line="360" w:lineRule="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乙方</w:t>
            </w:r>
            <w:r>
              <w:rPr>
                <w:rFonts w:hint="eastAsia" w:cs="仿宋_GB2312" w:asciiTheme="minorEastAsia" w:hAnsiTheme="minorEastAsia" w:eastAsiaTheme="minorEastAsia"/>
                <w:color w:val="auto"/>
                <w:sz w:val="24"/>
                <w:highlight w:val="none"/>
                <w:lang w:eastAsia="zh-CN"/>
              </w:rPr>
              <w:t>必须保证遵守知识产权保护规定，因知识产权引起的纠纷由</w:t>
            </w:r>
            <w:r>
              <w:rPr>
                <w:rFonts w:hint="eastAsia" w:cs="仿宋_GB2312" w:asciiTheme="minorEastAsia" w:hAnsiTheme="minorEastAsia" w:eastAsiaTheme="minorEastAsia"/>
                <w:color w:val="auto"/>
                <w:sz w:val="24"/>
                <w:highlight w:val="none"/>
                <w:lang w:val="en-US" w:eastAsia="zh-CN"/>
              </w:rPr>
              <w:t>乙方</w:t>
            </w:r>
            <w:r>
              <w:rPr>
                <w:rFonts w:hint="eastAsia" w:cs="仿宋_GB2312" w:asciiTheme="minorEastAsia" w:hAnsiTheme="minorEastAsia" w:eastAsiaTheme="minorEastAsia"/>
                <w:color w:val="auto"/>
                <w:sz w:val="24"/>
                <w:highlight w:val="none"/>
                <w:lang w:eastAsia="zh-CN"/>
              </w:rPr>
              <w:t>负全部责任。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2.4.1</w:t>
            </w:r>
          </w:p>
        </w:tc>
        <w:tc>
          <w:tcPr>
            <w:tcW w:w="8185" w:type="dxa"/>
          </w:tcPr>
          <w:p>
            <w:pPr>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2.4.2</w:t>
            </w:r>
          </w:p>
        </w:tc>
        <w:tc>
          <w:tcPr>
            <w:tcW w:w="8185" w:type="dxa"/>
          </w:tcPr>
          <w:p>
            <w:pPr>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2.6</w:t>
            </w:r>
          </w:p>
        </w:tc>
        <w:tc>
          <w:tcPr>
            <w:tcW w:w="8185" w:type="dxa"/>
          </w:tcPr>
          <w:p>
            <w:pPr>
              <w:spacing w:line="360" w:lineRule="auto"/>
              <w:outlineLvl w:val="0"/>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结算方式和付款条件</w:t>
            </w:r>
            <w:r>
              <w:rPr>
                <w:rFonts w:hint="eastAsia" w:asciiTheme="minorEastAsia" w:hAnsiTheme="minorEastAsia" w:eastAsiaTheme="minorEastAsia"/>
                <w:b/>
                <w:color w:val="auto"/>
                <w:sz w:val="24"/>
                <w:highlight w:val="none"/>
                <w:lang w:eastAsia="zh-CN"/>
              </w:rPr>
              <w:t>：</w:t>
            </w:r>
          </w:p>
          <w:p>
            <w:pPr>
              <w:spacing w:line="360" w:lineRule="auto"/>
              <w:ind w:firstLine="240" w:firstLineChars="1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正式签署合同</w:t>
            </w:r>
            <w:r>
              <w:rPr>
                <w:rFonts w:hint="eastAsia" w:cs="仿宋_GB2312" w:asciiTheme="minorEastAsia" w:hAnsiTheme="minorEastAsia" w:eastAsiaTheme="minorEastAsia"/>
                <w:color w:val="auto"/>
                <w:sz w:val="24"/>
                <w:highlight w:val="none"/>
                <w:lang w:val="en-US" w:eastAsia="zh-CN"/>
              </w:rPr>
              <w:t>后</w:t>
            </w:r>
            <w:r>
              <w:rPr>
                <w:rFonts w:hint="eastAsia" w:cs="仿宋_GB2312" w:asciiTheme="minorEastAsia" w:hAnsiTheme="minorEastAsia" w:eastAsiaTheme="minorEastAsia"/>
                <w:color w:val="auto"/>
                <w:sz w:val="24"/>
                <w:highlight w:val="none"/>
              </w:rPr>
              <w:t>5个工作日内</w:t>
            </w:r>
            <w:r>
              <w:rPr>
                <w:rFonts w:hint="eastAsia" w:ascii="宋体" w:hAnsi="宋体" w:eastAsia="宋体" w:cs="宋体"/>
                <w:bCs/>
                <w:color w:val="auto"/>
                <w:kern w:val="2"/>
                <w:sz w:val="24"/>
                <w:szCs w:val="24"/>
                <w:highlight w:val="none"/>
              </w:rPr>
              <w:t>，</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支付</w:t>
            </w:r>
            <w:r>
              <w:rPr>
                <w:rFonts w:hint="eastAsia" w:ascii="宋体" w:hAnsi="宋体" w:cs="宋体"/>
                <w:bCs/>
                <w:color w:val="auto"/>
                <w:kern w:val="2"/>
                <w:sz w:val="24"/>
                <w:szCs w:val="24"/>
                <w:highlight w:val="none"/>
                <w:lang w:val="en-US" w:eastAsia="zh-CN"/>
              </w:rPr>
              <w:t>乙方</w:t>
            </w:r>
            <w:r>
              <w:rPr>
                <w:rFonts w:hint="eastAsia" w:ascii="宋体" w:hAnsi="宋体" w:eastAsia="宋体" w:cs="宋体"/>
                <w:bCs/>
                <w:color w:val="auto"/>
                <w:kern w:val="2"/>
                <w:sz w:val="24"/>
                <w:szCs w:val="24"/>
                <w:highlight w:val="none"/>
              </w:rPr>
              <w:t>合同金额的</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0%，</w:t>
            </w:r>
            <w:r>
              <w:rPr>
                <w:rFonts w:hint="eastAsia" w:ascii="宋体" w:hAnsi="宋体" w:eastAsia="宋体" w:cs="宋体"/>
                <w:bCs/>
                <w:color w:val="auto"/>
                <w:kern w:val="2"/>
                <w:sz w:val="24"/>
                <w:szCs w:val="24"/>
                <w:highlight w:val="none"/>
                <w:lang w:val="en-US" w:eastAsia="zh-CN"/>
              </w:rPr>
              <w:t>2023年1</w:t>
            </w:r>
            <w:r>
              <w:rPr>
                <w:rFonts w:hint="eastAsia" w:ascii="宋体" w:hAnsi="宋体" w:cs="宋体"/>
                <w:bCs/>
                <w:color w:val="auto"/>
                <w:kern w:val="2"/>
                <w:sz w:val="24"/>
                <w:szCs w:val="24"/>
                <w:highlight w:val="none"/>
                <w:lang w:val="en-US" w:eastAsia="zh-CN"/>
              </w:rPr>
              <w:t>1月底前</w:t>
            </w:r>
            <w:r>
              <w:rPr>
                <w:rFonts w:hint="eastAsia" w:ascii="宋体" w:hAnsi="宋体" w:eastAsia="宋体" w:cs="宋体"/>
                <w:bCs/>
                <w:color w:val="auto"/>
                <w:kern w:val="2"/>
                <w:sz w:val="24"/>
                <w:szCs w:val="24"/>
                <w:highlight w:val="none"/>
                <w:lang w:val="en-US" w:eastAsia="zh-CN"/>
              </w:rPr>
              <w:t>，</w:t>
            </w:r>
            <w:r>
              <w:rPr>
                <w:rFonts w:hint="eastAsia" w:ascii="宋体" w:hAnsi="宋体" w:eastAsia="宋体" w:cs="宋体"/>
                <w:bCs/>
                <w:color w:val="auto"/>
                <w:kern w:val="2"/>
                <w:sz w:val="24"/>
                <w:szCs w:val="24"/>
                <w:highlight w:val="none"/>
              </w:rPr>
              <w:t>项目</w:t>
            </w:r>
            <w:r>
              <w:rPr>
                <w:rFonts w:hint="eastAsia" w:ascii="宋体" w:hAnsi="宋体" w:cs="宋体"/>
                <w:bCs/>
                <w:color w:val="auto"/>
                <w:kern w:val="2"/>
                <w:sz w:val="24"/>
                <w:szCs w:val="24"/>
                <w:highlight w:val="none"/>
                <w:lang w:val="en-US" w:eastAsia="zh-CN"/>
              </w:rPr>
              <w:t>中期</w:t>
            </w:r>
            <w:r>
              <w:rPr>
                <w:rFonts w:hint="eastAsia" w:ascii="宋体" w:hAnsi="宋体" w:eastAsia="宋体" w:cs="宋体"/>
                <w:bCs/>
                <w:color w:val="auto"/>
                <w:kern w:val="2"/>
                <w:sz w:val="24"/>
                <w:szCs w:val="24"/>
                <w:highlight w:val="none"/>
              </w:rPr>
              <w:t>验收合格后一次性向</w:t>
            </w:r>
            <w:r>
              <w:rPr>
                <w:rFonts w:hint="eastAsia" w:ascii="宋体" w:hAnsi="宋体" w:cs="宋体"/>
                <w:bCs/>
                <w:color w:val="auto"/>
                <w:kern w:val="2"/>
                <w:sz w:val="24"/>
                <w:szCs w:val="24"/>
                <w:highlight w:val="none"/>
                <w:lang w:val="en-US" w:eastAsia="zh-CN"/>
              </w:rPr>
              <w:t>乙方</w:t>
            </w:r>
            <w:r>
              <w:rPr>
                <w:rFonts w:hint="eastAsia" w:ascii="宋体" w:hAnsi="宋体" w:eastAsia="宋体" w:cs="宋体"/>
                <w:bCs/>
                <w:color w:val="auto"/>
                <w:kern w:val="2"/>
                <w:sz w:val="24"/>
                <w:szCs w:val="24"/>
                <w:highlight w:val="none"/>
              </w:rPr>
              <w:t>支付合同余款。</w:t>
            </w:r>
            <w:r>
              <w:rPr>
                <w:rFonts w:hint="eastAsia" w:ascii="宋体" w:hAnsi="宋体" w:cs="宋体"/>
                <w:bCs/>
                <w:color w:val="auto"/>
                <w:kern w:val="2"/>
                <w:sz w:val="24"/>
                <w:szCs w:val="24"/>
                <w:highlight w:val="none"/>
                <w:lang w:val="en-US" w:eastAsia="zh-CN"/>
              </w:rPr>
              <w:t>乙方</w:t>
            </w:r>
            <w:r>
              <w:rPr>
                <w:rFonts w:hint="eastAsia" w:ascii="宋体" w:hAnsi="宋体" w:eastAsia="宋体" w:cs="宋体"/>
                <w:bCs/>
                <w:color w:val="auto"/>
                <w:kern w:val="2"/>
                <w:sz w:val="24"/>
                <w:szCs w:val="24"/>
                <w:highlight w:val="none"/>
              </w:rPr>
              <w:t>应在</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付款前向</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开具同等金额增值税发票，</w:t>
            </w:r>
            <w:r>
              <w:rPr>
                <w:rFonts w:hint="eastAsia" w:ascii="宋体" w:hAnsi="宋体" w:cs="宋体"/>
                <w:bCs/>
                <w:color w:val="auto"/>
                <w:kern w:val="2"/>
                <w:sz w:val="24"/>
                <w:szCs w:val="24"/>
                <w:highlight w:val="none"/>
                <w:lang w:val="en-US" w:eastAsia="zh-CN"/>
              </w:rPr>
              <w:t>甲方</w:t>
            </w:r>
            <w:r>
              <w:rPr>
                <w:rFonts w:hint="eastAsia" w:ascii="宋体" w:hAnsi="宋体" w:eastAsia="宋体" w:cs="宋体"/>
                <w:bCs/>
                <w:color w:val="auto"/>
                <w:kern w:val="2"/>
                <w:sz w:val="24"/>
                <w:szCs w:val="24"/>
                <w:highlight w:val="none"/>
              </w:rPr>
              <w:t>收到发票后须在上述约定时间内支付款项。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2.9</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2.13.2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受不可抗力影响的一方在不可抗力发生后，应在</w:t>
            </w:r>
            <w:r>
              <w:rPr>
                <w:rFonts w:hint="eastAsia" w:asciiTheme="minorEastAsia" w:hAnsiTheme="minorEastAsia" w:eastAsiaTheme="minorEastAsia"/>
                <w:b/>
                <w:i/>
                <w:color w:val="auto"/>
                <w:sz w:val="24"/>
                <w:highlight w:val="none"/>
                <w:u w:val="single"/>
                <w:lang w:val="en-US" w:eastAsia="zh-CN"/>
              </w:rPr>
              <w:t>7个工作日内</w:t>
            </w:r>
            <w:r>
              <w:rPr>
                <w:rFonts w:hint="eastAsia" w:asciiTheme="minorEastAsia" w:hAnsiTheme="minorEastAsia" w:eastAsiaTheme="minorEastAsia"/>
                <w:color w:val="auto"/>
                <w:sz w:val="24"/>
                <w:highlight w:val="none"/>
              </w:rPr>
              <w:t>内以书面形式通知对方当事人，并在</w:t>
            </w:r>
            <w:r>
              <w:rPr>
                <w:rFonts w:hint="eastAsia" w:asciiTheme="minorEastAsia" w:hAnsiTheme="minorEastAsia" w:eastAsiaTheme="minorEastAsia"/>
                <w:b/>
                <w:i/>
                <w:color w:val="auto"/>
                <w:sz w:val="24"/>
                <w:highlight w:val="none"/>
                <w:u w:val="single"/>
                <w:lang w:val="en-US" w:eastAsia="zh-CN"/>
              </w:rPr>
              <w:t>15个工作日内</w:t>
            </w:r>
            <w:r>
              <w:rPr>
                <w:rFonts w:hint="eastAsia" w:asciiTheme="minorEastAsia" w:hAnsiTheme="minorEastAsia" w:eastAsiaTheme="minorEastAsia"/>
                <w:color w:val="auto"/>
                <w:sz w:val="24"/>
                <w:highlight w:val="none"/>
              </w:rPr>
              <w:t>时间内，将有关部门出具的证明文件送达对方当事人。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2.13.4</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因不可抗力致使合同有变更必要的，双方当事人应在</w:t>
            </w:r>
            <w:r>
              <w:rPr>
                <w:rFonts w:hint="eastAsia" w:asciiTheme="minorEastAsia" w:hAnsiTheme="minorEastAsia" w:eastAsiaTheme="minorEastAsia"/>
                <w:b/>
                <w:i/>
                <w:color w:val="auto"/>
                <w:sz w:val="24"/>
                <w:highlight w:val="none"/>
                <w:u w:val="single"/>
                <w:lang w:val="en-US" w:eastAsia="zh-CN"/>
              </w:rPr>
              <w:t>15个工作日内</w:t>
            </w:r>
            <w:r>
              <w:rPr>
                <w:rFonts w:hint="eastAsia" w:asciiTheme="minorEastAsia" w:hAnsiTheme="minorEastAsia" w:eastAsiaTheme="minorEastAsia"/>
                <w:color w:val="auto"/>
                <w:sz w:val="24"/>
                <w:highlight w:val="none"/>
              </w:rPr>
              <w:t>以书面形式变更合同；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2.17.1</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乙方在</w:t>
            </w:r>
            <w:r>
              <w:rPr>
                <w:rFonts w:hint="eastAsia" w:asciiTheme="minorEastAsia" w:hAnsiTheme="minorEastAsia" w:eastAsiaTheme="minorEastAsia"/>
                <w:b/>
                <w:i/>
                <w:color w:val="auto"/>
                <w:sz w:val="24"/>
                <w:highlight w:val="none"/>
                <w:u w:val="single"/>
                <w:lang w:val="en-US" w:eastAsia="zh-CN"/>
              </w:rPr>
              <w:t>甲方指定时间</w:t>
            </w:r>
            <w:r>
              <w:rPr>
                <w:rFonts w:hint="eastAsia" w:asciiTheme="minorEastAsia" w:hAnsiTheme="minorEastAsia" w:eastAsiaTheme="minorEastAsia"/>
                <w:color w:val="auto"/>
                <w:sz w:val="24"/>
                <w:highlight w:val="none"/>
              </w:rPr>
              <w:t>内组织验收，并可依法邀请相关方参加，验收应出具验收书。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2.17.3</w:t>
            </w:r>
          </w:p>
        </w:tc>
        <w:tc>
          <w:tcPr>
            <w:tcW w:w="8185" w:type="dxa"/>
          </w:tcPr>
          <w:p>
            <w:pPr>
              <w:tabs>
                <w:tab w:val="left" w:pos="360"/>
                <w:tab w:val="left" w:pos="540"/>
                <w:tab w:val="left" w:pos="1080"/>
              </w:tabs>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验收由甲方负责实施。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2.21.1</w:t>
            </w:r>
          </w:p>
        </w:tc>
        <w:tc>
          <w:tcPr>
            <w:tcW w:w="8185" w:type="dxa"/>
          </w:tcPr>
          <w:p>
            <w:pPr>
              <w:spacing w:line="360" w:lineRule="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不适用。本项目不收取履约保证金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2.21.2</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不适用。本项目不收取履约保证金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2.23</w:t>
            </w:r>
          </w:p>
        </w:tc>
        <w:tc>
          <w:tcPr>
            <w:tcW w:w="8185" w:type="dxa"/>
          </w:tcPr>
          <w:p>
            <w:pPr>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本合同一式</w:t>
            </w:r>
            <w:r>
              <w:rPr>
                <w:rFonts w:hint="eastAsia" w:asciiTheme="minorEastAsia" w:hAnsiTheme="minorEastAsia" w:eastAsiaTheme="minorEastAsia"/>
                <w:color w:val="auto"/>
                <w:sz w:val="24"/>
                <w:highlight w:val="none"/>
                <w:u w:val="single"/>
                <w:lang w:val="en-US" w:eastAsia="zh-CN"/>
              </w:rPr>
              <w:t>陆</w:t>
            </w:r>
            <w:r>
              <w:rPr>
                <w:rFonts w:hint="eastAsia" w:asciiTheme="minorEastAsia" w:hAnsiTheme="minorEastAsia" w:eastAsiaTheme="minorEastAsia"/>
                <w:color w:val="auto"/>
                <w:sz w:val="24"/>
                <w:highlight w:val="none"/>
              </w:rPr>
              <w:t>份，甲方执</w:t>
            </w:r>
            <w:r>
              <w:rPr>
                <w:rFonts w:hint="eastAsia" w:asciiTheme="minorEastAsia" w:hAnsiTheme="minorEastAsia" w:eastAsiaTheme="minorEastAsia"/>
                <w:color w:val="auto"/>
                <w:sz w:val="24"/>
                <w:highlight w:val="none"/>
                <w:u w:val="single"/>
                <w:lang w:val="en-US" w:eastAsia="zh-CN"/>
              </w:rPr>
              <w:t>叁</w:t>
            </w:r>
            <w:r>
              <w:rPr>
                <w:rFonts w:hint="eastAsia" w:asciiTheme="minorEastAsia" w:hAnsiTheme="minorEastAsia" w:eastAsiaTheme="minorEastAsia"/>
                <w:color w:val="auto"/>
                <w:sz w:val="24"/>
                <w:highlight w:val="none"/>
              </w:rPr>
              <w:t>份，乙方执</w:t>
            </w:r>
            <w:r>
              <w:rPr>
                <w:rFonts w:hint="eastAsia" w:asciiTheme="minorEastAsia" w:hAnsiTheme="minorEastAsia" w:eastAsiaTheme="minorEastAsia"/>
                <w:color w:val="auto"/>
                <w:sz w:val="24"/>
                <w:highlight w:val="none"/>
                <w:u w:val="single"/>
                <w:lang w:val="en-US" w:eastAsia="zh-CN"/>
              </w:rPr>
              <w:t>叁</w:t>
            </w:r>
            <w:r>
              <w:rPr>
                <w:rFonts w:hint="eastAsia" w:asciiTheme="minorEastAsia" w:hAnsiTheme="minorEastAsia" w:eastAsiaTheme="minorEastAsia"/>
                <w:color w:val="auto"/>
                <w:sz w:val="24"/>
                <w:highlight w:val="none"/>
              </w:rPr>
              <w:t>份。每份均具有同等法律效力。</w:t>
            </w:r>
          </w:p>
        </w:tc>
      </w:tr>
    </w:tbl>
    <w:p>
      <w:pPr>
        <w:widowControl/>
        <w:adjustRightInd/>
        <w:jc w:val="left"/>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pPr>
        <w:spacing w:line="360" w:lineRule="auto"/>
        <w:rPr>
          <w:rFonts w:cs="仿宋_GB2312" w:asciiTheme="minorEastAsia" w:hAnsiTheme="minorEastAsia" w:eastAsiaTheme="minorEastAsia"/>
          <w:color w:val="auto"/>
          <w:sz w:val="24"/>
          <w:highlight w:val="none"/>
        </w:rPr>
      </w:pPr>
    </w:p>
    <w:p>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）所有资信文件（复印件）…………………………………………………（页码）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pPr>
        <w:pStyle w:val="183"/>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eastAsia="zh-CN"/>
        </w:rPr>
        <w:t>服务方案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9</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0</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1</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lang w:val="en-US" w:eastAsia="zh-CN"/>
        </w:rPr>
        <w:t>2</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浙江省红十字会宣传传播载体运营维护项目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ZHZB-2023SHSZH-01</w:t>
      </w:r>
      <w:r>
        <w:rPr>
          <w:rFonts w:hint="eastAsia" w:cs="仿宋_GB2312" w:asciiTheme="minorEastAsia" w:hAnsiTheme="minorEastAsia" w:eastAsiaTheme="minorEastAsia"/>
          <w:color w:val="auto"/>
          <w:sz w:val="24"/>
          <w:highlight w:val="none"/>
        </w:rPr>
        <w:t>】的有关活动，并对此项目进行响应。为此：</w:t>
      </w:r>
    </w:p>
    <w:p>
      <w:pPr>
        <w:pStyle w:val="107"/>
        <w:numPr>
          <w:ilvl w:val="0"/>
          <w:numId w:val="9"/>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pPr>
        <w:numPr>
          <w:ilvl w:val="0"/>
          <w:numId w:val="9"/>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pPr>
        <w:numPr>
          <w:ilvl w:val="0"/>
          <w:numId w:val="9"/>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pPr>
        <w:autoSpaceDE w:val="0"/>
        <w:autoSpaceDN w:val="0"/>
        <w:spacing w:line="360" w:lineRule="auto"/>
        <w:rPr>
          <w:rFonts w:cs="仿宋_GB2312" w:asciiTheme="minorEastAsia" w:hAnsiTheme="minorEastAsia" w:eastAsiaTheme="minorEastAsia"/>
          <w:color w:val="auto"/>
          <w:kern w:val="0"/>
          <w:sz w:val="24"/>
          <w:highlight w:val="none"/>
        </w:rPr>
      </w:pPr>
    </w:p>
    <w:p>
      <w:pPr>
        <w:pStyle w:val="117"/>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18"/>
          <w:szCs w:val="18"/>
          <w:highlight w:val="none"/>
        </w:rPr>
      </w:pPr>
    </w:p>
    <w:p>
      <w:pPr>
        <w:spacing w:line="360" w:lineRule="auto"/>
        <w:rPr>
          <w:rFonts w:cs="仿宋_GB2312" w:asciiTheme="minorEastAsia" w:hAnsiTheme="minorEastAsia" w:eastAsiaTheme="minorEastAsia"/>
          <w:color w:val="auto"/>
          <w:sz w:val="18"/>
          <w:szCs w:val="18"/>
          <w:highlight w:val="none"/>
        </w:rPr>
      </w:pPr>
    </w:p>
    <w:p>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pPr>
        <w:pStyle w:val="107"/>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宋体" w:asciiTheme="minorEastAsia" w:hAnsiTheme="minorEastAsia" w:eastAsiaTheme="minorEastAsia"/>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浙江省红十字会宣传传播载体运营维护项目</w:t>
      </w:r>
      <w:r>
        <w:rPr>
          <w:rFonts w:hint="eastAsia" w:cs="仿宋_GB2312" w:asciiTheme="minorEastAsia" w:hAnsiTheme="minorEastAsia" w:eastAsiaTheme="minorEastAsia"/>
          <w:color w:val="auto"/>
          <w:kern w:val="0"/>
          <w:sz w:val="24"/>
          <w:highlight w:val="none"/>
          <w:lang w:val="zh-CN"/>
        </w:rPr>
        <w:t>【项目编号：ZHZB-2023SHSZH-01】</w:t>
      </w:r>
      <w:r>
        <w:rPr>
          <w:rFonts w:hint="eastAsia" w:cs="宋体" w:asciiTheme="minorEastAsia" w:hAnsiTheme="minorEastAsia" w:eastAsiaTheme="minorEastAsia"/>
          <w:color w:val="auto"/>
          <w:sz w:val="24"/>
          <w:highlight w:val="none"/>
        </w:rPr>
        <w:t>政府采购活动，郑重承诺：</w:t>
      </w:r>
    </w:p>
    <w:p>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snapToGrid w:val="0"/>
        <w:spacing w:line="360" w:lineRule="auto"/>
        <w:ind w:right="480"/>
        <w:jc w:val="center"/>
        <w:rPr>
          <w:rFonts w:cs="仿宋_GB2312" w:asciiTheme="minorEastAsia" w:hAnsiTheme="minorEastAsia" w:eastAsiaTheme="minorEastAsia"/>
          <w:b/>
          <w:color w:val="auto"/>
          <w:sz w:val="32"/>
          <w:szCs w:val="32"/>
          <w:highlight w:val="none"/>
        </w:rPr>
      </w:pPr>
    </w:p>
    <w:p>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lang w:val="en-US" w:eastAsia="zh-CN"/>
        </w:rPr>
        <w:t>B</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落实政府采购政策需满足的资格要求</w:t>
      </w:r>
    </w:p>
    <w:p>
      <w:pPr>
        <w:snapToGrid w:val="0"/>
        <w:spacing w:before="50" w:after="50" w:line="360" w:lineRule="auto"/>
        <w:ind w:firstLine="472" w:firstLineChars="196"/>
        <w:jc w:val="left"/>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 xml:space="preserve">.专门面向中小企业，服务全部由符合政策要求的中小企业（或小微企业）承接的，提供相应的中小企业声明函。 </w:t>
      </w:r>
    </w:p>
    <w:p>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pPr>
        <w:spacing w:line="360" w:lineRule="auto"/>
        <w:jc w:val="center"/>
        <w:rPr>
          <w:rFonts w:cs="宋体" w:asciiTheme="minorEastAsia" w:hAnsiTheme="minorEastAsia" w:eastAsiaTheme="minorEastAsia"/>
          <w:b/>
          <w:color w:val="auto"/>
          <w:sz w:val="32"/>
          <w:szCs w:val="32"/>
          <w:highlight w:val="none"/>
        </w:rPr>
      </w:pPr>
    </w:p>
    <w:p>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浙江省红十字会</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浙江省红十字会宣传传播载体运营维护项目</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浙江省红十字会机关新媒体平台运维服</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（十六）其他未列明</w:t>
      </w:r>
      <w:r>
        <w:rPr>
          <w:rFonts w:hint="eastAsia" w:cs="宋体" w:asciiTheme="minorEastAsia" w:hAnsiTheme="minorEastAsia" w:eastAsiaTheme="minorEastAsia"/>
          <w:color w:val="auto"/>
          <w:sz w:val="24"/>
          <w:highlight w:val="none"/>
          <w:u w:val="single"/>
          <w:lang w:val="en-US" w:eastAsia="zh-CN"/>
        </w:rPr>
        <w:t>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highlight w:val="none"/>
        </w:rPr>
      </w:pPr>
    </w:p>
    <w:p>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浙江省红十字会宣传传播载体运营维护项目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highlight w:val="none"/>
          <w:lang w:val="zh-CN"/>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8"/>
              <w:spacing w:line="360" w:lineRule="auto"/>
              <w:rPr>
                <w:rFonts w:asciiTheme="minorEastAsia" w:hAnsiTheme="minorEastAsia" w:eastAsiaTheme="minorEastAsia"/>
                <w:bCs/>
                <w:color w:val="auto"/>
                <w:sz w:val="24"/>
                <w:highlight w:val="none"/>
              </w:rPr>
            </w:pPr>
          </w:p>
        </w:tc>
      </w:tr>
    </w:tbl>
    <w:p>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highlight w:val="none"/>
        </w:rPr>
      </w:pPr>
    </w:p>
    <w:p>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、所有资信文件（复印件）</w:t>
      </w:r>
    </w:p>
    <w:p>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highlight w:val="none"/>
        </w:rPr>
      </w:pPr>
    </w:p>
    <w:p>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pPr>
        <w:spacing w:line="360" w:lineRule="auto"/>
        <w:jc w:val="center"/>
        <w:rPr>
          <w:rFonts w:cs="仿宋_GB2312" w:asciiTheme="minorEastAsia" w:hAnsiTheme="minorEastAsia" w:eastAsiaTheme="minorEastAsia"/>
          <w:b/>
          <w:color w:val="auto"/>
          <w:kern w:val="0"/>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en-US" w:eastAsia="zh-CN"/>
        </w:rPr>
        <w:t>五</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jc w:val="center"/>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rPr>
          <w:rFonts w:cs="仿宋_GB2312" w:asciiTheme="minorEastAsia" w:hAnsiTheme="minorEastAsia" w:eastAsiaTheme="minorEastAsia"/>
          <w:b/>
          <w:bCs/>
          <w:color w:val="auto"/>
          <w:kern w:val="0"/>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pPr>
        <w:spacing w:line="360" w:lineRule="auto"/>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eastAsia="zh-CN"/>
        </w:rPr>
        <w:t>服务方案</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spacing w:line="360" w:lineRule="auto"/>
        <w:jc w:val="center"/>
        <w:rPr>
          <w:rFonts w:cs="仿宋_GB2312" w:asciiTheme="minorEastAsia" w:hAnsiTheme="minorEastAsia" w:eastAsiaTheme="minorEastAsia"/>
          <w:color w:val="auto"/>
          <w:sz w:val="24"/>
          <w:highlight w:val="none"/>
        </w:rPr>
      </w:pPr>
    </w:p>
    <w:p>
      <w:pPr>
        <w:autoSpaceDE w:val="0"/>
        <w:autoSpaceDN w:val="0"/>
        <w:spacing w:line="360" w:lineRule="auto"/>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en-US" w:eastAsia="zh-CN"/>
        </w:rPr>
        <w:t>九</w:t>
      </w:r>
      <w:r>
        <w:rPr>
          <w:rFonts w:hint="eastAsia" w:cs="仿宋_GB2312" w:asciiTheme="minorEastAsia" w:hAnsiTheme="minorEastAsia" w:eastAsiaTheme="minorEastAsia"/>
          <w:b/>
          <w:bCs/>
          <w:color w:val="auto"/>
          <w:kern w:val="0"/>
          <w:sz w:val="32"/>
          <w:szCs w:val="32"/>
          <w:highlight w:val="none"/>
          <w:lang w:val="zh-CN"/>
        </w:rPr>
        <w:t>、组织实施方案</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2"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c>
          <w:tcPr>
            <w:tcW w:w="553" w:type="dxa"/>
          </w:tcPr>
          <w:p>
            <w:pPr>
              <w:spacing w:line="360" w:lineRule="auto"/>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w:t>
      </w:r>
      <w:r>
        <w:rPr>
          <w:rFonts w:hint="eastAsia" w:cs="仿宋_GB2312" w:asciiTheme="minorEastAsia" w:hAnsiTheme="minorEastAsia" w:eastAsiaTheme="minorEastAsia"/>
          <w:b/>
          <w:bCs/>
          <w:color w:val="auto"/>
          <w:sz w:val="32"/>
          <w:szCs w:val="32"/>
          <w:highlight w:val="none"/>
          <w:lang w:eastAsia="zh-CN"/>
        </w:rPr>
        <w:t>、</w:t>
      </w:r>
      <w:r>
        <w:rPr>
          <w:rFonts w:hint="eastAsia" w:cs="仿宋_GB2312" w:asciiTheme="minorEastAsia" w:hAnsiTheme="minorEastAsia" w:eastAsiaTheme="minorEastAsia"/>
          <w:b/>
          <w:bCs/>
          <w:color w:val="auto"/>
          <w:sz w:val="32"/>
          <w:szCs w:val="32"/>
          <w:highlight w:val="none"/>
        </w:rPr>
        <w:t>项目小组人员名单</w:t>
      </w:r>
    </w:p>
    <w:p>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p>
        </w:tc>
      </w:tr>
    </w:tbl>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highlight w:val="none"/>
              </w:rPr>
            </w:pPr>
          </w:p>
        </w:tc>
      </w:tr>
    </w:tbl>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w:t>
      </w:r>
      <w:r>
        <w:rPr>
          <w:rFonts w:hint="eastAsia" w:cs="仿宋_GB2312" w:asciiTheme="minorEastAsia" w:hAnsiTheme="minorEastAsia" w:eastAsiaTheme="minorEastAsia"/>
          <w:b/>
          <w:color w:val="auto"/>
          <w:kern w:val="0"/>
          <w:sz w:val="32"/>
          <w:szCs w:val="32"/>
          <w:highlight w:val="none"/>
          <w:lang w:val="en-US" w:eastAsia="zh-CN"/>
        </w:rPr>
        <w:t>一、</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pPr>
        <w:spacing w:line="360" w:lineRule="auto"/>
        <w:rPr>
          <w:rFonts w:cs="仿宋_GB2312" w:asciiTheme="minorEastAsia" w:hAnsiTheme="minorEastAsia" w:eastAsiaTheme="minorEastAsia"/>
          <w:color w:val="auto"/>
          <w:sz w:val="24"/>
          <w:highlight w:val="none"/>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pPr>
        <w:spacing w:line="360" w:lineRule="auto"/>
        <w:jc w:val="center"/>
        <w:rPr>
          <w:rFonts w:cs="仿宋_GB2312" w:asciiTheme="minorEastAsia" w:hAnsiTheme="minorEastAsia" w:eastAsiaTheme="minorEastAsia"/>
          <w:b/>
          <w:bCs/>
          <w:color w:val="auto"/>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仿宋_GB2312" w:asciiTheme="minorEastAsia" w:hAnsiTheme="minorEastAsia" w:eastAsiaTheme="minorEastAsia"/>
          <w:b/>
          <w:bCs/>
          <w:color w:val="auto"/>
          <w:sz w:val="30"/>
          <w:szCs w:val="30"/>
          <w:highlight w:val="none"/>
          <w:lang w:val="en-US" w:eastAsia="zh-CN"/>
        </w:rPr>
        <w:t>二</w:t>
      </w:r>
      <w:r>
        <w:rPr>
          <w:rFonts w:hint="eastAsia" w:cs="仿宋_GB2312" w:asciiTheme="minorEastAsia" w:hAnsiTheme="minorEastAsia" w:eastAsiaTheme="minorEastAsia"/>
          <w:b/>
          <w:bCs/>
          <w:color w:val="auto"/>
          <w:sz w:val="30"/>
          <w:szCs w:val="30"/>
          <w:highlight w:val="none"/>
        </w:rPr>
        <w:t>、</w:t>
      </w:r>
      <w:r>
        <w:rPr>
          <w:rFonts w:hint="eastAsia" w:cs="宋体" w:asciiTheme="minorEastAsia" w:hAnsiTheme="minorEastAsia" w:eastAsiaTheme="minorEastAsia"/>
          <w:b/>
          <w:color w:val="auto"/>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pPr>
        <w:spacing w:line="360" w:lineRule="auto"/>
        <w:jc w:val="center"/>
        <w:rPr>
          <w:rFonts w:cs="仿宋_GB2312" w:asciiTheme="minorEastAsia" w:hAnsiTheme="minorEastAsia" w:eastAsiaTheme="minorEastAsia"/>
          <w:b/>
          <w:color w:val="auto"/>
          <w:sz w:val="36"/>
          <w:szCs w:val="36"/>
          <w:highlight w:val="none"/>
        </w:rPr>
      </w:pPr>
    </w:p>
    <w:p>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pPr>
        <w:pStyle w:val="117"/>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kern w:val="0"/>
          <w:sz w:val="24"/>
          <w:highlight w:val="none"/>
          <w:lang w:val="zh-CN"/>
        </w:rPr>
        <w:t>：</w:t>
      </w:r>
    </w:p>
    <w:p>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浙江省红十字会宣传传播载体运营维护项目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color w:val="auto"/>
                <w:sz w:val="24"/>
                <w:highlight w:val="none"/>
              </w:rPr>
            </w:pPr>
          </w:p>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pPr>
              <w:spacing w:line="360" w:lineRule="auto"/>
              <w:jc w:val="center"/>
              <w:rPr>
                <w:rFonts w:cs="宋体" w:asciiTheme="minorEastAsia" w:hAnsiTheme="minorEastAsia" w:eastAsia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color w:val="auto"/>
                <w:sz w:val="24"/>
                <w:highlight w:val="none"/>
              </w:rPr>
            </w:pPr>
          </w:p>
        </w:tc>
        <w:tc>
          <w:tcPr>
            <w:tcW w:w="992"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c>
          <w:tcPr>
            <w:tcW w:w="2127" w:type="dxa"/>
          </w:tcPr>
          <w:p>
            <w:pPr>
              <w:spacing w:line="360" w:lineRule="auto"/>
              <w:jc w:val="center"/>
              <w:rPr>
                <w:rFonts w:cs="宋体" w:asciiTheme="minorEastAsia" w:hAnsiTheme="minorEastAsia" w:eastAsiaTheme="minorEastAsia"/>
                <w:color w:val="auto"/>
                <w:sz w:val="24"/>
                <w:highlight w:val="none"/>
              </w:rPr>
            </w:pPr>
          </w:p>
        </w:tc>
        <w:tc>
          <w:tcPr>
            <w:tcW w:w="2126" w:type="dxa"/>
            <w:vAlign w:val="center"/>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color w:val="auto"/>
                <w:sz w:val="24"/>
                <w:highlight w:val="none"/>
              </w:rPr>
            </w:pPr>
          </w:p>
        </w:tc>
      </w:tr>
    </w:tbl>
    <w:p>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sz w:val="24"/>
          <w:highlight w:val="none"/>
        </w:rPr>
      </w:pPr>
    </w:p>
    <w:p>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bookmarkStart w:id="225" w:name="_Toc465665161"/>
      <w:r>
        <w:rPr>
          <w:rFonts w:hint="eastAsia" w:cs="仿宋_GB2312" w:asciiTheme="minorEastAsia" w:hAnsiTheme="minorEastAsia" w:eastAsiaTheme="minorEastAsia"/>
          <w:color w:val="auto"/>
          <w:highlight w:val="none"/>
        </w:rPr>
        <w:t>附件</w:t>
      </w:r>
      <w:bookmarkEnd w:id="225"/>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color w:val="auto"/>
          <w:sz w:val="24"/>
          <w:highlight w:val="none"/>
        </w:rPr>
      </w:pPr>
    </w:p>
    <w:p>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p>
    <w:p>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pPr>
        <w:spacing w:line="360" w:lineRule="auto"/>
        <w:rPr>
          <w:rFonts w:asciiTheme="minorEastAsia" w:hAnsiTheme="minorEastAsia" w:eastAsiaTheme="minorEastAsia"/>
          <w:b/>
          <w:color w:val="auto"/>
          <w:spacing w:val="6"/>
          <w:sz w:val="32"/>
          <w:szCs w:val="32"/>
          <w:highlight w:val="none"/>
        </w:rPr>
      </w:pPr>
    </w:p>
    <w:p>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pPr>
        <w:spacing w:line="360" w:lineRule="auto"/>
        <w:rPr>
          <w:rFonts w:asciiTheme="minorEastAsia" w:hAnsiTheme="minorEastAsia" w:eastAsiaTheme="minorEastAsia"/>
          <w:b/>
          <w:color w:val="auto"/>
          <w:spacing w:val="6"/>
          <w:sz w:val="30"/>
          <w:szCs w:val="30"/>
          <w:highlight w:val="none"/>
        </w:rPr>
      </w:pP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浙江省红十字会</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浙江省红十字会宣传传播载体运营维护项目</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highlight w:val="none"/>
        </w:rPr>
      </w:pPr>
    </w:p>
    <w:p>
      <w:pPr>
        <w:spacing w:line="360" w:lineRule="auto"/>
        <w:ind w:firstLine="480" w:firstLineChars="200"/>
        <w:rPr>
          <w:rFonts w:cs="仿宋_GB2312" w:asciiTheme="minorEastAsia" w:hAnsiTheme="minorEastAsia" w:eastAsiaTheme="minorEastAsia"/>
          <w:color w:val="auto"/>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pPr>
        <w:spacing w:line="360" w:lineRule="auto"/>
        <w:ind w:firstLine="480" w:firstLineChars="200"/>
        <w:rPr>
          <w:rFonts w:cs="仿宋_GB2312" w:asciiTheme="minorEastAsia" w:hAnsiTheme="minorEastAsia" w:eastAsiaTheme="minorEastAsia"/>
          <w:color w:val="auto"/>
          <w:sz w:val="24"/>
          <w:highlight w:val="none"/>
        </w:rPr>
      </w:pPr>
    </w:p>
    <w:p>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pPr>
        <w:spacing w:line="360" w:lineRule="auto"/>
        <w:jc w:val="left"/>
        <w:rPr>
          <w:rFonts w:cs="仿宋_GB2312" w:asciiTheme="minorEastAsia" w:hAnsiTheme="minorEastAsia" w:eastAsiaTheme="minorEastAsia"/>
          <w:b/>
          <w:color w:val="auto"/>
          <w:sz w:val="24"/>
          <w:highlight w:val="none"/>
        </w:rPr>
      </w:pPr>
    </w:p>
    <w:p>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pPr>
        <w:autoSpaceDE w:val="0"/>
        <w:autoSpaceDN w:val="0"/>
        <w:jc w:val="center"/>
        <w:rPr>
          <w:rFonts w:asciiTheme="minorEastAsia" w:hAnsiTheme="minorEastAsia" w:eastAsiaTheme="minorEastAsia"/>
          <w:b/>
          <w:bCs/>
          <w:color w:val="auto"/>
          <w:sz w:val="32"/>
          <w:szCs w:val="32"/>
          <w:highlight w:val="none"/>
        </w:rPr>
      </w:pPr>
    </w:p>
    <w:p>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浙江省红十字会</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浙江正浩招标代理有限公司</w:t>
      </w:r>
      <w:r>
        <w:rPr>
          <w:rFonts w:hint="eastAsia" w:cs="仿宋_GB2312" w:asciiTheme="minorEastAsia" w:hAnsiTheme="minorEastAsia" w:eastAsiaTheme="minorEastAsia"/>
          <w:color w:val="auto"/>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浙江省红十字会宣传传播载体运营维护项目</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ZHZB-2023SHSZH-01</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firstLine="494"/>
        <w:rPr>
          <w:rFonts w:cs="宋体" w:asciiTheme="minorEastAsia" w:hAnsiTheme="minorEastAsia" w:eastAsiaTheme="minorEastAsia"/>
          <w:color w:val="auto"/>
          <w:sz w:val="24"/>
          <w:highlight w:val="none"/>
        </w:rPr>
      </w:pP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pPr>
        <w:snapToGrid w:val="0"/>
        <w:spacing w:line="360" w:lineRule="auto"/>
        <w:jc w:val="center"/>
        <w:rPr>
          <w:rFonts w:cs="仿宋_GB2312" w:asciiTheme="minorEastAsia" w:hAnsiTheme="minorEastAsia" w:eastAsiaTheme="minorEastAsia"/>
          <w:b/>
          <w:color w:val="auto"/>
          <w:sz w:val="24"/>
          <w:highlight w:val="none"/>
        </w:rPr>
      </w:pPr>
    </w:p>
    <w:p>
      <w:pPr>
        <w:widowControl/>
        <w:adjustRightInd/>
        <w:jc w:val="left"/>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lang w:val="en-US" w:eastAsia="zh-CN"/>
      </w:rPr>
      <w:t>·</w:t>
    </w: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7"/>
      </w:rPr>
    </w:pPr>
    <w:r>
      <w:fldChar w:fldCharType="begin"/>
    </w:r>
    <w:r>
      <w:rPr>
        <w:rStyle w:val="67"/>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226" w:name="_Toc91899912"/>
    <w:bookmarkStart w:id="227" w:name="_Toc131845147"/>
    <w:bookmarkStart w:id="228" w:name="_Toc36110187"/>
    <w:bookmarkStart w:id="229" w:name="_Toc164085800"/>
    <w:r>
      <w:rPr>
        <w:rFonts w:hint="eastAsia" w:ascii="仿宋_GB2312" w:eastAsia="仿宋_GB2312"/>
        <w:kern w:val="0"/>
        <w:szCs w:val="21"/>
      </w:rPr>
      <w:t xml:space="preserve"> 页</w:t>
    </w:r>
    <w:bookmarkEnd w:id="226"/>
    <w:bookmarkEnd w:id="227"/>
    <w:bookmarkEnd w:id="228"/>
    <w:bookmarkEnd w:id="2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eastAsia="仿宋_GB2312"/>
      </w:rPr>
    </w:pPr>
    <w:r>
      <w:rPr>
        <w:rFonts w:hint="eastAsia"/>
      </w:rPr>
      <w:drawing>
        <wp:inline distT="0" distB="0" distL="114300" distR="114300">
          <wp:extent cx="1016000" cy="224155"/>
          <wp:effectExtent l="0" t="0" r="12700" b="4445"/>
          <wp:docPr id="24" name="图片 24"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logo正浩招标透明"/>
                  <pic:cNvPicPr>
                    <a:picLocks noChangeAspect="1"/>
                  </pic:cNvPicPr>
                </pic:nvPicPr>
                <pic:blipFill>
                  <a:blip r:embed="rId1"/>
                  <a:stretch>
                    <a:fillRect/>
                  </a:stretch>
                </pic:blipFill>
                <pic:spPr>
                  <a:xfrm>
                    <a:off x="0" y="0"/>
                    <a:ext cx="1016000" cy="2241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eastAsia" w:eastAsia="仿宋_GB2312"/>
        <w:lang w:eastAsia="zh-CN"/>
      </w:rPr>
    </w:pPr>
    <w:r>
      <w:rPr>
        <w:rFonts w:hint="eastAsia"/>
      </w:rPr>
      <w:drawing>
        <wp:inline distT="0" distB="0" distL="114300" distR="114300">
          <wp:extent cx="1016000" cy="224155"/>
          <wp:effectExtent l="0" t="0" r="12700" b="4445"/>
          <wp:docPr id="23" name="图片 23" descr="logo正浩招标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logo正浩招标透明"/>
                  <pic:cNvPicPr>
                    <a:picLocks noChangeAspect="1"/>
                  </pic:cNvPicPr>
                </pic:nvPicPr>
                <pic:blipFill>
                  <a:blip r:embed="rId1"/>
                  <a:stretch>
                    <a:fillRect/>
                  </a:stretch>
                </pic:blipFill>
                <pic:spPr>
                  <a:xfrm>
                    <a:off x="0" y="0"/>
                    <a:ext cx="1016000" cy="2241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Yzc1ZmRiMzRmNzkwZDY4MTBmZjAyNmE2NDU0MT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5046"/>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5974C0"/>
    <w:rsid w:val="01B63972"/>
    <w:rsid w:val="02DA0C0E"/>
    <w:rsid w:val="03DD35E4"/>
    <w:rsid w:val="065A6178"/>
    <w:rsid w:val="075562B7"/>
    <w:rsid w:val="096B2097"/>
    <w:rsid w:val="0A5B7E63"/>
    <w:rsid w:val="0BA35181"/>
    <w:rsid w:val="0C87121B"/>
    <w:rsid w:val="0DF702FE"/>
    <w:rsid w:val="0E3F698B"/>
    <w:rsid w:val="0F21508F"/>
    <w:rsid w:val="0F816ACD"/>
    <w:rsid w:val="10B047CF"/>
    <w:rsid w:val="10FC16EA"/>
    <w:rsid w:val="118963A1"/>
    <w:rsid w:val="127723A9"/>
    <w:rsid w:val="13072A44"/>
    <w:rsid w:val="13F225FA"/>
    <w:rsid w:val="145044FA"/>
    <w:rsid w:val="151177F9"/>
    <w:rsid w:val="16885EAC"/>
    <w:rsid w:val="1B2A271F"/>
    <w:rsid w:val="1B890139"/>
    <w:rsid w:val="1D266CE1"/>
    <w:rsid w:val="1D3963AF"/>
    <w:rsid w:val="1E35540A"/>
    <w:rsid w:val="1E714A66"/>
    <w:rsid w:val="1F161587"/>
    <w:rsid w:val="1F941F7F"/>
    <w:rsid w:val="1FE868A9"/>
    <w:rsid w:val="20A611BE"/>
    <w:rsid w:val="211E26D6"/>
    <w:rsid w:val="21283D08"/>
    <w:rsid w:val="25B440B3"/>
    <w:rsid w:val="26F471BF"/>
    <w:rsid w:val="2AA1365A"/>
    <w:rsid w:val="2DB80283"/>
    <w:rsid w:val="2DD15014"/>
    <w:rsid w:val="2F410B26"/>
    <w:rsid w:val="2FD25781"/>
    <w:rsid w:val="319C6071"/>
    <w:rsid w:val="32010A89"/>
    <w:rsid w:val="32DB72BE"/>
    <w:rsid w:val="342E63AB"/>
    <w:rsid w:val="345D260B"/>
    <w:rsid w:val="34673A10"/>
    <w:rsid w:val="365302AE"/>
    <w:rsid w:val="377B1679"/>
    <w:rsid w:val="38E435B7"/>
    <w:rsid w:val="39A13F14"/>
    <w:rsid w:val="39C73FC1"/>
    <w:rsid w:val="3C5F759A"/>
    <w:rsid w:val="3D5C78D4"/>
    <w:rsid w:val="42AB29D0"/>
    <w:rsid w:val="42E1381E"/>
    <w:rsid w:val="43FB717C"/>
    <w:rsid w:val="451E447A"/>
    <w:rsid w:val="45345B76"/>
    <w:rsid w:val="45CF6B48"/>
    <w:rsid w:val="47307808"/>
    <w:rsid w:val="486F747C"/>
    <w:rsid w:val="4D861CF6"/>
    <w:rsid w:val="51A0432A"/>
    <w:rsid w:val="527140E5"/>
    <w:rsid w:val="5292508F"/>
    <w:rsid w:val="52A96B6F"/>
    <w:rsid w:val="550764A4"/>
    <w:rsid w:val="551926E0"/>
    <w:rsid w:val="5621617F"/>
    <w:rsid w:val="56515F3B"/>
    <w:rsid w:val="572B71CA"/>
    <w:rsid w:val="58AE4F0C"/>
    <w:rsid w:val="593C23EB"/>
    <w:rsid w:val="5A2A7C7B"/>
    <w:rsid w:val="5B6B4789"/>
    <w:rsid w:val="5C80234E"/>
    <w:rsid w:val="5E261785"/>
    <w:rsid w:val="5FCC5339"/>
    <w:rsid w:val="603409F3"/>
    <w:rsid w:val="60E53485"/>
    <w:rsid w:val="61054A27"/>
    <w:rsid w:val="611D2366"/>
    <w:rsid w:val="62885958"/>
    <w:rsid w:val="63725816"/>
    <w:rsid w:val="63C70247"/>
    <w:rsid w:val="64CE2EAA"/>
    <w:rsid w:val="662E75B1"/>
    <w:rsid w:val="66342C2E"/>
    <w:rsid w:val="663E784C"/>
    <w:rsid w:val="66F65432"/>
    <w:rsid w:val="685867EC"/>
    <w:rsid w:val="69881A8B"/>
    <w:rsid w:val="6A33616E"/>
    <w:rsid w:val="6A976A71"/>
    <w:rsid w:val="6B1E54A0"/>
    <w:rsid w:val="6B9F261B"/>
    <w:rsid w:val="6BD31ED4"/>
    <w:rsid w:val="6E8E12EF"/>
    <w:rsid w:val="71D43752"/>
    <w:rsid w:val="738C6524"/>
    <w:rsid w:val="73DD6243"/>
    <w:rsid w:val="749C4185"/>
    <w:rsid w:val="75DA2C18"/>
    <w:rsid w:val="75E91BD1"/>
    <w:rsid w:val="775319EF"/>
    <w:rsid w:val="790F1C77"/>
    <w:rsid w:val="7A67303B"/>
    <w:rsid w:val="7AAB1D04"/>
    <w:rsid w:val="7ABA4368"/>
    <w:rsid w:val="7B207DC1"/>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611"/>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1"/>
    <w:link w:val="47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2"/>
    <w:qFormat/>
    <w:uiPriority w:val="99"/>
    <w:pPr>
      <w:jc w:val="left"/>
    </w:pPr>
  </w:style>
  <w:style w:type="paragraph" w:styleId="21">
    <w:name w:val="Salutation"/>
    <w:basedOn w:val="1"/>
    <w:next w:val="1"/>
    <w:link w:val="480"/>
    <w:qFormat/>
    <w:uiPriority w:val="0"/>
    <w:rPr>
      <w:rFonts w:ascii="仿宋_GB2312" w:eastAsia="仿宋_GB2312"/>
      <w:sz w:val="28"/>
      <w:szCs w:val="20"/>
    </w:rPr>
  </w:style>
  <w:style w:type="paragraph" w:styleId="22">
    <w:name w:val="Body Text 3"/>
    <w:basedOn w:val="1"/>
    <w:link w:val="579"/>
    <w:qFormat/>
    <w:uiPriority w:val="0"/>
    <w:pPr>
      <w:jc w:val="center"/>
    </w:pPr>
    <w:rPr>
      <w:szCs w:val="20"/>
    </w:rPr>
  </w:style>
  <w:style w:type="paragraph" w:styleId="23">
    <w:name w:val="Body Text"/>
    <w:basedOn w:val="1"/>
    <w:next w:val="24"/>
    <w:link w:val="510"/>
    <w:qFormat/>
    <w:uiPriority w:val="0"/>
    <w:pPr>
      <w:autoSpaceDE w:val="0"/>
      <w:autoSpaceDN w:val="0"/>
      <w:spacing w:line="360" w:lineRule="auto"/>
    </w:pPr>
    <w:rPr>
      <w:rFonts w:ascii="宋体"/>
      <w:sz w:val="24"/>
      <w:szCs w:val="21"/>
      <w:lang w:val="zh-CN"/>
    </w:rPr>
  </w:style>
  <w:style w:type="paragraph" w:customStyle="1" w:styleId="24">
    <w:name w:val="一级条标题"/>
    <w:basedOn w:val="25"/>
    <w:next w:val="26"/>
    <w:qFormat/>
    <w:uiPriority w:val="0"/>
    <w:pPr>
      <w:tabs>
        <w:tab w:val="left" w:pos="1260"/>
        <w:tab w:val="left" w:pos="1680"/>
      </w:tabs>
      <w:spacing w:before="0" w:beforeLines="0" w:after="0" w:afterLines="0"/>
      <w:ind w:left="1680"/>
      <w:outlineLvl w:val="2"/>
    </w:pPr>
  </w:style>
  <w:style w:type="paragraph" w:customStyle="1" w:styleId="25">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487"/>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6"/>
    <w:qFormat/>
    <w:uiPriority w:val="0"/>
    <w:pPr>
      <w:ind w:left="100" w:leftChars="2500"/>
    </w:pPr>
    <w:rPr>
      <w:rFonts w:ascii="宋体"/>
      <w:sz w:val="24"/>
      <w:szCs w:val="21"/>
      <w:lang w:val="zh-CN"/>
    </w:rPr>
  </w:style>
  <w:style w:type="paragraph" w:styleId="38">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9">
    <w:name w:val="Balloon Text"/>
    <w:basedOn w:val="1"/>
    <w:link w:val="613"/>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w:basedOn w:val="23"/>
    <w:link w:val="543"/>
    <w:qFormat/>
    <w:uiPriority w:val="0"/>
    <w:pPr>
      <w:ind w:firstLine="420"/>
    </w:pPr>
    <w:rPr>
      <w:szCs w:val="20"/>
    </w:rPr>
  </w:style>
  <w:style w:type="paragraph" w:styleId="62">
    <w:name w:val="Body Text First Indent 2"/>
    <w:basedOn w:val="3"/>
    <w:next w:val="1"/>
    <w:link w:val="500"/>
    <w:qFormat/>
    <w:uiPriority w:val="0"/>
    <w:pPr>
      <w:adjustRightInd/>
      <w:spacing w:after="120" w:line="240" w:lineRule="auto"/>
      <w:ind w:left="420" w:leftChars="200" w:firstLine="210"/>
    </w:pPr>
    <w:rPr>
      <w:sz w:val="21"/>
    </w:rPr>
  </w:style>
  <w:style w:type="table" w:styleId="64">
    <w:name w:val="Table Grid"/>
    <w:basedOn w:val="6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qFormat/>
    <w:uiPriority w:val="0"/>
    <w:rPr>
      <w:rFonts w:ascii="Arial" w:hAnsi="Arial" w:eastAsia="黑体" w:cs="Arial"/>
      <w:snapToGrid w:val="0"/>
      <w:color w:val="000000"/>
      <w:kern w:val="0"/>
      <w:sz w:val="18"/>
      <w:szCs w:val="18"/>
      <w:u w:val="none"/>
    </w:rPr>
  </w:style>
  <w:style w:type="character" w:styleId="69">
    <w:name w:val="Emphasis"/>
    <w:qFormat/>
    <w:uiPriority w:val="0"/>
    <w:rPr>
      <w:color w:val="CC0033"/>
    </w:rPr>
  </w:style>
  <w:style w:type="character" w:styleId="70">
    <w:name w:val="line number"/>
    <w:basedOn w:val="65"/>
    <w:qFormat/>
    <w:uiPriority w:val="0"/>
  </w:style>
  <w:style w:type="character" w:styleId="71">
    <w:name w:val="Hyperlink"/>
    <w:qFormat/>
    <w:uiPriority w:val="0"/>
    <w:rPr>
      <w:rFonts w:ascii="Arial" w:hAnsi="Arial" w:eastAsia="黑体" w:cs="Arial"/>
      <w:snapToGrid w:val="0"/>
      <w:color w:val="000000"/>
      <w:kern w:val="0"/>
      <w:sz w:val="18"/>
      <w:szCs w:val="18"/>
      <w:u w:val="none"/>
    </w:rPr>
  </w:style>
  <w:style w:type="character" w:styleId="72">
    <w:name w:val="HTML Code"/>
    <w:qFormat/>
    <w:uiPriority w:val="0"/>
    <w:rPr>
      <w:rFonts w:ascii="黑体" w:hAnsi="Courier New" w:eastAsia="黑体" w:cs="楷体_GB2312"/>
      <w:sz w:val="20"/>
      <w:szCs w:val="20"/>
    </w:rPr>
  </w:style>
  <w:style w:type="character" w:styleId="73">
    <w:name w:val="annotation reference"/>
    <w:qFormat/>
    <w:uiPriority w:val="99"/>
    <w:rPr>
      <w:sz w:val="21"/>
      <w:szCs w:val="21"/>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7"/>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26"/>
    <w:qFormat/>
    <w:uiPriority w:val="0"/>
    <w:pPr>
      <w:numPr>
        <w:ilvl w:val="5"/>
        <w:numId w:val="4"/>
      </w:numPr>
      <w:tabs>
        <w:tab w:val="left" w:pos="1260"/>
        <w:tab w:val="left" w:pos="1680"/>
        <w:tab w:val="left" w:pos="2100"/>
        <w:tab w:val="left" w:pos="2520"/>
      </w:tabs>
      <w:outlineLvl w:val="5"/>
    </w:pPr>
  </w:style>
  <w:style w:type="paragraph" w:customStyle="1" w:styleId="172">
    <w:name w:val="三级条标题"/>
    <w:basedOn w:val="173"/>
    <w:next w:val="26"/>
    <w:qFormat/>
    <w:uiPriority w:val="0"/>
    <w:pPr>
      <w:numPr>
        <w:ilvl w:val="0"/>
        <w:numId w:val="0"/>
      </w:numPr>
      <w:tabs>
        <w:tab w:val="left" w:pos="1260"/>
        <w:tab w:val="left" w:pos="1680"/>
        <w:tab w:val="left" w:pos="2100"/>
        <w:tab w:val="left" w:pos="2520"/>
      </w:tabs>
      <w:ind w:left="2520" w:hanging="420"/>
      <w:outlineLvl w:val="4"/>
    </w:pPr>
  </w:style>
  <w:style w:type="paragraph" w:customStyle="1" w:styleId="173">
    <w:name w:val="二级条标题"/>
    <w:basedOn w:val="24"/>
    <w:next w:val="26"/>
    <w:qFormat/>
    <w:uiPriority w:val="0"/>
    <w:pPr>
      <w:numPr>
        <w:ilvl w:val="3"/>
        <w:numId w:val="4"/>
      </w:numPr>
      <w:ind w:left="0"/>
      <w:outlineLvl w:val="3"/>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7"/>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6"/>
    <w:qFormat/>
    <w:uiPriority w:val="0"/>
    <w:pPr>
      <w:snapToGrid w:val="0"/>
      <w:spacing w:line="360" w:lineRule="auto"/>
    </w:pPr>
    <w:rPr>
      <w:rFonts w:ascii="宋体"/>
      <w:b/>
      <w:sz w:val="24"/>
      <w:szCs w:val="20"/>
    </w:rPr>
  </w:style>
  <w:style w:type="paragraph" w:customStyle="1" w:styleId="228">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8"/>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101"/>
    <w:next w:val="101"/>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6"/>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6"/>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7"/>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2"/>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26"/>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8"/>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8"/>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4"/>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4"/>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2"/>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5"/>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1"/>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50"/>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0"/>
    <w:qFormat/>
    <w:uiPriority w:val="0"/>
    <w:rPr>
      <w:b/>
      <w:bCs/>
      <w:kern w:val="2"/>
      <w:sz w:val="24"/>
      <w:szCs w:val="24"/>
    </w:rPr>
  </w:style>
  <w:style w:type="character" w:customStyle="1" w:styleId="480">
    <w:name w:val="称呼 Char"/>
    <w:link w:val="21"/>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7"/>
    <w:qFormat/>
    <w:uiPriority w:val="0"/>
    <w:rPr>
      <w:rFonts w:ascii="Arial" w:hAnsi="Arial" w:eastAsia="隶书"/>
      <w:b/>
      <w:bCs/>
      <w:kern w:val="28"/>
      <w:sz w:val="44"/>
      <w:szCs w:val="32"/>
      <w:lang w:val="en-US" w:eastAsia="zh-CN" w:bidi="ar-SA"/>
    </w:rPr>
  </w:style>
  <w:style w:type="character" w:customStyle="1" w:styleId="48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62"/>
    <w:qFormat/>
    <w:uiPriority w:val="0"/>
    <w:rPr>
      <w:rFonts w:ascii="宋体" w:hAnsi="宋体"/>
      <w:kern w:val="2"/>
      <w:sz w:val="21"/>
      <w:szCs w:val="24"/>
    </w:rPr>
  </w:style>
  <w:style w:type="character" w:customStyle="1" w:styleId="501">
    <w:name w:val="正文文本缩进 2 Char"/>
    <w:link w:val="38"/>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5"/>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2"/>
    <w:qFormat/>
    <w:uiPriority w:val="0"/>
    <w:rPr>
      <w:rFonts w:ascii="Arial" w:hAnsi="Arial" w:eastAsia="黑体"/>
      <w:kern w:val="2"/>
      <w:sz w:val="21"/>
      <w:szCs w:val="21"/>
    </w:rPr>
  </w:style>
  <w:style w:type="character" w:customStyle="1" w:styleId="518">
    <w:name w:val="md"/>
    <w:basedOn w:val="65"/>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5"/>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7"/>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61"/>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4"/>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1"/>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8"/>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5"/>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2"/>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3"/>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5"/>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7"/>
    <w:qFormat/>
    <w:uiPriority w:val="0"/>
    <w:rPr>
      <w:rFonts w:ascii="宋体"/>
      <w:kern w:val="2"/>
      <w:sz w:val="24"/>
      <w:szCs w:val="21"/>
      <w:lang w:val="zh-CN"/>
    </w:rPr>
  </w:style>
  <w:style w:type="character" w:customStyle="1" w:styleId="597">
    <w:name w:val="标题 4 Char"/>
    <w:link w:val="7"/>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9"/>
    <w:qFormat/>
    <w:uiPriority w:val="0"/>
    <w:rPr>
      <w:rFonts w:ascii="Arial" w:hAnsi="Arial" w:eastAsia="黑体"/>
      <w:b/>
      <w:bCs/>
      <w:kern w:val="2"/>
      <w:sz w:val="24"/>
      <w:szCs w:val="24"/>
    </w:rPr>
  </w:style>
  <w:style w:type="character" w:customStyle="1" w:styleId="611">
    <w:name w:val="正文缩进 Char2"/>
    <w:link w:val="2"/>
    <w:qFormat/>
    <w:uiPriority w:val="0"/>
    <w:rPr>
      <w:rFonts w:ascii="宋体" w:eastAsia="宋体"/>
      <w:snapToGrid w:val="0"/>
      <w:color w:val="000000"/>
      <w:kern w:val="28"/>
      <w:sz w:val="28"/>
      <w:lang w:val="en-US" w:eastAsia="zh-CN" w:bidi="ar-SA"/>
    </w:rPr>
  </w:style>
  <w:style w:type="character" w:customStyle="1" w:styleId="612">
    <w:name w:val="批注文字 Char1"/>
    <w:link w:val="20"/>
    <w:qFormat/>
    <w:uiPriority w:val="99"/>
    <w:rPr>
      <w:kern w:val="2"/>
      <w:sz w:val="21"/>
      <w:szCs w:val="24"/>
    </w:rPr>
  </w:style>
  <w:style w:type="character" w:customStyle="1" w:styleId="613">
    <w:name w:val="批注框文本 Char"/>
    <w:link w:val="39"/>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101"/>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5"/>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B15F9-7F3A-4816-9C00-45FBBD65820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36959</Words>
  <Characters>38818</Characters>
  <Lines>323</Lines>
  <Paragraphs>91</Paragraphs>
  <TotalTime>17</TotalTime>
  <ScaleCrop>false</ScaleCrop>
  <LinksUpToDate>false</LinksUpToDate>
  <CharactersWithSpaces>43408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JaneChen1995</cp:lastModifiedBy>
  <cp:lastPrinted>2021-10-22T10:37:00Z</cp:lastPrinted>
  <dcterms:modified xsi:type="dcterms:W3CDTF">2023-03-10T09:13:40Z</dcterms:modified>
  <dc:title>杭州市市民卡扩大发卡工程</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D5F43EEF72CA4F1287F403137C383546</vt:lpwstr>
  </property>
</Properties>
</file>