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8"/>
          <w:szCs w:val="48"/>
        </w:rPr>
      </w:pPr>
    </w:p>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嘉善县干窑镇卫生院彩色多普勒超声诊断仪</w:t>
      </w:r>
    </w:p>
    <w:p>
      <w:pPr>
        <w:adjustRightInd/>
        <w:spacing w:line="360" w:lineRule="auto"/>
        <w:jc w:val="center"/>
        <w:rPr>
          <w:rFonts w:ascii="仿宋" w:hAnsi="仿宋" w:eastAsia="仿宋" w:cs="仿宋"/>
          <w:b/>
          <w:bCs/>
          <w:sz w:val="48"/>
          <w:szCs w:val="48"/>
        </w:rPr>
      </w:pPr>
      <w:r>
        <w:rPr>
          <w:rFonts w:hint="eastAsia" w:ascii="仿宋" w:hAnsi="仿宋" w:eastAsia="仿宋" w:cs="仿宋"/>
          <w:b/>
          <w:bCs/>
          <w:sz w:val="44"/>
          <w:szCs w:val="44"/>
        </w:rPr>
        <w:t>采购项目</w:t>
      </w:r>
      <w:r>
        <w:rPr>
          <w:rFonts w:hint="eastAsia" w:ascii="仿宋" w:hAnsi="仿宋" w:eastAsia="仿宋" w:cs="仿宋"/>
          <w:b/>
          <w:bCs/>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napToGrid w:val="0"/>
        <w:spacing w:line="360" w:lineRule="auto"/>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w:t>
      </w:r>
      <w:r>
        <w:rPr>
          <w:rFonts w:hint="eastAsia" w:ascii="仿宋" w:hAnsi="仿宋" w:eastAsia="仿宋" w:cs="仿宋"/>
          <w:color w:val="000000" w:themeColor="text1"/>
          <w:sz w:val="30"/>
          <w:szCs w:val="30"/>
          <w:lang w:eastAsia="zh-CN"/>
          <w14:textFill>
            <w14:solidFill>
              <w14:schemeClr w14:val="tx1"/>
            </w14:solidFill>
          </w14:textFill>
        </w:rPr>
        <w:t>ZHZB-2022JSGYYY-01</w:t>
      </w:r>
    </w:p>
    <w:p>
      <w:pPr>
        <w:adjustRightInd/>
        <w:spacing w:line="360" w:lineRule="auto"/>
        <w:rPr>
          <w:rFonts w:ascii="仿宋" w:hAnsi="仿宋" w:eastAsia="仿宋" w:cs="仿宋"/>
          <w:color w:val="auto"/>
          <w:sz w:val="28"/>
          <w:szCs w:val="20"/>
        </w:rPr>
      </w:pPr>
    </w:p>
    <w:p>
      <w:pPr>
        <w:spacing w:line="360" w:lineRule="auto"/>
        <w:jc w:val="center"/>
        <w:rPr>
          <w:rFonts w:ascii="仿宋" w:hAnsi="仿宋" w:eastAsia="仿宋" w:cs="仿宋"/>
          <w:b/>
          <w:color w:val="auto"/>
          <w:sz w:val="44"/>
          <w:szCs w:val="44"/>
        </w:rPr>
      </w:pPr>
    </w:p>
    <w:p>
      <w:pPr>
        <w:pStyle w:val="2"/>
      </w:pPr>
    </w:p>
    <w:p>
      <w:pPr>
        <w:spacing w:line="360" w:lineRule="auto"/>
        <w:rPr>
          <w:rFonts w:ascii="仿宋" w:hAnsi="仿宋" w:eastAsia="仿宋" w:cs="仿宋"/>
          <w:color w:val="auto"/>
          <w:sz w:val="24"/>
        </w:rPr>
      </w:pPr>
    </w:p>
    <w:p>
      <w:pPr>
        <w:spacing w:line="360" w:lineRule="auto"/>
        <w:rPr>
          <w:rFonts w:ascii="仿宋" w:hAnsi="仿宋" w:eastAsia="仿宋" w:cs="仿宋"/>
          <w:color w:val="auto"/>
          <w:sz w:val="32"/>
          <w:szCs w:val="32"/>
        </w:rPr>
      </w:pPr>
    </w:p>
    <w:p>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嘉善县干窑镇卫生院</w:t>
      </w:r>
    </w:p>
    <w:p>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eastAsia="zh-CN"/>
        </w:rPr>
        <w:t>浙江正浩招标代理有限公司</w:t>
      </w:r>
    </w:p>
    <w:p>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二〇二二年</w:t>
      </w:r>
      <w:r>
        <w:rPr>
          <w:rFonts w:hint="eastAsia" w:ascii="仿宋" w:hAnsi="仿宋" w:eastAsia="仿宋" w:cs="仿宋"/>
          <w:bCs/>
          <w:color w:val="auto"/>
          <w:sz w:val="32"/>
          <w:szCs w:val="32"/>
          <w:lang w:val="en-US" w:eastAsia="zh-CN"/>
        </w:rPr>
        <w:t>十一</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 xml:space="preserve"> </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36"/>
          <w:szCs w:val="36"/>
        </w:rPr>
      </w:pPr>
      <w:r>
        <w:rPr>
          <w:rFonts w:hint="eastAsia" w:ascii="仿宋" w:hAnsi="仿宋" w:eastAsia="仿宋" w:cs="仿宋"/>
          <w:b/>
          <w:sz w:val="36"/>
          <w:szCs w:val="36"/>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sdt>
      <w:sdtPr>
        <w:rPr>
          <w:rFonts w:hint="eastAsia" w:ascii="仿宋" w:hAnsi="仿宋" w:eastAsia="仿宋" w:cs="仿宋"/>
          <w:sz w:val="32"/>
          <w:szCs w:val="32"/>
        </w:rPr>
        <w:id w:val="147479995"/>
        <w15:color w:val="DBDBDB"/>
        <w:docPartObj>
          <w:docPartGallery w:val="Table of Contents"/>
          <w:docPartUnique/>
        </w:docPartObj>
      </w:sdtPr>
      <w:sdtEndPr>
        <w:rPr>
          <w:rFonts w:hint="eastAsia" w:ascii="仿宋" w:hAnsi="仿宋" w:eastAsia="仿宋" w:cs="仿宋"/>
          <w:sz w:val="32"/>
          <w:szCs w:val="32"/>
        </w:rPr>
      </w:sdtEndPr>
      <w:sdtContent>
        <w:p>
          <w:pPr>
            <w:jc w:val="center"/>
            <w:rPr>
              <w:rFonts w:ascii="仿宋" w:hAnsi="仿宋" w:eastAsia="仿宋" w:cs="仿宋"/>
              <w:sz w:val="32"/>
              <w:szCs w:val="32"/>
            </w:rPr>
          </w:pPr>
          <w:bookmarkStart w:id="1" w:name="_Hlt91233176"/>
          <w:bookmarkEnd w:id="1"/>
          <w:bookmarkStart w:id="2" w:name="_Toc91899869"/>
        </w:p>
        <w:p>
          <w:pPr>
            <w:pStyle w:val="961"/>
            <w:tabs>
              <w:tab w:val="right" w:leader="dot" w:pos="9070"/>
            </w:tabs>
            <w:spacing w:line="360" w:lineRule="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"_Toc1753" </w:instrText>
          </w:r>
          <w:r>
            <w:fldChar w:fldCharType="separate"/>
          </w:r>
          <w:r>
            <w:rPr>
              <w:rFonts w:hint="eastAsia" w:ascii="仿宋" w:hAnsi="仿宋" w:eastAsia="仿宋" w:cs="仿宋"/>
              <w:sz w:val="32"/>
              <w:szCs w:val="32"/>
            </w:rPr>
            <w:t>第一部分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_Toc1753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"_Toc11466" </w:instrText>
          </w:r>
          <w:r>
            <w:fldChar w:fldCharType="separate"/>
          </w:r>
          <w:r>
            <w:rPr>
              <w:rFonts w:hint="eastAsia" w:ascii="仿宋" w:hAnsi="仿宋" w:eastAsia="仿宋" w:cs="仿宋"/>
              <w:sz w:val="32"/>
              <w:szCs w:val="32"/>
            </w:rPr>
            <w:t>第二部分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_Toc11466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"_Toc27567"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_Toc27567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"_Toc18186" </w:instrText>
          </w:r>
          <w:r>
            <w:fldChar w:fldCharType="separate"/>
          </w:r>
          <w:r>
            <w:rPr>
              <w:rFonts w:hint="eastAsia" w:ascii="仿宋" w:hAnsi="仿宋" w:eastAsia="仿宋" w:cs="仿宋"/>
              <w:sz w:val="32"/>
              <w:szCs w:val="32"/>
            </w:rPr>
            <w:t>第四部分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_Toc18186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"_Toc19672" </w:instrText>
          </w:r>
          <w:r>
            <w:fldChar w:fldCharType="separate"/>
          </w:r>
          <w:r>
            <w:rPr>
              <w:rFonts w:hint="eastAsia" w:ascii="仿宋" w:hAnsi="仿宋" w:eastAsia="仿宋" w:cs="仿宋"/>
              <w:sz w:val="32"/>
              <w:szCs w:val="32"/>
            </w:rPr>
            <w:t>第五部分 拟签订的合同文本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_Toc19672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"_Toc7454" </w:instrText>
          </w:r>
          <w:r>
            <w:fldChar w:fldCharType="separate"/>
          </w:r>
          <w:r>
            <w:rPr>
              <w:rFonts w:hint="eastAsia" w:ascii="仿宋" w:hAnsi="仿宋" w:eastAsia="仿宋" w:cs="仿宋"/>
              <w:sz w:val="32"/>
              <w:szCs w:val="32"/>
            </w:rPr>
            <w:t>第六部分 应提交的有关格式范例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_Toc7454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360" w:lineRule="auto"/>
            <w:ind w:firstLine="732" w:firstLineChars="229"/>
            <w:rPr>
              <w:rFonts w:ascii="仿宋" w:hAnsi="仿宋" w:eastAsia="仿宋" w:cs="仿宋"/>
              <w:sz w:val="32"/>
              <w:szCs w:val="32"/>
            </w:rPr>
          </w:pPr>
          <w:r>
            <w:rPr>
              <w:rFonts w:hint="eastAsia" w:ascii="仿宋" w:hAnsi="仿宋" w:eastAsia="仿宋" w:cs="仿宋"/>
              <w:sz w:val="32"/>
              <w:szCs w:val="32"/>
            </w:rPr>
            <w:fldChar w:fldCharType="end"/>
          </w:r>
        </w:p>
      </w:sdtContent>
    </w:sdt>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bookmarkEnd w:id="2"/>
    <w:p>
      <w:pPr>
        <w:adjustRightInd/>
        <w:spacing w:line="360" w:lineRule="auto"/>
        <w:jc w:val="center"/>
        <w:outlineLvl w:val="0"/>
        <w:rPr>
          <w:rFonts w:ascii="仿宋" w:hAnsi="仿宋" w:eastAsia="仿宋" w:cs="仿宋"/>
          <w:b/>
          <w:sz w:val="36"/>
          <w:szCs w:val="20"/>
        </w:rPr>
      </w:pPr>
      <w:bookmarkStart w:id="3" w:name="_Hlt74729822"/>
      <w:bookmarkEnd w:id="3"/>
      <w:bookmarkStart w:id="4" w:name="_Hlt74728647"/>
      <w:bookmarkEnd w:id="4"/>
      <w:bookmarkStart w:id="5" w:name="_Hlt74707423"/>
      <w:bookmarkEnd w:id="5"/>
      <w:bookmarkStart w:id="6" w:name="_Hlt74649545"/>
      <w:bookmarkEnd w:id="6"/>
      <w:bookmarkStart w:id="7" w:name="_Toc1753"/>
      <w:bookmarkStart w:id="8" w:name="第二部分"/>
      <w:bookmarkStart w:id="9" w:name="_Toc91899870"/>
      <w:bookmarkStart w:id="10" w:name="_Toc91899871"/>
      <w:r>
        <w:rPr>
          <w:rFonts w:hint="eastAsia" w:ascii="仿宋" w:hAnsi="仿宋" w:eastAsia="仿宋" w:cs="仿宋"/>
          <w:b/>
          <w:sz w:val="36"/>
          <w:szCs w:val="20"/>
        </w:rPr>
        <w:t>第一部分 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u w:val="single"/>
        </w:rPr>
        <w:t>（</w:t>
      </w:r>
      <w:r>
        <w:rPr>
          <w:rFonts w:hint="eastAsia" w:ascii="仿宋" w:hAnsi="仿宋" w:eastAsia="仿宋" w:cs="仿宋"/>
          <w:sz w:val="24"/>
          <w:u w:val="single"/>
          <w:lang w:eastAsia="zh-CN"/>
        </w:rPr>
        <w:t>嘉善县干窑镇卫生院彩色多普勒超声诊断仪</w:t>
      </w:r>
      <w:r>
        <w:rPr>
          <w:rFonts w:hint="eastAsia" w:ascii="仿宋" w:hAnsi="仿宋" w:eastAsia="仿宋" w:cs="仿宋"/>
          <w:sz w:val="24"/>
          <w:u w:val="single"/>
        </w:rPr>
        <w:t>采购项目）</w:t>
      </w:r>
      <w:r>
        <w:rPr>
          <w:rFonts w:hint="eastAsia" w:ascii="仿宋" w:hAnsi="仿宋" w:eastAsia="仿宋" w:cs="仿宋"/>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lang w:eastAsia="zh-CN"/>
        </w:rPr>
        <w:t>2022年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9点30分</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rPr>
        <w:t>（</w:t>
      </w:r>
      <w:r>
        <w:rPr>
          <w:rFonts w:hint="eastAsia" w:ascii="仿宋" w:hAnsi="仿宋" w:eastAsia="仿宋" w:cs="仿宋"/>
          <w:color w:val="auto"/>
          <w:sz w:val="24"/>
          <w:lang w:eastAsia="zh-CN"/>
        </w:rPr>
        <w:t>ZHZB-2022JSGYYY-01</w:t>
      </w: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rPr>
        <w:t>（</w:t>
      </w:r>
      <w:r>
        <w:rPr>
          <w:rFonts w:hint="eastAsia" w:ascii="仿宋" w:hAnsi="仿宋" w:eastAsia="仿宋" w:cs="仿宋"/>
          <w:color w:val="auto"/>
          <w:sz w:val="24"/>
          <w:lang w:eastAsia="zh-CN"/>
        </w:rPr>
        <w:t>彩色多普勒超声诊断仪</w:t>
      </w:r>
      <w:r>
        <w:rPr>
          <w:rFonts w:hint="eastAsia" w:ascii="仿宋" w:hAnsi="仿宋" w:eastAsia="仿宋" w:cs="仿宋"/>
          <w:color w:val="auto"/>
          <w:sz w:val="24"/>
        </w:rPr>
        <w:t>采购项目）</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color w:val="auto"/>
          <w:sz w:val="24"/>
          <w:lang w:eastAsia="zh-CN"/>
        </w:rPr>
        <w:t>2000000.00</w:t>
      </w:r>
      <w:r>
        <w:rPr>
          <w:rFonts w:hint="eastAsia" w:ascii="仿宋" w:hAnsi="仿宋" w:eastAsia="仿宋" w:cs="仿宋"/>
          <w:color w:val="auto"/>
          <w:sz w:val="24"/>
        </w:rPr>
        <w:t xml:space="preserve"> </w:t>
      </w:r>
    </w:p>
    <w:p>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sz w:val="24"/>
          <w:lang w:eastAsia="zh-CN"/>
        </w:rPr>
        <w:t>2000000.00</w:t>
      </w:r>
      <w:r>
        <w:rPr>
          <w:rFonts w:hint="eastAsia" w:ascii="仿宋" w:hAnsi="仿宋" w:eastAsia="仿宋" w:cs="仿宋"/>
          <w:color w:val="auto"/>
          <w:sz w:val="24"/>
        </w:rPr>
        <w:t xml:space="preserve">  </w:t>
      </w:r>
    </w:p>
    <w:p>
      <w:pPr>
        <w:pStyle w:val="6"/>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主要内容：</w:t>
      </w:r>
      <w:r>
        <w:rPr>
          <w:rFonts w:hint="eastAsia" w:ascii="仿宋" w:hAnsi="仿宋" w:eastAsia="仿宋" w:cs="宋体"/>
          <w:color w:val="auto"/>
          <w:sz w:val="24"/>
          <w:lang w:val="en-US" w:eastAsia="zh-CN"/>
        </w:rPr>
        <w:t>彩色多普勒超声诊断仪一套</w:t>
      </w:r>
      <w:r>
        <w:rPr>
          <w:rFonts w:hint="eastAsia" w:ascii="仿宋" w:hAnsi="仿宋" w:eastAsia="仿宋" w:cs="仿宋"/>
          <w:bCs/>
          <w:snapToGrid/>
          <w:color w:val="auto"/>
          <w:kern w:val="2"/>
          <w:sz w:val="24"/>
          <w:szCs w:val="24"/>
        </w:rPr>
        <w:t>。</w:t>
      </w:r>
    </w:p>
    <w:p>
      <w:pPr>
        <w:pStyle w:val="6"/>
        <w:spacing w:line="360" w:lineRule="auto"/>
        <w:ind w:firstLine="480"/>
        <w:rPr>
          <w:rFonts w:hint="eastAsia" w:ascii="仿宋" w:hAnsi="仿宋" w:eastAsia="仿宋" w:cs="仿宋"/>
          <w:b/>
          <w:snapToGrid/>
          <w:color w:val="auto"/>
          <w:kern w:val="2"/>
          <w:sz w:val="24"/>
          <w:szCs w:val="24"/>
          <w:lang w:val="en-US" w:eastAsia="zh-CN" w:bidi="ar-SA"/>
        </w:rPr>
      </w:pPr>
      <w:r>
        <w:rPr>
          <w:rFonts w:hint="eastAsia" w:ascii="仿宋" w:hAnsi="仿宋" w:eastAsia="仿宋" w:cs="仿宋"/>
          <w:b/>
          <w:snapToGrid/>
          <w:color w:val="auto"/>
          <w:kern w:val="2"/>
          <w:sz w:val="24"/>
          <w:szCs w:val="24"/>
          <w:lang w:val="en-US" w:eastAsia="zh-CN" w:bidi="ar-SA"/>
        </w:rPr>
        <w:t>交货期：</w:t>
      </w:r>
      <w:r>
        <w:rPr>
          <w:rFonts w:hint="eastAsia" w:ascii="仿宋" w:hAnsi="仿宋" w:eastAsia="仿宋" w:cs="仿宋"/>
          <w:b w:val="0"/>
          <w:bCs/>
          <w:snapToGrid/>
          <w:color w:val="auto"/>
          <w:kern w:val="2"/>
          <w:sz w:val="24"/>
          <w:szCs w:val="24"/>
          <w:lang w:val="en-US" w:eastAsia="zh-CN" w:bidi="ar-SA"/>
        </w:rPr>
        <w:t>签订合同后2个月内</w:t>
      </w:r>
    </w:p>
    <w:p>
      <w:pPr>
        <w:pStyle w:val="6"/>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sz w:val="24"/>
        </w:rPr>
        <w:t>无；</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 w:hAnsi="仿宋" w:eastAsia="仿宋" w:cs="仿宋"/>
          <w:color w:val="auto"/>
          <w:sz w:val="24"/>
          <w:u w:val="single"/>
        </w:rPr>
      </w:pPr>
      <w:sdt>
        <w:sdtPr>
          <w:rPr>
            <w:rFonts w:hint="eastAsia" w:ascii="仿宋" w:hAnsi="仿宋" w:eastAsia="仿宋" w:cs="仿宋"/>
            <w:color w:val="auto"/>
            <w:kern w:val="0"/>
            <w:sz w:val="24"/>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ascii="仿宋" w:hAnsi="仿宋" w:eastAsia="仿宋" w:cs="仿宋"/>
          <w:color w:val="auto"/>
        </w:rPr>
      </w:pPr>
      <w:sdt>
        <w:sdtPr>
          <w:rPr>
            <w:rFonts w:hint="eastAsia" w:ascii="仿宋" w:hAnsi="仿宋" w:eastAsia="仿宋" w:cs="仿宋"/>
            <w:color w:val="auto"/>
            <w:kern w:val="0"/>
            <w:sz w:val="24"/>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3.本项目的特定资格要求：无；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2022年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日</w:t>
      </w:r>
      <w:r>
        <w:rPr>
          <w:rFonts w:hint="eastAsia" w:ascii="仿宋" w:hAnsi="仿宋" w:eastAsia="仿宋" w:cs="仿宋"/>
          <w:color w:val="auto"/>
          <w:sz w:val="24"/>
        </w:rPr>
        <w:t>，每天上午0</w:t>
      </w:r>
      <w:r>
        <w:rPr>
          <w:rFonts w:hint="eastAsia" w:ascii="仿宋" w:hAnsi="仿宋" w:eastAsia="仿宋" w:cs="仿宋"/>
          <w:sz w:val="24"/>
        </w:rPr>
        <w:t>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color w:val="auto"/>
          <w:sz w:val="24"/>
        </w:rPr>
      </w:pPr>
      <w:r>
        <w:rPr>
          <w:rFonts w:hint="eastAsia" w:ascii="仿宋" w:hAnsi="仿宋" w:eastAsia="仿宋" w:cs="仿宋"/>
          <w:b/>
          <w:sz w:val="24"/>
        </w:rPr>
        <w:t>四、提交投标文件截止时</w:t>
      </w:r>
      <w:r>
        <w:rPr>
          <w:rFonts w:hint="eastAsia" w:ascii="仿宋" w:hAnsi="仿宋" w:eastAsia="仿宋" w:cs="仿宋"/>
          <w:b/>
          <w:color w:val="auto"/>
          <w:sz w:val="24"/>
        </w:rPr>
        <w:t>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eastAsia="zh-CN"/>
        </w:rPr>
        <w:t>2022年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9点30分</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2022年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9点30分</w:t>
      </w:r>
    </w:p>
    <w:p>
      <w:pPr>
        <w:spacing w:line="360" w:lineRule="auto"/>
        <w:ind w:firstLine="482" w:firstLineChars="200"/>
        <w:rPr>
          <w:rFonts w:ascii="仿宋" w:hAnsi="仿宋" w:eastAsia="仿宋" w:cs="仿宋"/>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w:t>
      </w:r>
      <w:r>
        <w:rPr>
          <w:rFonts w:hint="eastAsia" w:ascii="仿宋" w:hAnsi="仿宋" w:eastAsia="仿宋" w:cs="仿宋"/>
          <w:sz w:val="24"/>
        </w:rPr>
        <w:t>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w:t>
      </w:r>
      <w:bookmarkStart w:id="617" w:name="_GoBack"/>
      <w:r>
        <w:rPr>
          <w:rFonts w:hint="eastAsia" w:ascii="仿宋" w:hAnsi="仿宋" w:eastAsia="仿宋" w:cs="仿宋"/>
          <w:color w:val="auto"/>
          <w:sz w:val="24"/>
        </w:rPr>
        <w:t>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lang w:val="en-US" w:eastAsia="zh-CN"/>
        </w:rPr>
        <w:t>七</w:t>
      </w:r>
      <w:r>
        <w:rPr>
          <w:rFonts w:hint="eastAsia" w:ascii="仿宋" w:hAnsi="仿宋" w:eastAsia="仿宋" w:cs="仿宋"/>
          <w:b/>
          <w:color w:val="auto"/>
          <w:sz w:val="24"/>
        </w:rPr>
        <w:t>、对本次采购提出询问、质疑、投诉，请按以下方式联系</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1.采购人信息</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名    称：</w:t>
      </w:r>
      <w:r>
        <w:rPr>
          <w:rFonts w:hint="eastAsia" w:ascii="仿宋" w:hAnsi="仿宋" w:eastAsia="仿宋" w:cs="仿宋"/>
          <w:bCs/>
          <w:color w:val="auto"/>
          <w:sz w:val="24"/>
          <w:lang w:eastAsia="zh-CN"/>
        </w:rPr>
        <w:t>嘉善县干窑镇卫生院</w:t>
      </w:r>
    </w:p>
    <w:p>
      <w:pPr>
        <w:spacing w:line="360" w:lineRule="auto"/>
        <w:rPr>
          <w:rFonts w:hint="eastAsia" w:ascii="仿宋" w:hAnsi="仿宋" w:eastAsia="仿宋" w:cs="仿宋"/>
          <w:bCs/>
          <w:color w:val="auto"/>
          <w:sz w:val="24"/>
          <w:lang w:eastAsia="zh-CN"/>
        </w:rPr>
      </w:pPr>
      <w:r>
        <w:rPr>
          <w:rFonts w:hint="eastAsia" w:ascii="仿宋" w:hAnsi="仿宋" w:eastAsia="仿宋" w:cs="仿宋"/>
          <w:color w:val="auto"/>
          <w:sz w:val="24"/>
        </w:rPr>
        <w:t xml:space="preserve">    地    址：</w:t>
      </w:r>
      <w:r>
        <w:rPr>
          <w:rFonts w:hint="eastAsia" w:ascii="仿宋" w:hAnsi="仿宋" w:eastAsia="仿宋" w:cs="仿宋"/>
          <w:bCs/>
          <w:color w:val="auto"/>
          <w:sz w:val="24"/>
          <w:lang w:eastAsia="zh-CN"/>
        </w:rPr>
        <w:t xml:space="preserve">浙江省嘉善县干窑镇窑砖南路       </w:t>
      </w:r>
    </w:p>
    <w:p>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传    真： /</w:t>
      </w:r>
    </w:p>
    <w:p>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 xml:space="preserve">项目联系人（询问）：吕建楠  </w:t>
      </w:r>
    </w:p>
    <w:p>
      <w:pPr>
        <w:spacing w:line="360" w:lineRule="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 xml:space="preserve">    项目联系方式（询问）：0573-89116969</w:t>
      </w:r>
    </w:p>
    <w:p>
      <w:pPr>
        <w:spacing w:line="360" w:lineRule="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 xml:space="preserve">    质疑联系人：吕先生 </w:t>
      </w:r>
    </w:p>
    <w:p>
      <w:pPr>
        <w:spacing w:line="360" w:lineRule="auto"/>
        <w:rPr>
          <w:rFonts w:ascii="仿宋" w:hAnsi="仿宋" w:eastAsia="仿宋" w:cs="仿宋"/>
          <w:color w:val="auto"/>
          <w:sz w:val="24"/>
        </w:rPr>
      </w:pPr>
      <w:r>
        <w:rPr>
          <w:rFonts w:hint="eastAsia" w:ascii="仿宋" w:hAnsi="仿宋" w:eastAsia="仿宋" w:cs="仿宋"/>
          <w:bCs/>
          <w:color w:val="auto"/>
          <w:sz w:val="24"/>
          <w:lang w:eastAsia="zh-CN"/>
        </w:rPr>
        <w:t xml:space="preserve">    质疑联系方式：13655736533</w:t>
      </w:r>
    </w:p>
    <w:bookmarkEnd w:id="617"/>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浙江正浩招标代理有限公司</w:t>
      </w:r>
    </w:p>
    <w:p>
      <w:pPr>
        <w:spacing w:line="360" w:lineRule="auto"/>
        <w:ind w:firstLine="48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浙江省杭州市拱墅区文晖路183号6楼</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bCs/>
          <w:kern w:val="0"/>
          <w:sz w:val="24"/>
          <w:lang w:val="en-US" w:eastAsia="zh-CN"/>
        </w:rPr>
        <w:t>陈瑶、陈涵珺、周丽</w:t>
      </w:r>
    </w:p>
    <w:p>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eastAsia="zh-CN"/>
        </w:rPr>
        <w:t>18757567243、15395821972</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许工</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质疑联系方式：0571-86838130 </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lang w:eastAsia="zh-CN"/>
        </w:rPr>
        <w:t>嘉善县财政局</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地    址：嘉兴市嘉善县解放东路318号</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w:t>
      </w:r>
      <w:r>
        <w:rPr>
          <w:rFonts w:hint="eastAsia" w:ascii="仿宋" w:hAnsi="仿宋" w:eastAsia="仿宋" w:cs="仿宋"/>
          <w:sz w:val="24"/>
          <w:lang w:val="en-US" w:eastAsia="zh-CN"/>
        </w:rPr>
        <w:t>刘科</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监督投诉电话：0573-84122310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CA问题联系电话（人工）：汇信CA 400-888-4636；天谷CA 400-087-8198。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bookmarkStart w:id="11" w:name="_Toc11466"/>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bookmarkEnd w:id="11"/>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29"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ind w:firstLine="240" w:firstLineChars="100"/>
              <w:rPr>
                <w:rFonts w:ascii="仿宋" w:hAnsi="仿宋" w:eastAsia="仿宋" w:cs="仿宋"/>
                <w:sz w:val="24"/>
              </w:rPr>
            </w:pP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1872786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lang w:eastAsia="zh-CN"/>
              </w:rPr>
              <w:t>彩色多普勒超声诊断仪</w:t>
            </w:r>
            <w:r>
              <w:rPr>
                <w:rFonts w:hint="eastAsia" w:ascii="仿宋" w:hAnsi="仿宋" w:eastAsia="仿宋" w:cs="仿宋"/>
                <w:sz w:val="24"/>
              </w:rPr>
              <w:t>。</w:t>
            </w:r>
          </w:p>
          <w:p>
            <w:pPr>
              <w:spacing w:line="360" w:lineRule="auto"/>
              <w:rPr>
                <w:rFonts w:ascii="仿宋" w:hAnsi="仿宋" w:eastAsia="仿宋" w:cs="仿宋"/>
                <w:sz w:val="24"/>
              </w:rPr>
            </w:pPr>
            <w:sdt>
              <w:sdtPr>
                <w:rPr>
                  <w:rFonts w:hint="eastAsia" w:ascii="仿宋" w:hAnsi="仿宋" w:eastAsia="仿宋" w:cs="仿宋"/>
                  <w:kern w:val="0"/>
                  <w:sz w:val="24"/>
                </w:rPr>
                <w:id w:val="47488555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彩色多普勒超声诊断仪</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为支持和促进中小企业发展，进一步发挥政府采购政策功能，凡已在浙江政府采购网网上注册入库，并取得政府采购合同的中小企业供应商，均可申请政府采购信用融资。供应商若有融资意向，详见《政府采购支持中小企业信用融资相关事项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lang w:eastAsia="zh-CN"/>
              </w:rPr>
              <w:t>浙江省杭州市拱墅区文晖路183号6楼</w:t>
            </w:r>
            <w:r>
              <w:rPr>
                <w:rFonts w:hint="eastAsia" w:ascii="仿宋" w:hAnsi="仿宋" w:eastAsia="仿宋" w:cs="仿宋"/>
                <w:sz w:val="24"/>
                <w:u w:val="single"/>
              </w:rPr>
              <w:t xml:space="preserve"> </w:t>
            </w:r>
            <w:r>
              <w:rPr>
                <w:rFonts w:hint="eastAsia" w:ascii="仿宋" w:hAnsi="仿宋" w:eastAsia="仿宋" w:cs="仿宋"/>
                <w:kern w:val="28"/>
                <w:sz w:val="24"/>
                <w:szCs w:val="24"/>
              </w:rPr>
              <w:t>；备份投标文件签收人员联系电话：</w:t>
            </w:r>
            <w:r>
              <w:rPr>
                <w:rFonts w:hint="eastAsia" w:ascii="仿宋" w:hAnsi="仿宋" w:eastAsia="仿宋" w:cs="仿宋"/>
                <w:color w:val="auto"/>
                <w:kern w:val="28"/>
                <w:sz w:val="24"/>
                <w:szCs w:val="24"/>
                <w:u w:val="single"/>
                <w:lang w:val="en-US" w:eastAsia="zh-CN"/>
              </w:rPr>
              <w:t>陈瑶、</w:t>
            </w:r>
            <w:r>
              <w:rPr>
                <w:rFonts w:hint="eastAsia" w:ascii="仿宋" w:hAnsi="仿宋" w:eastAsia="仿宋" w:cs="仿宋"/>
                <w:color w:val="auto"/>
                <w:sz w:val="24"/>
                <w:u w:val="single"/>
                <w:lang w:val="en-US" w:eastAsia="zh-CN"/>
              </w:rPr>
              <w:t>18757567243</w:t>
            </w:r>
            <w:r>
              <w:rPr>
                <w:rFonts w:hint="eastAsia" w:ascii="仿宋" w:hAnsi="仿宋" w:eastAsia="仿宋" w:cs="仿宋"/>
                <w:color w:val="auto"/>
                <w:sz w:val="24"/>
                <w:szCs w:val="24"/>
                <w:u w:val="single"/>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keepNext w:val="0"/>
              <w:keepLines w:val="0"/>
              <w:widowControl/>
              <w:shd w:val="clear" w:color="auto" w:fill="FFFFFF"/>
              <w:spacing w:before="0" w:after="0" w:line="495" w:lineRule="atLeast"/>
              <w:ind w:left="0" w:firstLine="0"/>
              <w:rPr>
                <w:rFonts w:ascii="仿宋" w:hAnsi="仿宋" w:eastAsia="仿宋" w:cs="仿宋"/>
                <w:b w:val="0"/>
                <w:bCs w:val="0"/>
                <w:snapToGrid w:val="0"/>
                <w:color w:val="000000" w:themeColor="text1"/>
                <w:kern w:val="28"/>
                <w:sz w:val="24"/>
                <w:szCs w:val="24"/>
                <w:highlight w:val="none"/>
                <w:lang w:val="zh-TW" w:eastAsia="zh-TW"/>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收取标准：</w:t>
            </w:r>
            <w:r>
              <w:rPr>
                <w:rFonts w:hint="eastAsia" w:ascii="仿宋" w:hAnsi="仿宋" w:eastAsia="仿宋" w:cs="仿宋"/>
                <w:b w:val="0"/>
                <w:bCs w:val="0"/>
                <w:snapToGrid w:val="0"/>
                <w:color w:val="000000" w:themeColor="text1"/>
                <w:kern w:val="28"/>
                <w:sz w:val="24"/>
                <w:szCs w:val="24"/>
                <w:highlight w:val="none"/>
                <w14:textFill>
                  <w14:solidFill>
                    <w14:schemeClr w14:val="tx1"/>
                  </w14:solidFill>
                </w14:textFill>
              </w:rPr>
              <w:t>按计价格[2002]1980号文件规定</w:t>
            </w:r>
            <w:r>
              <w:rPr>
                <w:rFonts w:hint="eastAsia" w:ascii="仿宋" w:hAnsi="仿宋" w:eastAsia="仿宋" w:cs="仿宋"/>
                <w:b w:val="0"/>
                <w:bCs w:val="0"/>
                <w:snapToGrid w:val="0"/>
                <w:color w:val="000000" w:themeColor="text1"/>
                <w:kern w:val="28"/>
                <w:sz w:val="24"/>
                <w:szCs w:val="24"/>
                <w:highlight w:val="none"/>
                <w:lang w:val="zh-TW" w:eastAsia="zh-TW"/>
                <w14:textFill>
                  <w14:solidFill>
                    <w14:schemeClr w14:val="tx1"/>
                  </w14:solidFill>
                </w14:textFill>
              </w:rPr>
              <w:t>计取。</w:t>
            </w:r>
          </w:p>
          <w:p>
            <w:pPr>
              <w:pStyle w:val="782"/>
              <w:widowControl w:val="0"/>
              <w:spacing w:line="460" w:lineRule="exact"/>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28"/>
                <w:sz w:val="24"/>
                <w:szCs w:val="24"/>
                <w:highlight w:val="none"/>
                <w14:textFill>
                  <w14:solidFill>
                    <w14:schemeClr w14:val="tx1"/>
                  </w14:solidFill>
                </w14:textFill>
              </w:rPr>
              <w:t>收取方式：</w:t>
            </w:r>
            <w:r>
              <w:rPr>
                <w:rFonts w:hint="eastAsia" w:ascii="仿宋" w:hAnsi="仿宋" w:eastAsia="仿宋" w:cs="仿宋"/>
                <w:snapToGrid w:val="0"/>
                <w:color w:val="000000" w:themeColor="text1"/>
                <w:kern w:val="28"/>
                <w:sz w:val="24"/>
                <w:szCs w:val="24"/>
                <w:highlight w:val="none"/>
                <w14:textFill>
                  <w14:solidFill>
                    <w14:schemeClr w14:val="tx1"/>
                  </w14:solidFill>
                </w14:textFill>
              </w:rPr>
              <w:t>本项目的代理费由中标人支付。在中标结果公告发出后由中标人一次性向采购代理机构付清。</w:t>
            </w:r>
          </w:p>
          <w:p>
            <w:pPr>
              <w:pStyle w:val="782"/>
              <w:widowControl w:val="0"/>
              <w:spacing w:line="460" w:lineRule="exact"/>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账户信息如下：</w:t>
            </w:r>
          </w:p>
          <w:p>
            <w:pPr>
              <w:pStyle w:val="782"/>
              <w:widowControl w:val="0"/>
              <w:spacing w:line="460" w:lineRule="exact"/>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户名：浙江正浩招标代理有限公司；</w:t>
            </w:r>
          </w:p>
          <w:p>
            <w:pPr>
              <w:pStyle w:val="782"/>
              <w:widowControl w:val="0"/>
              <w:spacing w:line="460" w:lineRule="exact"/>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帐号：3310010010120101045391；</w:t>
            </w:r>
          </w:p>
          <w:p>
            <w:pPr>
              <w:pStyle w:val="7"/>
              <w:ind w:firstLine="0" w:firstLineChars="0"/>
              <w:rPr>
                <w:rFonts w:ascii="仿宋" w:hAnsi="仿宋" w:eastAsia="仿宋" w:cs="仿宋"/>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开户银行：浙商银行杭州分行营业部。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continue"/>
            <w:tcBorders>
              <w:left w:val="single" w:color="000000" w:sz="8" w:space="0"/>
              <w:bottom w:val="single" w:color="auto" w:sz="4" w:space="0"/>
              <w:right w:val="single" w:color="000000" w:sz="2" w:space="0"/>
            </w:tcBorders>
          </w:tcPr>
          <w:p>
            <w:pPr>
              <w:spacing w:line="360" w:lineRule="auto"/>
              <w:rPr>
                <w:rFonts w:ascii="仿宋" w:hAnsi="仿宋" w:eastAsia="仿宋" w:cs="仿宋"/>
              </w:rPr>
            </w:pPr>
          </w:p>
        </w:tc>
        <w:tc>
          <w:tcPr>
            <w:tcW w:w="1843" w:type="dxa"/>
            <w:vMerge w:val="continue"/>
            <w:tcBorders>
              <w:left w:val="single" w:color="000000" w:sz="2" w:space="0"/>
              <w:bottom w:val="single" w:color="000000" w:sz="8" w:space="0"/>
              <w:right w:val="single" w:color="000000" w:sz="8" w:space="0"/>
            </w:tcBorders>
            <w:vAlign w:val="center"/>
          </w:tcPr>
          <w:p>
            <w:pPr>
              <w:spacing w:line="360" w:lineRule="auto"/>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无。</w:t>
            </w:r>
          </w:p>
        </w:tc>
      </w:tr>
    </w:tbl>
    <w:p>
      <w:pPr>
        <w:snapToGrid w:val="0"/>
        <w:spacing w:line="360" w:lineRule="auto"/>
        <w:jc w:val="center"/>
        <w:rPr>
          <w:rFonts w:ascii="仿宋" w:hAnsi="仿宋" w:eastAsia="仿宋" w:cs="仿宋"/>
          <w:b/>
          <w:sz w:val="32"/>
          <w:szCs w:val="20"/>
        </w:rPr>
      </w:pPr>
    </w:p>
    <w:bookmarkEnd w:id="10"/>
    <w:p>
      <w:pPr>
        <w:adjustRightInd/>
        <w:spacing w:line="360" w:lineRule="auto"/>
        <w:ind w:firstLine="3845" w:firstLineChars="1197"/>
        <w:outlineLvl w:val="0"/>
        <w:rPr>
          <w:rFonts w:ascii="仿宋" w:hAnsi="仿宋" w:eastAsia="仿宋" w:cs="仿宋"/>
          <w:b/>
          <w:sz w:val="32"/>
          <w:szCs w:val="20"/>
        </w:rPr>
      </w:pPr>
      <w:bookmarkStart w:id="12" w:name="_Toc27344"/>
      <w:bookmarkStart w:id="13" w:name="_Toc164416483"/>
      <w:bookmarkStart w:id="14" w:name="第三部分"/>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pStyle w:val="7"/>
        <w:ind w:firstLine="643"/>
        <w:rPr>
          <w:rFonts w:ascii="仿宋" w:hAnsi="仿宋" w:eastAsia="仿宋" w:cs="仿宋"/>
          <w:b/>
          <w:sz w:val="32"/>
          <w:szCs w:val="20"/>
        </w:rPr>
      </w:pPr>
    </w:p>
    <w:p>
      <w:pPr>
        <w:rPr>
          <w:rFonts w:ascii="仿宋" w:hAnsi="仿宋" w:eastAsia="仿宋" w:cs="仿宋"/>
          <w:b/>
          <w:sz w:val="32"/>
          <w:szCs w:val="20"/>
        </w:rPr>
      </w:pPr>
    </w:p>
    <w:p>
      <w:pPr>
        <w:pStyle w:val="7"/>
        <w:ind w:left="0" w:leftChars="0" w:firstLine="0" w:firstLineChars="0"/>
        <w:rPr>
          <w:rFonts w:ascii="仿宋" w:hAnsi="仿宋" w:eastAsia="仿宋" w:cs="仿宋"/>
          <w:b/>
          <w:sz w:val="32"/>
          <w:szCs w:val="20"/>
        </w:rPr>
      </w:pPr>
    </w:p>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bookmarkEnd w:id="12"/>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15" w:name="_Toc13028"/>
      <w:r>
        <w:rPr>
          <w:rFonts w:hint="eastAsia" w:ascii="仿宋" w:hAnsi="仿宋" w:eastAsia="仿宋" w:cs="仿宋"/>
          <w:b/>
          <w:sz w:val="24"/>
        </w:rPr>
        <w:t>2.定义</w:t>
      </w:r>
      <w:bookmarkEnd w:id="15"/>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sz w:val="24"/>
          <w:lang w:eastAsia="zh-CN"/>
        </w:rPr>
        <w:t>。</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lang w:eastAsia="zh-CN"/>
        </w:rPr>
        <w:t>20%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31"/>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16" w:name="_Toc24357"/>
      <w:r>
        <w:rPr>
          <w:rFonts w:hint="eastAsia" w:ascii="仿宋" w:hAnsi="仿宋" w:eastAsia="仿宋" w:cs="仿宋"/>
          <w:b/>
          <w:sz w:val="32"/>
          <w:szCs w:val="20"/>
        </w:rPr>
        <w:t>二、招标文件的构成、澄清、修改</w:t>
      </w:r>
      <w:bookmarkEnd w:id="16"/>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1"/>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1"/>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bookmarkStart w:id="17" w:name="_Toc27670"/>
      <w:r>
        <w:rPr>
          <w:rFonts w:hint="eastAsia" w:ascii="仿宋" w:hAnsi="仿宋" w:eastAsia="仿宋" w:cs="仿宋"/>
          <w:b/>
          <w:sz w:val="30"/>
          <w:szCs w:val="20"/>
        </w:rPr>
        <w:t>三、投标</w:t>
      </w:r>
      <w:bookmarkEnd w:id="17"/>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1"/>
        <w:snapToGrid w:val="0"/>
        <w:spacing w:before="0"/>
        <w:ind w:firstLine="0" w:firstLineChars="0"/>
        <w:outlineLvl w:val="0"/>
        <w:rPr>
          <w:rFonts w:ascii="仿宋" w:hAnsi="仿宋" w:eastAsia="仿宋" w:cs="仿宋"/>
          <w:b/>
          <w:szCs w:val="24"/>
        </w:rPr>
      </w:pPr>
      <w:bookmarkStart w:id="18" w:name="_Toc29331"/>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bookmarkEnd w:id="18"/>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1"/>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1"/>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1"/>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7"/>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1"/>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1"/>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仿宋" w:hAnsi="仿宋" w:eastAsia="仿宋" w:cs="仿宋"/>
          <w:b/>
          <w:sz w:val="32"/>
        </w:rPr>
      </w:pPr>
    </w:p>
    <w:p>
      <w:pPr>
        <w:pStyle w:val="13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1"/>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1"/>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19" w:name="_Toc28639"/>
      <w:r>
        <w:rPr>
          <w:rFonts w:hint="eastAsia" w:ascii="仿宋" w:hAnsi="仿宋" w:eastAsia="仿宋" w:cs="仿宋"/>
          <w:b/>
          <w:sz w:val="36"/>
          <w:szCs w:val="36"/>
        </w:rPr>
        <w:t>五、评标</w:t>
      </w:r>
      <w:bookmarkEnd w:id="19"/>
    </w:p>
    <w:p>
      <w:pPr>
        <w:spacing w:line="360" w:lineRule="auto"/>
        <w:rPr>
          <w:rFonts w:ascii="仿宋" w:hAnsi="仿宋" w:eastAsia="仿宋" w:cs="仿宋"/>
          <w:b/>
          <w:sz w:val="24"/>
        </w:rPr>
      </w:pPr>
      <w:bookmarkStart w:id="20"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bookmarkStart w:id="21" w:name="_Toc15261"/>
      <w:r>
        <w:rPr>
          <w:rFonts w:hint="eastAsia" w:ascii="仿宋" w:hAnsi="仿宋" w:eastAsia="仿宋" w:cs="仿宋"/>
          <w:b/>
          <w:sz w:val="36"/>
          <w:szCs w:val="36"/>
        </w:rPr>
        <w:t>六、定 标</w:t>
      </w:r>
      <w:bookmarkEnd w:id="21"/>
    </w:p>
    <w:p>
      <w:pPr>
        <w:pStyle w:val="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1"/>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7"/>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7"/>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eastAsia="zh-CN"/>
        </w:rPr>
        <w:t>1%</w:t>
      </w:r>
      <w:r>
        <w:rPr>
          <w:rFonts w:hint="eastAsia" w:ascii="仿宋" w:hAnsi="仿宋" w:eastAsia="仿宋" w:cs="仿宋"/>
          <w:sz w:val="24"/>
        </w:rPr>
        <w:t>。鼓励和支持供应商以银行、保险公司出具的保函形式提供履约保证金。</w:t>
      </w:r>
      <w:r>
        <w:rPr>
          <w:rFonts w:hint="eastAsia" w:ascii="仿宋" w:hAnsi="仿宋" w:eastAsia="仿宋" w:cs="仿宋"/>
          <w:b/>
          <w:sz w:val="24"/>
        </w:rPr>
        <w:t>采购人不得拒收履约保函。</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1"/>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1"/>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1"/>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1"/>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1"/>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1"/>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7"/>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68073093"/>
      <w:bookmarkEnd w:id="22"/>
      <w:bookmarkStart w:id="23" w:name="_Hlt74714665"/>
      <w:bookmarkEnd w:id="23"/>
      <w:bookmarkStart w:id="24" w:name="_Hlt68057669"/>
      <w:bookmarkEnd w:id="24"/>
      <w:bookmarkStart w:id="25" w:name="_Hlt68403820"/>
      <w:bookmarkEnd w:id="25"/>
      <w:bookmarkStart w:id="26" w:name="_Hlt74707468"/>
      <w:bookmarkEnd w:id="26"/>
      <w:bookmarkStart w:id="27" w:name="_Hlt68072990"/>
      <w:bookmarkEnd w:id="27"/>
      <w:bookmarkStart w:id="28" w:name="_Hlt74730295"/>
      <w:bookmarkEnd w:id="28"/>
      <w:bookmarkStart w:id="29" w:name="_Hlt75236011"/>
      <w:bookmarkEnd w:id="29"/>
      <w:bookmarkStart w:id="30" w:name="_Hlt75236290"/>
      <w:bookmarkEnd w:id="30"/>
      <w:bookmarkStart w:id="31" w:name="_Hlt68072998"/>
      <w:bookmarkEnd w:id="31"/>
      <w:bookmarkStart w:id="32" w:name="_Hlt74729768"/>
      <w:bookmarkEnd w:id="32"/>
      <w:bookmarkStart w:id="33" w:name="_Hlt75236101"/>
      <w:bookmarkEnd w:id="33"/>
    </w:p>
    <w:bookmarkEnd w:id="13"/>
    <w:bookmarkEnd w:id="14"/>
    <w:p>
      <w:pPr>
        <w:numPr>
          <w:ilvl w:val="0"/>
          <w:numId w:val="1"/>
        </w:numPr>
        <w:spacing w:line="360" w:lineRule="auto"/>
        <w:jc w:val="center"/>
        <w:outlineLvl w:val="0"/>
        <w:rPr>
          <w:rFonts w:hint="eastAsia" w:ascii="仿宋" w:hAnsi="仿宋" w:eastAsia="仿宋" w:cs="仿宋"/>
          <w:b/>
          <w:sz w:val="36"/>
          <w:szCs w:val="36"/>
        </w:rPr>
      </w:pPr>
      <w:bookmarkStart w:id="34" w:name="_Toc27567"/>
      <w:bookmarkStart w:id="35" w:name="第四部分"/>
      <w:r>
        <w:rPr>
          <w:rFonts w:hint="eastAsia" w:ascii="仿宋" w:hAnsi="仿宋" w:eastAsia="仿宋" w:cs="仿宋"/>
          <w:b/>
          <w:sz w:val="36"/>
          <w:szCs w:val="36"/>
        </w:rPr>
        <w:t xml:space="preserve">  采购需求</w:t>
      </w:r>
      <w:bookmarkEnd w:id="34"/>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属于实质性要求条款的，请用符号“▲”标明，否则属于非实质性要求。</w:t>
      </w:r>
    </w:p>
    <w:p>
      <w:pPr>
        <w:numPr>
          <w:ilvl w:val="0"/>
          <w:numId w:val="2"/>
        </w:numPr>
        <w:adjustRightInd/>
        <w:spacing w:line="360" w:lineRule="auto"/>
        <w:jc w:val="center"/>
        <w:rPr>
          <w:rFonts w:hint="eastAsia" w:ascii="仿宋" w:hAnsi="仿宋" w:eastAsia="仿宋" w:cs="宋体"/>
          <w:b/>
          <w:color w:val="000000"/>
          <w:sz w:val="24"/>
        </w:rPr>
      </w:pPr>
      <w:r>
        <w:rPr>
          <w:rFonts w:hint="eastAsia" w:ascii="仿宋" w:hAnsi="仿宋" w:eastAsia="仿宋" w:cs="宋体"/>
          <w:b/>
          <w:color w:val="000000"/>
          <w:sz w:val="24"/>
        </w:rPr>
        <w:t>招标一览表</w:t>
      </w:r>
    </w:p>
    <w:tbl>
      <w:tblPr>
        <w:tblStyle w:val="63"/>
        <w:tblW w:w="4996" w:type="pct"/>
        <w:jc w:val="center"/>
        <w:tblLayout w:type="autofit"/>
        <w:tblCellMar>
          <w:top w:w="0" w:type="dxa"/>
          <w:left w:w="0" w:type="dxa"/>
          <w:bottom w:w="0" w:type="dxa"/>
          <w:right w:w="0" w:type="dxa"/>
        </w:tblCellMar>
      </w:tblPr>
      <w:tblGrid>
        <w:gridCol w:w="698"/>
        <w:gridCol w:w="3702"/>
        <w:gridCol w:w="1769"/>
        <w:gridCol w:w="703"/>
        <w:gridCol w:w="676"/>
        <w:gridCol w:w="754"/>
      </w:tblGrid>
      <w:tr>
        <w:tblPrEx>
          <w:tblCellMar>
            <w:top w:w="0" w:type="dxa"/>
            <w:left w:w="0" w:type="dxa"/>
            <w:bottom w:w="0" w:type="dxa"/>
            <w:right w:w="0" w:type="dxa"/>
          </w:tblCellMar>
        </w:tblPrEx>
        <w:trPr>
          <w:cantSplit/>
          <w:trHeight w:val="459" w:hRule="atLeast"/>
          <w:jc w:val="center"/>
        </w:trPr>
        <w:tc>
          <w:tcPr>
            <w:tcW w:w="42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lang w:eastAsia="zh-CN"/>
              </w:rPr>
            </w:pPr>
            <w:r>
              <w:rPr>
                <w:rFonts w:hint="eastAsia" w:ascii="仿宋" w:hAnsi="仿宋" w:eastAsia="仿宋" w:cs="宋体"/>
                <w:bCs/>
                <w:color w:val="000000"/>
                <w:sz w:val="24"/>
                <w:lang w:val="en-US" w:eastAsia="zh-CN"/>
              </w:rPr>
              <w:t>序号</w:t>
            </w:r>
          </w:p>
        </w:tc>
        <w:tc>
          <w:tcPr>
            <w:tcW w:w="2229"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rPr>
            </w:pPr>
            <w:r>
              <w:rPr>
                <w:rFonts w:hint="eastAsia" w:ascii="仿宋" w:hAnsi="仿宋" w:eastAsia="仿宋" w:cs="宋体"/>
                <w:bCs/>
                <w:color w:val="000000"/>
                <w:sz w:val="24"/>
              </w:rPr>
              <w:t>名称</w:t>
            </w:r>
          </w:p>
        </w:tc>
        <w:tc>
          <w:tcPr>
            <w:tcW w:w="106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宋体"/>
                <w:bCs/>
                <w:color w:val="000000"/>
                <w:sz w:val="24"/>
                <w:lang w:val="en-US" w:eastAsia="zh-CN"/>
              </w:rPr>
            </w:pPr>
            <w:r>
              <w:rPr>
                <w:rFonts w:hint="eastAsia" w:ascii="仿宋" w:hAnsi="仿宋" w:eastAsia="仿宋" w:cs="宋体"/>
                <w:bCs/>
                <w:color w:val="000000"/>
                <w:sz w:val="24"/>
                <w:lang w:val="en-US" w:eastAsia="zh-CN"/>
              </w:rPr>
              <w:t>预算金额（万元）</w:t>
            </w:r>
          </w:p>
        </w:tc>
        <w:tc>
          <w:tcPr>
            <w:tcW w:w="4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bCs/>
                <w:sz w:val="24"/>
              </w:rPr>
            </w:pPr>
            <w:r>
              <w:rPr>
                <w:rFonts w:hint="eastAsia" w:ascii="仿宋" w:hAnsi="仿宋" w:eastAsia="仿宋" w:cs="仿宋"/>
                <w:bCs/>
                <w:sz w:val="24"/>
              </w:rPr>
              <w:t>单位</w:t>
            </w:r>
          </w:p>
        </w:tc>
        <w:tc>
          <w:tcPr>
            <w:tcW w:w="40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5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CellMar>
            <w:top w:w="0" w:type="dxa"/>
            <w:left w:w="0" w:type="dxa"/>
            <w:bottom w:w="0" w:type="dxa"/>
            <w:right w:w="0" w:type="dxa"/>
          </w:tblCellMar>
        </w:tblPrEx>
        <w:trPr>
          <w:cantSplit/>
          <w:trHeight w:val="463" w:hRule="atLeast"/>
          <w:jc w:val="center"/>
        </w:trPr>
        <w:tc>
          <w:tcPr>
            <w:tcW w:w="42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1</w:t>
            </w:r>
          </w:p>
        </w:tc>
        <w:tc>
          <w:tcPr>
            <w:tcW w:w="2229"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lang w:eastAsia="zh-CN"/>
              </w:rPr>
            </w:pPr>
            <w:r>
              <w:rPr>
                <w:rFonts w:hint="eastAsia" w:ascii="仿宋" w:hAnsi="仿宋" w:eastAsia="仿宋" w:cs="宋体"/>
                <w:bCs/>
                <w:color w:val="000000"/>
                <w:sz w:val="24"/>
                <w:lang w:eastAsia="zh-CN"/>
              </w:rPr>
              <w:t>彩色多普勒超声诊断仪</w:t>
            </w:r>
            <w:r>
              <w:rPr>
                <w:rFonts w:hint="eastAsia" w:ascii="仿宋" w:hAnsi="仿宋" w:eastAsia="仿宋" w:cs="宋体"/>
                <w:bCs/>
                <w:color w:val="000000"/>
                <w:sz w:val="24"/>
                <w:lang w:eastAsia="zh-CN"/>
              </w:rPr>
              <w:tab/>
            </w:r>
          </w:p>
        </w:tc>
        <w:tc>
          <w:tcPr>
            <w:tcW w:w="106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200</w:t>
            </w:r>
          </w:p>
        </w:tc>
        <w:tc>
          <w:tcPr>
            <w:tcW w:w="4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套</w:t>
            </w:r>
          </w:p>
        </w:tc>
        <w:tc>
          <w:tcPr>
            <w:tcW w:w="40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color w:val="auto"/>
                <w:sz w:val="24"/>
                <w:u w:val="none"/>
                <w:lang w:val="en-US" w:eastAsia="zh-CN"/>
              </w:rPr>
            </w:pPr>
            <w:r>
              <w:rPr>
                <w:rFonts w:hint="eastAsia" w:ascii="仿宋" w:hAnsi="仿宋" w:eastAsia="仿宋" w:cs="仿宋"/>
                <w:color w:val="auto"/>
                <w:sz w:val="24"/>
                <w:u w:val="none"/>
                <w:lang w:val="en-US" w:eastAsia="zh-CN"/>
              </w:rPr>
              <w:t>1</w:t>
            </w:r>
          </w:p>
        </w:tc>
        <w:tc>
          <w:tcPr>
            <w:tcW w:w="45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仿宋"/>
                <w:color w:val="FF0000"/>
                <w:sz w:val="24"/>
                <w:lang w:val="en-US" w:eastAsia="zh-CN"/>
              </w:rPr>
            </w:pPr>
          </w:p>
        </w:tc>
      </w:tr>
    </w:tbl>
    <w:p>
      <w:pPr>
        <w:snapToGrid w:val="0"/>
        <w:spacing w:before="120" w:beforeLines="50" w:after="120" w:afterLines="50"/>
        <w:jc w:val="left"/>
        <w:outlineLvl w:val="1"/>
        <w:rPr>
          <w:rFonts w:hint="eastAsia"/>
        </w:rPr>
      </w:pPr>
      <w:r>
        <w:rPr>
          <w:rFonts w:hint="eastAsia" w:ascii="仿宋" w:hAnsi="仿宋" w:eastAsia="仿宋"/>
          <w:b/>
          <w:color w:val="auto"/>
          <w:sz w:val="24"/>
          <w:lang w:val="en-US" w:eastAsia="zh-CN"/>
        </w:rPr>
        <w:t>二</w:t>
      </w:r>
      <w:r>
        <w:rPr>
          <w:rFonts w:hint="eastAsia" w:ascii="仿宋" w:hAnsi="仿宋" w:eastAsia="仿宋"/>
          <w:b/>
          <w:color w:val="auto"/>
          <w:sz w:val="24"/>
        </w:rPr>
        <w:t>、商务要求</w:t>
      </w:r>
    </w:p>
    <w:tbl>
      <w:tblPr>
        <w:tblStyle w:val="63"/>
        <w:tblW w:w="846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75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auto"/>
                <w:sz w:val="24"/>
              </w:rPr>
            </w:pPr>
            <w:r>
              <w:rPr>
                <w:rFonts w:hint="eastAsia" w:ascii="仿宋" w:hAnsi="仿宋" w:eastAsia="仿宋" w:cs="宋体"/>
                <w:bCs/>
                <w:color w:val="auto"/>
                <w:kern w:val="0"/>
                <w:sz w:val="24"/>
              </w:rPr>
              <w:t>1</w:t>
            </w:r>
          </w:p>
        </w:tc>
        <w:tc>
          <w:tcPr>
            <w:tcW w:w="7531" w:type="dxa"/>
            <w:vAlign w:val="center"/>
          </w:tcPr>
          <w:p>
            <w:pPr>
              <w:widowControl/>
              <w:rPr>
                <w:rFonts w:ascii="仿宋" w:hAnsi="仿宋" w:eastAsia="仿宋" w:cs="宋体"/>
                <w:color w:val="auto"/>
                <w:sz w:val="24"/>
              </w:rPr>
            </w:pPr>
            <w:r>
              <w:rPr>
                <w:rFonts w:hint="eastAsia" w:ascii="仿宋" w:hAnsi="仿宋" w:eastAsia="仿宋" w:cs="宋体"/>
                <w:bCs/>
                <w:color w:val="auto"/>
                <w:kern w:val="0"/>
                <w:sz w:val="24"/>
              </w:rPr>
              <w:t>保修≥</w:t>
            </w:r>
            <w:r>
              <w:rPr>
                <w:rFonts w:hint="eastAsia" w:ascii="仿宋" w:hAnsi="仿宋" w:eastAsia="仿宋" w:cs="宋体"/>
                <w:bCs/>
                <w:color w:val="auto"/>
                <w:kern w:val="0"/>
                <w:sz w:val="24"/>
                <w:lang w:val="en-US" w:eastAsia="zh-CN"/>
              </w:rPr>
              <w:t>2</w:t>
            </w:r>
            <w:r>
              <w:rPr>
                <w:rFonts w:hint="eastAsia" w:ascii="仿宋" w:hAnsi="仿宋" w:eastAsia="仿宋" w:cs="宋体"/>
                <w:bCs/>
                <w:color w:val="auto"/>
                <w:kern w:val="0"/>
                <w:sz w:val="24"/>
              </w:rPr>
              <w:t>年，提供整机原厂免费保修，</w:t>
            </w:r>
            <w:r>
              <w:rPr>
                <w:rFonts w:hint="eastAsia" w:ascii="仿宋" w:hAnsi="仿宋" w:eastAsia="仿宋"/>
                <w:color w:val="auto"/>
                <w:sz w:val="24"/>
              </w:rPr>
              <w:t>保修期内乙方负责对其提供的设备进行免费的维修。</w:t>
            </w:r>
            <w:r>
              <w:rPr>
                <w:rFonts w:hint="eastAsia" w:ascii="仿宋" w:hAnsi="仿宋" w:eastAsia="仿宋" w:cs="宋体"/>
                <w:bCs/>
                <w:color w:val="auto"/>
                <w:kern w:val="0"/>
                <w:sz w:val="24"/>
              </w:rPr>
              <w:t>投标人须提供原厂商售后服务承诺书。保质期内因设备本身缺陷造成各种故障应由卖方免费技术服务和维修。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auto"/>
                <w:sz w:val="24"/>
              </w:rPr>
            </w:pPr>
            <w:r>
              <w:rPr>
                <w:rFonts w:hint="eastAsia" w:ascii="仿宋" w:hAnsi="仿宋" w:eastAsia="仿宋" w:cs="宋体"/>
                <w:bCs/>
                <w:color w:val="auto"/>
                <w:kern w:val="0"/>
                <w:sz w:val="24"/>
              </w:rPr>
              <w:t>2</w:t>
            </w:r>
          </w:p>
        </w:tc>
        <w:tc>
          <w:tcPr>
            <w:tcW w:w="7531" w:type="dxa"/>
            <w:vAlign w:val="center"/>
          </w:tcPr>
          <w:p>
            <w:pPr>
              <w:widowControl/>
              <w:rPr>
                <w:rFonts w:hint="eastAsia" w:ascii="仿宋" w:hAnsi="仿宋" w:eastAsia="仿宋" w:cs="宋体"/>
                <w:color w:val="auto"/>
                <w:sz w:val="24"/>
                <w:lang w:eastAsia="zh-CN"/>
              </w:rPr>
            </w:pPr>
            <w:r>
              <w:rPr>
                <w:rFonts w:hint="eastAsia" w:ascii="仿宋" w:hAnsi="仿宋" w:eastAsia="仿宋" w:cs="宋体"/>
                <w:bCs/>
                <w:color w:val="auto"/>
                <w:kern w:val="0"/>
                <w:sz w:val="24"/>
              </w:rPr>
              <w:t>投标时提供耗材和易损件的最优惠单独报价清单</w:t>
            </w:r>
            <w:r>
              <w:rPr>
                <w:rFonts w:hint="eastAsia" w:ascii="仿宋" w:hAnsi="仿宋" w:eastAsia="仿宋" w:cs="宋体"/>
                <w:bCs/>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auto"/>
                <w:sz w:val="24"/>
              </w:rPr>
            </w:pPr>
            <w:r>
              <w:rPr>
                <w:rFonts w:hint="eastAsia" w:ascii="仿宋" w:hAnsi="仿宋" w:eastAsia="仿宋"/>
                <w:color w:val="auto"/>
                <w:sz w:val="24"/>
              </w:rPr>
              <w:t>3</w:t>
            </w:r>
          </w:p>
        </w:tc>
        <w:tc>
          <w:tcPr>
            <w:tcW w:w="7531" w:type="dxa"/>
          </w:tcPr>
          <w:p>
            <w:pPr>
              <w:widowControl/>
              <w:rPr>
                <w:rFonts w:ascii="仿宋" w:hAnsi="仿宋" w:eastAsia="仿宋" w:cs="宋体"/>
                <w:color w:val="auto"/>
                <w:sz w:val="24"/>
              </w:rPr>
            </w:pPr>
            <w:r>
              <w:rPr>
                <w:rFonts w:hint="eastAsia" w:ascii="仿宋" w:hAnsi="仿宋" w:eastAsia="仿宋" w:cs="宋体"/>
                <w:bCs/>
                <w:color w:val="auto"/>
                <w:kern w:val="0"/>
                <w:sz w:val="24"/>
              </w:rPr>
              <w:t>付款条件：</w:t>
            </w:r>
            <w:r>
              <w:rPr>
                <w:rFonts w:hint="eastAsia" w:ascii="仿宋" w:hAnsi="仿宋" w:eastAsia="仿宋" w:cs="宋体"/>
                <w:bCs/>
                <w:color w:val="auto"/>
                <w:kern w:val="0"/>
                <w:sz w:val="24"/>
                <w:lang w:val="en-US" w:eastAsia="zh-CN"/>
              </w:rPr>
              <w:t>合同生效以及具备实施条件后七个工作日内支付合同预付款40%，设备验收合格后一个月内支付合同总价的50%，余款10%一年后付清。。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auto"/>
                <w:sz w:val="24"/>
              </w:rPr>
            </w:pPr>
            <w:r>
              <w:rPr>
                <w:rFonts w:hint="eastAsia" w:ascii="仿宋" w:hAnsi="仿宋" w:eastAsia="仿宋"/>
                <w:color w:val="auto"/>
                <w:sz w:val="24"/>
              </w:rPr>
              <w:t>4</w:t>
            </w:r>
          </w:p>
        </w:tc>
        <w:tc>
          <w:tcPr>
            <w:tcW w:w="7531" w:type="dxa"/>
            <w:vAlign w:val="top"/>
          </w:tcPr>
          <w:p>
            <w:pPr>
              <w:widowControl/>
              <w:rPr>
                <w:rFonts w:ascii="仿宋" w:hAnsi="仿宋" w:eastAsia="仿宋" w:cs="宋体"/>
                <w:bCs/>
                <w:color w:val="auto"/>
                <w:kern w:val="0"/>
                <w:sz w:val="24"/>
                <w:szCs w:val="24"/>
                <w:lang w:val="en-US" w:eastAsia="zh-CN" w:bidi="ar-SA"/>
              </w:rPr>
            </w:pPr>
            <w:r>
              <w:rPr>
                <w:rFonts w:hint="eastAsia" w:ascii="仿宋" w:hAnsi="仿宋" w:eastAsia="仿宋" w:cs="宋体"/>
                <w:bCs/>
                <w:color w:val="auto"/>
                <w:kern w:val="0"/>
                <w:sz w:val="24"/>
              </w:rPr>
              <w:t>交货期：签订合同后</w:t>
            </w:r>
            <w:r>
              <w:rPr>
                <w:rFonts w:hint="eastAsia" w:ascii="仿宋" w:hAnsi="仿宋" w:eastAsia="仿宋" w:cs="宋体"/>
                <w:bCs/>
                <w:color w:val="auto"/>
                <w:kern w:val="0"/>
                <w:sz w:val="24"/>
                <w:lang w:val="en-US" w:eastAsia="zh-CN"/>
              </w:rPr>
              <w:t>2个月</w:t>
            </w:r>
            <w:r>
              <w:rPr>
                <w:rFonts w:hint="eastAsia" w:ascii="仿宋" w:hAnsi="仿宋" w:eastAsia="仿宋" w:cs="宋体"/>
                <w:bCs/>
                <w:color w:val="auto"/>
                <w:kern w:val="0"/>
                <w:sz w:val="24"/>
              </w:rPr>
              <w:t>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7531" w:type="dxa"/>
            <w:vAlign w:val="center"/>
          </w:tcPr>
          <w:p>
            <w:pPr>
              <w:widowControl/>
              <w:rPr>
                <w:rFonts w:ascii="仿宋" w:hAnsi="仿宋" w:eastAsia="仿宋" w:cs="宋体"/>
                <w:bCs/>
                <w:color w:val="000000" w:themeColor="text1"/>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技术支持：中标商应提供免费软件升级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933" w:type="dxa"/>
            <w:vAlign w:val="center"/>
          </w:tcPr>
          <w:p>
            <w:pPr>
              <w:widowControl/>
              <w:jc w:val="center"/>
              <w:rPr>
                <w:rFonts w:ascii="仿宋" w:hAnsi="仿宋" w:eastAsia="仿宋"/>
                <w:sz w:val="24"/>
              </w:rPr>
            </w:pPr>
            <w:r>
              <w:rPr>
                <w:rFonts w:hint="eastAsia" w:ascii="仿宋" w:hAnsi="仿宋" w:eastAsia="仿宋"/>
                <w:sz w:val="24"/>
              </w:rPr>
              <w:t>6</w:t>
            </w:r>
          </w:p>
        </w:tc>
        <w:tc>
          <w:tcPr>
            <w:tcW w:w="7531" w:type="dxa"/>
            <w:vAlign w:val="center"/>
          </w:tcPr>
          <w:p>
            <w:pPr>
              <w:widowControl/>
              <w:rPr>
                <w:rFonts w:ascii="仿宋" w:hAnsi="仿宋" w:eastAsia="仿宋" w:cs="宋体"/>
                <w:bCs/>
                <w:kern w:val="0"/>
                <w:sz w:val="24"/>
                <w:szCs w:val="24"/>
                <w:lang w:val="en-US" w:eastAsia="zh-CN" w:bidi="ar-SA"/>
              </w:rPr>
            </w:pPr>
            <w:r>
              <w:rPr>
                <w:rFonts w:hint="eastAsia" w:ascii="仿宋" w:hAnsi="仿宋" w:eastAsia="仿宋" w:cs="宋体"/>
                <w:bCs/>
                <w:kern w:val="0"/>
                <w:sz w:val="24"/>
              </w:rPr>
              <w:t>随机资料：提供全套用于安装、操作、维护技术文件，提供使用说明书，维修保养说明书，提供软件操作手册，提供电子版说明书。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sz w:val="24"/>
              </w:rPr>
            </w:pPr>
            <w:r>
              <w:rPr>
                <w:rFonts w:hint="eastAsia" w:ascii="仿宋" w:hAnsi="仿宋" w:eastAsia="仿宋"/>
                <w:sz w:val="24"/>
              </w:rPr>
              <w:t>7</w:t>
            </w:r>
          </w:p>
        </w:tc>
        <w:tc>
          <w:tcPr>
            <w:tcW w:w="7531" w:type="dxa"/>
            <w:vAlign w:val="center"/>
          </w:tcPr>
          <w:p>
            <w:pPr>
              <w:widowControl/>
              <w:rPr>
                <w:rFonts w:ascii="仿宋" w:hAnsi="仿宋" w:eastAsia="仿宋" w:cs="宋体"/>
                <w:bCs/>
                <w:kern w:val="0"/>
                <w:sz w:val="24"/>
                <w:szCs w:val="24"/>
                <w:lang w:val="en-US" w:eastAsia="zh-CN" w:bidi="ar-SA"/>
              </w:rPr>
            </w:pPr>
            <w:r>
              <w:rPr>
                <w:rFonts w:hint="eastAsia" w:ascii="仿宋" w:hAnsi="仿宋" w:eastAsia="仿宋" w:cs="宋体"/>
                <w:bCs/>
                <w:kern w:val="0"/>
                <w:sz w:val="24"/>
              </w:rPr>
              <w:t>售后服务：1、保修期内的维护保养次数：每年不少于2次；</w:t>
            </w:r>
            <w:r>
              <w:rPr>
                <w:rFonts w:hint="eastAsia" w:ascii="仿宋" w:hAnsi="仿宋" w:eastAsia="仿宋" w:cs="宋体"/>
                <w:bCs/>
                <w:kern w:val="0"/>
                <w:sz w:val="24"/>
                <w:lang w:val="en-US" w:eastAsia="zh-CN"/>
              </w:rPr>
              <w:t>2</w:t>
            </w:r>
            <w:r>
              <w:rPr>
                <w:rFonts w:hint="eastAsia" w:ascii="仿宋" w:hAnsi="仿宋" w:eastAsia="仿宋" w:cs="宋体"/>
                <w:bCs/>
                <w:kern w:val="0"/>
                <w:sz w:val="24"/>
              </w:rPr>
              <w:t>、零配件供应≥10年；</w:t>
            </w:r>
            <w:r>
              <w:rPr>
                <w:rFonts w:hint="eastAsia" w:ascii="仿宋" w:hAnsi="仿宋" w:eastAsia="仿宋" w:cs="宋体"/>
                <w:bCs/>
                <w:kern w:val="0"/>
                <w:sz w:val="24"/>
                <w:lang w:val="en-US" w:eastAsia="zh-CN"/>
              </w:rPr>
              <w:t>3</w:t>
            </w:r>
            <w:r>
              <w:rPr>
                <w:rFonts w:hint="eastAsia" w:ascii="仿宋" w:hAnsi="仿宋" w:eastAsia="仿宋" w:cs="宋体"/>
                <w:bCs/>
                <w:kern w:val="0"/>
                <w:sz w:val="24"/>
              </w:rPr>
              <w:t>、在设备整个使用期内，卖方应确保设备的正常使用。</w:t>
            </w:r>
            <w:r>
              <w:rPr>
                <w:rFonts w:hint="eastAsia" w:ascii="仿宋" w:hAnsi="仿宋" w:eastAsia="仿宋" w:cs="宋体"/>
                <w:bCs/>
                <w:kern w:val="0"/>
                <w:sz w:val="24"/>
                <w:lang w:val="en-US" w:eastAsia="zh-CN"/>
              </w:rPr>
              <w:t>4</w:t>
            </w:r>
            <w:r>
              <w:rPr>
                <w:rFonts w:hint="eastAsia" w:ascii="仿宋" w:hAnsi="仿宋" w:eastAsia="仿宋" w:cs="宋体"/>
                <w:bCs/>
                <w:kern w:val="0"/>
                <w:sz w:val="24"/>
              </w:rPr>
              <w:t>、投标人应在投标文件中应详细说明其服务计划及收费标准，提供维修点的分布情况，及配件供应情况。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sz w:val="24"/>
              </w:rPr>
            </w:pPr>
            <w:r>
              <w:rPr>
                <w:rFonts w:hint="eastAsia" w:ascii="仿宋" w:hAnsi="仿宋" w:eastAsia="仿宋"/>
                <w:sz w:val="24"/>
              </w:rPr>
              <w:t>8</w:t>
            </w:r>
          </w:p>
        </w:tc>
        <w:tc>
          <w:tcPr>
            <w:tcW w:w="7531" w:type="dxa"/>
            <w:vAlign w:val="center"/>
          </w:tcPr>
          <w:p>
            <w:pPr>
              <w:widowControl/>
              <w:rPr>
                <w:rFonts w:ascii="仿宋" w:hAnsi="仿宋" w:eastAsia="仿宋" w:cs="宋体"/>
                <w:kern w:val="2"/>
                <w:sz w:val="24"/>
                <w:szCs w:val="24"/>
                <w:lang w:val="en-US" w:eastAsia="zh-CN" w:bidi="ar-SA"/>
              </w:rPr>
            </w:pPr>
            <w:r>
              <w:rPr>
                <w:rFonts w:hint="eastAsia" w:ascii="仿宋" w:hAnsi="仿宋" w:eastAsia="仿宋" w:cs="宋体"/>
                <w:bCs/>
                <w:kern w:val="0"/>
                <w:sz w:val="24"/>
              </w:rPr>
              <w:t>中标方提供符合临床需求的操作使用培训和维修维护培训，费用含在投标价格内。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sz w:val="24"/>
              </w:rPr>
            </w:pPr>
            <w:r>
              <w:rPr>
                <w:rFonts w:hint="eastAsia" w:ascii="仿宋" w:hAnsi="仿宋" w:eastAsia="仿宋"/>
                <w:sz w:val="24"/>
              </w:rPr>
              <w:t>9</w:t>
            </w:r>
          </w:p>
        </w:tc>
        <w:tc>
          <w:tcPr>
            <w:tcW w:w="7531" w:type="dxa"/>
            <w:vAlign w:val="center"/>
          </w:tcPr>
          <w:p>
            <w:pPr>
              <w:widowControl/>
              <w:rPr>
                <w:rFonts w:ascii="仿宋" w:hAnsi="仿宋" w:eastAsia="仿宋" w:cs="宋体"/>
                <w:bCs/>
                <w:kern w:val="0"/>
                <w:sz w:val="24"/>
                <w:szCs w:val="24"/>
                <w:lang w:val="en-US" w:eastAsia="zh-CN" w:bidi="ar-SA"/>
              </w:rPr>
            </w:pPr>
            <w:r>
              <w:rPr>
                <w:rFonts w:hint="eastAsia" w:ascii="仿宋" w:hAnsi="仿宋" w:eastAsia="仿宋"/>
                <w:sz w:val="24"/>
              </w:rPr>
              <w:t>验收：1、</w:t>
            </w:r>
            <w:r>
              <w:rPr>
                <w:rFonts w:ascii="仿宋" w:hAnsi="仿宋" w:eastAsia="仿宋"/>
                <w:sz w:val="24"/>
              </w:rPr>
              <w:t>供货方应提供设备的有效检验文件，经买方认可后，与设备性能指标、合同内容一起作为设备验收标准。买方对设备验收合格后，双方共同签署验收</w:t>
            </w:r>
            <w:r>
              <w:rPr>
                <w:rFonts w:hint="eastAsia" w:ascii="仿宋" w:hAnsi="仿宋" w:eastAsia="仿宋"/>
                <w:sz w:val="24"/>
              </w:rPr>
              <w:t>单</w:t>
            </w:r>
            <w:r>
              <w:rPr>
                <w:rFonts w:ascii="仿宋" w:hAnsi="仿宋" w:eastAsia="仿宋"/>
                <w:sz w:val="24"/>
              </w:rPr>
              <w:t>。验收中发现设备达不到验收标准或合同规定的性能指标，卖方必须更换设备。并且赔偿由此给用户造成的损失</w:t>
            </w:r>
            <w:r>
              <w:rPr>
                <w:rFonts w:hint="eastAsia" w:ascii="仿宋" w:hAnsi="仿宋" w:eastAsia="仿宋"/>
                <w:sz w:val="24"/>
              </w:rPr>
              <w:t>。2、</w:t>
            </w:r>
            <w:r>
              <w:rPr>
                <w:rFonts w:ascii="仿宋" w:hAnsi="仿宋" w:eastAsia="仿宋"/>
                <w:sz w:val="24"/>
              </w:rPr>
              <w:t>验收费用由产品投标人负担。</w:t>
            </w:r>
          </w:p>
        </w:tc>
      </w:tr>
    </w:tbl>
    <w:p>
      <w:pPr>
        <w:snapToGrid w:val="0"/>
        <w:spacing w:before="120" w:beforeLines="50" w:after="120" w:afterLines="50"/>
        <w:jc w:val="left"/>
        <w:outlineLvl w:val="1"/>
        <w:rPr>
          <w:rFonts w:hint="eastAsia" w:ascii="仿宋" w:hAnsi="仿宋" w:eastAsia="仿宋" w:cs="Times New Roman"/>
          <w:b/>
          <w:color w:val="auto"/>
          <w:sz w:val="24"/>
          <w:lang w:val="en-US" w:eastAsia="zh-CN"/>
        </w:rPr>
      </w:pPr>
    </w:p>
    <w:p>
      <w:pPr>
        <w:snapToGrid w:val="0"/>
        <w:spacing w:before="120" w:beforeLines="50" w:after="120" w:afterLines="50"/>
        <w:jc w:val="left"/>
        <w:outlineLvl w:val="1"/>
        <w:rPr>
          <w:rFonts w:hint="default" w:ascii="仿宋" w:hAnsi="仿宋" w:eastAsia="仿宋" w:cs="Times New Roman"/>
          <w:b/>
          <w:color w:val="auto"/>
          <w:sz w:val="24"/>
          <w:lang w:val="en-US" w:eastAsia="zh-CN"/>
        </w:rPr>
      </w:pPr>
      <w:r>
        <w:rPr>
          <w:rFonts w:hint="eastAsia" w:ascii="仿宋" w:hAnsi="仿宋" w:eastAsia="仿宋" w:cs="Times New Roman"/>
          <w:b/>
          <w:color w:val="auto"/>
          <w:sz w:val="24"/>
          <w:lang w:val="en-US" w:eastAsia="zh-CN"/>
        </w:rPr>
        <w:t>三：技术要求</w:t>
      </w:r>
    </w:p>
    <w:tbl>
      <w:tblPr>
        <w:tblStyle w:val="63"/>
        <w:tblW w:w="86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73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1380" w:type="dxa"/>
            <w:vAlign w:val="center"/>
          </w:tcPr>
          <w:p>
            <w:pPr>
              <w:spacing w:after="100" w:afterAutospacing="1"/>
              <w:jc w:val="center"/>
              <w:rPr>
                <w:rFonts w:ascii="仿宋" w:hAnsi="仿宋" w:eastAsia="仿宋" w:cs="宋体"/>
                <w:kern w:val="0"/>
                <w:sz w:val="24"/>
                <w:lang w:val="zh-CN"/>
              </w:rPr>
            </w:pPr>
            <w:r>
              <w:rPr>
                <w:rFonts w:hint="eastAsia" w:ascii="仿宋" w:hAnsi="仿宋" w:eastAsia="仿宋" w:cs="宋体"/>
                <w:kern w:val="0"/>
                <w:sz w:val="24"/>
                <w:lang w:val="zh-CN"/>
              </w:rPr>
              <w:t>序号</w:t>
            </w:r>
          </w:p>
        </w:tc>
        <w:tc>
          <w:tcPr>
            <w:tcW w:w="7300" w:type="dxa"/>
            <w:vAlign w:val="center"/>
          </w:tcPr>
          <w:p>
            <w:pPr>
              <w:spacing w:after="100" w:afterAutospacing="1"/>
              <w:jc w:val="center"/>
              <w:rPr>
                <w:rFonts w:ascii="仿宋" w:hAnsi="仿宋" w:eastAsia="仿宋"/>
                <w:sz w:val="24"/>
              </w:rPr>
            </w:pPr>
            <w:r>
              <w:rPr>
                <w:rFonts w:hint="eastAsia" w:ascii="仿宋" w:hAnsi="仿宋" w:eastAsia="仿宋"/>
                <w:sz w:val="24"/>
              </w:rPr>
              <w:t>招标规格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一</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设备名称，数量以及设备用途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1</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设备名称：超高档彩色多普勒超声诊断仪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数量：1套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3</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设备用途：全身应用型彩色多普勒超声诊断系统，主要用于腹部、心脏、妇产科、泌尿科、浅表组织与小器官、儿科、肌骨神经、介入诊疗及临床学术研究。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二</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主机系统性能概括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全数字化彩色超声诊断系统主机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2.2</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超高端声学平台构架，由全数字图像生成器及智能影像平台，两部分构成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2.3</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宽频可变频成像技术，灰阶、谐波、彩色、频谱支持独立变频，中心频率可视可调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2.4</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主机数字化通道≥11,750,000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2.5</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系统动态范围≥290dB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2.6</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空间复合成像技术：具有最大、平均、混合三种复合模式，每个模式中都有三档开角可调节；可支持应变弹性和剪切波弹性成像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2.7</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斑点噪声抑制技术：支持所有探头，多级可调，支持3D/4D、CFM/PDI、宽景成像、造影成像等技术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2.8</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组织声束矫正技术：适用于所有凸阵及线阵探头，≥7级可调，可显示具体数值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2.9</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高清放大功能：可对局部图像进行高清放大，并可以对照显示被放大组织在图像中所处位置关系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2.10</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原始数据储存，可对回放的常规图像进行≥30种参数调节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2.11</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主机一体化耦合剂加热装置，温度可调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2.12</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具备数据防御系统，可对不同人群设置数据开放度及访问权限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2.13</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先进成像技术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2.13.1</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穿刺针增强显示功能：可独立调整穿刺针的显示增益，不影响背景图像质量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2.13.2</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血管内中膜自动测量技术：可测量血管前、后壁内中膜厚度，并给予最大值、平均值及所测范围区间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2.13.3</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二维灰阶血流成像技术：非多普勒成像原理，无取样框、不降低帧频、无角度依赖，无需注射造影剂的情况下观察真正的血流动力学；具有捕捉模式，把多帧图像累积到一起，按血流灌注先后顺序动态呈现血管的空间分布状态；可去掉血流周围组织回声背景，单独显示血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2.13.4</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应变式弹性成像：可支持凸阵、线阵、腔内、面阵探头等≥8支探头；具备弹性量化分析：动态弹性图定量分析，可同屏提供≥8个感兴趣区的硬度值和≥7个感兴趣区与参照区的硬度比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2.13.5</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造影成像功能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2.14</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测量和分析（B型、M型、频谱多普勒、彩色模式）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2.14.1</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一般测量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2.14.2</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妇产科测量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2.14.3</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心脏功能测量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2.14.4</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多普勒血流测量与分析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2.14.5</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外周血管测量与分析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2.14.6</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泌尿科测量与分析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2.14.7</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多普勒频谱自动包络、测量与计算，参数由可自由选择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2.15</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图像存储与(电影)回放重现单元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2.16</w:t>
            </w:r>
          </w:p>
        </w:tc>
        <w:tc>
          <w:tcPr>
            <w:tcW w:w="7300" w:type="dxa"/>
            <w:vAlign w:val="top"/>
          </w:tcPr>
          <w:p>
            <w:pPr>
              <w:widowControl/>
              <w:jc w:val="left"/>
              <w:rPr>
                <w:rFonts w:hint="eastAsia" w:ascii="仿宋" w:hAnsi="仿宋" w:eastAsia="仿宋"/>
                <w:sz w:val="24"/>
                <w:lang w:val="en-US" w:eastAsia="zh-CN"/>
              </w:rPr>
            </w:pPr>
            <w:r>
              <w:rPr>
                <w:rFonts w:hint="eastAsia" w:ascii="仿宋" w:hAnsi="仿宋" w:eastAsia="仿宋"/>
                <w:sz w:val="24"/>
              </w:rPr>
              <w:t>输入/输出信号：HDMI、USB等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2.17</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连通性: 医学数字图像和通信DICOM3.0版接口部件( 且可以作为中央服务器远程读取、调入、存储其他彩超图像)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2.18</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固态硬盘容量≥1TB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三</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系统通用功能：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3.1</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显视器：≥22英寸高分辨率HDU监视器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3.2</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液晶触摸屏：≥12.1英寸，支持滑动翻页功能，可与显示器同步显示超声实时图像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3.3</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扫描方式：逐行扫描，高分辨率，全方位关节臂旋转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3.4</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探头接口≥6个，其中≥4个可激活的探头接口（不包括笔式探头接口），均为无针触点式大接口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3.5</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操作控制台可调节高度和左右移动，可电动操作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3.6</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探头规格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3.6.1</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频率：所有探头及所有检查模式有明确的中心频率显示，实现二维、谐波、彩色、多普勒频率独立可调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3.6.2</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工作频率范围可在1-18MHz之间选择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cs="仿宋"/>
                <w:sz w:val="24"/>
              </w:rPr>
              <w:t>★</w:t>
            </w:r>
            <w:r>
              <w:rPr>
                <w:rFonts w:hint="eastAsia" w:ascii="仿宋" w:hAnsi="仿宋" w:eastAsia="仿宋"/>
                <w:sz w:val="24"/>
              </w:rPr>
              <w:t>3.6.3</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要求提供至少1把xMatrix技术或XDclear技术或3T单晶体技术探头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3.6.4</w:t>
            </w:r>
          </w:p>
        </w:tc>
        <w:tc>
          <w:tcPr>
            <w:tcW w:w="0" w:type="auto"/>
            <w:vAlign w:val="top"/>
          </w:tcPr>
          <w:p>
            <w:pPr>
              <w:widowControl/>
              <w:jc w:val="left"/>
              <w:rPr>
                <w:rFonts w:hint="eastAsia" w:ascii="仿宋" w:hAnsi="仿宋" w:eastAsia="仿宋"/>
                <w:sz w:val="24"/>
              </w:rPr>
            </w:pPr>
            <w:r>
              <w:rPr>
                <w:rFonts w:hint="eastAsia" w:ascii="仿宋" w:hAnsi="仿宋" w:eastAsia="仿宋"/>
                <w:sz w:val="24"/>
              </w:rPr>
              <w:t>探头频率范围：</w:t>
            </w:r>
          </w:p>
          <w:p>
            <w:pPr>
              <w:widowControl/>
              <w:jc w:val="left"/>
              <w:rPr>
                <w:rFonts w:hint="eastAsia" w:ascii="仿宋" w:hAnsi="仿宋" w:eastAsia="仿宋"/>
                <w:sz w:val="24"/>
              </w:rPr>
            </w:pPr>
            <w:r>
              <w:rPr>
                <w:rFonts w:hint="eastAsia" w:ascii="仿宋" w:hAnsi="仿宋" w:eastAsia="仿宋"/>
                <w:sz w:val="24"/>
              </w:rPr>
              <w:t>腹部凸阵：超声频率1.5-6.0MHz</w:t>
            </w:r>
          </w:p>
          <w:p>
            <w:pPr>
              <w:widowControl/>
              <w:jc w:val="left"/>
              <w:rPr>
                <w:rFonts w:hint="eastAsia" w:ascii="仿宋" w:hAnsi="仿宋" w:eastAsia="仿宋"/>
                <w:sz w:val="24"/>
              </w:rPr>
            </w:pPr>
            <w:r>
              <w:rPr>
                <w:rFonts w:hint="eastAsia" w:ascii="仿宋" w:hAnsi="仿宋" w:eastAsia="仿宋"/>
                <w:sz w:val="24"/>
              </w:rPr>
              <w:t>心脏相控阵：超声频率1.0-5.0MHz</w:t>
            </w:r>
          </w:p>
          <w:p>
            <w:pPr>
              <w:widowControl/>
              <w:jc w:val="left"/>
              <w:rPr>
                <w:rFonts w:hint="eastAsia" w:ascii="仿宋" w:hAnsi="仿宋" w:eastAsia="仿宋"/>
                <w:sz w:val="24"/>
              </w:rPr>
            </w:pPr>
            <w:r>
              <w:rPr>
                <w:rFonts w:hint="eastAsia" w:ascii="仿宋" w:hAnsi="仿宋" w:eastAsia="仿宋"/>
                <w:sz w:val="24"/>
              </w:rPr>
              <w:t>腔内微凸阵：超声频率5.0-9.0 MHz</w:t>
            </w:r>
          </w:p>
          <w:p>
            <w:pPr>
              <w:widowControl/>
              <w:jc w:val="left"/>
              <w:rPr>
                <w:rFonts w:hint="eastAsia" w:ascii="仿宋" w:hAnsi="仿宋" w:eastAsia="仿宋"/>
                <w:sz w:val="24"/>
              </w:rPr>
            </w:pPr>
            <w:r>
              <w:rPr>
                <w:rFonts w:hint="eastAsia" w:ascii="仿宋" w:hAnsi="仿宋" w:eastAsia="仿宋"/>
                <w:sz w:val="24"/>
              </w:rPr>
              <w:t>浅表线阵：超声频率4.0–12.0 MHz</w:t>
            </w:r>
          </w:p>
          <w:p>
            <w:pPr>
              <w:widowControl/>
              <w:jc w:val="left"/>
              <w:rPr>
                <w:rFonts w:hint="eastAsia" w:ascii="仿宋" w:hAnsi="仿宋" w:eastAsia="仿宋"/>
                <w:sz w:val="24"/>
                <w:lang w:val="en-US" w:eastAsia="zh-CN"/>
              </w:rPr>
            </w:pPr>
            <w:r>
              <w:rPr>
                <w:rFonts w:hint="eastAsia" w:ascii="仿宋" w:hAnsi="仿宋" w:eastAsia="仿宋"/>
                <w:sz w:val="24"/>
              </w:rPr>
              <w:t>高频线阵：超声频率5.0–15.0 MHz</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3.7</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二维灰阶显示主要参数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3.7.1</w:t>
            </w:r>
          </w:p>
        </w:tc>
        <w:tc>
          <w:tcPr>
            <w:tcW w:w="0" w:type="auto"/>
            <w:vAlign w:val="top"/>
          </w:tcPr>
          <w:p>
            <w:pPr>
              <w:widowControl/>
              <w:jc w:val="left"/>
              <w:rPr>
                <w:rFonts w:hint="eastAsia" w:ascii="仿宋" w:hAnsi="仿宋" w:eastAsia="仿宋"/>
                <w:sz w:val="24"/>
                <w:lang w:eastAsia="zh-CN"/>
              </w:rPr>
            </w:pPr>
            <w:r>
              <w:rPr>
                <w:rFonts w:hint="eastAsia" w:ascii="仿宋" w:hAnsi="仿宋" w:eastAsia="仿宋"/>
                <w:sz w:val="24"/>
              </w:rPr>
              <w:t>扫描速率：凸阵探头，18cm深度，全视野，最高线密度下，二维帧频≥63帧/秒</w:t>
            </w:r>
            <w:r>
              <w:rPr>
                <w:rFonts w:hint="eastAsia" w:ascii="仿宋" w:hAnsi="仿宋" w:eastAsia="仿宋"/>
                <w:sz w:val="24"/>
                <w:lang w:eastAsia="zh-CN"/>
              </w:rPr>
              <w:t>；</w:t>
            </w:r>
          </w:p>
          <w:p>
            <w:pPr>
              <w:widowControl/>
              <w:jc w:val="left"/>
              <w:rPr>
                <w:rFonts w:hint="eastAsia" w:ascii="仿宋" w:hAnsi="仿宋" w:eastAsia="仿宋"/>
                <w:sz w:val="24"/>
                <w:lang w:val="en-US" w:eastAsia="zh-CN"/>
              </w:rPr>
            </w:pPr>
            <w:r>
              <w:rPr>
                <w:rFonts w:hint="eastAsia" w:ascii="仿宋" w:hAnsi="仿宋" w:eastAsia="仿宋"/>
                <w:sz w:val="24"/>
              </w:rPr>
              <w:t>相控阵探头，18cm深度，扫描角度85°，最高线密度下，二维帧频≥73帧/秒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3.7.2</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增益调节：B/M可独立调节，STC分段≥8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cs="仿宋"/>
                <w:sz w:val="24"/>
              </w:rPr>
              <w:t>★</w:t>
            </w:r>
            <w:r>
              <w:rPr>
                <w:rFonts w:hint="eastAsia" w:ascii="仿宋" w:hAnsi="仿宋" w:eastAsia="仿宋"/>
                <w:sz w:val="24"/>
              </w:rPr>
              <w:t>3.7.3</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系统最大扫描深度≥46cm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cs="仿宋"/>
                <w:sz w:val="24"/>
              </w:rPr>
              <w:t>★</w:t>
            </w:r>
            <w:r>
              <w:rPr>
                <w:rFonts w:hint="eastAsia" w:ascii="仿宋" w:hAnsi="仿宋" w:eastAsia="仿宋"/>
                <w:sz w:val="24"/>
              </w:rPr>
              <w:t>3.7.4</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心脏相控阵探头最大扫描角度≥115°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3.8</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频谱多普勒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3.8.1</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方式：PW，CW，HPRF</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3.8.2</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多普勒发射频率可视可调，中心频率明确显示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3.8.3</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PWD：血流速度≥10m/s；CWD：血流速度≥21m/s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3.8.4</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最低测量速度：≤0.3mm/s （非噪声信号）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3.8.5</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PW取样容积范围：0.05cm-2cm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3.8.6</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电影回放：≥60秒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3.8.7</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零位移动：≥10级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3.8.8</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满足床旁腹部浅表血管扫查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四、</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4.1</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超高档彩色多普勒超声诊断仪主机一台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4.2</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腹部凸阵探头一把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4.3</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心脏相控阵探头一把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4.4</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腔内微凸阵探头一把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4.5</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浅表线阵探头一把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4.6</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高频线阵探头一把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4.7</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工作站壹套（含电脑、打印机）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4.8</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免费接入医院PACS系统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4.9</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超声5G远程系统（1对2）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4.10</w:t>
            </w:r>
          </w:p>
        </w:tc>
        <w:tc>
          <w:tcPr>
            <w:tcW w:w="0" w:type="auto"/>
            <w:vAlign w:val="top"/>
          </w:tcPr>
          <w:p>
            <w:pPr>
              <w:widowControl/>
              <w:jc w:val="left"/>
              <w:rPr>
                <w:rFonts w:hint="eastAsia" w:ascii="仿宋" w:hAnsi="仿宋" w:eastAsia="仿宋"/>
                <w:sz w:val="24"/>
                <w:lang w:val="en-US" w:eastAsia="zh-CN"/>
              </w:rPr>
            </w:pPr>
            <w:r>
              <w:rPr>
                <w:rFonts w:hint="eastAsia" w:ascii="仿宋" w:hAnsi="仿宋" w:eastAsia="仿宋"/>
                <w:sz w:val="24"/>
              </w:rPr>
              <w:t>电脑四台</w:t>
            </w:r>
          </w:p>
        </w:tc>
      </w:tr>
    </w:tbl>
    <w:p>
      <w:pPr>
        <w:spacing w:line="360" w:lineRule="auto"/>
        <w:rPr>
          <w:rFonts w:ascii="仿宋" w:hAnsi="仿宋" w:eastAsia="仿宋" w:cs="仿宋"/>
          <w:bCs/>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24"/>
        </w:rPr>
        <w:br w:type="page"/>
      </w:r>
      <w:bookmarkStart w:id="36" w:name="_Toc18186"/>
      <w:r>
        <w:rPr>
          <w:rFonts w:hint="eastAsia" w:ascii="仿宋" w:hAnsi="仿宋" w:eastAsia="仿宋" w:cs="仿宋"/>
          <w:b/>
          <w:sz w:val="36"/>
          <w:szCs w:val="36"/>
        </w:rPr>
        <w:t xml:space="preserve">第四部分   </w:t>
      </w:r>
      <w:bookmarkStart w:id="37" w:name="_Toc184312081"/>
      <w:bookmarkEnd w:id="37"/>
      <w:bookmarkStart w:id="38" w:name="_Toc184308080"/>
      <w:bookmarkEnd w:id="38"/>
      <w:bookmarkStart w:id="39" w:name="_Toc184314482"/>
      <w:bookmarkEnd w:id="39"/>
      <w:bookmarkStart w:id="40" w:name="_Toc184314453"/>
      <w:bookmarkEnd w:id="40"/>
      <w:bookmarkStart w:id="41" w:name="_Toc184313263"/>
      <w:bookmarkEnd w:id="41"/>
      <w:bookmarkStart w:id="42" w:name="_Toc184313272"/>
      <w:bookmarkEnd w:id="42"/>
      <w:bookmarkStart w:id="43" w:name="_Toc184312113"/>
      <w:bookmarkEnd w:id="43"/>
      <w:bookmarkStart w:id="44" w:name="_Toc184314480"/>
      <w:bookmarkEnd w:id="44"/>
      <w:bookmarkStart w:id="45" w:name="_Toc184310333"/>
      <w:bookmarkEnd w:id="45"/>
      <w:bookmarkStart w:id="46" w:name="_Toc184310304"/>
      <w:bookmarkEnd w:id="46"/>
      <w:bookmarkStart w:id="47" w:name="_Toc184314465"/>
      <w:bookmarkEnd w:id="47"/>
      <w:bookmarkStart w:id="48" w:name="_Toc184308098"/>
      <w:bookmarkEnd w:id="48"/>
      <w:bookmarkStart w:id="49" w:name="_Toc184312090"/>
      <w:bookmarkEnd w:id="49"/>
      <w:bookmarkStart w:id="50" w:name="_Toc184313270"/>
      <w:bookmarkEnd w:id="50"/>
      <w:bookmarkStart w:id="51" w:name="_Toc184313269"/>
      <w:bookmarkEnd w:id="51"/>
      <w:bookmarkStart w:id="52" w:name="_Toc184313256"/>
      <w:bookmarkEnd w:id="52"/>
      <w:bookmarkStart w:id="53" w:name="_Toc184308090"/>
      <w:bookmarkEnd w:id="53"/>
      <w:bookmarkStart w:id="54" w:name="_Toc184314434"/>
      <w:bookmarkEnd w:id="54"/>
      <w:bookmarkStart w:id="55" w:name="_Toc184314437"/>
      <w:bookmarkEnd w:id="55"/>
      <w:bookmarkStart w:id="56" w:name="_Toc184310342"/>
      <w:bookmarkEnd w:id="56"/>
      <w:bookmarkStart w:id="57" w:name="_Toc184313286"/>
      <w:bookmarkEnd w:id="57"/>
      <w:bookmarkStart w:id="58" w:name="_Toc184313307"/>
      <w:bookmarkEnd w:id="58"/>
      <w:bookmarkStart w:id="59" w:name="_Toc184308056"/>
      <w:bookmarkEnd w:id="59"/>
      <w:bookmarkStart w:id="60" w:name="_Toc184312072"/>
      <w:bookmarkEnd w:id="60"/>
      <w:bookmarkStart w:id="61" w:name="_Toc184310335"/>
      <w:bookmarkEnd w:id="61"/>
      <w:bookmarkStart w:id="62" w:name="_Toc184308081"/>
      <w:bookmarkEnd w:id="62"/>
      <w:bookmarkStart w:id="63" w:name="_Toc184310343"/>
      <w:bookmarkEnd w:id="63"/>
      <w:bookmarkStart w:id="64" w:name="_Toc184314420"/>
      <w:bookmarkEnd w:id="64"/>
      <w:bookmarkStart w:id="65" w:name="_Toc184313255"/>
      <w:bookmarkEnd w:id="65"/>
      <w:bookmarkStart w:id="66" w:name="_Toc184308083"/>
      <w:bookmarkEnd w:id="66"/>
      <w:bookmarkStart w:id="67" w:name="_Toc184310325"/>
      <w:bookmarkEnd w:id="67"/>
      <w:bookmarkStart w:id="68" w:name="_Toc184312122"/>
      <w:bookmarkEnd w:id="68"/>
      <w:bookmarkStart w:id="69" w:name="_Toc184314447"/>
      <w:bookmarkEnd w:id="69"/>
      <w:bookmarkStart w:id="70" w:name="_Toc184308103"/>
      <w:bookmarkEnd w:id="70"/>
      <w:bookmarkStart w:id="71" w:name="_Toc184310306"/>
      <w:bookmarkEnd w:id="71"/>
      <w:bookmarkStart w:id="72" w:name="_Toc184308065"/>
      <w:bookmarkEnd w:id="72"/>
      <w:bookmarkStart w:id="73" w:name="_Toc184310296"/>
      <w:bookmarkEnd w:id="73"/>
      <w:bookmarkStart w:id="74" w:name="_Toc184312093"/>
      <w:bookmarkEnd w:id="74"/>
      <w:bookmarkStart w:id="75" w:name="_Toc184314454"/>
      <w:bookmarkEnd w:id="75"/>
      <w:bookmarkStart w:id="76" w:name="_Toc184313238"/>
      <w:bookmarkEnd w:id="76"/>
      <w:bookmarkStart w:id="77" w:name="_Toc184314460"/>
      <w:bookmarkEnd w:id="77"/>
      <w:bookmarkStart w:id="78" w:name="_Toc184310337"/>
      <w:bookmarkEnd w:id="78"/>
      <w:bookmarkStart w:id="79" w:name="_Toc184310324"/>
      <w:bookmarkEnd w:id="79"/>
      <w:bookmarkStart w:id="80" w:name="_Toc184308044"/>
      <w:bookmarkEnd w:id="80"/>
      <w:bookmarkStart w:id="81" w:name="_Toc184308040"/>
      <w:bookmarkEnd w:id="81"/>
      <w:bookmarkStart w:id="82" w:name="_Toc184310322"/>
      <w:bookmarkEnd w:id="82"/>
      <w:bookmarkStart w:id="83" w:name="_Toc184314462"/>
      <w:bookmarkEnd w:id="83"/>
      <w:bookmarkStart w:id="84" w:name="_Toc184310283"/>
      <w:bookmarkEnd w:id="84"/>
      <w:bookmarkStart w:id="85" w:name="_Toc184313239"/>
      <w:bookmarkEnd w:id="85"/>
      <w:bookmarkStart w:id="86" w:name="_Toc184310301"/>
      <w:bookmarkEnd w:id="86"/>
      <w:bookmarkStart w:id="87" w:name="_Toc184310280"/>
      <w:bookmarkEnd w:id="87"/>
      <w:bookmarkStart w:id="88" w:name="_Toc184310310"/>
      <w:bookmarkEnd w:id="88"/>
      <w:bookmarkStart w:id="89" w:name="_Toc184310338"/>
      <w:bookmarkEnd w:id="89"/>
      <w:bookmarkStart w:id="90" w:name="_Toc184314439"/>
      <w:bookmarkEnd w:id="90"/>
      <w:bookmarkStart w:id="91" w:name="_Toc184308108"/>
      <w:bookmarkEnd w:id="91"/>
      <w:bookmarkStart w:id="92" w:name="_Toc184310341"/>
      <w:bookmarkEnd w:id="92"/>
      <w:bookmarkStart w:id="93" w:name="_Toc184313247"/>
      <w:bookmarkEnd w:id="93"/>
      <w:bookmarkStart w:id="94" w:name="_Toc184308063"/>
      <w:bookmarkEnd w:id="94"/>
      <w:bookmarkStart w:id="95" w:name="_Toc184312101"/>
      <w:bookmarkEnd w:id="95"/>
      <w:bookmarkStart w:id="96" w:name="_Toc184313242"/>
      <w:bookmarkEnd w:id="96"/>
      <w:bookmarkStart w:id="97" w:name="_Toc184308052"/>
      <w:bookmarkEnd w:id="97"/>
      <w:bookmarkStart w:id="98" w:name="_Toc184312088"/>
      <w:bookmarkEnd w:id="98"/>
      <w:bookmarkStart w:id="99" w:name="_Toc184314478"/>
      <w:bookmarkEnd w:id="99"/>
      <w:bookmarkStart w:id="100" w:name="_Toc184310307"/>
      <w:bookmarkEnd w:id="100"/>
      <w:bookmarkStart w:id="101" w:name="_Toc184308061"/>
      <w:bookmarkEnd w:id="101"/>
      <w:bookmarkStart w:id="102" w:name="_Toc184313284"/>
      <w:bookmarkEnd w:id="102"/>
      <w:bookmarkStart w:id="103" w:name="_Toc184310314"/>
      <w:bookmarkEnd w:id="103"/>
      <w:bookmarkStart w:id="104" w:name="_Toc184310295"/>
      <w:bookmarkEnd w:id="104"/>
      <w:bookmarkStart w:id="105" w:name="_Toc184310275"/>
      <w:bookmarkEnd w:id="105"/>
      <w:bookmarkStart w:id="106" w:name="_Toc184312102"/>
      <w:bookmarkEnd w:id="106"/>
      <w:bookmarkStart w:id="107" w:name="_Toc184308071"/>
      <w:bookmarkEnd w:id="107"/>
      <w:bookmarkStart w:id="108" w:name="_Toc184314448"/>
      <w:bookmarkEnd w:id="108"/>
      <w:bookmarkStart w:id="109" w:name="_Toc184310285"/>
      <w:bookmarkEnd w:id="109"/>
      <w:bookmarkStart w:id="110" w:name="_Toc184314410"/>
      <w:bookmarkEnd w:id="110"/>
      <w:bookmarkStart w:id="111" w:name="_Toc184313262"/>
      <w:bookmarkEnd w:id="111"/>
      <w:bookmarkStart w:id="112" w:name="_Toc184312096"/>
      <w:bookmarkEnd w:id="112"/>
      <w:bookmarkStart w:id="113" w:name="_Toc184313295"/>
      <w:bookmarkEnd w:id="113"/>
      <w:bookmarkStart w:id="114" w:name="_Toc184313282"/>
      <w:bookmarkEnd w:id="114"/>
      <w:bookmarkStart w:id="115" w:name="_Toc184313283"/>
      <w:bookmarkEnd w:id="115"/>
      <w:bookmarkStart w:id="116" w:name="_Toc184310281"/>
      <w:bookmarkEnd w:id="116"/>
      <w:bookmarkStart w:id="117" w:name="_Toc184313240"/>
      <w:bookmarkEnd w:id="117"/>
      <w:bookmarkStart w:id="118" w:name="_Toc184313281"/>
      <w:bookmarkEnd w:id="118"/>
      <w:bookmarkStart w:id="119" w:name="_Toc184310282"/>
      <w:bookmarkEnd w:id="119"/>
      <w:bookmarkStart w:id="120" w:name="_Toc184310284"/>
      <w:bookmarkEnd w:id="120"/>
      <w:bookmarkStart w:id="121" w:name="_Toc184313241"/>
      <w:bookmarkEnd w:id="121"/>
      <w:bookmarkStart w:id="122" w:name="_Toc184310300"/>
      <w:bookmarkEnd w:id="122"/>
      <w:bookmarkStart w:id="123" w:name="_Toc184310313"/>
      <w:bookmarkEnd w:id="123"/>
      <w:bookmarkStart w:id="124" w:name="_Toc184308082"/>
      <w:bookmarkEnd w:id="124"/>
      <w:bookmarkStart w:id="125" w:name="_Toc184314479"/>
      <w:bookmarkEnd w:id="125"/>
      <w:bookmarkStart w:id="126" w:name="_Toc184314438"/>
      <w:bookmarkEnd w:id="126"/>
      <w:bookmarkStart w:id="127" w:name="_Toc184310331"/>
      <w:bookmarkEnd w:id="127"/>
      <w:bookmarkStart w:id="128" w:name="_Toc184314459"/>
      <w:bookmarkEnd w:id="128"/>
      <w:bookmarkStart w:id="129" w:name="_Toc184314475"/>
      <w:bookmarkEnd w:id="129"/>
      <w:bookmarkStart w:id="130" w:name="_Toc184310336"/>
      <w:bookmarkEnd w:id="130"/>
      <w:bookmarkStart w:id="131" w:name="_Toc184312108"/>
      <w:bookmarkEnd w:id="131"/>
      <w:bookmarkStart w:id="132" w:name="_Toc184310289"/>
      <w:bookmarkEnd w:id="132"/>
      <w:bookmarkStart w:id="133" w:name="_Toc184312085"/>
      <w:bookmarkEnd w:id="133"/>
      <w:bookmarkStart w:id="134" w:name="_Toc184308097"/>
      <w:bookmarkEnd w:id="134"/>
      <w:bookmarkStart w:id="135" w:name="_Toc184313306"/>
      <w:bookmarkEnd w:id="135"/>
      <w:bookmarkStart w:id="136" w:name="_Toc184312127"/>
      <w:bookmarkEnd w:id="136"/>
      <w:bookmarkStart w:id="137" w:name="_Toc184313287"/>
      <w:bookmarkEnd w:id="137"/>
      <w:bookmarkStart w:id="138" w:name="_Toc184312095"/>
      <w:bookmarkEnd w:id="138"/>
      <w:bookmarkStart w:id="139" w:name="_Toc184310323"/>
      <w:bookmarkEnd w:id="139"/>
      <w:bookmarkStart w:id="140" w:name="_Toc184310293"/>
      <w:bookmarkEnd w:id="140"/>
      <w:bookmarkStart w:id="141" w:name="_Toc184313259"/>
      <w:bookmarkEnd w:id="141"/>
      <w:bookmarkStart w:id="142" w:name="_Toc184313292"/>
      <w:bookmarkEnd w:id="142"/>
      <w:bookmarkStart w:id="143" w:name="_Toc184314432"/>
      <w:bookmarkEnd w:id="143"/>
      <w:bookmarkStart w:id="144" w:name="_Toc184308051"/>
      <w:bookmarkEnd w:id="144"/>
      <w:bookmarkStart w:id="145" w:name="_Toc184313309"/>
      <w:bookmarkEnd w:id="145"/>
      <w:bookmarkStart w:id="146" w:name="_Toc184313258"/>
      <w:bookmarkEnd w:id="146"/>
      <w:bookmarkStart w:id="147" w:name="_Toc184314481"/>
      <w:bookmarkEnd w:id="147"/>
      <w:bookmarkStart w:id="148" w:name="_Toc184310273"/>
      <w:bookmarkEnd w:id="148"/>
      <w:bookmarkStart w:id="149" w:name="_Toc184308091"/>
      <w:bookmarkEnd w:id="149"/>
      <w:bookmarkStart w:id="150" w:name="_Toc184312097"/>
      <w:bookmarkEnd w:id="150"/>
      <w:bookmarkStart w:id="151" w:name="_Toc184313267"/>
      <w:bookmarkEnd w:id="151"/>
      <w:bookmarkStart w:id="152" w:name="_Toc184308074"/>
      <w:bookmarkEnd w:id="152"/>
      <w:bookmarkStart w:id="153" w:name="_Toc184308058"/>
      <w:bookmarkEnd w:id="153"/>
      <w:bookmarkStart w:id="154" w:name="_Toc184308101"/>
      <w:bookmarkEnd w:id="154"/>
      <w:bookmarkStart w:id="155" w:name="_Toc184314418"/>
      <w:bookmarkEnd w:id="155"/>
      <w:bookmarkStart w:id="156" w:name="_Toc184312068"/>
      <w:bookmarkEnd w:id="156"/>
      <w:bookmarkStart w:id="157" w:name="_Toc184314427"/>
      <w:bookmarkEnd w:id="157"/>
      <w:bookmarkStart w:id="158" w:name="_Toc184308084"/>
      <w:bookmarkEnd w:id="158"/>
      <w:bookmarkStart w:id="159" w:name="_Toc184310311"/>
      <w:bookmarkEnd w:id="159"/>
      <w:bookmarkStart w:id="160" w:name="_Toc184308069"/>
      <w:bookmarkEnd w:id="160"/>
      <w:bookmarkStart w:id="161" w:name="_Toc184310274"/>
      <w:bookmarkEnd w:id="161"/>
      <w:bookmarkStart w:id="162" w:name="_Toc184310305"/>
      <w:bookmarkEnd w:id="162"/>
      <w:bookmarkStart w:id="163" w:name="_Toc184312124"/>
      <w:bookmarkEnd w:id="163"/>
      <w:bookmarkStart w:id="164" w:name="_Toc184313296"/>
      <w:bookmarkEnd w:id="164"/>
      <w:bookmarkStart w:id="165" w:name="_Toc184314477"/>
      <w:bookmarkEnd w:id="165"/>
      <w:bookmarkStart w:id="166" w:name="_Toc184314440"/>
      <w:bookmarkEnd w:id="166"/>
      <w:bookmarkStart w:id="167" w:name="_Toc184308104"/>
      <w:bookmarkEnd w:id="167"/>
      <w:bookmarkStart w:id="168" w:name="_Toc184312111"/>
      <w:bookmarkEnd w:id="168"/>
      <w:bookmarkStart w:id="169" w:name="_Toc184312084"/>
      <w:bookmarkEnd w:id="169"/>
      <w:bookmarkStart w:id="170" w:name="_Toc184312079"/>
      <w:bookmarkEnd w:id="170"/>
      <w:bookmarkStart w:id="171" w:name="_Toc184312094"/>
      <w:bookmarkEnd w:id="171"/>
      <w:bookmarkStart w:id="172" w:name="_Toc184314426"/>
      <w:bookmarkEnd w:id="172"/>
      <w:bookmarkStart w:id="173" w:name="_Toc184313268"/>
      <w:bookmarkEnd w:id="173"/>
      <w:bookmarkStart w:id="174" w:name="_Toc184310299"/>
      <w:bookmarkEnd w:id="174"/>
      <w:bookmarkStart w:id="175" w:name="_Toc184313279"/>
      <w:bookmarkEnd w:id="175"/>
      <w:bookmarkStart w:id="176" w:name="_Toc184313294"/>
      <w:bookmarkEnd w:id="176"/>
      <w:bookmarkStart w:id="177" w:name="_Toc184313261"/>
      <w:bookmarkEnd w:id="177"/>
      <w:bookmarkStart w:id="178" w:name="_Toc184313253"/>
      <w:bookmarkEnd w:id="178"/>
      <w:bookmarkStart w:id="179" w:name="_Toc184308070"/>
      <w:bookmarkEnd w:id="179"/>
      <w:bookmarkStart w:id="180" w:name="_Toc184312067"/>
      <w:bookmarkEnd w:id="180"/>
      <w:bookmarkStart w:id="181" w:name="_Toc184308073"/>
      <w:bookmarkEnd w:id="181"/>
      <w:bookmarkStart w:id="182" w:name="_Toc184314468"/>
      <w:bookmarkEnd w:id="182"/>
      <w:bookmarkStart w:id="183" w:name="_Toc184312133"/>
      <w:bookmarkEnd w:id="183"/>
      <w:bookmarkStart w:id="184" w:name="_Toc184310326"/>
      <w:bookmarkEnd w:id="184"/>
      <w:bookmarkStart w:id="185" w:name="_Toc184313264"/>
      <w:bookmarkEnd w:id="185"/>
      <w:bookmarkStart w:id="186" w:name="_Toc184312130"/>
      <w:bookmarkEnd w:id="186"/>
      <w:bookmarkStart w:id="187" w:name="_Toc184312121"/>
      <w:bookmarkEnd w:id="187"/>
      <w:bookmarkStart w:id="188" w:name="_Toc184314463"/>
      <w:bookmarkEnd w:id="188"/>
      <w:bookmarkStart w:id="189" w:name="_Toc184313266"/>
      <w:bookmarkEnd w:id="189"/>
      <w:bookmarkStart w:id="190" w:name="_Toc184308050"/>
      <w:bookmarkEnd w:id="190"/>
      <w:bookmarkStart w:id="191" w:name="_Toc184308055"/>
      <w:bookmarkEnd w:id="191"/>
      <w:bookmarkStart w:id="192" w:name="_Toc184314414"/>
      <w:bookmarkEnd w:id="192"/>
      <w:bookmarkStart w:id="193" w:name="_Toc184314450"/>
      <w:bookmarkEnd w:id="193"/>
      <w:bookmarkStart w:id="194" w:name="_Toc184312118"/>
      <w:bookmarkEnd w:id="194"/>
      <w:bookmarkStart w:id="195" w:name="_Toc184312087"/>
      <w:bookmarkEnd w:id="195"/>
      <w:bookmarkStart w:id="196" w:name="_Toc184310308"/>
      <w:bookmarkEnd w:id="196"/>
      <w:bookmarkStart w:id="197" w:name="_Toc184310315"/>
      <w:bookmarkEnd w:id="197"/>
      <w:bookmarkStart w:id="198" w:name="_Toc184312071"/>
      <w:bookmarkEnd w:id="198"/>
      <w:bookmarkStart w:id="199" w:name="_Toc184313289"/>
      <w:bookmarkEnd w:id="199"/>
      <w:bookmarkStart w:id="200" w:name="_Toc184312069"/>
      <w:bookmarkEnd w:id="200"/>
      <w:bookmarkStart w:id="201" w:name="_Toc184312115"/>
      <w:bookmarkEnd w:id="201"/>
      <w:bookmarkStart w:id="202" w:name="_Toc184313252"/>
      <w:bookmarkEnd w:id="202"/>
      <w:bookmarkStart w:id="203" w:name="_Toc184310288"/>
      <w:bookmarkEnd w:id="203"/>
      <w:bookmarkStart w:id="204" w:name="_Toc184312132"/>
      <w:bookmarkEnd w:id="204"/>
      <w:bookmarkStart w:id="205" w:name="_Toc184310330"/>
      <w:bookmarkEnd w:id="205"/>
      <w:bookmarkStart w:id="206" w:name="_Toc184313299"/>
      <w:bookmarkEnd w:id="206"/>
      <w:bookmarkStart w:id="207" w:name="_Toc184313301"/>
      <w:bookmarkEnd w:id="207"/>
      <w:bookmarkStart w:id="208" w:name="_Toc184314442"/>
      <w:bookmarkEnd w:id="208"/>
      <w:bookmarkStart w:id="209" w:name="_Toc184308086"/>
      <w:bookmarkEnd w:id="209"/>
      <w:bookmarkStart w:id="210" w:name="_Toc184312080"/>
      <w:bookmarkEnd w:id="210"/>
      <w:bookmarkStart w:id="211" w:name="_Toc184310312"/>
      <w:bookmarkEnd w:id="211"/>
      <w:bookmarkStart w:id="212" w:name="_Toc184310316"/>
      <w:bookmarkEnd w:id="212"/>
      <w:bookmarkStart w:id="213" w:name="_Toc184308072"/>
      <w:bookmarkEnd w:id="213"/>
      <w:bookmarkStart w:id="214" w:name="_Toc184308087"/>
      <w:bookmarkEnd w:id="214"/>
      <w:bookmarkStart w:id="215" w:name="_Toc184308042"/>
      <w:bookmarkEnd w:id="215"/>
      <w:bookmarkStart w:id="216" w:name="_Toc184312138"/>
      <w:bookmarkEnd w:id="216"/>
      <w:bookmarkStart w:id="217" w:name="_Toc184313277"/>
      <w:bookmarkEnd w:id="217"/>
      <w:bookmarkStart w:id="218" w:name="_Toc184310303"/>
      <w:bookmarkEnd w:id="218"/>
      <w:bookmarkStart w:id="219" w:name="_Toc184308041"/>
      <w:bookmarkEnd w:id="219"/>
      <w:bookmarkStart w:id="220" w:name="_Toc184312107"/>
      <w:bookmarkEnd w:id="220"/>
      <w:bookmarkStart w:id="221" w:name="_Toc184314461"/>
      <w:bookmarkEnd w:id="221"/>
      <w:bookmarkStart w:id="222" w:name="_Toc184313249"/>
      <w:bookmarkEnd w:id="222"/>
      <w:bookmarkStart w:id="223" w:name="_Toc184313251"/>
      <w:bookmarkEnd w:id="223"/>
      <w:bookmarkStart w:id="224" w:name="_Toc184314416"/>
      <w:bookmarkEnd w:id="224"/>
      <w:bookmarkStart w:id="225" w:name="_Toc184310344"/>
      <w:bookmarkEnd w:id="225"/>
      <w:bookmarkStart w:id="226" w:name="_Toc184308037"/>
      <w:bookmarkEnd w:id="226"/>
      <w:bookmarkStart w:id="227" w:name="_Toc184313310"/>
      <w:bookmarkEnd w:id="227"/>
      <w:bookmarkStart w:id="228" w:name="_Toc184312139"/>
      <w:bookmarkEnd w:id="228"/>
      <w:bookmarkStart w:id="229" w:name="_Toc184312114"/>
      <w:bookmarkEnd w:id="229"/>
      <w:bookmarkStart w:id="230" w:name="_Toc184308100"/>
      <w:bookmarkEnd w:id="230"/>
      <w:bookmarkStart w:id="231" w:name="_Toc184314458"/>
      <w:bookmarkEnd w:id="231"/>
      <w:bookmarkStart w:id="232" w:name="_Toc184310319"/>
      <w:bookmarkEnd w:id="232"/>
      <w:bookmarkStart w:id="233" w:name="_Toc184312070"/>
      <w:bookmarkEnd w:id="233"/>
      <w:bookmarkStart w:id="234" w:name="_Toc184312126"/>
      <w:bookmarkEnd w:id="234"/>
      <w:bookmarkStart w:id="235" w:name="_Toc184313257"/>
      <w:bookmarkEnd w:id="235"/>
      <w:bookmarkStart w:id="236" w:name="_Toc184313245"/>
      <w:bookmarkEnd w:id="236"/>
      <w:bookmarkStart w:id="237" w:name="_Toc184312098"/>
      <w:bookmarkEnd w:id="237"/>
      <w:bookmarkStart w:id="238" w:name="_Toc184308057"/>
      <w:bookmarkEnd w:id="238"/>
      <w:bookmarkStart w:id="239" w:name="_Toc184310334"/>
      <w:bookmarkEnd w:id="239"/>
      <w:bookmarkStart w:id="240" w:name="_Toc184308053"/>
      <w:bookmarkEnd w:id="240"/>
      <w:bookmarkStart w:id="241" w:name="_Toc184312109"/>
      <w:bookmarkEnd w:id="241"/>
      <w:bookmarkStart w:id="242" w:name="_Toc184310297"/>
      <w:bookmarkEnd w:id="242"/>
      <w:bookmarkStart w:id="243" w:name="_Toc184314471"/>
      <w:bookmarkEnd w:id="243"/>
      <w:bookmarkStart w:id="244" w:name="_Toc184313260"/>
      <w:bookmarkEnd w:id="244"/>
      <w:bookmarkStart w:id="245" w:name="_Toc184313246"/>
      <w:bookmarkEnd w:id="245"/>
      <w:bookmarkStart w:id="246" w:name="_Toc184312119"/>
      <w:bookmarkEnd w:id="246"/>
      <w:bookmarkStart w:id="247" w:name="_Toc184312112"/>
      <w:bookmarkEnd w:id="247"/>
      <w:bookmarkStart w:id="248" w:name="_Toc184313280"/>
      <w:bookmarkEnd w:id="248"/>
      <w:bookmarkStart w:id="249" w:name="_Toc184312106"/>
      <w:bookmarkEnd w:id="249"/>
      <w:bookmarkStart w:id="250" w:name="_Toc184310294"/>
      <w:bookmarkEnd w:id="250"/>
      <w:bookmarkStart w:id="251" w:name="_Toc184313303"/>
      <w:bookmarkEnd w:id="251"/>
      <w:bookmarkStart w:id="252" w:name="_Toc184312083"/>
      <w:bookmarkEnd w:id="252"/>
      <w:bookmarkStart w:id="253" w:name="_Toc184313278"/>
      <w:bookmarkEnd w:id="253"/>
      <w:bookmarkStart w:id="254" w:name="_Toc184310298"/>
      <w:bookmarkEnd w:id="254"/>
      <w:bookmarkStart w:id="255" w:name="_Toc184314430"/>
      <w:bookmarkEnd w:id="255"/>
      <w:bookmarkStart w:id="256" w:name="_Toc184313243"/>
      <w:bookmarkEnd w:id="256"/>
      <w:bookmarkStart w:id="257" w:name="_Toc184310291"/>
      <w:bookmarkEnd w:id="257"/>
      <w:bookmarkStart w:id="258" w:name="_Toc184313302"/>
      <w:bookmarkEnd w:id="258"/>
      <w:bookmarkStart w:id="259" w:name="_Toc184314428"/>
      <w:bookmarkEnd w:id="259"/>
      <w:bookmarkStart w:id="260" w:name="_Toc184312117"/>
      <w:bookmarkEnd w:id="260"/>
      <w:bookmarkStart w:id="261" w:name="_Toc184314431"/>
      <w:bookmarkEnd w:id="261"/>
      <w:bookmarkStart w:id="262" w:name="_Toc184312073"/>
      <w:bookmarkEnd w:id="262"/>
      <w:bookmarkStart w:id="263" w:name="_Toc184313248"/>
      <w:bookmarkEnd w:id="263"/>
      <w:bookmarkStart w:id="264" w:name="_Toc184314441"/>
      <w:bookmarkEnd w:id="264"/>
      <w:bookmarkStart w:id="265" w:name="_Toc184310340"/>
      <w:bookmarkEnd w:id="265"/>
      <w:bookmarkStart w:id="266" w:name="_Toc184312105"/>
      <w:bookmarkEnd w:id="266"/>
      <w:bookmarkStart w:id="267" w:name="_Toc184313290"/>
      <w:bookmarkEnd w:id="267"/>
      <w:bookmarkStart w:id="268" w:name="_Toc184310292"/>
      <w:bookmarkEnd w:id="268"/>
      <w:bookmarkStart w:id="269" w:name="_Toc184310277"/>
      <w:bookmarkEnd w:id="269"/>
      <w:bookmarkStart w:id="270" w:name="_Toc184312092"/>
      <w:bookmarkEnd w:id="270"/>
      <w:bookmarkStart w:id="271" w:name="_Toc184314436"/>
      <w:bookmarkEnd w:id="271"/>
      <w:bookmarkStart w:id="272" w:name="_Toc184312100"/>
      <w:bookmarkEnd w:id="272"/>
      <w:bookmarkStart w:id="273" w:name="_Toc184312135"/>
      <w:bookmarkEnd w:id="273"/>
      <w:bookmarkStart w:id="274" w:name="_Toc184312086"/>
      <w:bookmarkEnd w:id="274"/>
      <w:bookmarkStart w:id="275" w:name="_Toc184308066"/>
      <w:bookmarkEnd w:id="275"/>
      <w:bookmarkStart w:id="276" w:name="_Toc184313273"/>
      <w:bookmarkEnd w:id="276"/>
      <w:bookmarkStart w:id="277" w:name="_Toc184308096"/>
      <w:bookmarkEnd w:id="277"/>
      <w:bookmarkStart w:id="278" w:name="_Toc184310317"/>
      <w:bookmarkEnd w:id="278"/>
      <w:bookmarkStart w:id="279" w:name="_Toc184308094"/>
      <w:bookmarkEnd w:id="279"/>
      <w:bookmarkStart w:id="280" w:name="_Toc184308067"/>
      <w:bookmarkEnd w:id="280"/>
      <w:bookmarkStart w:id="281" w:name="_Toc184314413"/>
      <w:bookmarkEnd w:id="281"/>
      <w:bookmarkStart w:id="282" w:name="_Toc184308064"/>
      <w:bookmarkEnd w:id="282"/>
      <w:bookmarkStart w:id="283" w:name="_Toc184314474"/>
      <w:bookmarkEnd w:id="283"/>
      <w:bookmarkStart w:id="284" w:name="_Toc184314411"/>
      <w:bookmarkEnd w:id="284"/>
      <w:bookmarkStart w:id="285" w:name="_Toc184312099"/>
      <w:bookmarkEnd w:id="285"/>
      <w:bookmarkStart w:id="286" w:name="_Toc184312123"/>
      <w:bookmarkEnd w:id="286"/>
      <w:bookmarkStart w:id="287" w:name="_Toc184312116"/>
      <w:bookmarkEnd w:id="287"/>
      <w:bookmarkStart w:id="288" w:name="_Toc184310287"/>
      <w:bookmarkEnd w:id="288"/>
      <w:bookmarkStart w:id="289" w:name="_Toc184314446"/>
      <w:bookmarkEnd w:id="289"/>
      <w:bookmarkStart w:id="290" w:name="_Toc184314472"/>
      <w:bookmarkEnd w:id="290"/>
      <w:bookmarkStart w:id="291" w:name="_Toc184308079"/>
      <w:bookmarkEnd w:id="291"/>
      <w:bookmarkStart w:id="292" w:name="_Toc184314449"/>
      <w:bookmarkEnd w:id="292"/>
      <w:bookmarkStart w:id="293" w:name="_Toc184310321"/>
      <w:bookmarkEnd w:id="293"/>
      <w:bookmarkStart w:id="294" w:name="_Toc184310279"/>
      <w:bookmarkEnd w:id="294"/>
      <w:bookmarkStart w:id="295" w:name="_Toc184312078"/>
      <w:bookmarkEnd w:id="295"/>
      <w:bookmarkStart w:id="296" w:name="_Toc184314422"/>
      <w:bookmarkEnd w:id="296"/>
      <w:bookmarkStart w:id="297" w:name="_Toc184310276"/>
      <w:bookmarkEnd w:id="297"/>
      <w:bookmarkStart w:id="298" w:name="_Toc184308076"/>
      <w:bookmarkEnd w:id="298"/>
      <w:bookmarkStart w:id="299" w:name="_Toc184313274"/>
      <w:bookmarkEnd w:id="299"/>
      <w:bookmarkStart w:id="300" w:name="_Toc184314429"/>
      <w:bookmarkEnd w:id="300"/>
      <w:bookmarkStart w:id="301" w:name="_Toc184313275"/>
      <w:bookmarkEnd w:id="301"/>
      <w:bookmarkStart w:id="302" w:name="_Toc184313265"/>
      <w:bookmarkEnd w:id="302"/>
      <w:bookmarkStart w:id="303" w:name="_Toc184312120"/>
      <w:bookmarkEnd w:id="303"/>
      <w:bookmarkStart w:id="304" w:name="_Toc184313276"/>
      <w:bookmarkEnd w:id="304"/>
      <w:bookmarkStart w:id="305" w:name="_Toc184308054"/>
      <w:bookmarkEnd w:id="305"/>
      <w:bookmarkStart w:id="306" w:name="_Toc184314469"/>
      <w:bookmarkEnd w:id="306"/>
      <w:bookmarkStart w:id="307" w:name="_Toc184314415"/>
      <w:bookmarkEnd w:id="307"/>
      <w:bookmarkStart w:id="308" w:name="_Toc184312110"/>
      <w:bookmarkEnd w:id="308"/>
      <w:bookmarkStart w:id="309" w:name="_Toc184308089"/>
      <w:bookmarkEnd w:id="309"/>
      <w:bookmarkStart w:id="310" w:name="_Toc184314464"/>
      <w:bookmarkEnd w:id="310"/>
      <w:bookmarkStart w:id="311" w:name="_Toc184308038"/>
      <w:bookmarkEnd w:id="311"/>
      <w:bookmarkStart w:id="312" w:name="_Toc184313293"/>
      <w:bookmarkEnd w:id="312"/>
      <w:bookmarkStart w:id="313" w:name="_Toc184314421"/>
      <w:bookmarkEnd w:id="313"/>
      <w:bookmarkStart w:id="314" w:name="_Toc184314419"/>
      <w:bookmarkEnd w:id="314"/>
      <w:bookmarkStart w:id="315" w:name="_Toc184312089"/>
      <w:bookmarkEnd w:id="315"/>
      <w:bookmarkStart w:id="316" w:name="_Toc184308102"/>
      <w:bookmarkEnd w:id="316"/>
      <w:bookmarkStart w:id="317" w:name="_Toc184310328"/>
      <w:bookmarkEnd w:id="317"/>
      <w:bookmarkStart w:id="318" w:name="_Toc184312103"/>
      <w:bookmarkEnd w:id="318"/>
      <w:bookmarkStart w:id="319" w:name="_Toc184312134"/>
      <w:bookmarkEnd w:id="319"/>
      <w:bookmarkStart w:id="320" w:name="_Toc184313291"/>
      <w:bookmarkEnd w:id="320"/>
      <w:bookmarkStart w:id="321" w:name="_Toc184314473"/>
      <w:bookmarkEnd w:id="321"/>
      <w:bookmarkStart w:id="322" w:name="_Toc184308060"/>
      <w:bookmarkEnd w:id="322"/>
      <w:bookmarkStart w:id="323" w:name="_Toc184308078"/>
      <w:bookmarkEnd w:id="323"/>
      <w:bookmarkStart w:id="324" w:name="_Toc184308085"/>
      <w:bookmarkEnd w:id="324"/>
      <w:bookmarkStart w:id="325" w:name="_Toc184308106"/>
      <w:bookmarkEnd w:id="325"/>
      <w:bookmarkStart w:id="326" w:name="_Toc184308093"/>
      <w:bookmarkEnd w:id="326"/>
      <w:bookmarkStart w:id="327" w:name="_Toc184312125"/>
      <w:bookmarkEnd w:id="327"/>
      <w:bookmarkStart w:id="328" w:name="_Toc184314425"/>
      <w:bookmarkEnd w:id="328"/>
      <w:bookmarkStart w:id="329" w:name="_Toc184312137"/>
      <w:bookmarkEnd w:id="329"/>
      <w:bookmarkStart w:id="330" w:name="_Toc184313288"/>
      <w:bookmarkEnd w:id="330"/>
      <w:bookmarkStart w:id="331" w:name="_Toc184313305"/>
      <w:bookmarkEnd w:id="331"/>
      <w:bookmarkStart w:id="332" w:name="_Toc184313298"/>
      <w:bookmarkEnd w:id="332"/>
      <w:bookmarkStart w:id="333" w:name="_Toc184314470"/>
      <w:bookmarkEnd w:id="333"/>
      <w:bookmarkStart w:id="334" w:name="_Toc184314466"/>
      <w:bookmarkEnd w:id="334"/>
      <w:bookmarkStart w:id="335" w:name="_Toc184313297"/>
      <w:bookmarkEnd w:id="335"/>
      <w:bookmarkStart w:id="336" w:name="_Toc184314452"/>
      <w:bookmarkEnd w:id="336"/>
      <w:bookmarkStart w:id="337" w:name="_Toc184308095"/>
      <w:bookmarkEnd w:id="337"/>
      <w:bookmarkStart w:id="338" w:name="_Toc184312082"/>
      <w:bookmarkEnd w:id="338"/>
      <w:bookmarkStart w:id="339" w:name="_Toc184308049"/>
      <w:bookmarkEnd w:id="339"/>
      <w:bookmarkStart w:id="340" w:name="_Toc184312076"/>
      <w:bookmarkEnd w:id="340"/>
      <w:bookmarkStart w:id="341" w:name="_Toc184314424"/>
      <w:bookmarkEnd w:id="341"/>
      <w:bookmarkStart w:id="342" w:name="_Toc184314476"/>
      <w:bookmarkEnd w:id="342"/>
      <w:bookmarkStart w:id="343" w:name="_Toc184310272"/>
      <w:bookmarkEnd w:id="343"/>
      <w:bookmarkStart w:id="344" w:name="_Toc184308105"/>
      <w:bookmarkEnd w:id="344"/>
      <w:bookmarkStart w:id="345" w:name="_Toc184314455"/>
      <w:bookmarkEnd w:id="345"/>
      <w:bookmarkStart w:id="346" w:name="_Toc184314443"/>
      <w:bookmarkEnd w:id="346"/>
      <w:bookmarkStart w:id="347" w:name="_Toc184310332"/>
      <w:bookmarkEnd w:id="347"/>
      <w:bookmarkStart w:id="348" w:name="_Toc184314467"/>
      <w:bookmarkEnd w:id="348"/>
      <w:bookmarkStart w:id="349" w:name="_Toc184308059"/>
      <w:bookmarkEnd w:id="349"/>
      <w:bookmarkStart w:id="350" w:name="_Toc184313285"/>
      <w:bookmarkEnd w:id="350"/>
      <w:bookmarkStart w:id="351" w:name="_Toc184312074"/>
      <w:bookmarkEnd w:id="351"/>
      <w:bookmarkStart w:id="352" w:name="_Toc184310329"/>
      <w:bookmarkEnd w:id="352"/>
      <w:bookmarkStart w:id="353" w:name="_Toc184310309"/>
      <w:bookmarkEnd w:id="353"/>
      <w:bookmarkStart w:id="354" w:name="_Toc184313244"/>
      <w:bookmarkEnd w:id="354"/>
      <w:bookmarkStart w:id="355" w:name="_Toc184308046"/>
      <w:bookmarkEnd w:id="355"/>
      <w:bookmarkStart w:id="356" w:name="_Toc184314451"/>
      <w:bookmarkEnd w:id="356"/>
      <w:bookmarkStart w:id="357" w:name="_Toc184312136"/>
      <w:bookmarkEnd w:id="357"/>
      <w:bookmarkStart w:id="358" w:name="_Toc184313304"/>
      <w:bookmarkEnd w:id="358"/>
      <w:bookmarkStart w:id="359" w:name="_Toc184312075"/>
      <w:bookmarkEnd w:id="359"/>
      <w:bookmarkStart w:id="360" w:name="_Toc184314445"/>
      <w:bookmarkEnd w:id="360"/>
      <w:bookmarkStart w:id="361" w:name="_Toc184308036"/>
      <w:bookmarkEnd w:id="361"/>
      <w:bookmarkStart w:id="362" w:name="_Toc184308048"/>
      <w:bookmarkEnd w:id="362"/>
      <w:bookmarkStart w:id="363" w:name="_Toc184312128"/>
      <w:bookmarkEnd w:id="363"/>
      <w:bookmarkStart w:id="364" w:name="_Toc184310327"/>
      <w:bookmarkEnd w:id="364"/>
      <w:bookmarkStart w:id="365" w:name="_Toc184312091"/>
      <w:bookmarkEnd w:id="365"/>
      <w:bookmarkStart w:id="366" w:name="_Toc184310278"/>
      <w:bookmarkEnd w:id="366"/>
      <w:bookmarkStart w:id="367" w:name="_Toc184308088"/>
      <w:bookmarkEnd w:id="367"/>
      <w:bookmarkStart w:id="368" w:name="_Toc184314457"/>
      <w:bookmarkEnd w:id="368"/>
      <w:bookmarkStart w:id="369" w:name="_Toc184308047"/>
      <w:bookmarkEnd w:id="369"/>
      <w:bookmarkStart w:id="370" w:name="_Toc184310286"/>
      <w:bookmarkEnd w:id="370"/>
      <w:bookmarkStart w:id="371" w:name="_Toc184312077"/>
      <w:bookmarkEnd w:id="371"/>
      <w:bookmarkStart w:id="372" w:name="_Toc184310318"/>
      <w:bookmarkEnd w:id="372"/>
      <w:bookmarkStart w:id="373" w:name="_Toc184308107"/>
      <w:bookmarkEnd w:id="373"/>
      <w:bookmarkStart w:id="374" w:name="_Toc184308092"/>
      <w:bookmarkEnd w:id="374"/>
      <w:bookmarkStart w:id="375" w:name="_Toc184308068"/>
      <w:bookmarkEnd w:id="375"/>
      <w:bookmarkStart w:id="376" w:name="_Toc184314412"/>
      <w:bookmarkEnd w:id="376"/>
      <w:bookmarkStart w:id="377" w:name="_Toc184312131"/>
      <w:bookmarkEnd w:id="377"/>
      <w:bookmarkStart w:id="378" w:name="_Toc184314417"/>
      <w:bookmarkEnd w:id="378"/>
      <w:bookmarkStart w:id="379" w:name="_Toc184308099"/>
      <w:bookmarkEnd w:id="379"/>
      <w:bookmarkStart w:id="380" w:name="_Toc184308045"/>
      <w:bookmarkEnd w:id="380"/>
      <w:bookmarkStart w:id="381" w:name="_Toc184313271"/>
      <w:bookmarkEnd w:id="381"/>
      <w:bookmarkStart w:id="382" w:name="_Toc184308043"/>
      <w:bookmarkEnd w:id="382"/>
      <w:bookmarkStart w:id="383" w:name="_Toc184312104"/>
      <w:bookmarkEnd w:id="383"/>
      <w:bookmarkStart w:id="384" w:name="_Toc184310290"/>
      <w:bookmarkEnd w:id="384"/>
      <w:bookmarkStart w:id="385" w:name="_Toc184308077"/>
      <w:bookmarkEnd w:id="385"/>
      <w:bookmarkStart w:id="386" w:name="_Toc184313308"/>
      <w:bookmarkEnd w:id="386"/>
      <w:bookmarkStart w:id="387" w:name="_Toc184313300"/>
      <w:bookmarkEnd w:id="387"/>
      <w:bookmarkStart w:id="388" w:name="_Toc184310339"/>
      <w:bookmarkEnd w:id="388"/>
      <w:bookmarkStart w:id="389" w:name="_Toc184308075"/>
      <w:bookmarkEnd w:id="389"/>
      <w:bookmarkStart w:id="390" w:name="_Toc184308062"/>
      <w:bookmarkEnd w:id="390"/>
      <w:bookmarkStart w:id="391" w:name="_Toc184314444"/>
      <w:bookmarkEnd w:id="391"/>
      <w:bookmarkStart w:id="392" w:name="_Toc184314456"/>
      <w:bookmarkEnd w:id="392"/>
      <w:bookmarkStart w:id="393" w:name="_Toc184313250"/>
      <w:bookmarkEnd w:id="393"/>
      <w:bookmarkStart w:id="394" w:name="_Toc184314435"/>
      <w:bookmarkEnd w:id="394"/>
      <w:bookmarkStart w:id="395" w:name="_Toc184312129"/>
      <w:bookmarkEnd w:id="395"/>
      <w:bookmarkStart w:id="396" w:name="_Toc184314433"/>
      <w:bookmarkEnd w:id="396"/>
      <w:bookmarkStart w:id="397" w:name="_Toc184310320"/>
      <w:bookmarkEnd w:id="397"/>
      <w:bookmarkStart w:id="398" w:name="_Toc184314423"/>
      <w:bookmarkEnd w:id="398"/>
      <w:bookmarkStart w:id="399" w:name="_Toc184308039"/>
      <w:bookmarkEnd w:id="399"/>
      <w:bookmarkStart w:id="400" w:name="_Toc184310302"/>
      <w:bookmarkEnd w:id="400"/>
      <w:bookmarkStart w:id="401" w:name="_Toc184313254"/>
      <w:bookmarkEnd w:id="401"/>
      <w:r>
        <w:rPr>
          <w:rFonts w:hint="eastAsia" w:ascii="仿宋" w:hAnsi="仿宋" w:eastAsia="仿宋" w:cs="仿宋"/>
          <w:b/>
          <w:sz w:val="36"/>
          <w:szCs w:val="36"/>
        </w:rPr>
        <w:t>评标办法</w:t>
      </w:r>
      <w:bookmarkEnd w:id="36"/>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W w:w="8063"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6268"/>
        <w:gridCol w:w="975"/>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6268"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评分标准</w:t>
            </w:r>
          </w:p>
        </w:tc>
        <w:tc>
          <w:tcPr>
            <w:tcW w:w="975"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对采购文件技术指标的符合度：通过所投产品设备的技术参数正负偏离情况综合打分，一般技术参数每项不符扣2分，</w:t>
            </w:r>
            <w:r>
              <w:rPr>
                <w:rFonts w:hint="eastAsia" w:ascii="仿宋" w:hAnsi="仿宋" w:eastAsia="仿宋" w:cs="仿宋"/>
                <w:sz w:val="24"/>
              </w:rPr>
              <w:t>★</w:t>
            </w:r>
            <w:r>
              <w:rPr>
                <w:rFonts w:hint="eastAsia" w:ascii="仿宋" w:hAnsi="仿宋" w:eastAsia="仿宋" w:cs="仿宋"/>
                <w:kern w:val="0"/>
                <w:sz w:val="24"/>
              </w:rPr>
              <w:t>技术参数每项不符扣4分</w:t>
            </w:r>
            <w:r>
              <w:rPr>
                <w:rFonts w:hint="eastAsia" w:ascii="仿宋" w:hAnsi="仿宋" w:eastAsia="仿宋" w:cs="仿宋"/>
                <w:kern w:val="0"/>
                <w:sz w:val="24"/>
                <w:lang w:eastAsia="zh-CN"/>
              </w:rPr>
              <w:t>，</w:t>
            </w:r>
            <w:r>
              <w:rPr>
                <w:rFonts w:hint="eastAsia" w:ascii="仿宋" w:hAnsi="仿宋" w:eastAsia="仿宋" w:cs="仿宋"/>
                <w:kern w:val="0"/>
                <w:sz w:val="24"/>
              </w:rPr>
              <w:t>扣完为止。</w:t>
            </w:r>
          </w:p>
        </w:tc>
        <w:tc>
          <w:tcPr>
            <w:tcW w:w="975" w:type="dxa"/>
            <w:vAlign w:val="center"/>
          </w:tcPr>
          <w:p>
            <w:pPr>
              <w:adjustRightInd/>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投标货物的技术性能：根据所投货物技术性能先进程度、在临床使用效果评分。技术性能先进充分满足临床要求且优化的得4分，技术性能较先进满足临床要求得3分；技术性能基本满足临床要求的得2分；技术性能不能完全满足临床要求的得1分；存在较大的缺陷、技术性能与临床要求差距较大的得0分。</w:t>
            </w:r>
          </w:p>
        </w:tc>
        <w:tc>
          <w:tcPr>
            <w:tcW w:w="975"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维修成本：包括保修价格、设备配件价格，维修服务费等维修价格。</w:t>
            </w:r>
          </w:p>
          <w:p>
            <w:pPr>
              <w:adjustRightInd/>
              <w:spacing w:line="360" w:lineRule="auto"/>
              <w:rPr>
                <w:rFonts w:ascii="仿宋" w:hAnsi="仿宋" w:eastAsia="仿宋" w:cs="仿宋"/>
                <w:kern w:val="0"/>
                <w:sz w:val="24"/>
              </w:rPr>
            </w:pPr>
            <w:r>
              <w:rPr>
                <w:rFonts w:hint="eastAsia" w:ascii="仿宋" w:hAnsi="仿宋" w:eastAsia="仿宋" w:cs="仿宋"/>
                <w:kern w:val="0"/>
                <w:sz w:val="24"/>
              </w:rPr>
              <w:t>报价合理维修成本低得4分；报价和维修成本较合理得3分，报价和维修成本一般得2分，维修成本报价不合理得1分，无维修报价得0分。</w:t>
            </w:r>
          </w:p>
        </w:tc>
        <w:tc>
          <w:tcPr>
            <w:tcW w:w="975"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售后服务方案：</w:t>
            </w:r>
          </w:p>
        </w:tc>
        <w:tc>
          <w:tcPr>
            <w:tcW w:w="975" w:type="dxa"/>
            <w:vAlign w:val="center"/>
          </w:tcPr>
          <w:p>
            <w:pPr>
              <w:adjustRightInd/>
              <w:spacing w:line="360" w:lineRule="auto"/>
              <w:jc w:val="center"/>
              <w:rPr>
                <w:rFonts w:ascii="仿宋" w:hAnsi="仿宋" w:eastAsia="仿宋" w:cs="仿宋"/>
                <w:kern w:val="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4.1</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售后服务方案，包括但不限于服务响应时间、故障解决方案，响应时间短，解决方案充分得4分，响应时间一般，解决方案较合理得3分，响应时间长，解决方案一般2分，响应时间长，解决方案差1分，无解决方案得0分；</w:t>
            </w:r>
          </w:p>
        </w:tc>
        <w:tc>
          <w:tcPr>
            <w:tcW w:w="975"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4.2</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售后服务机构备品备件储备情况，储备充足能充分满足售后服务要求得3分，储备一般基本能满足售后服务要求得2分，储备情况差不能满足售后服务要求1分，无备品备件储备得0分。</w:t>
            </w:r>
          </w:p>
        </w:tc>
        <w:tc>
          <w:tcPr>
            <w:tcW w:w="975"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4.3</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售后服务机构技术服务人员情况，提供姓名、工作经验，人员配备充足售后服务经验丰富得3分，人员配备和售后服务一般得2分，人员配备不足售后服务经验差1分，无人员配备得0分。</w:t>
            </w:r>
          </w:p>
        </w:tc>
        <w:tc>
          <w:tcPr>
            <w:tcW w:w="975"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安装调试方案，包括对场地环境的了解、人员的安排、时间进度的规划，对设备的调试进度安排，调试的步骤、措施，问题的解决方案等</w:t>
            </w:r>
            <w:r>
              <w:rPr>
                <w:rFonts w:hint="eastAsia" w:ascii="仿宋" w:hAnsi="仿宋" w:eastAsia="仿宋" w:cs="仿宋"/>
                <w:kern w:val="0"/>
                <w:sz w:val="24"/>
                <w:lang w:eastAsia="zh-CN"/>
              </w:rPr>
              <w:t>。</w:t>
            </w:r>
            <w:r>
              <w:rPr>
                <w:rFonts w:hint="eastAsia" w:ascii="仿宋" w:hAnsi="仿宋" w:eastAsia="仿宋" w:cs="仿宋"/>
                <w:kern w:val="0"/>
                <w:sz w:val="24"/>
              </w:rPr>
              <w:t>方案合理内容详尽完善得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分，方案较详细完善得</w:t>
            </w:r>
            <w:r>
              <w:rPr>
                <w:rFonts w:hint="eastAsia" w:ascii="仿宋" w:hAnsi="仿宋" w:eastAsia="仿宋" w:cs="仿宋"/>
                <w:kern w:val="0"/>
                <w:sz w:val="24"/>
                <w:lang w:val="en-US" w:eastAsia="zh-CN"/>
              </w:rPr>
              <w:t>3</w:t>
            </w:r>
            <w:r>
              <w:rPr>
                <w:rFonts w:hint="eastAsia" w:ascii="仿宋" w:hAnsi="仿宋" w:eastAsia="仿宋" w:cs="仿宋"/>
                <w:kern w:val="0"/>
                <w:sz w:val="24"/>
              </w:rPr>
              <w:t>分，方案一般得</w:t>
            </w:r>
            <w:r>
              <w:rPr>
                <w:rFonts w:hint="eastAsia" w:ascii="仿宋" w:hAnsi="仿宋" w:eastAsia="仿宋" w:cs="仿宋"/>
                <w:kern w:val="0"/>
                <w:sz w:val="24"/>
                <w:lang w:val="en-US" w:eastAsia="zh-CN"/>
              </w:rPr>
              <w:t>2</w:t>
            </w:r>
            <w:r>
              <w:rPr>
                <w:rFonts w:hint="eastAsia" w:ascii="仿宋" w:hAnsi="仿宋" w:eastAsia="仿宋" w:cs="仿宋"/>
                <w:kern w:val="0"/>
                <w:sz w:val="24"/>
              </w:rPr>
              <w:t>分，方案有欠缺得</w:t>
            </w:r>
            <w:r>
              <w:rPr>
                <w:rFonts w:hint="eastAsia" w:ascii="仿宋" w:hAnsi="仿宋" w:eastAsia="仿宋" w:cs="仿宋"/>
                <w:kern w:val="0"/>
                <w:sz w:val="24"/>
                <w:lang w:val="en-US" w:eastAsia="zh-CN"/>
              </w:rPr>
              <w:t>1</w:t>
            </w:r>
            <w:r>
              <w:rPr>
                <w:rFonts w:hint="eastAsia" w:ascii="仿宋" w:hAnsi="仿宋" w:eastAsia="仿宋" w:cs="仿宋"/>
                <w:kern w:val="0"/>
                <w:sz w:val="24"/>
              </w:rPr>
              <w:t>分，未提供方案得0分。</w:t>
            </w:r>
          </w:p>
        </w:tc>
        <w:tc>
          <w:tcPr>
            <w:tcW w:w="975"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lang w:val="en-US"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培训方案，包括但不限于培训对象、课时安排、师资力量安排等</w:t>
            </w:r>
            <w:r>
              <w:rPr>
                <w:rFonts w:hint="eastAsia" w:ascii="仿宋" w:hAnsi="仿宋" w:eastAsia="仿宋" w:cs="仿宋"/>
                <w:kern w:val="0"/>
                <w:sz w:val="24"/>
                <w:lang w:eastAsia="zh-CN"/>
              </w:rPr>
              <w:t>。</w:t>
            </w:r>
            <w:r>
              <w:rPr>
                <w:rFonts w:hint="eastAsia" w:ascii="仿宋" w:hAnsi="仿宋" w:eastAsia="仿宋" w:cs="仿宋"/>
                <w:kern w:val="0"/>
                <w:sz w:val="24"/>
              </w:rPr>
              <w:t>方案合理内容详尽完善得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分，方案较详细完善得</w:t>
            </w:r>
            <w:r>
              <w:rPr>
                <w:rFonts w:hint="eastAsia" w:ascii="仿宋" w:hAnsi="仿宋" w:eastAsia="仿宋" w:cs="仿宋"/>
                <w:kern w:val="0"/>
                <w:sz w:val="24"/>
                <w:lang w:val="en-US" w:eastAsia="zh-CN"/>
              </w:rPr>
              <w:t>3</w:t>
            </w:r>
            <w:r>
              <w:rPr>
                <w:rFonts w:hint="eastAsia" w:ascii="仿宋" w:hAnsi="仿宋" w:eastAsia="仿宋" w:cs="仿宋"/>
                <w:kern w:val="0"/>
                <w:sz w:val="24"/>
              </w:rPr>
              <w:t>分，方案一般得</w:t>
            </w:r>
            <w:r>
              <w:rPr>
                <w:rFonts w:hint="eastAsia" w:ascii="仿宋" w:hAnsi="仿宋" w:eastAsia="仿宋" w:cs="仿宋"/>
                <w:kern w:val="0"/>
                <w:sz w:val="24"/>
                <w:lang w:val="en-US" w:eastAsia="zh-CN"/>
              </w:rPr>
              <w:t>2</w:t>
            </w:r>
            <w:r>
              <w:rPr>
                <w:rFonts w:hint="eastAsia" w:ascii="仿宋" w:hAnsi="仿宋" w:eastAsia="仿宋" w:cs="仿宋"/>
                <w:kern w:val="0"/>
                <w:sz w:val="24"/>
              </w:rPr>
              <w:t>分，方案有欠缺得</w:t>
            </w:r>
            <w:r>
              <w:rPr>
                <w:rFonts w:hint="eastAsia" w:ascii="仿宋" w:hAnsi="仿宋" w:eastAsia="仿宋" w:cs="仿宋"/>
                <w:kern w:val="0"/>
                <w:sz w:val="24"/>
                <w:lang w:val="en-US" w:eastAsia="zh-CN"/>
              </w:rPr>
              <w:t>1</w:t>
            </w:r>
            <w:r>
              <w:rPr>
                <w:rFonts w:hint="eastAsia" w:ascii="仿宋" w:hAnsi="仿宋" w:eastAsia="仿宋" w:cs="仿宋"/>
                <w:kern w:val="0"/>
                <w:sz w:val="24"/>
              </w:rPr>
              <w:t>分，未提供方案得0分。</w:t>
            </w:r>
          </w:p>
        </w:tc>
        <w:tc>
          <w:tcPr>
            <w:tcW w:w="975"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lang w:val="en-US"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优惠方案：质保期在满足采购文件的基础上每增加1年加</w:t>
            </w:r>
            <w:r>
              <w:rPr>
                <w:rFonts w:hint="eastAsia" w:ascii="仿宋" w:hAnsi="仿宋" w:eastAsia="仿宋" w:cs="仿宋"/>
                <w:kern w:val="0"/>
                <w:sz w:val="24"/>
                <w:lang w:val="en-US" w:eastAsia="zh-CN"/>
              </w:rPr>
              <w:t>1</w:t>
            </w:r>
            <w:r>
              <w:rPr>
                <w:rFonts w:hint="eastAsia" w:ascii="仿宋" w:hAnsi="仿宋" w:eastAsia="仿宋" w:cs="仿宋"/>
                <w:kern w:val="0"/>
                <w:sz w:val="24"/>
              </w:rPr>
              <w:t>分，最多加</w:t>
            </w:r>
            <w:r>
              <w:rPr>
                <w:rFonts w:hint="eastAsia" w:ascii="仿宋" w:hAnsi="仿宋" w:eastAsia="仿宋" w:cs="仿宋"/>
                <w:kern w:val="0"/>
                <w:sz w:val="24"/>
                <w:lang w:val="en-US" w:eastAsia="zh-CN"/>
              </w:rPr>
              <w:t>3</w:t>
            </w:r>
            <w:r>
              <w:rPr>
                <w:rFonts w:hint="eastAsia" w:ascii="仿宋" w:hAnsi="仿宋" w:eastAsia="仿宋" w:cs="仿宋"/>
                <w:kern w:val="0"/>
                <w:sz w:val="24"/>
              </w:rPr>
              <w:t>分</w:t>
            </w:r>
          </w:p>
        </w:tc>
        <w:tc>
          <w:tcPr>
            <w:tcW w:w="975" w:type="dxa"/>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8</w:t>
            </w:r>
          </w:p>
        </w:tc>
        <w:tc>
          <w:tcPr>
            <w:tcW w:w="6268" w:type="dxa"/>
            <w:vAlign w:val="center"/>
          </w:tcPr>
          <w:p>
            <w:pPr>
              <w:adjustRightInd/>
              <w:spacing w:line="360" w:lineRule="auto"/>
              <w:rPr>
                <w:rFonts w:ascii="仿宋" w:hAnsi="仿宋" w:eastAsia="仿宋" w:cs="仿宋"/>
                <w:kern w:val="0"/>
                <w:sz w:val="24"/>
              </w:rPr>
            </w:pPr>
            <w:r>
              <w:rPr>
                <w:rFonts w:hint="eastAsia" w:ascii="仿宋" w:hAnsi="仿宋" w:eastAsia="仿宋" w:cs="仿宋"/>
                <w:kern w:val="0"/>
                <w:sz w:val="24"/>
              </w:rPr>
              <w:t>投标产品销售业绩：评委对本次同型号设备自2019年1月1日起（以合同签定时间为准）与不同的最终用户签订的销售合同评分，每提供一个合同复印件得1分，最高3分。</w:t>
            </w:r>
          </w:p>
        </w:tc>
        <w:tc>
          <w:tcPr>
            <w:tcW w:w="975" w:type="dxa"/>
            <w:vAlign w:val="center"/>
          </w:tcPr>
          <w:p>
            <w:pPr>
              <w:adjustRightInd/>
              <w:spacing w:line="360" w:lineRule="auto"/>
              <w:jc w:val="center"/>
              <w:rPr>
                <w:rFonts w:ascii="仿宋" w:hAnsi="仿宋" w:eastAsia="仿宋" w:cs="仿宋"/>
                <w:kern w:val="0"/>
                <w:sz w:val="24"/>
              </w:rPr>
            </w:pPr>
            <w:r>
              <w:rPr>
                <w:rFonts w:hint="eastAsia" w:ascii="仿宋" w:hAnsi="仿宋" w:eastAsia="仿宋" w:cs="仿宋"/>
                <w:kern w:val="0"/>
                <w:sz w:val="24"/>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adjustRightInd/>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w:t>
            </w:r>
          </w:p>
        </w:tc>
        <w:tc>
          <w:tcPr>
            <w:tcW w:w="6268" w:type="dxa"/>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政府采购政策：</w:t>
            </w:r>
          </w:p>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975" w:type="dxa"/>
            <w:vAlign w:val="center"/>
          </w:tcPr>
          <w:p>
            <w:pPr>
              <w:adjustRightInd/>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r>
    </w:tbl>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价格分（30分）</w:t>
      </w:r>
    </w:p>
    <w:p>
      <w:pPr>
        <w:adjustRightInd/>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1.价格分采用低价优先法计算，即满足招标文件要求且投标价格最低的投标报价为评标基准价，其他投标人的价格分按照下列公式计算：</w:t>
      </w:r>
    </w:p>
    <w:p>
      <w:pPr>
        <w:adjustRightInd/>
        <w:spacing w:line="360" w:lineRule="auto"/>
        <w:ind w:firstLine="470" w:firstLineChars="196"/>
      </w:pPr>
      <w:r>
        <w:rPr>
          <w:rFonts w:hint="eastAsia" w:ascii="仿宋" w:hAnsi="仿宋" w:eastAsia="仿宋" w:cs="仿宋"/>
          <w:kern w:val="0"/>
          <w:sz w:val="24"/>
        </w:rPr>
        <w:t>价格分=（评标基准价/投标报价）×30%×100</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bookmarkStart w:id="402" w:name="_Toc3730"/>
      <w:r>
        <w:rPr>
          <w:rFonts w:hint="eastAsia" w:ascii="仿宋" w:hAnsi="仿宋" w:eastAsia="仿宋" w:cs="仿宋"/>
          <w:b/>
          <w:sz w:val="36"/>
          <w:szCs w:val="36"/>
        </w:rPr>
        <w:t>三、评标程序</w:t>
      </w:r>
      <w:bookmarkEnd w:id="402"/>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1"/>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eastAsia="zh-CN"/>
        </w:rPr>
        <w:t>20%</w:t>
      </w:r>
      <w:r>
        <w:rPr>
          <w:rFonts w:hint="eastAsia" w:ascii="仿宋" w:hAnsi="仿宋" w:eastAsia="仿宋" w:cs="仿宋"/>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7"/>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7"/>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7"/>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7"/>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7"/>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7"/>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7"/>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7"/>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7"/>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7"/>
        <w:snapToGrid w:val="0"/>
        <w:spacing w:line="360" w:lineRule="auto"/>
        <w:ind w:firstLine="0" w:firstLineChars="0"/>
        <w:rPr>
          <w:rFonts w:ascii="仿宋" w:hAnsi="仿宋" w:eastAsia="仿宋" w:cs="仿宋"/>
        </w:rPr>
      </w:pPr>
    </w:p>
    <w:bookmarkEnd w:id="35"/>
    <w:p>
      <w:pPr>
        <w:spacing w:line="360" w:lineRule="auto"/>
        <w:ind w:left="720" w:leftChars="343" w:firstLine="1084" w:firstLineChars="300"/>
        <w:rPr>
          <w:rFonts w:ascii="仿宋" w:hAnsi="仿宋" w:eastAsia="仿宋" w:cs="仿宋"/>
          <w:b/>
          <w:sz w:val="36"/>
          <w:szCs w:val="36"/>
        </w:rPr>
      </w:pPr>
      <w:bookmarkStart w:id="403" w:name="第五部分"/>
      <w:bookmarkStart w:id="404" w:name="_Toc86217003"/>
    </w:p>
    <w:p>
      <w:pPr>
        <w:pStyle w:val="81"/>
        <w:rPr>
          <w:rFonts w:ascii="仿宋" w:hAnsi="仿宋" w:eastAsia="仿宋" w:cs="仿宋"/>
          <w:b/>
          <w:sz w:val="36"/>
          <w:szCs w:val="36"/>
        </w:rPr>
      </w:pPr>
    </w:p>
    <w:p>
      <w:pPr>
        <w:pStyle w:val="81"/>
        <w:rPr>
          <w:rFonts w:ascii="仿宋" w:hAnsi="仿宋" w:eastAsia="仿宋" w:cs="仿宋"/>
          <w:b/>
          <w:sz w:val="36"/>
          <w:szCs w:val="36"/>
        </w:rPr>
      </w:pPr>
    </w:p>
    <w:p>
      <w:pPr>
        <w:pStyle w:val="81"/>
        <w:rPr>
          <w:rFonts w:ascii="仿宋" w:hAnsi="仿宋" w:eastAsia="仿宋" w:cs="仿宋"/>
          <w:b/>
          <w:sz w:val="36"/>
          <w:szCs w:val="36"/>
        </w:rPr>
      </w:pPr>
    </w:p>
    <w:p>
      <w:pPr>
        <w:pStyle w:val="81"/>
        <w:rPr>
          <w:rFonts w:ascii="仿宋" w:hAnsi="仿宋" w:eastAsia="仿宋" w:cs="仿宋"/>
          <w:b/>
          <w:sz w:val="36"/>
          <w:szCs w:val="36"/>
        </w:rPr>
      </w:pPr>
    </w:p>
    <w:p>
      <w:pPr>
        <w:spacing w:line="360" w:lineRule="auto"/>
        <w:ind w:left="720" w:leftChars="343" w:firstLine="1084" w:firstLineChars="300"/>
        <w:rPr>
          <w:rFonts w:hint="eastAsia" w:ascii="仿宋" w:hAnsi="仿宋" w:eastAsia="仿宋" w:cs="仿宋"/>
          <w:b/>
          <w:sz w:val="36"/>
          <w:szCs w:val="36"/>
        </w:rPr>
      </w:pPr>
      <w:r>
        <w:rPr>
          <w:rFonts w:hint="eastAsia" w:ascii="仿宋" w:hAnsi="仿宋" w:eastAsia="仿宋" w:cs="仿宋"/>
          <w:b/>
          <w:sz w:val="36"/>
          <w:szCs w:val="36"/>
        </w:rPr>
        <w:t xml:space="preserve">    </w:t>
      </w:r>
    </w:p>
    <w:p>
      <w:pPr>
        <w:pStyle w:val="80"/>
        <w:rPr>
          <w:rFonts w:hint="eastAsia" w:ascii="仿宋" w:hAnsi="仿宋" w:eastAsia="仿宋" w:cs="仿宋"/>
          <w:b/>
          <w:sz w:val="36"/>
          <w:szCs w:val="36"/>
        </w:rPr>
      </w:pPr>
    </w:p>
    <w:p>
      <w:pPr>
        <w:pStyle w:val="80"/>
        <w:rPr>
          <w:rFonts w:hint="eastAsia" w:ascii="仿宋" w:hAnsi="仿宋" w:eastAsia="仿宋" w:cs="仿宋"/>
          <w:b/>
          <w:sz w:val="36"/>
          <w:szCs w:val="36"/>
        </w:rPr>
      </w:pPr>
    </w:p>
    <w:p>
      <w:pPr>
        <w:pStyle w:val="81"/>
        <w:rPr>
          <w:rFonts w:hint="eastAsia" w:ascii="仿宋" w:hAnsi="仿宋" w:eastAsia="仿宋" w:cs="仿宋"/>
          <w:b/>
          <w:sz w:val="36"/>
          <w:szCs w:val="36"/>
        </w:rPr>
      </w:pPr>
    </w:p>
    <w:p>
      <w:pPr>
        <w:pStyle w:val="81"/>
        <w:rPr>
          <w:rFonts w:hint="eastAsia"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bookmarkStart w:id="405" w:name="_Toc19672"/>
      <w:r>
        <w:rPr>
          <w:rFonts w:hint="eastAsia" w:ascii="仿宋" w:hAnsi="仿宋" w:eastAsia="仿宋" w:cs="仿宋"/>
          <w:b/>
          <w:sz w:val="36"/>
          <w:szCs w:val="36"/>
        </w:rPr>
        <w:t>第五部分 拟签订的合同文本</w:t>
      </w:r>
      <w:bookmarkEnd w:id="405"/>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ascii="仿宋" w:hAnsi="仿宋" w:eastAsia="仿宋" w:cs="仿宋"/>
          <w:color w:val="auto"/>
        </w:rPr>
      </w:pPr>
      <w:r>
        <w:rPr>
          <w:rFonts w:hint="eastAsia" w:ascii="仿宋" w:hAnsi="仿宋" w:eastAsia="仿宋" w:cs="仿宋"/>
          <w:b/>
          <w:color w:val="auto"/>
          <w:sz w:val="36"/>
          <w:szCs w:val="36"/>
        </w:rPr>
        <w:t>（货物类）</w:t>
      </w:r>
    </w:p>
    <w:p>
      <w:pPr>
        <w:pStyle w:val="700"/>
        <w:rPr>
          <w:rFonts w:ascii="仿宋" w:hAnsi="仿宋" w:eastAsia="仿宋" w:cs="仿宋"/>
          <w:color w:val="auto"/>
          <w:szCs w:val="24"/>
        </w:rPr>
      </w:pPr>
    </w:p>
    <w:p>
      <w:pPr>
        <w:pStyle w:val="700"/>
        <w:jc w:val="center"/>
        <w:rPr>
          <w:rFonts w:ascii="仿宋" w:hAnsi="仿宋" w:eastAsia="仿宋" w:cs="仿宋"/>
          <w:color w:val="auto"/>
          <w:szCs w:val="24"/>
        </w:rPr>
      </w:pPr>
    </w:p>
    <w:p>
      <w:pPr>
        <w:pStyle w:val="700"/>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 合同书</w:t>
      </w:r>
    </w:p>
    <w:p>
      <w:pPr>
        <w:pStyle w:val="700"/>
        <w:rPr>
          <w:rFonts w:ascii="仿宋" w:hAnsi="仿宋" w:eastAsia="仿宋" w:cs="仿宋"/>
          <w:color w:val="auto"/>
          <w:szCs w:val="24"/>
        </w:rPr>
      </w:pPr>
    </w:p>
    <w:p>
      <w:pPr>
        <w:pStyle w:val="700"/>
        <w:rPr>
          <w:rFonts w:ascii="仿宋" w:hAnsi="仿宋" w:eastAsia="仿宋" w:cs="仿宋"/>
          <w:color w:val="auto"/>
          <w:szCs w:val="24"/>
        </w:rPr>
      </w:pP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7"/>
        <w:spacing w:before="120" w:line="22" w:lineRule="atLeast"/>
        <w:rPr>
          <w:rFonts w:ascii="仿宋" w:hAnsi="仿宋" w:eastAsia="仿宋" w:cs="仿宋"/>
          <w:color w:val="auto"/>
          <w:szCs w:val="24"/>
        </w:rPr>
      </w:pPr>
    </w:p>
    <w:p>
      <w:pPr>
        <w:pStyle w:val="597"/>
        <w:spacing w:before="120" w:line="22" w:lineRule="atLeast"/>
        <w:rPr>
          <w:rFonts w:ascii="仿宋" w:hAnsi="仿宋" w:eastAsia="仿宋" w:cs="仿宋"/>
          <w:color w:val="auto"/>
          <w:szCs w:val="24"/>
        </w:rPr>
      </w:pPr>
    </w:p>
    <w:p>
      <w:pPr>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ascii="仿宋" w:hAnsi="仿宋" w:eastAsia="仿宋" w:cs="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b/>
          <w:color w:val="auto"/>
          <w:sz w:val="24"/>
        </w:rPr>
      </w:pPr>
      <w:bookmarkStart w:id="406" w:name="_Toc24059"/>
      <w:bookmarkStart w:id="407" w:name="_Toc6366"/>
      <w:bookmarkStart w:id="408" w:name="_Toc2232"/>
      <w:bookmarkStart w:id="409" w:name="_Toc3029"/>
      <w:r>
        <w:rPr>
          <w:rFonts w:hint="eastAsia" w:ascii="仿宋" w:hAnsi="仿宋" w:eastAsia="仿宋" w:cs="仿宋"/>
          <w:b/>
          <w:color w:val="auto"/>
          <w:sz w:val="24"/>
        </w:rPr>
        <w:t>1.1 合同组成部分</w:t>
      </w:r>
      <w:bookmarkEnd w:id="406"/>
      <w:bookmarkEnd w:id="407"/>
      <w:bookmarkEnd w:id="408"/>
      <w:bookmarkEnd w:id="40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ascii="仿宋" w:hAnsi="仿宋" w:eastAsia="仿宋" w:cs="仿宋"/>
          <w:b/>
          <w:color w:val="auto"/>
          <w:sz w:val="24"/>
        </w:rPr>
      </w:pPr>
      <w:bookmarkStart w:id="410" w:name="_Toc8758"/>
      <w:bookmarkStart w:id="411" w:name="_Toc27126"/>
      <w:bookmarkStart w:id="412" w:name="_Toc24300"/>
      <w:bookmarkStart w:id="413" w:name="_Toc21295"/>
      <w:r>
        <w:rPr>
          <w:rFonts w:hint="eastAsia" w:ascii="仿宋" w:hAnsi="仿宋" w:eastAsia="仿宋" w:cs="仿宋"/>
          <w:b/>
          <w:color w:val="auto"/>
          <w:sz w:val="24"/>
        </w:rPr>
        <w:t>1.2 货物</w:t>
      </w:r>
      <w:bookmarkEnd w:id="410"/>
      <w:bookmarkEnd w:id="411"/>
      <w:bookmarkEnd w:id="412"/>
      <w:bookmarkEnd w:id="413"/>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14" w:name="_Toc30757"/>
      <w:bookmarkStart w:id="415" w:name="_Toc21631"/>
      <w:bookmarkStart w:id="416" w:name="_Toc21551"/>
      <w:bookmarkStart w:id="417" w:name="_Toc23292"/>
      <w:r>
        <w:rPr>
          <w:rFonts w:hint="eastAsia" w:ascii="仿宋" w:hAnsi="仿宋" w:eastAsia="仿宋" w:cs="仿宋"/>
          <w:b/>
          <w:color w:val="auto"/>
          <w:sz w:val="24"/>
        </w:rPr>
        <w:t>1.3 价款</w:t>
      </w:r>
      <w:bookmarkEnd w:id="414"/>
      <w:bookmarkEnd w:id="415"/>
      <w:bookmarkEnd w:id="416"/>
      <w:bookmarkEnd w:id="41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s="仿宋"/>
                <w:color w:val="auto"/>
                <w:sz w:val="24"/>
                <w:szCs w:val="24"/>
              </w:rPr>
            </w:pPr>
          </w:p>
        </w:tc>
      </w:tr>
    </w:tbl>
    <w:p>
      <w:pPr>
        <w:spacing w:line="560" w:lineRule="exact"/>
        <w:ind w:firstLine="482" w:firstLineChars="200"/>
        <w:outlineLvl w:val="0"/>
        <w:rPr>
          <w:rFonts w:ascii="仿宋" w:hAnsi="仿宋" w:eastAsia="仿宋" w:cs="仿宋"/>
          <w:b/>
          <w:color w:val="auto"/>
          <w:sz w:val="24"/>
        </w:rPr>
      </w:pPr>
      <w:bookmarkStart w:id="418" w:name="_Toc22618"/>
      <w:bookmarkStart w:id="419" w:name="_Toc10340"/>
      <w:bookmarkStart w:id="420" w:name="_Toc1814"/>
      <w:bookmarkStart w:id="421" w:name="_Toc12774"/>
      <w:r>
        <w:rPr>
          <w:rFonts w:hint="eastAsia" w:ascii="仿宋" w:hAnsi="仿宋" w:eastAsia="仿宋" w:cs="仿宋"/>
          <w:b/>
          <w:color w:val="auto"/>
          <w:sz w:val="24"/>
        </w:rPr>
        <w:t>1.4 付款</w:t>
      </w:r>
      <w:bookmarkEnd w:id="418"/>
      <w:bookmarkEnd w:id="419"/>
      <w:bookmarkEnd w:id="420"/>
      <w:r>
        <w:rPr>
          <w:rFonts w:hint="eastAsia" w:ascii="仿宋" w:hAnsi="仿宋" w:eastAsia="仿宋" w:cs="仿宋"/>
          <w:b/>
          <w:color w:val="auto"/>
          <w:sz w:val="24"/>
        </w:rPr>
        <w:t>方式、时间和条件</w:t>
      </w:r>
      <w:bookmarkEnd w:id="421"/>
    </w:p>
    <w:p>
      <w:pPr>
        <w:pStyle w:val="957"/>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color w:val="auto"/>
          <w:sz w:val="24"/>
        </w:rPr>
      </w:pPr>
      <w:bookmarkStart w:id="422" w:name="_Toc23973"/>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bookmarkEnd w:id="422"/>
    </w:p>
    <w:p>
      <w:pPr>
        <w:spacing w:line="560" w:lineRule="exact"/>
        <w:ind w:firstLine="482" w:firstLineChars="200"/>
        <w:outlineLvl w:val="0"/>
        <w:rPr>
          <w:rFonts w:ascii="仿宋" w:hAnsi="仿宋" w:eastAsia="仿宋" w:cs="仿宋"/>
          <w:b/>
          <w:color w:val="auto"/>
          <w:sz w:val="24"/>
        </w:rPr>
      </w:pPr>
      <w:bookmarkStart w:id="423" w:name="_Toc19304"/>
      <w:bookmarkStart w:id="424" w:name="_Toc29639"/>
      <w:bookmarkStart w:id="425" w:name="_Toc2846"/>
      <w:bookmarkStart w:id="426" w:name="_Toc32071"/>
      <w:r>
        <w:rPr>
          <w:rFonts w:hint="eastAsia" w:ascii="仿宋" w:hAnsi="仿宋" w:eastAsia="仿宋" w:cs="仿宋"/>
          <w:b/>
          <w:color w:val="auto"/>
          <w:sz w:val="24"/>
        </w:rPr>
        <w:t>1.5 货物交付期限、地点和方式</w:t>
      </w:r>
      <w:bookmarkEnd w:id="423"/>
      <w:bookmarkEnd w:id="424"/>
      <w:bookmarkEnd w:id="425"/>
      <w:bookmarkEnd w:id="426"/>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27" w:name="_Toc27250"/>
      <w:bookmarkStart w:id="428" w:name="_Toc19554"/>
      <w:bookmarkStart w:id="429" w:name="_Toc21423"/>
      <w:bookmarkStart w:id="430" w:name="_Toc18286"/>
      <w:r>
        <w:rPr>
          <w:rFonts w:hint="eastAsia" w:ascii="仿宋" w:hAnsi="仿宋" w:eastAsia="仿宋" w:cs="仿宋"/>
          <w:b/>
          <w:color w:val="auto"/>
          <w:sz w:val="24"/>
        </w:rPr>
        <w:t>1.6 违约责任</w:t>
      </w:r>
      <w:bookmarkEnd w:id="427"/>
      <w:bookmarkEnd w:id="428"/>
      <w:bookmarkEnd w:id="429"/>
      <w:bookmarkEnd w:id="43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ascii="仿宋" w:hAnsi="仿宋" w:eastAsia="仿宋" w:cs="仿宋"/>
          <w:b/>
          <w:color w:val="auto"/>
          <w:sz w:val="24"/>
        </w:rPr>
      </w:pPr>
      <w:bookmarkStart w:id="431" w:name="_Toc28375"/>
      <w:bookmarkStart w:id="432" w:name="_Toc16643"/>
      <w:bookmarkStart w:id="433" w:name="_Toc15583"/>
      <w:bookmarkStart w:id="434" w:name="_Toc16021"/>
      <w:r>
        <w:rPr>
          <w:rFonts w:hint="eastAsia" w:ascii="仿宋" w:hAnsi="仿宋" w:eastAsia="仿宋" w:cs="仿宋"/>
          <w:b/>
          <w:color w:val="auto"/>
          <w:sz w:val="24"/>
        </w:rPr>
        <w:t>1.7 合同争议的解决</w:t>
      </w:r>
      <w:bookmarkEnd w:id="431"/>
      <w:bookmarkEnd w:id="432"/>
      <w:bookmarkEnd w:id="433"/>
      <w:bookmarkEnd w:id="434"/>
    </w:p>
    <w:p>
      <w:pPr>
        <w:spacing w:line="560" w:lineRule="exact"/>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ascii="仿宋" w:hAnsi="仿宋" w:eastAsia="仿宋" w:cs="仿宋"/>
          <w:b/>
          <w:color w:val="auto"/>
          <w:sz w:val="24"/>
        </w:rPr>
      </w:pPr>
      <w:bookmarkStart w:id="435" w:name="_Toc7245"/>
      <w:bookmarkStart w:id="436" w:name="_Toc11173"/>
      <w:bookmarkStart w:id="437" w:name="_Toc15322"/>
      <w:bookmarkStart w:id="438" w:name="_Toc7832"/>
      <w:r>
        <w:rPr>
          <w:rFonts w:hint="eastAsia" w:ascii="仿宋" w:hAnsi="仿宋" w:eastAsia="仿宋" w:cs="仿宋"/>
          <w:b/>
          <w:color w:val="auto"/>
          <w:sz w:val="24"/>
        </w:rPr>
        <w:t>1.8 合同生效</w:t>
      </w:r>
      <w:bookmarkEnd w:id="435"/>
      <w:bookmarkEnd w:id="436"/>
      <w:bookmarkEnd w:id="437"/>
      <w:bookmarkEnd w:id="438"/>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ascii="仿宋" w:hAnsi="仿宋" w:eastAsia="仿宋" w:cs="仿宋"/>
          <w:b/>
          <w:color w:val="auto"/>
          <w:sz w:val="24"/>
        </w:rPr>
      </w:pPr>
      <w:bookmarkStart w:id="439" w:name="_Toc331685783"/>
    </w:p>
    <w:p>
      <w:pPr>
        <w:pStyle w:val="700"/>
        <w:spacing w:line="560" w:lineRule="exact"/>
        <w:ind w:firstLine="482"/>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bookmarkEnd w:id="439"/>
    </w:p>
    <w:p>
      <w:pPr>
        <w:spacing w:line="560" w:lineRule="exact"/>
        <w:ind w:firstLine="482" w:firstLineChars="200"/>
        <w:outlineLvl w:val="0"/>
        <w:rPr>
          <w:rFonts w:ascii="仿宋" w:hAnsi="仿宋" w:eastAsia="仿宋" w:cs="仿宋"/>
          <w:b/>
          <w:color w:val="auto"/>
          <w:sz w:val="24"/>
        </w:rPr>
      </w:pPr>
      <w:bookmarkStart w:id="440" w:name="_Toc28763"/>
      <w:bookmarkStart w:id="441" w:name="_Ref467378463"/>
      <w:bookmarkStart w:id="442" w:name="_Toc279701240"/>
      <w:bookmarkStart w:id="443" w:name="_Toc259093669"/>
      <w:bookmarkStart w:id="444" w:name="_Toc28428"/>
      <w:bookmarkStart w:id="445" w:name="_Ref467379109"/>
      <w:bookmarkStart w:id="446" w:name="_Ref467379195"/>
      <w:bookmarkStart w:id="447" w:name="_Ref467379205"/>
      <w:bookmarkStart w:id="448" w:name="_Ref467378404"/>
      <w:bookmarkStart w:id="449" w:name="_Ref467379225"/>
      <w:bookmarkStart w:id="450" w:name="_Ref467379214"/>
      <w:bookmarkStart w:id="451" w:name="_Ref467379101"/>
      <w:bookmarkStart w:id="452" w:name="_Toc16917"/>
      <w:bookmarkStart w:id="453" w:name="_Toc19614"/>
      <w:bookmarkStart w:id="454" w:name="_Ref467379094"/>
      <w:bookmarkStart w:id="455" w:name="_Toc487900349"/>
      <w:bookmarkStart w:id="456" w:name="_Ref467378499"/>
      <w:r>
        <w:rPr>
          <w:rFonts w:hint="eastAsia" w:ascii="仿宋" w:hAnsi="仿宋" w:eastAsia="仿宋" w:cs="仿宋"/>
          <w:b/>
          <w:color w:val="auto"/>
          <w:sz w:val="24"/>
        </w:rPr>
        <w:t>2.1 定义</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color w:val="auto"/>
          <w:sz w:val="24"/>
        </w:rPr>
      </w:pPr>
      <w:bookmarkStart w:id="457" w:name="_Ref467378840"/>
      <w:r>
        <w:rPr>
          <w:rFonts w:hint="eastAsia" w:ascii="仿宋" w:hAnsi="仿宋" w:eastAsia="仿宋" w:cs="仿宋"/>
          <w:color w:val="auto"/>
          <w:sz w:val="24"/>
        </w:rPr>
        <w:t>2.1.4 “甲方”系指与中标供应商签署合同的采购人</w:t>
      </w:r>
      <w:bookmarkEnd w:id="457"/>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bookmarkStart w:id="458" w:name="_Ref467379400"/>
      <w:r>
        <w:rPr>
          <w:rFonts w:hint="eastAsia" w:ascii="仿宋" w:hAnsi="仿宋" w:eastAsia="仿宋" w:cs="仿宋"/>
          <w:color w:val="auto"/>
          <w:sz w:val="24"/>
        </w:rPr>
        <w:t>2.1.5 “乙方”系指根据合同约定交付货物的中标供应商</w:t>
      </w:r>
      <w:bookmarkEnd w:id="458"/>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bookmarkStart w:id="459" w:name="_Ref467379436"/>
      <w:r>
        <w:rPr>
          <w:rFonts w:hint="eastAsia" w:ascii="仿宋" w:hAnsi="仿宋" w:eastAsia="仿宋" w:cs="仿宋"/>
          <w:color w:val="auto"/>
          <w:sz w:val="24"/>
        </w:rPr>
        <w:t>2.1.6 “现场”系指合同约定货物将要运至或者安装的地点。</w:t>
      </w:r>
      <w:bookmarkEnd w:id="459"/>
    </w:p>
    <w:p>
      <w:pPr>
        <w:spacing w:line="560" w:lineRule="exact"/>
        <w:ind w:firstLine="482" w:firstLineChars="200"/>
        <w:outlineLvl w:val="0"/>
        <w:rPr>
          <w:rFonts w:ascii="仿宋" w:hAnsi="仿宋" w:eastAsia="仿宋" w:cs="仿宋"/>
          <w:b/>
          <w:color w:val="auto"/>
          <w:sz w:val="24"/>
        </w:rPr>
      </w:pPr>
      <w:bookmarkStart w:id="460" w:name="_Toc279701241"/>
      <w:bookmarkStart w:id="461" w:name="_Toc13336"/>
      <w:bookmarkStart w:id="462" w:name="_Toc32504"/>
      <w:bookmarkStart w:id="463" w:name="_Toc487900350"/>
      <w:bookmarkStart w:id="464" w:name="_Toc10631"/>
      <w:bookmarkStart w:id="465" w:name="_Toc27635"/>
      <w:bookmarkStart w:id="466" w:name="_Toc259093670"/>
      <w:r>
        <w:rPr>
          <w:rFonts w:hint="eastAsia" w:ascii="仿宋" w:hAnsi="仿宋" w:eastAsia="仿宋" w:cs="仿宋"/>
          <w:b/>
          <w:color w:val="auto"/>
          <w:sz w:val="24"/>
        </w:rPr>
        <w:t>2.2 技术规范</w:t>
      </w:r>
      <w:bookmarkEnd w:id="460"/>
      <w:bookmarkEnd w:id="461"/>
      <w:bookmarkEnd w:id="462"/>
      <w:bookmarkEnd w:id="463"/>
      <w:bookmarkEnd w:id="464"/>
      <w:bookmarkEnd w:id="465"/>
      <w:bookmarkEnd w:id="46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rPr>
      </w:pPr>
      <w:bookmarkStart w:id="467" w:name="_Toc259093671"/>
      <w:bookmarkStart w:id="468" w:name="_Toc31634"/>
      <w:bookmarkStart w:id="469" w:name="_Toc279701242"/>
      <w:bookmarkStart w:id="470" w:name="_Toc487900351"/>
      <w:bookmarkStart w:id="471" w:name="_Toc9829"/>
      <w:bookmarkStart w:id="472" w:name="_Toc65"/>
      <w:bookmarkStart w:id="473" w:name="_Toc27853"/>
      <w:r>
        <w:rPr>
          <w:rFonts w:hint="eastAsia" w:ascii="仿宋" w:hAnsi="仿宋" w:eastAsia="仿宋" w:cs="仿宋"/>
          <w:b/>
          <w:color w:val="auto"/>
          <w:sz w:val="24"/>
        </w:rPr>
        <w:t>2.3 知识产权</w:t>
      </w:r>
      <w:bookmarkEnd w:id="467"/>
      <w:bookmarkEnd w:id="468"/>
      <w:bookmarkEnd w:id="469"/>
      <w:bookmarkEnd w:id="470"/>
      <w:bookmarkEnd w:id="471"/>
      <w:bookmarkEnd w:id="472"/>
      <w:bookmarkEnd w:id="47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74" w:name="_Toc4194"/>
      <w:bookmarkStart w:id="475" w:name="_Toc11932"/>
      <w:bookmarkStart w:id="476" w:name="_Toc29149"/>
      <w:bookmarkStart w:id="477" w:name="_Toc3199"/>
      <w:r>
        <w:rPr>
          <w:rFonts w:hint="eastAsia" w:ascii="仿宋" w:hAnsi="仿宋" w:eastAsia="仿宋" w:cs="仿宋"/>
          <w:b/>
          <w:color w:val="auto"/>
          <w:sz w:val="24"/>
        </w:rPr>
        <w:t>2.4 包装和装运</w:t>
      </w:r>
      <w:bookmarkEnd w:id="474"/>
      <w:bookmarkEnd w:id="475"/>
      <w:bookmarkEnd w:id="476"/>
      <w:bookmarkEnd w:id="47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78" w:name="_Toc279701245"/>
      <w:bookmarkStart w:id="479" w:name="_Ref467378591"/>
      <w:bookmarkStart w:id="480" w:name="_Toc487900354"/>
      <w:bookmarkStart w:id="481" w:name="_Ref467378541"/>
      <w:bookmarkStart w:id="482" w:name="_Ref467379527"/>
      <w:bookmarkStart w:id="483" w:name="_Ref467379536"/>
      <w:bookmarkStart w:id="484" w:name="_Toc259093674"/>
      <w:bookmarkStart w:id="485" w:name="_Ref467379542"/>
      <w:bookmarkStart w:id="486" w:name="_Toc3506"/>
      <w:bookmarkStart w:id="487" w:name="_Toc26182"/>
      <w:bookmarkStart w:id="488" w:name="_Toc19074"/>
      <w:bookmarkStart w:id="489" w:name="_Toc30272"/>
      <w:r>
        <w:rPr>
          <w:rFonts w:hint="eastAsia" w:ascii="仿宋" w:hAnsi="仿宋" w:eastAsia="仿宋" w:cs="仿宋"/>
          <w:b/>
          <w:color w:val="auto"/>
          <w:sz w:val="24"/>
        </w:rPr>
        <w:t>2.</w:t>
      </w:r>
      <w:bookmarkEnd w:id="478"/>
      <w:bookmarkEnd w:id="479"/>
      <w:bookmarkEnd w:id="480"/>
      <w:bookmarkEnd w:id="481"/>
      <w:bookmarkEnd w:id="482"/>
      <w:bookmarkEnd w:id="483"/>
      <w:bookmarkEnd w:id="484"/>
      <w:bookmarkEnd w:id="485"/>
      <w:r>
        <w:rPr>
          <w:rFonts w:hint="eastAsia" w:ascii="仿宋" w:hAnsi="仿宋" w:eastAsia="仿宋" w:cs="仿宋"/>
          <w:b/>
          <w:color w:val="auto"/>
          <w:sz w:val="24"/>
        </w:rPr>
        <w:t>5 履约检查和问题反馈</w:t>
      </w:r>
      <w:bookmarkEnd w:id="486"/>
      <w:bookmarkEnd w:id="487"/>
      <w:bookmarkEnd w:id="488"/>
      <w:bookmarkEnd w:id="489"/>
    </w:p>
    <w:p>
      <w:pPr>
        <w:spacing w:line="560" w:lineRule="exact"/>
        <w:ind w:firstLine="480" w:firstLineChars="200"/>
        <w:rPr>
          <w:rFonts w:ascii="仿宋" w:hAnsi="仿宋" w:eastAsia="仿宋" w:cs="仿宋"/>
          <w:color w:val="auto"/>
          <w:sz w:val="24"/>
        </w:rPr>
      </w:pPr>
      <w:bookmarkStart w:id="490" w:name="_Ref467379657"/>
      <w:r>
        <w:rPr>
          <w:rFonts w:hint="eastAsia" w:ascii="仿宋" w:hAnsi="仿宋" w:eastAsia="仿宋" w:cs="仿宋"/>
          <w:color w:val="auto"/>
          <w:sz w:val="24"/>
        </w:rPr>
        <w:t>2.5.1</w:t>
      </w:r>
      <w:bookmarkEnd w:id="490"/>
      <w:bookmarkStart w:id="491" w:name="_Toc186431854"/>
      <w:bookmarkStart w:id="492" w:name="_Toc259093676"/>
      <w:bookmarkStart w:id="493" w:name="_Ref467379807"/>
      <w:bookmarkStart w:id="494" w:name="_Toc487900357"/>
      <w:bookmarkStart w:id="495" w:name="_Ref467379793"/>
      <w:bookmarkStart w:id="496" w:name="_Toc27970124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91"/>
      <w:bookmarkStart w:id="497" w:name="_Toc186431855"/>
      <w:r>
        <w:rPr>
          <w:rFonts w:hint="eastAsia" w:ascii="仿宋" w:hAnsi="仿宋" w:eastAsia="仿宋" w:cs="仿宋"/>
          <w:color w:val="auto"/>
          <w:sz w:val="24"/>
        </w:rPr>
        <w:t>。</w:t>
      </w:r>
    </w:p>
    <w:bookmarkEnd w:id="492"/>
    <w:bookmarkEnd w:id="493"/>
    <w:bookmarkEnd w:id="494"/>
    <w:bookmarkEnd w:id="495"/>
    <w:bookmarkEnd w:id="496"/>
    <w:bookmarkEnd w:id="497"/>
    <w:p>
      <w:pPr>
        <w:spacing w:line="560" w:lineRule="exact"/>
        <w:ind w:firstLine="482" w:firstLineChars="200"/>
        <w:outlineLvl w:val="0"/>
        <w:rPr>
          <w:rFonts w:ascii="仿宋" w:hAnsi="仿宋" w:eastAsia="仿宋" w:cs="仿宋"/>
          <w:b/>
          <w:color w:val="auto"/>
          <w:sz w:val="24"/>
        </w:rPr>
      </w:pPr>
      <w:bookmarkStart w:id="498" w:name="_Toc279701248"/>
      <w:bookmarkStart w:id="499" w:name="_Toc259093677"/>
      <w:bookmarkStart w:id="500" w:name="_Ref467379863"/>
      <w:bookmarkStart w:id="501" w:name="_Ref467379923"/>
      <w:bookmarkStart w:id="502" w:name="_Ref467379852"/>
      <w:bookmarkStart w:id="503" w:name="_Toc487900358"/>
      <w:bookmarkStart w:id="504" w:name="_Toc16110"/>
      <w:bookmarkStart w:id="505" w:name="_Toc774"/>
      <w:bookmarkStart w:id="506" w:name="_Toc21188"/>
      <w:bookmarkStart w:id="507" w:name="_Toc3225"/>
      <w:r>
        <w:rPr>
          <w:rFonts w:hint="eastAsia" w:ascii="仿宋" w:hAnsi="仿宋" w:eastAsia="仿宋" w:cs="仿宋"/>
          <w:b/>
          <w:color w:val="auto"/>
          <w:sz w:val="24"/>
        </w:rPr>
        <w:t>2.6 技术资料</w:t>
      </w:r>
      <w:bookmarkEnd w:id="498"/>
      <w:bookmarkEnd w:id="499"/>
      <w:bookmarkEnd w:id="500"/>
      <w:bookmarkEnd w:id="501"/>
      <w:bookmarkEnd w:id="502"/>
      <w:bookmarkEnd w:id="503"/>
      <w:r>
        <w:rPr>
          <w:rFonts w:hint="eastAsia" w:ascii="仿宋" w:hAnsi="仿宋" w:eastAsia="仿宋" w:cs="仿宋"/>
          <w:b/>
          <w:color w:val="auto"/>
          <w:sz w:val="24"/>
        </w:rPr>
        <w:t>和保密义务</w:t>
      </w:r>
      <w:bookmarkEnd w:id="504"/>
      <w:bookmarkEnd w:id="505"/>
      <w:bookmarkEnd w:id="506"/>
      <w:bookmarkEnd w:id="50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rPr>
      </w:pPr>
      <w:bookmarkStart w:id="508" w:name="_Toc7860"/>
      <w:bookmarkStart w:id="509" w:name="_Toc14905"/>
      <w:r>
        <w:rPr>
          <w:rFonts w:hint="eastAsia" w:ascii="仿宋" w:hAnsi="仿宋" w:eastAsia="仿宋" w:cs="仿宋"/>
          <w:b/>
          <w:color w:val="auto"/>
          <w:sz w:val="24"/>
        </w:rPr>
        <w:t>2.7 质量保证</w:t>
      </w:r>
      <w:bookmarkEnd w:id="508"/>
      <w:bookmarkEnd w:id="50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rPr>
      </w:pPr>
      <w:bookmarkStart w:id="510" w:name="_Toc17244"/>
      <w:bookmarkStart w:id="511" w:name="_Toc28105"/>
      <w:bookmarkStart w:id="512" w:name="_Toc259093681"/>
      <w:bookmarkStart w:id="513" w:name="_Toc279701252"/>
      <w:bookmarkStart w:id="514" w:name="_Toc487900362"/>
      <w:r>
        <w:rPr>
          <w:rFonts w:hint="eastAsia" w:ascii="仿宋" w:hAnsi="仿宋" w:eastAsia="仿宋" w:cs="仿宋"/>
          <w:b/>
          <w:color w:val="auto"/>
          <w:sz w:val="24"/>
        </w:rPr>
        <w:t>2.8 货物的风险负担</w:t>
      </w:r>
      <w:bookmarkEnd w:id="510"/>
      <w:bookmarkEnd w:id="511"/>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515" w:name="_Toc11130"/>
      <w:bookmarkStart w:id="516" w:name="_Toc14055"/>
      <w:r>
        <w:rPr>
          <w:rFonts w:hint="eastAsia" w:ascii="仿宋" w:hAnsi="仿宋" w:eastAsia="仿宋" w:cs="仿宋"/>
          <w:b/>
          <w:color w:val="auto"/>
          <w:sz w:val="24"/>
        </w:rPr>
        <w:t>2.9 延迟交货</w:t>
      </w:r>
      <w:bookmarkEnd w:id="512"/>
      <w:bookmarkEnd w:id="513"/>
      <w:bookmarkEnd w:id="514"/>
      <w:bookmarkEnd w:id="515"/>
      <w:bookmarkEnd w:id="51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color w:val="auto"/>
          <w:sz w:val="24"/>
        </w:rPr>
      </w:pPr>
      <w:bookmarkStart w:id="517" w:name="_Toc7502"/>
      <w:bookmarkStart w:id="518" w:name="_Toc26295"/>
      <w:bookmarkStart w:id="519" w:name="_Toc487900364"/>
      <w:bookmarkStart w:id="520" w:name="_Toc259093683"/>
      <w:bookmarkStart w:id="521" w:name="_Ref467378121"/>
      <w:bookmarkStart w:id="522" w:name="_Toc279701254"/>
      <w:r>
        <w:rPr>
          <w:rFonts w:hint="eastAsia" w:ascii="仿宋" w:hAnsi="仿宋" w:eastAsia="仿宋" w:cs="仿宋"/>
          <w:b/>
          <w:color w:val="auto"/>
          <w:sz w:val="24"/>
        </w:rPr>
        <w:t>2.10 合同变更</w:t>
      </w:r>
      <w:bookmarkEnd w:id="517"/>
      <w:bookmarkEnd w:id="51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523" w:name="_Toc259093688"/>
      <w:bookmarkStart w:id="524" w:name="_Toc487900369"/>
      <w:bookmarkStart w:id="525" w:name="_Toc279701259"/>
    </w:p>
    <w:p>
      <w:pPr>
        <w:spacing w:line="560" w:lineRule="exact"/>
        <w:ind w:firstLine="482" w:firstLineChars="200"/>
        <w:outlineLvl w:val="0"/>
        <w:rPr>
          <w:rFonts w:ascii="仿宋" w:hAnsi="仿宋" w:eastAsia="仿宋" w:cs="仿宋"/>
          <w:b/>
          <w:color w:val="auto"/>
          <w:sz w:val="24"/>
        </w:rPr>
      </w:pPr>
      <w:bookmarkStart w:id="526" w:name="_Toc15237"/>
      <w:bookmarkStart w:id="527" w:name="_Toc8134"/>
      <w:bookmarkStart w:id="528" w:name="_Toc10366"/>
      <w:bookmarkStart w:id="529" w:name="_Toc22955"/>
      <w:r>
        <w:rPr>
          <w:rFonts w:hint="eastAsia" w:ascii="仿宋" w:hAnsi="仿宋" w:eastAsia="仿宋" w:cs="仿宋"/>
          <w:b/>
          <w:color w:val="auto"/>
          <w:sz w:val="24"/>
        </w:rPr>
        <w:t>2.11 合同转让</w:t>
      </w:r>
      <w:bookmarkEnd w:id="523"/>
      <w:bookmarkEnd w:id="524"/>
      <w:bookmarkEnd w:id="525"/>
      <w:r>
        <w:rPr>
          <w:rFonts w:hint="eastAsia" w:ascii="仿宋" w:hAnsi="仿宋" w:eastAsia="仿宋" w:cs="仿宋"/>
          <w:b/>
          <w:color w:val="auto"/>
          <w:sz w:val="24"/>
        </w:rPr>
        <w:t>和分包</w:t>
      </w:r>
      <w:bookmarkEnd w:id="526"/>
      <w:bookmarkEnd w:id="527"/>
      <w:bookmarkEnd w:id="528"/>
      <w:bookmarkEnd w:id="52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color w:val="auto"/>
          <w:sz w:val="24"/>
        </w:rPr>
      </w:pPr>
      <w:bookmarkStart w:id="530" w:name="_Toc7479"/>
      <w:bookmarkStart w:id="531" w:name="_Toc14066"/>
      <w:bookmarkStart w:id="532" w:name="_Toc16508"/>
      <w:bookmarkStart w:id="533" w:name="_Toc13566"/>
      <w:r>
        <w:rPr>
          <w:rFonts w:hint="eastAsia" w:ascii="仿宋" w:hAnsi="仿宋" w:eastAsia="仿宋" w:cs="仿宋"/>
          <w:b/>
          <w:color w:val="auto"/>
          <w:sz w:val="24"/>
        </w:rPr>
        <w:t>2.12 不可抗力</w:t>
      </w:r>
      <w:bookmarkEnd w:id="530"/>
      <w:bookmarkEnd w:id="531"/>
      <w:bookmarkEnd w:id="532"/>
      <w:bookmarkEnd w:id="53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rPr>
      </w:pPr>
      <w:bookmarkStart w:id="534" w:name="_Toc487900365"/>
      <w:bookmarkStart w:id="535" w:name="_Toc689"/>
      <w:bookmarkStart w:id="536" w:name="_Toc12342"/>
      <w:bookmarkStart w:id="537" w:name="_Toc279701255"/>
      <w:bookmarkStart w:id="538" w:name="_Toc30676"/>
      <w:bookmarkStart w:id="539" w:name="_Toc6969"/>
      <w:bookmarkStart w:id="540" w:name="_Toc259093684"/>
      <w:r>
        <w:rPr>
          <w:rFonts w:hint="eastAsia" w:ascii="仿宋" w:hAnsi="仿宋" w:eastAsia="仿宋" w:cs="仿宋"/>
          <w:b/>
          <w:color w:val="auto"/>
          <w:sz w:val="24"/>
        </w:rPr>
        <w:t>2.13 税费</w:t>
      </w:r>
      <w:bookmarkEnd w:id="534"/>
      <w:bookmarkEnd w:id="535"/>
      <w:bookmarkEnd w:id="536"/>
      <w:bookmarkEnd w:id="537"/>
      <w:bookmarkEnd w:id="538"/>
      <w:bookmarkEnd w:id="539"/>
      <w:bookmarkEnd w:id="54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cs="仿宋"/>
          <w:b/>
          <w:color w:val="auto"/>
          <w:sz w:val="24"/>
        </w:rPr>
      </w:pPr>
      <w:bookmarkStart w:id="541" w:name="_Toc7102"/>
      <w:bookmarkStart w:id="542" w:name="_Toc279701258"/>
      <w:bookmarkStart w:id="543" w:name="_Toc1459"/>
      <w:bookmarkStart w:id="544" w:name="_Toc487900368"/>
      <w:bookmarkStart w:id="545" w:name="_Toc8298"/>
      <w:bookmarkStart w:id="546" w:name="_Toc16959"/>
      <w:bookmarkStart w:id="547" w:name="_Toc259093687"/>
      <w:r>
        <w:rPr>
          <w:rFonts w:hint="eastAsia" w:ascii="仿宋" w:hAnsi="仿宋" w:eastAsia="仿宋" w:cs="仿宋"/>
          <w:b/>
          <w:color w:val="auto"/>
          <w:sz w:val="24"/>
        </w:rPr>
        <w:t>2.14乙方破产</w:t>
      </w:r>
      <w:bookmarkEnd w:id="541"/>
      <w:bookmarkEnd w:id="542"/>
      <w:bookmarkEnd w:id="543"/>
      <w:bookmarkEnd w:id="544"/>
      <w:bookmarkEnd w:id="545"/>
      <w:bookmarkEnd w:id="546"/>
      <w:bookmarkEnd w:id="54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rPr>
      </w:pPr>
      <w:bookmarkStart w:id="548" w:name="_Toc6134"/>
      <w:bookmarkStart w:id="549" w:name="_Toc15387"/>
      <w:bookmarkStart w:id="550" w:name="_Toc29333"/>
      <w:bookmarkStart w:id="551" w:name="_Toc2169"/>
      <w:r>
        <w:rPr>
          <w:rFonts w:hint="eastAsia" w:ascii="仿宋" w:hAnsi="仿宋" w:eastAsia="仿宋" w:cs="仿宋"/>
          <w:b/>
          <w:color w:val="auto"/>
          <w:sz w:val="24"/>
        </w:rPr>
        <w:t>2.15 合同中止、终止</w:t>
      </w:r>
      <w:bookmarkEnd w:id="548"/>
      <w:bookmarkEnd w:id="549"/>
      <w:bookmarkEnd w:id="550"/>
      <w:bookmarkEnd w:id="55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552" w:name="_Toc1125"/>
      <w:bookmarkStart w:id="553" w:name="_Toc14563"/>
      <w:bookmarkStart w:id="554" w:name="_Toc6596"/>
      <w:bookmarkStart w:id="555" w:name="_Toc10851"/>
      <w:r>
        <w:rPr>
          <w:rFonts w:hint="eastAsia" w:ascii="仿宋" w:hAnsi="仿宋" w:eastAsia="仿宋" w:cs="仿宋"/>
          <w:b/>
          <w:color w:val="auto"/>
          <w:sz w:val="24"/>
        </w:rPr>
        <w:t>2.16检验和验收</w:t>
      </w:r>
      <w:bookmarkEnd w:id="552"/>
      <w:bookmarkEnd w:id="553"/>
      <w:bookmarkEnd w:id="554"/>
      <w:bookmarkEnd w:id="555"/>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519"/>
    <w:bookmarkEnd w:id="520"/>
    <w:bookmarkEnd w:id="521"/>
    <w:bookmarkEnd w:id="522"/>
    <w:p>
      <w:pPr>
        <w:spacing w:line="560" w:lineRule="exact"/>
        <w:ind w:firstLine="482" w:firstLineChars="200"/>
        <w:outlineLvl w:val="0"/>
        <w:rPr>
          <w:rFonts w:ascii="仿宋" w:hAnsi="仿宋" w:eastAsia="仿宋" w:cs="仿宋"/>
          <w:b/>
          <w:color w:val="auto"/>
          <w:sz w:val="24"/>
        </w:rPr>
      </w:pPr>
      <w:bookmarkStart w:id="556" w:name="_Toc279701261"/>
      <w:bookmarkStart w:id="557" w:name="_Toc259093690"/>
      <w:bookmarkStart w:id="558" w:name="_Toc487900371"/>
      <w:bookmarkStart w:id="559" w:name="_Toc19604"/>
      <w:bookmarkStart w:id="560" w:name="_Toc11284"/>
      <w:bookmarkStart w:id="561" w:name="_Toc27172"/>
      <w:bookmarkStart w:id="562" w:name="_Toc25182"/>
      <w:r>
        <w:rPr>
          <w:rFonts w:hint="eastAsia" w:ascii="仿宋" w:hAnsi="仿宋" w:eastAsia="仿宋" w:cs="仿宋"/>
          <w:b/>
          <w:color w:val="auto"/>
          <w:sz w:val="24"/>
        </w:rPr>
        <w:t>2.17 通知</w:t>
      </w:r>
      <w:bookmarkEnd w:id="556"/>
      <w:bookmarkEnd w:id="557"/>
      <w:bookmarkEnd w:id="558"/>
      <w:r>
        <w:rPr>
          <w:rFonts w:hint="eastAsia" w:ascii="仿宋" w:hAnsi="仿宋" w:eastAsia="仿宋" w:cs="仿宋"/>
          <w:b/>
          <w:color w:val="auto"/>
          <w:sz w:val="24"/>
        </w:rPr>
        <w:t>和送达</w:t>
      </w:r>
      <w:bookmarkEnd w:id="559"/>
      <w:bookmarkEnd w:id="560"/>
      <w:bookmarkEnd w:id="561"/>
      <w:bookmarkEnd w:id="562"/>
    </w:p>
    <w:p>
      <w:pPr>
        <w:spacing w:line="560" w:lineRule="exact"/>
        <w:ind w:firstLine="480" w:firstLineChars="200"/>
        <w:rPr>
          <w:rFonts w:ascii="仿宋" w:hAnsi="仿宋" w:eastAsia="仿宋" w:cs="仿宋"/>
          <w:color w:val="auto"/>
          <w:sz w:val="24"/>
        </w:rPr>
      </w:pPr>
      <w:bookmarkStart w:id="563" w:name="_Toc6698"/>
      <w:bookmarkStart w:id="564" w:name="_Toc3135"/>
      <w:bookmarkStart w:id="565" w:name="_Toc487900372"/>
      <w:bookmarkStart w:id="566" w:name="_Toc279701262"/>
      <w:bookmarkStart w:id="567" w:name="_Toc25909369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63"/>
      <w:bookmarkEnd w:id="564"/>
    </w:p>
    <w:p>
      <w:pPr>
        <w:spacing w:line="560" w:lineRule="exact"/>
        <w:ind w:firstLine="480" w:firstLineChars="200"/>
        <w:rPr>
          <w:rFonts w:ascii="仿宋" w:hAnsi="仿宋" w:eastAsia="仿宋" w:cs="仿宋"/>
          <w:color w:val="auto"/>
          <w:sz w:val="24"/>
        </w:rPr>
      </w:pPr>
      <w:bookmarkStart w:id="568" w:name="_Toc23128"/>
      <w:bookmarkStart w:id="569" w:name="_Toc23294"/>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8"/>
      <w:bookmarkEnd w:id="569"/>
    </w:p>
    <w:p>
      <w:pPr>
        <w:spacing w:line="560" w:lineRule="exact"/>
        <w:ind w:firstLine="482" w:firstLineChars="200"/>
        <w:outlineLvl w:val="0"/>
        <w:rPr>
          <w:rFonts w:ascii="仿宋" w:hAnsi="仿宋" w:eastAsia="仿宋" w:cs="仿宋"/>
          <w:b/>
          <w:color w:val="auto"/>
          <w:sz w:val="24"/>
        </w:rPr>
      </w:pPr>
      <w:bookmarkStart w:id="570" w:name="_Toc4355"/>
      <w:bookmarkStart w:id="571" w:name="_Toc30599"/>
      <w:bookmarkStart w:id="572" w:name="_Toc3542"/>
      <w:bookmarkStart w:id="573" w:name="_Toc18540"/>
      <w:r>
        <w:rPr>
          <w:rFonts w:hint="eastAsia" w:ascii="仿宋" w:hAnsi="仿宋" w:eastAsia="仿宋" w:cs="仿宋"/>
          <w:b/>
          <w:color w:val="auto"/>
          <w:sz w:val="24"/>
        </w:rPr>
        <w:t>2.18 计量单位</w:t>
      </w:r>
      <w:bookmarkEnd w:id="565"/>
      <w:bookmarkEnd w:id="566"/>
      <w:bookmarkEnd w:id="567"/>
      <w:bookmarkEnd w:id="570"/>
      <w:bookmarkEnd w:id="571"/>
      <w:bookmarkEnd w:id="572"/>
      <w:bookmarkEnd w:id="57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color w:val="auto"/>
          <w:sz w:val="24"/>
        </w:rPr>
      </w:pPr>
      <w:bookmarkStart w:id="574" w:name="_Toc16270"/>
      <w:bookmarkStart w:id="575" w:name="_Toc279701263"/>
      <w:bookmarkStart w:id="576" w:name="_Toc259093692"/>
      <w:bookmarkStart w:id="577" w:name="_Toc12773"/>
      <w:bookmarkStart w:id="578" w:name="_Toc487900373"/>
      <w:bookmarkStart w:id="579" w:name="_Toc18567"/>
      <w:bookmarkStart w:id="580" w:name="_Toc10330"/>
      <w:r>
        <w:rPr>
          <w:rFonts w:hint="eastAsia" w:ascii="仿宋" w:hAnsi="仿宋" w:eastAsia="仿宋" w:cs="仿宋"/>
          <w:b/>
          <w:color w:val="auto"/>
          <w:sz w:val="24"/>
        </w:rPr>
        <w:t>2.19 合同使用的文字和适用的法律</w:t>
      </w:r>
      <w:bookmarkEnd w:id="574"/>
      <w:bookmarkEnd w:id="575"/>
      <w:bookmarkEnd w:id="576"/>
      <w:bookmarkEnd w:id="577"/>
      <w:bookmarkEnd w:id="578"/>
      <w:bookmarkEnd w:id="579"/>
      <w:bookmarkEnd w:id="58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ascii="仿宋" w:hAnsi="仿宋" w:eastAsia="仿宋" w:cs="仿宋"/>
          <w:b/>
          <w:color w:val="auto"/>
          <w:sz w:val="24"/>
        </w:rPr>
      </w:pPr>
      <w:bookmarkStart w:id="581" w:name="_Toc17131"/>
      <w:bookmarkStart w:id="582" w:name="_Toc259093693"/>
      <w:bookmarkStart w:id="583" w:name="_Toc16673"/>
      <w:bookmarkStart w:id="584" w:name="_Toc279701264"/>
      <w:bookmarkStart w:id="585" w:name="_Toc12004"/>
      <w:bookmarkStart w:id="586" w:name="_Toc3148"/>
      <w:bookmarkStart w:id="587" w:name="_Toc487900374"/>
      <w:r>
        <w:rPr>
          <w:rFonts w:hint="eastAsia" w:ascii="仿宋" w:hAnsi="仿宋" w:eastAsia="仿宋" w:cs="仿宋"/>
          <w:b/>
          <w:color w:val="auto"/>
          <w:sz w:val="24"/>
        </w:rPr>
        <w:t>2.20 履约保证金</w:t>
      </w:r>
      <w:bookmarkEnd w:id="581"/>
      <w:bookmarkEnd w:id="582"/>
      <w:bookmarkEnd w:id="583"/>
      <w:bookmarkEnd w:id="584"/>
      <w:bookmarkEnd w:id="585"/>
      <w:bookmarkEnd w:id="586"/>
    </w:p>
    <w:p>
      <w:pPr>
        <w:pStyle w:val="957"/>
        <w:spacing w:before="0" w:beforeAutospacing="0" w:after="0" w:afterAutospacing="0" w:line="360" w:lineRule="auto"/>
        <w:ind w:firstLine="420"/>
        <w:rPr>
          <w:rFonts w:ascii="仿宋" w:hAnsi="仿宋" w:eastAsia="仿宋" w:cs="仿宋"/>
          <w:color w:val="auto"/>
        </w:rPr>
      </w:pPr>
      <w:r>
        <w:rPr>
          <w:rFonts w:hint="eastAsia" w:ascii="仿宋" w:hAnsi="仿宋" w:eastAsia="仿宋" w:cs="仿宋"/>
          <w:color w:val="auto"/>
        </w:rPr>
        <w:t>2.20.1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w:t>
      </w:r>
      <w:r>
        <w:rPr>
          <w:rFonts w:hint="eastAsia" w:ascii="仿宋" w:hAnsi="仿宋" w:eastAsia="仿宋" w:cs="仿宋"/>
          <w:color w:val="auto"/>
          <w:lang w:eastAsia="zh-CN"/>
        </w:rPr>
        <w:t>1%</w:t>
      </w:r>
      <w:r>
        <w:rPr>
          <w:rFonts w:hint="eastAsia" w:ascii="仿宋" w:hAnsi="仿宋" w:eastAsia="仿宋" w:cs="仿宋"/>
          <w:color w:val="auto"/>
        </w:rPr>
        <w:t>的履约保证金；鼓励和支持乙方以银行、保险公司出具的保函形式提供履约保证。</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color w:val="auto"/>
        </w:rPr>
      </w:pPr>
      <w:r>
        <w:rPr>
          <w:rFonts w:hint="eastAsia" w:ascii="仿宋" w:hAnsi="仿宋" w:eastAsia="仿宋" w:cs="仿宋"/>
          <w:color w:val="auto"/>
          <w:sz w:val="24"/>
        </w:rPr>
        <w:t>2.20.</w:t>
      </w:r>
      <w:r>
        <w:rPr>
          <w:rFonts w:hint="eastAsia" w:ascii="仿宋" w:hAnsi="仿宋" w:eastAsia="仿宋" w:cs="仿宋"/>
          <w:color w:val="auto"/>
          <w:sz w:val="24"/>
          <w:lang w:val="en-US" w:eastAsia="zh-CN"/>
        </w:rPr>
        <w:t>4</w:t>
      </w:r>
      <w:r>
        <w:rPr>
          <w:rFonts w:hint="eastAsia" w:ascii="仿宋" w:hAnsi="仿宋" w:eastAsia="仿宋" w:cs="仿宋"/>
          <w:color w:val="auto"/>
          <w:sz w:val="24"/>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87"/>
    <w:p>
      <w:pPr>
        <w:spacing w:line="560" w:lineRule="exact"/>
        <w:ind w:firstLine="482" w:firstLineChars="200"/>
        <w:outlineLvl w:val="0"/>
        <w:rPr>
          <w:rFonts w:ascii="仿宋" w:hAnsi="仿宋" w:eastAsia="仿宋" w:cs="仿宋"/>
          <w:b/>
          <w:color w:val="auto"/>
          <w:sz w:val="24"/>
        </w:rPr>
      </w:pPr>
      <w:bookmarkStart w:id="588" w:name="_Toc14001"/>
      <w:bookmarkStart w:id="589" w:name="_Toc25210"/>
      <w:bookmarkStart w:id="590" w:name="_Toc6885"/>
      <w:bookmarkStart w:id="591" w:name="_Toc19890"/>
      <w:r>
        <w:rPr>
          <w:rFonts w:hint="eastAsia" w:ascii="仿宋" w:hAnsi="仿宋" w:eastAsia="仿宋" w:cs="仿宋"/>
          <w:b/>
          <w:color w:val="auto"/>
          <w:sz w:val="24"/>
        </w:rPr>
        <w:t>2.22合同份数</w:t>
      </w:r>
      <w:bookmarkEnd w:id="588"/>
      <w:bookmarkEnd w:id="589"/>
      <w:bookmarkEnd w:id="590"/>
      <w:bookmarkEnd w:id="59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700"/>
        <w:spacing w:line="560" w:lineRule="exact"/>
        <w:jc w:val="center"/>
        <w:rPr>
          <w:rFonts w:ascii="仿宋" w:hAnsi="仿宋" w:eastAsia="仿宋" w:cs="仿宋"/>
          <w:b/>
          <w:color w:val="auto"/>
          <w:szCs w:val="24"/>
        </w:rPr>
      </w:pPr>
      <w:r>
        <w:rPr>
          <w:rFonts w:hint="eastAsia" w:ascii="仿宋" w:hAnsi="仿宋" w:eastAsia="仿宋" w:cs="仿宋"/>
          <w:color w:val="auto"/>
          <w:kern w:val="0"/>
          <w:szCs w:val="24"/>
        </w:rPr>
        <w:br w:type="page"/>
      </w:r>
      <w:bookmarkStart w:id="592" w:name="_Toc331685784"/>
      <w:r>
        <w:rPr>
          <w:rFonts w:hint="eastAsia" w:ascii="仿宋" w:hAnsi="仿宋" w:eastAsia="仿宋" w:cs="仿宋"/>
          <w:b/>
          <w:color w:val="auto"/>
          <w:szCs w:val="24"/>
        </w:rPr>
        <w:t xml:space="preserve"> </w:t>
      </w:r>
      <w:bookmarkEnd w:id="592"/>
      <w:r>
        <w:rPr>
          <w:rFonts w:hint="eastAsia" w:ascii="仿宋" w:hAnsi="仿宋" w:eastAsia="仿宋" w:cs="仿宋"/>
          <w:b/>
          <w:color w:val="auto"/>
          <w:szCs w:val="24"/>
        </w:rPr>
        <w:t>第三部分  合同专用条款</w:t>
      </w:r>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33" w:type="pct"/>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1.4.4</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资金支付的方式、时间和条件：</w:t>
            </w:r>
            <w:r>
              <w:rPr>
                <w:rFonts w:hint="eastAsia" w:ascii="仿宋" w:hAnsi="仿宋" w:eastAsia="仿宋" w:cs="仿宋"/>
                <w:color w:val="auto"/>
                <w:sz w:val="24"/>
                <w:lang w:eastAsia="zh-CN"/>
              </w:rPr>
              <w:t>合同生效以及具备实施条件后七个工作日内支付合同预付款40%，设备验收合格后一个月内支付合同总价的50%，余款10%一年后付清。</w:t>
            </w: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1.5.1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交付期限：</w:t>
            </w:r>
            <w:r>
              <w:rPr>
                <w:rFonts w:hint="eastAsia" w:ascii="仿宋" w:hAnsi="仿宋" w:eastAsia="仿宋" w:cs="仿宋"/>
                <w:color w:val="auto"/>
                <w:sz w:val="24"/>
                <w:u w:val="single"/>
                <w:lang w:eastAsia="zh-CN"/>
              </w:rPr>
              <w:t>签订合同后2个月内</w:t>
            </w:r>
            <w:r>
              <w:rPr>
                <w:rFonts w:hint="eastAsia" w:ascii="仿宋" w:hAnsi="仿宋" w:eastAsia="仿宋" w:cs="仿宋"/>
                <w:color w:val="auto"/>
                <w:sz w:val="24"/>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1.5.2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交付地点：</w:t>
            </w:r>
            <w:r>
              <w:rPr>
                <w:rFonts w:hint="eastAsia" w:ascii="仿宋" w:hAnsi="仿宋" w:eastAsia="仿宋" w:cs="仿宋"/>
                <w:color w:val="auto"/>
                <w:sz w:val="24"/>
                <w:u w:val="single"/>
                <w:lang w:eastAsia="zh-CN"/>
              </w:rPr>
              <w:t>嘉善县干窑镇卫生院</w:t>
            </w:r>
            <w:r>
              <w:rPr>
                <w:rFonts w:hint="eastAsia" w:ascii="仿宋" w:hAnsi="仿宋" w:eastAsia="仿宋" w:cs="仿宋"/>
                <w:color w:val="auto"/>
                <w:sz w:val="24"/>
                <w:u w:val="single"/>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1.5.3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交付方式：</w:t>
            </w:r>
            <w:r>
              <w:rPr>
                <w:rFonts w:hint="eastAsia" w:ascii="仿宋" w:hAnsi="仿宋" w:eastAsia="仿宋" w:cs="仿宋"/>
                <w:color w:val="auto"/>
                <w:sz w:val="24"/>
                <w:u w:val="single"/>
              </w:rPr>
              <w:t>送货上门。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1.6.7</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同政府采购合同参考范本规定1.6.7。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合同争议的解决：本合同履行过程中发生的任何争议，双方当事人均可通过和解或者调解解决；不愿和解、调解或者和解、调解不成的，可以选择以下第</w:t>
            </w:r>
            <w:r>
              <w:rPr>
                <w:rFonts w:hint="eastAsia" w:ascii="仿宋" w:hAnsi="仿宋" w:eastAsia="仿宋" w:cs="仿宋"/>
                <w:color w:val="auto"/>
                <w:sz w:val="24"/>
                <w:u w:val="single"/>
              </w:rPr>
              <w:t>1.7.1</w:t>
            </w:r>
            <w:r>
              <w:rPr>
                <w:rFonts w:hint="eastAsia" w:ascii="仿宋" w:hAnsi="仿宋" w:eastAsia="仿宋" w:cs="仿宋"/>
                <w:color w:val="auto"/>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1.7.1</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将争议提交</w:t>
            </w:r>
            <w:r>
              <w:rPr>
                <w:rFonts w:hint="eastAsia" w:ascii="仿宋" w:hAnsi="仿宋" w:eastAsia="仿宋" w:cs="仿宋"/>
                <w:color w:val="auto"/>
                <w:sz w:val="24"/>
                <w:u w:val="single"/>
                <w:lang w:val="en-US" w:eastAsia="zh-CN"/>
              </w:rPr>
              <w:t>嘉兴市</w:t>
            </w:r>
            <w:r>
              <w:rPr>
                <w:rFonts w:hint="eastAsia" w:ascii="仿宋" w:hAnsi="仿宋" w:eastAsia="仿宋" w:cs="仿宋"/>
                <w:color w:val="auto"/>
                <w:sz w:val="24"/>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2.3.2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具有知识产权的计算机软件等货物的知识产权归属，</w:t>
            </w:r>
            <w:r>
              <w:rPr>
                <w:rFonts w:hint="eastAsia" w:ascii="仿宋" w:hAnsi="仿宋" w:eastAsia="仿宋" w:cs="仿宋"/>
                <w:color w:val="auto"/>
                <w:sz w:val="24"/>
                <w:u w:val="single"/>
              </w:rPr>
              <w:t>归甲方所有</w:t>
            </w: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2.4.1</w:t>
            </w:r>
          </w:p>
        </w:tc>
        <w:tc>
          <w:tcPr>
            <w:tcW w:w="4533" w:type="pct"/>
            <w:vAlign w:val="center"/>
          </w:tcPr>
          <w:p>
            <w:pPr>
              <w:spacing w:line="360" w:lineRule="auto"/>
              <w:ind w:right="-420" w:rightChars="-200"/>
              <w:rPr>
                <w:rFonts w:ascii="仿宋" w:hAnsi="仿宋" w:eastAsia="仿宋" w:cs="仿宋"/>
                <w:color w:val="auto"/>
                <w:sz w:val="24"/>
              </w:rPr>
            </w:pPr>
            <w:r>
              <w:rPr>
                <w:rFonts w:hint="eastAsia" w:ascii="仿宋" w:hAnsi="仿宋" w:eastAsia="仿宋" w:cs="仿宋"/>
                <w:color w:val="auto"/>
                <w:sz w:val="24"/>
              </w:rPr>
              <w:t>同合同一般条款规定2.4.1。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2.4.2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装运货物的要求和通知：</w:t>
            </w:r>
            <w:r>
              <w:rPr>
                <w:rFonts w:hint="eastAsia" w:ascii="仿宋" w:hAnsi="仿宋" w:eastAsia="仿宋" w:cs="仿宋"/>
                <w:color w:val="auto"/>
                <w:sz w:val="24"/>
                <w:u w:val="single"/>
              </w:rPr>
              <w:t>同国际贸易通用装运货物的要求和通知。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2.8 </w:t>
            </w:r>
          </w:p>
        </w:tc>
        <w:tc>
          <w:tcPr>
            <w:tcW w:w="4533" w:type="pct"/>
          </w:tcPr>
          <w:p>
            <w:pPr>
              <w:spacing w:line="360" w:lineRule="auto"/>
              <w:rPr>
                <w:rFonts w:ascii="仿宋" w:hAnsi="仿宋" w:eastAsia="仿宋" w:cs="仿宋"/>
                <w:color w:val="auto"/>
                <w:sz w:val="24"/>
              </w:rPr>
            </w:pPr>
            <w:r>
              <w:rPr>
                <w:rFonts w:hint="eastAsia" w:ascii="仿宋" w:hAnsi="仿宋" w:eastAsia="仿宋" w:cs="仿宋"/>
                <w:color w:val="auto"/>
                <w:sz w:val="24"/>
              </w:rPr>
              <w:t>货物或者在途货物或者交付给第一承运人后的货物毁损、灭失的风险负担由</w:t>
            </w:r>
            <w:r>
              <w:rPr>
                <w:rFonts w:hint="eastAsia" w:ascii="仿宋" w:hAnsi="仿宋" w:eastAsia="仿宋" w:cs="仿宋"/>
                <w:color w:val="auto"/>
                <w:sz w:val="24"/>
                <w:u w:val="single"/>
              </w:rPr>
              <w:t>乙方</w:t>
            </w:r>
            <w:r>
              <w:rPr>
                <w:rFonts w:hint="eastAsia" w:ascii="仿宋" w:hAnsi="仿宋" w:eastAsia="仿宋" w:cs="仿宋"/>
                <w:color w:val="auto"/>
                <w:sz w:val="24"/>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2.12.3</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因不可抗力致使合同有变更必要的，双方当事人应在</w:t>
            </w:r>
            <w:r>
              <w:rPr>
                <w:rFonts w:hint="eastAsia" w:ascii="仿宋" w:hAnsi="仿宋" w:eastAsia="仿宋" w:cs="仿宋"/>
                <w:color w:val="auto"/>
                <w:sz w:val="24"/>
                <w:u w:val="single"/>
              </w:rPr>
              <w:t>受不可抗力影响后14个自然日</w:t>
            </w:r>
            <w:r>
              <w:rPr>
                <w:rFonts w:hint="eastAsia" w:ascii="仿宋" w:hAnsi="仿宋" w:eastAsia="仿宋" w:cs="仿宋"/>
                <w:color w:val="auto"/>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2.12.4</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受不可抗力影响的一方在不可抗力发生后，应在</w:t>
            </w:r>
            <w:r>
              <w:rPr>
                <w:rFonts w:hint="eastAsia" w:ascii="仿宋" w:hAnsi="仿宋" w:eastAsia="仿宋" w:cs="仿宋"/>
                <w:color w:val="auto"/>
                <w:sz w:val="24"/>
                <w:u w:val="single"/>
              </w:rPr>
              <w:t>受不可抗力影响后3个自然日</w:t>
            </w:r>
            <w:r>
              <w:rPr>
                <w:rFonts w:hint="eastAsia" w:ascii="仿宋" w:hAnsi="仿宋" w:eastAsia="仿宋" w:cs="仿宋"/>
                <w:color w:val="auto"/>
                <w:sz w:val="24"/>
              </w:rPr>
              <w:t>内以书面形式通知对方当事人，并在</w:t>
            </w:r>
            <w:r>
              <w:rPr>
                <w:rFonts w:hint="eastAsia" w:ascii="仿宋" w:hAnsi="仿宋" w:eastAsia="仿宋" w:cs="仿宋"/>
                <w:color w:val="auto"/>
                <w:sz w:val="24"/>
                <w:u w:val="single"/>
              </w:rPr>
              <w:t>受不可抗力影响后7个自然日</w:t>
            </w:r>
            <w:r>
              <w:rPr>
                <w:rFonts w:hint="eastAsia" w:ascii="仿宋" w:hAnsi="仿宋" w:eastAsia="仿宋" w:cs="仿宋"/>
                <w:color w:val="auto"/>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2.16.1</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货物交付前，乙方应对货物的质量、数量等方面进行详细、全面的检验，并向甲方出具证明货物符合合同约定的文件；货物交付时，乙方在</w:t>
            </w:r>
            <w:r>
              <w:rPr>
                <w:rFonts w:hint="eastAsia" w:ascii="仿宋" w:hAnsi="仿宋" w:eastAsia="仿宋" w:cs="仿宋"/>
                <w:color w:val="auto"/>
                <w:sz w:val="24"/>
                <w:u w:val="single"/>
              </w:rPr>
              <w:t>接甲方通知后7个自然日</w:t>
            </w:r>
            <w:r>
              <w:rPr>
                <w:rFonts w:hint="eastAsia" w:ascii="仿宋" w:hAnsi="仿宋" w:eastAsia="仿宋" w:cs="仿宋"/>
                <w:color w:val="auto"/>
                <w:sz w:val="24"/>
              </w:rPr>
              <w:t>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2.16.3</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检验和验收标准、程序等具体内容以及前述验收书的效力：</w:t>
            </w:r>
            <w:r>
              <w:rPr>
                <w:rFonts w:hint="eastAsia" w:ascii="仿宋" w:hAnsi="仿宋" w:eastAsia="仿宋" w:cs="仿宋"/>
                <w:color w:val="auto"/>
                <w:sz w:val="24"/>
                <w:u w:val="single"/>
              </w:rPr>
              <w:t>检验验收标准同国家药监局关于印发医疗器械检验工作规范的通知（国药监科外〔2019〕41号）的相关规定，出具验收书后双方当事人不得再对验收内容提出异议。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仿宋"/>
                <w:color w:val="auto"/>
                <w:sz w:val="24"/>
              </w:rPr>
            </w:pPr>
            <w:r>
              <w:rPr>
                <w:rFonts w:hint="eastAsia" w:ascii="仿宋" w:hAnsi="仿宋" w:eastAsia="仿宋" w:cs="仿宋"/>
                <w:color w:val="auto"/>
                <w:sz w:val="24"/>
              </w:rPr>
              <w:t>2.20.1</w:t>
            </w:r>
          </w:p>
        </w:tc>
        <w:tc>
          <w:tcPr>
            <w:tcW w:w="4533" w:type="pct"/>
          </w:tcPr>
          <w:p>
            <w:pPr>
              <w:spacing w:line="360" w:lineRule="auto"/>
              <w:rPr>
                <w:rFonts w:ascii="仿宋" w:hAnsi="仿宋" w:eastAsia="仿宋" w:cs="仿宋"/>
                <w:color w:val="auto"/>
                <w:sz w:val="24"/>
              </w:rPr>
            </w:pPr>
            <w:r>
              <w:rPr>
                <w:rFonts w:hint="eastAsia" w:ascii="仿宋" w:hAnsi="仿宋" w:eastAsia="仿宋" w:cs="仿宋"/>
                <w:color w:val="auto"/>
                <w:sz w:val="24"/>
              </w:rPr>
              <w:t>履约保证金：</w:t>
            </w:r>
            <w:r>
              <w:rPr>
                <w:rFonts w:hint="eastAsia" w:ascii="仿宋" w:hAnsi="仿宋" w:eastAsia="仿宋" w:cs="仿宋"/>
                <w:color w:val="auto"/>
                <w:sz w:val="24"/>
                <w:u w:val="single"/>
                <w:lang w:val="en-US" w:eastAsia="zh-CN"/>
              </w:rPr>
              <w:t>甲乙双方协商确定（不超过合同金额的1%）</w:t>
            </w:r>
            <w:r>
              <w:rPr>
                <w:rFonts w:hint="eastAsia" w:ascii="仿宋" w:hAnsi="仿宋" w:eastAsia="仿宋" w:cs="仿宋"/>
                <w:color w:val="auto"/>
                <w:sz w:val="24"/>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2.20.2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履约保证金在</w:t>
            </w:r>
            <w:r>
              <w:rPr>
                <w:rFonts w:hint="eastAsia" w:ascii="仿宋" w:hAnsi="仿宋" w:eastAsia="仿宋" w:cs="仿宋"/>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5</w:t>
            </w:r>
            <w:r>
              <w:rPr>
                <w:rFonts w:hint="eastAsia" w:ascii="仿宋" w:hAnsi="仿宋" w:eastAsia="仿宋" w:cs="仿宋"/>
                <w:color w:val="auto"/>
                <w:sz w:val="24"/>
              </w:rPr>
              <w:t>个工作日内，按</w:t>
            </w:r>
            <w:r>
              <w:rPr>
                <w:rFonts w:hint="eastAsia" w:ascii="仿宋" w:hAnsi="仿宋" w:eastAsia="仿宋" w:cs="仿宋"/>
                <w:color w:val="auto"/>
                <w:sz w:val="24"/>
                <w:u w:val="single"/>
              </w:rPr>
              <w:t>合同专用条款</w:t>
            </w:r>
            <w:r>
              <w:rPr>
                <w:rFonts w:hint="eastAsia" w:ascii="仿宋" w:hAnsi="仿宋" w:eastAsia="仿宋" w:cs="仿宋"/>
                <w:color w:val="auto"/>
                <w:sz w:val="24"/>
              </w:rPr>
              <w:t xml:space="preserve">约定的方式将履约保证金退还乙方，逾期退还的，乙方可要求甲方支付违约金，违约金按每迟延退还一日的应退还而未退还金额的  </w:t>
            </w:r>
            <w:r>
              <w:rPr>
                <w:rFonts w:hint="eastAsia" w:ascii="仿宋" w:hAnsi="仿宋" w:eastAsia="仿宋" w:cs="仿宋"/>
                <w:color w:val="auto"/>
                <w:sz w:val="24"/>
                <w:u w:val="single"/>
              </w:rPr>
              <w:t>0.05%</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20%</w:t>
            </w:r>
            <w:r>
              <w:rPr>
                <w:rFonts w:hint="eastAsia" w:ascii="仿宋" w:hAnsi="仿宋" w:eastAsia="仿宋" w:cs="仿宋"/>
                <w:color w:val="auto"/>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bookmarkStart w:id="593" w:name="_Toc27975"/>
            <w:r>
              <w:rPr>
                <w:rFonts w:hint="eastAsia" w:ascii="仿宋" w:hAnsi="仿宋" w:eastAsia="仿宋" w:cs="仿宋"/>
                <w:color w:val="auto"/>
                <w:sz w:val="24"/>
              </w:rPr>
              <w:t>2.22</w:t>
            </w:r>
            <w:bookmarkEnd w:id="593"/>
            <w:r>
              <w:rPr>
                <w:rFonts w:hint="eastAsia" w:ascii="仿宋" w:hAnsi="仿宋" w:eastAsia="仿宋" w:cs="仿宋"/>
                <w:color w:val="auto"/>
                <w:sz w:val="24"/>
              </w:rPr>
              <w:t xml:space="preserve">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合同份数</w:t>
            </w:r>
            <w:r>
              <w:rPr>
                <w:rFonts w:hint="eastAsia" w:ascii="仿宋" w:hAnsi="仿宋" w:eastAsia="仿宋" w:cs="仿宋"/>
                <w:color w:val="auto"/>
                <w:sz w:val="24"/>
                <w:u w:val="single"/>
              </w:rPr>
              <w:t>一式肆份</w:t>
            </w:r>
            <w:r>
              <w:rPr>
                <w:rFonts w:hint="eastAsia" w:ascii="仿宋" w:hAnsi="仿宋" w:eastAsia="仿宋" w:cs="仿宋"/>
                <w:color w:val="auto"/>
                <w:sz w:val="24"/>
              </w:rPr>
              <w:t>，每份均具有同等法律效力。</w:t>
            </w:r>
          </w:p>
        </w:tc>
      </w:tr>
    </w:tbl>
    <w:p>
      <w:pPr>
        <w:spacing w:line="360" w:lineRule="auto"/>
        <w:ind w:left="-420" w:leftChars="-200" w:right="-420" w:rightChars="-200" w:firstLine="480" w:firstLineChars="200"/>
        <w:rPr>
          <w:rFonts w:ascii="仿宋" w:hAnsi="仿宋" w:eastAsia="仿宋" w:cs="仿宋"/>
          <w:color w:val="auto"/>
          <w:sz w:val="24"/>
        </w:rPr>
      </w:pPr>
    </w:p>
    <w:p>
      <w:pPr>
        <w:spacing w:line="360" w:lineRule="auto"/>
        <w:ind w:left="-420" w:leftChars="-200" w:right="-420" w:rightChars="-200"/>
        <w:rPr>
          <w:rFonts w:ascii="仿宋" w:hAnsi="仿宋" w:eastAsia="仿宋" w:cs="仿宋"/>
          <w:color w:val="auto"/>
          <w:sz w:val="24"/>
        </w:rPr>
      </w:pPr>
    </w:p>
    <w:p>
      <w:pPr>
        <w:spacing w:line="360" w:lineRule="auto"/>
        <w:ind w:left="-420" w:leftChars="-200" w:right="-420" w:rightChars="-200" w:firstLine="480" w:firstLineChars="200"/>
        <w:jc w:val="center"/>
        <w:rPr>
          <w:rFonts w:ascii="仿宋" w:hAnsi="仿宋" w:eastAsia="仿宋" w:cs="仿宋"/>
          <w:color w:val="auto"/>
          <w:sz w:val="24"/>
        </w:rPr>
      </w:pPr>
    </w:p>
    <w:p>
      <w:pPr>
        <w:spacing w:line="360" w:lineRule="auto"/>
        <w:ind w:left="-420" w:leftChars="-200" w:right="-420" w:rightChars="-200" w:firstLine="480" w:firstLineChars="200"/>
        <w:jc w:val="center"/>
        <w:rPr>
          <w:rFonts w:ascii="仿宋" w:hAnsi="仿宋" w:eastAsia="仿宋" w:cs="仿宋"/>
          <w:color w:val="auto"/>
          <w:sz w:val="24"/>
        </w:rPr>
      </w:pPr>
    </w:p>
    <w:p>
      <w:pPr>
        <w:pStyle w:val="6"/>
        <w:rPr>
          <w:rFonts w:ascii="仿宋" w:hAnsi="仿宋" w:eastAsia="仿宋" w:cs="仿宋"/>
          <w:color w:val="auto"/>
          <w:sz w:val="24"/>
        </w:rPr>
      </w:pPr>
    </w:p>
    <w:p>
      <w:pPr>
        <w:pStyle w:val="7"/>
        <w:rPr>
          <w:rFonts w:ascii="仿宋" w:hAnsi="仿宋" w:eastAsia="仿宋" w:cs="仿宋"/>
          <w:color w:val="auto"/>
        </w:rPr>
      </w:pPr>
    </w:p>
    <w:p>
      <w:pPr>
        <w:rPr>
          <w:rFonts w:ascii="仿宋" w:hAnsi="仿宋" w:eastAsia="仿宋" w:cs="仿宋"/>
          <w:color w:val="auto"/>
          <w:sz w:val="24"/>
        </w:rPr>
      </w:pPr>
    </w:p>
    <w:p>
      <w:pPr>
        <w:pStyle w:val="6"/>
        <w:rPr>
          <w:rFonts w:ascii="仿宋" w:hAnsi="仿宋" w:eastAsia="仿宋" w:cs="仿宋"/>
          <w:color w:val="auto"/>
          <w:sz w:val="24"/>
        </w:rPr>
      </w:pPr>
    </w:p>
    <w:p>
      <w:pPr>
        <w:pStyle w:val="7"/>
        <w:rPr>
          <w:rFonts w:ascii="仿宋" w:hAnsi="仿宋" w:eastAsia="仿宋" w:cs="仿宋"/>
          <w:color w:val="auto"/>
        </w:rPr>
      </w:pPr>
    </w:p>
    <w:p>
      <w:pPr>
        <w:rPr>
          <w:rFonts w:ascii="仿宋" w:hAnsi="仿宋" w:eastAsia="仿宋" w:cs="仿宋"/>
          <w:color w:val="auto"/>
          <w:sz w:val="24"/>
        </w:rPr>
      </w:pPr>
    </w:p>
    <w:p>
      <w:pPr>
        <w:pStyle w:val="6"/>
        <w:rPr>
          <w:rFonts w:ascii="仿宋" w:hAnsi="仿宋" w:eastAsia="仿宋" w:cs="仿宋"/>
          <w:color w:val="auto"/>
          <w:sz w:val="24"/>
        </w:rPr>
      </w:pPr>
    </w:p>
    <w:p>
      <w:pPr>
        <w:pStyle w:val="7"/>
        <w:rPr>
          <w:rFonts w:ascii="仿宋" w:hAnsi="仿宋" w:eastAsia="仿宋" w:cs="仿宋"/>
          <w:color w:val="auto"/>
        </w:rPr>
      </w:pPr>
    </w:p>
    <w:p>
      <w:pPr>
        <w:rPr>
          <w:rFonts w:ascii="仿宋" w:hAnsi="仿宋" w:eastAsia="仿宋" w:cs="仿宋"/>
          <w:color w:val="auto"/>
          <w:sz w:val="24"/>
        </w:rPr>
      </w:pPr>
    </w:p>
    <w:p>
      <w:pPr>
        <w:pStyle w:val="6"/>
        <w:rPr>
          <w:rFonts w:ascii="仿宋" w:hAnsi="仿宋" w:eastAsia="仿宋" w:cs="仿宋"/>
          <w:sz w:val="24"/>
        </w:rPr>
      </w:pPr>
    </w:p>
    <w:p>
      <w:pPr>
        <w:pStyle w:val="7"/>
        <w:rPr>
          <w:rFonts w:ascii="仿宋" w:hAnsi="仿宋" w:eastAsia="仿宋" w:cs="仿宋"/>
        </w:rPr>
      </w:pPr>
    </w:p>
    <w:p>
      <w:pPr>
        <w:rPr>
          <w:rFonts w:ascii="仿宋" w:hAnsi="仿宋" w:eastAsia="仿宋" w:cs="仿宋"/>
          <w:sz w:val="24"/>
        </w:rPr>
      </w:pPr>
    </w:p>
    <w:p>
      <w:pPr>
        <w:pStyle w:val="81"/>
      </w:pPr>
    </w:p>
    <w:p>
      <w:pPr>
        <w:pStyle w:val="6"/>
        <w:rPr>
          <w:rFonts w:ascii="仿宋" w:hAnsi="仿宋" w:eastAsia="仿宋" w:cs="仿宋"/>
        </w:rPr>
      </w:pPr>
    </w:p>
    <w:p>
      <w:pPr>
        <w:spacing w:line="360" w:lineRule="auto"/>
        <w:ind w:left="720" w:firstLine="723" w:firstLineChars="200"/>
        <w:outlineLvl w:val="0"/>
        <w:rPr>
          <w:rFonts w:ascii="仿宋" w:hAnsi="仿宋" w:eastAsia="仿宋" w:cs="仿宋"/>
          <w:b/>
          <w:sz w:val="36"/>
          <w:szCs w:val="20"/>
        </w:rPr>
      </w:pPr>
      <w:bookmarkStart w:id="594" w:name="_Toc7454"/>
      <w:r>
        <w:rPr>
          <w:rFonts w:hint="eastAsia" w:ascii="仿宋" w:hAnsi="仿宋" w:eastAsia="仿宋" w:cs="仿宋"/>
          <w:b/>
          <w:sz w:val="36"/>
          <w:szCs w:val="20"/>
        </w:rPr>
        <w:t>第六部分</w:t>
      </w:r>
      <w:bookmarkEnd w:id="403"/>
      <w:r>
        <w:rPr>
          <w:rFonts w:hint="eastAsia" w:ascii="仿宋" w:hAnsi="仿宋" w:eastAsia="仿宋" w:cs="仿宋"/>
          <w:b/>
          <w:sz w:val="36"/>
          <w:szCs w:val="20"/>
        </w:rPr>
        <w:t xml:space="preserve"> </w:t>
      </w:r>
      <w:bookmarkEnd w:id="404"/>
      <w:r>
        <w:rPr>
          <w:rFonts w:hint="eastAsia" w:ascii="仿宋" w:hAnsi="仿宋" w:eastAsia="仿宋" w:cs="仿宋"/>
          <w:b/>
          <w:sz w:val="36"/>
          <w:szCs w:val="20"/>
        </w:rPr>
        <w:t>应提交的有关格式范例</w:t>
      </w:r>
      <w:bookmarkEnd w:id="594"/>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bookmarkStart w:id="595" w:name="_Toc14033"/>
      <w:r>
        <w:rPr>
          <w:rFonts w:hint="eastAsia" w:ascii="仿宋" w:hAnsi="仿宋" w:eastAsia="仿宋" w:cs="仿宋"/>
          <w:b/>
          <w:kern w:val="0"/>
          <w:sz w:val="36"/>
          <w:szCs w:val="36"/>
        </w:rPr>
        <w:t>资格文件部分</w:t>
      </w:r>
      <w:bookmarkEnd w:id="595"/>
    </w:p>
    <w:p>
      <w:pPr>
        <w:spacing w:line="360" w:lineRule="auto"/>
        <w:jc w:val="center"/>
        <w:outlineLvl w:val="0"/>
        <w:rPr>
          <w:rFonts w:ascii="仿宋" w:hAnsi="仿宋" w:eastAsia="仿宋" w:cs="仿宋"/>
          <w:b/>
          <w:kern w:val="0"/>
          <w:sz w:val="36"/>
          <w:szCs w:val="36"/>
        </w:rPr>
      </w:pPr>
      <w:bookmarkStart w:id="596" w:name="_Toc24642"/>
      <w:r>
        <w:rPr>
          <w:rFonts w:hint="eastAsia" w:ascii="仿宋" w:hAnsi="仿宋" w:eastAsia="仿宋" w:cs="仿宋"/>
          <w:b/>
          <w:kern w:val="0"/>
          <w:sz w:val="36"/>
          <w:szCs w:val="36"/>
        </w:rPr>
        <w:t>目录</w:t>
      </w:r>
      <w:bookmarkEnd w:id="596"/>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pacing w:line="360" w:lineRule="auto"/>
        <w:ind w:right="420" w:firstLine="3614" w:firstLineChars="1000"/>
        <w:outlineLvl w:val="0"/>
        <w:rPr>
          <w:rFonts w:ascii="仿宋" w:hAnsi="仿宋" w:eastAsia="仿宋" w:cs="仿宋"/>
          <w:b/>
          <w:kern w:val="0"/>
          <w:sz w:val="36"/>
          <w:szCs w:val="36"/>
        </w:rPr>
      </w:pPr>
      <w:bookmarkStart w:id="597" w:name="_Toc27069"/>
      <w:r>
        <w:rPr>
          <w:rFonts w:hint="eastAsia" w:ascii="仿宋" w:hAnsi="仿宋" w:eastAsia="仿宋" w:cs="仿宋"/>
          <w:b/>
          <w:kern w:val="0"/>
          <w:sz w:val="36"/>
          <w:szCs w:val="36"/>
        </w:rPr>
        <w:t>商务技术文件部分</w:t>
      </w:r>
      <w:bookmarkEnd w:id="597"/>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bookmarkStart w:id="598" w:name="_Toc16278"/>
      <w:r>
        <w:rPr>
          <w:rFonts w:hint="eastAsia" w:ascii="仿宋" w:hAnsi="仿宋" w:eastAsia="仿宋" w:cs="仿宋"/>
          <w:b/>
          <w:kern w:val="0"/>
          <w:sz w:val="28"/>
          <w:szCs w:val="28"/>
        </w:rPr>
        <w:t>目录</w:t>
      </w:r>
      <w:bookmarkEnd w:id="598"/>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rPr>
          <w:rFonts w:ascii="仿宋" w:hAnsi="仿宋" w:eastAsia="仿宋" w:cs="仿宋"/>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bookmarkStart w:id="599" w:name="_Toc7202"/>
      <w:r>
        <w:rPr>
          <w:rFonts w:hint="eastAsia" w:ascii="仿宋" w:hAnsi="仿宋" w:eastAsia="仿宋" w:cs="仿宋"/>
          <w:b/>
          <w:kern w:val="0"/>
          <w:sz w:val="32"/>
          <w:szCs w:val="32"/>
        </w:rPr>
        <w:t>一、投标</w:t>
      </w:r>
      <w:r>
        <w:rPr>
          <w:rFonts w:hint="eastAsia" w:ascii="仿宋" w:hAnsi="仿宋" w:eastAsia="仿宋" w:cs="仿宋"/>
          <w:b/>
          <w:sz w:val="32"/>
          <w:szCs w:val="32"/>
        </w:rPr>
        <w:t>函</w:t>
      </w:r>
      <w:bookmarkEnd w:id="599"/>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9"/>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4"/>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bookmarkStart w:id="600" w:name="_Toc3432"/>
      <w:r>
        <w:rPr>
          <w:rFonts w:hint="eastAsia" w:ascii="仿宋" w:hAnsi="仿宋" w:eastAsia="仿宋" w:cs="仿宋"/>
          <w:b/>
          <w:kern w:val="0"/>
          <w:sz w:val="36"/>
          <w:szCs w:val="36"/>
        </w:rPr>
        <w:t>报价文件部分</w:t>
      </w:r>
      <w:bookmarkEnd w:id="600"/>
    </w:p>
    <w:p>
      <w:pPr>
        <w:spacing w:line="360" w:lineRule="auto"/>
        <w:jc w:val="center"/>
        <w:outlineLvl w:val="0"/>
        <w:rPr>
          <w:rFonts w:ascii="仿宋" w:hAnsi="仿宋" w:eastAsia="仿宋" w:cs="仿宋"/>
          <w:b/>
          <w:kern w:val="0"/>
          <w:sz w:val="36"/>
          <w:szCs w:val="36"/>
        </w:rPr>
      </w:pPr>
      <w:bookmarkStart w:id="601" w:name="_Toc321"/>
      <w:r>
        <w:rPr>
          <w:rFonts w:hint="eastAsia" w:ascii="仿宋" w:hAnsi="仿宋" w:eastAsia="仿宋" w:cs="仿宋"/>
          <w:b/>
          <w:kern w:val="0"/>
          <w:sz w:val="36"/>
          <w:szCs w:val="36"/>
        </w:rPr>
        <w:t>目录</w:t>
      </w:r>
      <w:bookmarkEnd w:id="601"/>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602" w:name="_Toc31079"/>
      <w:r>
        <w:rPr>
          <w:rFonts w:hint="eastAsia" w:ascii="仿宋" w:hAnsi="仿宋" w:eastAsia="仿宋" w:cs="仿宋"/>
          <w:kern w:val="2"/>
          <w:sz w:val="32"/>
          <w:szCs w:val="32"/>
        </w:rPr>
        <w:t>一、开标一览表（报价表）</w:t>
      </w:r>
      <w:bookmarkEnd w:id="602"/>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sz w:val="32"/>
          <w:szCs w:val="32"/>
        </w:rPr>
      </w:pPr>
      <w:bookmarkStart w:id="603" w:name="_Toc21974"/>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End w:id="603"/>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604" w:name="_Toc29202"/>
      <w:bookmarkStart w:id="605" w:name="_Toc465665161"/>
      <w:r>
        <w:rPr>
          <w:rFonts w:hint="eastAsia" w:ascii="仿宋" w:hAnsi="仿宋" w:eastAsia="仿宋" w:cs="仿宋"/>
        </w:rPr>
        <w:t>附件</w:t>
      </w:r>
      <w:bookmarkEnd w:id="604"/>
      <w:bookmarkEnd w:id="605"/>
    </w:p>
    <w:p>
      <w:pPr>
        <w:spacing w:line="360" w:lineRule="auto"/>
        <w:outlineLvl w:val="0"/>
        <w:rPr>
          <w:rFonts w:ascii="仿宋" w:hAnsi="仿宋" w:eastAsia="仿宋" w:cs="仿宋"/>
          <w:b/>
          <w:spacing w:val="6"/>
          <w:sz w:val="32"/>
          <w:szCs w:val="32"/>
        </w:rPr>
      </w:pPr>
      <w:bookmarkStart w:id="606" w:name="_Toc18484"/>
      <w:r>
        <w:rPr>
          <w:rFonts w:hint="eastAsia" w:ascii="仿宋" w:hAnsi="仿宋" w:eastAsia="仿宋" w:cs="仿宋"/>
          <w:b/>
          <w:spacing w:val="6"/>
          <w:sz w:val="32"/>
          <w:szCs w:val="32"/>
        </w:rPr>
        <w:t>附件1：</w:t>
      </w:r>
      <w:bookmarkEnd w:id="606"/>
    </w:p>
    <w:p>
      <w:pPr>
        <w:spacing w:line="360" w:lineRule="auto"/>
        <w:jc w:val="center"/>
        <w:rPr>
          <w:rFonts w:ascii="仿宋" w:hAnsi="仿宋" w:eastAsia="仿宋" w:cs="仿宋"/>
          <w:b/>
          <w:spacing w:val="6"/>
          <w:sz w:val="32"/>
          <w:szCs w:val="32"/>
        </w:rPr>
      </w:pPr>
      <w:bookmarkStart w:id="607" w:name="OLE_LINK14"/>
      <w:bookmarkStart w:id="608" w:name="OLE_LINK13"/>
      <w:r>
        <w:rPr>
          <w:rFonts w:hint="eastAsia" w:ascii="仿宋" w:hAnsi="仿宋" w:eastAsia="仿宋" w:cs="仿宋"/>
          <w:b/>
          <w:spacing w:val="6"/>
          <w:sz w:val="32"/>
          <w:szCs w:val="32"/>
        </w:rPr>
        <w:t>残疾人福利性单位声明函</w:t>
      </w:r>
    </w:p>
    <w:bookmarkEnd w:id="607"/>
    <w:bookmarkEnd w:id="608"/>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outlineLvl w:val="0"/>
        <w:rPr>
          <w:rFonts w:ascii="仿宋" w:hAnsi="仿宋" w:eastAsia="仿宋" w:cs="仿宋"/>
          <w:b/>
          <w:spacing w:val="6"/>
          <w:sz w:val="32"/>
          <w:szCs w:val="32"/>
        </w:rPr>
      </w:pPr>
      <w:bookmarkStart w:id="609" w:name="_Toc18175"/>
      <w:r>
        <w:rPr>
          <w:rFonts w:hint="eastAsia" w:ascii="仿宋" w:hAnsi="仿宋" w:eastAsia="仿宋" w:cs="仿宋"/>
          <w:b/>
          <w:spacing w:val="6"/>
          <w:sz w:val="32"/>
          <w:szCs w:val="32"/>
        </w:rPr>
        <w:t>附件2：质疑函范本及制作说明</w:t>
      </w:r>
      <w:bookmarkEnd w:id="609"/>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outlineLvl w:val="0"/>
        <w:rPr>
          <w:rFonts w:ascii="仿宋" w:hAnsi="仿宋" w:eastAsia="仿宋" w:cs="仿宋"/>
          <w:b/>
          <w:spacing w:val="6"/>
          <w:sz w:val="32"/>
          <w:szCs w:val="32"/>
        </w:rPr>
      </w:pPr>
      <w:bookmarkStart w:id="610" w:name="_Toc504"/>
      <w:r>
        <w:rPr>
          <w:rFonts w:hint="eastAsia" w:ascii="仿宋" w:hAnsi="仿宋" w:eastAsia="仿宋" w:cs="仿宋"/>
          <w:b/>
          <w:spacing w:val="6"/>
          <w:sz w:val="32"/>
          <w:szCs w:val="32"/>
        </w:rPr>
        <w:t>附件3：投诉书范本及制作说明</w:t>
      </w:r>
      <w:bookmarkEnd w:id="610"/>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outlineLvl w:val="0"/>
        <w:rPr>
          <w:rFonts w:ascii="仿宋" w:hAnsi="仿宋" w:eastAsia="仿宋" w:cs="仿宋"/>
          <w:b/>
          <w:bCs/>
          <w:sz w:val="32"/>
          <w:szCs w:val="32"/>
        </w:rPr>
      </w:pPr>
      <w:bookmarkStart w:id="611" w:name="_Toc14895"/>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bookmarkEnd w:id="611"/>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outlineLvl w:val="0"/>
        <w:rPr>
          <w:rFonts w:ascii="仿宋" w:hAnsi="仿宋" w:eastAsia="仿宋" w:cs="仿宋"/>
          <w:b/>
          <w:bCs/>
          <w:sz w:val="32"/>
          <w:szCs w:val="32"/>
        </w:rPr>
      </w:pPr>
      <w:bookmarkStart w:id="612" w:name="_Toc26771"/>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bookmarkEnd w:id="612"/>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13" w:name="_Toc131845147"/>
    <w:bookmarkStart w:id="614" w:name="_Toc91899912"/>
    <w:bookmarkStart w:id="615" w:name="_Toc36110187"/>
    <w:bookmarkStart w:id="616" w:name="_Toc164085800"/>
    <w:r>
      <w:rPr>
        <w:rFonts w:hint="eastAsia" w:ascii="仿宋_GB2312" w:eastAsia="仿宋_GB2312"/>
        <w:kern w:val="0"/>
        <w:szCs w:val="21"/>
      </w:rPr>
      <w:t xml:space="preserve"> 页</w:t>
    </w:r>
    <w:bookmarkEnd w:id="613"/>
    <w:bookmarkEnd w:id="614"/>
    <w:bookmarkEnd w:id="615"/>
    <w:bookmarkEnd w:id="6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left"/>
    </w:pPr>
    <w:r>
      <w:rPr>
        <w:rFonts w:hint="eastAsia"/>
      </w:rPr>
      <w:drawing>
        <wp:inline distT="0" distB="0" distL="114300" distR="114300">
          <wp:extent cx="1148715" cy="245745"/>
          <wp:effectExtent l="0" t="0" r="13335" b="1905"/>
          <wp:docPr id="1" name="图片 1"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正浩招标透明"/>
                  <pic:cNvPicPr>
                    <a:picLocks noChangeAspect="1"/>
                  </pic:cNvPicPr>
                </pic:nvPicPr>
                <pic:blipFill>
                  <a:blip r:embed="rId1"/>
                  <a:stretch>
                    <a:fillRect/>
                  </a:stretch>
                </pic:blipFill>
                <pic:spPr>
                  <a:xfrm>
                    <a:off x="0" y="0"/>
                    <a:ext cx="1148715" cy="245745"/>
                  </a:xfrm>
                  <a:prstGeom prst="rect">
                    <a:avLst/>
                  </a:prstGeom>
                </pic:spPr>
              </pic:pic>
            </a:graphicData>
          </a:graphic>
        </wp:inline>
      </w:drawing>
    </w:r>
    <w:r>
      <w:t></w:t>
    </w:r>
    <w:r>
      <w:rPr>
        <w:rFonts w:hint="eastAsia"/>
      </w:rPr>
      <w:t xml:space="preserve">            </w:t>
    </w:r>
  </w:p>
  <w:p>
    <w:pPr>
      <w:pStyle w:val="60"/>
      <w:tabs>
        <w:tab w:val="center" w:pos="4535"/>
        <w:tab w:val="right" w:pos="9070"/>
      </w:tabs>
      <w:ind w:firstLine="180" w:firstLineChars="100"/>
      <w:jc w:val="left"/>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pPr>
    <w:r>
      <w:rPr>
        <w:rFonts w:hint="eastAsia"/>
      </w:rPr>
      <w:drawing>
        <wp:inline distT="0" distB="0" distL="114300" distR="114300">
          <wp:extent cx="1111250" cy="245745"/>
          <wp:effectExtent l="0" t="0" r="12700" b="1905"/>
          <wp:docPr id="10" name="图片 10"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ogo正浩招标透明"/>
                  <pic:cNvPicPr>
                    <a:picLocks noChangeAspect="1"/>
                  </pic:cNvPicPr>
                </pic:nvPicPr>
                <pic:blipFill>
                  <a:blip r:embed="rId1"/>
                  <a:stretch>
                    <a:fillRect/>
                  </a:stretch>
                </pic:blipFill>
                <pic:spPr>
                  <a:xfrm>
                    <a:off x="0" y="0"/>
                    <a:ext cx="1111250" cy="245745"/>
                  </a:xfrm>
                  <a:prstGeom prst="rect">
                    <a:avLst/>
                  </a:prstGeom>
                </pic:spPr>
              </pic:pic>
            </a:graphicData>
          </a:graphic>
        </wp:inline>
      </w:drawing>
    </w: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wordWrap w:val="0"/>
      <w:jc w:val="right"/>
      <w:rPr>
        <w:rFonts w:hint="eastAsia" w:eastAsia="宋体"/>
        <w:lang w:eastAsia="zh-CN"/>
      </w:rPr>
    </w:pPr>
    <w:r>
      <w:rPr>
        <w:lang w:val="zh-CN"/>
      </w:rPr>
      <w:t></w:t>
    </w:r>
    <w:r>
      <w:rPr>
        <w:rFonts w:hint="eastAsia"/>
      </w:rPr>
      <w:drawing>
        <wp:inline distT="0" distB="0" distL="114300" distR="114300">
          <wp:extent cx="1111250" cy="245745"/>
          <wp:effectExtent l="0" t="0" r="12700" b="1905"/>
          <wp:docPr id="5" name="图片 5"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正浩招标透明"/>
                  <pic:cNvPicPr>
                    <a:picLocks noChangeAspect="1"/>
                  </pic:cNvPicPr>
                </pic:nvPicPr>
                <pic:blipFill>
                  <a:blip r:embed="rId1"/>
                  <a:stretch>
                    <a:fillRect/>
                  </a:stretch>
                </pic:blipFill>
                <pic:spPr>
                  <a:xfrm>
                    <a:off x="0" y="0"/>
                    <a:ext cx="1111250" cy="245745"/>
                  </a:xfrm>
                  <a:prstGeom prst="rect">
                    <a:avLst/>
                  </a:prstGeom>
                </pic:spPr>
              </pic:pic>
            </a:graphicData>
          </a:graphic>
        </wp:inline>
      </w:drawing>
    </w:r>
    <w:r>
      <w:tab/>
    </w:r>
    <w:r>
      <w:rPr>
        <w:lang w:val="zh-CN"/>
      </w:rPr>
      <w:t></w:t>
    </w:r>
    <w:r>
      <w:tab/>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b/>
        <w:i/>
        <w:u w:val="single"/>
      </w:rPr>
    </w:pPr>
    <w:r>
      <w:t></w:t>
    </w:r>
    <w:r>
      <w:rPr>
        <w:rFonts w:hint="eastAsia"/>
      </w:rPr>
      <w:drawing>
        <wp:inline distT="0" distB="0" distL="114300" distR="114300">
          <wp:extent cx="1111250" cy="245745"/>
          <wp:effectExtent l="0" t="0" r="12700" b="1905"/>
          <wp:docPr id="6" name="图片 6"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正浩招标透明"/>
                  <pic:cNvPicPr>
                    <a:picLocks noChangeAspect="1"/>
                  </pic:cNvPicPr>
                </pic:nvPicPr>
                <pic:blipFill>
                  <a:blip r:embed="rId1"/>
                  <a:stretch>
                    <a:fillRect/>
                  </a:stretch>
                </pic:blipFill>
                <pic:spPr>
                  <a:xfrm>
                    <a:off x="0" y="0"/>
                    <a:ext cx="1111250" cy="245745"/>
                  </a:xfrm>
                  <a:prstGeom prst="rect">
                    <a:avLst/>
                  </a:prstGeom>
                </pic:spPr>
              </pic:pic>
            </a:graphicData>
          </a:graphic>
        </wp:inline>
      </w:drawing>
    </w:r>
    <w:r>
      <w:t></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jc w:val="left"/>
    </w:pPr>
    <w:r>
      <w:rPr>
        <w:rFonts w:hint="eastAsia"/>
      </w:rPr>
      <w:drawing>
        <wp:inline distT="0" distB="0" distL="114300" distR="114300">
          <wp:extent cx="1111250" cy="245745"/>
          <wp:effectExtent l="0" t="0" r="12700" b="1905"/>
          <wp:docPr id="2" name="图片 2"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正浩招标透明"/>
                  <pic:cNvPicPr>
                    <a:picLocks noChangeAspect="1"/>
                  </pic:cNvPicPr>
                </pic:nvPicPr>
                <pic:blipFill>
                  <a:blip r:embed="rId1"/>
                  <a:stretch>
                    <a:fillRect/>
                  </a:stretch>
                </pic:blipFill>
                <pic:spPr>
                  <a:xfrm>
                    <a:off x="0" y="0"/>
                    <a:ext cx="1111250" cy="245745"/>
                  </a:xfrm>
                  <a:prstGeom prst="rect">
                    <a:avLst/>
                  </a:prstGeom>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b/>
        <w:i/>
        <w:u w:val="single"/>
      </w:rPr>
    </w:pPr>
    <w:r>
      <w:t></w:t>
    </w:r>
    <w:r>
      <w:rPr>
        <w:rFonts w:hint="eastAsia"/>
      </w:rPr>
      <w:drawing>
        <wp:inline distT="0" distB="0" distL="114300" distR="114300">
          <wp:extent cx="1111250" cy="245745"/>
          <wp:effectExtent l="0" t="0" r="12700" b="1905"/>
          <wp:docPr id="8" name="图片 8"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正浩招标透明"/>
                  <pic:cNvPicPr>
                    <a:picLocks noChangeAspect="1"/>
                  </pic:cNvPicPr>
                </pic:nvPicPr>
                <pic:blipFill>
                  <a:blip r:embed="rId1"/>
                  <a:stretch>
                    <a:fillRect/>
                  </a:stretch>
                </pic:blipFill>
                <pic:spPr>
                  <a:xfrm>
                    <a:off x="0" y="0"/>
                    <a:ext cx="1111250" cy="245745"/>
                  </a:xfrm>
                  <a:prstGeom prst="rect">
                    <a:avLst/>
                  </a:prstGeom>
                </pic:spPr>
              </pic:pic>
            </a:graphicData>
          </a:graphic>
        </wp:inline>
      </w:drawing>
    </w: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jc w:val="left"/>
    </w:pPr>
    <w:r>
      <w:rPr>
        <w:rFonts w:hint="eastAsia"/>
      </w:rPr>
      <w:drawing>
        <wp:inline distT="0" distB="0" distL="114300" distR="114300">
          <wp:extent cx="1111250" cy="245745"/>
          <wp:effectExtent l="0" t="0" r="12700" b="1905"/>
          <wp:docPr id="7" name="图片 7"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正浩招标透明"/>
                  <pic:cNvPicPr>
                    <a:picLocks noChangeAspect="1"/>
                  </pic:cNvPicPr>
                </pic:nvPicPr>
                <pic:blipFill>
                  <a:blip r:embed="rId1"/>
                  <a:stretch>
                    <a:fillRect/>
                  </a:stretch>
                </pic:blipFill>
                <pic:spPr>
                  <a:xfrm>
                    <a:off x="0" y="0"/>
                    <a:ext cx="1111250" cy="245745"/>
                  </a:xfrm>
                  <a:prstGeom prst="rect">
                    <a:avLst/>
                  </a:prstGeom>
                </pic:spPr>
              </pic:pic>
            </a:graphicData>
          </a:graphic>
        </wp:inline>
      </w:drawing>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pPr>
    <w:r>
      <w:rPr>
        <w:rFonts w:hint="eastAsia"/>
      </w:rPr>
      <w:t xml:space="preserve"> </w:t>
    </w:r>
    <w:r>
      <w:rPr>
        <w:rFonts w:hint="eastAsia"/>
      </w:rPr>
      <w:drawing>
        <wp:inline distT="0" distB="0" distL="114300" distR="114300">
          <wp:extent cx="1111250" cy="245745"/>
          <wp:effectExtent l="0" t="0" r="12700" b="1905"/>
          <wp:docPr id="9" name="图片 9"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正浩招标透明"/>
                  <pic:cNvPicPr>
                    <a:picLocks noChangeAspect="1"/>
                  </pic:cNvPicPr>
                </pic:nvPicPr>
                <pic:blipFill>
                  <a:blip r:embed="rId1"/>
                  <a:stretch>
                    <a:fillRect/>
                  </a:stretch>
                </pic:blipFill>
                <pic:spPr>
                  <a:xfrm>
                    <a:off x="0" y="0"/>
                    <a:ext cx="1111250" cy="245745"/>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b/>
        <w:i/>
        <w:iCs/>
        <w:u w:val="single"/>
      </w:rPr>
    </w:pPr>
    <w:r>
      <w:rPr>
        <w:rFonts w:hint="eastAsia"/>
      </w:rPr>
      <w:drawing>
        <wp:inline distT="0" distB="0" distL="114300" distR="114300">
          <wp:extent cx="1111250" cy="245745"/>
          <wp:effectExtent l="0" t="0" r="12700" b="1905"/>
          <wp:docPr id="11" name="图片 11"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正浩招标透明"/>
                  <pic:cNvPicPr>
                    <a:picLocks noChangeAspect="1"/>
                  </pic:cNvPicPr>
                </pic:nvPicPr>
                <pic:blipFill>
                  <a:blip r:embed="rId1"/>
                  <a:stretch>
                    <a:fillRect/>
                  </a:stretch>
                </pic:blipFill>
                <pic:spPr>
                  <a:xfrm>
                    <a:off x="0" y="0"/>
                    <a:ext cx="1111250" cy="245745"/>
                  </a:xfrm>
                  <a:prstGeom prst="rect">
                    <a:avLst/>
                  </a:prstGeom>
                </pic:spPr>
              </pic:pic>
            </a:graphicData>
          </a:graphic>
        </wp:inline>
      </w:drawing>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B5C99"/>
    <w:multiLevelType w:val="singleLevel"/>
    <w:tmpl w:val="EFFB5C99"/>
    <w:lvl w:ilvl="0" w:tentative="0">
      <w:start w:val="3"/>
      <w:numFmt w:val="chineseCounting"/>
      <w:suff w:val="space"/>
      <w:lvlText w:val="第%1部分"/>
      <w:lvlJc w:val="left"/>
      <w:rPr>
        <w:rFonts w:hint="eastAsia"/>
      </w:rPr>
    </w:lvl>
  </w:abstractNum>
  <w:abstractNum w:abstractNumId="1">
    <w:nsid w:val="5559833E"/>
    <w:multiLevelType w:val="singleLevel"/>
    <w:tmpl w:val="5559833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Yzc1ZmRiMzRmNzkwZDY4MTBmZjAyNmE2NDU0M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7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CCC"/>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4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E58"/>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3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22"/>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96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8E1"/>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6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32"/>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73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1F"/>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66"/>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6D"/>
    <w:rsid w:val="008B67E6"/>
    <w:rsid w:val="008B69B8"/>
    <w:rsid w:val="008B7042"/>
    <w:rsid w:val="008B770C"/>
    <w:rsid w:val="008C0325"/>
    <w:rsid w:val="008C094A"/>
    <w:rsid w:val="008C1570"/>
    <w:rsid w:val="008C1792"/>
    <w:rsid w:val="008C17B2"/>
    <w:rsid w:val="008C1E3E"/>
    <w:rsid w:val="008C2059"/>
    <w:rsid w:val="008C21D0"/>
    <w:rsid w:val="008C2DBC"/>
    <w:rsid w:val="008C388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5AB"/>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B8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13"/>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E2E"/>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C685D"/>
    <w:rsid w:val="019F7441"/>
    <w:rsid w:val="01B37585"/>
    <w:rsid w:val="01D55165"/>
    <w:rsid w:val="01DF6BF8"/>
    <w:rsid w:val="01EC2C57"/>
    <w:rsid w:val="024B77F6"/>
    <w:rsid w:val="026B2E25"/>
    <w:rsid w:val="02824D4D"/>
    <w:rsid w:val="02DC4B10"/>
    <w:rsid w:val="02DD76CE"/>
    <w:rsid w:val="02F36323"/>
    <w:rsid w:val="02F5619C"/>
    <w:rsid w:val="0326446A"/>
    <w:rsid w:val="032D5555"/>
    <w:rsid w:val="0332416A"/>
    <w:rsid w:val="036634D2"/>
    <w:rsid w:val="03B9554C"/>
    <w:rsid w:val="03DD35E4"/>
    <w:rsid w:val="04076900"/>
    <w:rsid w:val="041A5A3B"/>
    <w:rsid w:val="042311BA"/>
    <w:rsid w:val="042B157A"/>
    <w:rsid w:val="048F763B"/>
    <w:rsid w:val="049F330E"/>
    <w:rsid w:val="04AA775C"/>
    <w:rsid w:val="04AF1889"/>
    <w:rsid w:val="04F66F48"/>
    <w:rsid w:val="05251E14"/>
    <w:rsid w:val="058C003F"/>
    <w:rsid w:val="05A16594"/>
    <w:rsid w:val="05A7762D"/>
    <w:rsid w:val="060E5941"/>
    <w:rsid w:val="06110FAF"/>
    <w:rsid w:val="06493CA7"/>
    <w:rsid w:val="065A6178"/>
    <w:rsid w:val="066F1CF3"/>
    <w:rsid w:val="06930BB8"/>
    <w:rsid w:val="06CA6167"/>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624AA"/>
    <w:rsid w:val="09772C16"/>
    <w:rsid w:val="098353B5"/>
    <w:rsid w:val="09A92330"/>
    <w:rsid w:val="09B06B87"/>
    <w:rsid w:val="09C13146"/>
    <w:rsid w:val="09E04166"/>
    <w:rsid w:val="0A1C0718"/>
    <w:rsid w:val="0A3E7710"/>
    <w:rsid w:val="0A5B7E63"/>
    <w:rsid w:val="0AA374A5"/>
    <w:rsid w:val="0AAB7649"/>
    <w:rsid w:val="0ABC5606"/>
    <w:rsid w:val="0B135A1B"/>
    <w:rsid w:val="0B30404E"/>
    <w:rsid w:val="0B4C6C14"/>
    <w:rsid w:val="0B631A88"/>
    <w:rsid w:val="0B683D45"/>
    <w:rsid w:val="0B7F3F11"/>
    <w:rsid w:val="0B884417"/>
    <w:rsid w:val="0BF6188C"/>
    <w:rsid w:val="0BF73C91"/>
    <w:rsid w:val="0BFA04A4"/>
    <w:rsid w:val="0C170175"/>
    <w:rsid w:val="0C571A41"/>
    <w:rsid w:val="0C5C1171"/>
    <w:rsid w:val="0C5E1CBC"/>
    <w:rsid w:val="0C615B50"/>
    <w:rsid w:val="0C8445DA"/>
    <w:rsid w:val="0C87121B"/>
    <w:rsid w:val="0CC007F7"/>
    <w:rsid w:val="0CFE707A"/>
    <w:rsid w:val="0D063BDA"/>
    <w:rsid w:val="0D08375F"/>
    <w:rsid w:val="0D184CFB"/>
    <w:rsid w:val="0D4A7419"/>
    <w:rsid w:val="0D79459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47617"/>
    <w:rsid w:val="172F2D79"/>
    <w:rsid w:val="17557BEF"/>
    <w:rsid w:val="17D349C1"/>
    <w:rsid w:val="1830729E"/>
    <w:rsid w:val="1870062C"/>
    <w:rsid w:val="18817102"/>
    <w:rsid w:val="18830A15"/>
    <w:rsid w:val="18832FA5"/>
    <w:rsid w:val="18852B28"/>
    <w:rsid w:val="188B5321"/>
    <w:rsid w:val="1921268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45025"/>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A741A3"/>
    <w:rsid w:val="1EB7330C"/>
    <w:rsid w:val="1EC34AFA"/>
    <w:rsid w:val="1ED44E13"/>
    <w:rsid w:val="1F0A0FF3"/>
    <w:rsid w:val="1F5771FF"/>
    <w:rsid w:val="1FE868A9"/>
    <w:rsid w:val="20034907"/>
    <w:rsid w:val="20173E4B"/>
    <w:rsid w:val="204E48BC"/>
    <w:rsid w:val="208921B3"/>
    <w:rsid w:val="20973DEB"/>
    <w:rsid w:val="20B26522"/>
    <w:rsid w:val="20B44310"/>
    <w:rsid w:val="211116EB"/>
    <w:rsid w:val="213D7CA0"/>
    <w:rsid w:val="216133FC"/>
    <w:rsid w:val="21D56769"/>
    <w:rsid w:val="21E52EF3"/>
    <w:rsid w:val="21FB5D7B"/>
    <w:rsid w:val="21FE4B19"/>
    <w:rsid w:val="220B1C3D"/>
    <w:rsid w:val="221D1D20"/>
    <w:rsid w:val="22334A87"/>
    <w:rsid w:val="22BE6801"/>
    <w:rsid w:val="22E817D6"/>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F62DF"/>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426B7"/>
    <w:rsid w:val="2A7D76B4"/>
    <w:rsid w:val="2B417C63"/>
    <w:rsid w:val="2B437463"/>
    <w:rsid w:val="2B7807EE"/>
    <w:rsid w:val="2BBF00EC"/>
    <w:rsid w:val="2BC37CFD"/>
    <w:rsid w:val="2BD5237F"/>
    <w:rsid w:val="2BE536CE"/>
    <w:rsid w:val="2BE758D9"/>
    <w:rsid w:val="2C09049E"/>
    <w:rsid w:val="2C0A653C"/>
    <w:rsid w:val="2C191F85"/>
    <w:rsid w:val="2CE82D6F"/>
    <w:rsid w:val="2D343236"/>
    <w:rsid w:val="2D7E0F72"/>
    <w:rsid w:val="2DD15014"/>
    <w:rsid w:val="2DF72DE4"/>
    <w:rsid w:val="2E0220AF"/>
    <w:rsid w:val="2E4B082A"/>
    <w:rsid w:val="2E5D4E86"/>
    <w:rsid w:val="2E5D790B"/>
    <w:rsid w:val="2E9A3C18"/>
    <w:rsid w:val="2EBB0FEE"/>
    <w:rsid w:val="2EC63002"/>
    <w:rsid w:val="2F0A6B38"/>
    <w:rsid w:val="2F946CCB"/>
    <w:rsid w:val="2FD25781"/>
    <w:rsid w:val="2FFD7934"/>
    <w:rsid w:val="30553CDA"/>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9A2F06"/>
    <w:rsid w:val="34AF62C9"/>
    <w:rsid w:val="34CB4388"/>
    <w:rsid w:val="34FA6E12"/>
    <w:rsid w:val="35106C91"/>
    <w:rsid w:val="3572259C"/>
    <w:rsid w:val="358D5588"/>
    <w:rsid w:val="3599574D"/>
    <w:rsid w:val="363A3B40"/>
    <w:rsid w:val="365302AE"/>
    <w:rsid w:val="36607A0A"/>
    <w:rsid w:val="36666747"/>
    <w:rsid w:val="366E227C"/>
    <w:rsid w:val="366F2E0D"/>
    <w:rsid w:val="367B6A5C"/>
    <w:rsid w:val="36A74ADA"/>
    <w:rsid w:val="36AD60D5"/>
    <w:rsid w:val="36B224F9"/>
    <w:rsid w:val="36EC0CC9"/>
    <w:rsid w:val="373F410B"/>
    <w:rsid w:val="37EE7094"/>
    <w:rsid w:val="38296C89"/>
    <w:rsid w:val="383002EB"/>
    <w:rsid w:val="38586797"/>
    <w:rsid w:val="38BC0149"/>
    <w:rsid w:val="38CF2505"/>
    <w:rsid w:val="38D87D1C"/>
    <w:rsid w:val="39636459"/>
    <w:rsid w:val="396B7F6C"/>
    <w:rsid w:val="39B417A9"/>
    <w:rsid w:val="39C17FF3"/>
    <w:rsid w:val="39FC5695"/>
    <w:rsid w:val="3A006D8E"/>
    <w:rsid w:val="3A3651E5"/>
    <w:rsid w:val="3A744481"/>
    <w:rsid w:val="3A8C7BEF"/>
    <w:rsid w:val="3A906246"/>
    <w:rsid w:val="3AA91A8A"/>
    <w:rsid w:val="3B2349B7"/>
    <w:rsid w:val="3B616CFF"/>
    <w:rsid w:val="3B6259F6"/>
    <w:rsid w:val="3B976654"/>
    <w:rsid w:val="3BC01EFC"/>
    <w:rsid w:val="3BCA786A"/>
    <w:rsid w:val="3BD31E2F"/>
    <w:rsid w:val="3BF15831"/>
    <w:rsid w:val="3C105946"/>
    <w:rsid w:val="3C471448"/>
    <w:rsid w:val="3C5F759A"/>
    <w:rsid w:val="3C6C525A"/>
    <w:rsid w:val="3C716317"/>
    <w:rsid w:val="3CCE23CB"/>
    <w:rsid w:val="3CD17D17"/>
    <w:rsid w:val="3D3C7F39"/>
    <w:rsid w:val="3D440F09"/>
    <w:rsid w:val="3D4504A0"/>
    <w:rsid w:val="3D671F5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84643"/>
    <w:rsid w:val="434B790E"/>
    <w:rsid w:val="4360274F"/>
    <w:rsid w:val="43977AB6"/>
    <w:rsid w:val="43A3342B"/>
    <w:rsid w:val="43C77C27"/>
    <w:rsid w:val="43DD49D2"/>
    <w:rsid w:val="43DE09EE"/>
    <w:rsid w:val="44002FAD"/>
    <w:rsid w:val="449101DD"/>
    <w:rsid w:val="44DE1391"/>
    <w:rsid w:val="44E6505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E3529"/>
    <w:rsid w:val="471322F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11D5F"/>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6E34FE"/>
    <w:rsid w:val="4E793892"/>
    <w:rsid w:val="4E800872"/>
    <w:rsid w:val="4EC569ED"/>
    <w:rsid w:val="4ED50EA1"/>
    <w:rsid w:val="4EEC050C"/>
    <w:rsid w:val="4F104EC3"/>
    <w:rsid w:val="4F47354A"/>
    <w:rsid w:val="4F911C54"/>
    <w:rsid w:val="4FE625E0"/>
    <w:rsid w:val="5015416C"/>
    <w:rsid w:val="5021480F"/>
    <w:rsid w:val="50962ECB"/>
    <w:rsid w:val="50A42E38"/>
    <w:rsid w:val="50A4577F"/>
    <w:rsid w:val="50B73D1F"/>
    <w:rsid w:val="50BD5BC9"/>
    <w:rsid w:val="50C11EEE"/>
    <w:rsid w:val="50E97CFC"/>
    <w:rsid w:val="50FA4028"/>
    <w:rsid w:val="510D65B7"/>
    <w:rsid w:val="51102CD9"/>
    <w:rsid w:val="511157AB"/>
    <w:rsid w:val="51420A59"/>
    <w:rsid w:val="5142540C"/>
    <w:rsid w:val="517035B4"/>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374BA2"/>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76398"/>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AD56FC"/>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D3302"/>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24E20"/>
    <w:rsid w:val="64CE2EAA"/>
    <w:rsid w:val="653C3090"/>
    <w:rsid w:val="65854376"/>
    <w:rsid w:val="658767BE"/>
    <w:rsid w:val="65892531"/>
    <w:rsid w:val="65975376"/>
    <w:rsid w:val="66195831"/>
    <w:rsid w:val="662E75B1"/>
    <w:rsid w:val="66342C2E"/>
    <w:rsid w:val="663E784C"/>
    <w:rsid w:val="668B6A45"/>
    <w:rsid w:val="66C245FE"/>
    <w:rsid w:val="66F56523"/>
    <w:rsid w:val="672F3F24"/>
    <w:rsid w:val="673E055F"/>
    <w:rsid w:val="67551CE3"/>
    <w:rsid w:val="67A22552"/>
    <w:rsid w:val="67B22DCC"/>
    <w:rsid w:val="67BE71AA"/>
    <w:rsid w:val="67D90273"/>
    <w:rsid w:val="67DE5875"/>
    <w:rsid w:val="67E55852"/>
    <w:rsid w:val="67EB1AB4"/>
    <w:rsid w:val="67FA1285"/>
    <w:rsid w:val="68551F4F"/>
    <w:rsid w:val="68724A70"/>
    <w:rsid w:val="687C10C9"/>
    <w:rsid w:val="68840C16"/>
    <w:rsid w:val="68876EFB"/>
    <w:rsid w:val="68884654"/>
    <w:rsid w:val="689279BC"/>
    <w:rsid w:val="689F444F"/>
    <w:rsid w:val="68B96DBB"/>
    <w:rsid w:val="68CA2805"/>
    <w:rsid w:val="68E937A3"/>
    <w:rsid w:val="693E15D3"/>
    <w:rsid w:val="69627681"/>
    <w:rsid w:val="6977531D"/>
    <w:rsid w:val="69CC2BFF"/>
    <w:rsid w:val="69D432F4"/>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30054"/>
    <w:rsid w:val="6C9D744C"/>
    <w:rsid w:val="6D167928"/>
    <w:rsid w:val="6D26299B"/>
    <w:rsid w:val="6D4772EC"/>
    <w:rsid w:val="6D4F56B2"/>
    <w:rsid w:val="6D9078AF"/>
    <w:rsid w:val="6DAA3FEF"/>
    <w:rsid w:val="6DC0172B"/>
    <w:rsid w:val="6DCB690C"/>
    <w:rsid w:val="6DD41A5B"/>
    <w:rsid w:val="6DF43C2E"/>
    <w:rsid w:val="6DF51CA3"/>
    <w:rsid w:val="6E8335BD"/>
    <w:rsid w:val="6E8E12EF"/>
    <w:rsid w:val="6E972936"/>
    <w:rsid w:val="6ED446C5"/>
    <w:rsid w:val="6F2A7D94"/>
    <w:rsid w:val="6F8331F1"/>
    <w:rsid w:val="6FA60AC4"/>
    <w:rsid w:val="6FAE1A09"/>
    <w:rsid w:val="6FD75BF8"/>
    <w:rsid w:val="707723D0"/>
    <w:rsid w:val="70F5661B"/>
    <w:rsid w:val="71360107"/>
    <w:rsid w:val="713B688E"/>
    <w:rsid w:val="71590AAF"/>
    <w:rsid w:val="71D43752"/>
    <w:rsid w:val="71F1796A"/>
    <w:rsid w:val="72154626"/>
    <w:rsid w:val="72262B5D"/>
    <w:rsid w:val="72283FF7"/>
    <w:rsid w:val="722E7212"/>
    <w:rsid w:val="723A0474"/>
    <w:rsid w:val="725923E4"/>
    <w:rsid w:val="72864BF7"/>
    <w:rsid w:val="729023FC"/>
    <w:rsid w:val="72E128E9"/>
    <w:rsid w:val="72FD17B8"/>
    <w:rsid w:val="73C0646E"/>
    <w:rsid w:val="742222F5"/>
    <w:rsid w:val="74476126"/>
    <w:rsid w:val="74706664"/>
    <w:rsid w:val="747F3682"/>
    <w:rsid w:val="749C4185"/>
    <w:rsid w:val="75067759"/>
    <w:rsid w:val="752E6DCD"/>
    <w:rsid w:val="7551380D"/>
    <w:rsid w:val="75600BE5"/>
    <w:rsid w:val="7564475C"/>
    <w:rsid w:val="7583797F"/>
    <w:rsid w:val="75B75930"/>
    <w:rsid w:val="75D20F1D"/>
    <w:rsid w:val="75DA2C18"/>
    <w:rsid w:val="75F54412"/>
    <w:rsid w:val="761D08E0"/>
    <w:rsid w:val="765D347C"/>
    <w:rsid w:val="76826699"/>
    <w:rsid w:val="76C87133"/>
    <w:rsid w:val="76CD08D5"/>
    <w:rsid w:val="76DB4B92"/>
    <w:rsid w:val="77052AA4"/>
    <w:rsid w:val="77136511"/>
    <w:rsid w:val="77340A39"/>
    <w:rsid w:val="77351FD0"/>
    <w:rsid w:val="773923B0"/>
    <w:rsid w:val="77472422"/>
    <w:rsid w:val="777F31F2"/>
    <w:rsid w:val="77D1700D"/>
    <w:rsid w:val="77EC04CC"/>
    <w:rsid w:val="782C1324"/>
    <w:rsid w:val="78772329"/>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72953"/>
    <w:rsid w:val="7AAB1D04"/>
    <w:rsid w:val="7ABA4368"/>
    <w:rsid w:val="7AD05746"/>
    <w:rsid w:val="7B257FFD"/>
    <w:rsid w:val="7B343476"/>
    <w:rsid w:val="7B5A2978"/>
    <w:rsid w:val="7B5A7E4C"/>
    <w:rsid w:val="7B667AF9"/>
    <w:rsid w:val="7B7468F8"/>
    <w:rsid w:val="7BEE0103"/>
    <w:rsid w:val="7C0A0FE4"/>
    <w:rsid w:val="7C254906"/>
    <w:rsid w:val="7C52141F"/>
    <w:rsid w:val="7C590818"/>
    <w:rsid w:val="7C7C10F6"/>
    <w:rsid w:val="7C853BEA"/>
    <w:rsid w:val="7C881368"/>
    <w:rsid w:val="7CE27788"/>
    <w:rsid w:val="7D0C32F1"/>
    <w:rsid w:val="7D0F408D"/>
    <w:rsid w:val="7D491C6C"/>
    <w:rsid w:val="7D5429C0"/>
    <w:rsid w:val="7D6E6D43"/>
    <w:rsid w:val="7D7A15C7"/>
    <w:rsid w:val="7DA9285D"/>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6">
    <w:name w:val="Normal Indent"/>
    <w:basedOn w:val="1"/>
    <w:next w:val="7"/>
    <w:link w:val="193"/>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link w:val="264"/>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2"/>
    <w:basedOn w:val="7"/>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qFormat/>
    <w:uiPriority w:val="0"/>
    <w:pPr>
      <w:spacing w:line="360" w:lineRule="auto"/>
      <w:ind w:firstLine="480" w:firstLineChars="200"/>
    </w:pPr>
    <w:rPr>
      <w:rFonts w:ascii="宋体"/>
      <w:sz w:val="24"/>
      <w:szCs w:val="20"/>
    </w:rPr>
  </w:style>
  <w:style w:type="paragraph" w:customStyle="1" w:styleId="81">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1"/>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0"/>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1"/>
    <w:next w:val="81"/>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1"/>
    <w:next w:val="81"/>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WPSOffice手动目录 1"/>
    <w:qFormat/>
    <w:uiPriority w:val="0"/>
    <w:rPr>
      <w:rFonts w:ascii="Times New Roman" w:hAnsi="Times New Roman" w:eastAsia="宋体" w:cs="Times New Roman"/>
      <w:lang w:val="en-US" w:eastAsia="zh-CN" w:bidi="ar-SA"/>
    </w:rPr>
  </w:style>
  <w:style w:type="character" w:customStyle="1" w:styleId="962">
    <w:name w:val="mark"/>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33963</Words>
  <Characters>36187</Characters>
  <Lines>322</Lines>
  <Paragraphs>90</Paragraphs>
  <TotalTime>0</TotalTime>
  <ScaleCrop>false</ScaleCrop>
  <LinksUpToDate>false</LinksUpToDate>
  <CharactersWithSpaces>42056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JaneChen1995</cp:lastModifiedBy>
  <cp:lastPrinted>2021-12-27T03:06:00Z</cp:lastPrinted>
  <dcterms:modified xsi:type="dcterms:W3CDTF">2022-11-21T05:49:17Z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9D6E8FEFDF044567A9721089AE323719</vt:lpwstr>
  </property>
</Properties>
</file>