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87A84">
      <w:pPr>
        <w:pStyle w:val="2"/>
        <w:jc w:val="center"/>
        <w:rPr>
          <w:rFonts w:hint="eastAsia" w:hAnsi="宋体" w:cs="宋体"/>
          <w:b/>
          <w:color w:val="auto"/>
          <w:kern w:val="2"/>
          <w:sz w:val="52"/>
          <w:szCs w:val="52"/>
          <w:highlight w:val="none"/>
          <w:lang w:val="en-US" w:eastAsia="zh-CN" w:bidi="ar-SA"/>
        </w:rPr>
      </w:pPr>
      <w:r>
        <w:rPr>
          <w:rFonts w:hint="eastAsia" w:hAnsi="宋体" w:cs="宋体"/>
          <w:b/>
          <w:color w:val="auto"/>
          <w:kern w:val="2"/>
          <w:sz w:val="52"/>
          <w:szCs w:val="52"/>
          <w:highlight w:val="none"/>
          <w:lang w:val="en-US" w:eastAsia="zh-CN" w:bidi="ar-SA"/>
        </w:rPr>
        <w:t>智造新城建设项目环评技术评估</w:t>
      </w:r>
    </w:p>
    <w:p w14:paraId="7D1F8B53">
      <w:pPr>
        <w:pStyle w:val="5"/>
        <w:rPr>
          <w:rFonts w:hint="eastAsia"/>
          <w:color w:val="auto"/>
          <w:highlight w:val="none"/>
          <w:lang w:val="en-US" w:eastAsia="zh-CN"/>
        </w:rPr>
      </w:pPr>
    </w:p>
    <w:p w14:paraId="171A2A18">
      <w:pPr>
        <w:pStyle w:val="5"/>
        <w:rPr>
          <w:rFonts w:hint="eastAsia"/>
          <w:color w:val="auto"/>
          <w:sz w:val="48"/>
          <w:szCs w:val="48"/>
          <w:highlight w:val="none"/>
        </w:rPr>
      </w:pPr>
    </w:p>
    <w:p w14:paraId="38B6AF13">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color w:val="auto"/>
          <w:sz w:val="48"/>
          <w:szCs w:val="48"/>
          <w:highlight w:val="none"/>
        </w:rPr>
      </w:pPr>
      <w:r>
        <w:rPr>
          <w:rFonts w:hint="eastAsia" w:ascii="宋体" w:hAnsi="宋体" w:eastAsia="宋体" w:cs="宋体"/>
          <w:b/>
          <w:color w:val="auto"/>
          <w:sz w:val="48"/>
          <w:szCs w:val="48"/>
          <w:highlight w:val="none"/>
        </w:rPr>
        <w:t>公开招标采购文件</w:t>
      </w:r>
    </w:p>
    <w:p w14:paraId="591A3C73">
      <w:pPr>
        <w:pStyle w:val="88"/>
        <w:kinsoku/>
        <w:overflowPunct/>
        <w:bidi w:val="0"/>
        <w:spacing w:after="0" w:line="360" w:lineRule="auto"/>
        <w:rPr>
          <w:rFonts w:hint="eastAsia" w:ascii="宋体" w:hAnsi="宋体" w:eastAsia="宋体" w:cs="宋体"/>
          <w:color w:val="auto"/>
          <w:highlight w:val="none"/>
        </w:rPr>
      </w:pPr>
    </w:p>
    <w:p w14:paraId="17900219">
      <w:pPr>
        <w:kinsoku/>
        <w:overflowPunct/>
        <w:bidi w:val="0"/>
        <w:spacing w:beforeLines="10" w:line="360" w:lineRule="auto"/>
        <w:ind w:firstLine="361" w:firstLineChars="100"/>
        <w:jc w:val="left"/>
        <w:rPr>
          <w:rFonts w:hint="eastAsia" w:ascii="宋体" w:hAnsi="宋体" w:eastAsia="宋体" w:cs="宋体"/>
          <w:b/>
          <w:color w:val="auto"/>
          <w:sz w:val="36"/>
          <w:highlight w:val="none"/>
        </w:rPr>
      </w:pPr>
    </w:p>
    <w:p w14:paraId="2EDC93FF">
      <w:pPr>
        <w:kinsoku/>
        <w:overflowPunct/>
        <w:bidi w:val="0"/>
        <w:spacing w:beforeLines="10" w:line="360" w:lineRule="auto"/>
        <w:ind w:firstLine="723" w:firstLineChars="200"/>
        <w:jc w:val="left"/>
        <w:rPr>
          <w:rFonts w:hint="eastAsia" w:ascii="宋体" w:hAnsi="宋体" w:eastAsia="宋体" w:cs="宋体"/>
          <w:b/>
          <w:color w:val="auto"/>
          <w:sz w:val="36"/>
          <w:highlight w:val="none"/>
        </w:rPr>
      </w:pPr>
    </w:p>
    <w:p w14:paraId="0A7DA86B">
      <w:pPr>
        <w:kinsoku/>
        <w:overflowPunct/>
        <w:bidi w:val="0"/>
        <w:spacing w:beforeLines="10" w:line="360" w:lineRule="auto"/>
        <w:ind w:firstLine="723" w:firstLineChars="200"/>
        <w:jc w:val="left"/>
        <w:rPr>
          <w:rFonts w:hint="eastAsia" w:ascii="宋体" w:hAnsi="宋体" w:eastAsia="宋体" w:cs="宋体"/>
          <w:b/>
          <w:color w:val="auto"/>
          <w:sz w:val="36"/>
          <w:highlight w:val="none"/>
          <w:u w:val="single"/>
          <w:lang w:eastAsia="zh-CN"/>
        </w:rPr>
      </w:pPr>
      <w:r>
        <w:rPr>
          <w:rFonts w:hint="eastAsia" w:ascii="宋体" w:hAnsi="宋体" w:eastAsia="宋体" w:cs="宋体"/>
          <w:b/>
          <w:color w:val="auto"/>
          <w:sz w:val="36"/>
          <w:highlight w:val="none"/>
        </w:rPr>
        <w:t>项目名称：</w:t>
      </w:r>
      <w:r>
        <w:rPr>
          <w:rFonts w:hint="eastAsia" w:ascii="宋体" w:hAnsi="宋体" w:cs="宋体"/>
          <w:b/>
          <w:color w:val="auto"/>
          <w:sz w:val="36"/>
          <w:highlight w:val="none"/>
          <w:u w:val="single"/>
          <w:lang w:eastAsia="zh-CN"/>
        </w:rPr>
        <w:t>智造新城建设项目环评技术评估</w:t>
      </w:r>
    </w:p>
    <w:p w14:paraId="7651CDC8">
      <w:pPr>
        <w:widowControl/>
        <w:kinsoku/>
        <w:overflowPunct/>
        <w:bidi w:val="0"/>
        <w:spacing w:line="360" w:lineRule="auto"/>
        <w:ind w:left="0" w:leftChars="0" w:right="-2" w:firstLine="1402" w:firstLineChars="388"/>
        <w:jc w:val="center"/>
        <w:rPr>
          <w:rFonts w:hint="eastAsia" w:ascii="宋体" w:hAnsi="宋体" w:eastAsia="宋体" w:cs="宋体"/>
          <w:b/>
          <w:color w:val="auto"/>
          <w:highlight w:val="none"/>
        </w:rPr>
      </w:pPr>
      <w:r>
        <w:rPr>
          <w:rFonts w:hint="eastAsia" w:ascii="宋体" w:hAnsi="宋体" w:eastAsia="宋体" w:cs="宋体"/>
          <w:b/>
          <w:color w:val="auto"/>
          <w:sz w:val="36"/>
          <w:highlight w:val="none"/>
        </w:rPr>
        <w:t>（线上电子招投标）</w:t>
      </w:r>
    </w:p>
    <w:p w14:paraId="160E1198">
      <w:pPr>
        <w:pStyle w:val="8"/>
        <w:kinsoku/>
        <w:overflowPunct/>
        <w:bidi w:val="0"/>
        <w:spacing w:line="360" w:lineRule="auto"/>
        <w:ind w:left="0" w:leftChars="0" w:firstLine="818" w:firstLineChars="388"/>
        <w:rPr>
          <w:rFonts w:hint="eastAsia" w:ascii="宋体" w:hAnsi="宋体" w:eastAsia="宋体" w:cs="宋体"/>
          <w:color w:val="auto"/>
          <w:highlight w:val="none"/>
        </w:rPr>
      </w:pPr>
    </w:p>
    <w:p w14:paraId="6F19C873">
      <w:pPr>
        <w:kinsoku/>
        <w:overflowPunct/>
        <w:autoSpaceDE w:val="0"/>
        <w:autoSpaceDN w:val="0"/>
        <w:bidi w:val="0"/>
        <w:adjustRightInd w:val="0"/>
        <w:snapToGrid w:val="0"/>
        <w:spacing w:beforeLines="10" w:line="360" w:lineRule="auto"/>
        <w:ind w:left="0" w:leftChars="0" w:firstLine="1091" w:firstLineChars="388"/>
        <w:jc w:val="center"/>
        <w:textAlignment w:val="bottom"/>
        <w:rPr>
          <w:rFonts w:hint="eastAsia" w:ascii="宋体" w:hAnsi="宋体" w:eastAsia="宋体" w:cs="宋体"/>
          <w:b/>
          <w:color w:val="auto"/>
          <w:highlight w:val="none"/>
        </w:rPr>
      </w:pPr>
    </w:p>
    <w:p w14:paraId="3131968B">
      <w:pPr>
        <w:pStyle w:val="88"/>
        <w:kinsoku/>
        <w:overflowPunct/>
        <w:bidi w:val="0"/>
        <w:spacing w:after="0" w:line="360" w:lineRule="auto"/>
        <w:ind w:left="0" w:leftChars="0" w:firstLine="814" w:firstLineChars="388"/>
        <w:rPr>
          <w:rFonts w:hint="eastAsia" w:ascii="宋体" w:hAnsi="宋体" w:eastAsia="宋体" w:cs="宋体"/>
          <w:color w:val="auto"/>
          <w:highlight w:val="none"/>
        </w:rPr>
      </w:pPr>
    </w:p>
    <w:p w14:paraId="13B04FC8">
      <w:pPr>
        <w:pStyle w:val="87"/>
        <w:kinsoku/>
        <w:overflowPunct/>
        <w:bidi w:val="0"/>
        <w:spacing w:after="0" w:line="360" w:lineRule="auto"/>
        <w:ind w:left="0" w:leftChars="0" w:firstLine="814" w:firstLineChars="388"/>
        <w:rPr>
          <w:rFonts w:hint="eastAsia" w:ascii="宋体" w:hAnsi="宋体" w:eastAsia="宋体" w:cs="宋体"/>
          <w:color w:val="auto"/>
          <w:highlight w:val="none"/>
        </w:rPr>
      </w:pPr>
    </w:p>
    <w:p w14:paraId="2ED03D9C">
      <w:pPr>
        <w:pStyle w:val="87"/>
        <w:kinsoku/>
        <w:overflowPunct/>
        <w:bidi w:val="0"/>
        <w:spacing w:after="0" w:line="360" w:lineRule="auto"/>
        <w:ind w:left="0" w:leftChars="0" w:firstLine="814" w:firstLineChars="388"/>
        <w:rPr>
          <w:rFonts w:hint="eastAsia" w:ascii="宋体" w:hAnsi="宋体" w:eastAsia="宋体" w:cs="宋体"/>
          <w:color w:val="auto"/>
          <w:highlight w:val="none"/>
        </w:rPr>
      </w:pPr>
    </w:p>
    <w:p w14:paraId="6249686A">
      <w:pPr>
        <w:kinsoku/>
        <w:overflowPunct/>
        <w:autoSpaceDE w:val="0"/>
        <w:autoSpaceDN w:val="0"/>
        <w:bidi w:val="0"/>
        <w:adjustRightInd w:val="0"/>
        <w:snapToGrid w:val="0"/>
        <w:spacing w:beforeLines="10" w:line="360" w:lineRule="auto"/>
        <w:ind w:left="0" w:leftChars="0" w:firstLine="1091" w:firstLineChars="388"/>
        <w:jc w:val="center"/>
        <w:textAlignment w:val="bottom"/>
        <w:rPr>
          <w:rFonts w:hint="eastAsia" w:ascii="宋体" w:hAnsi="宋体" w:eastAsia="宋体" w:cs="宋体"/>
          <w:b/>
          <w:color w:val="auto"/>
          <w:highlight w:val="none"/>
        </w:rPr>
      </w:pPr>
    </w:p>
    <w:p w14:paraId="0AEE26A4">
      <w:pPr>
        <w:kinsoku/>
        <w:overflowPunct/>
        <w:autoSpaceDE w:val="0"/>
        <w:autoSpaceDN w:val="0"/>
        <w:bidi w:val="0"/>
        <w:adjustRightInd w:val="0"/>
        <w:snapToGrid w:val="0"/>
        <w:spacing w:line="360" w:lineRule="auto"/>
        <w:ind w:left="0" w:leftChars="0" w:firstLine="1124" w:firstLineChars="311"/>
        <w:textAlignment w:val="bottom"/>
        <w:rPr>
          <w:rFonts w:hint="eastAsia" w:ascii="宋体" w:hAnsi="宋体" w:eastAsia="宋体" w:cs="宋体"/>
          <w:b/>
          <w:color w:val="auto"/>
          <w:sz w:val="36"/>
          <w:highlight w:val="none"/>
        </w:rPr>
      </w:pPr>
    </w:p>
    <w:p w14:paraId="64A14D80">
      <w:pPr>
        <w:kinsoku/>
        <w:overflowPunct/>
        <w:autoSpaceDE w:val="0"/>
        <w:autoSpaceDN w:val="0"/>
        <w:bidi w:val="0"/>
        <w:adjustRightInd w:val="0"/>
        <w:snapToGrid w:val="0"/>
        <w:spacing w:line="360" w:lineRule="auto"/>
        <w:ind w:left="0" w:leftChars="0" w:firstLine="1124" w:firstLineChars="311"/>
        <w:textAlignment w:val="bottom"/>
        <w:rPr>
          <w:rFonts w:hint="eastAsia" w:ascii="宋体" w:hAnsi="宋体" w:eastAsia="宋体" w:cs="宋体"/>
          <w:b/>
          <w:color w:val="auto"/>
          <w:sz w:val="36"/>
          <w:highlight w:val="none"/>
        </w:rPr>
      </w:pPr>
    </w:p>
    <w:p w14:paraId="179EE6ED">
      <w:pPr>
        <w:kinsoku/>
        <w:overflowPunct/>
        <w:autoSpaceDE w:val="0"/>
        <w:autoSpaceDN w:val="0"/>
        <w:bidi w:val="0"/>
        <w:adjustRightInd w:val="0"/>
        <w:snapToGrid w:val="0"/>
        <w:spacing w:line="360" w:lineRule="auto"/>
        <w:ind w:left="0" w:leftChars="0" w:firstLine="1124" w:firstLineChars="311"/>
        <w:textAlignment w:val="bottom"/>
        <w:rPr>
          <w:rFonts w:hint="eastAsia" w:ascii="宋体" w:hAnsi="宋体" w:eastAsia="宋体" w:cs="宋体"/>
          <w:b/>
          <w:color w:val="auto"/>
          <w:sz w:val="36"/>
          <w:highlight w:val="none"/>
          <w:lang w:val="en-US" w:eastAsia="zh-CN"/>
        </w:rPr>
      </w:pPr>
      <w:r>
        <w:rPr>
          <w:rFonts w:hint="eastAsia" w:ascii="宋体" w:hAnsi="宋体" w:eastAsia="宋体" w:cs="宋体"/>
          <w:b/>
          <w:color w:val="auto"/>
          <w:sz w:val="36"/>
          <w:highlight w:val="none"/>
          <w:lang w:val="en-US" w:eastAsia="zh-CN"/>
        </w:rPr>
        <w:t>项目编号：ZZCG-2025-027</w:t>
      </w:r>
    </w:p>
    <w:p w14:paraId="6804CBF7">
      <w:pPr>
        <w:kinsoku/>
        <w:overflowPunct/>
        <w:autoSpaceDE w:val="0"/>
        <w:autoSpaceDN w:val="0"/>
        <w:bidi w:val="0"/>
        <w:adjustRightInd w:val="0"/>
        <w:snapToGrid w:val="0"/>
        <w:spacing w:line="360" w:lineRule="auto"/>
        <w:ind w:left="0" w:leftChars="0" w:firstLine="1124" w:firstLineChars="311"/>
        <w:textAlignment w:val="bottom"/>
        <w:rPr>
          <w:rFonts w:hint="eastAsia" w:ascii="宋体" w:hAnsi="宋体" w:eastAsia="宋体" w:cs="宋体"/>
          <w:b w:val="0"/>
          <w:bCs/>
          <w:color w:val="auto"/>
          <w:sz w:val="36"/>
          <w:highlight w:val="none"/>
          <w:lang w:eastAsia="zh-CN"/>
        </w:rPr>
      </w:pPr>
      <w:r>
        <w:rPr>
          <w:rFonts w:hint="eastAsia" w:ascii="宋体" w:hAnsi="宋体" w:eastAsia="宋体" w:cs="宋体"/>
          <w:b/>
          <w:color w:val="auto"/>
          <w:sz w:val="36"/>
          <w:highlight w:val="none"/>
        </w:rPr>
        <w:t>招   标   人：</w:t>
      </w:r>
      <w:r>
        <w:rPr>
          <w:rFonts w:hint="eastAsia" w:ascii="宋体" w:hAnsi="宋体" w:cs="宋体"/>
          <w:b/>
          <w:color w:val="auto"/>
          <w:sz w:val="36"/>
          <w:highlight w:val="none"/>
          <w:lang w:eastAsia="zh-CN"/>
        </w:rPr>
        <w:t>衢州智造新城管理委员会</w:t>
      </w:r>
    </w:p>
    <w:p w14:paraId="2C0B6FBF">
      <w:pPr>
        <w:kinsoku/>
        <w:overflowPunct/>
        <w:autoSpaceDE w:val="0"/>
        <w:autoSpaceDN w:val="0"/>
        <w:bidi w:val="0"/>
        <w:adjustRightInd w:val="0"/>
        <w:snapToGrid w:val="0"/>
        <w:spacing w:line="360" w:lineRule="auto"/>
        <w:ind w:left="0" w:leftChars="0" w:firstLine="1124" w:firstLineChars="311"/>
        <w:textAlignment w:val="bottom"/>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rPr>
        <w:t>招标代理机构：</w:t>
      </w:r>
      <w:r>
        <w:rPr>
          <w:rFonts w:hint="eastAsia" w:ascii="宋体" w:hAnsi="宋体" w:cs="宋体"/>
          <w:b/>
          <w:color w:val="auto"/>
          <w:sz w:val="36"/>
          <w:highlight w:val="none"/>
          <w:lang w:eastAsia="zh-CN"/>
        </w:rPr>
        <w:t>浙江中际工程项目管理有限公司</w:t>
      </w:r>
    </w:p>
    <w:p w14:paraId="18009258">
      <w:pPr>
        <w:pStyle w:val="4"/>
        <w:kinsoku/>
        <w:overflowPunct/>
        <w:bidi w:val="0"/>
        <w:spacing w:beforeLines="10" w:line="360" w:lineRule="auto"/>
        <w:ind w:firstLine="361" w:firstLineChars="100"/>
        <w:jc w:val="center"/>
        <w:rPr>
          <w:rFonts w:hint="eastAsia" w:ascii="宋体" w:hAnsi="宋体" w:eastAsia="宋体" w:cs="宋体"/>
          <w:color w:val="auto"/>
          <w:sz w:val="36"/>
          <w:highlight w:val="none"/>
        </w:rPr>
        <w:sectPr>
          <w:headerReference r:id="rId4" w:type="first"/>
          <w:footerReference r:id="rId7" w:type="first"/>
          <w:headerReference r:id="rId3" w:type="default"/>
          <w:footerReference r:id="rId5" w:type="default"/>
          <w:footerReference r:id="rId6" w:type="even"/>
          <w:pgSz w:w="11906" w:h="16838"/>
          <w:pgMar w:top="1440" w:right="1134" w:bottom="1440" w:left="1134" w:header="851" w:footer="850" w:gutter="0"/>
          <w:pgBorders>
            <w:top w:val="none" w:sz="0" w:space="0"/>
            <w:left w:val="none" w:sz="0" w:space="0"/>
            <w:bottom w:val="none" w:sz="0" w:space="0"/>
            <w:right w:val="none" w:sz="0" w:space="0"/>
          </w:pgBorders>
          <w:pgNumType w:fmt="decimal" w:start="0"/>
          <w:cols w:space="0" w:num="1"/>
          <w:rtlGutter w:val="0"/>
          <w:docGrid w:linePitch="381" w:charSpace="0"/>
        </w:sectPr>
      </w:pPr>
      <w:r>
        <w:rPr>
          <w:rFonts w:hint="eastAsia" w:ascii="宋体" w:hAnsi="宋体" w:eastAsia="宋体" w:cs="宋体"/>
          <w:color w:val="auto"/>
          <w:sz w:val="36"/>
          <w:highlight w:val="none"/>
        </w:rPr>
        <w:t>日期：</w:t>
      </w:r>
      <w:r>
        <w:rPr>
          <w:rFonts w:hint="eastAsia" w:ascii="宋体" w:hAnsi="宋体" w:eastAsia="宋体" w:cs="宋体"/>
          <w:color w:val="auto"/>
          <w:sz w:val="36"/>
          <w:highlight w:val="none"/>
          <w:lang w:eastAsia="zh-CN"/>
        </w:rPr>
        <w:t>202</w:t>
      </w:r>
      <w:r>
        <w:rPr>
          <w:rFonts w:hint="eastAsia" w:ascii="宋体" w:hAnsi="宋体" w:eastAsia="宋体" w:cs="宋体"/>
          <w:color w:val="auto"/>
          <w:sz w:val="36"/>
          <w:highlight w:val="none"/>
          <w:lang w:val="en-US" w:eastAsia="zh-CN"/>
        </w:rPr>
        <w:t>5</w:t>
      </w:r>
      <w:r>
        <w:rPr>
          <w:rFonts w:hint="eastAsia" w:ascii="宋体" w:hAnsi="宋体" w:eastAsia="宋体" w:cs="宋体"/>
          <w:color w:val="auto"/>
          <w:sz w:val="36"/>
          <w:highlight w:val="none"/>
        </w:rPr>
        <w:t>年</w:t>
      </w:r>
      <w:r>
        <w:rPr>
          <w:rFonts w:hint="eastAsia" w:ascii="宋体" w:hAnsi="宋体" w:eastAsia="宋体" w:cs="宋体"/>
          <w:color w:val="auto"/>
          <w:sz w:val="36"/>
          <w:highlight w:val="none"/>
          <w:lang w:val="en-US" w:eastAsia="zh-CN"/>
        </w:rPr>
        <w:t>7</w:t>
      </w:r>
      <w:r>
        <w:rPr>
          <w:rFonts w:hint="eastAsia" w:ascii="宋体" w:hAnsi="宋体" w:eastAsia="宋体" w:cs="宋体"/>
          <w:color w:val="auto"/>
          <w:sz w:val="36"/>
          <w:highlight w:val="none"/>
        </w:rPr>
        <w:t>月</w:t>
      </w:r>
    </w:p>
    <w:p w14:paraId="213A168E">
      <w:pPr>
        <w:pStyle w:val="4"/>
        <w:kinsoku/>
        <w:overflowPunct/>
        <w:bidi w:val="0"/>
        <w:spacing w:beforeLines="10" w:line="360" w:lineRule="auto"/>
        <w:ind w:firstLine="361" w:firstLineChars="100"/>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14:paraId="72C202A0">
      <w:pPr>
        <w:kinsoku/>
        <w:overflowPunct/>
        <w:bidi w:val="0"/>
        <w:spacing w:line="360" w:lineRule="auto"/>
        <w:rPr>
          <w:rFonts w:hint="eastAsia" w:ascii="宋体" w:hAnsi="宋体" w:eastAsia="宋体" w:cs="宋体"/>
          <w:color w:val="auto"/>
          <w:highlight w:val="none"/>
        </w:rPr>
      </w:pPr>
    </w:p>
    <w:p w14:paraId="3B9A4BB2">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TOC \o "1-2" \h \z \u</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2D5E30C">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第二部分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fldChar w:fldCharType="end"/>
      </w:r>
    </w:p>
    <w:p w14:paraId="093DB612">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第三部分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18C51050">
      <w:pPr>
        <w:pStyle w:val="60"/>
        <w:tabs>
          <w:tab w:val="right" w:leader="dot" w:pos="9026"/>
          <w:tab w:val="clear" w:pos="8364"/>
        </w:tabs>
        <w:kinsoku/>
        <w:overflowPunct/>
        <w:bidi w:val="0"/>
        <w:spacing w:after="0" w:line="360" w:lineRule="auto"/>
        <w:rPr>
          <w:rFonts w:hint="default" w:ascii="宋体" w:hAnsi="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第四部分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47</w:t>
      </w:r>
    </w:p>
    <w:p w14:paraId="0C59BB95">
      <w:pPr>
        <w:pStyle w:val="60"/>
        <w:tabs>
          <w:tab w:val="right" w:leader="dot" w:pos="9026"/>
          <w:tab w:val="clear" w:pos="8364"/>
        </w:tabs>
        <w:kinsoku/>
        <w:overflowPunct/>
        <w:bidi w:val="0"/>
        <w:spacing w:after="0" w:line="360" w:lineRule="auto"/>
        <w:rPr>
          <w:rFonts w:hint="default" w:ascii="宋体" w:hAnsi="宋体" w:eastAsia="宋体" w:cs="宋体"/>
          <w:color w:val="auto"/>
          <w:szCs w:val="24"/>
          <w:highlight w:val="none"/>
          <w:lang w:val="en-US" w:eastAsia="zh-CN"/>
        </w:rPr>
      </w:pP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投标文件部分格式文件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54</w:t>
      </w:r>
    </w:p>
    <w:p w14:paraId="6A52191B">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"_Toc15453"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第六部分  评分办法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14:paraId="6BC621AA">
      <w:pPr>
        <w:kinsoku/>
        <w:overflowPunct/>
        <w:bidi w:val="0"/>
        <w:spacing w:line="360" w:lineRule="auto"/>
        <w:rPr>
          <w:rFonts w:hint="eastAsia" w:ascii="宋体" w:hAnsi="宋体" w:eastAsia="宋体" w:cs="宋体"/>
          <w:color w:val="auto"/>
          <w:sz w:val="24"/>
          <w:szCs w:val="24"/>
          <w:highlight w:val="none"/>
        </w:rPr>
      </w:pPr>
    </w:p>
    <w:p w14:paraId="522A537E">
      <w:pPr>
        <w:pStyle w:val="3"/>
        <w:pageBreakBefore/>
        <w:kinsoku/>
        <w:overflowPunct/>
        <w:bidi w:val="0"/>
        <w:adjustRightInd w:val="0"/>
        <w:snapToGrid w:val="0"/>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color w:val="auto"/>
          <w:sz w:val="24"/>
          <w:szCs w:val="24"/>
          <w:highlight w:val="none"/>
        </w:rPr>
        <w:fldChar w:fldCharType="end"/>
      </w:r>
      <w:bookmarkStart w:id="0" w:name="_Toc32624"/>
      <w:r>
        <w:rPr>
          <w:rFonts w:hint="eastAsia" w:ascii="宋体" w:hAnsi="宋体" w:eastAsia="宋体" w:cs="宋体"/>
          <w:b/>
          <w:color w:val="auto"/>
          <w:sz w:val="36"/>
          <w:highlight w:val="none"/>
        </w:rPr>
        <w:t xml:space="preserve"> 第一部分  招标公告</w:t>
      </w:r>
      <w:bookmarkEnd w:id="0"/>
      <w:bookmarkStart w:id="1" w:name="_Toc225840107"/>
    </w:p>
    <w:tbl>
      <w:tblPr>
        <w:tblStyle w:val="90"/>
        <w:tblW w:w="9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5"/>
      </w:tblGrid>
      <w:tr w14:paraId="6D11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5" w:type="dxa"/>
          </w:tcPr>
          <w:p w14:paraId="5862626E">
            <w:pPr>
              <w:pStyle w:val="82"/>
              <w:keepNext w:val="0"/>
              <w:keepLines w:val="0"/>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32CBED5E">
            <w:pPr>
              <w:pStyle w:val="82"/>
              <w:keepNext w:val="0"/>
              <w:keepLines w:val="0"/>
              <w:pageBreakBefore w:val="0"/>
              <w:kinsoku/>
              <w:wordWrap/>
              <w:overflowPunct/>
              <w:topLinePunct w:val="0"/>
              <w:bidi w:val="0"/>
              <w:spacing w:before="0" w:beforeAutospacing="0" w:after="0" w:afterAutospacing="0" w:line="360" w:lineRule="auto"/>
              <w:ind w:left="0" w:leftChars="0" w:firstLine="480" w:firstLineChars="200"/>
              <w:textAlignment w:val="auto"/>
              <w:rPr>
                <w:rFonts w:hint="eastAsia" w:ascii="宋体" w:hAnsi="宋体" w:eastAsia="宋体" w:cs="宋体"/>
                <w:b/>
                <w:bCs/>
                <w:color w:val="auto"/>
                <w:sz w:val="24"/>
                <w:szCs w:val="24"/>
                <w:highlight w:val="none"/>
              </w:rPr>
            </w:pPr>
            <w:r>
              <w:rPr>
                <w:rFonts w:hint="eastAsia" w:cs="宋体"/>
                <w:color w:val="auto"/>
                <w:sz w:val="24"/>
                <w:szCs w:val="24"/>
                <w:highlight w:val="none"/>
                <w:u w:val="single"/>
                <w:lang w:eastAsia="zh-CN"/>
              </w:rPr>
              <w:t>智造新城建设项目环评技术评估</w:t>
            </w:r>
            <w:r>
              <w:rPr>
                <w:rFonts w:hint="eastAsia" w:ascii="宋体" w:hAnsi="宋体" w:eastAsia="宋体" w:cs="宋体"/>
                <w:color w:val="auto"/>
                <w:sz w:val="24"/>
                <w:szCs w:val="24"/>
                <w:highlight w:val="none"/>
              </w:rPr>
              <w:t>的潜在投标人应在政采云平台（http://zfcg.czt.zj.gov.cn）获取（下载）招标文件，并于</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28</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（北京时间）前提交（上传）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tc>
      </w:tr>
    </w:tbl>
    <w:p w14:paraId="1F3E9AD7">
      <w:pPr>
        <w:keepNext w:val="0"/>
        <w:keepLines w:val="0"/>
        <w:pageBreakBefore w:val="0"/>
        <w:numPr>
          <w:ilvl w:val="0"/>
          <w:numId w:val="2"/>
        </w:numPr>
        <w:kinsoku/>
        <w:wordWrap/>
        <w:overflowPunct/>
        <w:topLinePunct w:val="0"/>
        <w:autoSpaceDE w:val="0"/>
        <w:autoSpaceDN w:val="0"/>
        <w:bidi w:val="0"/>
        <w:adjustRightInd w:val="0"/>
        <w:spacing w:line="360" w:lineRule="auto"/>
        <w:ind w:left="0" w:leftChars="0" w:right="-23" w:firstLine="482" w:firstLineChars="200"/>
        <w:textAlignment w:val="auto"/>
        <w:rPr>
          <w:rStyle w:val="92"/>
          <w:rFonts w:hint="eastAsia" w:ascii="宋体" w:hAnsi="宋体" w:eastAsia="宋体" w:cs="宋体"/>
          <w:color w:val="auto"/>
          <w:sz w:val="24"/>
          <w:szCs w:val="24"/>
          <w:highlight w:val="none"/>
        </w:rPr>
      </w:pPr>
      <w:r>
        <w:rPr>
          <w:rStyle w:val="92"/>
          <w:rFonts w:hint="eastAsia" w:ascii="宋体" w:hAnsi="宋体" w:eastAsia="宋体" w:cs="宋体"/>
          <w:color w:val="auto"/>
          <w:sz w:val="24"/>
          <w:szCs w:val="24"/>
          <w:highlight w:val="none"/>
        </w:rPr>
        <w:t>项目基本情况</w:t>
      </w:r>
    </w:p>
    <w:p w14:paraId="2D91CB1C">
      <w:pPr>
        <w:pStyle w:val="88"/>
        <w:keepNext w:val="0"/>
        <w:keepLines w:val="0"/>
        <w:pageBreakBefore w:val="0"/>
        <w:numPr>
          <w:ilvl w:val="0"/>
          <w:numId w:val="0"/>
        </w:numPr>
        <w:kinsoku/>
        <w:wordWrap/>
        <w:overflowPunct/>
        <w:topLinePunct w:val="0"/>
        <w:autoSpaceDE/>
        <w:autoSpaceDN/>
        <w:bidi w:val="0"/>
        <w:adjustRightInd/>
        <w:spacing w:after="0" w:line="360" w:lineRule="auto"/>
        <w:ind w:left="0" w:leftChars="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项目编号：ZZCG-2025-027</w:t>
      </w:r>
    </w:p>
    <w:p w14:paraId="12A701CC">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single"/>
          <w:lang w:eastAsia="zh-CN"/>
        </w:rPr>
        <w:t>智造新城建设项目环评技术评估</w:t>
      </w:r>
    </w:p>
    <w:p w14:paraId="69E9C6B2">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850000</w:t>
      </w:r>
    </w:p>
    <w:p w14:paraId="622CFDAA">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850000</w:t>
      </w:r>
    </w:p>
    <w:p w14:paraId="5EE611DA">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u w:val="single"/>
          <w:lang w:eastAsia="zh-CN"/>
        </w:rPr>
        <w:t>智造新城建设项目环评技术评估</w:t>
      </w:r>
    </w:p>
    <w:p w14:paraId="6A4CEA9C">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 1</w:t>
      </w:r>
    </w:p>
    <w:p w14:paraId="757B11FD">
      <w:pPr>
        <w:snapToGrid w:val="0"/>
        <w:spacing w:line="360" w:lineRule="auto"/>
        <w:ind w:firstLine="480" w:firstLineChars="200"/>
        <w:jc w:val="left"/>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850000</w:t>
      </w:r>
    </w:p>
    <w:p w14:paraId="6E97BF34">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简要规格描述或项目基本概况介绍、用途：主要针对</w:t>
      </w:r>
      <w:r>
        <w:rPr>
          <w:rFonts w:hint="eastAsia" w:ascii="宋体" w:hAnsi="宋体" w:cs="宋体"/>
          <w:color w:val="auto"/>
          <w:sz w:val="24"/>
          <w:szCs w:val="24"/>
          <w:highlight w:val="none"/>
          <w:u w:val="single"/>
          <w:lang w:eastAsia="zh-CN"/>
        </w:rPr>
        <w:t>智造新城建设项目环评技术评估</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具体详见第三部分采购需求</w:t>
      </w:r>
      <w:r>
        <w:rPr>
          <w:rFonts w:hint="eastAsia" w:ascii="宋体" w:hAnsi="宋体" w:eastAsia="宋体" w:cs="宋体"/>
          <w:color w:val="auto"/>
          <w:sz w:val="24"/>
          <w:szCs w:val="24"/>
          <w:highlight w:val="none"/>
          <w:lang w:eastAsia="zh-CN"/>
        </w:rPr>
        <w:t>。</w:t>
      </w:r>
    </w:p>
    <w:p w14:paraId="7627EA6F">
      <w:pPr>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合同履约期</w:t>
      </w:r>
      <w:r>
        <w:rPr>
          <w:rFonts w:hint="eastAsia" w:ascii="宋体" w:hAnsi="宋体" w:eastAsia="宋体" w:cs="宋体"/>
          <w:color w:val="auto"/>
          <w:sz w:val="24"/>
          <w:szCs w:val="24"/>
          <w:highlight w:val="none"/>
          <w:lang w:eastAsia="zh-CN"/>
        </w:rPr>
        <w:t>限：</w:t>
      </w:r>
      <w:r>
        <w:rPr>
          <w:rFonts w:hint="eastAsia" w:ascii="宋体" w:hAnsi="宋体" w:cs="宋体"/>
          <w:bCs/>
          <w:color w:val="000000" w:themeColor="text1"/>
          <w:sz w:val="24"/>
          <w:szCs w:val="24"/>
          <w:highlight w:val="none"/>
          <w:lang w:val="en-US" w:eastAsia="zh-CN"/>
          <w14:textFill>
            <w14:solidFill>
              <w14:schemeClr w14:val="tx1"/>
            </w14:solidFill>
          </w14:textFill>
        </w:rPr>
        <w:t>合同签订之日起1年。</w:t>
      </w:r>
    </w:p>
    <w:p w14:paraId="374F67F8">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本项目（否）接受联合体投标</w:t>
      </w:r>
      <w:r>
        <w:rPr>
          <w:rFonts w:hint="eastAsia" w:ascii="宋体" w:hAnsi="宋体" w:eastAsia="宋体" w:cs="宋体"/>
          <w:color w:val="auto"/>
          <w:sz w:val="24"/>
          <w:szCs w:val="24"/>
          <w:highlight w:val="none"/>
          <w:lang w:eastAsia="zh-CN"/>
        </w:rPr>
        <w:t>。</w:t>
      </w:r>
    </w:p>
    <w:p w14:paraId="128F3533">
      <w:pPr>
        <w:keepNext w:val="0"/>
        <w:keepLines w:val="0"/>
        <w:pageBreakBefore w:val="0"/>
        <w:kinsoku/>
        <w:wordWrap/>
        <w:overflowPunct/>
        <w:topLinePunct w:val="0"/>
        <w:autoSpaceDE w:val="0"/>
        <w:autoSpaceDN w:val="0"/>
        <w:bidi w:val="0"/>
        <w:adjustRightInd w:val="0"/>
        <w:spacing w:line="360" w:lineRule="auto"/>
        <w:ind w:left="0" w:leftChars="0" w:right="-23" w:firstLine="482" w:firstLineChars="200"/>
        <w:textAlignment w:val="auto"/>
        <w:rPr>
          <w:rFonts w:hint="eastAsia" w:ascii="宋体" w:hAnsi="宋体" w:eastAsia="宋体" w:cs="宋体"/>
          <w:color w:val="auto"/>
          <w:sz w:val="24"/>
          <w:szCs w:val="24"/>
          <w:highlight w:val="none"/>
        </w:rPr>
      </w:pPr>
      <w:r>
        <w:rPr>
          <w:rStyle w:val="92"/>
          <w:rFonts w:hint="eastAsia" w:ascii="宋体" w:hAnsi="宋体" w:eastAsia="宋体" w:cs="宋体"/>
          <w:color w:val="auto"/>
          <w:sz w:val="24"/>
          <w:szCs w:val="24"/>
          <w:highlight w:val="none"/>
        </w:rPr>
        <w:t>二、申请人的资格要求</w:t>
      </w:r>
    </w:p>
    <w:p w14:paraId="0C44ACD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1F3B8AE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0"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b/>
          <w:bCs/>
          <w:color w:val="auto"/>
          <w:sz w:val="24"/>
          <w:szCs w:val="24"/>
          <w:highlight w:val="none"/>
        </w:rPr>
        <w:t>本项目属于专门面向中小微企业采购的项目,</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应为中小微企业</w:t>
      </w:r>
      <w:r>
        <w:rPr>
          <w:rFonts w:hint="eastAsia" w:ascii="宋体" w:hAnsi="宋体" w:eastAsia="宋体" w:cs="宋体"/>
          <w:b/>
          <w:bCs/>
          <w:color w:val="auto"/>
          <w:sz w:val="24"/>
          <w:szCs w:val="24"/>
          <w:highlight w:val="none"/>
          <w:lang w:eastAsia="zh-CN"/>
        </w:rPr>
        <w:t>或</w:t>
      </w:r>
      <w:r>
        <w:rPr>
          <w:rFonts w:hint="eastAsia" w:ascii="宋体" w:hAnsi="宋体" w:eastAsia="宋体" w:cs="宋体"/>
          <w:b/>
          <w:bCs/>
          <w:color w:val="auto"/>
          <w:sz w:val="24"/>
          <w:szCs w:val="24"/>
          <w:highlight w:val="none"/>
        </w:rPr>
        <w:t>监狱企业</w:t>
      </w:r>
      <w:r>
        <w:rPr>
          <w:rFonts w:hint="eastAsia" w:ascii="宋体" w:hAnsi="宋体" w:eastAsia="宋体" w:cs="宋体"/>
          <w:b/>
          <w:bCs/>
          <w:color w:val="auto"/>
          <w:sz w:val="24"/>
          <w:szCs w:val="24"/>
          <w:highlight w:val="none"/>
          <w:lang w:eastAsia="zh-CN"/>
        </w:rPr>
        <w:t>或</w:t>
      </w:r>
      <w:r>
        <w:rPr>
          <w:rFonts w:hint="eastAsia" w:ascii="宋体" w:hAnsi="宋体" w:eastAsia="宋体" w:cs="宋体"/>
          <w:b/>
          <w:bCs/>
          <w:color w:val="auto"/>
          <w:sz w:val="24"/>
          <w:szCs w:val="24"/>
          <w:highlight w:val="none"/>
        </w:rPr>
        <w:t>残疾人福利性单位。</w:t>
      </w:r>
    </w:p>
    <w:p w14:paraId="45FE037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7AB202F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单位负责人为同一人或者存在直接控股、管理关系的不同投标人，不得参加同一合同项下的政府采购活动；</w:t>
      </w:r>
    </w:p>
    <w:p w14:paraId="2154EB2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）非联合体投标。</w:t>
      </w:r>
    </w:p>
    <w:p w14:paraId="63FE70C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2" w:firstLineChars="200"/>
        <w:textAlignment w:val="auto"/>
        <w:rPr>
          <w:rStyle w:val="92"/>
          <w:rFonts w:hint="eastAsia" w:ascii="宋体" w:hAnsi="宋体" w:eastAsia="宋体" w:cs="宋体"/>
          <w:color w:val="auto"/>
          <w:sz w:val="24"/>
          <w:szCs w:val="24"/>
          <w:highlight w:val="none"/>
        </w:rPr>
      </w:pPr>
      <w:r>
        <w:rPr>
          <w:rStyle w:val="92"/>
          <w:rFonts w:hint="eastAsia" w:ascii="宋体" w:hAnsi="宋体" w:eastAsia="宋体" w:cs="宋体"/>
          <w:color w:val="auto"/>
          <w:sz w:val="24"/>
          <w:szCs w:val="24"/>
          <w:highlight w:val="none"/>
        </w:rPr>
        <w:t>三、获取采购文件</w:t>
      </w:r>
    </w:p>
    <w:p w14:paraId="70FE415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时间：/至2025年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日，每天上午00:00至12:00，下午12:00至23:59（北京时间，线上获取法定节假日均可，线下获取文件法定节假日除外）</w:t>
      </w:r>
    </w:p>
    <w:p w14:paraId="175D889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地点（网址）：政采云平台（http://zfcg.czt.zj.gov.cn） </w:t>
      </w:r>
    </w:p>
    <w:p w14:paraId="5A1CDE6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 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14:paraId="1083168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售价（元）：0 </w:t>
      </w:r>
    </w:p>
    <w:p w14:paraId="6947B48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只有在“政府采购云平台”完成获取招标文件申请并下载了招标文件后才视作依法获取招标文件（法律法规所指的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获取招标文件时间以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完成获取招标文件申请后下载招标文件的时间为准）。</w:t>
      </w:r>
    </w:p>
    <w:p w14:paraId="02311A6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按上述要求获取招标文件，如未在“政采云”系统内完成相关流程，引起的投标无效责任自负。</w:t>
      </w:r>
    </w:p>
    <w:p w14:paraId="6890505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2" w:firstLineChars="200"/>
        <w:textAlignment w:val="auto"/>
        <w:rPr>
          <w:rStyle w:val="92"/>
          <w:rFonts w:hint="eastAsia" w:ascii="宋体" w:hAnsi="宋体" w:eastAsia="宋体" w:cs="宋体"/>
          <w:color w:val="auto"/>
          <w:sz w:val="24"/>
          <w:szCs w:val="24"/>
          <w:highlight w:val="none"/>
        </w:rPr>
      </w:pPr>
      <w:r>
        <w:rPr>
          <w:rStyle w:val="92"/>
          <w:rFonts w:hint="eastAsia" w:ascii="宋体" w:hAnsi="宋体" w:eastAsia="宋体" w:cs="宋体"/>
          <w:color w:val="auto"/>
          <w:sz w:val="24"/>
          <w:szCs w:val="24"/>
          <w:highlight w:val="none"/>
        </w:rPr>
        <w:t>四、提交投标文件截止时间、开标时间和地点</w:t>
      </w:r>
    </w:p>
    <w:p w14:paraId="41DCA99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提交投标文件截止时间：</w:t>
      </w:r>
      <w:r>
        <w:rPr>
          <w:rFonts w:hint="eastAsia" w:ascii="宋体" w:hAnsi="宋体" w:eastAsia="宋体" w:cs="宋体"/>
          <w:b/>
          <w:bCs/>
          <w:color w:val="auto"/>
          <w:sz w:val="24"/>
          <w:szCs w:val="24"/>
          <w:highlight w:val="none"/>
        </w:rPr>
        <w:t>2025年</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28</w:t>
      </w:r>
      <w:r>
        <w:rPr>
          <w:rFonts w:hint="eastAsia" w:ascii="宋体" w:hAnsi="宋体" w:eastAsia="宋体" w:cs="宋体"/>
          <w:b/>
          <w:bCs/>
          <w:color w:val="auto"/>
          <w:sz w:val="24"/>
          <w:szCs w:val="24"/>
          <w:highlight w:val="none"/>
        </w:rPr>
        <w:t>日</w:t>
      </w:r>
      <w:r>
        <w:rPr>
          <w:rFonts w:hint="eastAsia" w:ascii="宋体" w:hAnsi="宋体" w:cs="宋体"/>
          <w:b/>
          <w:bCs/>
          <w:color w:val="auto"/>
          <w:sz w:val="24"/>
          <w:szCs w:val="24"/>
          <w:highlight w:val="none"/>
          <w:lang w:val="en-US" w:eastAsia="zh-CN"/>
        </w:rPr>
        <w:t>09</w:t>
      </w:r>
      <w:r>
        <w:rPr>
          <w:rFonts w:hint="eastAsia" w:ascii="宋体" w:hAnsi="宋体" w:eastAsia="宋体" w:cs="宋体"/>
          <w:b/>
          <w:bCs/>
          <w:color w:val="auto"/>
          <w:sz w:val="24"/>
          <w:szCs w:val="24"/>
          <w:highlight w:val="none"/>
        </w:rPr>
        <w:t>:30（北京时间）</w:t>
      </w:r>
      <w:r>
        <w:rPr>
          <w:rFonts w:hint="eastAsia" w:ascii="宋体" w:hAnsi="宋体" w:cs="宋体"/>
          <w:b/>
          <w:bCs/>
          <w:color w:val="auto"/>
          <w:sz w:val="24"/>
          <w:szCs w:val="24"/>
          <w:highlight w:val="none"/>
          <w:lang w:eastAsia="zh-CN"/>
        </w:rPr>
        <w:t>。</w:t>
      </w:r>
    </w:p>
    <w:p w14:paraId="5718B51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1B169ED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投标地点（网址）：政采云平台（http://zfcg.czt.zj.gov.cn） </w:t>
      </w:r>
    </w:p>
    <w:p w14:paraId="613440D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b/>
          <w:bCs/>
          <w:color w:val="auto"/>
          <w:sz w:val="24"/>
          <w:szCs w:val="24"/>
          <w:highlight w:val="none"/>
        </w:rPr>
        <w:t>2025年</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28</w:t>
      </w:r>
      <w:r>
        <w:rPr>
          <w:rFonts w:hint="eastAsia" w:ascii="宋体" w:hAnsi="宋体" w:eastAsia="宋体" w:cs="宋体"/>
          <w:b/>
          <w:bCs/>
          <w:color w:val="auto"/>
          <w:sz w:val="24"/>
          <w:szCs w:val="24"/>
          <w:highlight w:val="none"/>
        </w:rPr>
        <w:t>日</w:t>
      </w:r>
      <w:r>
        <w:rPr>
          <w:rFonts w:hint="eastAsia" w:ascii="宋体" w:hAnsi="宋体" w:cs="宋体"/>
          <w:b/>
          <w:bCs/>
          <w:color w:val="auto"/>
          <w:sz w:val="24"/>
          <w:szCs w:val="24"/>
          <w:highlight w:val="none"/>
          <w:lang w:val="en-US" w:eastAsia="zh-CN"/>
        </w:rPr>
        <w:t>09</w:t>
      </w:r>
      <w:r>
        <w:rPr>
          <w:rFonts w:hint="eastAsia" w:ascii="宋体" w:hAnsi="宋体" w:eastAsia="宋体" w:cs="宋体"/>
          <w:b/>
          <w:bCs/>
          <w:color w:val="auto"/>
          <w:sz w:val="24"/>
          <w:szCs w:val="24"/>
          <w:highlight w:val="none"/>
        </w:rPr>
        <w:t>:30</w:t>
      </w:r>
      <w:r>
        <w:rPr>
          <w:rFonts w:hint="eastAsia" w:ascii="宋体" w:hAnsi="宋体" w:eastAsia="宋体" w:cs="宋体"/>
          <w:color w:val="auto"/>
          <w:sz w:val="24"/>
          <w:szCs w:val="24"/>
          <w:highlight w:val="none"/>
        </w:rPr>
        <w:t xml:space="preserve">（北京时间） </w:t>
      </w:r>
    </w:p>
    <w:p w14:paraId="30939A0A">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w:t>
      </w:r>
      <w:bookmarkStart w:id="2" w:name="OLE_LINK6"/>
      <w:r>
        <w:rPr>
          <w:rFonts w:hint="eastAsia" w:ascii="宋体" w:hAnsi="宋体" w:cs="宋体"/>
          <w:color w:val="000000" w:themeColor="text1"/>
          <w:sz w:val="24"/>
          <w:szCs w:val="24"/>
          <w:highlight w:val="none"/>
          <w:lang w:val="zh-CN"/>
          <w14:textFill>
            <w14:solidFill>
              <w14:schemeClr w14:val="tx1"/>
            </w14:solidFill>
          </w14:textFill>
        </w:rPr>
        <w:t>衢州智造新城公共资源交易中心（世纪大道767号）</w:t>
      </w:r>
      <w:r>
        <w:rPr>
          <w:rFonts w:hint="eastAsia" w:ascii="宋体" w:hAnsi="宋体" w:cs="宋体"/>
          <w:color w:val="000000" w:themeColor="text1"/>
          <w:sz w:val="24"/>
          <w:szCs w:val="24"/>
          <w:highlight w:val="none"/>
          <w:lang w:val="en-US" w:eastAsia="zh-CN"/>
          <w14:textFill>
            <w14:solidFill>
              <w14:schemeClr w14:val="tx1"/>
            </w14:solidFill>
          </w14:textFill>
        </w:rPr>
        <w:t>9楼</w:t>
      </w:r>
      <w:r>
        <w:rPr>
          <w:rFonts w:hint="eastAsia" w:ascii="宋体" w:hAnsi="宋体" w:cs="宋体"/>
          <w:color w:val="000000" w:themeColor="text1"/>
          <w:sz w:val="24"/>
          <w:szCs w:val="24"/>
          <w:highlight w:val="none"/>
          <w:lang w:val="zh-CN"/>
          <w14:textFill>
            <w14:solidFill>
              <w14:schemeClr w14:val="tx1"/>
            </w14:solidFill>
          </w14:textFill>
        </w:rPr>
        <w:t>开标厅</w:t>
      </w:r>
      <w:r>
        <w:rPr>
          <w:rFonts w:hint="eastAsia" w:ascii="宋体" w:hAnsi="宋体" w:eastAsia="宋体" w:cs="宋体"/>
          <w:color w:val="auto"/>
          <w:sz w:val="24"/>
          <w:szCs w:val="24"/>
          <w:highlight w:val="none"/>
        </w:rPr>
        <w:t>，同步在政府采购云平台（https://www.zcygov.cn）上开启投标文件。</w:t>
      </w:r>
      <w:bookmarkEnd w:id="2"/>
    </w:p>
    <w:p w14:paraId="2945BAF6">
      <w:pPr>
        <w:keepNext w:val="0"/>
        <w:keepLines w:val="0"/>
        <w:pageBreakBefore w:val="0"/>
        <w:kinsoku/>
        <w:wordWrap/>
        <w:overflowPunct/>
        <w:topLinePunct w:val="0"/>
        <w:autoSpaceDE w:val="0"/>
        <w:autoSpaceDN w:val="0"/>
        <w:bidi w:val="0"/>
        <w:adjustRightInd w:val="0"/>
        <w:spacing w:line="360" w:lineRule="auto"/>
        <w:ind w:left="0" w:leftChars="0" w:right="-23" w:firstLine="482" w:firstLineChars="200"/>
        <w:textAlignment w:val="auto"/>
        <w:rPr>
          <w:rStyle w:val="92"/>
          <w:rFonts w:hint="eastAsia" w:ascii="宋体" w:hAnsi="宋体" w:eastAsia="宋体" w:cs="宋体"/>
          <w:color w:val="auto"/>
          <w:sz w:val="24"/>
          <w:szCs w:val="24"/>
          <w:highlight w:val="none"/>
        </w:rPr>
      </w:pPr>
      <w:r>
        <w:rPr>
          <w:rStyle w:val="92"/>
          <w:rFonts w:hint="eastAsia" w:ascii="宋体" w:hAnsi="宋体" w:cs="宋体"/>
          <w:color w:val="auto"/>
          <w:sz w:val="24"/>
          <w:szCs w:val="24"/>
          <w:highlight w:val="none"/>
          <w:lang w:eastAsia="zh-CN"/>
        </w:rPr>
        <w:t>五</w:t>
      </w:r>
      <w:r>
        <w:rPr>
          <w:rStyle w:val="92"/>
          <w:rFonts w:hint="eastAsia" w:ascii="宋体" w:hAnsi="宋体" w:eastAsia="宋体" w:cs="宋体"/>
          <w:color w:val="auto"/>
          <w:sz w:val="24"/>
          <w:szCs w:val="24"/>
          <w:highlight w:val="none"/>
          <w:lang w:eastAsia="zh-CN"/>
        </w:rPr>
        <w:t>、</w:t>
      </w:r>
      <w:r>
        <w:rPr>
          <w:rStyle w:val="92"/>
          <w:rFonts w:hint="eastAsia" w:ascii="宋体" w:hAnsi="宋体" w:eastAsia="宋体" w:cs="宋体"/>
          <w:color w:val="auto"/>
          <w:sz w:val="24"/>
          <w:szCs w:val="24"/>
          <w:highlight w:val="none"/>
        </w:rPr>
        <w:t>公告期限：</w:t>
      </w:r>
    </w:p>
    <w:p w14:paraId="5DEA2512">
      <w:pPr>
        <w:keepNext w:val="0"/>
        <w:keepLines w:val="0"/>
        <w:pageBreakBefore w:val="0"/>
        <w:kinsoku/>
        <w:wordWrap/>
        <w:overflowPunct/>
        <w:topLinePunct w:val="0"/>
        <w:autoSpaceDE w:val="0"/>
        <w:autoSpaceDN w:val="0"/>
        <w:bidi w:val="0"/>
        <w:adjustRightInd w:val="0"/>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6C0FD469">
      <w:pPr>
        <w:keepNext w:val="0"/>
        <w:keepLines w:val="0"/>
        <w:pageBreakBefore w:val="0"/>
        <w:kinsoku/>
        <w:wordWrap/>
        <w:overflowPunct/>
        <w:topLinePunct w:val="0"/>
        <w:autoSpaceDE w:val="0"/>
        <w:autoSpaceDN w:val="0"/>
        <w:bidi w:val="0"/>
        <w:adjustRightInd w:val="0"/>
        <w:spacing w:line="360" w:lineRule="auto"/>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六</w:t>
      </w:r>
      <w:r>
        <w:rPr>
          <w:rFonts w:hint="eastAsia" w:ascii="宋体" w:hAnsi="宋体" w:eastAsia="宋体" w:cs="宋体"/>
          <w:b/>
          <w:bCs/>
          <w:color w:val="auto"/>
          <w:sz w:val="24"/>
          <w:szCs w:val="24"/>
          <w:highlight w:val="none"/>
        </w:rPr>
        <w:t>、其他补充事宜</w:t>
      </w:r>
    </w:p>
    <w:p w14:paraId="79397D66">
      <w:pPr>
        <w:keepNext w:val="0"/>
        <w:keepLines w:val="0"/>
        <w:pageBreakBefore w:val="0"/>
        <w:kinsoku/>
        <w:wordWrap/>
        <w:overflowPunct/>
        <w:topLinePunct w:val="0"/>
        <w:autoSpaceDE w:val="0"/>
        <w:autoSpaceDN w:val="0"/>
        <w:bidi w:val="0"/>
        <w:adjustRightInd w:val="0"/>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1.《浙江省财政厅关于进一步发挥政府采购政策功能全力推动经济稳进提质的通知》（浙财采监（2022）3号）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财政厅关于进一步促进政府采购公平竞争打造最优营商环境的通知》（浙财采监（2021）22号）已分别于2022年1月29日和2022年2月1日开始实施，此前有关规定与上述文件内容不一致的，按上述文件要求执行。</w:t>
      </w:r>
    </w:p>
    <w:p w14:paraId="2766E6CB">
      <w:pPr>
        <w:keepNext w:val="0"/>
        <w:keepLines w:val="0"/>
        <w:pageBreakBefore w:val="0"/>
        <w:kinsoku/>
        <w:wordWrap/>
        <w:overflowPunct/>
        <w:topLinePunct w:val="0"/>
        <w:autoSpaceDE w:val="0"/>
        <w:autoSpaceDN w:val="0"/>
        <w:bidi w:val="0"/>
        <w:adjustRightInd w:val="0"/>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 知》（浙财采监（2021）22号）文件关于“健全行政裁决机制”要求，鼓励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在线提起询问，路径为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政采云-项目采购-询问质疑投诉-询问列表:鼓励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在线提起质 疑，路径为：政采云-项目采购-询问质疑投诉-质疑列表。质疑</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对在线质疑答复 不满意的，可在线提起投诉，路径为：浙江政府服务网-政府采购投诉处理-在线办理。</w:t>
      </w:r>
    </w:p>
    <w:p w14:paraId="0DCE0DB0">
      <w:pPr>
        <w:keepNext w:val="0"/>
        <w:keepLines w:val="0"/>
        <w:pageBreakBefore w:val="0"/>
        <w:kinsoku/>
        <w:wordWrap/>
        <w:overflowPunct/>
        <w:topLinePunct w:val="0"/>
        <w:autoSpaceDE w:val="0"/>
        <w:autoSpaceDN w:val="0"/>
        <w:bidi w:val="0"/>
        <w:adjustRightInd w:val="0"/>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认为采购文件使自己的权益受到损害的，可以自获取采购文件之日或者 采购公告期限届满之日（公告期限届满后获取采购文件的，以公告期限届满之日为准）起 7 个工作日内，对采购文件需求的以书面形式向招标人提出质疑，对其他内容的以书 面形式向招标人和采购代理机构提出质疑。质疑</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14:paraId="49EBEEC1">
      <w:pPr>
        <w:keepNext w:val="0"/>
        <w:keepLines w:val="0"/>
        <w:pageBreakBefore w:val="0"/>
        <w:kinsoku/>
        <w:wordWrap/>
        <w:overflowPunct/>
        <w:topLinePunct w:val="0"/>
        <w:autoSpaceDE w:val="0"/>
        <w:autoSpaceDN w:val="0"/>
        <w:bidi w:val="0"/>
        <w:adjustRightInd w:val="0"/>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.其他事项：</w:t>
      </w:r>
    </w:p>
    <w:p w14:paraId="13D78895">
      <w:pPr>
        <w:keepNext w:val="0"/>
        <w:keepLines w:val="0"/>
        <w:pageBreakBefore w:val="0"/>
        <w:kinsoku/>
        <w:wordWrap/>
        <w:overflowPunct/>
        <w:topLinePunct w:val="0"/>
        <w:autoSpaceDE w:val="0"/>
        <w:autoSpaceDN w:val="0"/>
        <w:bidi w:val="0"/>
        <w:adjustRightInd w:val="0"/>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（1）包括节约资源、保护环境、支持创新、促进中小企业发展等。 详见招标文件的第二部分总则。</w:t>
      </w:r>
    </w:p>
    <w:p w14:paraId="17D84F68">
      <w:pPr>
        <w:keepNext w:val="0"/>
        <w:keepLines w:val="0"/>
        <w:pageBreakBefore w:val="0"/>
        <w:kinsoku/>
        <w:wordWrap/>
        <w:overflowPunct/>
        <w:topLinePunct w:val="0"/>
        <w:autoSpaceDE w:val="0"/>
        <w:autoSpaceDN w:val="0"/>
        <w:bidi w:val="0"/>
        <w:adjustRightInd w:val="0"/>
        <w:spacing w:line="360" w:lineRule="auto"/>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经招标人确认，本项目属于专门面向中小企业采购项目。</w:t>
      </w:r>
    </w:p>
    <w:p w14:paraId="60CE3013">
      <w:pPr>
        <w:keepNext w:val="0"/>
        <w:keepLines w:val="0"/>
        <w:pageBreakBefore w:val="0"/>
        <w:kinsoku/>
        <w:wordWrap/>
        <w:overflowPunct/>
        <w:topLinePunct w:val="0"/>
        <w:autoSpaceDE w:val="0"/>
        <w:autoSpaceDN w:val="0"/>
        <w:bidi w:val="0"/>
        <w:adjustRightInd w:val="0"/>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（2）在线投标响应（电子投标）说明：</w:t>
      </w:r>
    </w:p>
    <w:p w14:paraId="46C022DA">
      <w:pPr>
        <w:keepNext w:val="0"/>
        <w:keepLines w:val="0"/>
        <w:pageBreakBefore w:val="0"/>
        <w:kinsoku/>
        <w:wordWrap/>
        <w:overflowPunct/>
        <w:topLinePunct w:val="0"/>
        <w:autoSpaceDE w:val="0"/>
        <w:autoSpaceDN w:val="0"/>
        <w:bidi w:val="0"/>
        <w:adjustRightInd w:val="0"/>
        <w:spacing w:line="360" w:lineRule="auto"/>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1）本项目通过“政府采购云平台（www.zcygov.cn）”实行在线投标响应（电子投标），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应先安装“政采云电子交易客户端”，并按照本招标文件和“政府采购云平台”的要求，通过“政采云电子交易客户端”编制并加密投标文件。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应当在投标截止时间前，将生成的“电子加密投标文件”上传递交至“政府采购云平台”。投标截止时间以后上传递交的投标文件将被“政府采购云平台”拒收。4）投标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递交了备份投标文件的，以备份投标文件为依据，否则视为投标文件撤回。通过“政府采购云平台”上传递交的“电子加密投标文件”已按时解密的，“备份投标文件”自动失效。投标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14:paraId="6240BE38">
      <w:pPr>
        <w:keepNext w:val="0"/>
        <w:keepLines w:val="0"/>
        <w:pageBreakBefore w:val="0"/>
        <w:kinsoku/>
        <w:wordWrap/>
        <w:overflowPunct/>
        <w:topLinePunct w:val="0"/>
        <w:autoSpaceDE w:val="0"/>
        <w:autoSpaceDN w:val="0"/>
        <w:bidi w:val="0"/>
        <w:adjustRightInd w:val="0"/>
        <w:spacing w:line="360" w:lineRule="auto"/>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）本项目相关公告（包括招标公告、中标公告及更正公告等）均以浙江政府采购网（http://zfcg.czt.zj.gov.cn/）发布的为准。</w:t>
      </w:r>
    </w:p>
    <w:p w14:paraId="6C931B02">
      <w:pPr>
        <w:keepNext w:val="0"/>
        <w:keepLines w:val="0"/>
        <w:pageBreakBefore w:val="0"/>
        <w:kinsoku/>
        <w:wordWrap/>
        <w:overflowPunct/>
        <w:topLinePunct w:val="0"/>
        <w:autoSpaceDE w:val="0"/>
        <w:autoSpaceDN w:val="0"/>
        <w:bidi w:val="0"/>
        <w:adjustRightInd w:val="0"/>
        <w:spacing w:line="360" w:lineRule="auto"/>
        <w:ind w:left="0" w:leftChars="0" w:right="-23" w:firstLine="482" w:firstLineChars="200"/>
        <w:textAlignment w:val="auto"/>
        <w:rPr>
          <w:rStyle w:val="92"/>
          <w:rFonts w:hint="eastAsia" w:ascii="宋体" w:hAnsi="宋体" w:eastAsia="宋体" w:cs="宋体"/>
          <w:color w:val="auto"/>
          <w:sz w:val="24"/>
          <w:szCs w:val="24"/>
          <w:highlight w:val="none"/>
        </w:rPr>
      </w:pPr>
      <w:r>
        <w:rPr>
          <w:rStyle w:val="92"/>
          <w:rFonts w:hint="eastAsia" w:ascii="宋体" w:hAnsi="宋体" w:cs="宋体"/>
          <w:color w:val="auto"/>
          <w:sz w:val="24"/>
          <w:szCs w:val="24"/>
          <w:highlight w:val="none"/>
          <w:lang w:eastAsia="zh-CN"/>
        </w:rPr>
        <w:t>七</w:t>
      </w:r>
      <w:r>
        <w:rPr>
          <w:rStyle w:val="92"/>
          <w:rFonts w:hint="eastAsia" w:ascii="宋体" w:hAnsi="宋体" w:eastAsia="宋体" w:cs="宋体"/>
          <w:color w:val="auto"/>
          <w:sz w:val="24"/>
          <w:szCs w:val="24"/>
          <w:highlight w:val="none"/>
        </w:rPr>
        <w:t>、对本次采购提出询问、质疑、投诉，请按以下方式联系</w:t>
      </w:r>
    </w:p>
    <w:p w14:paraId="64C3ECC2">
      <w:pPr>
        <w:pStyle w:val="82"/>
        <w:spacing w:before="0" w:beforeAutospacing="0" w:after="0" w:afterAutospacing="0" w:line="360" w:lineRule="auto"/>
        <w:ind w:firstLine="482"/>
        <w:rPr>
          <w:rFonts w:hint="eastAsia" w:eastAsia="宋体" w:cs="宋体"/>
          <w:color w:val="auto"/>
          <w:szCs w:val="24"/>
          <w:highlight w:val="none"/>
          <w:lang w:eastAsia="zh-CN"/>
        </w:rPr>
      </w:pPr>
      <w:r>
        <w:rPr>
          <w:rFonts w:hint="eastAsia" w:cs="宋体"/>
          <w:color w:val="auto"/>
          <w:szCs w:val="24"/>
          <w:highlight w:val="none"/>
        </w:rPr>
        <w:t>1.采购人信息：</w:t>
      </w:r>
      <w:r>
        <w:rPr>
          <w:rFonts w:hint="eastAsia" w:cs="宋体"/>
          <w:color w:val="auto"/>
          <w:szCs w:val="24"/>
          <w:highlight w:val="none"/>
          <w:lang w:eastAsia="zh-CN"/>
        </w:rPr>
        <w:t>衢州智造新城管理委员会</w:t>
      </w:r>
    </w:p>
    <w:p w14:paraId="4CEE262B">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cs="宋体"/>
          <w:color w:val="auto"/>
          <w:sz w:val="24"/>
          <w:szCs w:val="24"/>
          <w:highlight w:val="none"/>
        </w:rPr>
        <w:t>地址：</w:t>
      </w:r>
      <w:r>
        <w:rPr>
          <w:rFonts w:hint="eastAsia" w:ascii="宋体" w:hAnsi="宋体" w:cs="宋体"/>
          <w:color w:val="000000" w:themeColor="text1"/>
          <w:sz w:val="24"/>
          <w:szCs w:val="24"/>
          <w:highlight w:val="none"/>
          <w14:textFill>
            <w14:solidFill>
              <w14:schemeClr w14:val="tx1"/>
            </w14:solidFill>
          </w14:textFill>
        </w:rPr>
        <w:t>衢州市纬二路衢州高新技术产业园4楼</w:t>
      </w:r>
    </w:p>
    <w:p w14:paraId="4A1A1062">
      <w:pPr>
        <w:pStyle w:val="82"/>
        <w:keepNext w:val="0"/>
        <w:keepLines w:val="0"/>
        <w:pageBreakBefore w:val="0"/>
        <w:kinsoku/>
        <w:wordWrap/>
        <w:overflowPunct/>
        <w:topLinePunct w:val="0"/>
        <w:bidi w:val="0"/>
        <w:spacing w:before="0" w:beforeAutospacing="0" w:after="0" w:afterAutospacing="0" w:line="336" w:lineRule="auto"/>
        <w:ind w:firstLine="482"/>
        <w:textAlignment w:val="auto"/>
        <w:rPr>
          <w:rFonts w:hint="default" w:eastAsia="宋体" w:cs="宋体"/>
          <w:color w:val="auto"/>
          <w:szCs w:val="24"/>
          <w:highlight w:val="none"/>
          <w:lang w:val="en-US" w:eastAsia="zh-CN"/>
        </w:rPr>
      </w:pPr>
      <w:r>
        <w:rPr>
          <w:rFonts w:hint="eastAsia" w:cs="宋体"/>
          <w:color w:val="auto"/>
          <w:szCs w:val="24"/>
          <w:highlight w:val="none"/>
        </w:rPr>
        <w:t>项目联系人（询问）：</w:t>
      </w:r>
      <w:r>
        <w:rPr>
          <w:rFonts w:hint="eastAsia" w:cs="宋体"/>
          <w:color w:val="auto"/>
          <w:szCs w:val="24"/>
          <w:highlight w:val="none"/>
          <w:lang w:val="en-US" w:eastAsia="zh-CN"/>
        </w:rPr>
        <w:t>童先生</w:t>
      </w:r>
    </w:p>
    <w:p w14:paraId="46B2D883">
      <w:pPr>
        <w:pStyle w:val="82"/>
        <w:keepNext w:val="0"/>
        <w:keepLines w:val="0"/>
        <w:pageBreakBefore w:val="0"/>
        <w:kinsoku/>
        <w:wordWrap/>
        <w:overflowPunct/>
        <w:topLinePunct w:val="0"/>
        <w:bidi w:val="0"/>
        <w:spacing w:before="0" w:beforeAutospacing="0" w:after="0" w:afterAutospacing="0" w:line="336" w:lineRule="auto"/>
        <w:ind w:firstLine="482"/>
        <w:textAlignment w:val="auto"/>
        <w:rPr>
          <w:rFonts w:hint="default" w:eastAsia="宋体" w:cs="宋体"/>
          <w:color w:val="auto"/>
          <w:szCs w:val="24"/>
          <w:highlight w:val="none"/>
          <w:lang w:val="en-US" w:eastAsia="zh-CN"/>
        </w:rPr>
      </w:pPr>
      <w:r>
        <w:rPr>
          <w:rFonts w:hint="eastAsia" w:cs="宋体"/>
          <w:color w:val="auto"/>
          <w:szCs w:val="24"/>
          <w:highlight w:val="none"/>
        </w:rPr>
        <w:t>项目联系方式（询问）：</w:t>
      </w:r>
      <w:r>
        <w:rPr>
          <w:rFonts w:hint="eastAsia" w:cs="宋体"/>
          <w:color w:val="auto"/>
          <w:szCs w:val="24"/>
          <w:highlight w:val="none"/>
          <w:lang w:val="en-US" w:eastAsia="zh-CN"/>
        </w:rPr>
        <w:t>18057033656</w:t>
      </w:r>
    </w:p>
    <w:p w14:paraId="0697E780">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            </w:t>
      </w:r>
    </w:p>
    <w:p w14:paraId="12A87A5B">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浙江中际工程项目管理有限公司</w:t>
      </w:r>
      <w:r>
        <w:rPr>
          <w:rFonts w:hint="eastAsia" w:ascii="宋体" w:hAnsi="宋体" w:eastAsia="宋体" w:cs="宋体"/>
          <w:color w:val="auto"/>
          <w:sz w:val="24"/>
          <w:szCs w:val="24"/>
          <w:highlight w:val="none"/>
        </w:rPr>
        <w:t xml:space="preserve">             </w:t>
      </w:r>
    </w:p>
    <w:p w14:paraId="320CEFD2">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衢州市九华北大道509号合屹大厦2号楼</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单元</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楼</w:t>
      </w:r>
      <w:r>
        <w:rPr>
          <w:rFonts w:hint="eastAsia" w:ascii="宋体" w:hAnsi="宋体" w:eastAsia="宋体" w:cs="宋体"/>
          <w:color w:val="auto"/>
          <w:sz w:val="24"/>
          <w:szCs w:val="24"/>
          <w:highlight w:val="none"/>
        </w:rPr>
        <w:t xml:space="preserve">                       </w:t>
      </w:r>
    </w:p>
    <w:p w14:paraId="3F9D43C6">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val="en-US" w:eastAsia="zh-CN"/>
        </w:rPr>
        <w:t>杨女士</w:t>
      </w:r>
    </w:p>
    <w:p w14:paraId="3C66079B">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项目联系方式（询问）：</w:t>
      </w:r>
      <w:r>
        <w:rPr>
          <w:rFonts w:hint="eastAsia" w:ascii="宋体" w:hAnsi="宋体" w:cs="宋体"/>
          <w:color w:val="auto"/>
          <w:sz w:val="24"/>
          <w:szCs w:val="24"/>
          <w:highlight w:val="none"/>
          <w:lang w:val="en-US" w:eastAsia="zh-CN"/>
        </w:rPr>
        <w:t>18757002006</w:t>
      </w:r>
    </w:p>
    <w:p w14:paraId="43538EEE">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val="en-US" w:eastAsia="zh-CN"/>
        </w:rPr>
        <w:t>方女士</w:t>
      </w:r>
      <w:r>
        <w:rPr>
          <w:rFonts w:hint="eastAsia" w:ascii="宋体" w:hAnsi="宋体" w:eastAsia="宋体" w:cs="宋体"/>
          <w:color w:val="auto"/>
          <w:sz w:val="24"/>
          <w:szCs w:val="24"/>
          <w:highlight w:val="none"/>
        </w:rPr>
        <w:t xml:space="preserve">            </w:t>
      </w:r>
    </w:p>
    <w:p w14:paraId="26F414B8">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质疑联系方式：0570-</w:t>
      </w:r>
      <w:r>
        <w:rPr>
          <w:rFonts w:hint="eastAsia" w:ascii="宋体" w:hAnsi="宋体" w:cs="宋体"/>
          <w:color w:val="auto"/>
          <w:sz w:val="24"/>
          <w:szCs w:val="24"/>
          <w:highlight w:val="none"/>
          <w:lang w:val="en-US" w:eastAsia="zh-CN"/>
        </w:rPr>
        <w:t>3866573</w:t>
      </w:r>
      <w:r>
        <w:rPr>
          <w:rFonts w:hint="eastAsia" w:ascii="宋体" w:hAnsi="宋体" w:eastAsia="宋体" w:cs="宋体"/>
          <w:color w:val="auto"/>
          <w:sz w:val="24"/>
          <w:szCs w:val="24"/>
          <w:highlight w:val="none"/>
        </w:rPr>
        <w:t>　　　</w:t>
      </w:r>
    </w:p>
    <w:p w14:paraId="504040E1">
      <w:pPr>
        <w:pStyle w:val="88"/>
        <w:kinsoku/>
        <w:overflowPunct/>
        <w:bidi w:val="0"/>
        <w:spacing w:after="0" w:line="360" w:lineRule="auto"/>
        <w:ind w:left="0"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2"/>
          <w:highlight w:val="none"/>
        </w:rPr>
        <w:t>3.</w:t>
      </w:r>
      <w:r>
        <w:rPr>
          <w:rFonts w:hint="eastAsia" w:ascii="宋体" w:hAnsi="宋体" w:eastAsia="宋体" w:cs="宋体"/>
          <w:color w:val="auto"/>
          <w:kern w:val="2"/>
          <w:sz w:val="24"/>
          <w:szCs w:val="24"/>
          <w:highlight w:val="none"/>
          <w:lang w:val="en-US" w:eastAsia="zh-CN" w:bidi="ar-SA"/>
        </w:rPr>
        <w:t xml:space="preserve">同级政府采购监督管理部门            </w:t>
      </w:r>
    </w:p>
    <w:p w14:paraId="0895B4F1">
      <w:pPr>
        <w:pStyle w:val="88"/>
        <w:keepNext w:val="0"/>
        <w:keepLines w:val="0"/>
        <w:pageBreakBefore w:val="0"/>
        <w:widowControl w:val="0"/>
        <w:kinsoku/>
        <w:wordWrap/>
        <w:overflowPunct/>
        <w:topLinePunct w:val="0"/>
        <w:bidi w:val="0"/>
        <w:snapToGrid/>
        <w:spacing w:after="0" w:line="360" w:lineRule="auto"/>
        <w:ind w:left="0" w:lef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名    称：衢州智造新城管理委员会财政金融部               </w:t>
      </w:r>
    </w:p>
    <w:p w14:paraId="136D94A6">
      <w:pPr>
        <w:pStyle w:val="88"/>
        <w:keepNext w:val="0"/>
        <w:keepLines w:val="0"/>
        <w:pageBreakBefore w:val="0"/>
        <w:widowControl w:val="0"/>
        <w:kinsoku/>
        <w:wordWrap/>
        <w:overflowPunct/>
        <w:topLinePunct w:val="0"/>
        <w:bidi w:val="0"/>
        <w:snapToGrid/>
        <w:spacing w:after="0" w:line="360" w:lineRule="auto"/>
        <w:ind w:left="0" w:lef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地    址：衢州市世纪大道677号五楼                           </w:t>
      </w:r>
    </w:p>
    <w:p w14:paraId="6D83E43B">
      <w:pPr>
        <w:pStyle w:val="88"/>
        <w:keepNext w:val="0"/>
        <w:keepLines w:val="0"/>
        <w:pageBreakBefore w:val="0"/>
        <w:widowControl w:val="0"/>
        <w:kinsoku/>
        <w:wordWrap/>
        <w:overflowPunct/>
        <w:topLinePunct w:val="0"/>
        <w:bidi w:val="0"/>
        <w:snapToGrid/>
        <w:spacing w:after="0" w:line="360" w:lineRule="auto"/>
        <w:ind w:left="0" w:lef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监督投诉电话：0570-3888040</w:t>
      </w:r>
    </w:p>
    <w:p w14:paraId="35DEC2D6">
      <w:pPr>
        <w:pStyle w:val="88"/>
        <w:kinsoku/>
        <w:overflowPunct/>
        <w:bidi w:val="0"/>
        <w:spacing w:after="0" w:line="400" w:lineRule="exact"/>
        <w:ind w:left="0" w:leftChars="0" w:firstLine="420" w:firstLineChars="200"/>
        <w:jc w:val="left"/>
        <w:rPr>
          <w:rFonts w:hint="eastAsia" w:ascii="宋体" w:hAnsi="宋体" w:eastAsia="宋体" w:cs="宋体"/>
          <w:color w:val="auto"/>
          <w:sz w:val="21"/>
          <w:szCs w:val="21"/>
          <w:highlight w:val="none"/>
          <w:lang w:val="en-US" w:eastAsia="zh-CN"/>
        </w:rPr>
      </w:pPr>
    </w:p>
    <w:p w14:paraId="2E128683">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lang w:val="en-US" w:eastAsia="zh-CN"/>
        </w:rPr>
      </w:pPr>
    </w:p>
    <w:p w14:paraId="4A120845">
      <w:pPr>
        <w:pStyle w:val="88"/>
        <w:kinsoku/>
        <w:overflowPunct/>
        <w:bidi w:val="0"/>
        <w:spacing w:after="0" w:line="400" w:lineRule="exact"/>
        <w:ind w:left="0" w:leftChars="0" w:firstLine="420" w:firstLineChars="200"/>
        <w:jc w:val="left"/>
        <w:rPr>
          <w:rFonts w:hint="eastAsia" w:ascii="宋体" w:hAnsi="宋体" w:eastAsia="宋体" w:cs="宋体"/>
          <w:color w:val="auto"/>
          <w:sz w:val="21"/>
          <w:szCs w:val="21"/>
          <w:highlight w:val="none"/>
          <w:lang w:val="en-US" w:eastAsia="zh-CN"/>
        </w:rPr>
      </w:pPr>
    </w:p>
    <w:p w14:paraId="6EFCA414">
      <w:pPr>
        <w:pStyle w:val="3"/>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3" w:name="_Toc31506"/>
      <w:r>
        <w:rPr>
          <w:rFonts w:hint="eastAsia" w:ascii="宋体" w:hAnsi="宋体" w:eastAsia="宋体" w:cs="宋体"/>
          <w:b/>
          <w:color w:val="auto"/>
          <w:sz w:val="36"/>
          <w:highlight w:val="none"/>
        </w:rPr>
        <w:t>第二部分  投标人须知</w:t>
      </w:r>
      <w:bookmarkEnd w:id="3"/>
    </w:p>
    <w:p w14:paraId="212F4AF4">
      <w:pPr>
        <w:pStyle w:val="8"/>
        <w:kinsoku/>
        <w:overflowPunct/>
        <w:bidi w:val="0"/>
        <w:spacing w:line="400" w:lineRule="exact"/>
        <w:ind w:left="560" w:firstLine="0"/>
        <w:jc w:val="center"/>
        <w:rPr>
          <w:rFonts w:hint="eastAsia" w:ascii="宋体" w:hAnsi="宋体" w:eastAsia="宋体" w:cs="宋体"/>
          <w:color w:val="auto"/>
          <w:sz w:val="32"/>
          <w:highlight w:val="none"/>
        </w:rPr>
      </w:pPr>
      <w:bookmarkStart w:id="4" w:name="_Toc16117"/>
      <w:bookmarkStart w:id="5" w:name="_Toc519670190"/>
      <w:bookmarkStart w:id="6" w:name="_Toc522530040"/>
      <w:r>
        <w:rPr>
          <w:rFonts w:hint="eastAsia" w:ascii="宋体" w:hAnsi="宋体" w:eastAsia="宋体" w:cs="宋体"/>
          <w:color w:val="auto"/>
          <w:sz w:val="32"/>
          <w:highlight w:val="none"/>
        </w:rPr>
        <w:t>前 附 表</w:t>
      </w:r>
      <w:bookmarkEnd w:id="4"/>
      <w:bookmarkEnd w:id="5"/>
      <w:bookmarkEnd w:id="6"/>
    </w:p>
    <w:tbl>
      <w:tblPr>
        <w:tblStyle w:val="89"/>
        <w:tblW w:w="1071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54"/>
        <w:gridCol w:w="8684"/>
      </w:tblGrid>
      <w:tr w14:paraId="2DAF354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30531A67">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254" w:type="dxa"/>
            <w:vAlign w:val="center"/>
          </w:tcPr>
          <w:p w14:paraId="0D830243">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8684" w:type="dxa"/>
            <w:vAlign w:val="center"/>
          </w:tcPr>
          <w:p w14:paraId="08C2F5A4">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r>
      <w:tr w14:paraId="2654A8F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777D6F74">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54" w:type="dxa"/>
            <w:vAlign w:val="center"/>
          </w:tcPr>
          <w:p w14:paraId="22460063">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是否允许分包</w:t>
            </w:r>
          </w:p>
        </w:tc>
        <w:tc>
          <w:tcPr>
            <w:tcW w:w="8684" w:type="dxa"/>
            <w:vAlign w:val="center"/>
          </w:tcPr>
          <w:p w14:paraId="231C2486">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p w14:paraId="23ED389F">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允许  分包内容要求：      分包金额要求：</w:t>
            </w:r>
          </w:p>
          <w:p w14:paraId="6A1E0EB6">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接受分包的第三人资质要求：</w:t>
            </w:r>
          </w:p>
        </w:tc>
      </w:tr>
      <w:tr w14:paraId="70120B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2D7B4CBF">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54" w:type="dxa"/>
            <w:vAlign w:val="center"/>
          </w:tcPr>
          <w:p w14:paraId="04D818FB">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踏勘现场</w:t>
            </w:r>
          </w:p>
        </w:tc>
        <w:tc>
          <w:tcPr>
            <w:tcW w:w="8684" w:type="dxa"/>
            <w:vAlign w:val="center"/>
          </w:tcPr>
          <w:p w14:paraId="5FD2A0A4">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不组织  投标人如有需要可自行前往踏勘，联系方式见招标公告。</w:t>
            </w:r>
          </w:p>
          <w:p w14:paraId="500B4D52">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 xml:space="preserve">□统一组织踏勘时间：踏勘集中地点： </w:t>
            </w:r>
          </w:p>
        </w:tc>
      </w:tr>
      <w:tr w14:paraId="51CDAE2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19882FCA">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54" w:type="dxa"/>
            <w:vAlign w:val="center"/>
          </w:tcPr>
          <w:p w14:paraId="5FED4A86">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投标预备答疑会</w:t>
            </w:r>
          </w:p>
        </w:tc>
        <w:tc>
          <w:tcPr>
            <w:tcW w:w="8684" w:type="dxa"/>
            <w:vAlign w:val="center"/>
          </w:tcPr>
          <w:p w14:paraId="7D45A213">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不召开</w:t>
            </w:r>
          </w:p>
          <w:p w14:paraId="7A2C222D">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□召开时间：召开地点：</w:t>
            </w:r>
          </w:p>
        </w:tc>
      </w:tr>
      <w:tr w14:paraId="067BAD1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41D93256">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54" w:type="dxa"/>
            <w:vAlign w:val="center"/>
          </w:tcPr>
          <w:p w14:paraId="40F3BB82">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3"/>
                <w:sz w:val="24"/>
                <w:highlight w:val="none"/>
              </w:rPr>
              <w:t>是否</w:t>
            </w:r>
            <w:r>
              <w:rPr>
                <w:rFonts w:hint="eastAsia" w:ascii="宋体" w:hAnsi="宋体" w:eastAsia="宋体" w:cs="宋体"/>
                <w:color w:val="auto"/>
                <w:spacing w:val="-2"/>
                <w:kern w:val="0"/>
                <w:position w:val="-3"/>
                <w:sz w:val="24"/>
                <w:highlight w:val="none"/>
              </w:rPr>
              <w:t>接</w:t>
            </w:r>
            <w:r>
              <w:rPr>
                <w:rFonts w:hint="eastAsia" w:ascii="宋体" w:hAnsi="宋体" w:eastAsia="宋体" w:cs="宋体"/>
                <w:color w:val="auto"/>
                <w:kern w:val="0"/>
                <w:position w:val="-3"/>
                <w:sz w:val="24"/>
                <w:highlight w:val="none"/>
              </w:rPr>
              <w:t>受</w:t>
            </w:r>
            <w:r>
              <w:rPr>
                <w:rFonts w:hint="eastAsia" w:ascii="宋体" w:hAnsi="宋体" w:eastAsia="宋体" w:cs="宋体"/>
                <w:color w:val="auto"/>
                <w:spacing w:val="-2"/>
                <w:kern w:val="0"/>
                <w:position w:val="-3"/>
                <w:sz w:val="24"/>
                <w:highlight w:val="none"/>
              </w:rPr>
              <w:t>联</w:t>
            </w:r>
            <w:r>
              <w:rPr>
                <w:rFonts w:hint="eastAsia" w:ascii="宋体" w:hAnsi="宋体" w:eastAsia="宋体" w:cs="宋体"/>
                <w:color w:val="auto"/>
                <w:kern w:val="0"/>
                <w:position w:val="-3"/>
                <w:sz w:val="24"/>
                <w:highlight w:val="none"/>
              </w:rPr>
              <w:t>合</w:t>
            </w:r>
            <w:r>
              <w:rPr>
                <w:rFonts w:hint="eastAsia" w:ascii="宋体" w:hAnsi="宋体" w:eastAsia="宋体" w:cs="宋体"/>
                <w:color w:val="auto"/>
                <w:spacing w:val="-2"/>
                <w:kern w:val="0"/>
                <w:position w:val="-3"/>
                <w:sz w:val="24"/>
                <w:highlight w:val="none"/>
              </w:rPr>
              <w:t>体</w:t>
            </w:r>
            <w:r>
              <w:rPr>
                <w:rFonts w:hint="eastAsia" w:ascii="宋体" w:hAnsi="宋体" w:eastAsia="宋体" w:cs="宋体"/>
                <w:color w:val="auto"/>
                <w:kern w:val="0"/>
                <w:position w:val="-3"/>
                <w:sz w:val="24"/>
                <w:highlight w:val="none"/>
              </w:rPr>
              <w:t>投标</w:t>
            </w:r>
          </w:p>
        </w:tc>
        <w:tc>
          <w:tcPr>
            <w:tcW w:w="8684" w:type="dxa"/>
            <w:vAlign w:val="center"/>
          </w:tcPr>
          <w:p w14:paraId="48C191FE">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p>
          <w:p w14:paraId="213D1600">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tc>
      </w:tr>
      <w:tr w14:paraId="7DBF0D0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0C642E5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254" w:type="dxa"/>
            <w:vAlign w:val="center"/>
          </w:tcPr>
          <w:p w14:paraId="00FA20AC">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是否允许进口产品投标</w:t>
            </w:r>
          </w:p>
        </w:tc>
        <w:tc>
          <w:tcPr>
            <w:tcW w:w="8684" w:type="dxa"/>
            <w:vAlign w:val="center"/>
          </w:tcPr>
          <w:p w14:paraId="2FE62957">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不允许。</w:t>
            </w:r>
          </w:p>
          <w:p w14:paraId="76CB7057">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□允许，详见招标文件第三部分 采购需求。</w:t>
            </w:r>
          </w:p>
          <w:p w14:paraId="277C15CA">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□部分允许，详见招标文件第三部分 采购需求。</w:t>
            </w:r>
          </w:p>
          <w:p w14:paraId="6D2659FA">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报价及交货方式：□CIP</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□CIF。</w:t>
            </w:r>
          </w:p>
        </w:tc>
      </w:tr>
      <w:tr w14:paraId="3BB3622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60718BB4">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254" w:type="dxa"/>
            <w:vAlign w:val="center"/>
          </w:tcPr>
          <w:p w14:paraId="0DF22ADE">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5"/>
                <w:sz w:val="24"/>
                <w:highlight w:val="none"/>
              </w:rPr>
              <w:t>投标</w:t>
            </w:r>
            <w:r>
              <w:rPr>
                <w:rFonts w:hint="eastAsia" w:ascii="宋体" w:hAnsi="宋体" w:eastAsia="宋体" w:cs="宋体"/>
                <w:color w:val="auto"/>
                <w:spacing w:val="-2"/>
                <w:kern w:val="0"/>
                <w:position w:val="-5"/>
                <w:sz w:val="24"/>
                <w:highlight w:val="none"/>
              </w:rPr>
              <w:t>文</w:t>
            </w:r>
            <w:r>
              <w:rPr>
                <w:rFonts w:hint="eastAsia" w:ascii="宋体" w:hAnsi="宋体" w:eastAsia="宋体" w:cs="宋体"/>
                <w:color w:val="auto"/>
                <w:kern w:val="0"/>
                <w:position w:val="-5"/>
                <w:sz w:val="24"/>
                <w:highlight w:val="none"/>
              </w:rPr>
              <w:t>件</w:t>
            </w:r>
            <w:r>
              <w:rPr>
                <w:rFonts w:hint="eastAsia" w:ascii="宋体" w:hAnsi="宋体" w:eastAsia="宋体" w:cs="宋体"/>
                <w:color w:val="auto"/>
                <w:spacing w:val="-2"/>
                <w:kern w:val="0"/>
                <w:position w:val="-5"/>
                <w:sz w:val="24"/>
                <w:highlight w:val="none"/>
              </w:rPr>
              <w:t>份</w:t>
            </w:r>
            <w:r>
              <w:rPr>
                <w:rFonts w:hint="eastAsia" w:ascii="宋体" w:hAnsi="宋体" w:eastAsia="宋体" w:cs="宋体"/>
                <w:color w:val="auto"/>
                <w:kern w:val="0"/>
                <w:position w:val="-5"/>
                <w:sz w:val="24"/>
                <w:highlight w:val="none"/>
              </w:rPr>
              <w:t>数</w:t>
            </w:r>
          </w:p>
        </w:tc>
        <w:tc>
          <w:tcPr>
            <w:tcW w:w="8684" w:type="dxa"/>
            <w:vAlign w:val="center"/>
          </w:tcPr>
          <w:p w14:paraId="2EF4AEB5">
            <w:pPr>
              <w:keepNext w:val="0"/>
              <w:keepLines w:val="0"/>
              <w:pageBreakBefore w:val="0"/>
              <w:widowControl w:val="0"/>
              <w:numPr>
                <w:ilvl w:val="0"/>
                <w:numId w:val="3"/>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“电子加密投标文件”：在线上传递交、一份。</w:t>
            </w:r>
          </w:p>
          <w:p w14:paraId="5F106B55">
            <w:pPr>
              <w:keepNext w:val="0"/>
              <w:keepLines w:val="0"/>
              <w:pageBreakBefore w:val="0"/>
              <w:widowControl w:val="0"/>
              <w:numPr>
                <w:ilvl w:val="0"/>
                <w:numId w:val="3"/>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“备份投标文件”</w:t>
            </w:r>
            <w:r>
              <w:rPr>
                <w:rFonts w:hint="eastAsia" w:ascii="宋体" w:hAnsi="宋体" w:cs="宋体"/>
                <w:color w:val="auto"/>
                <w:sz w:val="24"/>
                <w:szCs w:val="24"/>
                <w:highlight w:val="none"/>
                <w:lang w:eastAsia="zh-CN"/>
              </w:rPr>
              <w:t>（</w:t>
            </w:r>
            <w:r>
              <w:rPr>
                <w:rFonts w:hint="eastAsia" w:ascii="宋体" w:hAnsi="宋体" w:eastAsia="宋体" w:cs="宋体"/>
                <w:b/>
                <w:bCs/>
                <w:color w:val="auto"/>
                <w:sz w:val="24"/>
                <w:szCs w:val="22"/>
                <w:highlight w:val="none"/>
              </w:rPr>
              <w:t>由投标人决定是否递交</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：密封包装后（建议顺丰邮寄）投标截止时间前递交一份，邮寄地址：衢州市九华北大道509号2#楼</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单元</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楼。</w:t>
            </w:r>
          </w:p>
        </w:tc>
      </w:tr>
      <w:tr w14:paraId="024B5A2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14:paraId="7A87CB04">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254" w:type="dxa"/>
            <w:vAlign w:val="center"/>
          </w:tcPr>
          <w:p w14:paraId="65990146">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5"/>
                <w:sz w:val="24"/>
                <w:szCs w:val="22"/>
                <w:highlight w:val="none"/>
              </w:rPr>
              <w:t>投标文件的组成和编制</w:t>
            </w:r>
          </w:p>
        </w:tc>
        <w:tc>
          <w:tcPr>
            <w:tcW w:w="8684" w:type="dxa"/>
            <w:vAlign w:val="center"/>
          </w:tcPr>
          <w:p w14:paraId="3E4DF629">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本项目完整的《投标文件》由“资格文件”、“商务技术文件”和“报价文件”三个部分组成。</w:t>
            </w:r>
          </w:p>
          <w:p w14:paraId="546F011A">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投标人应先安装“政采云电子交易客户端”，并按照本招标文件和“政府采购云平台”的要求，通过“政采云电子交易客户端”编制并加密投标文件。</w:t>
            </w:r>
          </w:p>
        </w:tc>
      </w:tr>
      <w:tr w14:paraId="206F9B1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58AF43C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254" w:type="dxa"/>
            <w:vAlign w:val="center"/>
          </w:tcPr>
          <w:p w14:paraId="5C7E08DD">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5"/>
                <w:sz w:val="24"/>
                <w:szCs w:val="22"/>
                <w:highlight w:val="none"/>
              </w:rPr>
              <w:t>投标文件的签章</w:t>
            </w:r>
          </w:p>
        </w:tc>
        <w:tc>
          <w:tcPr>
            <w:tcW w:w="8684" w:type="dxa"/>
            <w:vAlign w:val="center"/>
          </w:tcPr>
          <w:p w14:paraId="5A14E5FE">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position w:val="-2"/>
                <w:sz w:val="24"/>
                <w:highlight w:val="none"/>
              </w:rPr>
            </w:pPr>
            <w:r>
              <w:rPr>
                <w:rFonts w:hint="eastAsia" w:ascii="宋体" w:hAnsi="宋体" w:eastAsia="宋体" w:cs="宋体"/>
                <w:color w:val="auto"/>
                <w:sz w:val="24"/>
                <w:highlight w:val="none"/>
              </w:rPr>
              <w:t>电子签章</w:t>
            </w:r>
          </w:p>
        </w:tc>
      </w:tr>
      <w:tr w14:paraId="6619564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0" w:type="dxa"/>
            <w:vAlign w:val="center"/>
          </w:tcPr>
          <w:p w14:paraId="433ED25A">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254" w:type="dxa"/>
            <w:vAlign w:val="center"/>
          </w:tcPr>
          <w:p w14:paraId="75233CC2">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highlight w:val="none"/>
              </w:rPr>
              <w:t>投标</w:t>
            </w:r>
            <w:r>
              <w:rPr>
                <w:rFonts w:hint="eastAsia" w:ascii="宋体" w:hAnsi="宋体" w:eastAsia="宋体" w:cs="宋体"/>
                <w:color w:val="auto"/>
                <w:spacing w:val="-2"/>
                <w:kern w:val="0"/>
                <w:position w:val="-3"/>
                <w:sz w:val="24"/>
                <w:highlight w:val="none"/>
              </w:rPr>
              <w:t>文</w:t>
            </w:r>
            <w:r>
              <w:rPr>
                <w:rFonts w:hint="eastAsia" w:ascii="宋体" w:hAnsi="宋体" w:eastAsia="宋体" w:cs="宋体"/>
                <w:color w:val="auto"/>
                <w:kern w:val="0"/>
                <w:position w:val="-3"/>
                <w:sz w:val="24"/>
                <w:highlight w:val="none"/>
              </w:rPr>
              <w:t>件</w:t>
            </w:r>
            <w:r>
              <w:rPr>
                <w:rFonts w:hint="eastAsia" w:ascii="宋体" w:hAnsi="宋体" w:eastAsia="宋体" w:cs="宋体"/>
                <w:color w:val="auto"/>
                <w:spacing w:val="-2"/>
                <w:kern w:val="0"/>
                <w:position w:val="-3"/>
                <w:sz w:val="24"/>
                <w:highlight w:val="none"/>
              </w:rPr>
              <w:t>有</w:t>
            </w:r>
            <w:r>
              <w:rPr>
                <w:rFonts w:hint="eastAsia" w:ascii="宋体" w:hAnsi="宋体" w:eastAsia="宋体" w:cs="宋体"/>
                <w:color w:val="auto"/>
                <w:kern w:val="0"/>
                <w:position w:val="-3"/>
                <w:sz w:val="24"/>
                <w:highlight w:val="none"/>
              </w:rPr>
              <w:t>效期</w:t>
            </w:r>
          </w:p>
        </w:tc>
        <w:tc>
          <w:tcPr>
            <w:tcW w:w="8684" w:type="dxa"/>
            <w:vAlign w:val="center"/>
          </w:tcPr>
          <w:p w14:paraId="3D048F01">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2"/>
                <w:sz w:val="24"/>
                <w:highlight w:val="none"/>
              </w:rPr>
              <w:t>自投</w:t>
            </w:r>
            <w:r>
              <w:rPr>
                <w:rFonts w:hint="eastAsia" w:ascii="宋体" w:hAnsi="宋体" w:eastAsia="宋体" w:cs="宋体"/>
                <w:color w:val="auto"/>
                <w:spacing w:val="-2"/>
                <w:kern w:val="0"/>
                <w:position w:val="-2"/>
                <w:sz w:val="24"/>
                <w:highlight w:val="none"/>
              </w:rPr>
              <w:t>标</w:t>
            </w:r>
            <w:r>
              <w:rPr>
                <w:rFonts w:hint="eastAsia" w:ascii="宋体" w:hAnsi="宋体" w:eastAsia="宋体" w:cs="宋体"/>
                <w:color w:val="auto"/>
                <w:kern w:val="0"/>
                <w:position w:val="-2"/>
                <w:sz w:val="24"/>
                <w:highlight w:val="none"/>
              </w:rPr>
              <w:t>截</w:t>
            </w:r>
            <w:r>
              <w:rPr>
                <w:rFonts w:hint="eastAsia" w:ascii="宋体" w:hAnsi="宋体" w:eastAsia="宋体" w:cs="宋体"/>
                <w:color w:val="auto"/>
                <w:spacing w:val="-2"/>
                <w:kern w:val="0"/>
                <w:position w:val="-2"/>
                <w:sz w:val="24"/>
                <w:highlight w:val="none"/>
              </w:rPr>
              <w:t>止</w:t>
            </w:r>
            <w:r>
              <w:rPr>
                <w:rFonts w:hint="eastAsia" w:ascii="宋体" w:hAnsi="宋体" w:eastAsia="宋体" w:cs="宋体"/>
                <w:color w:val="auto"/>
                <w:kern w:val="0"/>
                <w:position w:val="-2"/>
                <w:sz w:val="24"/>
                <w:highlight w:val="none"/>
              </w:rPr>
              <w:t>时</w:t>
            </w:r>
            <w:r>
              <w:rPr>
                <w:rFonts w:hint="eastAsia" w:ascii="宋体" w:hAnsi="宋体" w:eastAsia="宋体" w:cs="宋体"/>
                <w:color w:val="auto"/>
                <w:spacing w:val="-2"/>
                <w:kern w:val="0"/>
                <w:position w:val="-2"/>
                <w:sz w:val="24"/>
                <w:highlight w:val="none"/>
              </w:rPr>
              <w:t>间</w:t>
            </w:r>
            <w:r>
              <w:rPr>
                <w:rFonts w:hint="eastAsia" w:ascii="宋体" w:hAnsi="宋体" w:eastAsia="宋体" w:cs="宋体"/>
                <w:color w:val="auto"/>
                <w:kern w:val="0"/>
                <w:position w:val="-2"/>
                <w:sz w:val="24"/>
                <w:highlight w:val="none"/>
              </w:rPr>
              <w:t>起不少于</w:t>
            </w:r>
            <w:r>
              <w:rPr>
                <w:rFonts w:hint="eastAsia" w:ascii="宋体" w:hAnsi="宋体" w:eastAsia="宋体" w:cs="宋体"/>
                <w:color w:val="auto"/>
                <w:spacing w:val="-2"/>
                <w:kern w:val="0"/>
                <w:position w:val="-2"/>
                <w:sz w:val="24"/>
                <w:highlight w:val="none"/>
              </w:rPr>
              <w:t>90天。</w:t>
            </w:r>
          </w:p>
        </w:tc>
      </w:tr>
      <w:tr w14:paraId="3185308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48CF640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254" w:type="dxa"/>
            <w:vAlign w:val="center"/>
          </w:tcPr>
          <w:p w14:paraId="4FD409D4">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szCs w:val="22"/>
                <w:highlight w:val="none"/>
              </w:rPr>
              <w:t>投标文件的形式</w:t>
            </w:r>
          </w:p>
        </w:tc>
        <w:tc>
          <w:tcPr>
            <w:tcW w:w="8684" w:type="dxa"/>
            <w:vAlign w:val="center"/>
          </w:tcPr>
          <w:p w14:paraId="0A32D936">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p>
          <w:p w14:paraId="4A9EA8B4">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14:paraId="7CD07845">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（2）“备份投标文件”是指与“电子加密投标文件”同时生成的数据电文形式的电子文件（备份标书），其他方式编制的备份投标文件视为无效备份投标文件。</w:t>
            </w:r>
          </w:p>
        </w:tc>
      </w:tr>
      <w:tr w14:paraId="226BA88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592E4526">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254" w:type="dxa"/>
            <w:vAlign w:val="center"/>
          </w:tcPr>
          <w:p w14:paraId="3E84F6CF">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3"/>
                <w:sz w:val="24"/>
                <w:highlight w:val="none"/>
              </w:rPr>
              <w:t>投标样品</w:t>
            </w:r>
          </w:p>
        </w:tc>
        <w:tc>
          <w:tcPr>
            <w:tcW w:w="8684" w:type="dxa"/>
            <w:vAlign w:val="center"/>
          </w:tcPr>
          <w:p w14:paraId="193D0687">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1、本项目是否需要样品：☑</w:t>
            </w:r>
            <w:r>
              <w:rPr>
                <w:rFonts w:hint="eastAsia" w:ascii="宋体" w:hAnsi="宋体" w:eastAsia="宋体" w:cs="宋体"/>
                <w:color w:val="auto"/>
                <w:kern w:val="2"/>
                <w:sz w:val="24"/>
                <w:szCs w:val="24"/>
                <w:highlight w:val="none"/>
                <w:lang w:val="zh-CN" w:eastAsia="zh-CN" w:bidi="ar-SA"/>
              </w:rPr>
              <w:t>否；</w:t>
            </w:r>
            <w:r>
              <w:rPr>
                <w:rFonts w:hint="eastAsia" w:ascii="宋体" w:hAnsi="宋体" w:eastAsia="宋体" w:cs="宋体"/>
                <w:color w:val="auto"/>
                <w:kern w:val="2"/>
                <w:sz w:val="24"/>
                <w:szCs w:val="24"/>
                <w:highlight w:val="none"/>
                <w:lang w:val="en-US" w:eastAsia="zh-CN" w:bidi="ar-SA"/>
              </w:rPr>
              <w:t>□是，详见第三部分要求。</w:t>
            </w:r>
          </w:p>
          <w:p w14:paraId="5E726C55">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2、样品标识：□</w:t>
            </w:r>
            <w:r>
              <w:rPr>
                <w:rFonts w:hint="eastAsia" w:ascii="宋体" w:hAnsi="宋体" w:eastAsia="宋体" w:cs="宋体"/>
                <w:color w:val="auto"/>
                <w:kern w:val="2"/>
                <w:sz w:val="24"/>
                <w:szCs w:val="24"/>
                <w:highlight w:val="none"/>
                <w:lang w:val="zh-CN" w:eastAsia="zh-CN" w:bidi="ar-SA"/>
              </w:rPr>
              <w:t>明标；</w:t>
            </w:r>
            <w:r>
              <w:rPr>
                <w:rFonts w:hint="eastAsia" w:ascii="宋体" w:hAnsi="宋体" w:eastAsia="宋体" w:cs="宋体"/>
                <w:color w:val="auto"/>
                <w:kern w:val="2"/>
                <w:sz w:val="24"/>
                <w:szCs w:val="24"/>
                <w:highlight w:val="none"/>
                <w:lang w:val="en-US" w:eastAsia="zh-CN" w:bidi="ar-SA"/>
              </w:rPr>
              <w:t>□暗标。</w:t>
            </w:r>
          </w:p>
          <w:p w14:paraId="1FCB117C">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3、样品送至地点：</w:t>
            </w:r>
            <w:r>
              <w:rPr>
                <w:rFonts w:hint="eastAsia" w:ascii="宋体" w:hAnsi="宋体" w:cs="宋体"/>
                <w:color w:val="auto"/>
                <w:kern w:val="2"/>
                <w:sz w:val="24"/>
                <w:szCs w:val="24"/>
                <w:highlight w:val="none"/>
                <w:u w:val="single"/>
                <w:lang w:val="en-US" w:eastAsia="zh-CN" w:bidi="ar-SA"/>
              </w:rPr>
              <w:t xml:space="preserve">        </w:t>
            </w:r>
          </w:p>
          <w:p w14:paraId="5A4A8121">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4、中标人样品处理：□退还；☑封存至验收；□抵扣采购数量。</w:t>
            </w:r>
          </w:p>
          <w:p w14:paraId="0F15C1DD">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eastAsia="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5、样品退还时间：</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en-US" w:eastAsia="zh-CN" w:bidi="ar-SA"/>
              </w:rPr>
              <w:t xml:space="preserve">（另行通知）  </w:t>
            </w:r>
            <w:r>
              <w:rPr>
                <w:rFonts w:hint="eastAsia" w:ascii="宋体" w:hAnsi="宋体" w:eastAsia="宋体" w:cs="宋体"/>
                <w:color w:val="auto"/>
                <w:kern w:val="2"/>
                <w:sz w:val="24"/>
                <w:szCs w:val="24"/>
                <w:highlight w:val="none"/>
                <w:lang w:val="en-US" w:eastAsia="zh-CN" w:bidi="ar-SA"/>
              </w:rPr>
              <w:t xml:space="preserve">       </w:t>
            </w:r>
            <w:r>
              <w:rPr>
                <w:rFonts w:hint="eastAsia"/>
                <w:color w:val="auto"/>
                <w:highlight w:val="none"/>
              </w:rPr>
              <w:t xml:space="preserve">       </w:t>
            </w:r>
          </w:p>
        </w:tc>
      </w:tr>
      <w:tr w14:paraId="6C5D623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0" w:type="dxa"/>
            <w:vAlign w:val="center"/>
          </w:tcPr>
          <w:p w14:paraId="60C804C0">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254" w:type="dxa"/>
            <w:vAlign w:val="center"/>
          </w:tcPr>
          <w:p w14:paraId="0E452B5E">
            <w:pPr>
              <w:pStyle w:val="3"/>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color w:val="auto"/>
                <w:highlight w:val="none"/>
                <w:lang w:val="en-US" w:eastAsia="zh-CN"/>
              </w:rPr>
            </w:pPr>
            <w:r>
              <w:rPr>
                <w:rFonts w:hint="eastAsia"/>
                <w:color w:val="auto"/>
                <w:highlight w:val="none"/>
                <w:lang w:val="en-US" w:eastAsia="zh-CN"/>
              </w:rPr>
              <w:t>履约担保</w:t>
            </w:r>
          </w:p>
        </w:tc>
        <w:tc>
          <w:tcPr>
            <w:tcW w:w="8684" w:type="dxa"/>
            <w:vAlign w:val="center"/>
          </w:tcPr>
          <w:p w14:paraId="5E8E2FB8">
            <w:pPr>
              <w:autoSpaceDE w:val="0"/>
              <w:autoSpaceDN w:val="0"/>
              <w:adjustRightInd w:val="0"/>
              <w:spacing w:line="288" w:lineRule="auto"/>
              <w:ind w:right="-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1、履约保证金的形式：现金、银行保函</w:t>
            </w:r>
          </w:p>
          <w:p w14:paraId="219A7259">
            <w:pPr>
              <w:autoSpaceDE w:val="0"/>
              <w:autoSpaceDN w:val="0"/>
              <w:adjustRightInd w:val="0"/>
              <w:spacing w:line="288" w:lineRule="auto"/>
              <w:ind w:right="-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2、履约担保金的金额：合同价的1%（不计利息，相关费用由中标人承担）。</w:t>
            </w:r>
          </w:p>
          <w:p w14:paraId="562A7BEB">
            <w:pPr>
              <w:autoSpaceDE w:val="0"/>
              <w:autoSpaceDN w:val="0"/>
              <w:adjustRightInd w:val="0"/>
              <w:spacing w:line="288" w:lineRule="auto"/>
              <w:ind w:right="-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3、履约担保金的缴纳时间：合同签订后十日内。</w:t>
            </w:r>
          </w:p>
          <w:p w14:paraId="4BC05664">
            <w:pPr>
              <w:autoSpaceDE w:val="0"/>
              <w:autoSpaceDN w:val="0"/>
              <w:adjustRightInd w:val="0"/>
              <w:spacing w:line="288" w:lineRule="auto"/>
              <w:ind w:right="-20"/>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sz w:val="24"/>
                <w:highlight w:val="none"/>
                <w:lang w:val="en-US" w:eastAsia="zh-CN"/>
              </w:rPr>
              <w:t>4、履约保证金退还：履约保证金待合同期满后一次性退还（不计利息），如有违约则扣除相应违约金后，余额退还。</w:t>
            </w:r>
          </w:p>
        </w:tc>
      </w:tr>
      <w:tr w14:paraId="09BC3E2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0" w:type="dxa"/>
            <w:vAlign w:val="center"/>
          </w:tcPr>
          <w:p w14:paraId="4F718DA4">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254" w:type="dxa"/>
            <w:vAlign w:val="center"/>
          </w:tcPr>
          <w:p w14:paraId="5DDE1BBE">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color w:val="auto"/>
                <w:highlight w:val="none"/>
                <w:lang w:val="en-US" w:eastAsia="zh-CN"/>
              </w:rPr>
            </w:pPr>
            <w:r>
              <w:rPr>
                <w:rFonts w:hint="eastAsia" w:ascii="宋体" w:hAnsi="宋体" w:eastAsia="宋体" w:cs="宋体"/>
                <w:color w:val="auto"/>
                <w:sz w:val="24"/>
                <w:highlight w:val="none"/>
              </w:rPr>
              <w:t>招标代理服务费</w:t>
            </w:r>
          </w:p>
        </w:tc>
        <w:tc>
          <w:tcPr>
            <w:tcW w:w="8684" w:type="dxa"/>
            <w:vAlign w:val="center"/>
          </w:tcPr>
          <w:p w14:paraId="0FA46C73">
            <w:pPr>
              <w:autoSpaceDE w:val="0"/>
              <w:autoSpaceDN w:val="0"/>
              <w:adjustRightInd w:val="0"/>
              <w:spacing w:line="288" w:lineRule="auto"/>
              <w:ind w:right="-2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1、本项目根据中标价，参照原国家计委关于印发《招标代理服务收费管理暂行办法》的通知（计价格[2002]1980号）收费标准</w:t>
            </w:r>
            <w:r>
              <w:rPr>
                <w:rFonts w:hint="eastAsia" w:ascii="宋体" w:hAnsi="宋体" w:cs="宋体"/>
                <w:color w:val="auto"/>
                <w:sz w:val="24"/>
                <w:highlight w:val="none"/>
                <w:lang w:val="en-US" w:eastAsia="zh-CN"/>
              </w:rPr>
              <w:t>的40.91%</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u w:val="single"/>
              </w:rPr>
              <w:t>中标人</w:t>
            </w:r>
            <w:r>
              <w:rPr>
                <w:rFonts w:hint="eastAsia" w:ascii="宋体" w:hAnsi="宋体" w:eastAsia="宋体" w:cs="宋体"/>
                <w:color w:val="auto"/>
                <w:sz w:val="24"/>
                <w:highlight w:val="none"/>
              </w:rPr>
              <w:t>收取招标代理服务费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不足2000元的，按2000元计取</w:t>
            </w:r>
            <w:r>
              <w:rPr>
                <w:rFonts w:hint="eastAsia" w:ascii="宋体" w:hAnsi="宋体" w:cs="宋体"/>
                <w:color w:val="auto"/>
                <w:sz w:val="24"/>
                <w:highlight w:val="none"/>
                <w:lang w:val="en-US" w:eastAsia="zh-CN"/>
              </w:rPr>
              <w:t>,</w:t>
            </w:r>
            <w:r>
              <w:rPr>
                <w:rFonts w:hint="eastAsia" w:ascii="宋体" w:hAnsi="宋体"/>
                <w:color w:val="auto"/>
                <w:sz w:val="24"/>
                <w:szCs w:val="22"/>
                <w:highlight w:val="none"/>
                <w:shd w:val="clear" w:color="auto" w:fill="auto"/>
              </w:rPr>
              <w:t>其他相关费用可咨询采购代理</w:t>
            </w:r>
            <w:r>
              <w:rPr>
                <w:rFonts w:hint="eastAsia" w:ascii="宋体" w:hAnsi="宋体" w:eastAsia="宋体" w:cs="宋体"/>
                <w:color w:val="auto"/>
                <w:sz w:val="24"/>
                <w:highlight w:val="none"/>
              </w:rPr>
              <w:t>。</w:t>
            </w:r>
          </w:p>
          <w:p w14:paraId="4CE8A8CC">
            <w:pPr>
              <w:autoSpaceDE w:val="0"/>
              <w:autoSpaceDN w:val="0"/>
              <w:adjustRightInd w:val="0"/>
              <w:spacing w:line="288" w:lineRule="auto"/>
              <w:ind w:right="-20"/>
              <w:rPr>
                <w:rFonts w:hint="eastAsia" w:ascii="宋体" w:hAnsi="宋体" w:cs="宋体"/>
                <w:color w:val="auto"/>
                <w:sz w:val="24"/>
                <w:szCs w:val="22"/>
                <w:highlight w:val="none"/>
                <w:lang w:eastAsia="zh-CN"/>
              </w:rPr>
            </w:pPr>
            <w:r>
              <w:rPr>
                <w:rFonts w:hint="eastAsia" w:ascii="宋体" w:hAnsi="宋体" w:eastAsia="宋体" w:cs="宋体"/>
                <w:color w:val="auto"/>
                <w:sz w:val="24"/>
                <w:szCs w:val="22"/>
                <w:highlight w:val="none"/>
              </w:rPr>
              <w:t>1）收款单位（户名）：浙江中际工程项目管理有限公司衢州分公司</w:t>
            </w:r>
          </w:p>
          <w:p w14:paraId="796E48ED">
            <w:pPr>
              <w:autoSpaceDE w:val="0"/>
              <w:autoSpaceDN w:val="0"/>
              <w:adjustRightInd w:val="0"/>
              <w:spacing w:line="288" w:lineRule="auto"/>
              <w:ind w:right="-2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rPr>
              <w:t>2）开  户：</w:t>
            </w:r>
            <w:r>
              <w:rPr>
                <w:rFonts w:hint="eastAsia" w:ascii="宋体" w:hAnsi="宋体" w:eastAsia="宋体" w:cs="宋体"/>
                <w:color w:val="auto"/>
                <w:sz w:val="24"/>
                <w:szCs w:val="22"/>
                <w:highlight w:val="none"/>
                <w:lang w:eastAsia="zh-CN"/>
              </w:rPr>
              <w:t>浙江衢州柯城农村商业银行股份有限公司万田支行</w:t>
            </w:r>
          </w:p>
          <w:p w14:paraId="30BC3C05">
            <w:pPr>
              <w:autoSpaceDE w:val="0"/>
              <w:autoSpaceDN w:val="0"/>
              <w:adjustRightInd w:val="0"/>
              <w:spacing w:line="288" w:lineRule="auto"/>
              <w:ind w:right="-20"/>
              <w:rPr>
                <w:rFonts w:hint="eastAsia" w:ascii="宋体" w:hAnsi="宋体" w:eastAsia="宋体" w:cs="宋体"/>
                <w:color w:val="auto"/>
                <w:highlight w:val="none"/>
              </w:rPr>
            </w:pPr>
            <w:r>
              <w:rPr>
                <w:rFonts w:hint="eastAsia" w:ascii="宋体" w:hAnsi="宋体" w:eastAsia="宋体" w:cs="宋体"/>
                <w:color w:val="auto"/>
                <w:sz w:val="24"/>
                <w:szCs w:val="22"/>
                <w:highlight w:val="none"/>
              </w:rPr>
              <w:t>3）账  号：201000184633300</w:t>
            </w:r>
          </w:p>
          <w:p w14:paraId="27EADACD">
            <w:pPr>
              <w:adjustRightInd w:val="0"/>
              <w:snapToGrid w:val="0"/>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以上费用均不在报价中单列，请</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报价中予以考虑。</w:t>
            </w:r>
          </w:p>
          <w:p w14:paraId="5E0CDBB3">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hAnsi="宋体" w:cs="宋体"/>
                <w:color w:val="auto"/>
                <w:sz w:val="24"/>
                <w:szCs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结算方式及时间为：在领取成交通知书时由成交人一次性向采购代理机构付清。</w:t>
            </w:r>
          </w:p>
        </w:tc>
      </w:tr>
      <w:tr w14:paraId="60CAAEA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80" w:type="dxa"/>
            <w:vMerge w:val="restart"/>
            <w:vAlign w:val="center"/>
          </w:tcPr>
          <w:p w14:paraId="5966BF51">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1254" w:type="dxa"/>
            <w:vMerge w:val="restart"/>
            <w:vAlign w:val="center"/>
          </w:tcPr>
          <w:p w14:paraId="5B90BA44">
            <w:pPr>
              <w:keepNext w:val="0"/>
              <w:keepLines w:val="0"/>
              <w:pageBreakBefore w:val="0"/>
              <w:widowControl w:val="0"/>
              <w:kinsoku/>
              <w:wordWrap/>
              <w:overflowPunct/>
              <w:topLinePunct w:val="0"/>
              <w:bidi w:val="0"/>
              <w:adjustRightInd w:val="0"/>
              <w:snapToGrid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其他注意事项</w:t>
            </w:r>
          </w:p>
        </w:tc>
        <w:tc>
          <w:tcPr>
            <w:tcW w:w="8684" w:type="dxa"/>
            <w:vAlign w:val="center"/>
          </w:tcPr>
          <w:p w14:paraId="3B62C3A4">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14:paraId="02C79EC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80" w:type="dxa"/>
            <w:vMerge w:val="continue"/>
            <w:vAlign w:val="center"/>
          </w:tcPr>
          <w:p w14:paraId="37E4BE85">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19A4FBF3">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684" w:type="dxa"/>
            <w:vAlign w:val="center"/>
          </w:tcPr>
          <w:p w14:paraId="13956257">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以上内容如有变化将另行通知，如通知其中某一项内容发生变化，其余未提及的内容将不作变动。</w:t>
            </w:r>
          </w:p>
        </w:tc>
      </w:tr>
      <w:tr w14:paraId="71A902F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80" w:type="dxa"/>
            <w:vMerge w:val="continue"/>
            <w:vAlign w:val="center"/>
          </w:tcPr>
          <w:p w14:paraId="63653FBA">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0DA9E684">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684" w:type="dxa"/>
            <w:vAlign w:val="center"/>
          </w:tcPr>
          <w:p w14:paraId="24EF2522">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根据浙江省财政厅文件浙财采监[2015]13号文件《关于印发浙江省政府采购活动现场组织管理办法的通知》要求，本项目按浙江省政府采购活动现场组织管理办法实施。</w:t>
            </w:r>
          </w:p>
        </w:tc>
      </w:tr>
      <w:tr w14:paraId="73ECE80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27959F2E">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73BAAFDB">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684" w:type="dxa"/>
            <w:vAlign w:val="center"/>
          </w:tcPr>
          <w:p w14:paraId="639C3656">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企业质押融资：取得衢州市政府采购合同的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，均可在政采云里实施政采贷或凭政府采购合同及应收账款收益权，向银行申请质押融资。申请质押融资时，</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需先注册“衢州金融服务信用信息平台”用户，登录后通过“中征融资”模快进入“中征应收账款融资服务平台”，完善企业信息后，向合作银行推送中标采购信息。</w:t>
            </w:r>
          </w:p>
          <w:p w14:paraId="54EF93E6">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采购合同签订前已与银行机构达成融资意向的，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应向采购单位或采购代理机构申明该合同将用于质押融资，并在合同中注明融资银行机构名称及在该银行机构的唯一收款账号。</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在合同签订后出现融资需求的，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应根据银行机构要求向采购单位申请修改合同收款账号，并在开具发票时提供给采购人用于支付合同款项。</w:t>
            </w:r>
          </w:p>
        </w:tc>
      </w:tr>
      <w:tr w14:paraId="04BC180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09" w:hRule="atLeast"/>
          <w:jc w:val="center"/>
        </w:trPr>
        <w:tc>
          <w:tcPr>
            <w:tcW w:w="780" w:type="dxa"/>
            <w:vMerge w:val="continue"/>
            <w:vAlign w:val="center"/>
          </w:tcPr>
          <w:p w14:paraId="36FAC7DD">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4ABADC94">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684" w:type="dxa"/>
            <w:vAlign w:val="center"/>
          </w:tcPr>
          <w:p w14:paraId="015F66B1">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14:paraId="630E4FB6">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1）采购人或采购代理机构将对本项目投标人的信用记录进行查询。查询渠道为信用中国网站（www.creditchina.gov.cn）、中国政府采购网（www.ccgp.gov.cn）；</w:t>
            </w:r>
          </w:p>
          <w:p w14:paraId="3EFE302E">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14:paraId="2A273207">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14:paraId="307FF502">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1D632A41">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14:paraId="3B1F3A9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780" w:type="dxa"/>
            <w:vMerge w:val="continue"/>
            <w:vAlign w:val="center"/>
          </w:tcPr>
          <w:p w14:paraId="561BF9AA">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7D0642E6">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684" w:type="dxa"/>
            <w:vAlign w:val="center"/>
          </w:tcPr>
          <w:p w14:paraId="1C9D79C0">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本项目需要落实的政府采购政策：</w:t>
            </w:r>
          </w:p>
          <w:p w14:paraId="25396F42">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）《政府采购促进中小企业发展管理办法》（财库[2020]46号）。</w:t>
            </w:r>
          </w:p>
          <w:p w14:paraId="51B915E0">
            <w:pPr>
              <w:tabs>
                <w:tab w:val="left" w:pos="6300"/>
              </w:tabs>
              <w:snapToGrid w:val="0"/>
              <w:spacing w:line="400" w:lineRule="exact"/>
              <w:rPr>
                <w:rFonts w:hint="eastAsia" w:ascii="宋体" w:hAnsi="宋体"/>
                <w:color w:val="auto"/>
                <w:sz w:val="22"/>
                <w:szCs w:val="22"/>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）本项目所属行</w:t>
            </w:r>
            <w:r>
              <w:rPr>
                <w:rFonts w:hint="eastAsia" w:ascii="宋体" w:hAnsi="宋体" w:eastAsia="宋体" w:cs="宋体"/>
                <w:color w:val="auto"/>
                <w:sz w:val="24"/>
                <w:highlight w:val="none"/>
                <w:u w:val="none"/>
                <w:lang w:eastAsia="zh-CN"/>
              </w:rPr>
              <w:t>业：</w:t>
            </w:r>
            <w:r>
              <w:rPr>
                <w:rFonts w:hint="eastAsia" w:ascii="宋体" w:hAnsi="宋体" w:eastAsia="宋体" w:cs="宋体"/>
                <w:b/>
                <w:bCs/>
                <w:color w:val="auto"/>
                <w:sz w:val="24"/>
                <w:highlight w:val="none"/>
                <w:lang w:eastAsia="zh-CN"/>
              </w:rPr>
              <w:t>属于其他未列明行业</w:t>
            </w:r>
            <w:r>
              <w:rPr>
                <w:rFonts w:hint="eastAsia" w:ascii="宋体" w:hAnsi="宋体" w:cs="宋体"/>
                <w:b/>
                <w:bCs/>
                <w:color w:val="auto"/>
                <w:sz w:val="24"/>
                <w:highlight w:val="none"/>
                <w:lang w:val="en-US" w:eastAsia="zh-CN"/>
              </w:rPr>
              <w:t>。</w:t>
            </w:r>
          </w:p>
          <w:p w14:paraId="0C146E7D">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Times New Roman"/>
                <w:b w:val="0"/>
                <w:bCs w:val="0"/>
                <w:color w:val="000000" w:themeColor="text1"/>
                <w:kern w:val="2"/>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kern w:val="2"/>
                <w:sz w:val="24"/>
                <w:highlight w:val="none"/>
                <w:lang w:val="en-US" w:eastAsia="zh-CN"/>
                <w14:textFill>
                  <w14:solidFill>
                    <w14:schemeClr w14:val="tx1"/>
                  </w14:solidFill>
                </w14:textFill>
              </w:rPr>
              <w:t>3</w:t>
            </w:r>
            <w:r>
              <w:rPr>
                <w:rFonts w:hint="eastAsia" w:ascii="宋体" w:hAnsi="宋体" w:eastAsia="宋体" w:cs="Times New Roman"/>
                <w:b w:val="0"/>
                <w:bCs w:val="0"/>
                <w:color w:val="000000" w:themeColor="text1"/>
                <w:kern w:val="2"/>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kern w:val="2"/>
                <w:sz w:val="24"/>
                <w:highlight w:val="none"/>
                <w14:textFill>
                  <w14:solidFill>
                    <w14:schemeClr w14:val="tx1"/>
                  </w14:solidFill>
                </w14:textFill>
              </w:rPr>
              <w:t>中小企业划型标准详见：工信部联企业〔2011〕300号</w:t>
            </w:r>
            <w:r>
              <w:rPr>
                <w:rFonts w:hint="eastAsia" w:ascii="宋体" w:hAnsi="宋体" w:eastAsia="宋体" w:cs="Times New Roman"/>
                <w:b w:val="0"/>
                <w:bCs w:val="0"/>
                <w:color w:val="000000" w:themeColor="text1"/>
                <w:kern w:val="2"/>
                <w:sz w:val="24"/>
                <w:highlight w:val="none"/>
                <w:lang w:eastAsia="zh-CN"/>
                <w14:textFill>
                  <w14:solidFill>
                    <w14:schemeClr w14:val="tx1"/>
                  </w14:solidFill>
                </w14:textFill>
              </w:rPr>
              <w:t>。</w:t>
            </w:r>
          </w:p>
        </w:tc>
      </w:tr>
      <w:tr w14:paraId="5E414BE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54" w:hRule="atLeast"/>
          <w:jc w:val="center"/>
        </w:trPr>
        <w:tc>
          <w:tcPr>
            <w:tcW w:w="780" w:type="dxa"/>
            <w:vMerge w:val="continue"/>
            <w:vAlign w:val="center"/>
          </w:tcPr>
          <w:p w14:paraId="2700CC5C">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78FF548D">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684" w:type="dxa"/>
            <w:vAlign w:val="center"/>
          </w:tcPr>
          <w:p w14:paraId="7F74614B">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1、本次采购为专门面向中小企业。</w:t>
            </w:r>
          </w:p>
          <w:p w14:paraId="39F73502">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2、根据财政部发布的《政府采购促进中小企业发展管理办法》 （财库[2020]46号）的规定规定执行。投标文件中须提供《中小企业声明函》。</w:t>
            </w:r>
          </w:p>
          <w:p w14:paraId="17A57E57">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3、对于专门面向中、小、微型企业或者监狱企业或者残疾人福利性单位的政府采购货物或服务项目或工程项目，符合资格条件的不再执行价格评审优惠的扶持政策。</w:t>
            </w:r>
          </w:p>
          <w:p w14:paraId="767D260F">
            <w:pPr>
              <w:keepNext w:val="0"/>
              <w:keepLines w:val="0"/>
              <w:pageBreakBefore w:val="0"/>
              <w:widowControl w:val="0"/>
              <w:kinsoku/>
              <w:wordWrap/>
              <w:overflowPunct/>
              <w:topLinePunct w:val="0"/>
              <w:bidi w:val="0"/>
              <w:adjustRightInd w:val="0"/>
              <w:snapToGrid w:val="0"/>
              <w:spacing w:line="400" w:lineRule="exact"/>
              <w:ind w:left="0" w:leftChars="0" w:firstLine="482"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b/>
                <w:bCs/>
                <w:color w:val="auto"/>
                <w:kern w:val="0"/>
                <w:sz w:val="24"/>
                <w:szCs w:val="24"/>
                <w:highlight w:val="none"/>
              </w:rPr>
              <w:t>中标</w:t>
            </w:r>
            <w:r>
              <w:rPr>
                <w:rFonts w:hint="eastAsia" w:ascii="宋体" w:hAnsi="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为中小企业、残疾人福利性单位、监狱企业的，应当随中标结果同时公告其《中小企业声明函》、《残疾人福利性单位声明函》、《监狱企业声明函》，接受社会监督。）属于小型、微型企业的残疾人福利性单位、监狱企业，不重复享受政策。</w:t>
            </w:r>
            <w:r>
              <w:rPr>
                <w:rFonts w:hint="eastAsia" w:ascii="宋体" w:hAnsi="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 xml:space="preserve">提供的《中小企业声明函》、《残疾人福利性单位声明函》、《监狱企业声明函》与事实不符的，依照《政府采购法》第七十七条第一款的规定追究法律责任。 </w:t>
            </w:r>
          </w:p>
        </w:tc>
      </w:tr>
      <w:tr w14:paraId="101B680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780" w:type="dxa"/>
            <w:vAlign w:val="center"/>
          </w:tcPr>
          <w:p w14:paraId="1E8DF5FF">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1254" w:type="dxa"/>
            <w:vAlign w:val="center"/>
          </w:tcPr>
          <w:p w14:paraId="3BACC54A">
            <w:pPr>
              <w:pStyle w:val="3"/>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eastAsia="zh-CN"/>
              </w:rPr>
              <w:t>特别提醒</w:t>
            </w:r>
          </w:p>
        </w:tc>
        <w:tc>
          <w:tcPr>
            <w:tcW w:w="8684" w:type="dxa"/>
            <w:vAlign w:val="center"/>
          </w:tcPr>
          <w:p w14:paraId="0B079154">
            <w:pPr>
              <w:pStyle w:val="3"/>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ascii="宋体" w:hAnsi="宋体" w:eastAsia="宋体" w:cs="宋体"/>
                <w:b/>
                <w:bCs/>
                <w:smallCaps/>
                <w:color w:val="auto"/>
                <w:kern w:val="2"/>
                <w:sz w:val="24"/>
                <w:szCs w:val="24"/>
                <w:highlight w:val="none"/>
                <w:lang w:val="en-US" w:eastAsia="zh-CN" w:bidi="ar-SA"/>
              </w:rPr>
            </w:pPr>
            <w:r>
              <w:rPr>
                <w:rFonts w:hint="eastAsia" w:ascii="宋体" w:hAnsi="宋体" w:eastAsia="宋体" w:cs="宋体"/>
                <w:b/>
                <w:bCs/>
                <w:smallCaps/>
                <w:color w:val="auto"/>
                <w:kern w:val="2"/>
                <w:sz w:val="24"/>
                <w:szCs w:val="24"/>
                <w:highlight w:val="none"/>
                <w:lang w:val="en-US" w:eastAsia="zh-CN" w:bidi="ar-SA"/>
              </w:rPr>
              <w:t>1.所有询标流程，均在线上完成，请各投标人务必不要离开电脑太久，并留意手机短信。（请提前检查“政采云”内，关于“项目采购”的岗位权限是否已勾选上。如有问题，请致电95763）</w:t>
            </w:r>
          </w:p>
          <w:p w14:paraId="6A5813EF">
            <w:pPr>
              <w:pStyle w:val="3"/>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color w:val="auto"/>
                <w:highlight w:val="none"/>
                <w:lang w:val="en-US" w:eastAsia="zh-CN"/>
              </w:rPr>
            </w:pPr>
            <w:r>
              <w:rPr>
                <w:rFonts w:hint="eastAsia" w:ascii="宋体" w:hAnsi="宋体" w:eastAsia="宋体" w:cs="宋体"/>
                <w:b/>
                <w:bCs/>
                <w:smallCaps/>
                <w:color w:val="auto"/>
                <w:kern w:val="2"/>
                <w:sz w:val="24"/>
                <w:szCs w:val="24"/>
                <w:highlight w:val="none"/>
                <w:lang w:val="en-US" w:eastAsia="zh-CN" w:bidi="ar-SA"/>
              </w:rPr>
              <w:t>2.投标人无须到开标现场，只需自备电脑在规定时间前进行在线解密文件即可。</w:t>
            </w:r>
          </w:p>
        </w:tc>
      </w:tr>
      <w:bookmarkEnd w:id="1"/>
    </w:tbl>
    <w:p w14:paraId="358803F8">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7" w:name="_Toc994"/>
      <w:bookmarkStart w:id="8" w:name="_Toc522530041"/>
      <w:bookmarkStart w:id="9" w:name="_Toc233618972"/>
      <w:bookmarkStart w:id="10" w:name="_Toc226521904"/>
      <w:bookmarkStart w:id="11" w:name="_Toc225840109"/>
      <w:bookmarkStart w:id="12" w:name="_Toc226106467"/>
      <w:bookmarkStart w:id="13" w:name="_Toc226106516"/>
      <w:r>
        <w:rPr>
          <w:rFonts w:hint="eastAsia" w:ascii="宋体" w:hAnsi="宋体" w:eastAsia="宋体" w:cs="宋体"/>
          <w:b/>
          <w:color w:val="auto"/>
          <w:sz w:val="32"/>
          <w:highlight w:val="none"/>
        </w:rPr>
        <w:t>一、总 则</w:t>
      </w:r>
      <w:bookmarkEnd w:id="7"/>
      <w:bookmarkEnd w:id="8"/>
      <w:bookmarkEnd w:id="9"/>
    </w:p>
    <w:p w14:paraId="3541F3BE">
      <w:pPr>
        <w:pStyle w:val="3"/>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14" w:name="_Hlt74714665"/>
      <w:bookmarkEnd w:id="14"/>
      <w:bookmarkStart w:id="15" w:name="_Hlt74730295"/>
      <w:bookmarkEnd w:id="15"/>
      <w:bookmarkStart w:id="16" w:name="_Hlt74730208"/>
      <w:bookmarkStart w:id="17" w:name="_Hlt74730112"/>
      <w:r>
        <w:rPr>
          <w:rFonts w:hint="eastAsia" w:ascii="宋体" w:hAnsi="宋体" w:eastAsia="宋体" w:cs="宋体"/>
          <w:b/>
          <w:color w:val="auto"/>
          <w:sz w:val="24"/>
          <w:highlight w:val="none"/>
        </w:rPr>
        <w:t>（一）实施依据</w:t>
      </w:r>
    </w:p>
    <w:p w14:paraId="51D39CB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本次招标工作按照《中华人民共和国政府采购法》等政府采购有关法律、法规、规章、文件的规定组织和实施。</w:t>
      </w:r>
    </w:p>
    <w:p w14:paraId="149004A6">
      <w:pPr>
        <w:pStyle w:val="3"/>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18" w:name="_Toc91899873"/>
      <w:r>
        <w:rPr>
          <w:rFonts w:hint="eastAsia" w:ascii="宋体" w:hAnsi="宋体" w:eastAsia="宋体" w:cs="宋体"/>
          <w:b/>
          <w:color w:val="auto"/>
          <w:sz w:val="24"/>
          <w:highlight w:val="none"/>
        </w:rPr>
        <w:t>（二）采购方式</w:t>
      </w:r>
      <w:bookmarkEnd w:id="18"/>
    </w:p>
    <w:p w14:paraId="5544EC1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End w:id="16"/>
      <w:bookmarkEnd w:id="17"/>
      <w:bookmarkStart w:id="19" w:name="_Hlt74388212"/>
      <w:bookmarkEnd w:id="19"/>
      <w:bookmarkStart w:id="20" w:name="_Hlt68516771"/>
      <w:bookmarkEnd w:id="20"/>
    </w:p>
    <w:p w14:paraId="4126DEC3">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kern w:val="0"/>
          <w:sz w:val="24"/>
          <w:highlight w:val="none"/>
          <w:lang w:val="zh-CN"/>
        </w:rPr>
      </w:pPr>
      <w:bookmarkStart w:id="21" w:name="_Hlt74730303"/>
      <w:bookmarkStart w:id="22" w:name="_Toc91899877"/>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14:paraId="0BDD611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招标（采购）人：是指依法进行政府采购的国家机关、事业单位、团体组织，见本项目“招标公告”；</w:t>
      </w:r>
    </w:p>
    <w:p w14:paraId="63629E2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招标（采购）代理机构：受招标人委托，在委托的范围内办理政府采购事宜并组织招标活动的机构，见本项目“招标公告”；</w:t>
      </w:r>
    </w:p>
    <w:p w14:paraId="23E612C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投标人（投标人）：是指参加本政府采购项目投标的投标人；</w:t>
      </w:r>
    </w:p>
    <w:p w14:paraId="7023230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中标人：是指经评审获得本项目最终合同签订资格的投标人。</w:t>
      </w:r>
    </w:p>
    <w:p w14:paraId="3BDE01B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买方（甲方）：是指合同签订的一方，一般与招标人、用户相同；</w:t>
      </w:r>
    </w:p>
    <w:p w14:paraId="0CE6AE5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卖方（乙方）：是指合同签订的另一方，一般与中标人相同；</w:t>
      </w:r>
    </w:p>
    <w:p w14:paraId="2128434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制造商：包括是指拥有投标产品自主知识产权的单位；</w:t>
      </w:r>
    </w:p>
    <w:p w14:paraId="12628BC3">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政府采购监管部门：</w:t>
      </w:r>
      <w:r>
        <w:rPr>
          <w:rFonts w:hint="eastAsia" w:ascii="宋体" w:hAnsi="宋体" w:eastAsia="宋体" w:cs="宋体"/>
          <w:color w:val="auto"/>
          <w:sz w:val="24"/>
          <w:szCs w:val="22"/>
          <w:highlight w:val="none"/>
        </w:rPr>
        <w:t>衢州市财政局</w:t>
      </w:r>
      <w:r>
        <w:rPr>
          <w:rFonts w:hint="eastAsia" w:ascii="宋体" w:hAnsi="宋体" w:eastAsia="宋体" w:cs="宋体"/>
          <w:color w:val="auto"/>
          <w:sz w:val="24"/>
          <w:highlight w:val="none"/>
        </w:rPr>
        <w:t>；</w:t>
      </w:r>
    </w:p>
    <w:p w14:paraId="4E6534F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产品（货物）：系指按招标文件规定，须向招标人提供的一切设备及配套备品备件、工具、手册及其他有关技术资料和材料；</w:t>
      </w:r>
    </w:p>
    <w:p w14:paraId="0B24A25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14:paraId="6AC847BA">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w:t>
      </w:r>
      <w:r>
        <w:rPr>
          <w:rFonts w:hint="eastAsia" w:ascii="宋体" w:hAnsi="宋体" w:eastAsia="宋体" w:cs="宋体"/>
          <w:color w:val="auto"/>
          <w:kern w:val="0"/>
          <w:sz w:val="24"/>
          <w:highlight w:val="none"/>
          <w:lang w:val="zh-CN"/>
        </w:rPr>
        <w:t>系指按招标文件规定，须向招标人提供</w:t>
      </w:r>
      <w:r>
        <w:rPr>
          <w:rFonts w:hint="eastAsia" w:ascii="宋体" w:hAnsi="宋体" w:eastAsia="宋体" w:cs="宋体"/>
          <w:color w:val="auto"/>
          <w:sz w:val="24"/>
          <w:highlight w:val="none"/>
          <w:lang w:val="zh-CN"/>
        </w:rPr>
        <w:t xml:space="preserve">的与供货有关的辅助服务，如运输、保险、培训安装、调试、验收、技术支持和交付使用后质保期内应履行的售后服务等义务； </w:t>
      </w:r>
    </w:p>
    <w:p w14:paraId="4E00691B">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培训：系指按招标文件规定，向招标人提供操作使用培训、系统管理培训和其他相关培训等。</w:t>
      </w:r>
    </w:p>
    <w:p w14:paraId="1FE9A763">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书面形式：包括纸质文件、电子邮件、传真、信函、电报等。</w:t>
      </w:r>
    </w:p>
    <w:p w14:paraId="6768DAE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实质性响应:系指投标文件符合招标文件规定的实质性内容、条件和规定。</w:t>
      </w:r>
    </w:p>
    <w:p w14:paraId="6DDC813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14:paraId="21CBF065">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细微偏离：系指投标文件对招标文件的非实质性内容存在不完全响应或不响应。</w:t>
      </w:r>
    </w:p>
    <w:p w14:paraId="098A3200">
      <w:pPr>
        <w:pStyle w:val="3"/>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（四）投标费用</w:t>
      </w:r>
    </w:p>
    <w:p w14:paraId="25F77DEB">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kern w:val="0"/>
          <w:position w:val="-5"/>
          <w:sz w:val="24"/>
          <w:highlight w:val="none"/>
        </w:rPr>
      </w:pPr>
      <w:r>
        <w:rPr>
          <w:rFonts w:hint="eastAsia" w:ascii="宋体" w:hAnsi="宋体" w:eastAsia="宋体" w:cs="宋体"/>
          <w:color w:val="auto"/>
          <w:kern w:val="0"/>
          <w:position w:val="-5"/>
          <w:sz w:val="24"/>
          <w:highlight w:val="none"/>
        </w:rPr>
        <w:t>无论招投标过程中的做法和结果如何，投标人自行承担招投标活动中所发生的全部费用。</w:t>
      </w:r>
    </w:p>
    <w:p w14:paraId="0F5849B7">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（五）语言文字</w:t>
      </w:r>
    </w:p>
    <w:bookmarkEnd w:id="21"/>
    <w:bookmarkEnd w:id="22"/>
    <w:p w14:paraId="2D0771D5">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bookmarkStart w:id="23" w:name="_Hlt74707468"/>
      <w:bookmarkEnd w:id="23"/>
      <w:bookmarkStart w:id="24" w:name="_Hlt68072990"/>
      <w:bookmarkEnd w:id="24"/>
      <w:bookmarkStart w:id="25" w:name="_Hlt74729768"/>
      <w:bookmarkEnd w:id="25"/>
      <w:bookmarkStart w:id="26" w:name="_Hlt68057669"/>
      <w:bookmarkEnd w:id="26"/>
      <w:bookmarkStart w:id="27" w:name="_Hlt75236290"/>
      <w:bookmarkEnd w:id="27"/>
      <w:bookmarkStart w:id="28" w:name="_Toc91899879"/>
      <w:r>
        <w:rPr>
          <w:rFonts w:hint="eastAsia" w:ascii="宋体" w:hAnsi="宋体" w:eastAsia="宋体" w:cs="宋体"/>
          <w:color w:val="auto"/>
          <w:sz w:val="24"/>
          <w:highlight w:val="none"/>
        </w:rPr>
        <w:t>1、招标投标有关的语言使用中文。</w:t>
      </w:r>
    </w:p>
    <w:p w14:paraId="7F2C0767">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47FDCC94">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（六）计量单位</w:t>
      </w:r>
    </w:p>
    <w:p w14:paraId="0D7E9D6E">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招标文件有明确规定的，适用招标文件规定的计量单位；招标文件没有规定的，应采用中华人民共和国法定计量单位，否则视同未响应。</w:t>
      </w:r>
    </w:p>
    <w:p w14:paraId="5EF0C6DC">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（七）转包与分包</w:t>
      </w:r>
    </w:p>
    <w:p w14:paraId="4DB9899C">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14:paraId="4CE391B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（八）踏勘现场</w:t>
      </w:r>
    </w:p>
    <w:p w14:paraId="5003ADD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1、若本须知“前附表”规定统一组织的，投标人应按规定的时间、地点准时出席，否则将不予单独安排；</w:t>
      </w:r>
    </w:p>
    <w:p w14:paraId="0230CE2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2、投标人踏勘现场发生的费用自理。</w:t>
      </w:r>
    </w:p>
    <w:p w14:paraId="459AB88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3、除招标人的原因外，投标人自行负责在踏勘现场中可能发生的人员伤亡和财产损失。</w:t>
      </w:r>
    </w:p>
    <w:p w14:paraId="327D2C6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4、招标人在踏勘现场中介绍的场地和相关的周边环境情况，投标人在编制投标文件时参考，招标人不对投标人据此作出的判断和决策负责。</w:t>
      </w:r>
    </w:p>
    <w:p w14:paraId="3452B41C">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（九）投标预备会（答疑会）</w:t>
      </w:r>
    </w:p>
    <w:p w14:paraId="78ECB03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1、若本须知“前附表”规定召开答疑会的，招标人将按规定的时间、地点准时召开答疑会，澄清投标人提出的问题，投标人应按规定准时出席，否则将不予单独安排答疑。</w:t>
      </w:r>
    </w:p>
    <w:p w14:paraId="0904CFA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2、投标人应在答疑会时间的前一天，以书面形式将提出的问题送达招标人，以便招标人在会议期间澄清。</w:t>
      </w:r>
    </w:p>
    <w:p w14:paraId="2A50DD1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3、答疑会后，招标人将按规定对投标人所提问题进行书面澄清答复。</w:t>
      </w:r>
    </w:p>
    <w:p w14:paraId="1B7E9183">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（十）对投标人的限制</w:t>
      </w:r>
    </w:p>
    <w:p w14:paraId="09EA95AA">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14:paraId="2F7ED1D5">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14:paraId="7555EB56">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3、以联合体形式参加政府采购活动的，联合体各方不得再单独参加或者与其他投标人另外组成联合体参加同一合同项下的政府采购活动；</w:t>
      </w:r>
    </w:p>
    <w:p w14:paraId="3B81E599">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4、为证明投标人拥有的业绩、荣誉、知识产权、项目案例等而在投标文件中提供的证明材料必须为投标人自身所有。不同法人、其他组织的资料与投标人无关。</w:t>
      </w:r>
    </w:p>
    <w:p w14:paraId="5438B8A6">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5、投标人之间的利害关系：</w:t>
      </w:r>
    </w:p>
    <w:p w14:paraId="788E9C27">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（1）法定代表人或负责人或实际控制人是夫妻关系；</w:t>
      </w:r>
    </w:p>
    <w:p w14:paraId="78ADAE79">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（2）法定代表人或负责人或实际控制人是直系血亲关系；</w:t>
      </w:r>
    </w:p>
    <w:p w14:paraId="006B11A9">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（3）法定代表人或负责人或实际控制人存在三代以内旁系血亲关系；</w:t>
      </w:r>
    </w:p>
    <w:p w14:paraId="387BC977">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（4）法定代表人或负责人或实际控制人存在近姻亲关系；</w:t>
      </w:r>
    </w:p>
    <w:p w14:paraId="2D6AB833">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（5）法定代表人或负责人或实际控制人存在股份控制或实际控制关系；</w:t>
      </w:r>
    </w:p>
    <w:p w14:paraId="53EE718D">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（6）存在共同直接或间接投资设立子公司、联营企业和合营企业情况；</w:t>
      </w:r>
    </w:p>
    <w:p w14:paraId="7D138A66">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（7）存在分级代理或代销关系、同一生产制造商关系、管理关系或重要财务往来关系（如融资）等其他实质性控制关系； 如投标人之间存在以上利害关系并且存在影响政府采购公平竞争的行为的相关投标人的投标均无效。 </w:t>
      </w:r>
    </w:p>
    <w:p w14:paraId="35DF0232">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6、采购人若有核心产品，请根据采购项目实际需求确定核心产品，并在采购文件第三部分“采购需求”中明确标注，若没有则不需要确定及注明。</w:t>
      </w:r>
    </w:p>
    <w:p w14:paraId="64FE942D">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14:paraId="7BBBE6D5">
      <w:pPr>
        <w:keepNext w:val="0"/>
        <w:keepLines w:val="0"/>
        <w:pageBreakBefore w:val="0"/>
        <w:kinsoku/>
        <w:wordWrap/>
        <w:overflowPunct/>
        <w:topLinePunct w:val="0"/>
        <w:bidi w:val="0"/>
        <w:spacing w:line="40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14:paraId="7A144DD1">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14:paraId="2030910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、投标截止前被“信用中国”网站(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)列入失信被执行人、重大税收违法案件当事人名单或被“中国政府采购网”(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www.ccgp.gov.cn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)列入政府采购严重违法失信行为记录名单等存在不良信用记录的投标人将被拒绝参加本项目采购活动。具体以投标截止当日招标代理机构在上述两个网站上查询到的信息为准。</w:t>
      </w:r>
    </w:p>
    <w:p w14:paraId="11A0F1D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14:paraId="6BCFC296">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（十一）质疑与投诉</w:t>
      </w:r>
    </w:p>
    <w:p w14:paraId="57DEAB8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14:paraId="6A919F9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（1）对招标文件提出质疑的，为招标公告期限届满之日（公告期限为公告发布后5个工作日，不含发布当日）；</w:t>
      </w:r>
    </w:p>
    <w:p w14:paraId="626B997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（2）对采购过程提出质疑的，为各招标程序环节结束之日；</w:t>
      </w:r>
    </w:p>
    <w:p w14:paraId="77646F1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（3）对评标结果提出质疑的，为中标结果公告期限届满之日（公告期限为公告发布后1个工作日，不含发布当日）。</w:t>
      </w:r>
    </w:p>
    <w:p w14:paraId="1794460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14:paraId="737FC76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14:paraId="7908AB9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4、质疑、投诉函以电子邮件或传真形式提交的，还须在提交后以邮寄的方式提交质疑书纸质原件，以实际收到原件之日作为收到质疑之日。</w:t>
      </w:r>
    </w:p>
    <w:p w14:paraId="594EA0E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5、未按上述要求提供的质疑（投诉）函，采购组织机构有权不予受理。</w:t>
      </w:r>
    </w:p>
    <w:p w14:paraId="0D2889E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6、质疑投标人对招标人、招标代理机构的答复不满意或者招标人、招标代理机构未在规定时间内作出答复的，可以在答复期满后十五个工作日内向同级采购监管部门投诉。</w:t>
      </w:r>
    </w:p>
    <w:p w14:paraId="62DE1A2C">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（十二）其他注意事项</w:t>
      </w:r>
    </w:p>
    <w:p w14:paraId="2FA75CCC">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见本须知“前附表”，同时还需注意以下事项：</w:t>
      </w:r>
    </w:p>
    <w:p w14:paraId="0C40056A">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1、法定代表人授权代表须为投标人</w:t>
      </w:r>
      <w:r>
        <w:rPr>
          <w:rFonts w:hint="eastAsia" w:ascii="宋体" w:hAnsi="宋体" w:eastAsia="宋体" w:cs="宋体"/>
          <w:b/>
          <w:color w:val="auto"/>
          <w:sz w:val="24"/>
          <w:highlight w:val="none"/>
        </w:rPr>
        <w:t>在职职工</w:t>
      </w:r>
      <w:r>
        <w:rPr>
          <w:rFonts w:hint="eastAsia" w:ascii="宋体" w:hAnsi="宋体" w:eastAsia="宋体" w:cs="宋体"/>
          <w:color w:val="auto"/>
          <w:sz w:val="24"/>
          <w:highlight w:val="none"/>
        </w:rPr>
        <w:t>，投标人须在投标文件中提供附有该授权代表为投标人</w:t>
      </w:r>
      <w:r>
        <w:rPr>
          <w:rFonts w:hint="eastAsia" w:ascii="宋体" w:hAnsi="宋体" w:eastAsia="宋体" w:cs="宋体"/>
          <w:b/>
          <w:color w:val="auto"/>
          <w:sz w:val="24"/>
          <w:highlight w:val="none"/>
        </w:rPr>
        <w:t>在职员工相关证明文件（如投标人为该员工缴纳的社保记录或劳务合同等）</w:t>
      </w:r>
      <w:r>
        <w:rPr>
          <w:rFonts w:hint="eastAsia" w:ascii="宋体" w:hAnsi="宋体" w:eastAsia="宋体" w:cs="宋体"/>
          <w:color w:val="auto"/>
          <w:sz w:val="24"/>
          <w:highlight w:val="none"/>
        </w:rPr>
        <w:t>的《法定代表人授权书》。</w:t>
      </w:r>
    </w:p>
    <w:p w14:paraId="32168045">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102DFF04">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3、▲投标人对所的采购内容必须全部进行投标。</w:t>
      </w:r>
    </w:p>
    <w:p w14:paraId="39D2AC7B">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4、不论招标人、招标代理机构向投标人发送的资料文件，还是投标人提出的问题，均采用书面形式，任何口头提问及答复一律无效。</w:t>
      </w:r>
    </w:p>
    <w:p w14:paraId="0CA37920">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14:paraId="52F06BD6">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14:paraId="7BD50546">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7、▲投标人应保证所投产品整体或其任一部分，均免受第三方提出的侵犯其专利权、商标权、著作权或其他知识产权的起诉。投标人应承担由此可能产生的一切法律责任和费用。</w:t>
      </w:r>
    </w:p>
    <w:p w14:paraId="3CB6C2D2">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14:paraId="1B678BF5">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（十三）保密</w:t>
      </w:r>
    </w:p>
    <w:p w14:paraId="588220C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参与招标投标活动的各方应对招标文件和投标文件中的商业和技术等秘密保密，违者应对此造成的后果承担法律责任。</w:t>
      </w:r>
    </w:p>
    <w:bookmarkEnd w:id="28"/>
    <w:p w14:paraId="074ED15D">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29" w:name="_Toc522530042"/>
      <w:bookmarkStart w:id="30" w:name="_Toc233618973"/>
      <w:bookmarkStart w:id="31" w:name="_Toc9352"/>
      <w:r>
        <w:rPr>
          <w:rFonts w:hint="eastAsia" w:ascii="宋体" w:hAnsi="宋体" w:eastAsia="宋体" w:cs="宋体"/>
          <w:b/>
          <w:color w:val="auto"/>
          <w:sz w:val="32"/>
          <w:highlight w:val="none"/>
        </w:rPr>
        <w:t>二、招标文件</w:t>
      </w:r>
      <w:bookmarkEnd w:id="29"/>
      <w:bookmarkEnd w:id="30"/>
      <w:bookmarkEnd w:id="31"/>
    </w:p>
    <w:p w14:paraId="3E631603">
      <w:pPr>
        <w:pStyle w:val="3"/>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32" w:name="_Toc91899880"/>
      <w:bookmarkStart w:id="33" w:name="_Hlt74730307"/>
      <w:r>
        <w:rPr>
          <w:rFonts w:hint="eastAsia" w:ascii="宋体" w:hAnsi="宋体" w:eastAsia="宋体" w:cs="宋体"/>
          <w:b/>
          <w:color w:val="auto"/>
          <w:sz w:val="24"/>
          <w:highlight w:val="none"/>
        </w:rPr>
        <w:t>（一）招标文件的</w:t>
      </w:r>
      <w:bookmarkEnd w:id="32"/>
      <w:r>
        <w:rPr>
          <w:rFonts w:hint="eastAsia" w:ascii="宋体" w:hAnsi="宋体" w:eastAsia="宋体" w:cs="宋体"/>
          <w:b/>
          <w:color w:val="auto"/>
          <w:sz w:val="24"/>
          <w:highlight w:val="none"/>
        </w:rPr>
        <w:t>组成</w:t>
      </w:r>
    </w:p>
    <w:bookmarkEnd w:id="33"/>
    <w:p w14:paraId="16ACEE9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招标文件包括下列文件及附件</w:t>
      </w:r>
    </w:p>
    <w:p w14:paraId="2123163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14:paraId="030854B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投标人须知</w:t>
      </w:r>
    </w:p>
    <w:p w14:paraId="65455F9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采购需求</w:t>
      </w:r>
    </w:p>
    <w:p w14:paraId="3F7C66F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合同文本</w:t>
      </w:r>
    </w:p>
    <w:p w14:paraId="419F4FF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投标文件部分格式文件</w:t>
      </w:r>
    </w:p>
    <w:p w14:paraId="6626658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评分办法</w:t>
      </w:r>
    </w:p>
    <w:p w14:paraId="08CCF6E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补充文件（如果有，包括相关的补充、更正、澄清公告和文件）</w:t>
      </w:r>
    </w:p>
    <w:p w14:paraId="3022966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其他附件（如果有，如图纸等）</w:t>
      </w:r>
    </w:p>
    <w:p w14:paraId="4B42775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2、投标人应认真审阅上述招标文件组成中所有的内容。如果投标人编制的投标文件没有从实质上响应招标文件的要求，其投标文件将被拒绝。</w:t>
      </w:r>
    </w:p>
    <w:p w14:paraId="5348F618">
      <w:pPr>
        <w:pStyle w:val="3"/>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（二）招标文件的解释</w:t>
      </w:r>
    </w:p>
    <w:p w14:paraId="344B4C9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1、投标人一旦参与本次招标活动，即被视为接受了本招标文件的所有内容，如有任何异议，均应在答疑截止时间前提出。</w:t>
      </w:r>
    </w:p>
    <w:p w14:paraId="61D5C73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14:paraId="0AC91A4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3、招标文件的解释权归招标人、招标代理机构所有。</w:t>
      </w:r>
    </w:p>
    <w:p w14:paraId="598616BE">
      <w:pPr>
        <w:keepNext w:val="0"/>
        <w:keepLines w:val="0"/>
        <w:pageBreakBefore w:val="0"/>
        <w:tabs>
          <w:tab w:val="left" w:pos="378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（三）招标文件的澄清</w:t>
      </w:r>
    </w:p>
    <w:p w14:paraId="3803CD2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14:paraId="55D4216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2、投标人要求澄清的资料应写明投标人全称、地址、邮编、传真、联系人、联系电话、电子邮箱、询疑日期并加盖投标人公章。</w:t>
      </w:r>
    </w:p>
    <w:p w14:paraId="0C46BA5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 如有必要，招标人和招标代理机构对投标人所有要求澄清的问题都予以书面解答，澄清答复的文件为招标补充文件，作为招标文件的组成部分。</w:t>
      </w:r>
    </w:p>
    <w:p w14:paraId="2746C6C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 投标人在招标文件规定的询疑截止时间前内未对招标文件提出疑问的，招标代理机构将视其对招标文件无异议。</w:t>
      </w:r>
    </w:p>
    <w:p w14:paraId="03C44F48">
      <w:pPr>
        <w:pStyle w:val="3"/>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（四）招标文件的修改</w:t>
      </w:r>
    </w:p>
    <w:p w14:paraId="5B1507B7">
      <w:pPr>
        <w:adjustRightInd w:val="0"/>
        <w:snapToGrid w:val="0"/>
        <w:spacing w:line="460" w:lineRule="exact"/>
        <w:ind w:firstLine="480" w:firstLineChars="200"/>
        <w:rPr>
          <w:rFonts w:ascii="宋体" w:hAnsi="宋体" w:cs="宋体"/>
          <w:color w:val="auto"/>
          <w:sz w:val="24"/>
          <w:highlight w:val="none"/>
        </w:rPr>
      </w:pPr>
      <w:bookmarkStart w:id="34" w:name="_Toc20674"/>
      <w:bookmarkStart w:id="35" w:name="_Toc91899884"/>
      <w:bookmarkStart w:id="36" w:name="_Toc522530043"/>
      <w:bookmarkStart w:id="37" w:name="_Toc233618974"/>
      <w:r>
        <w:rPr>
          <w:rFonts w:hint="eastAsia" w:ascii="宋体" w:hAnsi="宋体" w:cs="宋体"/>
          <w:color w:val="auto"/>
          <w:sz w:val="24"/>
          <w:highlight w:val="none"/>
          <w:lang w:val="en-US" w:eastAsia="zh-CN"/>
        </w:rPr>
        <w:t>1、</w:t>
      </w:r>
      <w:r>
        <w:rPr>
          <w:rFonts w:hint="eastAsia" w:ascii="宋体" w:hAnsi="宋体" w:cs="宋体"/>
          <w:color w:val="auto"/>
          <w:sz w:val="24"/>
          <w:highlight w:val="none"/>
        </w:rPr>
        <w:t>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；不足15日的，采购人或者采购代理机构应当顺延提交投标文件的截止时间。</w:t>
      </w:r>
    </w:p>
    <w:p w14:paraId="6C66D151">
      <w:pPr>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采购文件的修改将以更正（澄清）公告通知所有获取采购文件的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，并对其具有约束力。</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应及时关注浙江政府采购网上该项目的公告信息。</w:t>
      </w:r>
    </w:p>
    <w:p w14:paraId="7F1B1FC1">
      <w:pPr>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在更正（澄清）公告发布后，如果</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认为编制投标文件的时间不充分的，必须在公告发布之日的24小时内通知采购人和采购代理机构。否则，视同</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有充足时间编制投标文件。</w:t>
      </w:r>
    </w:p>
    <w:p w14:paraId="53205586">
      <w:pPr>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采购文件澄清、答复、修改、补充的内容为采购文件的组成部分。当采购文件与采购文件的答复、澄清、修改、补充通知就同一内容的表述不一致时，以最后发出的更正（澄清）公告为准。</w:t>
      </w:r>
    </w:p>
    <w:p w14:paraId="05C92F77">
      <w:pPr>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采购文件的澄清、答复、修改或补充都应该通过本代理机构以法定形式发布，除此以外的发布不属于采购文件的组成部分。</w:t>
      </w:r>
    </w:p>
    <w:p w14:paraId="01250216">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p>
    <w:p w14:paraId="3F7091BA">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三、投标文件</w:t>
      </w:r>
      <w:bookmarkEnd w:id="34"/>
      <w:bookmarkEnd w:id="35"/>
      <w:bookmarkEnd w:id="36"/>
      <w:bookmarkEnd w:id="37"/>
    </w:p>
    <w:p w14:paraId="7CEF86E9">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rPr>
        <w:t>（一）投标文件的编制</w:t>
      </w:r>
    </w:p>
    <w:p w14:paraId="3621D8E2">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14:paraId="54AA3871">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710ADEA5">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14:paraId="19C2798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4、《投标文件》内容不完整、编排混乱导致《投标文件》被误读、漏读或者查找不到相关内容的，是投标人的责任。</w:t>
      </w:r>
    </w:p>
    <w:p w14:paraId="6122FD9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5、《投标文件》因字迹潦草或表达不清所引起的后果由投标人负责。</w:t>
      </w:r>
    </w:p>
    <w:p w14:paraId="0425018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14:paraId="6EC50E6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7、投标文件必须按招标文件提供的格式签字或盖章。授权代表签字的，投标文件应附法定代表人签署的授权委托书。</w:t>
      </w:r>
    </w:p>
    <w:p w14:paraId="7F96F247">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（二）投标文件的签章</w:t>
      </w:r>
    </w:p>
    <w:p w14:paraId="2584C7B1">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1、《投标文件》的签章：见《前附表》；</w:t>
      </w:r>
    </w:p>
    <w:p w14:paraId="4E033658">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2、《投标文件》应由投标人法定代表人或其授权代表签字（或盖章），并加盖投标人公章。</w:t>
      </w:r>
    </w:p>
    <w:p w14:paraId="4D8A31D6">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3、电子签章操作指南详见采购公告附件《</w:t>
      </w:r>
      <w:r>
        <w:rPr>
          <w:rFonts w:hint="eastAsia" w:ascii="宋体" w:hAnsi="宋体" w:cs="宋体"/>
          <w:b/>
          <w:bCs/>
          <w:color w:val="auto"/>
          <w:sz w:val="24"/>
          <w:szCs w:val="22"/>
          <w:highlight w:val="none"/>
          <w:lang w:eastAsia="zh-CN"/>
        </w:rPr>
        <w:t>投标人</w:t>
      </w:r>
      <w:r>
        <w:rPr>
          <w:rFonts w:hint="eastAsia" w:ascii="宋体" w:hAnsi="宋体" w:eastAsia="宋体" w:cs="宋体"/>
          <w:b/>
          <w:bCs/>
          <w:color w:val="auto"/>
          <w:sz w:val="24"/>
          <w:szCs w:val="22"/>
          <w:highlight w:val="none"/>
        </w:rPr>
        <w:t>项目采购-电子招投标操作指南》。</w:t>
      </w:r>
    </w:p>
    <w:p w14:paraId="570360FB">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w:t>
      </w:r>
      <w:r>
        <w:rPr>
          <w:rFonts w:hint="eastAsia" w:ascii="宋体" w:hAnsi="宋体" w:eastAsia="宋体" w:cs="宋体"/>
          <w:b/>
          <w:color w:val="auto"/>
          <w:sz w:val="24"/>
          <w:highlight w:val="none"/>
        </w:rPr>
        <w:t>）投标文件</w:t>
      </w:r>
      <w:r>
        <w:rPr>
          <w:rFonts w:hint="eastAsia" w:ascii="宋体" w:hAnsi="宋体" w:eastAsia="宋体" w:cs="宋体"/>
          <w:b/>
          <w:bCs/>
          <w:color w:val="auto"/>
          <w:sz w:val="24"/>
          <w:szCs w:val="22"/>
          <w:highlight w:val="none"/>
        </w:rPr>
        <w:t>的组成</w:t>
      </w:r>
    </w:p>
    <w:p w14:paraId="36F6628E">
      <w:pPr>
        <w:pStyle w:val="3"/>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1、资格文件</w:t>
      </w:r>
    </w:p>
    <w:p w14:paraId="09BFE122">
      <w:pPr>
        <w:keepNext w:val="0"/>
        <w:keepLines w:val="0"/>
        <w:pageBreakBefore w:val="0"/>
        <w:widowControl/>
        <w:tabs>
          <w:tab w:val="left" w:pos="3780"/>
        </w:tabs>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（1）资格审查材料（按第五部分格式一要求提供）；</w:t>
      </w:r>
    </w:p>
    <w:p w14:paraId="25358E8B">
      <w:pPr>
        <w:pStyle w:val="3"/>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2、商务技术文件</w:t>
      </w:r>
    </w:p>
    <w:p w14:paraId="623CF6F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（1）投标声明函（格式见第五部分格式二）；</w:t>
      </w:r>
    </w:p>
    <w:p w14:paraId="0E0E335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（2）法定代表人身份证明或附有法定代表人身份证明及授权代表为投标人在职员工的证明文件（投标人为其缴纳的社保记录或劳务合同等）的授权委托书（格式见第五部分格式三）</w:t>
      </w:r>
    </w:p>
    <w:p w14:paraId="5F0F938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（3）商务评分中所需的材料（如有，详见评标办法）；</w:t>
      </w:r>
    </w:p>
    <w:p w14:paraId="00EB255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（4）以往业绩情况（如有，具体要求见评标办法，并按第五部分格式四要求编排）</w:t>
      </w:r>
      <w:r>
        <w:rPr>
          <w:rFonts w:hint="eastAsia" w:ascii="宋体" w:hAnsi="宋体" w:eastAsia="宋体" w:cs="宋体"/>
          <w:color w:val="auto"/>
          <w:sz w:val="24"/>
          <w:szCs w:val="22"/>
          <w:highlight w:val="none"/>
          <w:lang w:eastAsia="zh-CN"/>
        </w:rPr>
        <w:t>；</w:t>
      </w:r>
    </w:p>
    <w:p w14:paraId="05688FD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（5）商务</w:t>
      </w:r>
      <w:r>
        <w:rPr>
          <w:rFonts w:hint="eastAsia" w:ascii="宋体" w:hAnsi="宋体" w:cs="宋体"/>
          <w:color w:val="auto"/>
          <w:kern w:val="2"/>
          <w:sz w:val="24"/>
          <w:szCs w:val="22"/>
          <w:highlight w:val="none"/>
          <w:lang w:val="en-US" w:eastAsia="zh-CN" w:bidi="ar-SA"/>
        </w:rPr>
        <w:t>/技术</w:t>
      </w:r>
      <w:r>
        <w:rPr>
          <w:rFonts w:hint="eastAsia" w:ascii="宋体" w:hAnsi="宋体" w:eastAsia="宋体" w:cs="宋体"/>
          <w:color w:val="auto"/>
          <w:kern w:val="2"/>
          <w:sz w:val="24"/>
          <w:szCs w:val="22"/>
          <w:highlight w:val="none"/>
          <w:lang w:val="en-US" w:eastAsia="zh-CN" w:bidi="ar-SA"/>
        </w:rPr>
        <w:t>偏离表（格式见第五部分格式五）；</w:t>
      </w:r>
    </w:p>
    <w:p w14:paraId="4116E71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）拟投入本项目的</w:t>
      </w:r>
      <w:r>
        <w:rPr>
          <w:rFonts w:hint="eastAsia" w:ascii="宋体" w:hAnsi="宋体" w:cs="宋体"/>
          <w:color w:val="auto"/>
          <w:sz w:val="24"/>
          <w:szCs w:val="22"/>
          <w:highlight w:val="none"/>
          <w:lang w:val="en-US" w:eastAsia="zh-CN"/>
        </w:rPr>
        <w:t>实施人员</w:t>
      </w:r>
      <w:r>
        <w:rPr>
          <w:rFonts w:hint="eastAsia" w:ascii="宋体" w:hAnsi="宋体" w:eastAsia="宋体" w:cs="宋体"/>
          <w:color w:val="auto"/>
          <w:sz w:val="24"/>
          <w:szCs w:val="22"/>
          <w:highlight w:val="none"/>
        </w:rPr>
        <w:t>情况表（格式见第五部分格式</w:t>
      </w:r>
      <w:r>
        <w:rPr>
          <w:rFonts w:hint="eastAsia" w:ascii="宋体" w:hAnsi="宋体" w:eastAsia="宋体" w:cs="宋体"/>
          <w:color w:val="auto"/>
          <w:sz w:val="24"/>
          <w:szCs w:val="22"/>
          <w:highlight w:val="none"/>
          <w:lang w:eastAsia="zh-CN"/>
        </w:rPr>
        <w:t>六</w:t>
      </w:r>
      <w:r>
        <w:rPr>
          <w:rFonts w:hint="eastAsia" w:ascii="宋体" w:hAnsi="宋体" w:eastAsia="宋体" w:cs="宋体"/>
          <w:color w:val="auto"/>
          <w:sz w:val="24"/>
          <w:szCs w:val="22"/>
          <w:highlight w:val="none"/>
        </w:rPr>
        <w:t>）；</w:t>
      </w:r>
    </w:p>
    <w:p w14:paraId="3FE3F30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t>）技术评分中所需的材料（详见评标办法）；</w:t>
      </w:r>
    </w:p>
    <w:p w14:paraId="65C9648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val="en-US" w:eastAsia="zh-CN"/>
        </w:rPr>
        <w:t>8</w:t>
      </w:r>
      <w:r>
        <w:rPr>
          <w:rFonts w:hint="eastAsia" w:ascii="宋体" w:hAnsi="宋体" w:eastAsia="宋体" w:cs="宋体"/>
          <w:color w:val="auto"/>
          <w:sz w:val="24"/>
          <w:szCs w:val="22"/>
          <w:highlight w:val="none"/>
        </w:rPr>
        <w:t>）其他商务技术文件或说明（如有）。</w:t>
      </w:r>
    </w:p>
    <w:p w14:paraId="4D495E37">
      <w:pPr>
        <w:pStyle w:val="3"/>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3、报价文件</w:t>
      </w:r>
    </w:p>
    <w:p w14:paraId="2CC5F0BB">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（1）开标一览表（格式见第五部分格式</w:t>
      </w:r>
      <w:r>
        <w:rPr>
          <w:rFonts w:hint="eastAsia" w:ascii="宋体" w:hAnsi="宋体" w:cs="宋体"/>
          <w:color w:val="auto"/>
          <w:sz w:val="24"/>
          <w:szCs w:val="22"/>
          <w:highlight w:val="none"/>
          <w:lang w:val="en-US" w:eastAsia="zh-CN"/>
        </w:rPr>
        <w:t>七</w:t>
      </w:r>
      <w:r>
        <w:rPr>
          <w:rFonts w:hint="eastAsia" w:ascii="宋体" w:hAnsi="宋体" w:eastAsia="宋体" w:cs="宋体"/>
          <w:color w:val="auto"/>
          <w:sz w:val="24"/>
          <w:szCs w:val="22"/>
          <w:highlight w:val="none"/>
        </w:rPr>
        <w:t>）；</w:t>
      </w:r>
    </w:p>
    <w:p w14:paraId="5885A872">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投标报价明细表（格式见第五部分格式</w:t>
      </w:r>
      <w:r>
        <w:rPr>
          <w:rFonts w:hint="eastAsia" w:ascii="宋体" w:hAnsi="宋体" w:cs="宋体"/>
          <w:color w:val="auto"/>
          <w:sz w:val="24"/>
          <w:szCs w:val="22"/>
          <w:highlight w:val="none"/>
          <w:lang w:val="en-US" w:eastAsia="zh-CN"/>
        </w:rPr>
        <w:t>八</w:t>
      </w: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eastAsia="zh-CN"/>
        </w:rPr>
        <w:t>。</w:t>
      </w:r>
    </w:p>
    <w:p w14:paraId="5CB88200">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val="zh-CN"/>
        </w:rPr>
        <w:t>投标文件中所需的各种证书、证件、证明资料</w:t>
      </w:r>
      <w:r>
        <w:rPr>
          <w:rFonts w:hint="eastAsia" w:ascii="宋体" w:hAnsi="宋体" w:eastAsia="宋体" w:cs="宋体"/>
          <w:color w:val="auto"/>
          <w:sz w:val="24"/>
          <w:szCs w:val="22"/>
          <w:highlight w:val="none"/>
          <w:u w:val="single"/>
        </w:rPr>
        <w:t>等</w:t>
      </w:r>
      <w:r>
        <w:rPr>
          <w:rFonts w:hint="eastAsia" w:ascii="宋体" w:hAnsi="宋体" w:eastAsia="宋体" w:cs="宋体"/>
          <w:color w:val="auto"/>
          <w:sz w:val="24"/>
          <w:szCs w:val="22"/>
          <w:highlight w:val="none"/>
          <w:u w:val="single"/>
          <w:lang w:val="zh-CN"/>
        </w:rPr>
        <w:t>如是复印件，须在复印件上加盖有效公章。</w:t>
      </w:r>
    </w:p>
    <w:p w14:paraId="5AAE780F">
      <w:pPr>
        <w:pStyle w:val="319"/>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（三）投标报价</w:t>
      </w:r>
    </w:p>
    <w:p w14:paraId="2301725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w:t>
      </w:r>
      <w:r>
        <w:rPr>
          <w:rFonts w:hint="eastAsia" w:ascii="宋体" w:hAnsi="宋体" w:eastAsia="宋体" w:cs="宋体"/>
          <w:b/>
          <w:bCs/>
          <w:color w:val="auto"/>
          <w:kern w:val="2"/>
          <w:sz w:val="24"/>
          <w:szCs w:val="22"/>
          <w:highlight w:val="none"/>
          <w:lang w:val="en-US" w:eastAsia="zh-CN" w:bidi="ar-SA"/>
        </w:rPr>
        <w:t>本次</w:t>
      </w:r>
      <w:r>
        <w:rPr>
          <w:rFonts w:hint="eastAsia" w:ascii="宋体" w:hAnsi="宋体" w:cs="宋体"/>
          <w:b/>
          <w:bCs/>
          <w:color w:val="auto"/>
          <w:kern w:val="2"/>
          <w:sz w:val="24"/>
          <w:szCs w:val="22"/>
          <w:highlight w:val="none"/>
          <w:lang w:val="en-US" w:eastAsia="zh-CN" w:bidi="ar-SA"/>
        </w:rPr>
        <w:t>投标人</w:t>
      </w:r>
      <w:r>
        <w:rPr>
          <w:rFonts w:hint="eastAsia" w:ascii="宋体" w:hAnsi="宋体" w:eastAsia="宋体" w:cs="宋体"/>
          <w:b/>
          <w:bCs/>
          <w:color w:val="auto"/>
          <w:kern w:val="2"/>
          <w:sz w:val="24"/>
          <w:szCs w:val="22"/>
          <w:highlight w:val="none"/>
          <w:lang w:val="en-US" w:eastAsia="zh-CN" w:bidi="ar-SA"/>
        </w:rPr>
        <w:t>报价高于最高限价的，为无效</w:t>
      </w:r>
      <w:r>
        <w:rPr>
          <w:rFonts w:hint="eastAsia" w:ascii="宋体" w:hAnsi="宋体" w:cs="宋体"/>
          <w:b/>
          <w:bCs/>
          <w:color w:val="auto"/>
          <w:kern w:val="2"/>
          <w:sz w:val="24"/>
          <w:szCs w:val="22"/>
          <w:highlight w:val="none"/>
          <w:lang w:val="en-US" w:eastAsia="zh-CN" w:bidi="ar-SA"/>
        </w:rPr>
        <w:t>投标</w:t>
      </w:r>
      <w:r>
        <w:rPr>
          <w:rFonts w:hint="eastAsia" w:ascii="宋体" w:hAnsi="宋体" w:eastAsia="宋体" w:cs="宋体"/>
          <w:b/>
          <w:bCs/>
          <w:color w:val="auto"/>
          <w:kern w:val="2"/>
          <w:sz w:val="24"/>
          <w:szCs w:val="22"/>
          <w:highlight w:val="none"/>
          <w:lang w:val="en-US" w:eastAsia="zh-CN" w:bidi="ar-SA"/>
        </w:rPr>
        <w:t>文件。</w:t>
      </w:r>
    </w:p>
    <w:p w14:paraId="5AC771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kern w:val="2"/>
          <w:sz w:val="24"/>
          <w:szCs w:val="22"/>
          <w:highlight w:val="none"/>
          <w:lang w:val="en-US" w:eastAsia="zh-CN" w:bidi="ar-SA"/>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000000" w:themeColor="text1"/>
          <w:sz w:val="24"/>
          <w:szCs w:val="24"/>
          <w:highlight w:val="none"/>
          <w14:textFill>
            <w14:solidFill>
              <w14:schemeClr w14:val="tx1"/>
            </w14:solidFill>
          </w14:textFill>
        </w:rPr>
        <w:t>本项目报价采用人民币报价形式，投标人的报价应低于最高限价，否则其投标无效。本项目按实结算，以中标单价</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包含项目评估费、专家评审费、会务费、专家住宿费、交通费、规费、税费、企业管理费、利润以及</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包含的所有风险、责任等各项应有费用。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*实际完成的评估数量=最终结算价，如实际评估项目数超出预算数的仍按照预算内的资金结算。</w:t>
      </w:r>
    </w:p>
    <w:p w14:paraId="5496A43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cs="宋体"/>
          <w:bCs/>
          <w:color w:val="auto"/>
          <w:sz w:val="24"/>
          <w:szCs w:val="24"/>
          <w:highlight w:val="none"/>
          <w:lang w:val="zh-CN"/>
        </w:rPr>
        <w:t>投标人</w:t>
      </w:r>
      <w:r>
        <w:rPr>
          <w:rFonts w:hint="eastAsia" w:ascii="宋体" w:hAnsi="宋体" w:eastAsia="宋体" w:cs="宋体"/>
          <w:bCs/>
          <w:color w:val="auto"/>
          <w:sz w:val="24"/>
          <w:szCs w:val="24"/>
          <w:highlight w:val="none"/>
          <w:lang w:val="zh-CN"/>
        </w:rPr>
        <w:t>应根据要求报价，报价单中不得漏填项目。</w:t>
      </w:r>
    </w:p>
    <w:p w14:paraId="12DA2C28">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rPr>
        <w:t>、其它费用处理</w:t>
      </w:r>
    </w:p>
    <w:p w14:paraId="7BC5F09E">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招标文件未列明，而投标人认为必需的费用也需列入报价。投标人在投标报价中应充分考虑所有可能发生的费用，否则招标人将视投标总价中已包括所有费用。</w:t>
      </w:r>
    </w:p>
    <w:p w14:paraId="25BD54BB">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、投标货币</w:t>
      </w:r>
    </w:p>
    <w:p w14:paraId="7FEA4CEF">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投标文件中价格全部采用人民币报价。</w:t>
      </w:r>
    </w:p>
    <w:p w14:paraId="66520935">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报价应是唯一的，不接受有选择的报价。</w:t>
      </w:r>
    </w:p>
    <w:p w14:paraId="6320144D">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、投标人对在合同执行中，除上述费用及招标文件规定的由中标人负责的工作范围以外需要招标人协调或提供便利的工作应当在投标文件中说明。</w:t>
      </w:r>
      <w:bookmarkStart w:id="38" w:name="_Hlt75236011"/>
      <w:bookmarkEnd w:id="38"/>
    </w:p>
    <w:p w14:paraId="2CCF036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报价是中标的一个重要因素，但最低报价不是中标的唯一依据。</w:t>
      </w:r>
    </w:p>
    <w:p w14:paraId="78680785">
      <w:pPr>
        <w:pStyle w:val="5"/>
        <w:keepNext w:val="0"/>
        <w:keepLines w:val="0"/>
        <w:pageBreakBefore w:val="0"/>
        <w:widowControl w:val="0"/>
        <w:kinsoku/>
        <w:wordWrap/>
        <w:overflowPunct/>
        <w:topLinePunct w:val="0"/>
        <w:autoSpaceDE/>
        <w:autoSpaceDN/>
        <w:bidi w:val="0"/>
        <w:adjustRightInd/>
        <w:snapToGrid/>
        <w:spacing w:after="120" w:line="400" w:lineRule="exact"/>
        <w:ind w:left="0" w:leftChars="0" w:right="0" w:rightChars="0" w:firstLine="482" w:firstLineChars="200"/>
        <w:jc w:val="left"/>
        <w:textAlignment w:val="auto"/>
        <w:outlineLvl w:val="9"/>
        <w:rPr>
          <w:rFonts w:hint="eastAsia"/>
          <w:b/>
          <w:bCs/>
          <w:color w:val="FF0000"/>
          <w:sz w:val="24"/>
          <w:szCs w:val="18"/>
          <w:highlight w:val="none"/>
        </w:rPr>
      </w:pPr>
      <w:r>
        <w:rPr>
          <w:rFonts w:hint="eastAsia"/>
          <w:b/>
          <w:bCs/>
          <w:color w:val="FF0000"/>
          <w:sz w:val="24"/>
          <w:szCs w:val="18"/>
          <w:highlight w:val="none"/>
          <w:lang w:eastAsia="zh-CN"/>
        </w:rPr>
        <w:t>注：投标人</w:t>
      </w:r>
      <w:r>
        <w:rPr>
          <w:rFonts w:hint="eastAsia"/>
          <w:b/>
          <w:bCs/>
          <w:color w:val="FF0000"/>
          <w:sz w:val="24"/>
          <w:szCs w:val="18"/>
          <w:highlight w:val="none"/>
        </w:rPr>
        <w:t>不得进行影响</w:t>
      </w:r>
      <w:r>
        <w:rPr>
          <w:rFonts w:hint="eastAsia"/>
          <w:b/>
          <w:bCs/>
          <w:color w:val="FF0000"/>
          <w:sz w:val="24"/>
          <w:szCs w:val="18"/>
          <w:highlight w:val="none"/>
          <w:lang w:val="en-US" w:eastAsia="zh-CN"/>
        </w:rPr>
        <w:t>服务</w:t>
      </w:r>
      <w:r>
        <w:rPr>
          <w:rFonts w:hint="eastAsia"/>
          <w:b/>
          <w:bCs/>
          <w:color w:val="FF0000"/>
          <w:sz w:val="24"/>
          <w:szCs w:val="18"/>
          <w:highlight w:val="none"/>
        </w:rPr>
        <w:t>质量或者诚信履约的恶意报价。</w:t>
      </w:r>
      <w:r>
        <w:rPr>
          <w:rFonts w:hint="eastAsia"/>
          <w:b/>
          <w:bCs/>
          <w:color w:val="FF0000"/>
          <w:sz w:val="24"/>
          <w:szCs w:val="18"/>
          <w:highlight w:val="none"/>
          <w:lang w:eastAsia="zh-CN"/>
        </w:rPr>
        <w:t>投标人</w:t>
      </w:r>
      <w:r>
        <w:rPr>
          <w:rFonts w:hint="eastAsia"/>
          <w:b/>
          <w:bCs/>
          <w:color w:val="FF0000"/>
          <w:sz w:val="24"/>
          <w:szCs w:val="18"/>
          <w:highlight w:val="none"/>
        </w:rPr>
        <w:t>在项目评审前准备好报价核算、报价明细、报价说明等材料，以备评审专家核查，</w:t>
      </w:r>
      <w:r>
        <w:rPr>
          <w:rFonts w:hint="eastAsia"/>
          <w:b/>
          <w:bCs/>
          <w:color w:val="FF0000"/>
          <w:sz w:val="24"/>
          <w:szCs w:val="18"/>
          <w:highlight w:val="none"/>
          <w:lang w:eastAsia="zh-CN"/>
        </w:rPr>
        <w:t>投标人</w:t>
      </w:r>
      <w:r>
        <w:rPr>
          <w:rFonts w:hint="eastAsia"/>
          <w:b/>
          <w:bCs/>
          <w:color w:val="FF0000"/>
          <w:sz w:val="24"/>
          <w:szCs w:val="18"/>
          <w:highlight w:val="none"/>
        </w:rPr>
        <w:t>报价低于项目预算50%的，应当在报价文件中详细阐述不影响</w:t>
      </w:r>
      <w:r>
        <w:rPr>
          <w:rFonts w:hint="eastAsia"/>
          <w:b/>
          <w:bCs/>
          <w:color w:val="FF0000"/>
          <w:sz w:val="24"/>
          <w:szCs w:val="18"/>
          <w:highlight w:val="none"/>
          <w:lang w:val="en-US" w:eastAsia="zh-CN"/>
        </w:rPr>
        <w:t>服务</w:t>
      </w:r>
      <w:r>
        <w:rPr>
          <w:rFonts w:hint="eastAsia"/>
          <w:b/>
          <w:bCs/>
          <w:color w:val="FF0000"/>
          <w:sz w:val="24"/>
          <w:szCs w:val="18"/>
          <w:highlight w:val="none"/>
        </w:rPr>
        <w:t>质量或者诚信履约的具体原因。</w:t>
      </w:r>
    </w:p>
    <w:p w14:paraId="14ED9D9C">
      <w:pPr>
        <w:pStyle w:val="319"/>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bookmarkStart w:id="39" w:name="_Toc91899887"/>
      <w:r>
        <w:rPr>
          <w:rFonts w:hint="eastAsia" w:ascii="宋体" w:hAnsi="宋体" w:eastAsia="宋体" w:cs="宋体"/>
          <w:b/>
          <w:color w:val="auto"/>
          <w:highlight w:val="none"/>
        </w:rPr>
        <w:t>（四）投标有效期</w:t>
      </w:r>
    </w:p>
    <w:p w14:paraId="1C7CFAAD">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1、投标文件合格投递后，自投标截止日期起，至前附表规定的日期内有效。合同签订后，投标文件作为合同附件，投标文件有效期同合同有效期。</w:t>
      </w:r>
    </w:p>
    <w:p w14:paraId="40DCFC2A">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14:paraId="24B9FAE4">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3、投标人可拒绝接受延期要求。同意延长有效期的投标人不能修改投标文件。</w:t>
      </w:r>
    </w:p>
    <w:p w14:paraId="342E1A0D">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4、投标截止后，在投标有效期内，投标人不能撤销投标文件。投标人强行撤销投标文件的，应按采购预算金额的2%赔偿对采购组织机构造成的损失。</w:t>
      </w:r>
    </w:p>
    <w:bookmarkEnd w:id="39"/>
    <w:p w14:paraId="4438A488">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0" w:name="_Toc19525"/>
      <w:bookmarkStart w:id="41" w:name="_Toc522530044"/>
      <w:bookmarkStart w:id="42" w:name="_Toc91899892"/>
      <w:r>
        <w:rPr>
          <w:rFonts w:hint="eastAsia" w:ascii="宋体" w:hAnsi="宋体" w:eastAsia="宋体" w:cs="宋体"/>
          <w:b/>
          <w:color w:val="auto"/>
          <w:sz w:val="32"/>
          <w:highlight w:val="none"/>
        </w:rPr>
        <w:t>四、投 标</w:t>
      </w:r>
      <w:bookmarkEnd w:id="40"/>
      <w:bookmarkEnd w:id="41"/>
    </w:p>
    <w:p w14:paraId="07A6CE21">
      <w:pPr>
        <w:pStyle w:val="319"/>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（一）投标文件的上传和递交</w:t>
      </w:r>
    </w:p>
    <w:p w14:paraId="2ABB34E0">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1、“电子加密投标文件”的上传、递交：</w:t>
      </w:r>
    </w:p>
    <w:p w14:paraId="29932F81">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a.投标人应在投标截止时间前将“电子加密投标文件”成功上传递交至“政府采购云平台”，否则投标无效。</w:t>
      </w:r>
    </w:p>
    <w:p w14:paraId="6B18E7CA">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b.“电子加密投标文件”成功上传递交后，投标人可自行打印投标文件接收回执。</w:t>
      </w:r>
    </w:p>
    <w:p w14:paraId="764DBB77">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2、“备份投标文件”的密封包装、递交：</w:t>
      </w:r>
    </w:p>
    <w:p w14:paraId="77435C79">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a.投标人在“政府采购云平台”完成“电子加密投标文件”的上传递交后，还可以（建议顺丰邮寄）在投标截止时间前递交以介质（U盘）存储的 “备份投标文件”（一份）</w:t>
      </w:r>
      <w:r>
        <w:rPr>
          <w:rFonts w:hint="eastAsia" w:ascii="宋体" w:hAnsi="宋体" w:cs="宋体"/>
          <w:b/>
          <w:bCs/>
          <w:color w:val="auto"/>
          <w:sz w:val="24"/>
          <w:szCs w:val="22"/>
          <w:highlight w:val="none"/>
          <w:lang w:eastAsia="zh-CN"/>
        </w:rPr>
        <w:t>，(采购人、采购代理机构不强制或变相强制投标人提交备份投标文件，投标人可按实际需求决定是否递交</w:t>
      </w:r>
      <w:r>
        <w:rPr>
          <w:rFonts w:hint="eastAsia" w:ascii="宋体" w:hAnsi="宋体" w:eastAsia="宋体" w:cs="宋体"/>
          <w:b/>
          <w:bCs/>
          <w:color w:val="auto"/>
          <w:sz w:val="24"/>
          <w:szCs w:val="22"/>
          <w:highlight w:val="none"/>
        </w:rPr>
        <w:t>；</w:t>
      </w:r>
    </w:p>
    <w:p w14:paraId="59BE485C">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b.“备份投标文件”应当密封包装，并在包装上标注投标项目名称、投标单位名称并加盖公章。没有密封包装或者逾期邮寄送达至投标地点的“备份投标文件”将不予接收；</w:t>
      </w:r>
    </w:p>
    <w:p w14:paraId="17AF9B66">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46076898">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d.电子备份投标文件，由投标人决定是否递交，并自行承担不递交电子备份投标文件的风险。</w:t>
      </w:r>
    </w:p>
    <w:p w14:paraId="53E2E876">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3、招标人如因故推迟投标截止时间，将以书面形式通知所有投标人。在这种情况下，招标人与投标人以前在投标截止期方面的全部权利、责任和义务，将适用于延长至新的投标截止期。</w:t>
      </w:r>
    </w:p>
    <w:p w14:paraId="6DD3F40A">
      <w:pPr>
        <w:pStyle w:val="319"/>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（二）“电子加密投标文件”解密和异常情况处理</w:t>
      </w:r>
    </w:p>
    <w:p w14:paraId="321D2747">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（1）开标后，采购组织机构将向各投标人发出“电子加密投标文件”的解密通知，各投标人代表应当在接到解密通知后30分钟内自行完成“电子加密投标文件”的在线解密。</w:t>
      </w:r>
    </w:p>
    <w:p w14:paraId="3F8D3F05">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B437EBE">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（3）投标截止时间前，投标人仅递交了“备份投标文件”而未将电子加密投标文件上传至“政府采购云平台”的，投标无效。</w:t>
      </w:r>
    </w:p>
    <w:p w14:paraId="667A0886">
      <w:pPr>
        <w:pStyle w:val="319"/>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（三）投标文件的修改与撤回</w:t>
      </w:r>
    </w:p>
    <w:p w14:paraId="3792A3AB">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A7584BE">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2、投标截止时间后，投标人不得撤回、修改《投标文件》。</w:t>
      </w:r>
    </w:p>
    <w:bookmarkEnd w:id="42"/>
    <w:p w14:paraId="4663444E">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3" w:name="_Toc233618976"/>
      <w:bookmarkStart w:id="44" w:name="_Toc6430"/>
      <w:bookmarkStart w:id="45" w:name="_Toc91899897"/>
      <w:bookmarkStart w:id="46" w:name="_Toc522530045"/>
      <w:r>
        <w:rPr>
          <w:rFonts w:hint="eastAsia" w:ascii="宋体" w:hAnsi="宋体" w:eastAsia="宋体" w:cs="宋体"/>
          <w:b/>
          <w:color w:val="auto"/>
          <w:sz w:val="32"/>
          <w:highlight w:val="none"/>
        </w:rPr>
        <w:t>五、开 标</w:t>
      </w:r>
      <w:bookmarkEnd w:id="43"/>
      <w:bookmarkEnd w:id="44"/>
      <w:bookmarkEnd w:id="45"/>
      <w:bookmarkEnd w:id="46"/>
    </w:p>
    <w:p w14:paraId="11A43BE5">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（一）开标形式</w:t>
      </w:r>
    </w:p>
    <w:p w14:paraId="26827FF3">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1、采购组织机构将按照招标文件规定的时间通过“政府采购云平台”组织开标、开启投标文件，所有投标人均应当准时在线参加。</w:t>
      </w:r>
    </w:p>
    <w:p w14:paraId="0BFF97E5">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（二）开标准备</w:t>
      </w:r>
    </w:p>
    <w:p w14:paraId="4A87556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1、开标的准备工作由采购组织机构负责落实；</w:t>
      </w:r>
    </w:p>
    <w:p w14:paraId="39FEBE6C">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C50823D">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（三）开标流程（两阶段）</w:t>
      </w:r>
    </w:p>
    <w:p w14:paraId="3FD53DD0">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1、开标第一阶段</w:t>
      </w:r>
    </w:p>
    <w:p w14:paraId="6E8D07A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307E4F99">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（2）投标文件解密结束，通过邮件形式发送各投标人组织签署《政府采购活动现场确认声明书》；</w:t>
      </w:r>
    </w:p>
    <w:p w14:paraId="29A82D4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（3）开启投标文件，进入资格审查；</w:t>
      </w:r>
    </w:p>
    <w:p w14:paraId="78BC25A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（4）开启资格审查通过的投标人的商务技术文件进入符合性审查、商务技术评审；</w:t>
      </w:r>
    </w:p>
    <w:p w14:paraId="6A000BA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（5）第一阶段开标结束。</w:t>
      </w:r>
    </w:p>
    <w:p w14:paraId="4853A893">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14:paraId="2798788A">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2、开标大会第二阶段</w:t>
      </w:r>
    </w:p>
    <w:p w14:paraId="729EE92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性审查、商务技术评审结束后，举行开标大会第二阶段会议。通过政府采购云平台公布符合性审查、商务技术评审无效投标人名称及理由；公布经商务技术评审后有效投标人的名单，同时公布其商务技术部分得分情况。</w:t>
      </w:r>
    </w:p>
    <w:p w14:paraId="4F78214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（2）开启符合性审查、商务技术评审有效投标人的《报价文件》，公布开标一览表有关内容，投标人</w:t>
      </w:r>
      <w:r>
        <w:rPr>
          <w:rFonts w:hint="eastAsia" w:ascii="宋体" w:hAnsi="宋体" w:eastAsia="宋体" w:cs="宋体"/>
          <w:color w:val="auto"/>
          <w:sz w:val="24"/>
          <w:szCs w:val="22"/>
          <w:highlight w:val="none"/>
          <w:lang w:eastAsia="zh-CN"/>
        </w:rPr>
        <w:t>在线</w:t>
      </w:r>
      <w:r>
        <w:rPr>
          <w:rFonts w:hint="eastAsia" w:ascii="宋体" w:hAnsi="宋体" w:eastAsia="宋体" w:cs="宋体"/>
          <w:color w:val="auto"/>
          <w:sz w:val="24"/>
          <w:szCs w:val="22"/>
          <w:highlight w:val="none"/>
        </w:rPr>
        <w:t>签字确认（不予确认的应说明理由，否则视为无异议）。唱标结束后，由评标委员会对报价的合理性、准确性等进行审查核实。</w:t>
      </w:r>
    </w:p>
    <w:p w14:paraId="076BBE5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w:t>
      </w:r>
      <w:r>
        <w:rPr>
          <w:rFonts w:hint="eastAsia" w:ascii="宋体" w:hAnsi="宋体" w:eastAsia="宋体" w:cs="宋体"/>
          <w:color w:val="auto"/>
          <w:sz w:val="24"/>
          <w:szCs w:val="22"/>
          <w:highlight w:val="none"/>
          <w:lang w:eastAsia="zh-CN"/>
        </w:rPr>
        <w:t>投标人可在</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rPr>
        <w:t>政府采购云平台</w:t>
      </w:r>
      <w:r>
        <w:rPr>
          <w:rFonts w:hint="eastAsia" w:ascii="宋体" w:hAnsi="宋体" w:eastAsia="宋体" w:cs="宋体"/>
          <w:b/>
          <w:bCs/>
          <w:color w:val="auto"/>
          <w:sz w:val="24"/>
          <w:szCs w:val="22"/>
          <w:highlight w:val="none"/>
          <w:lang w:eastAsia="zh-CN"/>
        </w:rPr>
        <w:t>”</w:t>
      </w:r>
      <w:r>
        <w:rPr>
          <w:rFonts w:hint="eastAsia" w:ascii="宋体" w:hAnsi="宋体" w:eastAsia="宋体" w:cs="宋体"/>
          <w:b w:val="0"/>
          <w:bCs w:val="0"/>
          <w:color w:val="auto"/>
          <w:sz w:val="24"/>
          <w:szCs w:val="22"/>
          <w:highlight w:val="none"/>
          <w:lang w:eastAsia="zh-CN"/>
        </w:rPr>
        <w:t>查看</w:t>
      </w:r>
      <w:r>
        <w:rPr>
          <w:rFonts w:hint="eastAsia" w:ascii="宋体" w:hAnsi="宋体" w:eastAsia="宋体" w:cs="宋体"/>
          <w:color w:val="auto"/>
          <w:sz w:val="24"/>
          <w:szCs w:val="22"/>
          <w:highlight w:val="none"/>
          <w:lang w:eastAsia="zh-CN"/>
        </w:rPr>
        <w:t>开标结果及</w:t>
      </w:r>
      <w:r>
        <w:rPr>
          <w:rFonts w:hint="eastAsia" w:ascii="宋体" w:hAnsi="宋体" w:eastAsia="宋体" w:cs="宋体"/>
          <w:color w:val="auto"/>
          <w:sz w:val="24"/>
          <w:szCs w:val="22"/>
          <w:highlight w:val="none"/>
        </w:rPr>
        <w:t>中标候选人名单，及采购人最终确定中标人名单的时间和公告方式等。</w:t>
      </w:r>
    </w:p>
    <w:p w14:paraId="3B903697">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特别说明：如遇“政府采购云平台”电子化开标或评审程序调整的，按调整后程序执行。</w:t>
      </w:r>
    </w:p>
    <w:p w14:paraId="23CBD76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bookmarkStart w:id="47" w:name="_Toc33194393"/>
      <w:bookmarkStart w:id="48" w:name="_Toc24550037"/>
      <w:r>
        <w:rPr>
          <w:rFonts w:hint="eastAsia" w:ascii="宋体" w:hAnsi="宋体" w:eastAsia="宋体" w:cs="宋体"/>
          <w:b/>
          <w:bCs/>
          <w:color w:val="auto"/>
          <w:sz w:val="24"/>
          <w:szCs w:val="22"/>
          <w:highlight w:val="none"/>
        </w:rPr>
        <w:t>（四）投标人资格审查</w:t>
      </w:r>
      <w:bookmarkEnd w:id="47"/>
      <w:bookmarkEnd w:id="48"/>
    </w:p>
    <w:p w14:paraId="3E93240B">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1、开标大会第一阶段结束后，采购人或采购代理机构首先依法对各投标人的资格进行审查，审查各投标人的资格是否满足招标文件的要求。</w:t>
      </w:r>
      <w:r>
        <w:rPr>
          <w:rFonts w:hint="eastAsia" w:ascii="宋体" w:hAnsi="宋体" w:eastAsia="宋体" w:cs="宋体"/>
          <w:color w:val="auto"/>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14:paraId="2D42A817">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14:paraId="076C9625">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bCs/>
          <w:color w:val="auto"/>
          <w:sz w:val="24"/>
          <w:szCs w:val="22"/>
          <w:highlight w:val="none"/>
        </w:rPr>
        <w:t>3、单位负责人为同一人或者存在直接控股、管理关系的不同投标人参加同一合同项下的政府采购活动的，相关投标人均作资格无效处理。</w:t>
      </w:r>
    </w:p>
    <w:p w14:paraId="4E4B5EA8">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9" w:name="_Hlt75236101"/>
      <w:bookmarkEnd w:id="49"/>
      <w:bookmarkStart w:id="50" w:name="_Toc29851"/>
      <w:bookmarkStart w:id="51" w:name="_Toc522530046"/>
      <w:bookmarkStart w:id="52" w:name="_Toc91899902"/>
      <w:bookmarkStart w:id="53" w:name="_Toc233618977"/>
      <w:r>
        <w:rPr>
          <w:rFonts w:hint="eastAsia" w:ascii="宋体" w:hAnsi="宋体" w:eastAsia="宋体" w:cs="宋体"/>
          <w:b/>
          <w:color w:val="auto"/>
          <w:sz w:val="32"/>
          <w:highlight w:val="none"/>
        </w:rPr>
        <w:t>六、评 标</w:t>
      </w:r>
      <w:bookmarkEnd w:id="50"/>
      <w:bookmarkEnd w:id="51"/>
      <w:bookmarkEnd w:id="52"/>
      <w:bookmarkEnd w:id="53"/>
    </w:p>
    <w:p w14:paraId="3DE36C1C">
      <w:pPr>
        <w:pStyle w:val="3"/>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54" w:name="_Toc91899903"/>
      <w:r>
        <w:rPr>
          <w:rFonts w:hint="eastAsia" w:ascii="宋体" w:hAnsi="宋体" w:eastAsia="宋体" w:cs="宋体"/>
          <w:b/>
          <w:color w:val="auto"/>
          <w:sz w:val="24"/>
          <w:highlight w:val="none"/>
        </w:rPr>
        <w:t>（一）评标组织</w:t>
      </w:r>
    </w:p>
    <w:p w14:paraId="1068A65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eastAsia="宋体" w:cs="宋体"/>
          <w:color w:val="auto"/>
          <w:kern w:val="0"/>
          <w:sz w:val="24"/>
          <w:highlight w:val="none"/>
        </w:rPr>
        <w:t>评标委员会成员名单在评审结果（采购结果）公告前保密。</w:t>
      </w:r>
    </w:p>
    <w:p w14:paraId="725C2B6C">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（二）评标原则</w:t>
      </w:r>
    </w:p>
    <w:p w14:paraId="44D46192">
      <w:pPr>
        <w:pStyle w:val="3"/>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1、竞争优选；</w:t>
      </w:r>
    </w:p>
    <w:p w14:paraId="1A07A80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2、公平、公正、科学合理</w:t>
      </w:r>
      <w:r>
        <w:rPr>
          <w:rFonts w:hint="eastAsia" w:ascii="宋体" w:hAnsi="宋体" w:eastAsia="宋体" w:cs="宋体"/>
          <w:color w:val="auto"/>
          <w:sz w:val="24"/>
          <w:szCs w:val="22"/>
          <w:highlight w:val="none"/>
          <w:lang w:val="zh-CN"/>
        </w:rPr>
        <w:t>；</w:t>
      </w:r>
    </w:p>
    <w:p w14:paraId="73E2081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3、</w:t>
      </w:r>
      <w:r>
        <w:rPr>
          <w:rFonts w:hint="eastAsia" w:ascii="宋体" w:hAnsi="宋体" w:eastAsia="宋体" w:cs="宋体"/>
          <w:color w:val="auto"/>
          <w:sz w:val="24"/>
          <w:szCs w:val="22"/>
          <w:highlight w:val="none"/>
        </w:rPr>
        <w:t>价格合理，方案、</w:t>
      </w:r>
      <w:r>
        <w:rPr>
          <w:rFonts w:hint="eastAsia" w:ascii="宋体" w:hAnsi="宋体" w:cs="宋体"/>
          <w:color w:val="auto"/>
          <w:sz w:val="24"/>
          <w:szCs w:val="22"/>
          <w:highlight w:val="none"/>
          <w:lang w:val="en-US" w:eastAsia="zh-CN"/>
        </w:rPr>
        <w:t>服务</w:t>
      </w:r>
      <w:r>
        <w:rPr>
          <w:rFonts w:hint="eastAsia" w:ascii="宋体" w:hAnsi="宋体" w:eastAsia="宋体" w:cs="宋体"/>
          <w:color w:val="auto"/>
          <w:sz w:val="24"/>
          <w:szCs w:val="22"/>
          <w:highlight w:val="none"/>
        </w:rPr>
        <w:t>先进可行；</w:t>
      </w:r>
    </w:p>
    <w:p w14:paraId="4A7904A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4、反对不正当竞争。</w:t>
      </w:r>
    </w:p>
    <w:p w14:paraId="007A1E30">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（三）评标纪律</w:t>
      </w:r>
    </w:p>
    <w:p w14:paraId="29F9B0D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评标委员会成员要严格遵守评标纪律、保密、回避等相关规定，依法独立履行评标职责，客观、公正、审慎参与评标工作；</w:t>
      </w:r>
    </w:p>
    <w:p w14:paraId="3DA5D7B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1、严格遵守评标时间，因突发情况确实不能按时参加评标的，应事先告知招标组织机构；</w:t>
      </w:r>
    </w:p>
    <w:p w14:paraId="5BA117E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2、服从招标组织机构的现场管理，主动出示身份证明，进入评标区域后应主动寄存移动通讯工具，按要求佩戴工作牌；</w:t>
      </w:r>
    </w:p>
    <w:p w14:paraId="1A08A3E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3、与投标人或评标委员会其他成员存在利害关系的，要主动回避，自觉签订《政府采购评审人员廉洁自律承诺书》；</w:t>
      </w:r>
    </w:p>
    <w:p w14:paraId="213955C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05F7835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5、自觉遵守职业道德，尊重招标人代表和投标人代表，配合招标组织机构回答投标人代表提出的有关异议；</w:t>
      </w:r>
    </w:p>
    <w:p w14:paraId="18224C2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6、不得将评标过程、结果和投标人的商业秘密透露给任何单位和个人。未公告评标结果前不准泄露评标结果，不准将评标资料带出会场；</w:t>
      </w:r>
    </w:p>
    <w:p w14:paraId="691BD85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7、评标过程中，涉及到相关法律法规不清楚之处的，由招标人监管部门或请示权威部门作出法定解释，涉及到招标文件的由编制招标文件的机构和部门负责解释。</w:t>
      </w:r>
    </w:p>
    <w:p w14:paraId="2AED0D9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8、如实行暗标评审的，其投标文件和产品样品的评审编号和编号保管，由监督人员负责；在评标委员评分完成后，再将投标人的投标文件和提供的产品样品编号交评委。</w:t>
      </w:r>
    </w:p>
    <w:p w14:paraId="41762114">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评标程序</w:t>
      </w:r>
    </w:p>
    <w:p w14:paraId="48A8AED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1、在评标专家中推选评标委员会组长，优先推选资深专家为组长；</w:t>
      </w:r>
    </w:p>
    <w:p w14:paraId="3F9371E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14:paraId="6805D29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u w:val="single"/>
        </w:rPr>
        <w:t>资格审查</w:t>
      </w:r>
      <w:r>
        <w:rPr>
          <w:rFonts w:hint="eastAsia" w:ascii="宋体" w:hAnsi="宋体" w:eastAsia="宋体" w:cs="宋体"/>
          <w:color w:val="auto"/>
          <w:sz w:val="24"/>
          <w:highlight w:val="none"/>
        </w:rPr>
        <w:t>，经招标人代表或招标代理机构代表采购代理机构按照招标文件要求对投标人逐一进行资格审查；</w:t>
      </w:r>
    </w:p>
    <w:p w14:paraId="6A7565D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color w:val="auto"/>
          <w:sz w:val="24"/>
          <w:highlight w:val="none"/>
          <w:u w:val="single"/>
        </w:rPr>
        <w:t>商务技术文件的符合性审查</w:t>
      </w:r>
      <w:r>
        <w:rPr>
          <w:rFonts w:hint="eastAsia" w:ascii="宋体" w:hAnsi="宋体" w:eastAsia="宋体" w:cs="宋体"/>
          <w:color w:val="auto"/>
          <w:sz w:val="24"/>
          <w:highlight w:val="none"/>
        </w:rPr>
        <w:t>，评标人员对通过资格审查的各投标文件商务、技术部分的有效性、完整性和响应程度等进行审查，确定是否对招标文件作出实质性响应；</w:t>
      </w:r>
    </w:p>
    <w:p w14:paraId="27C1433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color w:val="auto"/>
          <w:sz w:val="24"/>
          <w:highlight w:val="none"/>
          <w:u w:val="single"/>
        </w:rPr>
        <w:t>商务技术评分</w:t>
      </w:r>
      <w:r>
        <w:rPr>
          <w:rFonts w:hint="eastAsia" w:ascii="宋体" w:hAnsi="宋体" w:eastAsia="宋体" w:cs="宋体"/>
          <w:color w:val="auto"/>
          <w:sz w:val="24"/>
          <w:highlight w:val="none"/>
        </w:rPr>
        <w:t>，评标人员按招标文件规定的评标方法和评标标准，依法独立对投标文件商务、技术部分进行评估、比较，并给予评价或打分，不受任何单位和个人的干预；</w:t>
      </w:r>
    </w:p>
    <w:p w14:paraId="76D69CC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eastAsia="宋体" w:cs="宋体"/>
          <w:color w:val="auto"/>
          <w:kern w:val="0"/>
          <w:sz w:val="24"/>
          <w:highlight w:val="none"/>
        </w:rPr>
        <w:t>（或通过“政府采购云平台”在线答复）</w:t>
      </w:r>
      <w:r>
        <w:rPr>
          <w:rFonts w:hint="eastAsia" w:ascii="宋体" w:hAnsi="宋体" w:eastAsia="宋体" w:cs="宋体"/>
          <w:color w:val="auto"/>
          <w:sz w:val="24"/>
          <w:highlight w:val="none"/>
        </w:rPr>
        <w:t>形式作出澄清或说明，</w:t>
      </w:r>
      <w:r>
        <w:rPr>
          <w:rFonts w:hint="eastAsia" w:ascii="宋体" w:hAnsi="宋体" w:eastAsia="宋体" w:cs="宋体"/>
          <w:color w:val="auto"/>
          <w:kern w:val="0"/>
          <w:sz w:val="24"/>
          <w:highlight w:val="none"/>
        </w:rPr>
        <w:t>投标人的澄清、说明或者补正不得超出投标文件的范围或者改变投标文件的实质性内容</w:t>
      </w:r>
      <w:r>
        <w:rPr>
          <w:rFonts w:hint="eastAsia" w:ascii="宋体" w:hAnsi="宋体" w:eastAsia="宋体" w:cs="宋体"/>
          <w:color w:val="auto"/>
          <w:sz w:val="24"/>
          <w:highlight w:val="none"/>
        </w:rPr>
        <w:t>；</w:t>
      </w:r>
    </w:p>
    <w:p w14:paraId="69B0F3A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14:paraId="26F306F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b/>
          <w:color w:val="auto"/>
          <w:sz w:val="24"/>
          <w:highlight w:val="none"/>
          <w:u w:val="single"/>
        </w:rPr>
        <w:t>报价文件的符合性审查</w:t>
      </w:r>
      <w:r>
        <w:rPr>
          <w:rFonts w:hint="eastAsia" w:ascii="宋体" w:hAnsi="宋体" w:eastAsia="宋体" w:cs="宋体"/>
          <w:color w:val="auto"/>
          <w:sz w:val="24"/>
          <w:highlight w:val="none"/>
        </w:rPr>
        <w:t>，对开启的投标文件报价部分的进行有效性、完整性和响应程度等进行审查，确定是否对招标文件作出实质性响应；</w:t>
      </w:r>
    </w:p>
    <w:p w14:paraId="563ABE51">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val="zh-CN"/>
        </w:rPr>
        <w:t>投标文件的鉴定</w:t>
      </w:r>
    </w:p>
    <w:p w14:paraId="58BF0C8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11E8AD2B">
      <w:pPr>
        <w:pStyle w:val="3"/>
        <w:keepNext w:val="0"/>
        <w:keepLines w:val="0"/>
        <w:pageBreakBefore w:val="0"/>
        <w:kinsoku/>
        <w:wordWrap/>
        <w:overflowPunct/>
        <w:topLinePunct w:val="0"/>
        <w:bidi w:val="0"/>
        <w:adjustRightInd w:val="0"/>
        <w:snapToGrid w:val="0"/>
        <w:spacing w:line="400" w:lineRule="exact"/>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2、无效标情形</w:t>
      </w:r>
    </w:p>
    <w:p w14:paraId="391B4DF4">
      <w:pPr>
        <w:pStyle w:val="55"/>
        <w:rPr>
          <w:rFonts w:hint="eastAsia" w:ascii="宋体" w:hAnsi="宋体" w:eastAsia="宋体" w:cs="宋体"/>
          <w:b/>
          <w:bCs/>
          <w:color w:val="auto"/>
          <w:sz w:val="24"/>
          <w:szCs w:val="22"/>
          <w:highlight w:val="none"/>
        </w:rPr>
      </w:pPr>
      <w:r>
        <w:rPr>
          <w:rFonts w:hint="eastAsia" w:ascii="宋体" w:hAnsi="宋体" w:eastAsia="宋体" w:cs="宋体"/>
          <w:b/>
          <w:color w:val="auto"/>
          <w:sz w:val="24"/>
          <w:highlight w:val="none"/>
          <w:lang w:eastAsia="zh-CN"/>
        </w:rPr>
        <w:t>（一）</w:t>
      </w:r>
      <w:r>
        <w:rPr>
          <w:rFonts w:hint="eastAsia" w:ascii="宋体" w:hAnsi="宋体" w:eastAsia="宋体" w:cs="宋体"/>
          <w:b/>
          <w:bCs/>
          <w:color w:val="auto"/>
          <w:sz w:val="24"/>
          <w:szCs w:val="22"/>
          <w:highlight w:val="none"/>
          <w:lang w:eastAsia="zh-CN"/>
        </w:rPr>
        <w:t>资格审查</w:t>
      </w:r>
      <w:r>
        <w:rPr>
          <w:rFonts w:hint="eastAsia" w:ascii="宋体" w:hAnsi="宋体" w:eastAsia="宋体" w:cs="宋体"/>
          <w:b/>
          <w:bCs/>
          <w:color w:val="auto"/>
          <w:sz w:val="24"/>
          <w:szCs w:val="22"/>
          <w:highlight w:val="none"/>
        </w:rPr>
        <w:t>文件符合性审查中，存在下列情形之一的，经评标委员会按少数服从多数原则认定后作无效标处理：</w:t>
      </w:r>
    </w:p>
    <w:p w14:paraId="550174E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val="en-US" w:eastAsia="zh-CN"/>
        </w:rPr>
        <w:t>（1</w:t>
      </w:r>
      <w:r>
        <w:rPr>
          <w:rFonts w:hint="eastAsia" w:ascii="宋体" w:hAnsi="宋体" w:cs="宋体"/>
          <w:color w:val="auto"/>
          <w:sz w:val="24"/>
          <w:szCs w:val="22"/>
          <w:highlight w:val="none"/>
          <w:lang w:eastAsia="zh-CN"/>
        </w:rPr>
        <w:t>）不同投标人的电子投标（响应）文件上传计算机的网卡MAC地址或硬盘序列号等硬件信息相同的；</w:t>
      </w:r>
    </w:p>
    <w:p w14:paraId="5E84590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2</w:t>
      </w:r>
      <w:r>
        <w:rPr>
          <w:rFonts w:hint="eastAsia" w:ascii="宋体" w:hAnsi="宋体" w:cs="宋体"/>
          <w:color w:val="auto"/>
          <w:sz w:val="24"/>
          <w:szCs w:val="22"/>
          <w:highlight w:val="none"/>
          <w:lang w:eastAsia="zh-CN"/>
        </w:rPr>
        <w:t>）上传的电子投标（响应）文件若出现使用本项目其他投标（响应）投标人的数字证书加密的，或者加盖本项目其他投标（响应）投标人的电子印章的；</w:t>
      </w:r>
    </w:p>
    <w:p w14:paraId="5AE186C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3</w:t>
      </w:r>
      <w:r>
        <w:rPr>
          <w:rFonts w:hint="eastAsia" w:ascii="宋体" w:hAnsi="宋体" w:cs="宋体"/>
          <w:color w:val="auto"/>
          <w:sz w:val="24"/>
          <w:szCs w:val="22"/>
          <w:highlight w:val="none"/>
          <w:lang w:eastAsia="zh-CN"/>
        </w:rPr>
        <w:t>）不同投标人的投标（响应）文件的内容存在三处（含）以上错误一致的；</w:t>
      </w:r>
    </w:p>
    <w:p w14:paraId="2BB0F61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4</w:t>
      </w:r>
      <w:r>
        <w:rPr>
          <w:rFonts w:hint="eastAsia" w:ascii="宋体" w:hAnsi="宋体" w:cs="宋体"/>
          <w:color w:val="auto"/>
          <w:sz w:val="24"/>
          <w:szCs w:val="22"/>
          <w:highlight w:val="none"/>
          <w:lang w:eastAsia="zh-CN"/>
        </w:rPr>
        <w:t>）不同投标人联系人为同一人或不同联系人的联系电话一致的</w:t>
      </w:r>
      <w:r>
        <w:rPr>
          <w:rFonts w:hint="eastAsia" w:ascii="宋体" w:hAnsi="宋体" w:eastAsia="宋体" w:cs="宋体"/>
          <w:color w:val="auto"/>
          <w:sz w:val="24"/>
          <w:szCs w:val="24"/>
          <w:highlight w:val="none"/>
          <w:lang w:eastAsia="zh-CN"/>
        </w:rPr>
        <w:t>；</w:t>
      </w:r>
    </w:p>
    <w:p w14:paraId="79A6C10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bookmarkStart w:id="55" w:name="_Hlk33211013"/>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lang w:eastAsia="zh-CN"/>
        </w:rPr>
        <w:t>）资格审查资料不符合招标文件要求；</w:t>
      </w:r>
    </w:p>
    <w:p w14:paraId="3F6AB76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6</w:t>
      </w:r>
      <w:r>
        <w:rPr>
          <w:rFonts w:hint="eastAsia" w:ascii="宋体" w:hAnsi="宋体" w:cs="宋体"/>
          <w:color w:val="auto"/>
          <w:sz w:val="24"/>
          <w:szCs w:val="22"/>
          <w:highlight w:val="none"/>
          <w:lang w:eastAsia="zh-CN"/>
        </w:rPr>
        <w:t>）</w:t>
      </w:r>
      <w:r>
        <w:rPr>
          <w:rFonts w:hint="eastAsia" w:ascii="宋体" w:hAnsi="宋体" w:eastAsia="宋体" w:cs="宋体"/>
          <w:color w:val="auto"/>
          <w:kern w:val="2"/>
          <w:sz w:val="24"/>
          <w:szCs w:val="22"/>
          <w:highlight w:val="none"/>
          <w:lang w:val="en-US" w:eastAsia="zh-CN" w:bidi="ar-SA"/>
        </w:rPr>
        <w:t>不响应或擅自改变本招标文件要求或投标文件有采购人不能接受的附加条件的；</w:t>
      </w:r>
    </w:p>
    <w:p w14:paraId="45D35A2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color w:val="auto"/>
          <w:highlight w:val="none"/>
          <w:lang w:val="en-US" w:eastAsia="zh-CN"/>
        </w:rPr>
      </w:pPr>
      <w:r>
        <w:rPr>
          <w:rFonts w:hint="eastAsia" w:ascii="宋体" w:hAnsi="宋体" w:cs="宋体"/>
          <w:color w:val="auto"/>
          <w:kern w:val="2"/>
          <w:sz w:val="24"/>
          <w:szCs w:val="22"/>
          <w:highlight w:val="none"/>
          <w:lang w:val="en-US" w:eastAsia="zh-CN" w:bidi="ar-SA"/>
        </w:rPr>
        <w:t>（7）</w:t>
      </w:r>
      <w:r>
        <w:rPr>
          <w:rFonts w:hint="eastAsia" w:ascii="宋体" w:hAnsi="宋体" w:eastAsia="宋体" w:cs="宋体"/>
          <w:color w:val="auto"/>
          <w:sz w:val="24"/>
          <w:szCs w:val="22"/>
          <w:highlight w:val="none"/>
        </w:rPr>
        <w:t>《资格文件》中出现本项目投标报价的</w:t>
      </w:r>
      <w:r>
        <w:rPr>
          <w:rFonts w:hint="eastAsia" w:ascii="宋体" w:hAnsi="宋体" w:cs="宋体"/>
          <w:color w:val="auto"/>
          <w:sz w:val="24"/>
          <w:szCs w:val="22"/>
          <w:highlight w:val="none"/>
          <w:lang w:eastAsia="zh-CN"/>
        </w:rPr>
        <w:t>；</w:t>
      </w:r>
    </w:p>
    <w:p w14:paraId="334130F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8</w:t>
      </w:r>
      <w:r>
        <w:rPr>
          <w:rFonts w:hint="eastAsia" w:ascii="宋体" w:hAnsi="宋体" w:cs="宋体"/>
          <w:color w:val="auto"/>
          <w:sz w:val="24"/>
          <w:szCs w:val="22"/>
          <w:highlight w:val="none"/>
          <w:lang w:eastAsia="zh-CN"/>
        </w:rPr>
        <w:t>）违反国家或政府部门相关法律、法规、文件规定的。</w:t>
      </w:r>
    </w:p>
    <w:p w14:paraId="1E9D5FB9">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w:t>
      </w:r>
      <w:r>
        <w:rPr>
          <w:rFonts w:hint="eastAsia" w:ascii="宋体" w:hAnsi="宋体" w:cs="宋体"/>
          <w:b/>
          <w:bCs/>
          <w:color w:val="auto"/>
          <w:sz w:val="24"/>
          <w:szCs w:val="22"/>
          <w:highlight w:val="none"/>
          <w:lang w:eastAsia="zh-CN"/>
        </w:rPr>
        <w:t>二</w:t>
      </w:r>
      <w:r>
        <w:rPr>
          <w:rFonts w:hint="eastAsia" w:ascii="宋体" w:hAnsi="宋体" w:eastAsia="宋体" w:cs="宋体"/>
          <w:b/>
          <w:bCs/>
          <w:color w:val="auto"/>
          <w:sz w:val="24"/>
          <w:szCs w:val="22"/>
          <w:highlight w:val="none"/>
        </w:rPr>
        <w:t>）商务、技术文件符合性审查中，存在下列情形之一的，经评标委员会按少数服从多数原则认定后作无效标处理：</w:t>
      </w:r>
    </w:p>
    <w:bookmarkEnd w:id="55"/>
    <w:p w14:paraId="3ECC3ABB">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bookmarkStart w:id="56" w:name="_Toc33194396"/>
      <w:bookmarkStart w:id="57" w:name="OLE_LINK12"/>
      <w:bookmarkStart w:id="58" w:name="OLE_LINK16"/>
      <w:r>
        <w:rPr>
          <w:rFonts w:hint="eastAsia" w:ascii="宋体" w:hAnsi="宋体" w:eastAsia="宋体" w:cs="宋体"/>
          <w:color w:val="auto"/>
          <w:sz w:val="24"/>
          <w:szCs w:val="22"/>
          <w:highlight w:val="none"/>
        </w:rPr>
        <w:t>（1）投标文件未有效授权，法定代表人授权委托书等填写不完整或有涂改的；</w:t>
      </w:r>
      <w:bookmarkEnd w:id="56"/>
    </w:p>
    <w:p w14:paraId="4227440D">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14:paraId="37459971">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（3）投标文件存在一个或一个以上备选（替代）</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案的；</w:t>
      </w:r>
    </w:p>
    <w:p w14:paraId="6A3964A4">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（4）仅提交“备份投标文件”的；</w:t>
      </w:r>
    </w:p>
    <w:p w14:paraId="4903CEF2">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（5）文件组成内容不齐全，本招标文件规定必须提供而未提供的（属于资格审查范围的除外）；</w:t>
      </w:r>
    </w:p>
    <w:p w14:paraId="5515C643">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（6）投标文件标注的响应或偏离情况与事实不符，或提供了虚假材料的；</w:t>
      </w:r>
    </w:p>
    <w:p w14:paraId="28EB50D8">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（7）不响应或擅自改变本招标文件要求或投标文件有采购人不能接受的附加条件的；</w:t>
      </w:r>
    </w:p>
    <w:p w14:paraId="59AD7232">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（8）参加同一合同项下政府采购活动的不同投标人之间存在利害关系并且存在影响政府采购公平竞争行为的；</w:t>
      </w:r>
    </w:p>
    <w:p w14:paraId="668B3934">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bookmarkStart w:id="59" w:name="_Toc33194397"/>
      <w:r>
        <w:rPr>
          <w:rFonts w:hint="eastAsia" w:ascii="宋体" w:hAnsi="宋体" w:eastAsia="宋体" w:cs="宋体"/>
          <w:color w:val="auto"/>
          <w:sz w:val="24"/>
          <w:szCs w:val="22"/>
          <w:highlight w:val="none"/>
        </w:rPr>
        <w:t>（9）招标人拟采购的产品如属于品目清单范围内的强制采购品目的，投标人未</w:t>
      </w:r>
      <w:bookmarkEnd w:id="59"/>
      <w:bookmarkStart w:id="60" w:name="_Toc33194398"/>
      <w:r>
        <w:rPr>
          <w:rFonts w:hint="eastAsia" w:ascii="宋体" w:hAnsi="宋体" w:eastAsia="宋体" w:cs="宋体"/>
          <w:color w:val="auto"/>
          <w:sz w:val="24"/>
          <w:szCs w:val="22"/>
          <w:highlight w:val="none"/>
        </w:rPr>
        <w:t>能在响应文件中提供国家确定的认证机构出具的、处于有效期之内的该产品节能产品、环境标志产品认证证书；</w:t>
      </w:r>
      <w:bookmarkEnd w:id="60"/>
    </w:p>
    <w:p w14:paraId="59F3EC3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eastAsia="宋体" w:cs="宋体"/>
          <w:color w:val="auto"/>
          <w:sz w:val="24"/>
          <w:szCs w:val="22"/>
          <w:highlight w:val="none"/>
        </w:rPr>
        <w:t>（10）《商务技术文件》中出现本项目投标报价的</w:t>
      </w:r>
      <w:r>
        <w:rPr>
          <w:rFonts w:hint="eastAsia" w:ascii="宋体" w:hAnsi="宋体" w:cs="宋体"/>
          <w:color w:val="auto"/>
          <w:sz w:val="24"/>
          <w:szCs w:val="22"/>
          <w:highlight w:val="none"/>
          <w:lang w:eastAsia="zh-CN"/>
        </w:rPr>
        <w:t>；</w:t>
      </w:r>
    </w:p>
    <w:p w14:paraId="027A987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bookmarkStart w:id="61" w:name="OLE_LINK1"/>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11</w:t>
      </w:r>
      <w:r>
        <w:rPr>
          <w:rFonts w:hint="eastAsia" w:ascii="宋体" w:hAnsi="宋体" w:cs="宋体"/>
          <w:color w:val="auto"/>
          <w:sz w:val="24"/>
          <w:szCs w:val="22"/>
          <w:highlight w:val="none"/>
          <w:lang w:eastAsia="zh-CN"/>
        </w:rPr>
        <w:t>）不同投标人的电子投标（响应）文件上传计算机的网卡MAC地址或硬盘序列号等硬件信息相同的；</w:t>
      </w:r>
    </w:p>
    <w:p w14:paraId="72883B1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12</w:t>
      </w:r>
      <w:r>
        <w:rPr>
          <w:rFonts w:hint="eastAsia" w:ascii="宋体" w:hAnsi="宋体" w:cs="宋体"/>
          <w:color w:val="auto"/>
          <w:sz w:val="24"/>
          <w:szCs w:val="22"/>
          <w:highlight w:val="none"/>
          <w:lang w:eastAsia="zh-CN"/>
        </w:rPr>
        <w:t>）上传的电子投标（响应）文件若出现使用本项目其他投标（响应）投标人的数字证书加密的，或者加盖本项目其他投标（响应）投标人的电子印章的；</w:t>
      </w:r>
    </w:p>
    <w:p w14:paraId="5315584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13</w:t>
      </w:r>
      <w:r>
        <w:rPr>
          <w:rFonts w:hint="eastAsia" w:ascii="宋体" w:hAnsi="宋体" w:cs="宋体"/>
          <w:color w:val="auto"/>
          <w:sz w:val="24"/>
          <w:szCs w:val="22"/>
          <w:highlight w:val="none"/>
          <w:lang w:eastAsia="zh-CN"/>
        </w:rPr>
        <w:t>）不同投标人的投标（响应）文件的内容存在三处（含）以上错误一致的；</w:t>
      </w:r>
    </w:p>
    <w:p w14:paraId="422216A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14</w:t>
      </w:r>
      <w:r>
        <w:rPr>
          <w:rFonts w:hint="eastAsia" w:ascii="宋体" w:hAnsi="宋体" w:cs="宋体"/>
          <w:color w:val="auto"/>
          <w:sz w:val="24"/>
          <w:szCs w:val="22"/>
          <w:highlight w:val="none"/>
          <w:lang w:eastAsia="zh-CN"/>
        </w:rPr>
        <w:t>）不同投标人联系人为同一人或不同联系人的联系电话一致的</w:t>
      </w:r>
      <w:r>
        <w:rPr>
          <w:rFonts w:hint="eastAsia" w:ascii="宋体" w:hAnsi="宋体" w:eastAsia="宋体" w:cs="宋体"/>
          <w:color w:val="auto"/>
          <w:sz w:val="24"/>
          <w:szCs w:val="24"/>
          <w:highlight w:val="none"/>
          <w:lang w:eastAsia="zh-CN"/>
        </w:rPr>
        <w:t>；</w:t>
      </w:r>
    </w:p>
    <w:bookmarkEnd w:id="61"/>
    <w:p w14:paraId="0E96B92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15</w:t>
      </w:r>
      <w:r>
        <w:rPr>
          <w:rFonts w:hint="eastAsia" w:ascii="宋体" w:hAnsi="宋体" w:cs="宋体"/>
          <w:color w:val="auto"/>
          <w:sz w:val="24"/>
          <w:szCs w:val="22"/>
          <w:highlight w:val="none"/>
          <w:lang w:eastAsia="zh-CN"/>
        </w:rPr>
        <w:t>）《技术商务评分汇总表》得分低于商务技术总分60%，投标人的商务报价将被拒绝。</w:t>
      </w:r>
    </w:p>
    <w:bookmarkEnd w:id="57"/>
    <w:p w14:paraId="55F5D9B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16</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串通投标认定</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有下列情形之一的，视为投标人串通投标，其投标无效：</w:t>
      </w:r>
    </w:p>
    <w:p w14:paraId="5E38E02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16.1</w:t>
      </w:r>
      <w:r>
        <w:rPr>
          <w:rFonts w:hint="eastAsia" w:ascii="宋体" w:hAnsi="宋体" w:eastAsia="宋体" w:cs="宋体"/>
          <w:color w:val="auto"/>
          <w:sz w:val="24"/>
          <w:szCs w:val="24"/>
          <w:highlight w:val="none"/>
        </w:rPr>
        <w:t>不同投标人的投标文件由同一单位或者个人编制或同一IP地址上传；</w:t>
      </w:r>
    </w:p>
    <w:p w14:paraId="793C1B8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16.2</w:t>
      </w:r>
      <w:r>
        <w:rPr>
          <w:rFonts w:hint="eastAsia" w:ascii="宋体" w:hAnsi="宋体" w:eastAsia="宋体" w:cs="宋体"/>
          <w:color w:val="auto"/>
          <w:sz w:val="24"/>
          <w:szCs w:val="24"/>
          <w:highlight w:val="none"/>
        </w:rPr>
        <w:t>不同投标人委托同一单位或者个人办理投标事宜；</w:t>
      </w:r>
    </w:p>
    <w:p w14:paraId="27F497F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16.3</w:t>
      </w:r>
      <w:r>
        <w:rPr>
          <w:rFonts w:hint="eastAsia" w:ascii="宋体" w:hAnsi="宋体" w:eastAsia="宋体" w:cs="宋体"/>
          <w:color w:val="auto"/>
          <w:sz w:val="24"/>
          <w:szCs w:val="24"/>
          <w:highlight w:val="none"/>
        </w:rPr>
        <w:t>不同投标人的投标文件载明的项目管理成员或者联系人员为同一人；</w:t>
      </w:r>
    </w:p>
    <w:p w14:paraId="0E2705A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16.4</w:t>
      </w:r>
      <w:r>
        <w:rPr>
          <w:rFonts w:hint="eastAsia" w:ascii="宋体" w:hAnsi="宋体" w:eastAsia="宋体" w:cs="宋体"/>
          <w:color w:val="auto"/>
          <w:sz w:val="24"/>
          <w:szCs w:val="24"/>
          <w:highlight w:val="none"/>
        </w:rPr>
        <w:t>不同投标人的投标文件异常一致或者投标报价呈规律性差异；</w:t>
      </w:r>
    </w:p>
    <w:p w14:paraId="51E83151">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16.5</w:t>
      </w:r>
      <w:r>
        <w:rPr>
          <w:rFonts w:hint="eastAsia" w:ascii="宋体" w:hAnsi="宋体" w:eastAsia="宋体" w:cs="宋体"/>
          <w:color w:val="auto"/>
          <w:sz w:val="24"/>
          <w:szCs w:val="24"/>
          <w:highlight w:val="none"/>
        </w:rPr>
        <w:t>不同投标人的投标文件相互混装</w:t>
      </w:r>
      <w:r>
        <w:rPr>
          <w:rFonts w:hint="eastAsia" w:ascii="宋体" w:hAnsi="宋体" w:eastAsia="宋体" w:cs="宋体"/>
          <w:color w:val="auto"/>
          <w:sz w:val="24"/>
          <w:szCs w:val="24"/>
          <w:highlight w:val="none"/>
          <w:lang w:val="en-US" w:eastAsia="zh-CN"/>
        </w:rPr>
        <w:t>。</w:t>
      </w:r>
    </w:p>
    <w:p w14:paraId="0C5BFE3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t>）违反国家或政府部门相关法律、法规、文件规定的。</w:t>
      </w:r>
    </w:p>
    <w:bookmarkEnd w:id="58"/>
    <w:p w14:paraId="7A63AA64">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w:t>
      </w:r>
      <w:r>
        <w:rPr>
          <w:rFonts w:hint="eastAsia" w:ascii="宋体" w:hAnsi="宋体" w:cs="宋体"/>
          <w:b/>
          <w:bCs/>
          <w:color w:val="auto"/>
          <w:sz w:val="24"/>
          <w:szCs w:val="22"/>
          <w:highlight w:val="none"/>
          <w:lang w:eastAsia="zh-CN"/>
        </w:rPr>
        <w:t>三</w:t>
      </w:r>
      <w:r>
        <w:rPr>
          <w:rFonts w:hint="eastAsia" w:ascii="宋体" w:hAnsi="宋体" w:eastAsia="宋体" w:cs="宋体"/>
          <w:b/>
          <w:bCs/>
          <w:color w:val="auto"/>
          <w:sz w:val="24"/>
          <w:szCs w:val="22"/>
          <w:highlight w:val="none"/>
        </w:rPr>
        <w:t>）报价文件符合性审查中，存在下列情形之一的，经评标委员会认定后作无效标处理：</w:t>
      </w:r>
    </w:p>
    <w:p w14:paraId="64CF415C">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14:paraId="501BCA57">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（2）投标文件存在一个或一个以上备选（替代）</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案的；</w:t>
      </w:r>
    </w:p>
    <w:p w14:paraId="46BDCE79">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（3）未按照招标文件标明的币种报价的，或者投标报价涵盖的内容不符合招标文件要求的；</w:t>
      </w:r>
    </w:p>
    <w:p w14:paraId="14781902">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（4）《开标一览表》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与《投标报价明细表》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不一致且拒不接受修正的；</w:t>
      </w:r>
    </w:p>
    <w:p w14:paraId="49FDB0A5">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（5）投标报价具有选择性，唱标价格与《投标文件》承诺的优惠（折扣）后价格不一致的；</w:t>
      </w:r>
    </w:p>
    <w:p w14:paraId="354A9BA2">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（6）投标报价超过采购预算（或最高限价）的；</w:t>
      </w:r>
    </w:p>
    <w:p w14:paraId="7380E430">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（7）仅提交“备份投标文件”的；</w:t>
      </w:r>
    </w:p>
    <w:p w14:paraId="7E49BC48">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（8）投标文件组成内容不齐全，本招标文件规定必须提供而未提供的（属于资格审查范围的除外）；</w:t>
      </w:r>
    </w:p>
    <w:p w14:paraId="0819D38A">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（9）投标文件标注的响应或偏离情况与事实不符，或提供了虚假材料的；</w:t>
      </w:r>
    </w:p>
    <w:p w14:paraId="75873426">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（10）不响应或擅自改变本招标文件要求或投标文件有采购人不能接受的附加条件的；</w:t>
      </w:r>
    </w:p>
    <w:p w14:paraId="4AFE6AE1">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b/>
          <w:bCs/>
          <w:color w:val="auto"/>
          <w:sz w:val="24"/>
          <w:szCs w:val="22"/>
          <w:highlight w:val="none"/>
        </w:rPr>
      </w:pPr>
      <w:r>
        <w:rPr>
          <w:rFonts w:hint="eastAsia" w:ascii="宋体" w:hAnsi="宋体" w:eastAsia="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r>
        <w:rPr>
          <w:rFonts w:hint="eastAsia" w:ascii="宋体" w:hAnsi="宋体" w:eastAsia="宋体" w:cs="宋体"/>
          <w:b/>
          <w:bCs/>
          <w:color w:val="auto"/>
          <w:sz w:val="24"/>
          <w:szCs w:val="22"/>
          <w:highlight w:val="none"/>
          <w:lang w:eastAsia="zh-CN"/>
        </w:rPr>
        <w:t>（</w:t>
      </w:r>
      <w:r>
        <w:rPr>
          <w:rFonts w:hint="eastAsia" w:ascii="宋体" w:hAnsi="宋体" w:cs="宋体"/>
          <w:b/>
          <w:bCs/>
          <w:color w:val="auto"/>
          <w:sz w:val="24"/>
          <w:szCs w:val="22"/>
          <w:highlight w:val="none"/>
          <w:lang w:eastAsia="zh-CN"/>
        </w:rPr>
        <w:t>投标人</w:t>
      </w:r>
      <w:r>
        <w:rPr>
          <w:rFonts w:hint="eastAsia" w:ascii="宋体" w:hAnsi="宋体" w:eastAsia="宋体" w:cs="宋体"/>
          <w:b/>
          <w:bCs/>
          <w:color w:val="auto"/>
          <w:sz w:val="24"/>
          <w:szCs w:val="22"/>
          <w:highlight w:val="none"/>
          <w:lang w:eastAsia="zh-CN"/>
        </w:rPr>
        <w:t>不得进行影响</w:t>
      </w:r>
      <w:r>
        <w:rPr>
          <w:rFonts w:hint="eastAsia" w:ascii="宋体" w:hAnsi="宋体" w:cs="宋体"/>
          <w:b/>
          <w:bCs/>
          <w:color w:val="auto"/>
          <w:sz w:val="24"/>
          <w:szCs w:val="22"/>
          <w:highlight w:val="none"/>
          <w:lang w:val="en-US" w:eastAsia="zh-CN"/>
        </w:rPr>
        <w:t>服务</w:t>
      </w:r>
      <w:r>
        <w:rPr>
          <w:rFonts w:hint="eastAsia" w:ascii="宋体" w:hAnsi="宋体" w:eastAsia="宋体" w:cs="宋体"/>
          <w:b/>
          <w:bCs/>
          <w:color w:val="auto"/>
          <w:sz w:val="24"/>
          <w:szCs w:val="22"/>
          <w:highlight w:val="none"/>
          <w:lang w:eastAsia="zh-CN"/>
        </w:rPr>
        <w:t>质量或者诚信履约的恶意报价。</w:t>
      </w:r>
      <w:r>
        <w:rPr>
          <w:rFonts w:hint="eastAsia" w:ascii="宋体" w:hAnsi="宋体" w:cs="宋体"/>
          <w:b/>
          <w:bCs/>
          <w:color w:val="auto"/>
          <w:sz w:val="24"/>
          <w:szCs w:val="22"/>
          <w:highlight w:val="none"/>
          <w:lang w:eastAsia="zh-CN"/>
        </w:rPr>
        <w:t>投标人</w:t>
      </w:r>
      <w:r>
        <w:rPr>
          <w:rFonts w:hint="eastAsia" w:ascii="宋体" w:hAnsi="宋体" w:eastAsia="宋体" w:cs="宋体"/>
          <w:b/>
          <w:bCs/>
          <w:color w:val="auto"/>
          <w:sz w:val="24"/>
          <w:szCs w:val="22"/>
          <w:highlight w:val="none"/>
          <w:lang w:eastAsia="zh-CN"/>
        </w:rPr>
        <w:t>在项目评审前准备好报价核算、报价明细、报价说明等材料，以备评审专家核查，</w:t>
      </w:r>
      <w:r>
        <w:rPr>
          <w:rFonts w:hint="eastAsia" w:ascii="宋体" w:hAnsi="宋体" w:cs="宋体"/>
          <w:b/>
          <w:bCs/>
          <w:color w:val="auto"/>
          <w:sz w:val="24"/>
          <w:szCs w:val="22"/>
          <w:highlight w:val="none"/>
          <w:lang w:eastAsia="zh-CN"/>
        </w:rPr>
        <w:t>投标人</w:t>
      </w:r>
      <w:r>
        <w:rPr>
          <w:rFonts w:hint="eastAsia" w:ascii="宋体" w:hAnsi="宋体" w:eastAsia="宋体" w:cs="宋体"/>
          <w:b/>
          <w:bCs/>
          <w:color w:val="auto"/>
          <w:sz w:val="24"/>
          <w:szCs w:val="22"/>
          <w:highlight w:val="none"/>
          <w:lang w:eastAsia="zh-CN"/>
        </w:rPr>
        <w:t>报价低于项目预算50%的，应当在报价文件中详细阐述不影响</w:t>
      </w:r>
      <w:r>
        <w:rPr>
          <w:rFonts w:hint="eastAsia" w:ascii="宋体" w:hAnsi="宋体" w:cs="宋体"/>
          <w:b/>
          <w:bCs/>
          <w:color w:val="auto"/>
          <w:sz w:val="24"/>
          <w:szCs w:val="22"/>
          <w:highlight w:val="none"/>
          <w:lang w:val="en-US" w:eastAsia="zh-CN"/>
        </w:rPr>
        <w:t>服务</w:t>
      </w:r>
      <w:r>
        <w:rPr>
          <w:rFonts w:hint="eastAsia" w:ascii="宋体" w:hAnsi="宋体" w:eastAsia="宋体" w:cs="宋体"/>
          <w:b/>
          <w:bCs/>
          <w:color w:val="auto"/>
          <w:sz w:val="24"/>
          <w:szCs w:val="22"/>
          <w:highlight w:val="none"/>
          <w:lang w:eastAsia="zh-CN"/>
        </w:rPr>
        <w:t>质量或者诚信履约的具体原因。）</w:t>
      </w:r>
      <w:r>
        <w:rPr>
          <w:rFonts w:hint="eastAsia" w:ascii="宋体" w:hAnsi="宋体" w:eastAsia="宋体" w:cs="宋体"/>
          <w:b/>
          <w:bCs/>
          <w:color w:val="auto"/>
          <w:sz w:val="24"/>
          <w:szCs w:val="22"/>
          <w:highlight w:val="none"/>
        </w:rPr>
        <w:t>；</w:t>
      </w:r>
    </w:p>
    <w:p w14:paraId="2C7AA69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12</w:t>
      </w:r>
      <w:r>
        <w:rPr>
          <w:rFonts w:hint="eastAsia" w:ascii="宋体" w:hAnsi="宋体" w:cs="宋体"/>
          <w:color w:val="auto"/>
          <w:sz w:val="24"/>
          <w:szCs w:val="22"/>
          <w:highlight w:val="none"/>
          <w:lang w:eastAsia="zh-CN"/>
        </w:rPr>
        <w:t>）不同投标人的电子投标（响应）文件上传计算机的网卡MAC地址或硬盘序列号等硬件信息相同的；</w:t>
      </w:r>
    </w:p>
    <w:p w14:paraId="02949EC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13</w:t>
      </w:r>
      <w:r>
        <w:rPr>
          <w:rFonts w:hint="eastAsia" w:ascii="宋体" w:hAnsi="宋体" w:cs="宋体"/>
          <w:color w:val="auto"/>
          <w:sz w:val="24"/>
          <w:szCs w:val="22"/>
          <w:highlight w:val="none"/>
          <w:lang w:eastAsia="zh-CN"/>
        </w:rPr>
        <w:t>）上传的电子投标（响应）文件若出现使用本项目其他投标（响应）投标人的数字证书加密的，或者加盖本项目其他投标（响应）投标人的电子印章的；</w:t>
      </w:r>
    </w:p>
    <w:p w14:paraId="30DCD81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14</w:t>
      </w:r>
      <w:r>
        <w:rPr>
          <w:rFonts w:hint="eastAsia" w:ascii="宋体" w:hAnsi="宋体" w:cs="宋体"/>
          <w:color w:val="auto"/>
          <w:sz w:val="24"/>
          <w:szCs w:val="22"/>
          <w:highlight w:val="none"/>
          <w:lang w:eastAsia="zh-CN"/>
        </w:rPr>
        <w:t>）不同投标人的投标（响应）文件的内容存在三处（含）以上错误一致的；</w:t>
      </w:r>
    </w:p>
    <w:p w14:paraId="283A34A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15</w:t>
      </w:r>
      <w:r>
        <w:rPr>
          <w:rFonts w:hint="eastAsia" w:ascii="宋体" w:hAnsi="宋体" w:cs="宋体"/>
          <w:color w:val="auto"/>
          <w:sz w:val="24"/>
          <w:szCs w:val="22"/>
          <w:highlight w:val="none"/>
          <w:lang w:eastAsia="zh-CN"/>
        </w:rPr>
        <w:t>）不同投标人联系人为同一人或不同联系人的联系电话一致的</w:t>
      </w:r>
      <w:r>
        <w:rPr>
          <w:rFonts w:hint="eastAsia" w:ascii="宋体" w:hAnsi="宋体" w:eastAsia="宋体" w:cs="宋体"/>
          <w:color w:val="auto"/>
          <w:sz w:val="24"/>
          <w:szCs w:val="24"/>
          <w:highlight w:val="none"/>
          <w:lang w:eastAsia="zh-CN"/>
        </w:rPr>
        <w:t>；</w:t>
      </w:r>
    </w:p>
    <w:p w14:paraId="61CA0875">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cs="宋体"/>
          <w:color w:val="auto"/>
          <w:sz w:val="24"/>
          <w:szCs w:val="22"/>
          <w:highlight w:val="none"/>
          <w:lang w:val="en-US" w:eastAsia="zh-CN"/>
        </w:rPr>
        <w:t>6</w:t>
      </w:r>
      <w:r>
        <w:rPr>
          <w:rFonts w:hint="eastAsia" w:ascii="宋体" w:hAnsi="宋体" w:eastAsia="宋体" w:cs="宋体"/>
          <w:color w:val="auto"/>
          <w:sz w:val="24"/>
          <w:szCs w:val="22"/>
          <w:highlight w:val="none"/>
        </w:rPr>
        <w:t>）《技术商务评分汇总表》得分低于商务技术总分60%，</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的商务报价将被拒绝。</w:t>
      </w:r>
    </w:p>
    <w:p w14:paraId="1E91F3D7">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串通投标认定</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有下列情形之一的，视为投标人串通投标，其投标无效：</w:t>
      </w:r>
    </w:p>
    <w:p w14:paraId="0CE9213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17.1</w:t>
      </w:r>
      <w:r>
        <w:rPr>
          <w:rFonts w:hint="eastAsia" w:ascii="宋体" w:hAnsi="宋体" w:eastAsia="宋体" w:cs="宋体"/>
          <w:color w:val="auto"/>
          <w:sz w:val="24"/>
          <w:szCs w:val="24"/>
          <w:highlight w:val="none"/>
        </w:rPr>
        <w:t>不同投标人的投标文件由同一单位或者个人编制或同一IP地址上传；</w:t>
      </w:r>
    </w:p>
    <w:p w14:paraId="7921723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17.2</w:t>
      </w:r>
      <w:r>
        <w:rPr>
          <w:rFonts w:hint="eastAsia" w:ascii="宋体" w:hAnsi="宋体" w:eastAsia="宋体" w:cs="宋体"/>
          <w:color w:val="auto"/>
          <w:sz w:val="24"/>
          <w:szCs w:val="24"/>
          <w:highlight w:val="none"/>
        </w:rPr>
        <w:t>不同投标人委托同一单位或者个人办理投标事宜；</w:t>
      </w:r>
    </w:p>
    <w:p w14:paraId="7CA5092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17.3</w:t>
      </w:r>
      <w:r>
        <w:rPr>
          <w:rFonts w:hint="eastAsia" w:ascii="宋体" w:hAnsi="宋体" w:eastAsia="宋体" w:cs="宋体"/>
          <w:color w:val="auto"/>
          <w:sz w:val="24"/>
          <w:szCs w:val="24"/>
          <w:highlight w:val="none"/>
        </w:rPr>
        <w:t>不同投标人的投标文件载明的项目管理成员或者联系人员为同一人；</w:t>
      </w:r>
    </w:p>
    <w:p w14:paraId="2088887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17.4</w:t>
      </w:r>
      <w:r>
        <w:rPr>
          <w:rFonts w:hint="eastAsia" w:ascii="宋体" w:hAnsi="宋体" w:eastAsia="宋体" w:cs="宋体"/>
          <w:color w:val="auto"/>
          <w:sz w:val="24"/>
          <w:szCs w:val="24"/>
          <w:highlight w:val="none"/>
        </w:rPr>
        <w:t>不同投标人的投标文件异常一致或者投标报价呈规律性差异；</w:t>
      </w:r>
    </w:p>
    <w:p w14:paraId="48A5F5DF">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17.5</w:t>
      </w:r>
      <w:r>
        <w:rPr>
          <w:rFonts w:hint="eastAsia" w:ascii="宋体" w:hAnsi="宋体" w:eastAsia="宋体" w:cs="宋体"/>
          <w:color w:val="auto"/>
          <w:sz w:val="24"/>
          <w:szCs w:val="24"/>
          <w:highlight w:val="none"/>
        </w:rPr>
        <w:t>不同投标人的投标文件相互混装</w:t>
      </w:r>
      <w:r>
        <w:rPr>
          <w:rFonts w:hint="eastAsia" w:ascii="宋体" w:hAnsi="宋体" w:eastAsia="宋体" w:cs="宋体"/>
          <w:color w:val="auto"/>
          <w:sz w:val="24"/>
          <w:szCs w:val="24"/>
          <w:highlight w:val="none"/>
          <w:lang w:val="en-US" w:eastAsia="zh-CN"/>
        </w:rPr>
        <w:t>。</w:t>
      </w:r>
    </w:p>
    <w:p w14:paraId="0B758872">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（18）</w:t>
      </w:r>
      <w:r>
        <w:rPr>
          <w:rFonts w:hint="eastAsia" w:ascii="宋体" w:hAnsi="宋体" w:eastAsia="宋体" w:cs="宋体"/>
          <w:color w:val="auto"/>
          <w:sz w:val="24"/>
          <w:szCs w:val="22"/>
          <w:highlight w:val="none"/>
        </w:rPr>
        <w:t>违反国家或政府部门相关法律、法规、文件规定的。</w:t>
      </w:r>
    </w:p>
    <w:p w14:paraId="36BA0FA8">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3、投标报价的错误修正</w:t>
      </w:r>
    </w:p>
    <w:p w14:paraId="0996990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评标委员会将对确定为实质上响应招标文件要求的投标文件报价部分进行校核，看其在投标报价方面是否有计算、累计或表达上的错误，修正错误的原则及顺序如下：</w:t>
      </w:r>
    </w:p>
    <w:p w14:paraId="35F5D8C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（1）投标文件中开标一览表(报价表)内容与投标文件中明细表内容不一致的，以开标一览表为准；</w:t>
      </w:r>
    </w:p>
    <w:p w14:paraId="0023620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（2）投标文件的大写金额和小写金额不一致的，以大写金额为准；</w:t>
      </w:r>
    </w:p>
    <w:p w14:paraId="7A44E67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（3）如分项价格或单价有遗报，应视作已含在投标总价中；其投标总价不予调整。其分项价或单价由评标委员会在投标总价不变的前提下根据合理的原则对其予以确定；</w:t>
      </w:r>
    </w:p>
    <w:p w14:paraId="0DD308F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（4）如有多报、重报，其投标总价在评标过程中不予调整。如其中标，其合同价按其投标单价予以调整；</w:t>
      </w:r>
    </w:p>
    <w:p w14:paraId="5E126D3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（5）单价金额小数点有明显错位的，应以总价为准，并修改单价。</w:t>
      </w:r>
    </w:p>
    <w:p w14:paraId="7DEB7D5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14:paraId="31F82F74">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4、废标</w:t>
      </w:r>
    </w:p>
    <w:p w14:paraId="4FC4F64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在招标采购中，出现下列情形之一的，本项目废标：</w:t>
      </w:r>
    </w:p>
    <w:p w14:paraId="28E86AF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（1）符合专业条件的投标人或者对招标文件作实质响应的投标人不足三家的；</w:t>
      </w:r>
    </w:p>
    <w:p w14:paraId="555BA65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（2）出现影响采购公正的违法、违规行为的；</w:t>
      </w:r>
    </w:p>
    <w:p w14:paraId="4E0B75E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（3）投标人的报价均超过了采购预算，采购人不能支付的；</w:t>
      </w:r>
    </w:p>
    <w:p w14:paraId="3039DDE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（4）因重大变故，采购任务取消的。</w:t>
      </w:r>
    </w:p>
    <w:p w14:paraId="129B0848">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5、可中止电子交易活动的情形</w:t>
      </w:r>
    </w:p>
    <w:p w14:paraId="16444B6D">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采购过程中出现以下情形，导致电子交易平台无法正常运行，或者无法保证电子交易的公平、公正和安全时，采购组织机构可中止电子交易活动：</w:t>
      </w:r>
    </w:p>
    <w:p w14:paraId="46B0C3A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（1）电子交易平台发生故障而无法登录访问的；</w:t>
      </w:r>
    </w:p>
    <w:p w14:paraId="01F9CA8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（2）电子交易平台应用或数据库出现错误，不能进行正常操作的；</w:t>
      </w:r>
    </w:p>
    <w:p w14:paraId="32A457B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（3）电子交易平台发现严重安全漏洞，有潜在泄密危险的；</w:t>
      </w:r>
    </w:p>
    <w:p w14:paraId="12CCF96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（4）病毒发作导致不能进行正常操作的；</w:t>
      </w:r>
    </w:p>
    <w:p w14:paraId="08E4505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（5）其他无法保证电子交易的公平、公正和安全的情况。</w:t>
      </w:r>
    </w:p>
    <w:p w14:paraId="760BF761">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2"/>
          <w:highlight w:val="none"/>
        </w:rPr>
        <w:t>出现前款规定情形，不影响采购公平、公正性的，采购组织机构可以待上述情形消除后继续组织电子交易活动；影响或可能影响采购公平、公正性的，应当重新采购。</w:t>
      </w:r>
    </w:p>
    <w:p w14:paraId="7397FA20">
      <w:pPr>
        <w:pStyle w:val="319"/>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highlight w:val="none"/>
        </w:rPr>
        <w:t>（六）投标文件的澄清、说明或补正</w:t>
      </w:r>
    </w:p>
    <w:p w14:paraId="610C3BC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12A5ED3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14:paraId="20E9B07D">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（七）评标办法</w:t>
      </w:r>
    </w:p>
    <w:bookmarkEnd w:id="54"/>
    <w:p w14:paraId="6068929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bookmarkStart w:id="62" w:name="_Toc86216994"/>
      <w:r>
        <w:rPr>
          <w:rFonts w:hint="eastAsia" w:ascii="宋体" w:hAnsi="宋体" w:eastAsia="宋体" w:cs="宋体"/>
          <w:color w:val="auto"/>
          <w:sz w:val="24"/>
          <w:highlight w:val="none"/>
        </w:rPr>
        <w:t>详见“第六部分  评标办法”。</w:t>
      </w:r>
    </w:p>
    <w:p w14:paraId="428EE6E7">
      <w:pPr>
        <w:pStyle w:val="319"/>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（八）评标内容的保密</w:t>
      </w:r>
    </w:p>
    <w:p w14:paraId="67B08E0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1、公开开标后，直到公告中标单位止，凡属于审查、澄清、评价和比较投标的所有资料，都不向投标人或与评标无关的其他人泄露。</w:t>
      </w:r>
    </w:p>
    <w:p w14:paraId="3E2447E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在投标文件的审查、澄清、评价和比较以及确定中标人过程中，投标人对招标人、招标代理机构和评标委员会施加影响的任何行为，都将导致取消资格。</w:t>
      </w:r>
    </w:p>
    <w:p w14:paraId="0D89E0A9">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3" w:name="_Toc233618978"/>
      <w:bookmarkStart w:id="64" w:name="_Toc522530047"/>
      <w:bookmarkStart w:id="65" w:name="_Toc23416"/>
      <w:r>
        <w:rPr>
          <w:rFonts w:hint="eastAsia" w:ascii="宋体" w:hAnsi="宋体" w:eastAsia="宋体" w:cs="宋体"/>
          <w:b/>
          <w:color w:val="auto"/>
          <w:sz w:val="32"/>
          <w:highlight w:val="none"/>
        </w:rPr>
        <w:t>七、定 标</w:t>
      </w:r>
      <w:bookmarkEnd w:id="62"/>
      <w:bookmarkEnd w:id="63"/>
      <w:bookmarkEnd w:id="64"/>
      <w:bookmarkEnd w:id="65"/>
    </w:p>
    <w:p w14:paraId="5C1D9351">
      <w:pPr>
        <w:pStyle w:val="26"/>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（一）定标</w:t>
      </w:r>
      <w:r>
        <w:rPr>
          <w:rFonts w:hint="eastAsia" w:ascii="宋体" w:hAnsi="宋体" w:eastAsia="宋体" w:cs="宋体"/>
          <w:b/>
          <w:color w:val="auto"/>
          <w:sz w:val="24"/>
          <w:highlight w:val="none"/>
        </w:rPr>
        <w:tab/>
      </w:r>
    </w:p>
    <w:p w14:paraId="5CE7838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14:paraId="142E1BD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14:paraId="20716B2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14:paraId="5745978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14:paraId="724E780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14:paraId="092C9E7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14:paraId="0348FA1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0558611C">
      <w:pPr>
        <w:pStyle w:val="26"/>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（二）招标结果公告</w:t>
      </w:r>
    </w:p>
    <w:p w14:paraId="47F3063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14:paraId="1B6BDD00">
      <w:pPr>
        <w:pStyle w:val="26"/>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bookmarkStart w:id="66" w:name="_Hlt75236103"/>
      <w:bookmarkEnd w:id="66"/>
      <w:bookmarkStart w:id="67" w:name="_Toc86216995"/>
      <w:bookmarkStart w:id="68" w:name="_Toc91899910"/>
      <w:r>
        <w:rPr>
          <w:rFonts w:hint="eastAsia" w:ascii="宋体" w:hAnsi="宋体" w:eastAsia="宋体" w:cs="宋体"/>
          <w:b/>
          <w:color w:val="auto"/>
          <w:sz w:val="24"/>
          <w:highlight w:val="none"/>
        </w:rPr>
        <w:t>（三）中标通知书</w:t>
      </w:r>
      <w:r>
        <w:rPr>
          <w:rFonts w:hint="eastAsia" w:ascii="宋体" w:hAnsi="宋体" w:eastAsia="宋体" w:cs="宋体"/>
          <w:b/>
          <w:color w:val="auto"/>
          <w:sz w:val="24"/>
          <w:highlight w:val="none"/>
        </w:rPr>
        <w:tab/>
      </w:r>
    </w:p>
    <w:p w14:paraId="583C939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在公告中标结果的同时，招标人或者招标代理机构应当向中标人发出中标通知书。</w:t>
      </w:r>
    </w:p>
    <w:p w14:paraId="7AF216B6">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9" w:name="_Toc522530048"/>
      <w:bookmarkStart w:id="70" w:name="_Toc233618979"/>
      <w:bookmarkStart w:id="71" w:name="_Toc15506"/>
      <w:r>
        <w:rPr>
          <w:rFonts w:hint="eastAsia" w:ascii="宋体" w:hAnsi="宋体" w:eastAsia="宋体" w:cs="宋体"/>
          <w:b/>
          <w:color w:val="auto"/>
          <w:sz w:val="32"/>
          <w:highlight w:val="none"/>
        </w:rPr>
        <w:t>八、</w:t>
      </w:r>
      <w:bookmarkEnd w:id="67"/>
      <w:r>
        <w:rPr>
          <w:rFonts w:hint="eastAsia" w:ascii="宋体" w:hAnsi="宋体" w:eastAsia="宋体" w:cs="宋体"/>
          <w:b/>
          <w:color w:val="auto"/>
          <w:sz w:val="32"/>
          <w:highlight w:val="none"/>
        </w:rPr>
        <w:t>合同签订及其他</w:t>
      </w:r>
      <w:bookmarkEnd w:id="69"/>
      <w:bookmarkEnd w:id="70"/>
      <w:bookmarkEnd w:id="71"/>
    </w:p>
    <w:bookmarkEnd w:id="68"/>
    <w:p w14:paraId="62BAE105">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（一）合同的签订</w:t>
      </w:r>
    </w:p>
    <w:p w14:paraId="4828B0B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中标人接到中标通知书后按规定的日期、时间、地点，由法定代表人或其授权代表与招标人代表按照“第四部分 合同文本”内容签订《采购合同》。</w:t>
      </w:r>
    </w:p>
    <w:p w14:paraId="4A41661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14:paraId="1F4AEE8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招标文件及补充文件、中标人的投标文件及投标修改文件、评标过程中有关澄清文件和中标通知书均作为合同附件。</w:t>
      </w:r>
    </w:p>
    <w:p w14:paraId="310CB900">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14:paraId="4C3C6B9F">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存在下列行为的，采购代理机构将其失信行为上报政府采购主管部门，由主管部门按有关规定对其违法失信行为记录进行公开：</w:t>
      </w:r>
    </w:p>
    <w:p w14:paraId="7D38B1B5">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（1）中标或者成交后，拒绝签订政府采购合同的；</w:t>
      </w:r>
    </w:p>
    <w:p w14:paraId="420AEEC7">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（2）投标有效期内撤销投标文件的。</w:t>
      </w:r>
    </w:p>
    <w:p w14:paraId="7A98BE5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如签订合同并生效后，投标人无故拒绝或延期合格交货的，除按照合同条款处罚外，列入不良行为记录一次，并给予通报。</w:t>
      </w:r>
    </w:p>
    <w:p w14:paraId="1967122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中标人因制造商原因无法供货导致无法签订合同的视为“中标后无正当理由不与招标人签订合同”。 </w:t>
      </w:r>
    </w:p>
    <w:p w14:paraId="7D306A11">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（二）售后服务考核</w:t>
      </w:r>
    </w:p>
    <w:p w14:paraId="3AAE710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将参照有关法律法规，对投标人进行考核，发现弄虚作假，偷工减料，以次充好，达不到国家、行业有关标准和技术文件规定的，一经查实，招标人将视情况终止合同。</w:t>
      </w:r>
    </w:p>
    <w:p w14:paraId="5955AB9D">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（三）招标代理服务费</w:t>
      </w:r>
    </w:p>
    <w:p w14:paraId="2F9C432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本次招标代理服务费按本须知“前附表”规定收取。</w:t>
      </w:r>
    </w:p>
    <w:p w14:paraId="64647DA4">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sectPr>
          <w:footerReference r:id="rId8" w:type="default"/>
          <w:pgSz w:w="11906" w:h="16838"/>
          <w:pgMar w:top="1440" w:right="1134" w:bottom="1440" w:left="1134" w:header="851" w:footer="850" w:gutter="0"/>
          <w:pgBorders>
            <w:top w:val="none" w:sz="0" w:space="0"/>
            <w:left w:val="none" w:sz="0" w:space="0"/>
            <w:bottom w:val="none" w:sz="0" w:space="0"/>
            <w:right w:val="none" w:sz="0" w:space="0"/>
          </w:pgBorders>
          <w:pgNumType w:fmt="decimal" w:start="1"/>
          <w:cols w:space="0" w:num="1"/>
          <w:rtlGutter w:val="0"/>
          <w:docGrid w:linePitch="381" w:charSpace="0"/>
        </w:sectPr>
      </w:pPr>
    </w:p>
    <w:p w14:paraId="7CD55AA8">
      <w:pPr>
        <w:pStyle w:val="319"/>
        <w:numPr>
          <w:ilvl w:val="0"/>
          <w:numId w:val="4"/>
        </w:numPr>
        <w:kinsoku/>
        <w:overflowPunct/>
        <w:bidi w:val="0"/>
        <w:spacing w:before="0" w:line="400" w:lineRule="exact"/>
        <w:ind w:firstLine="0" w:firstLineChars="0"/>
        <w:jc w:val="center"/>
        <w:outlineLvl w:val="0"/>
        <w:rPr>
          <w:rFonts w:hint="eastAsia" w:ascii="宋体" w:hAnsi="宋体" w:eastAsia="宋体" w:cs="宋体"/>
          <w:b/>
          <w:color w:val="auto"/>
          <w:sz w:val="36"/>
          <w:highlight w:val="none"/>
        </w:rPr>
      </w:pPr>
      <w:r>
        <w:rPr>
          <w:rFonts w:hint="eastAsia" w:ascii="宋体" w:hAnsi="宋体" w:eastAsia="宋体" w:cs="宋体"/>
          <w:b/>
          <w:color w:val="auto"/>
          <w:sz w:val="36"/>
          <w:highlight w:val="none"/>
        </w:rPr>
        <w:t>采购需求</w:t>
      </w:r>
    </w:p>
    <w:p w14:paraId="2E71520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72" w:name="_Toc24584"/>
      <w:bookmarkStart w:id="73" w:name="_Toc157410883"/>
      <w:bookmarkStart w:id="74" w:name="_Toc492733886"/>
      <w:bookmarkStart w:id="75" w:name="_Toc1203"/>
      <w:bookmarkStart w:id="76" w:name="_Toc233618986"/>
      <w:bookmarkStart w:id="77" w:name="_Toc86217003"/>
      <w:r>
        <w:rPr>
          <w:rFonts w:hint="eastAsia" w:ascii="宋体" w:hAnsi="宋体" w:eastAsia="宋体" w:cs="宋体"/>
          <w:b/>
          <w:bCs/>
          <w:color w:val="000000" w:themeColor="text1"/>
          <w:sz w:val="24"/>
          <w:szCs w:val="24"/>
          <w:highlight w:val="none"/>
          <w:lang w:val="zh-CN"/>
          <w14:textFill>
            <w14:solidFill>
              <w14:schemeClr w14:val="tx1"/>
            </w14:solidFill>
          </w14:textFill>
        </w:rPr>
        <w:t>一、建设项目环评技术评估</w:t>
      </w:r>
    </w:p>
    <w:bookmarkEnd w:id="72"/>
    <w:p w14:paraId="7D033CF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（一）</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项目概述</w:t>
      </w:r>
    </w:p>
    <w:p w14:paraId="5C3CD73F">
      <w:pPr>
        <w:pageBreakBefore w:val="0"/>
        <w:widowControl w:val="0"/>
        <w:tabs>
          <w:tab w:val="left" w:pos="72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建设项目</w:t>
      </w:r>
      <w:r>
        <w:rPr>
          <w:rFonts w:hint="eastAsia" w:ascii="宋体" w:hAnsi="宋体" w:eastAsia="宋体" w:cs="宋体"/>
          <w:b w:val="0"/>
          <w:bCs w:val="0"/>
          <w:snapToGrid w:val="0"/>
          <w:color w:val="000000" w:themeColor="text1"/>
          <w:sz w:val="24"/>
          <w:szCs w:val="24"/>
          <w:highlight w:val="none"/>
          <w:lang w:eastAsia="zh-CN"/>
          <w14:textFill>
            <w14:solidFill>
              <w14:schemeClr w14:val="tx1"/>
            </w14:solidFill>
          </w14:textFill>
        </w:rPr>
        <w:t>环评技术评估内容</w:t>
      </w:r>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涉及专业领域多，项目生产工艺、技术复杂。</w:t>
      </w:r>
      <w:r>
        <w:rPr>
          <w:rFonts w:hint="eastAsia" w:ascii="宋体" w:hAnsi="宋体" w:eastAsia="宋体" w:cs="宋体"/>
          <w:b w:val="0"/>
          <w:bCs w:val="0"/>
          <w:snapToGrid w:val="0"/>
          <w:color w:val="000000" w:themeColor="text1"/>
          <w:sz w:val="24"/>
          <w:szCs w:val="24"/>
          <w:highlight w:val="none"/>
          <w:lang w:eastAsia="zh-CN"/>
          <w14:textFill>
            <w14:solidFill>
              <w14:schemeClr w14:val="tx1"/>
            </w14:solidFill>
          </w14:textFill>
        </w:rPr>
        <w:t>随着审批</w:t>
      </w:r>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制度的改革和不断完善，对</w:t>
      </w:r>
      <w:r>
        <w:rPr>
          <w:rFonts w:hint="eastAsia" w:ascii="宋体" w:hAnsi="宋体" w:eastAsia="宋体" w:cs="宋体"/>
          <w:b w:val="0"/>
          <w:bCs w:val="0"/>
          <w:snapToGrid w:val="0"/>
          <w:color w:val="000000" w:themeColor="text1"/>
          <w:sz w:val="24"/>
          <w:szCs w:val="24"/>
          <w:highlight w:val="none"/>
          <w:lang w:eastAsia="zh-CN"/>
          <w14:textFill>
            <w14:solidFill>
              <w14:schemeClr w14:val="tx1"/>
            </w14:solidFill>
          </w14:textFill>
        </w:rPr>
        <w:t>审批</w:t>
      </w:r>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人员的要求也随着提高，由于专业和经验的限制，</w:t>
      </w:r>
      <w:r>
        <w:rPr>
          <w:rFonts w:hint="eastAsia" w:ascii="宋体" w:hAnsi="宋体" w:eastAsia="宋体" w:cs="宋体"/>
          <w:b w:val="0"/>
          <w:bCs w:val="0"/>
          <w:snapToGrid w:val="0"/>
          <w:color w:val="000000" w:themeColor="text1"/>
          <w:sz w:val="24"/>
          <w:szCs w:val="24"/>
          <w:highlight w:val="none"/>
          <w:lang w:eastAsia="zh-CN"/>
          <w14:textFill>
            <w14:solidFill>
              <w14:schemeClr w14:val="tx1"/>
            </w14:solidFill>
          </w14:textFill>
        </w:rPr>
        <w:t>审批</w:t>
      </w:r>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人员有时候难以全面准确掌握建设项目的环境污染状况，可能会带来一定的</w:t>
      </w:r>
      <w:r>
        <w:rPr>
          <w:rFonts w:hint="eastAsia" w:ascii="宋体" w:hAnsi="宋体" w:eastAsia="宋体" w:cs="宋体"/>
          <w:b w:val="0"/>
          <w:bCs w:val="0"/>
          <w:snapToGrid w:val="0"/>
          <w:color w:val="000000" w:themeColor="text1"/>
          <w:sz w:val="24"/>
          <w:szCs w:val="24"/>
          <w:highlight w:val="none"/>
          <w:lang w:eastAsia="zh-CN"/>
          <w14:textFill>
            <w14:solidFill>
              <w14:schemeClr w14:val="tx1"/>
            </w14:solidFill>
          </w14:textFill>
        </w:rPr>
        <w:t>审批</w:t>
      </w:r>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风险。为了提高</w:t>
      </w:r>
      <w:r>
        <w:rPr>
          <w:rFonts w:hint="eastAsia" w:ascii="宋体" w:hAnsi="宋体" w:eastAsia="宋体" w:cs="宋体"/>
          <w:b w:val="0"/>
          <w:bCs w:val="0"/>
          <w:snapToGrid w:val="0"/>
          <w:color w:val="000000" w:themeColor="text1"/>
          <w:sz w:val="24"/>
          <w:szCs w:val="24"/>
          <w:highlight w:val="none"/>
          <w:lang w:eastAsia="zh-CN"/>
          <w14:textFill>
            <w14:solidFill>
              <w14:schemeClr w14:val="tx1"/>
            </w14:solidFill>
          </w14:textFill>
        </w:rPr>
        <w:t>政府</w:t>
      </w:r>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行政审批的效率，降低审批带来的环境风险，衢州</w:t>
      </w:r>
      <w:r>
        <w:rPr>
          <w:rFonts w:hint="eastAsia" w:ascii="宋体" w:hAnsi="宋体" w:eastAsia="宋体" w:cs="宋体"/>
          <w:b w:val="0"/>
          <w:bCs w:val="0"/>
          <w:snapToGrid w:val="0"/>
          <w:color w:val="000000" w:themeColor="text1"/>
          <w:sz w:val="24"/>
          <w:szCs w:val="24"/>
          <w:highlight w:val="none"/>
          <w:lang w:eastAsia="zh-CN"/>
          <w14:textFill>
            <w14:solidFill>
              <w14:schemeClr w14:val="tx1"/>
            </w14:solidFill>
          </w14:textFill>
        </w:rPr>
        <w:t>智造新城管理委员会</w:t>
      </w:r>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拟委托第三方机构对</w:t>
      </w:r>
      <w:r>
        <w:rPr>
          <w:rFonts w:hint="eastAsia" w:ascii="宋体" w:hAnsi="宋体" w:eastAsia="宋体" w:cs="宋体"/>
          <w:b w:val="0"/>
          <w:bCs w:val="0"/>
          <w:snapToGrid w:val="0"/>
          <w:color w:val="000000" w:themeColor="text1"/>
          <w:sz w:val="24"/>
          <w:szCs w:val="24"/>
          <w:highlight w:val="none"/>
          <w:lang w:eastAsia="zh-CN"/>
          <w14:textFill>
            <w14:solidFill>
              <w14:schemeClr w14:val="tx1"/>
            </w14:solidFill>
          </w14:textFill>
        </w:rPr>
        <w:t>建设项目环评技术评估报告文件</w:t>
      </w:r>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进行评估和咨询。</w:t>
      </w:r>
    </w:p>
    <w:bookmarkEnd w:id="73"/>
    <w:p w14:paraId="17A0B438">
      <w:pPr>
        <w:pStyle w:val="8"/>
        <w:pageBreakBefore w:val="0"/>
        <w:widowControl w:val="0"/>
        <w:numPr>
          <w:ilvl w:val="1"/>
          <w:numId w:val="0"/>
        </w:numPr>
        <w:tabs>
          <w:tab w:val="clear" w:pos="70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78" w:name="_Toc508371563"/>
      <w:bookmarkStart w:id="79" w:name="_Toc16525"/>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（二）</w:t>
      </w:r>
      <w:r>
        <w:rPr>
          <w:rFonts w:hint="eastAsia" w:ascii="宋体" w:hAnsi="宋体" w:eastAsia="宋体" w:cs="宋体"/>
          <w:b w:val="0"/>
          <w:bCs w:val="0"/>
          <w:color w:val="000000" w:themeColor="text1"/>
          <w:sz w:val="24"/>
          <w:szCs w:val="24"/>
          <w:highlight w:val="none"/>
          <w14:textFill>
            <w14:solidFill>
              <w14:schemeClr w14:val="tx1"/>
            </w14:solidFill>
          </w14:textFill>
        </w:rPr>
        <w:t>项目具体内容要求</w:t>
      </w:r>
      <w:bookmarkEnd w:id="78"/>
    </w:p>
    <w:p w14:paraId="25F0D06B">
      <w:pPr>
        <w:pageBreakBefore w:val="0"/>
        <w:widowControl w:val="0"/>
        <w:tabs>
          <w:tab w:val="left" w:pos="72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napToGrid w:val="0"/>
          <w:color w:val="000000" w:themeColor="text1"/>
          <w:sz w:val="24"/>
          <w:szCs w:val="24"/>
          <w:highlight w:val="none"/>
          <w14:textFill>
            <w14:solidFill>
              <w14:schemeClr w14:val="tx1"/>
            </w14:solidFill>
          </w14:textFill>
        </w:rPr>
      </w:pPr>
      <w:r>
        <w:rPr>
          <w:rFonts w:hint="eastAsia" w:ascii="宋体" w:hAnsi="宋体" w:cs="宋体"/>
          <w:b w:val="0"/>
          <w:bCs w:val="0"/>
          <w:snapToGrid w:val="0"/>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应遵循科学、客观、公正原则，根据环境保护法律、法规、规章、标准、技术规范和项目行业特点，对衢州</w:t>
      </w:r>
      <w:r>
        <w:rPr>
          <w:rFonts w:hint="eastAsia" w:ascii="宋体" w:hAnsi="宋体" w:eastAsia="宋体" w:cs="宋体"/>
          <w:b w:val="0"/>
          <w:bCs w:val="0"/>
          <w:snapToGrid w:val="0"/>
          <w:color w:val="000000" w:themeColor="text1"/>
          <w:sz w:val="24"/>
          <w:szCs w:val="24"/>
          <w:highlight w:val="none"/>
          <w:lang w:val="en-US" w:eastAsia="zh-CN"/>
          <w14:textFill>
            <w14:solidFill>
              <w14:schemeClr w14:val="tx1"/>
            </w14:solidFill>
          </w14:textFill>
        </w:rPr>
        <w:t>生态环境局智造新城分局</w:t>
      </w:r>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负责审批的建设项目环境影响报告书，涉及敏感目标或污染较大、影响较大的报告表，相关规划环评报告文件，规划环评篇章等文件，组织开展技术评估，并提交评估文件，为环境保护行政主管部门科学决策和审批提供依据。根据建设项目特点和所在区域环境特征，重点评估建设项目可能产生的环境影响，核实环境影响评价文件采用的技术方法与评价标准的正确性，判断污染防治措施的可行性、环境影响评价结论的准确性，明确评估结论。对建设项目环境保护对策措施提出优化调整建议，并提出修改意见。</w:t>
      </w:r>
    </w:p>
    <w:p w14:paraId="01A4D46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24"/>
          <w:highlight w:val="none"/>
          <w:lang w:val="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服务</w:t>
      </w:r>
      <w:bookmarkEnd w:id="79"/>
      <w:r>
        <w:rPr>
          <w:rFonts w:hint="eastAsia" w:ascii="宋体" w:hAnsi="宋体" w:eastAsia="宋体" w:cs="宋体"/>
          <w:b/>
          <w:bCs/>
          <w:color w:val="000000" w:themeColor="text1"/>
          <w:sz w:val="24"/>
          <w:szCs w:val="24"/>
          <w:highlight w:val="none"/>
          <w:lang w:val="zh-CN"/>
          <w14:textFill>
            <w14:solidFill>
              <w14:schemeClr w14:val="tx1"/>
            </w14:solidFill>
          </w14:textFill>
        </w:rPr>
        <w:t>要求和实施地点</w:t>
      </w:r>
    </w:p>
    <w:p w14:paraId="0D7852F1">
      <w:pPr>
        <w:pStyle w:val="7"/>
        <w:keepNext/>
        <w:keepLines/>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bookmarkStart w:id="80" w:name="_Toc16305"/>
      <w:r>
        <w:rPr>
          <w:rFonts w:hint="eastAsia" w:ascii="宋体" w:hAnsi="宋体" w:eastAsia="宋体" w:cs="宋体"/>
          <w:b w:val="0"/>
          <w:bCs w:val="0"/>
          <w:color w:val="000000" w:themeColor="text1"/>
          <w:spacing w:val="0"/>
          <w:sz w:val="24"/>
          <w:szCs w:val="24"/>
          <w:highlight w:val="none"/>
          <w:lang w:val="en-US" w:eastAsia="zh-CN"/>
          <w14:textFill>
            <w14:solidFill>
              <w14:schemeClr w14:val="tx1"/>
            </w14:solidFill>
          </w14:textFill>
        </w:rPr>
        <w:t>1、服务期限：</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合同签订之日起1年。</w:t>
      </w:r>
    </w:p>
    <w:p w14:paraId="68D43C06">
      <w:pPr>
        <w:keepNext w:val="0"/>
        <w:keepLines w:val="0"/>
        <w:pageBreakBefore w:val="0"/>
        <w:tabs>
          <w:tab w:val="left" w:pos="7280"/>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2、服务成果：</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4"/>
          <w:szCs w:val="24"/>
          <w:highlight w:val="none"/>
          <w14:textFill>
            <w14:solidFill>
              <w14:schemeClr w14:val="tx1"/>
            </w14:solidFill>
          </w14:textFill>
        </w:rPr>
        <w:t>书面通知</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服务</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val="0"/>
          <w:bCs w:val="0"/>
          <w:color w:val="000000" w:themeColor="text1"/>
          <w:sz w:val="24"/>
          <w:szCs w:val="24"/>
          <w:highlight w:val="none"/>
          <w14:textFill>
            <w14:solidFill>
              <w14:schemeClr w14:val="tx1"/>
            </w14:solidFill>
          </w14:textFill>
        </w:rPr>
        <w:t>开展</w:t>
      </w:r>
      <w:r>
        <w:rPr>
          <w:rFonts w:hint="eastAsia" w:ascii="宋体" w:hAnsi="宋体" w:eastAsia="宋体" w:cs="宋体"/>
          <w:b w:val="0"/>
          <w:bCs w:val="0"/>
          <w:color w:val="000000" w:themeColor="text1"/>
          <w:kern w:val="0"/>
          <w:sz w:val="24"/>
          <w:szCs w:val="24"/>
          <w:highlight w:val="none"/>
          <w14:textFill>
            <w14:solidFill>
              <w14:schemeClr w14:val="tx1"/>
            </w14:solidFill>
          </w14:textFill>
        </w:rPr>
        <w:t>项目实施要求，项目环评技术文件编制方应在2个工作日内向</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服务</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提交</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项目环评技术文件</w:t>
      </w:r>
      <w:r>
        <w:rPr>
          <w:rFonts w:hint="eastAsia" w:ascii="宋体" w:hAnsi="宋体" w:eastAsia="宋体" w:cs="宋体"/>
          <w:b w:val="0"/>
          <w:bCs w:val="0"/>
          <w:color w:val="000000" w:themeColor="text1"/>
          <w:kern w:val="0"/>
          <w:sz w:val="24"/>
          <w:szCs w:val="24"/>
          <w:highlight w:val="none"/>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服务</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原则应在收到环评技术文件后</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2个工作日内完成环评文件的初步审查，符合上会条件的建设项目，应在5个工作日内</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召开专家评审会议</w:t>
      </w: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在收到环评文件修改稿</w:t>
      </w: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后</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5个工作日内</w:t>
      </w: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完成审核，审核通过后</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2个工作日内</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出具评估报</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告</w:t>
      </w:r>
      <w:r>
        <w:rPr>
          <w:rFonts w:hint="eastAsia" w:ascii="宋体" w:hAnsi="宋体" w:eastAsia="宋体" w:cs="宋体"/>
          <w:b w:val="0"/>
          <w:bCs w:val="0"/>
          <w:snapToGrid w:val="0"/>
          <w:color w:val="000000" w:themeColor="text1"/>
          <w:sz w:val="24"/>
          <w:szCs w:val="24"/>
          <w:highlight w:val="none"/>
          <w:lang w:eastAsia="zh-CN"/>
          <w14:textFill>
            <w14:solidFill>
              <w14:schemeClr w14:val="tx1"/>
            </w14:solidFill>
          </w14:textFill>
        </w:rPr>
        <w:t>并提交采购人审核</w:t>
      </w:r>
      <w:r>
        <w:rPr>
          <w:rFonts w:hint="eastAsia" w:ascii="宋体" w:hAnsi="宋体" w:eastAsia="宋体" w:cs="宋体"/>
          <w:b w:val="0"/>
          <w:bCs w:val="0"/>
          <w:color w:val="000000" w:themeColor="text1"/>
          <w:kern w:val="0"/>
          <w:sz w:val="24"/>
          <w:szCs w:val="24"/>
          <w:highlight w:val="none"/>
          <w14:textFill>
            <w14:solidFill>
              <w14:schemeClr w14:val="tx1"/>
            </w14:solidFill>
          </w14:textFill>
        </w:rPr>
        <w:t>。</w:t>
      </w:r>
    </w:p>
    <w:p w14:paraId="2CAF1D8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4"/>
          <w:szCs w:val="24"/>
          <w:highlight w:val="none"/>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项目实施</w:t>
      </w:r>
      <w:r>
        <w:rPr>
          <w:rFonts w:hint="eastAsia" w:ascii="宋体" w:hAnsi="宋体" w:eastAsia="宋体" w:cs="宋体"/>
          <w:b w:val="0"/>
          <w:bCs w:val="0"/>
          <w:color w:val="000000" w:themeColor="text1"/>
          <w:kern w:val="2"/>
          <w:sz w:val="24"/>
          <w:szCs w:val="24"/>
          <w:highlight w:val="none"/>
          <w:lang w:val="zh-CN" w:eastAsia="zh-CN" w:bidi="ar-SA"/>
          <w14:textFill>
            <w14:solidFill>
              <w14:schemeClr w14:val="tx1"/>
            </w14:solidFill>
          </w14:textFill>
        </w:rPr>
        <w:t xml:space="preserve">地点：采购人指定地点。 </w:t>
      </w:r>
    </w:p>
    <w:p w14:paraId="235F1B9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sz w:val="24"/>
          <w:szCs w:val="24"/>
          <w:highlight w:val="none"/>
          <w:lang w:eastAsia="zh-CN"/>
          <w14:textFill>
            <w14:solidFill>
              <w14:schemeClr w14:val="tx1"/>
            </w14:solidFill>
          </w14:textFill>
        </w:rPr>
        <w:t>四、人员安排</w:t>
      </w:r>
    </w:p>
    <w:p w14:paraId="4D4523D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pacing w:val="0"/>
          <w:sz w:val="24"/>
          <w:szCs w:val="24"/>
          <w:highlight w:val="yellow"/>
          <w:lang w:eastAsia="zh-CN"/>
          <w14:textFill>
            <w14:solidFill>
              <w14:schemeClr w14:val="tx1"/>
            </w14:solidFill>
          </w14:textFill>
        </w:rPr>
      </w:pPr>
      <w:r>
        <w:rPr>
          <w:rFonts w:hint="eastAsia" w:ascii="宋体" w:hAnsi="宋体" w:cs="宋体"/>
          <w:b w:val="0"/>
          <w:bCs w:val="0"/>
          <w:color w:val="000000" w:themeColor="text1"/>
          <w:spacing w:val="0"/>
          <w:sz w:val="24"/>
          <w:szCs w:val="24"/>
          <w:highlight w:val="none"/>
          <w:lang w:eastAsia="zh-CN"/>
          <w14:textFill>
            <w14:solidFill>
              <w14:schemeClr w14:val="tx1"/>
            </w14:solidFill>
          </w14:textFill>
        </w:rPr>
        <w:t>投标人</w:t>
      </w:r>
      <w:r>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t>应配备完成本项目所需的人员投入本项目中（包含招标文件要求，投标文件中所提供的人员配置）组建高素质专业团队上门定点服务。项目负责人具有</w:t>
      </w:r>
      <w:r>
        <w:rPr>
          <w:rFonts w:hint="eastAsia" w:ascii="宋体" w:hAnsi="宋体" w:cs="宋体"/>
          <w:b w:val="0"/>
          <w:bCs w:val="0"/>
          <w:color w:val="000000" w:themeColor="text1"/>
          <w:spacing w:val="0"/>
          <w:sz w:val="24"/>
          <w:szCs w:val="24"/>
          <w:highlight w:val="none"/>
          <w:lang w:val="en-US" w:eastAsia="zh-CN"/>
          <w14:textFill>
            <w14:solidFill>
              <w14:schemeClr w14:val="tx1"/>
            </w14:solidFill>
          </w14:textFill>
        </w:rPr>
        <w:t>副高</w:t>
      </w:r>
      <w:r>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t>级及以上职称，具备与省级专家对接通道，可根据需要随时联系省级专家指导工作。</w:t>
      </w:r>
    </w:p>
    <w:p w14:paraId="1535FD8B">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sz w:val="24"/>
          <w:szCs w:val="24"/>
          <w:highlight w:val="none"/>
          <w:lang w:eastAsia="zh-CN"/>
          <w14:textFill>
            <w14:solidFill>
              <w14:schemeClr w14:val="tx1"/>
            </w14:solidFill>
          </w14:textFill>
        </w:rPr>
        <w:t>服务考核</w:t>
      </w:r>
    </w:p>
    <w:p w14:paraId="2CDF691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t>采购单位将依据政府采购相关法律法规不定期对合同的履约情况进行检查，发现弄虚作假，达不到国家、行业有关标准和技术文件规定的，一经查实，采购单位有权扣除履约保证金，终止合同，并给予网上通报，禁止其在一至三年内参与衢州市内环评报告评估类政府采购活动等。给采购人造成损失的，服务商须承担赔偿责任。采购人如果认为有必要邀请专家参与考核，中标单位应配合，考核标准另行制定和发布。</w:t>
      </w:r>
    </w:p>
    <w:p w14:paraId="4B4C0C82">
      <w:pPr>
        <w:pageBreakBefore w:val="0"/>
        <w:numPr>
          <w:ilvl w:val="0"/>
          <w:numId w:val="0"/>
        </w:numPr>
        <w:kinsoku/>
        <w:wordWrap/>
        <w:overflowPunct/>
        <w:topLinePunct w:val="0"/>
        <w:autoSpaceDE/>
        <w:autoSpaceDN/>
        <w:bidi w:val="0"/>
        <w:snapToGrid/>
        <w:spacing w:line="360" w:lineRule="auto"/>
        <w:jc w:val="left"/>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六</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其他</w:t>
      </w:r>
      <w:r>
        <w:rPr>
          <w:rFonts w:hint="eastAsia" w:ascii="宋体" w:hAnsi="宋体" w:eastAsia="宋体" w:cs="宋体"/>
          <w:b/>
          <w:bCs/>
          <w:color w:val="000000" w:themeColor="text1"/>
          <w:sz w:val="24"/>
          <w:szCs w:val="24"/>
          <w:highlight w:val="none"/>
          <w14:textFill>
            <w14:solidFill>
              <w14:schemeClr w14:val="tx1"/>
            </w14:solidFill>
          </w14:textFill>
        </w:rPr>
        <w:t>要求</w:t>
      </w:r>
    </w:p>
    <w:p w14:paraId="48E104A4">
      <w:pPr>
        <w:pStyle w:val="630"/>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240" w:firstLineChars="1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（一）</w:t>
      </w:r>
      <w:r>
        <w:rPr>
          <w:rFonts w:hint="eastAsia" w:ascii="宋体" w:hAnsi="宋体" w:cs="宋体"/>
          <w:b w:val="0"/>
          <w:bCs w:val="0"/>
          <w:color w:val="000000" w:themeColor="text1"/>
          <w:sz w:val="24"/>
          <w:szCs w:val="24"/>
          <w:highlight w:val="none"/>
          <w:lang w:eastAsia="zh-CN"/>
          <w14:textFill>
            <w14:solidFill>
              <w14:schemeClr w14:val="tx1"/>
            </w14:solidFill>
          </w14:textFill>
        </w:rPr>
        <w:t>中标</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方</w:t>
      </w:r>
      <w:r>
        <w:rPr>
          <w:rFonts w:hint="eastAsia" w:ascii="宋体" w:hAnsi="宋体" w:eastAsia="宋体" w:cs="宋体"/>
          <w:b w:val="0"/>
          <w:bCs w:val="0"/>
          <w:color w:val="000000" w:themeColor="text1"/>
          <w:sz w:val="24"/>
          <w:szCs w:val="24"/>
          <w:highlight w:val="none"/>
          <w14:textFill>
            <w14:solidFill>
              <w14:schemeClr w14:val="tx1"/>
            </w14:solidFill>
          </w14:textFill>
        </w:rPr>
        <w:t>案不作为最终创建方案，采购人有权要求中标人对方案进行合理性修改，直至采购人确认为止（成交金额不作调整，创建方案中涉及的材料、设备、人员劳务等均含在成交金额中），其间发生的费用由中标人承担。</w:t>
      </w:r>
    </w:p>
    <w:p w14:paraId="76A1D753">
      <w:pPr>
        <w:pStyle w:val="630"/>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240" w:firstLineChars="1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（二）规范要求 </w:t>
      </w:r>
    </w:p>
    <w:p w14:paraId="061136EB">
      <w:pPr>
        <w:pStyle w:val="630"/>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本项目的材料、设备、技术必须达到现行中华人民共和国及省、市、行业的一切有关法规、规范的要求，如有出入则以较严格者为准。 </w:t>
      </w:r>
    </w:p>
    <w:p w14:paraId="1643622C">
      <w:pPr>
        <w:pStyle w:val="630"/>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240" w:firstLineChars="1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（三）创建管理要求 </w:t>
      </w:r>
    </w:p>
    <w:p w14:paraId="2AE73B1F">
      <w:pPr>
        <w:pStyle w:val="630"/>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1、本项目未经招标人同意一律不得分包。一经发现立即取消中标资格，作违约处理，并承担由此引起的一切经济损失。 </w:t>
      </w:r>
    </w:p>
    <w:p w14:paraId="5C17AFC1">
      <w:pPr>
        <w:pStyle w:val="630"/>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pacing w:val="-6"/>
          <w:sz w:val="24"/>
          <w:szCs w:val="24"/>
          <w:highlight w:val="none"/>
          <w14:textFill>
            <w14:solidFill>
              <w14:schemeClr w14:val="tx1"/>
            </w14:solidFill>
          </w14:textFill>
        </w:rPr>
        <w:t>在收到中标通知后7个工作日内</w:t>
      </w:r>
      <w:r>
        <w:rPr>
          <w:rFonts w:hint="eastAsia" w:ascii="宋体" w:hAnsi="宋体" w:cs="宋体"/>
          <w:b w:val="0"/>
          <w:bCs w:val="0"/>
          <w:color w:val="000000" w:themeColor="text1"/>
          <w:spacing w:val="-6"/>
          <w:sz w:val="24"/>
          <w:szCs w:val="24"/>
          <w:highlight w:val="none"/>
          <w:lang w:eastAsia="zh-CN"/>
          <w14:textFill>
            <w14:solidFill>
              <w14:schemeClr w14:val="tx1"/>
            </w14:solidFill>
          </w14:textFill>
        </w:rPr>
        <w:t>中标人</w:t>
      </w:r>
      <w:r>
        <w:rPr>
          <w:rFonts w:hint="eastAsia" w:ascii="宋体" w:hAnsi="宋体" w:eastAsia="宋体" w:cs="宋体"/>
          <w:b w:val="0"/>
          <w:bCs w:val="0"/>
          <w:color w:val="000000" w:themeColor="text1"/>
          <w:spacing w:val="-6"/>
          <w:sz w:val="24"/>
          <w:szCs w:val="24"/>
          <w:highlight w:val="none"/>
          <w14:textFill>
            <w14:solidFill>
              <w14:schemeClr w14:val="tx1"/>
            </w14:solidFill>
          </w14:textFill>
        </w:rPr>
        <w:t>须提供完成的实施方案交采购人确认，并严格按已确认的项目实施方案组织开展服务，并无条件地接受采购人对其投入到本项目的产品质量、服务质量的监督和管理。项目实施过程中，</w:t>
      </w:r>
      <w:r>
        <w:rPr>
          <w:rFonts w:hint="eastAsia" w:ascii="宋体" w:hAnsi="宋体" w:cs="宋体"/>
          <w:b w:val="0"/>
          <w:bCs w:val="0"/>
          <w:color w:val="000000" w:themeColor="text1"/>
          <w:spacing w:val="-6"/>
          <w:sz w:val="24"/>
          <w:szCs w:val="24"/>
          <w:highlight w:val="none"/>
          <w:lang w:eastAsia="zh-CN"/>
          <w14:textFill>
            <w14:solidFill>
              <w14:schemeClr w14:val="tx1"/>
            </w14:solidFill>
          </w14:textFill>
        </w:rPr>
        <w:t>中标人</w:t>
      </w:r>
      <w:r>
        <w:rPr>
          <w:rFonts w:hint="eastAsia" w:ascii="宋体" w:hAnsi="宋体" w:eastAsia="宋体" w:cs="宋体"/>
          <w:b w:val="0"/>
          <w:bCs w:val="0"/>
          <w:color w:val="000000" w:themeColor="text1"/>
          <w:spacing w:val="-6"/>
          <w:sz w:val="24"/>
          <w:szCs w:val="24"/>
          <w:highlight w:val="none"/>
          <w14:textFill>
            <w14:solidFill>
              <w14:schemeClr w14:val="tx1"/>
            </w14:solidFill>
          </w14:textFill>
        </w:rPr>
        <w:t>必须要严格把关，按照相应规范标准要求开展服务，如出现不符合标准要求的情况，</w:t>
      </w:r>
      <w:r>
        <w:rPr>
          <w:rFonts w:hint="eastAsia" w:ascii="宋体" w:hAnsi="宋体" w:cs="宋体"/>
          <w:b w:val="0"/>
          <w:bCs w:val="0"/>
          <w:color w:val="000000" w:themeColor="text1"/>
          <w:spacing w:val="-6"/>
          <w:sz w:val="24"/>
          <w:szCs w:val="24"/>
          <w:highlight w:val="none"/>
          <w:lang w:eastAsia="zh-CN"/>
          <w14:textFill>
            <w14:solidFill>
              <w14:schemeClr w14:val="tx1"/>
            </w14:solidFill>
          </w14:textFill>
        </w:rPr>
        <w:t>中标人</w:t>
      </w:r>
      <w:r>
        <w:rPr>
          <w:rFonts w:hint="eastAsia" w:ascii="宋体" w:hAnsi="宋体" w:eastAsia="宋体" w:cs="宋体"/>
          <w:b w:val="0"/>
          <w:bCs w:val="0"/>
          <w:color w:val="000000" w:themeColor="text1"/>
          <w:spacing w:val="-6"/>
          <w:sz w:val="24"/>
          <w:szCs w:val="24"/>
          <w:highlight w:val="none"/>
          <w14:textFill>
            <w14:solidFill>
              <w14:schemeClr w14:val="tx1"/>
            </w14:solidFill>
          </w14:textFill>
        </w:rPr>
        <w:t>必须无条件返工，直至达到规范标准要求，所发生的费用均由</w:t>
      </w:r>
      <w:r>
        <w:rPr>
          <w:rFonts w:hint="eastAsia" w:ascii="宋体" w:hAnsi="宋体" w:cs="宋体"/>
          <w:b w:val="0"/>
          <w:bCs w:val="0"/>
          <w:color w:val="000000" w:themeColor="text1"/>
          <w:spacing w:val="-6"/>
          <w:sz w:val="24"/>
          <w:szCs w:val="24"/>
          <w:highlight w:val="none"/>
          <w:lang w:eastAsia="zh-CN"/>
          <w14:textFill>
            <w14:solidFill>
              <w14:schemeClr w14:val="tx1"/>
            </w14:solidFill>
          </w14:textFill>
        </w:rPr>
        <w:t>中标人</w:t>
      </w:r>
      <w:r>
        <w:rPr>
          <w:rFonts w:hint="eastAsia" w:ascii="宋体" w:hAnsi="宋体" w:eastAsia="宋体" w:cs="宋体"/>
          <w:b w:val="0"/>
          <w:bCs w:val="0"/>
          <w:color w:val="000000" w:themeColor="text1"/>
          <w:spacing w:val="-6"/>
          <w:sz w:val="24"/>
          <w:szCs w:val="24"/>
          <w:highlight w:val="none"/>
          <w14:textFill>
            <w14:solidFill>
              <w14:schemeClr w14:val="tx1"/>
            </w14:solidFill>
          </w14:textFill>
        </w:rPr>
        <w:t>承担。</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w:t>
      </w:r>
    </w:p>
    <w:p w14:paraId="0D27A732">
      <w:pPr>
        <w:pStyle w:val="630"/>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w:t>
      </w:r>
      <w:r>
        <w:rPr>
          <w:rFonts w:hint="eastAsia" w:ascii="宋体" w:hAnsi="宋体" w:cs="宋体"/>
          <w:b w:val="0"/>
          <w:bCs w:val="0"/>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val="0"/>
          <w:bCs w:val="0"/>
          <w:color w:val="000000" w:themeColor="text1"/>
          <w:sz w:val="24"/>
          <w:szCs w:val="24"/>
          <w:highlight w:val="none"/>
          <w14:textFill>
            <w14:solidFill>
              <w14:schemeClr w14:val="tx1"/>
            </w14:solidFill>
          </w14:textFill>
        </w:rPr>
        <w:t>在投标文件中承诺的管理人员未经招标人同意，不得调换和撤离，并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需</w:t>
      </w:r>
      <w:r>
        <w:rPr>
          <w:rFonts w:hint="eastAsia" w:ascii="宋体" w:hAnsi="宋体" w:eastAsia="宋体" w:cs="宋体"/>
          <w:b w:val="0"/>
          <w:bCs w:val="0"/>
          <w:color w:val="000000" w:themeColor="text1"/>
          <w:sz w:val="24"/>
          <w:szCs w:val="24"/>
          <w:highlight w:val="none"/>
          <w14:textFill>
            <w14:solidFill>
              <w14:schemeClr w14:val="tx1"/>
            </w14:solidFill>
          </w14:textFill>
        </w:rPr>
        <w:t>按项目进度及时到位。采购人有权要求中标人撤换工作不负责任、管理不力、贻误验收日期和造成严重的安全事故和质量事故、违法乱纪的专业技术、管理人员等项目中的相关人员，直至采购人满意为止。如相应资质的专业技术</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 xml:space="preserve">人员未按要求到位，视作违约，采购人有权单方面终止合同。 </w:t>
      </w:r>
    </w:p>
    <w:p w14:paraId="6A8D9BE4">
      <w:pPr>
        <w:pStyle w:val="630"/>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投标人</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 xml:space="preserve">应有详细的实施方案、质量保障和应急预案及配备专职安全负责人的说明和承诺，以确保项目安全开展。 </w:t>
      </w:r>
    </w:p>
    <w:p w14:paraId="38319C28">
      <w:pPr>
        <w:pStyle w:val="630"/>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投标人</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所提</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供的一切服务如有造成侵权行为，则由</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承担全部责任。</w:t>
      </w:r>
    </w:p>
    <w:p w14:paraId="7C0443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知识产权</w:t>
      </w:r>
    </w:p>
    <w:p w14:paraId="41B9DF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与本项目成果相关的观测数据、</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评估</w:t>
      </w:r>
      <w:r>
        <w:rPr>
          <w:rFonts w:hint="eastAsia" w:ascii="宋体" w:hAnsi="宋体" w:eastAsia="宋体" w:cs="宋体"/>
          <w:b w:val="0"/>
          <w:bCs w:val="0"/>
          <w:color w:val="000000" w:themeColor="text1"/>
          <w:sz w:val="24"/>
          <w:szCs w:val="24"/>
          <w:highlight w:val="none"/>
          <w14:textFill>
            <w14:solidFill>
              <w14:schemeClr w14:val="tx1"/>
            </w14:solidFill>
          </w14:textFill>
        </w:rPr>
        <w:t>报告、政策建议等知识产权的所有权和使用权均属于</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衢州智造新城管理委员会</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cs="宋体"/>
          <w:b w:val="0"/>
          <w:bCs w:val="0"/>
          <w:color w:val="000000" w:themeColor="text1"/>
          <w:sz w:val="24"/>
          <w:szCs w:val="24"/>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24"/>
          <w:highlight w:val="none"/>
          <w14:textFill>
            <w14:solidFill>
              <w14:schemeClr w14:val="tx1"/>
            </w14:solidFill>
          </w14:textFill>
        </w:rPr>
        <w:t>不得以任何理由留存</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或外泄</w:t>
      </w:r>
      <w:r>
        <w:rPr>
          <w:rFonts w:hint="eastAsia" w:ascii="宋体" w:hAnsi="宋体" w:eastAsia="宋体" w:cs="宋体"/>
          <w:b w:val="0"/>
          <w:bCs w:val="0"/>
          <w:color w:val="000000" w:themeColor="text1"/>
          <w:sz w:val="24"/>
          <w:szCs w:val="24"/>
          <w:highlight w:val="none"/>
          <w14:textFill>
            <w14:solidFill>
              <w14:schemeClr w14:val="tx1"/>
            </w14:solidFill>
          </w14:textFill>
        </w:rPr>
        <w:t>，否则承担由此产生的一切法律和经济责任。未经招标单位书面同意，任何单位和个人不得转让和使用本项目成果。</w:t>
      </w:r>
    </w:p>
    <w:p w14:paraId="3C1DEDDA">
      <w:pPr>
        <w:pStyle w:val="8"/>
        <w:pageBreakBefore w:val="0"/>
        <w:widowControl w:val="0"/>
        <w:numPr>
          <w:ilvl w:val="0"/>
          <w:numId w:val="0"/>
        </w:numPr>
        <w:tabs>
          <w:tab w:val="clear" w:pos="1110"/>
        </w:tabs>
        <w:kinsoku/>
        <w:wordWrap/>
        <w:overflowPunct/>
        <w:topLinePunct w:val="0"/>
        <w:autoSpaceDE/>
        <w:autoSpaceDN/>
        <w:bidi w:val="0"/>
        <w:adjustRightInd/>
        <w:snapToGrid/>
        <w:spacing w:line="360" w:lineRule="auto"/>
        <w:ind w:left="560" w:left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24"/>
          <w:highlight w:val="none"/>
          <w14:textFill>
            <w14:solidFill>
              <w14:schemeClr w14:val="tx1"/>
            </w14:solidFill>
          </w14:textFill>
        </w:rPr>
        <w:t>应保证提供服务过程中不会侵犯任何第三方的知识产权。</w:t>
      </w:r>
    </w:p>
    <w:p w14:paraId="2DDCEFC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资料档案及保密要求</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040E8E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中标人应当对全部作业情况建立完整的电子档案资料，在合同正常终止后全部移交给招标单位保管。</w:t>
      </w:r>
    </w:p>
    <w:p w14:paraId="3A9392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与本项目有关的资料及数据成果中涉及国家秘密的，按照《中华人民共和国保守</w:t>
      </w:r>
      <w:r>
        <w:rPr>
          <w:rFonts w:hint="eastAsia" w:ascii="宋体" w:hAnsi="宋体" w:eastAsia="宋体" w:cs="宋体"/>
          <w:b w:val="0"/>
          <w:bCs w:val="0"/>
          <w:color w:val="auto"/>
          <w:sz w:val="24"/>
          <w:szCs w:val="24"/>
          <w:highlight w:val="none"/>
        </w:rPr>
        <w:t>国家秘密法》及相关法律法规执行。</w:t>
      </w:r>
    </w:p>
    <w:p w14:paraId="01B554F5">
      <w:pPr>
        <w:keepNext w:val="0"/>
        <w:keepLines w:val="0"/>
        <w:pageBreakBefore w:val="0"/>
        <w:widowControl w:val="0"/>
        <w:kinsoku/>
        <w:wordWrap/>
        <w:overflowPunct/>
        <w:topLinePunct w:val="0"/>
        <w:autoSpaceDE/>
        <w:autoSpaceDN/>
        <w:bidi w:val="0"/>
        <w:adjustRightInd/>
        <w:snapToGrid/>
        <w:spacing w:line="360" w:lineRule="auto"/>
        <w:ind w:left="478" w:leftChars="85" w:hanging="240" w:hangingChars="1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中标人应当遵守相关的法律、法规，确保采购单位和被调查对象的信息安全。</w:t>
      </w:r>
    </w:p>
    <w:p w14:paraId="1F8EC0EF">
      <w:pPr>
        <w:keepNext w:val="0"/>
        <w:keepLines w:val="0"/>
        <w:pageBreakBefore w:val="0"/>
        <w:widowControl w:val="0"/>
        <w:kinsoku/>
        <w:wordWrap/>
        <w:overflowPunct/>
        <w:topLinePunct w:val="0"/>
        <w:autoSpaceDE/>
        <w:autoSpaceDN/>
        <w:bidi w:val="0"/>
        <w:adjustRightInd/>
        <w:snapToGrid/>
        <w:spacing w:line="360" w:lineRule="auto"/>
        <w:ind w:left="478" w:leftChars="85" w:hanging="240" w:hangingChars="1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六</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pacing w:val="-11"/>
          <w:sz w:val="24"/>
          <w:szCs w:val="24"/>
          <w:highlight w:val="none"/>
        </w:rPr>
        <w:t>中标</w:t>
      </w:r>
      <w:r>
        <w:rPr>
          <w:rFonts w:hint="eastAsia" w:ascii="宋体" w:hAnsi="宋体" w:cs="宋体"/>
          <w:b w:val="0"/>
          <w:bCs w:val="0"/>
          <w:color w:val="auto"/>
          <w:sz w:val="24"/>
          <w:szCs w:val="24"/>
          <w:highlight w:val="none"/>
          <w:lang w:val="en-US" w:eastAsia="zh-CN"/>
        </w:rPr>
        <w:t>人需具备的条件</w:t>
      </w:r>
    </w:p>
    <w:p w14:paraId="09A209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具备固定的工作场所（提供房产证或租赁合同）；</w:t>
      </w:r>
    </w:p>
    <w:p w14:paraId="58105A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拥有生态环境及相关专业，具有高级职称的专职评估人员，配备取得环境影响评价工程师职业资格证书人员至少一名，具有独立开展技术评估的经验和能力；</w:t>
      </w:r>
    </w:p>
    <w:p w14:paraId="7B6787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建立技术评估质量全过程控制制度，并形成评估工作实施、审核、审定三级及以上质量控制体系；</w:t>
      </w:r>
    </w:p>
    <w:p w14:paraId="5B45D6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具备档案资料管理设施及场所，建立完整的技术评估档案管理体系，档案包括但不限于评审相关资料、专家抽取记录、专家意见、质量审核意见、技术评估报告等，如进行现场踏勘，还应保留现场踏勘记录及影像资料等。</w:t>
      </w:r>
    </w:p>
    <w:p w14:paraId="7C0F91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bCs/>
          <w:color w:val="000000" w:themeColor="text1"/>
          <w:sz w:val="24"/>
          <w:szCs w:val="24"/>
          <w:highlight w:val="none"/>
          <w14:textFill>
            <w14:solidFill>
              <w14:schemeClr w14:val="tx1"/>
            </w14:solidFill>
          </w14:textFill>
        </w:rPr>
        <w:t>、付款方式与结算</w:t>
      </w:r>
    </w:p>
    <w:bookmarkEnd w:id="80"/>
    <w:p w14:paraId="46C843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1、分两次支付。按照工作量和考核结果，按智造新城费用结算流程每六个月支付一次。乙方在每笔合同款结算前须分别提供税务正式发票及甲方要求的相关结款所需资料。</w:t>
      </w:r>
    </w:p>
    <w:p w14:paraId="002592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0"/>
          <w:kern w:val="2"/>
          <w:sz w:val="24"/>
          <w:szCs w:val="24"/>
          <w:highlight w:val="none"/>
          <w:lang w:val="en-US" w:eastAsia="zh-CN" w:bidi="ar-SA"/>
          <w14:textFill>
            <w14:solidFill>
              <w14:schemeClr w14:val="tx1"/>
            </w14:solidFill>
          </w14:textFill>
        </w:rPr>
        <w:t>2、本项目按实结算，以中标单价（包含项目评估费、专家评审费、会务费、专家住宿费、交通费、规费、税费、企业管理费、利润以及项目包含的所有风险、责任等各项应有费用。）*实际完成的评估数量=最终结算价，如实际评估项目数超出预算数的仍按照预算内的资金结算。</w:t>
      </w:r>
    </w:p>
    <w:p w14:paraId="1D6DE50B">
      <w:pPr>
        <w:pageBreakBefore w:val="0"/>
        <w:kinsoku/>
        <w:wordWrap/>
        <w:overflowPunct/>
        <w:topLinePunct w:val="0"/>
        <w:autoSpaceDE/>
        <w:autoSpaceDN/>
        <w:bidi w:val="0"/>
        <w:snapToGrid/>
        <w:spacing w:line="360" w:lineRule="auto"/>
        <w:ind w:firstLine="480" w:firstLineChars="200"/>
        <w:textAlignment w:val="auto"/>
        <w:rPr>
          <w:rFonts w:ascii="宋体" w:hAnsi="宋体"/>
          <w:b/>
          <w:color w:val="000000" w:themeColor="text1"/>
          <w:sz w:val="32"/>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由于政策调整等原因，甲方可以提前终止本合同，乙方未进行工作的，甲方无需支付费用；已进行工作的，按完成的工作量及考核情况，经甲方审核后，按比例支付费用。</w:t>
      </w:r>
    </w:p>
    <w:p w14:paraId="1A821FB0">
      <w:pPr>
        <w:pStyle w:val="607"/>
        <w:rPr>
          <w:rFonts w:hint="eastAsia"/>
          <w:color w:val="000000" w:themeColor="text1"/>
          <w:highlight w:val="none"/>
          <w14:textFill>
            <w14:solidFill>
              <w14:schemeClr w14:val="tx1"/>
            </w14:solidFill>
          </w14:textFill>
        </w:rPr>
        <w:sectPr>
          <w:footerReference r:id="rId11" w:type="first"/>
          <w:headerReference r:id="rId9" w:type="default"/>
          <w:footerReference r:id="rId10" w:type="default"/>
          <w:pgSz w:w="11906" w:h="16838"/>
          <w:pgMar w:top="1440" w:right="1389" w:bottom="1440" w:left="1389" w:header="851" w:footer="851" w:gutter="0"/>
          <w:pgBorders>
            <w:top w:val="none" w:sz="0" w:space="0"/>
            <w:left w:val="none" w:sz="0" w:space="0"/>
            <w:bottom w:val="none" w:sz="0" w:space="0"/>
            <w:right w:val="none" w:sz="0" w:space="0"/>
          </w:pgBorders>
          <w:cols w:space="720" w:num="1"/>
          <w:titlePg/>
          <w:docGrid w:linePitch="381" w:charSpace="0"/>
        </w:sectPr>
      </w:pPr>
    </w:p>
    <w:p w14:paraId="39728310">
      <w:pPr>
        <w:pStyle w:val="3"/>
        <w:kinsoku/>
        <w:overflowPunct/>
        <w:bidi w:val="0"/>
        <w:snapToGrid w:val="0"/>
        <w:spacing w:line="400" w:lineRule="exact"/>
        <w:jc w:val="center"/>
        <w:rPr>
          <w:rFonts w:hint="eastAsia" w:ascii="宋体" w:hAnsi="宋体" w:eastAsia="宋体" w:cs="宋体"/>
          <w:b/>
          <w:color w:val="auto"/>
          <w:sz w:val="36"/>
          <w:highlight w:val="none"/>
        </w:rPr>
      </w:pPr>
    </w:p>
    <w:p w14:paraId="49B74D08">
      <w:pPr>
        <w:pStyle w:val="3"/>
        <w:numPr>
          <w:ilvl w:val="0"/>
          <w:numId w:val="4"/>
        </w:numPr>
        <w:kinsoku/>
        <w:overflowPunct/>
        <w:bidi w:val="0"/>
        <w:snapToGrid w:val="0"/>
        <w:spacing w:line="400" w:lineRule="exact"/>
        <w:ind w:left="0" w:leftChars="0" w:firstLine="0" w:firstLineChars="0"/>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 xml:space="preserve"> 合同文本</w:t>
      </w:r>
      <w:bookmarkEnd w:id="74"/>
      <w:bookmarkEnd w:id="75"/>
    </w:p>
    <w:p w14:paraId="235173B7">
      <w:pPr>
        <w:pStyle w:val="55"/>
        <w:widowControl w:val="0"/>
        <w:numPr>
          <w:ilvl w:val="0"/>
          <w:numId w:val="0"/>
        </w:numPr>
        <w:jc w:val="both"/>
        <w:rPr>
          <w:rFonts w:hint="eastAsia"/>
          <w:color w:val="auto"/>
          <w:highlight w:val="none"/>
        </w:rPr>
      </w:pPr>
    </w:p>
    <w:p w14:paraId="4A748156">
      <w:pPr>
        <w:pStyle w:val="3"/>
        <w:kinsoku/>
        <w:overflowPunct/>
        <w:bidi w:val="0"/>
        <w:snapToGrid w:val="0"/>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（最终以双方实际签订合同条款为准）</w:t>
      </w:r>
    </w:p>
    <w:p w14:paraId="39A9F0E3">
      <w:pPr>
        <w:pStyle w:val="88"/>
        <w:rPr>
          <w:rFonts w:hint="eastAsia"/>
          <w:color w:val="auto"/>
          <w:highlight w:val="none"/>
        </w:rPr>
      </w:pPr>
    </w:p>
    <w:bookmarkEnd w:id="76"/>
    <w:bookmarkEnd w:id="77"/>
    <w:p w14:paraId="3BFDC300">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81" w:name="_Toc2553"/>
      <w:bookmarkStart w:id="82" w:name="_Toc519670202"/>
      <w:bookmarkStart w:id="83" w:name="_Toc522530052"/>
      <w:bookmarkStart w:id="84" w:name="_Toc233618990"/>
      <w:bookmarkStart w:id="85" w:name="_Toc233618989"/>
      <w:r>
        <w:rPr>
          <w:rFonts w:hint="eastAsia" w:ascii="宋体" w:hAnsi="宋体" w:eastAsia="宋体" w:cs="宋体"/>
          <w:color w:val="000000" w:themeColor="text1"/>
          <w:sz w:val="24"/>
          <w:szCs w:val="24"/>
          <w:highlight w:val="none"/>
          <w14:textFill>
            <w14:solidFill>
              <w14:schemeClr w14:val="tx1"/>
            </w14:solidFill>
          </w14:textFill>
        </w:rPr>
        <w:t>合同编号：</w:t>
      </w:r>
    </w:p>
    <w:p w14:paraId="79F75F42">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签订地点：                                 签订时间：20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4A23D34B">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p w14:paraId="2DB667F6">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甲方（采购方）：</w:t>
      </w:r>
    </w:p>
    <w:p w14:paraId="72368047">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9606EC1">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甲、乙双方根据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）招标结果和招标文件的要求，并依照《中华人民共和国民法典》等有关法律、行政法规的规定，同时在平等、公平、诚实和信用的原则下，经双方协商一致，订立本合同。</w:t>
      </w:r>
    </w:p>
    <w:p w14:paraId="76988261">
      <w:pPr>
        <w:keepNext w:val="0"/>
        <w:keepLines w:val="0"/>
        <w:pageBreakBefore w:val="0"/>
        <w:widowControl w:val="0"/>
        <w:kinsoku/>
        <w:wordWrap/>
        <w:overflowPunct/>
        <w:topLinePunct w:val="0"/>
        <w:bidi w:val="0"/>
        <w:snapToGrid w:val="0"/>
        <w:spacing w:line="420" w:lineRule="exact"/>
        <w:ind w:firstLine="482" w:firstLineChars="200"/>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一、服务项目</w:t>
      </w:r>
    </w:p>
    <w:p w14:paraId="7C6727AE">
      <w:pPr>
        <w:pStyle w:val="521"/>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根据环境保护法律、法规、规章、标准、技术规范和项目行业特点，乙方对甲方负责审批的建设项目环境影响报告书，涉及敏感目标或污染较大、影响较大的报告表，相关规划环评报告文件，规划环评篇章等文件，组织开展技术评估，并提交评估文件，为环境保护行政主管部门科学决策和审批提供依据。根据建设项目特点和所在区域环境特征，重点评估建设项目可能产生的环境影响，核实环境影响评价文件采用的技术方法与评价标准的正确性，判断污染防治措施的可行性、环境影响评价结论的准确性，明确评估结论。对建设项目环境保护对策措施提出优化调整建议，并提出修改意见。</w:t>
      </w:r>
    </w:p>
    <w:p w14:paraId="23E862A2">
      <w:pPr>
        <w:keepNext w:val="0"/>
        <w:keepLines w:val="0"/>
        <w:pageBreakBefore w:val="0"/>
        <w:widowControl w:val="0"/>
        <w:kinsoku/>
        <w:wordWrap/>
        <w:overflowPunct/>
        <w:topLinePunct w:val="0"/>
        <w:bidi w:val="0"/>
        <w:snapToGrid w:val="0"/>
        <w:spacing w:line="420" w:lineRule="exact"/>
        <w:ind w:firstLine="482" w:firstLineChars="200"/>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二、具体内容</w:t>
      </w:r>
    </w:p>
    <w:p w14:paraId="67F173E7">
      <w:pPr>
        <w:keepNext w:val="0"/>
        <w:keepLines w:val="0"/>
        <w:pageBreakBefore w:val="0"/>
        <w:widowControl w:val="0"/>
        <w:tabs>
          <w:tab w:val="left" w:pos="7280"/>
        </w:tabs>
        <w:kinsoku/>
        <w:wordWrap/>
        <w:overflowPunct/>
        <w:topLinePunct w:val="0"/>
        <w:bidi w:val="0"/>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1、建设项目环评技术审核、评估，出具评估报告</w:t>
      </w:r>
      <w:r>
        <w:rPr>
          <w:rFonts w:hint="eastAsia" w:ascii="宋体" w:hAnsi="宋体" w:cs="宋体"/>
          <w:snapToGrid w:val="0"/>
          <w:color w:val="000000" w:themeColor="text1"/>
          <w:kern w:val="0"/>
          <w:sz w:val="24"/>
          <w:szCs w:val="24"/>
          <w:highlight w:val="none"/>
          <w:lang w:eastAsia="zh-CN"/>
          <w14:textFill>
            <w14:solidFill>
              <w14:schemeClr w14:val="tx1"/>
            </w14:solidFill>
          </w14:textFill>
        </w:rPr>
        <w:t>，</w:t>
      </w:r>
      <w:r>
        <w:rPr>
          <w:rFonts w:ascii="宋体" w:hAnsi="宋体" w:eastAsia="宋体" w:cs="宋体"/>
          <w:snapToGrid w:val="0"/>
          <w:color w:val="000000" w:themeColor="text1"/>
          <w:kern w:val="0"/>
          <w:sz w:val="24"/>
          <w:szCs w:val="24"/>
          <w:highlight w:val="none"/>
          <w14:textFill>
            <w14:solidFill>
              <w14:schemeClr w14:val="tx1"/>
            </w14:solidFill>
          </w14:textFill>
        </w:rPr>
        <w:t>环评质量复核</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p w14:paraId="3E535E7E">
      <w:pPr>
        <w:keepNext w:val="0"/>
        <w:keepLines w:val="0"/>
        <w:pageBreakBefore w:val="0"/>
        <w:widowControl w:val="0"/>
        <w:tabs>
          <w:tab w:val="left" w:pos="7280"/>
        </w:tabs>
        <w:kinsoku/>
        <w:wordWrap/>
        <w:overflowPunct/>
        <w:topLinePunct w:val="0"/>
        <w:bidi w:val="0"/>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2、重大环境政策、法律法规、规划、区划、标准的实施效果开展技术审核；</w:t>
      </w:r>
    </w:p>
    <w:p w14:paraId="3D101BCA">
      <w:pPr>
        <w:keepNext w:val="0"/>
        <w:keepLines w:val="0"/>
        <w:pageBreakBefore w:val="0"/>
        <w:widowControl w:val="0"/>
        <w:tabs>
          <w:tab w:val="left" w:pos="7280"/>
        </w:tabs>
        <w:kinsoku/>
        <w:wordWrap/>
        <w:overflowPunct/>
        <w:topLinePunct w:val="0"/>
        <w:bidi w:val="0"/>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3、企业重大项目环保决策咨询，出具决策意见；</w:t>
      </w:r>
    </w:p>
    <w:p w14:paraId="1474FD0B">
      <w:pPr>
        <w:keepNext w:val="0"/>
        <w:keepLines w:val="0"/>
        <w:pageBreakBefore w:val="0"/>
        <w:widowControl w:val="0"/>
        <w:tabs>
          <w:tab w:val="left" w:pos="7280"/>
        </w:tabs>
        <w:kinsoku/>
        <w:wordWrap/>
        <w:overflowPunct/>
        <w:topLinePunct w:val="0"/>
        <w:bidi w:val="0"/>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14:textFill>
            <w14:solidFill>
              <w14:schemeClr w14:val="tx1"/>
            </w14:solidFill>
          </w14:textFill>
        </w:rPr>
        <w:t>、负责各类评估会务的组织（包括专家邀请，承担项目评估费、专家评审费、会务费、专家住宿费等相关费用）。</w:t>
      </w:r>
    </w:p>
    <w:p w14:paraId="4E8B904A">
      <w:pPr>
        <w:keepNext w:val="0"/>
        <w:keepLines w:val="0"/>
        <w:pageBreakBefore w:val="0"/>
        <w:widowControl w:val="0"/>
        <w:tabs>
          <w:tab w:val="left" w:pos="7280"/>
        </w:tabs>
        <w:kinsoku/>
        <w:wordWrap/>
        <w:overflowPunct/>
        <w:topLinePunct w:val="0"/>
        <w:bidi w:val="0"/>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要求相应业务骨干专人专职负责具体建设项目环评技术评估，并按工作要求保质完成，不能</w:t>
      </w:r>
      <w:r>
        <w:rPr>
          <w:rFonts w:hint="default" w:ascii="宋体" w:hAnsi="宋体" w:cs="宋体"/>
          <w:snapToGrid w:val="0"/>
          <w:color w:val="000000" w:themeColor="text1"/>
          <w:kern w:val="0"/>
          <w:sz w:val="24"/>
          <w:szCs w:val="24"/>
          <w:highlight w:val="none"/>
          <w:lang w:val="en" w:eastAsia="zh-CN"/>
          <w14:textFill>
            <w14:solidFill>
              <w14:schemeClr w14:val="tx1"/>
            </w14:solidFill>
          </w14:textFill>
        </w:rPr>
        <w:t>出现</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严重质量问题。</w:t>
      </w:r>
    </w:p>
    <w:p w14:paraId="5370C44C">
      <w:pPr>
        <w:pStyle w:val="8"/>
        <w:keepNext/>
        <w:keepLines/>
        <w:pageBreakBefore w:val="0"/>
        <w:widowControl w:val="0"/>
        <w:kinsoku/>
        <w:wordWrap/>
        <w:overflowPunct/>
        <w:topLinePunct w:val="0"/>
        <w:autoSpaceDE/>
        <w:autoSpaceDN/>
        <w:bidi w:val="0"/>
        <w:adjustRightInd/>
        <w:snapToGrid/>
        <w:spacing w:line="420" w:lineRule="exact"/>
        <w:ind w:left="108" w:firstLine="454"/>
        <w:textAlignment w:val="auto"/>
        <w:rPr>
          <w:rFonts w:hint="default"/>
          <w:color w:val="000000" w:themeColor="text1"/>
          <w:highlight w:val="none"/>
          <w:lang w:val="en-US" w:eastAsia="zh-CN"/>
          <w14:textFill>
            <w14:solidFill>
              <w14:schemeClr w14:val="tx1"/>
            </w14:solidFill>
          </w14:textFill>
        </w:rPr>
      </w:pPr>
      <w:r>
        <w:rPr>
          <w:rFonts w:hint="eastAsia" w:ascii="宋体" w:hAnsi="宋体" w:eastAsia="宋体" w:cs="宋体"/>
          <w:b w:val="0"/>
          <w:snapToGrid w:val="0"/>
          <w:color w:val="000000" w:themeColor="text1"/>
          <w:kern w:val="0"/>
          <w:sz w:val="24"/>
          <w:szCs w:val="24"/>
          <w:highlight w:val="none"/>
          <w:lang w:val="en-US" w:eastAsia="zh-CN" w:bidi="ar-SA"/>
          <w14:textFill>
            <w14:solidFill>
              <w14:schemeClr w14:val="tx1"/>
            </w14:solidFill>
          </w14:textFill>
        </w:rPr>
        <w:t>如发现负责具体建设项目环评技术评估的专职人员兼</w:t>
      </w:r>
      <w:r>
        <w:rPr>
          <w:rFonts w:hint="default" w:ascii="宋体" w:hAnsi="宋体" w:eastAsia="宋体" w:cs="宋体"/>
          <w:b w:val="0"/>
          <w:snapToGrid w:val="0"/>
          <w:color w:val="000000" w:themeColor="text1"/>
          <w:kern w:val="0"/>
          <w:sz w:val="24"/>
          <w:szCs w:val="24"/>
          <w:highlight w:val="none"/>
          <w:lang w:val="en" w:eastAsia="zh-CN" w:bidi="ar-SA"/>
          <w14:textFill>
            <w14:solidFill>
              <w14:schemeClr w14:val="tx1"/>
            </w14:solidFill>
          </w14:textFill>
        </w:rPr>
        <w:t>任</w:t>
      </w:r>
      <w:r>
        <w:rPr>
          <w:rFonts w:hint="eastAsia" w:ascii="宋体" w:hAnsi="宋体" w:eastAsia="宋体" w:cs="宋体"/>
          <w:b w:val="0"/>
          <w:snapToGrid w:val="0"/>
          <w:color w:val="000000" w:themeColor="text1"/>
          <w:kern w:val="0"/>
          <w:sz w:val="24"/>
          <w:szCs w:val="24"/>
          <w:highlight w:val="none"/>
          <w:lang w:val="en-US" w:eastAsia="zh-CN" w:bidi="ar-SA"/>
          <w14:textFill>
            <w14:solidFill>
              <w14:schemeClr w14:val="tx1"/>
            </w14:solidFill>
          </w14:textFill>
        </w:rPr>
        <w:t>其他工作的将扣除合同总额的10%，如经过技术评估的环评报告被上级部门复核通报出严重质量问题并造成一定后果的将扣除合同总额的10%。</w:t>
      </w:r>
    </w:p>
    <w:p w14:paraId="6CE0EB04">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三、合同金额</w:t>
      </w:r>
    </w:p>
    <w:p w14:paraId="7245B8F4">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本合同总金额为(大写)</w:t>
      </w:r>
      <w:r>
        <w:rPr>
          <w:rFonts w:hint="eastAsia" w:ascii="宋体" w:hAnsi="宋体" w:eastAsia="宋体" w:cs="宋体"/>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kern w:val="0"/>
          <w:sz w:val="24"/>
          <w:szCs w:val="24"/>
          <w:highlight w:val="none"/>
          <w14:textFill>
            <w14:solidFill>
              <w14:schemeClr w14:val="tx1"/>
            </w14:solidFill>
          </w14:textFill>
        </w:rPr>
        <w:t>元（￥</w:t>
      </w:r>
      <w:r>
        <w:rPr>
          <w:rFonts w:hint="eastAsia" w:ascii="宋体" w:hAnsi="宋体" w:eastAsia="宋体" w:cs="宋体"/>
          <w:bCs/>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szCs w:val="24"/>
          <w:highlight w:val="none"/>
          <w14:textFill>
            <w14:solidFill>
              <w14:schemeClr w14:val="tx1"/>
            </w14:solidFill>
          </w14:textFill>
        </w:rPr>
        <w:t>元）人民币；</w:t>
      </w:r>
    </w:p>
    <w:p w14:paraId="0DABD4B0">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附：合同价格见下表</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93"/>
        <w:gridCol w:w="653"/>
        <w:gridCol w:w="763"/>
        <w:gridCol w:w="1050"/>
        <w:gridCol w:w="1762"/>
        <w:gridCol w:w="1550"/>
      </w:tblGrid>
      <w:tr w14:paraId="01FF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3796812">
            <w:pPr>
              <w:keepNext w:val="0"/>
              <w:keepLines w:val="0"/>
              <w:pageBreakBefore w:val="0"/>
              <w:kinsoku/>
              <w:wordWrap/>
              <w:overflowPunct/>
              <w:topLinePunct w:val="0"/>
              <w:autoSpaceDE/>
              <w:autoSpaceDN/>
              <w:bidi w:val="0"/>
              <w:adjustRightInd/>
              <w:snapToGrid w:val="0"/>
              <w:spacing w:line="420" w:lineRule="exact"/>
              <w:ind w:right="-67" w:rightChars="-24"/>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D9DA5C9">
            <w:pPr>
              <w:keepNext w:val="0"/>
              <w:keepLines w:val="0"/>
              <w:pageBreakBefore w:val="0"/>
              <w:kinsoku/>
              <w:wordWrap/>
              <w:overflowPunct/>
              <w:topLinePunct w:val="0"/>
              <w:autoSpaceDE/>
              <w:autoSpaceDN/>
              <w:bidi w:val="0"/>
              <w:adjustRightInd/>
              <w:snapToGrid w:val="0"/>
              <w:spacing w:line="420" w:lineRule="exact"/>
              <w:ind w:right="-67" w:rightChars="-24"/>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标项内容</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3CCBCA64">
            <w:pPr>
              <w:keepNext w:val="0"/>
              <w:keepLines w:val="0"/>
              <w:pageBreakBefore w:val="0"/>
              <w:kinsoku/>
              <w:wordWrap/>
              <w:overflowPunct/>
              <w:topLinePunct w:val="0"/>
              <w:autoSpaceDE/>
              <w:autoSpaceDN/>
              <w:bidi w:val="0"/>
              <w:adjustRightInd/>
              <w:snapToGrid w:val="0"/>
              <w:spacing w:line="420" w:lineRule="exact"/>
              <w:ind w:right="-67" w:rightChars="-24"/>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65FBB155">
            <w:pPr>
              <w:keepNext w:val="0"/>
              <w:keepLines w:val="0"/>
              <w:pageBreakBefore w:val="0"/>
              <w:kinsoku/>
              <w:wordWrap/>
              <w:overflowPunct/>
              <w:topLinePunct w:val="0"/>
              <w:autoSpaceDE/>
              <w:autoSpaceDN/>
              <w:bidi w:val="0"/>
              <w:adjustRightInd/>
              <w:snapToGrid w:val="0"/>
              <w:spacing w:line="420" w:lineRule="exact"/>
              <w:ind w:right="-67" w:rightChars="-24"/>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FE1CFCC">
            <w:pPr>
              <w:keepNext w:val="0"/>
              <w:keepLines w:val="0"/>
              <w:pageBreakBefore w:val="0"/>
              <w:kinsoku/>
              <w:wordWrap/>
              <w:overflowPunct/>
              <w:topLinePunct w:val="0"/>
              <w:autoSpaceDE/>
              <w:autoSpaceDN/>
              <w:bidi w:val="0"/>
              <w:adjustRightInd/>
              <w:snapToGrid w:val="0"/>
              <w:spacing w:line="420" w:lineRule="exact"/>
              <w:ind w:right="-67" w:rightChars="-24"/>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w:t>
            </w:r>
          </w:p>
        </w:tc>
        <w:tc>
          <w:tcPr>
            <w:tcW w:w="1762" w:type="dxa"/>
            <w:tcBorders>
              <w:top w:val="single" w:color="auto" w:sz="4" w:space="0"/>
              <w:left w:val="single" w:color="auto" w:sz="4" w:space="0"/>
              <w:bottom w:val="single" w:color="auto" w:sz="4" w:space="0"/>
              <w:right w:val="single" w:color="auto" w:sz="4" w:space="0"/>
            </w:tcBorders>
            <w:noWrap w:val="0"/>
            <w:vAlign w:val="center"/>
          </w:tcPr>
          <w:p w14:paraId="591B05C6">
            <w:pPr>
              <w:keepNext w:val="0"/>
              <w:keepLines w:val="0"/>
              <w:pageBreakBefore w:val="0"/>
              <w:kinsoku/>
              <w:wordWrap/>
              <w:overflowPunct/>
              <w:topLinePunct w:val="0"/>
              <w:autoSpaceDE/>
              <w:autoSpaceDN/>
              <w:bidi w:val="0"/>
              <w:adjustRightInd/>
              <w:snapToGrid w:val="0"/>
              <w:spacing w:line="420" w:lineRule="exact"/>
              <w:ind w:right="-67" w:rightChars="-24"/>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单个项目价格（万元）</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317B9179">
            <w:pPr>
              <w:keepNext w:val="0"/>
              <w:keepLines w:val="0"/>
              <w:pageBreakBefore w:val="0"/>
              <w:kinsoku/>
              <w:wordWrap/>
              <w:overflowPunct/>
              <w:topLinePunct w:val="0"/>
              <w:autoSpaceDE/>
              <w:autoSpaceDN/>
              <w:bidi w:val="0"/>
              <w:adjustRightInd/>
              <w:snapToGrid w:val="0"/>
              <w:spacing w:line="420" w:lineRule="exact"/>
              <w:ind w:right="-67" w:rightChars="-24"/>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1D0C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EAD469A">
            <w:pPr>
              <w:keepNext w:val="0"/>
              <w:keepLines w:val="0"/>
              <w:pageBreakBefore w:val="0"/>
              <w:tabs>
                <w:tab w:val="center" w:pos="180"/>
              </w:tabs>
              <w:kinsoku/>
              <w:wordWrap/>
              <w:overflowPunct/>
              <w:topLinePunct w:val="0"/>
              <w:autoSpaceDE/>
              <w:autoSpaceDN/>
              <w:bidi w:val="0"/>
              <w:adjustRightInd/>
              <w:snapToGrid w:val="0"/>
              <w:spacing w:line="420" w:lineRule="exact"/>
              <w:ind w:right="-67" w:rightChars="-24"/>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709E4A9">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建设项目环评技术评估</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5A4DE155">
            <w:pPr>
              <w:keepNext w:val="0"/>
              <w:keepLines w:val="0"/>
              <w:pageBreakBefore w:val="0"/>
              <w:kinsoku/>
              <w:wordWrap/>
              <w:overflowPunct/>
              <w:topLinePunct w:val="0"/>
              <w:autoSpaceDE/>
              <w:autoSpaceDN/>
              <w:bidi w:val="0"/>
              <w:adjustRightInd/>
              <w:snapToGrid w:val="0"/>
              <w:spacing w:line="420" w:lineRule="exact"/>
              <w:ind w:right="-67" w:rightChars="-24"/>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4299D6FC">
            <w:pPr>
              <w:keepNext w:val="0"/>
              <w:keepLines w:val="0"/>
              <w:pageBreakBefore w:val="0"/>
              <w:kinsoku/>
              <w:wordWrap/>
              <w:overflowPunct/>
              <w:topLinePunct w:val="0"/>
              <w:autoSpaceDE/>
              <w:autoSpaceDN/>
              <w:bidi w:val="0"/>
              <w:adjustRightInd/>
              <w:snapToGrid w:val="0"/>
              <w:spacing w:line="420" w:lineRule="exact"/>
              <w:ind w:right="-67" w:rightChars="-24"/>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88F01EE">
            <w:pPr>
              <w:keepNext w:val="0"/>
              <w:keepLines w:val="0"/>
              <w:pageBreakBefore w:val="0"/>
              <w:kinsoku/>
              <w:wordWrap/>
              <w:overflowPunct/>
              <w:topLinePunct w:val="0"/>
              <w:autoSpaceDE/>
              <w:autoSpaceDN/>
              <w:bidi w:val="0"/>
              <w:adjustRightInd/>
              <w:snapToGrid w:val="0"/>
              <w:spacing w:line="420" w:lineRule="exact"/>
              <w:ind w:right="-67" w:rightChars="-24"/>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1762" w:type="dxa"/>
            <w:tcBorders>
              <w:top w:val="single" w:color="auto" w:sz="4" w:space="0"/>
              <w:left w:val="single" w:color="auto" w:sz="4" w:space="0"/>
              <w:bottom w:val="single" w:color="auto" w:sz="4" w:space="0"/>
              <w:right w:val="single" w:color="auto" w:sz="4" w:space="0"/>
            </w:tcBorders>
            <w:noWrap w:val="0"/>
            <w:vAlign w:val="center"/>
          </w:tcPr>
          <w:p w14:paraId="09AC4648">
            <w:pPr>
              <w:keepNext w:val="0"/>
              <w:keepLines w:val="0"/>
              <w:pageBreakBefore w:val="0"/>
              <w:kinsoku/>
              <w:wordWrap/>
              <w:overflowPunct/>
              <w:topLinePunct w:val="0"/>
              <w:autoSpaceDE/>
              <w:autoSpaceDN/>
              <w:bidi w:val="0"/>
              <w:adjustRightInd/>
              <w:snapToGrid w:val="0"/>
              <w:spacing w:line="420" w:lineRule="exact"/>
              <w:ind w:right="-67" w:rightChars="-24"/>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1BF0287">
            <w:pPr>
              <w:keepNext w:val="0"/>
              <w:keepLines w:val="0"/>
              <w:pageBreakBefore w:val="0"/>
              <w:kinsoku/>
              <w:wordWrap/>
              <w:overflowPunct/>
              <w:topLinePunct w:val="0"/>
              <w:autoSpaceDE/>
              <w:autoSpaceDN/>
              <w:bidi w:val="0"/>
              <w:adjustRightInd/>
              <w:snapToGrid w:val="0"/>
              <w:spacing w:line="420" w:lineRule="exact"/>
              <w:ind w:right="-67" w:rightChars="-24"/>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服务期限1年</w:t>
            </w:r>
          </w:p>
        </w:tc>
      </w:tr>
      <w:tr w14:paraId="1692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80" w:type="dxa"/>
            <w:gridSpan w:val="7"/>
            <w:tcBorders>
              <w:top w:val="single" w:color="auto" w:sz="4" w:space="0"/>
              <w:left w:val="single" w:color="auto" w:sz="4" w:space="0"/>
              <w:bottom w:val="single" w:color="auto" w:sz="4" w:space="0"/>
              <w:right w:val="single" w:color="auto" w:sz="4" w:space="0"/>
            </w:tcBorders>
            <w:noWrap w:val="0"/>
            <w:vAlign w:val="center"/>
          </w:tcPr>
          <w:p w14:paraId="347E4C2C">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注：本项目结算价格以中标单价为准，实际结算金额以完成评估数量乘以中标单价，并结合考核结果结算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如实际评估项目数超出预算数的仍按照预算内的资金结算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总金额不得超过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w:t>
            </w:r>
          </w:p>
        </w:tc>
      </w:tr>
    </w:tbl>
    <w:p w14:paraId="2F947F69">
      <w:pPr>
        <w:keepNext w:val="0"/>
        <w:keepLines w:val="0"/>
        <w:pageBreakBefore w:val="0"/>
        <w:kinsoku/>
        <w:wordWrap/>
        <w:overflowPunct/>
        <w:topLinePunct w:val="0"/>
        <w:bidi w:val="0"/>
        <w:snapToGrid w:val="0"/>
        <w:spacing w:line="420" w:lineRule="exact"/>
        <w:ind w:firstLine="482" w:firstLineChars="200"/>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四、付款方式</w:t>
      </w:r>
    </w:p>
    <w:p w14:paraId="515EB42A">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1、分两次支付。按照工作量和考核结果，按智造新城费用结算流程每六个月支付一次。乙方在每笔合同款结算前须分别提供税务正式发票</w:t>
      </w:r>
      <w:r>
        <w:rPr>
          <w:rFonts w:hint="eastAsia" w:ascii="宋体" w:hAnsi="宋体" w:cs="宋体"/>
          <w:color w:val="000000" w:themeColor="text1"/>
          <w:sz w:val="24"/>
          <w:szCs w:val="24"/>
          <w:highlight w:val="none"/>
          <w:lang w:eastAsia="zh-CN"/>
          <w14:textFill>
            <w14:solidFill>
              <w14:schemeClr w14:val="tx1"/>
            </w14:solidFill>
          </w14:textFill>
        </w:rPr>
        <w:t>（含</w:t>
      </w:r>
      <w:r>
        <w:rPr>
          <w:rFonts w:hint="eastAsia" w:ascii="宋体" w:hAnsi="宋体" w:cs="宋体"/>
          <w:color w:val="000000" w:themeColor="text1"/>
          <w:sz w:val="24"/>
          <w:szCs w:val="24"/>
          <w:highlight w:val="none"/>
          <w:lang w:val="en-US" w:eastAsia="zh-CN"/>
          <w14:textFill>
            <w14:solidFill>
              <w14:schemeClr w14:val="tx1"/>
            </w14:solidFill>
          </w14:textFill>
        </w:rPr>
        <w:t>6%增值税</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及甲方要求的相关结款所需资料。</w:t>
      </w:r>
    </w:p>
    <w:p w14:paraId="18700921">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2、由于政策调整等原因，甲方可以提前终止本合同，乙方未进行工作的，甲方无需支付费用；已进行工作的，按完成的工作量及考核情况，经甲方审核后，按比例支付费用。</w:t>
      </w:r>
    </w:p>
    <w:p w14:paraId="36C8B376">
      <w:pPr>
        <w:keepNext w:val="0"/>
        <w:keepLines w:val="0"/>
        <w:pageBreakBefore w:val="0"/>
        <w:kinsoku/>
        <w:wordWrap/>
        <w:overflowPunct/>
        <w:topLinePunct w:val="0"/>
        <w:bidi w:val="0"/>
        <w:spacing w:line="42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五、技术资料</w:t>
      </w:r>
    </w:p>
    <w:p w14:paraId="2EFB0F46">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1、乙方应按双方约定的时间向甲方提供有关技术资料。</w:t>
      </w:r>
    </w:p>
    <w:p w14:paraId="2040DDDF">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1419571">
      <w:pPr>
        <w:keepNext w:val="0"/>
        <w:keepLines w:val="0"/>
        <w:pageBreakBefore w:val="0"/>
        <w:widowControl/>
        <w:kinsoku/>
        <w:wordWrap/>
        <w:overflowPunct/>
        <w:topLinePunct w:val="0"/>
        <w:bidi w:val="0"/>
        <w:spacing w:line="420" w:lineRule="exact"/>
        <w:ind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3、资料档案及保密要求</w:t>
      </w:r>
    </w:p>
    <w:p w14:paraId="0B0D08C6">
      <w:pPr>
        <w:keepNext w:val="0"/>
        <w:keepLines w:val="0"/>
        <w:pageBreakBefore w:val="0"/>
        <w:widowControl/>
        <w:kinsoku/>
        <w:wordWrap/>
        <w:overflowPunct/>
        <w:topLinePunct w:val="0"/>
        <w:bidi w:val="0"/>
        <w:spacing w:line="420" w:lineRule="exact"/>
        <w:ind w:firstLine="420"/>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pacing w:val="-6"/>
          <w:sz w:val="24"/>
          <w:szCs w:val="24"/>
          <w:highlight w:val="none"/>
          <w14:textFill>
            <w14:solidFill>
              <w14:schemeClr w14:val="tx1"/>
            </w14:solidFill>
          </w14:textFill>
        </w:rPr>
        <w:t>乙方应当对全部作业情况建立完整的电子档案资料，在合同正常终止后全部移交给甲方保管。</w:t>
      </w:r>
    </w:p>
    <w:p w14:paraId="428DA78F">
      <w:pPr>
        <w:keepNext w:val="0"/>
        <w:keepLines w:val="0"/>
        <w:pageBreakBefore w:val="0"/>
        <w:widowControl/>
        <w:kinsoku/>
        <w:wordWrap/>
        <w:overflowPunct/>
        <w:topLinePunct w:val="0"/>
        <w:bidi w:val="0"/>
        <w:spacing w:line="420" w:lineRule="exact"/>
        <w:ind w:firstLine="420"/>
        <w:textAlignment w:val="auto"/>
        <w:rPr>
          <w:rFonts w:hint="eastAsia" w:ascii="宋体" w:hAnsi="宋体" w:eastAsia="宋体" w:cs="宋体"/>
          <w:color w:val="000000" w:themeColor="text1"/>
          <w:spacing w:val="-1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（2）</w:t>
      </w:r>
      <w:r>
        <w:rPr>
          <w:rFonts w:hint="eastAsia" w:ascii="宋体" w:hAnsi="宋体" w:eastAsia="宋体" w:cs="宋体"/>
          <w:color w:val="000000" w:themeColor="text1"/>
          <w:spacing w:val="-11"/>
          <w:sz w:val="24"/>
          <w:szCs w:val="24"/>
          <w:highlight w:val="none"/>
          <w14:textFill>
            <w14:solidFill>
              <w14:schemeClr w14:val="tx1"/>
            </w14:solidFill>
          </w14:textFill>
        </w:rPr>
        <w:t>与本项目有关的资料及数据中涉及国家保密的内容，均要求按照《国家保密法》及相关法律法规执行。</w:t>
      </w:r>
    </w:p>
    <w:p w14:paraId="2C1F2EC3">
      <w:pPr>
        <w:keepNext w:val="0"/>
        <w:keepLines w:val="0"/>
        <w:pageBreakBefore w:val="0"/>
        <w:widowControl/>
        <w:kinsoku/>
        <w:wordWrap/>
        <w:overflowPunct/>
        <w:topLinePunct w:val="0"/>
        <w:bidi w:val="0"/>
        <w:spacing w:line="420" w:lineRule="exact"/>
        <w:ind w:firstLine="420"/>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（3）乙方应遵守相关保密法律、法规，确保甲方及项目建设方和环评技术文件编制方的信息安全。</w:t>
      </w:r>
    </w:p>
    <w:p w14:paraId="33E37E5B">
      <w:pPr>
        <w:keepNext w:val="0"/>
        <w:keepLines w:val="0"/>
        <w:pageBreakBefore w:val="0"/>
        <w:kinsoku/>
        <w:wordWrap/>
        <w:overflowPunct/>
        <w:topLinePunct w:val="0"/>
        <w:bidi w:val="0"/>
        <w:spacing w:line="42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六、知识产权</w:t>
      </w:r>
    </w:p>
    <w:p w14:paraId="37719F9D">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1、知识产权：评估报告的所有权和使用权均属于甲方。乙方不得以任何理由留存，否则承担由此产生的一切法律和经济责任。未经甲方书面同意，任何单位和个人不得转让和使用本项目成果。</w:t>
      </w:r>
    </w:p>
    <w:p w14:paraId="57E00D57">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2、乙方应保证提供服务过程中不会侵犯任何第三方的知识产权。</w:t>
      </w:r>
    </w:p>
    <w:p w14:paraId="2C66FDA7">
      <w:pPr>
        <w:keepNext w:val="0"/>
        <w:keepLines w:val="0"/>
        <w:pageBreakBefore w:val="0"/>
        <w:kinsoku/>
        <w:wordWrap/>
        <w:overflowPunct/>
        <w:topLinePunct w:val="0"/>
        <w:bidi w:val="0"/>
        <w:spacing w:line="42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七、转包或分包</w:t>
      </w:r>
    </w:p>
    <w:p w14:paraId="68C50761">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1、本合同范围的服务，应由乙方直接供应，不得转让或部分分包给他人；</w:t>
      </w:r>
    </w:p>
    <w:p w14:paraId="425CA0FA">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2、如有转让和未经甲方同意的分包行为，甲方有权解除合同，并追究乙方的违约责任。</w:t>
      </w:r>
    </w:p>
    <w:p w14:paraId="6BFFF19F">
      <w:pPr>
        <w:keepNext w:val="0"/>
        <w:keepLines w:val="0"/>
        <w:pageBreakBefore w:val="0"/>
        <w:kinsoku/>
        <w:wordWrap/>
        <w:overflowPunct/>
        <w:topLinePunct w:val="0"/>
        <w:bidi w:val="0"/>
        <w:spacing w:line="420" w:lineRule="exact"/>
        <w:ind w:firstLine="482" w:firstLineChars="20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八、合同履行时间、履行方式</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履行地点</w:t>
      </w:r>
      <w:r>
        <w:rPr>
          <w:rFonts w:hint="eastAsia" w:ascii="宋体" w:hAnsi="宋体" w:cs="宋体"/>
          <w:b/>
          <w:bCs/>
          <w:color w:val="000000" w:themeColor="text1"/>
          <w:sz w:val="24"/>
          <w:szCs w:val="24"/>
          <w:highlight w:val="none"/>
          <w:lang w:eastAsia="zh-CN"/>
          <w14:textFill>
            <w14:solidFill>
              <w14:schemeClr w14:val="tx1"/>
            </w14:solidFill>
          </w14:textFill>
        </w:rPr>
        <w:t>及履约担保</w:t>
      </w:r>
    </w:p>
    <w:p w14:paraId="3287A1F4">
      <w:pPr>
        <w:pStyle w:val="521"/>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1、履行时间：</w:t>
      </w:r>
      <w:r>
        <w:rPr>
          <w:rFonts w:hint="eastAsia" w:ascii="宋体" w:hAnsi="宋体" w:eastAsia="宋体" w:cs="宋体"/>
          <w:snapToGrid w:val="0"/>
          <w:color w:val="000000" w:themeColor="text1"/>
          <w:sz w:val="24"/>
          <w:szCs w:val="24"/>
          <w:highlight w:val="none"/>
          <w:u w:val="single"/>
          <w14:textFill>
            <w14:solidFill>
              <w14:schemeClr w14:val="tx1"/>
            </w14:solidFill>
          </w14:textFill>
        </w:rPr>
        <w:t>202</w:t>
      </w:r>
      <w:r>
        <w:rPr>
          <w:rFonts w:hint="eastAsia" w:ascii="宋体" w:hAnsi="宋体" w:eastAsia="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年</w:t>
      </w:r>
      <w:r>
        <w:rPr>
          <w:rFonts w:hint="eastAsia" w:ascii="宋体" w:hAnsi="宋体" w:eastAsia="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月</w:t>
      </w:r>
      <w:r>
        <w:rPr>
          <w:rFonts w:hint="eastAsia" w:ascii="宋体" w:hAnsi="宋体" w:eastAsia="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日至</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u w:val="single"/>
          <w:lang w:val="en-US" w:eastAsia="zh-CN"/>
          <w14:textFill>
            <w14:solidFill>
              <w14:schemeClr w14:val="tx1"/>
            </w14:solidFill>
          </w14:textFill>
        </w:rPr>
        <w:t xml:space="preserve">202  </w:t>
      </w:r>
      <w:r>
        <w:rPr>
          <w:rFonts w:hint="eastAsia" w:ascii="宋体" w:hAnsi="宋体" w:eastAsia="宋体" w:cs="宋体"/>
          <w:snapToGrid w:val="0"/>
          <w:color w:val="000000" w:themeColor="text1"/>
          <w:sz w:val="24"/>
          <w:szCs w:val="24"/>
          <w:highlight w:val="none"/>
          <w14:textFill>
            <w14:solidFill>
              <w14:schemeClr w14:val="tx1"/>
            </w14:solidFill>
          </w14:textFill>
        </w:rPr>
        <w:t>年</w:t>
      </w:r>
      <w:r>
        <w:rPr>
          <w:rFonts w:hint="eastAsia" w:ascii="宋体" w:hAnsi="宋体" w:eastAsia="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月</w:t>
      </w:r>
      <w:r>
        <w:rPr>
          <w:rFonts w:hint="eastAsia" w:ascii="宋体" w:hAnsi="宋体" w:eastAsia="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日。</w:t>
      </w:r>
    </w:p>
    <w:p w14:paraId="38DA9AFF">
      <w:pPr>
        <w:keepNext w:val="0"/>
        <w:keepLines w:val="0"/>
        <w:pageBreakBefore w:val="0"/>
        <w:tabs>
          <w:tab w:val="left" w:pos="7280"/>
        </w:tabs>
        <w:kinsoku/>
        <w:wordWrap/>
        <w:overflowPunct/>
        <w:topLinePunct w:val="0"/>
        <w:bidi w:val="0"/>
        <w:spacing w:line="420" w:lineRule="exact"/>
        <w:ind w:firstLine="480" w:firstLineChars="200"/>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2、履行方式：</w:t>
      </w:r>
      <w:r>
        <w:rPr>
          <w:rFonts w:hint="eastAsia" w:ascii="宋体" w:hAnsi="宋体" w:cs="宋体"/>
          <w:bCs/>
          <w:color w:val="000000" w:themeColor="text1"/>
          <w:kern w:val="0"/>
          <w:sz w:val="24"/>
          <w:szCs w:val="24"/>
          <w:highlight w:val="none"/>
          <w:lang w:eastAsia="zh-CN"/>
          <w14:textFill>
            <w14:solidFill>
              <w14:schemeClr w14:val="tx1"/>
            </w14:solidFill>
          </w14:textFill>
        </w:rPr>
        <w:t>甲方</w:t>
      </w:r>
      <w:r>
        <w:rPr>
          <w:rFonts w:hint="eastAsia" w:ascii="宋体" w:hAnsi="宋体" w:eastAsia="宋体" w:cs="宋体"/>
          <w:bCs/>
          <w:color w:val="000000" w:themeColor="text1"/>
          <w:kern w:val="0"/>
          <w:sz w:val="24"/>
          <w:szCs w:val="24"/>
          <w:highlight w:val="none"/>
          <w14:textFill>
            <w14:solidFill>
              <w14:schemeClr w14:val="tx1"/>
            </w14:solidFill>
          </w14:textFill>
        </w:rPr>
        <w:t>书面通知</w:t>
      </w:r>
      <w:r>
        <w:rPr>
          <w:rFonts w:hint="eastAsia" w:ascii="宋体" w:hAnsi="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开展项目实施要求，项目环评技术文件编制方应在2个工作日内向</w:t>
      </w:r>
      <w:r>
        <w:rPr>
          <w:rFonts w:hint="eastAsia" w:ascii="宋体" w:hAnsi="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提交项目环评技术文件；</w:t>
      </w:r>
      <w:r>
        <w:rPr>
          <w:rFonts w:hint="eastAsia" w:ascii="宋体" w:hAnsi="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原则应在收到环评技术文件后2个工作日内完成环评文件的初步审查，符合上会条件的建设项目，应在5个工作日内召开专家评审会议；在收到环评文件修改稿后5个工作日内完成审核，审核通过后2个工作日内出具评估报告并提交采购人审核。</w:t>
      </w:r>
    </w:p>
    <w:p w14:paraId="78A0BE54">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3、履行地点：</w:t>
      </w:r>
      <w:r>
        <w:rPr>
          <w:rFonts w:hint="eastAsia" w:ascii="宋体" w:hAnsi="宋体" w:eastAsia="宋体" w:cs="宋体"/>
          <w:color w:val="000000" w:themeColor="text1"/>
          <w:sz w:val="24"/>
          <w:szCs w:val="24"/>
          <w:highlight w:val="none"/>
          <w14:textFill>
            <w14:solidFill>
              <w14:schemeClr w14:val="tx1"/>
            </w14:solidFill>
          </w14:textFill>
        </w:rPr>
        <w:t>按乙方选定地点，并通过甲方同意。</w:t>
      </w:r>
    </w:p>
    <w:p w14:paraId="58054678">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4、履约担保：</w:t>
      </w:r>
      <w:r>
        <w:rPr>
          <w:rFonts w:hint="eastAsia" w:ascii="宋体" w:hAnsi="宋体" w:eastAsia="宋体" w:cs="宋体"/>
          <w:color w:val="000000" w:themeColor="text1"/>
          <w:sz w:val="24"/>
          <w:szCs w:val="24"/>
          <w:highlight w:val="none"/>
          <w14:textFill>
            <w14:solidFill>
              <w14:schemeClr w14:val="tx1"/>
            </w14:solidFill>
          </w14:textFill>
        </w:rPr>
        <w:t>履约保证金的形式</w:t>
      </w:r>
      <w:r>
        <w:rPr>
          <w:rFonts w:hint="eastAsia" w:ascii="宋体" w:hAnsi="宋体" w:cs="宋体"/>
          <w:color w:val="000000" w:themeColor="text1"/>
          <w:sz w:val="24"/>
          <w:szCs w:val="24"/>
          <w:highlight w:val="none"/>
          <w:lang w:eastAsia="zh-CN"/>
          <w14:textFill>
            <w14:solidFill>
              <w14:schemeClr w14:val="tx1"/>
            </w14:solidFill>
          </w14:textFill>
        </w:rPr>
        <w:t>为</w:t>
      </w:r>
      <w:r>
        <w:rPr>
          <w:rFonts w:hint="eastAsia" w:ascii="宋体" w:hAnsi="宋体" w:eastAsia="宋体" w:cs="宋体"/>
          <w:color w:val="000000" w:themeColor="text1"/>
          <w:sz w:val="24"/>
          <w:szCs w:val="24"/>
          <w:highlight w:val="none"/>
          <w14:textFill>
            <w14:solidFill>
              <w14:schemeClr w14:val="tx1"/>
            </w14:solidFill>
          </w14:textFill>
        </w:rPr>
        <w:t>现金、银行保函</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履约保证金的金额</w:t>
      </w:r>
      <w:r>
        <w:rPr>
          <w:rFonts w:hint="eastAsia" w:ascii="宋体" w:hAnsi="宋体" w:cs="宋体"/>
          <w:color w:val="000000" w:themeColor="text1"/>
          <w:sz w:val="24"/>
          <w:szCs w:val="24"/>
          <w:highlight w:val="none"/>
          <w:lang w:eastAsia="zh-CN"/>
          <w14:textFill>
            <w14:solidFill>
              <w14:schemeClr w14:val="tx1"/>
            </w14:solidFill>
          </w14:textFill>
        </w:rPr>
        <w:t>为</w:t>
      </w:r>
      <w:r>
        <w:rPr>
          <w:rFonts w:hint="eastAsia" w:ascii="宋体" w:hAnsi="宋体" w:eastAsia="宋体" w:cs="宋体"/>
          <w:color w:val="000000" w:themeColor="text1"/>
          <w:sz w:val="24"/>
          <w:szCs w:val="24"/>
          <w:highlight w:val="none"/>
          <w14:textFill>
            <w14:solidFill>
              <w14:schemeClr w14:val="tx1"/>
            </w14:solidFill>
          </w14:textFill>
        </w:rPr>
        <w:t>合同价的1%（不计利息，相关费用由中标人承担）</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履约保证金的缴纳时间</w:t>
      </w:r>
      <w:r>
        <w:rPr>
          <w:rFonts w:hint="eastAsia" w:ascii="宋体" w:hAnsi="宋体" w:cs="宋体"/>
          <w:color w:val="000000" w:themeColor="text1"/>
          <w:sz w:val="24"/>
          <w:szCs w:val="24"/>
          <w:highlight w:val="none"/>
          <w:lang w:eastAsia="zh-CN"/>
          <w14:textFill>
            <w14:solidFill>
              <w14:schemeClr w14:val="tx1"/>
            </w14:solidFill>
          </w14:textFill>
        </w:rPr>
        <w:t>在</w:t>
      </w:r>
      <w:r>
        <w:rPr>
          <w:rFonts w:hint="eastAsia" w:ascii="宋体" w:hAnsi="宋体" w:eastAsia="宋体" w:cs="宋体"/>
          <w:color w:val="000000" w:themeColor="text1"/>
          <w:sz w:val="24"/>
          <w:szCs w:val="24"/>
          <w:highlight w:val="none"/>
          <w14:textFill>
            <w14:solidFill>
              <w14:schemeClr w14:val="tx1"/>
            </w14:solidFill>
          </w14:textFill>
        </w:rPr>
        <w:t>合同签订后十日内</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履约保证金待合同期满后一次性退还（不计利息），如有违约则扣除相应违约金后，余额退还。      </w:t>
      </w:r>
    </w:p>
    <w:p w14:paraId="225B3356">
      <w:pPr>
        <w:keepNext w:val="0"/>
        <w:keepLines w:val="0"/>
        <w:pageBreakBefore w:val="0"/>
        <w:kinsoku/>
        <w:wordWrap/>
        <w:overflowPunct/>
        <w:topLinePunct w:val="0"/>
        <w:bidi w:val="0"/>
        <w:spacing w:line="42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九、违约责任</w:t>
      </w:r>
    </w:p>
    <w:p w14:paraId="14E00854">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pacing w:val="-11"/>
          <w:sz w:val="24"/>
          <w:szCs w:val="24"/>
          <w:highlight w:val="none"/>
          <w14:textFill>
            <w14:solidFill>
              <w14:schemeClr w14:val="tx1"/>
            </w14:solidFill>
          </w14:textFill>
        </w:rPr>
        <w:t>甲方无故逾期验收和办理款项支付手续的，甲方应按逾期付款总额每日万分之</w:t>
      </w:r>
      <w:r>
        <w:rPr>
          <w:rFonts w:hint="eastAsia" w:ascii="宋体" w:hAnsi="宋体" w:eastAsia="宋体" w:cs="宋体"/>
          <w:color w:val="000000" w:themeColor="text1"/>
          <w:spacing w:val="-11"/>
          <w:sz w:val="24"/>
          <w:szCs w:val="24"/>
          <w:highlight w:val="none"/>
          <w:u w:val="single"/>
          <w14:textFill>
            <w14:solidFill>
              <w14:schemeClr w14:val="tx1"/>
            </w14:solidFill>
          </w14:textFill>
        </w:rPr>
        <w:t>五</w:t>
      </w:r>
      <w:r>
        <w:rPr>
          <w:rFonts w:hint="eastAsia" w:ascii="宋体" w:hAnsi="宋体" w:eastAsia="宋体" w:cs="宋体"/>
          <w:color w:val="000000" w:themeColor="text1"/>
          <w:spacing w:val="-11"/>
          <w:sz w:val="24"/>
          <w:szCs w:val="24"/>
          <w:highlight w:val="none"/>
          <w14:textFill>
            <w14:solidFill>
              <w14:schemeClr w14:val="tx1"/>
            </w14:solidFill>
          </w14:textFill>
        </w:rPr>
        <w:t>向乙方支付违约金。</w:t>
      </w:r>
    </w:p>
    <w:p w14:paraId="1252007E">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2、乙方未能如期提供服务的，每日向甲方支付合同款项的千分之</w:t>
      </w:r>
      <w:r>
        <w:rPr>
          <w:rFonts w:hint="eastAsia" w:ascii="宋体" w:hAnsi="宋体" w:eastAsia="宋体" w:cs="宋体"/>
          <w:color w:val="000000" w:themeColor="text1"/>
          <w:sz w:val="24"/>
          <w:szCs w:val="24"/>
          <w:highlight w:val="none"/>
          <w:u w:val="single"/>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作为违约金。乙方超过约定日期10个工作日仍不能提供服务的，甲方有权解除本合同，且乙方应向甲方支付合同总额30%的违约金，并赔偿甲方因此造成的损失。</w:t>
      </w:r>
    </w:p>
    <w:p w14:paraId="18FE3661">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若乙方因非甲方的原因不履行本合同或履行合同达不到要求的，经甲方书面催告后十日内仍不履行或虽履行但仍达不到要求的，甲方有权提前解除合同，且乙方应向甲方支付合同总额30%的违约金，并赔偿甲方因此造成的损失。</w:t>
      </w:r>
    </w:p>
    <w:p w14:paraId="680F6009">
      <w:pPr>
        <w:keepNext w:val="0"/>
        <w:keepLines w:val="0"/>
        <w:pageBreakBefore w:val="0"/>
        <w:kinsoku/>
        <w:wordWrap/>
        <w:overflowPunct/>
        <w:topLinePunct w:val="0"/>
        <w:bidi w:val="0"/>
        <w:spacing w:line="42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十、争议的解决</w:t>
      </w:r>
    </w:p>
    <w:p w14:paraId="53994136">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因履行本合同引起的或与本合同有关的任何争议，合同双方应首先通过协商解决，达成书面协议，如协商不成，可选择下列第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default" w:ascii="宋体" w:hAnsi="宋体" w:cs="宋体"/>
          <w:color w:val="000000" w:themeColor="text1"/>
          <w:sz w:val="24"/>
          <w:szCs w:val="24"/>
          <w:highlight w:val="none"/>
          <w:u w:val="single"/>
          <w:lang w:val="e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种方式解决：</w:t>
      </w:r>
    </w:p>
    <w:p w14:paraId="69367114">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1、提请</w:t>
      </w:r>
      <w:r>
        <w:rPr>
          <w:rFonts w:hint="eastAsia" w:ascii="宋体" w:hAnsi="宋体" w:eastAsia="宋体" w:cs="宋体"/>
          <w:color w:val="000000" w:themeColor="text1"/>
          <w:sz w:val="24"/>
          <w:szCs w:val="24"/>
          <w:highlight w:val="none"/>
          <w:u w:val="single"/>
          <w14:textFill>
            <w14:solidFill>
              <w14:schemeClr w14:val="tx1"/>
            </w14:solidFill>
          </w14:textFill>
        </w:rPr>
        <w:t>衢州仲裁委员会</w:t>
      </w:r>
      <w:r>
        <w:rPr>
          <w:rFonts w:hint="eastAsia" w:ascii="宋体" w:hAnsi="宋体" w:eastAsia="宋体" w:cs="宋体"/>
          <w:color w:val="000000" w:themeColor="text1"/>
          <w:sz w:val="24"/>
          <w:szCs w:val="24"/>
          <w:highlight w:val="none"/>
          <w14:textFill>
            <w14:solidFill>
              <w14:schemeClr w14:val="tx1"/>
            </w14:solidFill>
          </w14:textFill>
        </w:rPr>
        <w:t>按照该会仲裁规则进行仲裁。</w:t>
      </w:r>
    </w:p>
    <w:p w14:paraId="1DE38845">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2、向甲方所在地管辖区域内的人民法院提起诉讼解决。</w:t>
      </w:r>
    </w:p>
    <w:p w14:paraId="7CF78028">
      <w:pPr>
        <w:keepNext w:val="0"/>
        <w:keepLines w:val="0"/>
        <w:pageBreakBefore w:val="0"/>
        <w:kinsoku/>
        <w:wordWrap/>
        <w:overflowPunct/>
        <w:topLinePunct w:val="0"/>
        <w:bidi w:val="0"/>
        <w:spacing w:line="42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十一、通知与送达</w:t>
      </w:r>
    </w:p>
    <w:p w14:paraId="496218F2">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乙方确认可以通过以下任何一种或多种方式送达往来文件、诉讼法律文书等：</w:t>
      </w:r>
    </w:p>
    <w:p w14:paraId="24D7002E">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1、短信、彩信送达，手机号码：</w:t>
      </w:r>
    </w:p>
    <w:p w14:paraId="0446AB2C">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2、电子邮件送达，电子邮箱为：</w:t>
      </w:r>
    </w:p>
    <w:p w14:paraId="1A559EAB">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3、邮寄送达，地址为： </w:t>
      </w:r>
    </w:p>
    <w:p w14:paraId="05DD7BFB">
      <w:pPr>
        <w:pStyle w:val="3"/>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上述送达方式适用于双方非诉时各类通知、协议等文件以及各个司法阶段，包括但不限于一审、二审、再审、执行以及督促程序。因乙方提供信息不准确、变更后未及时书面告知、拒绝签收，导致相关文书未能实际接收的，文书退回之日视为送达。</w:t>
      </w:r>
    </w:p>
    <w:p w14:paraId="1BD13E16">
      <w:pPr>
        <w:pStyle w:val="3"/>
        <w:keepNext w:val="0"/>
        <w:keepLines w:val="0"/>
        <w:pageBreakBefore w:val="0"/>
        <w:kinsoku/>
        <w:wordWrap/>
        <w:overflowPunct/>
        <w:topLinePunct w:val="0"/>
        <w:bidi w:val="0"/>
        <w:spacing w:line="42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十二、 合同附件</w:t>
      </w:r>
    </w:p>
    <w:p w14:paraId="5FBB861A">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下列文件与本合同具有同等法律效力：</w:t>
      </w:r>
    </w:p>
    <w:p w14:paraId="23564BF1">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1、本合同书（主合同）；</w:t>
      </w:r>
    </w:p>
    <w:p w14:paraId="5B31E6EF">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2、中标通知书；</w:t>
      </w:r>
    </w:p>
    <w:p w14:paraId="456BD3C3">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投标文件；</w:t>
      </w:r>
    </w:p>
    <w:p w14:paraId="376FA493">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4、询标纪要和承诺书；</w:t>
      </w:r>
    </w:p>
    <w:p w14:paraId="7644C234">
      <w:pPr>
        <w:keepNext w:val="0"/>
        <w:keepLines w:val="0"/>
        <w:pageBreakBefore w:val="0"/>
        <w:kinsoku/>
        <w:wordWrap/>
        <w:overflowPunct/>
        <w:topLinePunct w:val="0"/>
        <w:bidi w:val="0"/>
        <w:spacing w:line="420" w:lineRule="exact"/>
        <w:ind w:firstLine="470" w:firstLineChars="19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5、采购人的招标文件与招标补充文件；</w:t>
      </w:r>
    </w:p>
    <w:p w14:paraId="7193C2F3">
      <w:pPr>
        <w:keepNext w:val="0"/>
        <w:keepLines w:val="0"/>
        <w:pageBreakBefore w:val="0"/>
        <w:kinsoku/>
        <w:wordWrap/>
        <w:overflowPunct/>
        <w:topLinePunct w:val="0"/>
        <w:bidi w:val="0"/>
        <w:spacing w:line="420" w:lineRule="exact"/>
        <w:ind w:firstLine="470" w:firstLineChars="196"/>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6、国家及部门相关法律、法规、规范、标准等</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551FEE0">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7、考核办法评分表。</w:t>
      </w:r>
    </w:p>
    <w:p w14:paraId="4C2DBE35">
      <w:pPr>
        <w:keepNext w:val="0"/>
        <w:keepLines w:val="0"/>
        <w:pageBreakBefore w:val="0"/>
        <w:widowControl/>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双方有关本次采购项目的洽商、变更等书面协议或文件视为本合同的组成部分。上述文件相互补充和解释，如有不明确或不一致之处，以合同约定次序以最新者为准。</w:t>
      </w:r>
    </w:p>
    <w:p w14:paraId="77822701">
      <w:pPr>
        <w:keepNext w:val="0"/>
        <w:keepLines w:val="0"/>
        <w:pageBreakBefore w:val="0"/>
        <w:widowControl/>
        <w:kinsoku/>
        <w:wordWrap/>
        <w:overflowPunct/>
        <w:topLinePunct w:val="0"/>
        <w:bidi w:val="0"/>
        <w:spacing w:line="42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十三、合同生效及其它</w:t>
      </w:r>
    </w:p>
    <w:p w14:paraId="6504F3DB">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1、本合同经甲、乙双方法定代表人或其授权委托人签字或盖章并加盖单位公章后生效。</w:t>
      </w:r>
    </w:p>
    <w:p w14:paraId="1481C46E">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2、由于不可抗力因素致使合同无法履行时，双方应及时协商解决。</w:t>
      </w:r>
    </w:p>
    <w:p w14:paraId="0609ED75">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3、本合同未尽事宜，双方可另行签订补充协议，补充协议与本合同具有同等效力。遵照《民法典》有关条文执行。</w:t>
      </w:r>
    </w:p>
    <w:p w14:paraId="29365733">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4、本合同一式六份，甲、乙双方各执三份。</w:t>
      </w:r>
    </w:p>
    <w:p w14:paraId="00D9E884">
      <w:pPr>
        <w:pStyle w:val="521"/>
        <w:pageBreakBefore w:val="0"/>
        <w:kinsoku/>
        <w:wordWrap/>
        <w:overflowPunct/>
        <w:topLinePunct w:val="0"/>
        <w:bidi w:val="0"/>
        <w:spacing w:line="4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A93E2A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甲方（盖章）：</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乙方（盖章）：</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0E1AE19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法定代表人（或委托代理人）签名或盖章：</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法定代表人（或委托代理人）签名或盖章：</w:t>
      </w:r>
    </w:p>
    <w:p w14:paraId="0C2E9C9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69104BF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地址：</w:t>
      </w:r>
    </w:p>
    <w:p w14:paraId="699BD17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时间：                                     时间：</w:t>
      </w:r>
    </w:p>
    <w:p w14:paraId="49DB9772">
      <w:pPr>
        <w:pStyle w:val="5"/>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u w:val="none"/>
          <w14:textFill>
            <w14:solidFill>
              <w14:schemeClr w14:val="tx1"/>
            </w14:solidFill>
          </w14:textFill>
        </w:rPr>
        <w:t>注：</w:t>
      </w:r>
      <w:r>
        <w:rPr>
          <w:rFonts w:hint="eastAsia" w:ascii="宋体" w:hAnsi="宋体" w:eastAsia="宋体" w:cs="宋体"/>
          <w:b/>
          <w:bCs/>
          <w:color w:val="000000" w:themeColor="text1"/>
          <w:sz w:val="24"/>
          <w:szCs w:val="24"/>
          <w:highlight w:val="none"/>
          <w:u w:val="single"/>
          <w14:textFill>
            <w14:solidFill>
              <w14:schemeClr w14:val="tx1"/>
            </w14:solidFill>
          </w14:textFill>
        </w:rPr>
        <w:t>以上合同条款供采购人及</w:t>
      </w:r>
      <w:r>
        <w:rPr>
          <w:rFonts w:hint="eastAsia" w:ascii="宋体" w:hAnsi="宋体" w:cs="宋体"/>
          <w:b/>
          <w:bCs/>
          <w:color w:val="000000" w:themeColor="text1"/>
          <w:sz w:val="24"/>
          <w:szCs w:val="24"/>
          <w:highlight w:val="none"/>
          <w:u w:val="single"/>
          <w:lang w:eastAsia="zh-CN"/>
          <w14:textFill>
            <w14:solidFill>
              <w14:schemeClr w14:val="tx1"/>
            </w14:solidFill>
          </w14:textFill>
        </w:rPr>
        <w:t>中标人</w:t>
      </w:r>
      <w:r>
        <w:rPr>
          <w:rFonts w:hint="eastAsia" w:ascii="宋体" w:hAnsi="宋体" w:eastAsia="宋体" w:cs="宋体"/>
          <w:b/>
          <w:bCs/>
          <w:color w:val="000000" w:themeColor="text1"/>
          <w:sz w:val="24"/>
          <w:szCs w:val="24"/>
          <w:highlight w:val="none"/>
          <w:u w:val="single"/>
          <w14:textFill>
            <w14:solidFill>
              <w14:schemeClr w14:val="tx1"/>
            </w14:solidFill>
          </w14:textFill>
        </w:rPr>
        <w:t>作为商务参考，具体签订时，采购人可根据自身项目情况与</w:t>
      </w:r>
      <w:r>
        <w:rPr>
          <w:rFonts w:hint="eastAsia" w:ascii="宋体" w:hAnsi="宋体" w:cs="宋体"/>
          <w:b/>
          <w:bCs/>
          <w:color w:val="000000" w:themeColor="text1"/>
          <w:sz w:val="24"/>
          <w:szCs w:val="24"/>
          <w:highlight w:val="none"/>
          <w:u w:val="single"/>
          <w:lang w:eastAsia="zh-CN"/>
          <w14:textFill>
            <w14:solidFill>
              <w14:schemeClr w14:val="tx1"/>
            </w14:solidFill>
          </w14:textFill>
        </w:rPr>
        <w:t>中标人</w:t>
      </w:r>
      <w:r>
        <w:rPr>
          <w:rFonts w:hint="eastAsia" w:ascii="宋体" w:hAnsi="宋体" w:eastAsia="宋体" w:cs="宋体"/>
          <w:b/>
          <w:bCs/>
          <w:color w:val="000000" w:themeColor="text1"/>
          <w:sz w:val="24"/>
          <w:szCs w:val="24"/>
          <w:highlight w:val="none"/>
          <w:u w:val="single"/>
          <w14:textFill>
            <w14:solidFill>
              <w14:schemeClr w14:val="tx1"/>
            </w14:solidFill>
          </w14:textFill>
        </w:rPr>
        <w:t>协商另行修改拟定相关合同具体条款。</w:t>
      </w:r>
      <w:bookmarkStart w:id="86" w:name="page30"/>
      <w:bookmarkEnd w:id="86"/>
    </w:p>
    <w:p w14:paraId="1D0B9387">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14:paraId="3C16DD60">
      <w:pPr>
        <w:pStyle w:val="3"/>
        <w:kinsoku/>
        <w:overflowPunct/>
        <w:bidi w:val="0"/>
        <w:snapToGrid w:val="0"/>
        <w:spacing w:line="400" w:lineRule="exact"/>
        <w:ind w:firstLine="723"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36"/>
          <w:highlight w:val="none"/>
        </w:rPr>
        <w:t>第五部分 投标文件部分格式文件</w:t>
      </w:r>
    </w:p>
    <w:p w14:paraId="7E4C3A37">
      <w:pPr>
        <w:pStyle w:val="8"/>
        <w:kinsoku/>
        <w:overflowPunct/>
        <w:bidi w:val="0"/>
        <w:spacing w:line="400" w:lineRule="exact"/>
        <w:ind w:left="0" w:firstLine="0"/>
        <w:rPr>
          <w:rFonts w:hint="eastAsia" w:ascii="宋体" w:hAnsi="宋体" w:eastAsia="宋体" w:cs="宋体"/>
          <w:color w:val="auto"/>
          <w:sz w:val="28"/>
          <w:highlight w:val="none"/>
        </w:rPr>
      </w:pPr>
      <w:r>
        <w:rPr>
          <w:rFonts w:hint="eastAsia" w:ascii="宋体" w:hAnsi="宋体" w:eastAsia="宋体" w:cs="宋体"/>
          <w:color w:val="auto"/>
          <w:sz w:val="28"/>
          <w:highlight w:val="none"/>
        </w:rPr>
        <w:t>投标文件封面</w:t>
      </w:r>
    </w:p>
    <w:p w14:paraId="3D19E295">
      <w:pPr>
        <w:tabs>
          <w:tab w:val="left" w:pos="4500"/>
        </w:tabs>
        <w:kinsoku/>
        <w:overflowPunct/>
        <w:autoSpaceDE w:val="0"/>
        <w:autoSpaceDN w:val="0"/>
        <w:bidi w:val="0"/>
        <w:adjustRightInd w:val="0"/>
        <w:snapToGrid w:val="0"/>
        <w:spacing w:line="400" w:lineRule="exact"/>
        <w:jc w:val="center"/>
        <w:textAlignment w:val="bottom"/>
        <w:rPr>
          <w:rFonts w:hint="eastAsia" w:ascii="宋体" w:hAnsi="宋体" w:eastAsia="宋体" w:cs="宋体"/>
          <w:b/>
          <w:color w:val="auto"/>
          <w:sz w:val="44"/>
          <w:szCs w:val="44"/>
          <w:highlight w:val="none"/>
        </w:rPr>
      </w:pPr>
    </w:p>
    <w:p w14:paraId="20FEA946">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智造新城建设项目环评技术评估</w:t>
      </w:r>
    </w:p>
    <w:p w14:paraId="1BCC2577">
      <w:pPr>
        <w:kinsoku/>
        <w:overflowPunct/>
        <w:bidi w:val="0"/>
        <w:spacing w:beforeLines="10" w:line="360" w:lineRule="auto"/>
        <w:jc w:val="center"/>
        <w:rPr>
          <w:rFonts w:hint="eastAsia" w:ascii="宋体" w:hAnsi="宋体" w:eastAsia="宋体" w:cs="宋体"/>
          <w:b/>
          <w:color w:val="auto"/>
          <w:sz w:val="32"/>
          <w:highlight w:val="none"/>
        </w:rPr>
      </w:pPr>
    </w:p>
    <w:p w14:paraId="764659D7">
      <w:pPr>
        <w:kinsoku/>
        <w:overflowPunct/>
        <w:bidi w:val="0"/>
        <w:spacing w:beforeLines="10" w:line="360" w:lineRule="auto"/>
        <w:ind w:firstLine="1606" w:firstLineChars="500"/>
        <w:jc w:val="both"/>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p>
    <w:p w14:paraId="1245FD29">
      <w:pPr>
        <w:pStyle w:val="88"/>
        <w:kinsoku/>
        <w:overflowPunct/>
        <w:bidi w:val="0"/>
        <w:spacing w:after="0" w:line="360" w:lineRule="auto"/>
        <w:ind w:left="560"/>
        <w:rPr>
          <w:rFonts w:hint="eastAsia" w:ascii="宋体" w:hAnsi="宋体" w:eastAsia="宋体" w:cs="宋体"/>
          <w:color w:val="auto"/>
          <w:highlight w:val="none"/>
        </w:rPr>
      </w:pPr>
    </w:p>
    <w:p w14:paraId="3F9A28AD">
      <w:pPr>
        <w:kinsoku/>
        <w:overflowPunct/>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投</w:t>
      </w:r>
    </w:p>
    <w:p w14:paraId="6D79F4BB">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标</w:t>
      </w:r>
    </w:p>
    <w:p w14:paraId="310EC736">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14:paraId="6909BBAD">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14:paraId="274E2906">
      <w:pPr>
        <w:pStyle w:val="3"/>
        <w:kinsoku/>
        <w:overflowPunct/>
        <w:bidi w:val="0"/>
        <w:spacing w:line="360" w:lineRule="auto"/>
        <w:rPr>
          <w:rFonts w:hint="eastAsia"/>
          <w:color w:val="auto"/>
          <w:highlight w:val="none"/>
        </w:rPr>
      </w:pPr>
    </w:p>
    <w:p w14:paraId="504F7516">
      <w:pPr>
        <w:kinsoku/>
        <w:overflowPunct/>
        <w:bidi w:val="0"/>
        <w:spacing w:line="360" w:lineRule="auto"/>
        <w:ind w:firstLine="960" w:firstLineChars="300"/>
        <w:rPr>
          <w:rFonts w:hint="eastAsia" w:ascii="宋体" w:hAnsi="宋体" w:eastAsia="宋体" w:cs="宋体"/>
          <w:color w:val="auto"/>
          <w:sz w:val="32"/>
          <w:highlight w:val="none"/>
        </w:rPr>
      </w:pPr>
    </w:p>
    <w:p w14:paraId="32B23219">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投标人：（加盖公章）</w:t>
      </w:r>
    </w:p>
    <w:p w14:paraId="352FE0A6">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地址：</w:t>
      </w:r>
    </w:p>
    <w:p w14:paraId="7332C16C">
      <w:pPr>
        <w:kinsoku/>
        <w:overflowPunct/>
        <w:bidi w:val="0"/>
        <w:spacing w:line="360" w:lineRule="auto"/>
        <w:ind w:firstLine="960" w:firstLineChars="30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日期：</w:t>
      </w:r>
    </w:p>
    <w:p w14:paraId="767E898C">
      <w:pPr>
        <w:rPr>
          <w:rFonts w:hint="eastAsia" w:ascii="宋体" w:hAnsi="宋体" w:eastAsia="宋体" w:cs="宋体"/>
          <w:b/>
          <w:color w:val="auto"/>
          <w:sz w:val="28"/>
          <w:highlight w:val="none"/>
          <w:lang w:val="zh-CN"/>
        </w:rPr>
      </w:pPr>
    </w:p>
    <w:p w14:paraId="50016DCC">
      <w:pPr>
        <w:rPr>
          <w:rFonts w:hint="eastAsia" w:ascii="宋体" w:hAnsi="宋体" w:eastAsia="宋体" w:cs="宋体"/>
          <w:b/>
          <w:color w:val="auto"/>
          <w:sz w:val="28"/>
          <w:highlight w:val="none"/>
          <w:lang w:val="zh-CN"/>
        </w:rPr>
      </w:pPr>
      <w:r>
        <w:rPr>
          <w:rFonts w:hint="eastAsia" w:ascii="宋体" w:hAnsi="宋体" w:eastAsia="宋体" w:cs="宋体"/>
          <w:b/>
          <w:color w:val="auto"/>
          <w:sz w:val="28"/>
          <w:highlight w:val="none"/>
          <w:lang w:val="zh-CN"/>
        </w:rPr>
        <w:br w:type="page"/>
      </w:r>
    </w:p>
    <w:p w14:paraId="0AABBAC7">
      <w:pPr>
        <w:pStyle w:val="3"/>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zh-CN"/>
        </w:rPr>
        <w:t>格式</w:t>
      </w:r>
      <w:r>
        <w:rPr>
          <w:rFonts w:hint="eastAsia" w:ascii="宋体" w:hAnsi="宋体" w:eastAsia="宋体" w:cs="宋体"/>
          <w:b/>
          <w:color w:val="auto"/>
          <w:sz w:val="28"/>
          <w:highlight w:val="none"/>
        </w:rPr>
        <w:t>一：资格审查资料</w:t>
      </w:r>
      <w:bookmarkEnd w:id="81"/>
    </w:p>
    <w:p w14:paraId="08EBCDDB">
      <w:pPr>
        <w:kinsoku/>
        <w:overflowPunct/>
        <w:bidi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资格审查资料</w:t>
      </w:r>
    </w:p>
    <w:p w14:paraId="0CBDE9EE">
      <w:pPr>
        <w:kinsoku/>
        <w:overflowPunct/>
        <w:autoSpaceDE w:val="0"/>
        <w:autoSpaceDN w:val="0"/>
        <w:bidi w:val="0"/>
        <w:adjustRightInd w:val="0"/>
        <w:snapToGrid w:val="0"/>
        <w:spacing w:line="400" w:lineRule="exact"/>
        <w:ind w:firstLine="560" w:firstLineChars="200"/>
        <w:jc w:val="left"/>
        <w:rPr>
          <w:rFonts w:hint="eastAsia" w:ascii="宋体" w:hAnsi="宋体" w:eastAsia="宋体" w:cs="宋体"/>
          <w:color w:val="auto"/>
          <w:kern w:val="0"/>
          <w:szCs w:val="21"/>
          <w:highlight w:val="none"/>
        </w:rPr>
      </w:pPr>
    </w:p>
    <w:p w14:paraId="25BD3374">
      <w:pPr>
        <w:pStyle w:val="3"/>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（一）资格审查须知</w:t>
      </w:r>
    </w:p>
    <w:p w14:paraId="10AF8B4D">
      <w:pPr>
        <w:pStyle w:val="3"/>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1、投标人必须认真填写招标文件规定的所有表格，并对其真实性负责，采购人有权对其进行调查核实和要求澄清。</w:t>
      </w:r>
    </w:p>
    <w:p w14:paraId="53C0BA08">
      <w:pPr>
        <w:pStyle w:val="3"/>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20ED9183">
      <w:pPr>
        <w:pStyle w:val="3"/>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（二）资格审查资料格式</w:t>
      </w:r>
    </w:p>
    <w:bookmarkEnd w:id="82"/>
    <w:p w14:paraId="7E7BA82C">
      <w:pPr>
        <w:pStyle w:val="3"/>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表1</w:t>
      </w:r>
      <w:r>
        <w:rPr>
          <w:rFonts w:hint="eastAsia"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 xml:space="preserve">强制性资格条件 </w:t>
      </w:r>
    </w:p>
    <w:p w14:paraId="28F11F23">
      <w:pPr>
        <w:pStyle w:val="3"/>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14:paraId="1EA238FF">
      <w:pPr>
        <w:pStyle w:val="3"/>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14:paraId="6166DF9F">
      <w:pPr>
        <w:pStyle w:val="3"/>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14:paraId="6D2471A2">
      <w:pPr>
        <w:pStyle w:val="3"/>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14:paraId="41FF45E6">
      <w:pPr>
        <w:pStyle w:val="3"/>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：无违法失信的声明函</w:t>
      </w:r>
    </w:p>
    <w:p w14:paraId="547C2F07">
      <w:pPr>
        <w:pStyle w:val="3"/>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：《中小企业声明函》或《残疾人福利性单位声明函》或《监狱企业声明函》</w:t>
      </w:r>
    </w:p>
    <w:p w14:paraId="5CA837DA">
      <w:pPr>
        <w:pStyle w:val="3"/>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：与其他</w:t>
      </w:r>
      <w:r>
        <w:rPr>
          <w:rFonts w:hint="eastAsia"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无利害关系的声明函</w:t>
      </w:r>
    </w:p>
    <w:p w14:paraId="6B87BACB">
      <w:pPr>
        <w:pStyle w:val="3"/>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：非联合体的声明函</w:t>
      </w:r>
    </w:p>
    <w:p w14:paraId="40B79E44">
      <w:pPr>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outlineLvl w:val="9"/>
        <w:rPr>
          <w:rFonts w:hint="eastAsia" w:ascii="宋体" w:hAnsi="宋体" w:eastAsia="宋体" w:cs="宋体"/>
          <w:b/>
          <w:color w:val="auto"/>
          <w:sz w:val="24"/>
          <w:szCs w:val="24"/>
          <w:highlight w:val="none"/>
        </w:rPr>
      </w:pPr>
    </w:p>
    <w:p w14:paraId="75EC8B46">
      <w:pPr>
        <w:pStyle w:val="5"/>
        <w:keepNext w:val="0"/>
        <w:keepLines w:val="0"/>
        <w:pageBreakBefore w:val="0"/>
        <w:widowControl w:val="0"/>
        <w:kinsoku/>
        <w:wordWrap/>
        <w:overflowPunct/>
        <w:topLinePunct w:val="0"/>
        <w:autoSpaceDE/>
        <w:autoSpaceDN/>
        <w:bidi w:val="0"/>
        <w:adjustRightInd/>
        <w:spacing w:after="0" w:line="400" w:lineRule="exact"/>
        <w:ind w:right="0" w:rightChars="0"/>
        <w:jc w:val="both"/>
        <w:textAlignment w:val="auto"/>
        <w:outlineLvl w:val="9"/>
        <w:rPr>
          <w:rFonts w:hint="eastAsia" w:ascii="宋体" w:hAnsi="宋体" w:eastAsia="宋体" w:cs="宋体"/>
          <w:b/>
          <w:color w:val="auto"/>
          <w:sz w:val="24"/>
          <w:szCs w:val="24"/>
          <w:highlight w:val="none"/>
        </w:rPr>
      </w:pPr>
    </w:p>
    <w:p w14:paraId="72DCF5F6">
      <w:pPr>
        <w:pStyle w:val="5"/>
        <w:kinsoku/>
        <w:overflowPunct/>
        <w:bidi w:val="0"/>
        <w:spacing w:after="0" w:line="400" w:lineRule="exact"/>
        <w:rPr>
          <w:rFonts w:hint="eastAsia" w:ascii="宋体" w:hAnsi="宋体" w:eastAsia="宋体" w:cs="宋体"/>
          <w:b/>
          <w:color w:val="auto"/>
          <w:sz w:val="30"/>
          <w:szCs w:val="30"/>
          <w:highlight w:val="none"/>
        </w:rPr>
      </w:pPr>
    </w:p>
    <w:p w14:paraId="45AC09B9">
      <w:pPr>
        <w:kinsoku/>
        <w:overflowPunct/>
        <w:bidi w:val="0"/>
        <w:spacing w:line="400" w:lineRule="exact"/>
        <w:rPr>
          <w:rFonts w:hint="eastAsia" w:ascii="宋体" w:hAnsi="宋体" w:eastAsia="宋体" w:cs="宋体"/>
          <w:b/>
          <w:color w:val="auto"/>
          <w:sz w:val="30"/>
          <w:szCs w:val="30"/>
          <w:highlight w:val="none"/>
        </w:rPr>
      </w:pPr>
    </w:p>
    <w:p w14:paraId="7CC653E4">
      <w:pPr>
        <w:kinsoku/>
        <w:overflowPunct/>
        <w:bidi w:val="0"/>
        <w:spacing w:line="400" w:lineRule="exact"/>
        <w:rPr>
          <w:rFonts w:hint="eastAsia" w:ascii="宋体" w:hAnsi="宋体" w:eastAsia="宋体" w:cs="宋体"/>
          <w:b/>
          <w:color w:val="auto"/>
          <w:sz w:val="30"/>
          <w:szCs w:val="30"/>
          <w:highlight w:val="none"/>
        </w:rPr>
      </w:pPr>
    </w:p>
    <w:p w14:paraId="7F43FF43">
      <w:pPr>
        <w:pStyle w:val="3"/>
        <w:kinsoku/>
        <w:overflowPunct/>
        <w:bidi w:val="0"/>
        <w:spacing w:line="400" w:lineRule="exact"/>
        <w:rPr>
          <w:rFonts w:hint="eastAsia" w:ascii="宋体" w:hAnsi="宋体" w:eastAsia="宋体" w:cs="宋体"/>
          <w:b/>
          <w:color w:val="auto"/>
          <w:sz w:val="30"/>
          <w:szCs w:val="30"/>
          <w:highlight w:val="none"/>
        </w:rPr>
      </w:pPr>
    </w:p>
    <w:p w14:paraId="0841C27B">
      <w:pPr>
        <w:kinsoku/>
        <w:overflowPunct/>
        <w:bidi w:val="0"/>
        <w:spacing w:line="400" w:lineRule="exact"/>
        <w:rPr>
          <w:rFonts w:hint="eastAsia" w:ascii="宋体" w:hAnsi="宋体" w:eastAsia="宋体" w:cs="宋体"/>
          <w:b/>
          <w:color w:val="auto"/>
          <w:sz w:val="30"/>
          <w:szCs w:val="30"/>
          <w:highlight w:val="none"/>
        </w:rPr>
      </w:pPr>
    </w:p>
    <w:p w14:paraId="176E4B70">
      <w:pPr>
        <w:pStyle w:val="5"/>
        <w:rPr>
          <w:rFonts w:hint="eastAsia"/>
          <w:color w:val="auto"/>
          <w:highlight w:val="none"/>
        </w:rPr>
      </w:pPr>
    </w:p>
    <w:p w14:paraId="2E29F368">
      <w:pPr>
        <w:pStyle w:val="3"/>
        <w:kinsoku/>
        <w:overflowPunct/>
        <w:bidi w:val="0"/>
        <w:spacing w:line="400" w:lineRule="exact"/>
        <w:rPr>
          <w:rFonts w:hint="eastAsia" w:ascii="宋体" w:hAnsi="宋体" w:eastAsia="宋体" w:cs="宋体"/>
          <w:b/>
          <w:color w:val="auto"/>
          <w:sz w:val="30"/>
          <w:szCs w:val="30"/>
          <w:highlight w:val="none"/>
        </w:rPr>
      </w:pPr>
    </w:p>
    <w:p w14:paraId="52F58967">
      <w:pPr>
        <w:kinsoku/>
        <w:overflowPunct/>
        <w:bidi w:val="0"/>
        <w:spacing w:line="400" w:lineRule="exact"/>
        <w:rPr>
          <w:rFonts w:hint="eastAsia"/>
          <w:color w:val="auto"/>
          <w:highlight w:val="none"/>
        </w:rPr>
      </w:pPr>
    </w:p>
    <w:p w14:paraId="78AC1F07">
      <w:pPr>
        <w:pStyle w:val="5"/>
        <w:rPr>
          <w:rFonts w:hint="eastAsia"/>
          <w:color w:val="auto"/>
          <w:highlight w:val="none"/>
        </w:rPr>
      </w:pPr>
    </w:p>
    <w:p w14:paraId="0820C3B2">
      <w:pPr>
        <w:pStyle w:val="8"/>
        <w:ind w:left="0" w:leftChars="0" w:firstLine="0" w:firstLineChars="0"/>
        <w:rPr>
          <w:rFonts w:hint="eastAsia"/>
          <w:color w:val="auto"/>
          <w:highlight w:val="none"/>
        </w:rPr>
      </w:pPr>
    </w:p>
    <w:p w14:paraId="449EC81B">
      <w:pPr>
        <w:pStyle w:val="5"/>
        <w:kinsoku/>
        <w:overflowPunct/>
        <w:bidi w:val="0"/>
        <w:spacing w:after="0" w:line="400" w:lineRule="exact"/>
        <w:rPr>
          <w:rFonts w:hint="eastAsia" w:ascii="宋体" w:hAnsi="宋体" w:eastAsia="宋体" w:cs="宋体"/>
          <w:b/>
          <w:color w:val="auto"/>
          <w:sz w:val="30"/>
          <w:szCs w:val="30"/>
          <w:highlight w:val="none"/>
        </w:rPr>
      </w:pPr>
    </w:p>
    <w:p w14:paraId="6D0E71D2">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1B54F550">
      <w:pPr>
        <w:kinsoku/>
        <w:overflowPunct/>
        <w:bidi w:val="0"/>
        <w:spacing w:line="400" w:lineRule="exact"/>
        <w:rPr>
          <w:rFonts w:hint="eastAsia" w:ascii="宋体" w:hAnsi="宋体" w:eastAsia="宋体" w:cs="宋体"/>
          <w:color w:val="auto"/>
          <w:highlight w:val="none"/>
        </w:rPr>
      </w:pPr>
      <w:r>
        <w:rPr>
          <w:rFonts w:hint="eastAsia" w:ascii="宋体" w:hAnsi="宋体" w:eastAsia="宋体" w:cs="宋体"/>
          <w:b/>
          <w:color w:val="auto"/>
          <w:sz w:val="30"/>
          <w:szCs w:val="30"/>
          <w:highlight w:val="none"/>
        </w:rPr>
        <w:t>表1：强制性资格条件</w:t>
      </w:r>
    </w:p>
    <w:p w14:paraId="07BF3640">
      <w:pPr>
        <w:kinsoku/>
        <w:overflowPunct/>
        <w:bidi w:val="0"/>
        <w:spacing w:line="400" w:lineRule="exact"/>
        <w:jc w:val="center"/>
        <w:rPr>
          <w:rFonts w:hint="eastAsia" w:ascii="宋体" w:hAnsi="宋体" w:eastAsia="宋体" w:cs="宋体"/>
          <w:color w:val="auto"/>
          <w:kern w:val="0"/>
          <w:highlight w:val="none"/>
        </w:rPr>
      </w:pPr>
      <w:r>
        <w:rPr>
          <w:rFonts w:hint="eastAsia" w:ascii="宋体" w:hAnsi="宋体" w:eastAsia="宋体" w:cs="宋体"/>
          <w:b/>
          <w:color w:val="auto"/>
          <w:sz w:val="30"/>
          <w:szCs w:val="30"/>
          <w:highlight w:val="none"/>
        </w:rPr>
        <w:t>强制性资格条件表</w:t>
      </w:r>
    </w:p>
    <w:tbl>
      <w:tblPr>
        <w:tblStyle w:val="89"/>
        <w:tblW w:w="9887"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2614"/>
        <w:gridCol w:w="2175"/>
        <w:gridCol w:w="4360"/>
      </w:tblGrid>
      <w:tr w14:paraId="76CCF3A1">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PrEx>
        <w:trPr>
          <w:trHeight w:val="567" w:hRule="atLeast"/>
        </w:trPr>
        <w:tc>
          <w:tcPr>
            <w:tcW w:w="738" w:type="dxa"/>
            <w:vAlign w:val="center"/>
          </w:tcPr>
          <w:p w14:paraId="576FFE4D">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2614" w:type="dxa"/>
            <w:vAlign w:val="center"/>
          </w:tcPr>
          <w:p w14:paraId="1E28A4FA">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资格条件要求</w:t>
            </w:r>
          </w:p>
        </w:tc>
        <w:tc>
          <w:tcPr>
            <w:tcW w:w="6535" w:type="dxa"/>
            <w:gridSpan w:val="2"/>
            <w:vAlign w:val="center"/>
          </w:tcPr>
          <w:p w14:paraId="0A820884">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要求提供的证明材料</w:t>
            </w:r>
          </w:p>
        </w:tc>
      </w:tr>
      <w:tr w14:paraId="1BB7F23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44" w:hRule="atLeast"/>
        </w:trPr>
        <w:tc>
          <w:tcPr>
            <w:tcW w:w="738" w:type="dxa"/>
            <w:vAlign w:val="center"/>
          </w:tcPr>
          <w:p w14:paraId="5D7614EE">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p>
        </w:tc>
        <w:tc>
          <w:tcPr>
            <w:tcW w:w="2614" w:type="dxa"/>
            <w:vAlign w:val="center"/>
          </w:tcPr>
          <w:p w14:paraId="183D3148">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基本资格要求：</w:t>
            </w:r>
          </w:p>
        </w:tc>
        <w:tc>
          <w:tcPr>
            <w:tcW w:w="6535" w:type="dxa"/>
            <w:gridSpan w:val="2"/>
            <w:vAlign w:val="center"/>
          </w:tcPr>
          <w:p w14:paraId="16F569AA">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p>
        </w:tc>
      </w:tr>
      <w:tr w14:paraId="510AF02E">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827" w:hRule="atLeast"/>
        </w:trPr>
        <w:tc>
          <w:tcPr>
            <w:tcW w:w="738" w:type="dxa"/>
            <w:vAlign w:val="center"/>
          </w:tcPr>
          <w:p w14:paraId="567407DC">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w:t>
            </w:r>
          </w:p>
        </w:tc>
        <w:tc>
          <w:tcPr>
            <w:tcW w:w="2614" w:type="dxa"/>
            <w:vAlign w:val="center"/>
          </w:tcPr>
          <w:p w14:paraId="3576B9A2">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具有独立承担民事责任的能力</w:t>
            </w:r>
          </w:p>
        </w:tc>
        <w:tc>
          <w:tcPr>
            <w:tcW w:w="6535" w:type="dxa"/>
            <w:gridSpan w:val="2"/>
            <w:vAlign w:val="center"/>
          </w:tcPr>
          <w:p w14:paraId="190CC565">
            <w:pPr>
              <w:kinsoku/>
              <w:overflowPunct/>
              <w:bidi w:val="0"/>
              <w:spacing w:line="400" w:lineRule="exact"/>
              <w:rPr>
                <w:rFonts w:hint="eastAsia" w:ascii="宋体" w:hAnsi="宋体"/>
                <w:color w:val="auto"/>
                <w:sz w:val="21"/>
                <w:szCs w:val="21"/>
                <w:highlight w:val="none"/>
                <w:shd w:val="clear" w:color="auto" w:fill="auto"/>
                <w:lang w:val="zh-CN"/>
              </w:rPr>
            </w:pPr>
            <w:r>
              <w:rPr>
                <w:rFonts w:hint="eastAsia" w:ascii="宋体" w:hAnsi="宋体"/>
                <w:color w:val="auto"/>
                <w:sz w:val="21"/>
                <w:szCs w:val="21"/>
                <w:highlight w:val="none"/>
                <w:shd w:val="clear" w:color="auto" w:fill="auto"/>
                <w:lang w:val="zh-CN"/>
              </w:rPr>
              <w:t>营业执照(或事业法人登记证书或其它工商等登记证明材料；自然人参与政府采购，提供身份证)复印件、实施“五证合一、一照一码”登记制度改革的，只需提供改革后取得的营业执照复印件</w:t>
            </w:r>
          </w:p>
          <w:p w14:paraId="2AF1FA63">
            <w:pPr>
              <w:kinsoku/>
              <w:overflowPunct/>
              <w:bidi w:val="0"/>
              <w:spacing w:line="40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 xml:space="preserve">注：具体资格要求详见“第一部分 </w:t>
            </w:r>
            <w:r>
              <w:rPr>
                <w:rFonts w:hint="eastAsia" w:ascii="宋体" w:hAnsi="宋体" w:eastAsia="宋体" w:cs="宋体"/>
                <w:color w:val="auto"/>
                <w:sz w:val="21"/>
                <w:szCs w:val="21"/>
                <w:highlight w:val="none"/>
                <w:shd w:val="clear" w:color="auto" w:fill="auto"/>
                <w:lang w:val="en-US" w:eastAsia="zh-CN"/>
              </w:rPr>
              <w:t>招标</w:t>
            </w:r>
            <w:r>
              <w:rPr>
                <w:rFonts w:hint="eastAsia" w:ascii="宋体" w:hAnsi="宋体" w:eastAsia="宋体" w:cs="宋体"/>
                <w:color w:val="auto"/>
                <w:sz w:val="21"/>
                <w:szCs w:val="21"/>
                <w:highlight w:val="none"/>
                <w:shd w:val="clear" w:color="auto" w:fill="auto"/>
                <w:lang w:val="zh-CN"/>
              </w:rPr>
              <w:t>公告”中“二、申请人的资格要求”。</w:t>
            </w:r>
          </w:p>
        </w:tc>
      </w:tr>
      <w:tr w14:paraId="7E281ECE">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65" w:hRule="atLeast"/>
        </w:trPr>
        <w:tc>
          <w:tcPr>
            <w:tcW w:w="738" w:type="dxa"/>
            <w:vAlign w:val="center"/>
          </w:tcPr>
          <w:p w14:paraId="191D2C10">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1.2</w:t>
            </w:r>
          </w:p>
        </w:tc>
        <w:tc>
          <w:tcPr>
            <w:tcW w:w="2614" w:type="dxa"/>
            <w:vAlign w:val="center"/>
          </w:tcPr>
          <w:p w14:paraId="06903E83">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具有良好的商业信誉和健全的财务会计制度</w:t>
            </w:r>
          </w:p>
        </w:tc>
        <w:tc>
          <w:tcPr>
            <w:tcW w:w="6535" w:type="dxa"/>
            <w:gridSpan w:val="2"/>
            <w:vAlign w:val="center"/>
          </w:tcPr>
          <w:p w14:paraId="124FC763">
            <w:pPr>
              <w:rPr>
                <w:rFonts w:hint="eastAsia" w:ascii="宋体" w:hAnsi="宋体" w:eastAsia="宋体" w:cs="宋体"/>
                <w:color w:val="auto"/>
                <w:sz w:val="21"/>
                <w:szCs w:val="21"/>
                <w:highlight w:val="none"/>
                <w:shd w:val="clear" w:color="auto" w:fill="auto"/>
              </w:rPr>
            </w:pPr>
            <w:r>
              <w:rPr>
                <w:rFonts w:hint="eastAsia" w:ascii="宋体" w:hAnsi="宋体"/>
                <w:color w:val="auto"/>
                <w:sz w:val="21"/>
                <w:szCs w:val="21"/>
                <w:highlight w:val="none"/>
                <w:shd w:val="clear" w:color="auto" w:fill="auto"/>
                <w:lang w:val="zh-CN"/>
              </w:rPr>
              <w:t>具有良好的商业信誉和健全的财务会计制度声明函，</w:t>
            </w:r>
            <w:r>
              <w:rPr>
                <w:rFonts w:hint="eastAsia" w:ascii="宋体" w:hAnsi="宋体"/>
                <w:color w:val="auto"/>
                <w:sz w:val="21"/>
                <w:szCs w:val="21"/>
                <w:highlight w:val="none"/>
                <w:shd w:val="clear" w:color="auto" w:fill="auto"/>
              </w:rPr>
              <w:t>详见表2。</w:t>
            </w:r>
          </w:p>
        </w:tc>
      </w:tr>
      <w:tr w14:paraId="24379BE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7" w:hRule="atLeast"/>
        </w:trPr>
        <w:tc>
          <w:tcPr>
            <w:tcW w:w="738" w:type="dxa"/>
            <w:vAlign w:val="center"/>
          </w:tcPr>
          <w:p w14:paraId="4D5A20D9">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1.3</w:t>
            </w:r>
          </w:p>
        </w:tc>
        <w:tc>
          <w:tcPr>
            <w:tcW w:w="2614" w:type="dxa"/>
            <w:vAlign w:val="center"/>
          </w:tcPr>
          <w:p w14:paraId="6485B7D4">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具有履行合同所必需的设备和专业技术能力</w:t>
            </w:r>
          </w:p>
        </w:tc>
        <w:tc>
          <w:tcPr>
            <w:tcW w:w="6535" w:type="dxa"/>
            <w:gridSpan w:val="2"/>
            <w:vAlign w:val="center"/>
          </w:tcPr>
          <w:p w14:paraId="309881BC">
            <w:pPr>
              <w:rPr>
                <w:rFonts w:hint="eastAsia" w:ascii="宋体" w:hAnsi="宋体" w:eastAsia="宋体" w:cs="宋体"/>
                <w:color w:val="auto"/>
                <w:sz w:val="21"/>
                <w:szCs w:val="21"/>
                <w:highlight w:val="none"/>
                <w:shd w:val="clear" w:color="auto" w:fill="auto"/>
                <w:lang w:val="zh-CN"/>
              </w:rPr>
            </w:pPr>
            <w:r>
              <w:rPr>
                <w:rFonts w:hint="eastAsia" w:ascii="宋体" w:hAnsi="宋体"/>
                <w:color w:val="auto"/>
                <w:sz w:val="21"/>
                <w:szCs w:val="21"/>
                <w:highlight w:val="none"/>
                <w:shd w:val="clear" w:color="auto" w:fill="auto"/>
                <w:lang w:val="zh-CN"/>
              </w:rPr>
              <w:t>具有履行合同所必需的设备和专业技术能力的声明函，</w:t>
            </w:r>
            <w:r>
              <w:rPr>
                <w:rFonts w:hint="eastAsia" w:ascii="宋体" w:hAnsi="宋体"/>
                <w:color w:val="auto"/>
                <w:sz w:val="21"/>
                <w:szCs w:val="21"/>
                <w:highlight w:val="none"/>
                <w:shd w:val="clear" w:color="auto" w:fill="auto"/>
              </w:rPr>
              <w:t>详见表</w:t>
            </w:r>
            <w:r>
              <w:rPr>
                <w:rFonts w:hint="eastAsia" w:ascii="宋体" w:hAnsi="宋体"/>
                <w:color w:val="auto"/>
                <w:sz w:val="21"/>
                <w:szCs w:val="21"/>
                <w:highlight w:val="none"/>
                <w:shd w:val="clear" w:color="auto" w:fill="auto"/>
                <w:lang w:val="en-US" w:eastAsia="zh-CN"/>
              </w:rPr>
              <w:t>3</w:t>
            </w:r>
            <w:r>
              <w:rPr>
                <w:rFonts w:hint="eastAsia" w:ascii="宋体" w:hAnsi="宋体"/>
                <w:color w:val="auto"/>
                <w:sz w:val="21"/>
                <w:szCs w:val="21"/>
                <w:highlight w:val="none"/>
                <w:shd w:val="clear" w:color="auto" w:fill="auto"/>
              </w:rPr>
              <w:t>。</w:t>
            </w:r>
          </w:p>
        </w:tc>
      </w:tr>
      <w:tr w14:paraId="6E6FF121">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738" w:type="dxa"/>
            <w:vAlign w:val="center"/>
          </w:tcPr>
          <w:p w14:paraId="40C4F90B">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1.4</w:t>
            </w:r>
          </w:p>
        </w:tc>
        <w:tc>
          <w:tcPr>
            <w:tcW w:w="2614" w:type="dxa"/>
            <w:vAlign w:val="center"/>
          </w:tcPr>
          <w:p w14:paraId="08CD7FD8">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有依法缴纳税收和社会保障资金的良好记录</w:t>
            </w:r>
          </w:p>
        </w:tc>
        <w:tc>
          <w:tcPr>
            <w:tcW w:w="6535" w:type="dxa"/>
            <w:gridSpan w:val="2"/>
            <w:vAlign w:val="center"/>
          </w:tcPr>
          <w:p w14:paraId="4DF62870">
            <w:pPr>
              <w:rPr>
                <w:rFonts w:hint="eastAsia" w:ascii="宋体" w:hAnsi="宋体" w:eastAsia="宋体" w:cs="宋体"/>
                <w:color w:val="auto"/>
                <w:sz w:val="21"/>
                <w:szCs w:val="21"/>
                <w:highlight w:val="none"/>
                <w:shd w:val="clear" w:color="auto" w:fill="auto"/>
                <w:lang w:val="zh-CN"/>
              </w:rPr>
            </w:pPr>
            <w:r>
              <w:rPr>
                <w:rFonts w:hint="eastAsia" w:ascii="宋体" w:hAnsi="宋体"/>
                <w:color w:val="auto"/>
                <w:sz w:val="21"/>
                <w:szCs w:val="21"/>
                <w:highlight w:val="none"/>
                <w:shd w:val="clear" w:color="auto" w:fill="auto"/>
                <w:lang w:val="zh-CN"/>
              </w:rPr>
              <w:t>依法缴纳税收和社会保障资金的声明</w:t>
            </w:r>
            <w:r>
              <w:rPr>
                <w:rFonts w:hint="eastAsia" w:ascii="宋体" w:hAnsi="宋体"/>
                <w:color w:val="auto"/>
                <w:sz w:val="21"/>
                <w:szCs w:val="21"/>
                <w:highlight w:val="none"/>
                <w:shd w:val="clear" w:color="auto" w:fill="auto"/>
                <w:lang w:val="en-US" w:eastAsia="zh-CN"/>
              </w:rPr>
              <w:t>函</w:t>
            </w:r>
            <w:r>
              <w:rPr>
                <w:rFonts w:hint="eastAsia" w:ascii="宋体" w:hAnsi="宋体"/>
                <w:color w:val="auto"/>
                <w:sz w:val="21"/>
                <w:szCs w:val="21"/>
                <w:highlight w:val="none"/>
                <w:shd w:val="clear" w:color="auto" w:fill="auto"/>
                <w:lang w:val="zh-CN"/>
              </w:rPr>
              <w:t>，</w:t>
            </w:r>
            <w:r>
              <w:rPr>
                <w:rFonts w:hint="eastAsia" w:ascii="宋体" w:hAnsi="宋体"/>
                <w:color w:val="auto"/>
                <w:sz w:val="21"/>
                <w:szCs w:val="21"/>
                <w:highlight w:val="none"/>
                <w:shd w:val="clear" w:color="auto" w:fill="auto"/>
              </w:rPr>
              <w:t>详见表</w:t>
            </w:r>
            <w:r>
              <w:rPr>
                <w:rFonts w:hint="eastAsia" w:ascii="宋体" w:hAnsi="宋体"/>
                <w:color w:val="auto"/>
                <w:sz w:val="21"/>
                <w:szCs w:val="21"/>
                <w:highlight w:val="none"/>
                <w:shd w:val="clear" w:color="auto" w:fill="auto"/>
                <w:lang w:val="en-US" w:eastAsia="zh-CN"/>
              </w:rPr>
              <w:t>4</w:t>
            </w:r>
            <w:r>
              <w:rPr>
                <w:rFonts w:hint="eastAsia" w:ascii="宋体" w:hAnsi="宋体"/>
                <w:color w:val="auto"/>
                <w:sz w:val="21"/>
                <w:szCs w:val="21"/>
                <w:highlight w:val="none"/>
                <w:shd w:val="clear" w:color="auto" w:fill="auto"/>
              </w:rPr>
              <w:t>。</w:t>
            </w:r>
          </w:p>
        </w:tc>
      </w:tr>
      <w:tr w14:paraId="45120A8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79" w:hRule="atLeast"/>
        </w:trPr>
        <w:tc>
          <w:tcPr>
            <w:tcW w:w="738" w:type="dxa"/>
            <w:vAlign w:val="center"/>
          </w:tcPr>
          <w:p w14:paraId="177B9A6B">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1.5</w:t>
            </w:r>
          </w:p>
        </w:tc>
        <w:tc>
          <w:tcPr>
            <w:tcW w:w="4789" w:type="dxa"/>
            <w:gridSpan w:val="2"/>
            <w:vAlign w:val="center"/>
          </w:tcPr>
          <w:p w14:paraId="4AB09CC0">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参加政府采购活动前三年内（新成立不满三年的公司自成立之日起算）在经营活动中没有重大违法记录</w:t>
            </w:r>
          </w:p>
        </w:tc>
        <w:tc>
          <w:tcPr>
            <w:tcW w:w="4360" w:type="dxa"/>
            <w:vAlign w:val="center"/>
          </w:tcPr>
          <w:p w14:paraId="179949BD">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没有重大违法记录承诺函，详见表</w:t>
            </w:r>
            <w:r>
              <w:rPr>
                <w:rFonts w:hint="eastAsia" w:ascii="宋体" w:hAnsi="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w:t>
            </w:r>
          </w:p>
        </w:tc>
      </w:tr>
      <w:tr w14:paraId="3F7244D7">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130" w:hRule="atLeast"/>
        </w:trPr>
        <w:tc>
          <w:tcPr>
            <w:tcW w:w="738" w:type="dxa"/>
            <w:vAlign w:val="center"/>
          </w:tcPr>
          <w:p w14:paraId="4D00C65D">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1.6</w:t>
            </w:r>
          </w:p>
        </w:tc>
        <w:tc>
          <w:tcPr>
            <w:tcW w:w="4789" w:type="dxa"/>
            <w:gridSpan w:val="2"/>
            <w:vAlign w:val="center"/>
          </w:tcPr>
          <w:p w14:paraId="22129280">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投标</w:t>
            </w:r>
            <w:r>
              <w:rPr>
                <w:rFonts w:hint="eastAsia" w:ascii="宋体" w:hAnsi="宋体" w:eastAsia="宋体" w:cs="宋体"/>
                <w:color w:val="auto"/>
                <w:sz w:val="21"/>
                <w:szCs w:val="21"/>
                <w:highlight w:val="none"/>
                <w:shd w:val="clear" w:color="auto" w:fill="auto"/>
              </w:rPr>
              <w:t>截止前未被“信用中国”网站(www.creditchina.gov.cn)列入失信被执行人、重大税收违法案件当事人名单、政府采购不良行为记录名单；未被“中国政府采购网”(www.ccgp.gov.cn)列入政府采购严重违法失信行为记录名单。</w:t>
            </w:r>
          </w:p>
        </w:tc>
        <w:tc>
          <w:tcPr>
            <w:tcW w:w="4360" w:type="dxa"/>
            <w:vAlign w:val="center"/>
          </w:tcPr>
          <w:p w14:paraId="7EE2FAC6">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bidi="ar"/>
              </w:rPr>
              <w:t>无违法失信的声明函，</w:t>
            </w:r>
            <w:r>
              <w:rPr>
                <w:rFonts w:hint="eastAsia" w:ascii="宋体" w:hAnsi="宋体" w:eastAsia="宋体" w:cs="宋体"/>
                <w:color w:val="auto"/>
                <w:sz w:val="21"/>
                <w:szCs w:val="21"/>
                <w:highlight w:val="none"/>
                <w:shd w:val="clear" w:color="auto" w:fill="auto"/>
              </w:rPr>
              <w:t>详见表</w:t>
            </w:r>
            <w:r>
              <w:rPr>
                <w:rFonts w:hint="eastAsia" w:ascii="宋体" w:hAnsi="宋体" w:cs="宋体"/>
                <w:color w:val="auto"/>
                <w:sz w:val="21"/>
                <w:szCs w:val="21"/>
                <w:highlight w:val="none"/>
                <w:shd w:val="clear" w:color="auto" w:fill="auto"/>
                <w:lang w:val="en-US" w:eastAsia="zh-CN"/>
              </w:rPr>
              <w:t>6。</w:t>
            </w:r>
          </w:p>
          <w:p w14:paraId="5748C46C">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p>
        </w:tc>
      </w:tr>
      <w:tr w14:paraId="2602A54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14:paraId="4CB3B625">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w:t>
            </w:r>
          </w:p>
        </w:tc>
        <w:tc>
          <w:tcPr>
            <w:tcW w:w="4789" w:type="dxa"/>
            <w:gridSpan w:val="2"/>
            <w:vAlign w:val="center"/>
          </w:tcPr>
          <w:p w14:paraId="0090113B">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特定资格要求：</w:t>
            </w:r>
          </w:p>
        </w:tc>
        <w:tc>
          <w:tcPr>
            <w:tcW w:w="4360" w:type="dxa"/>
            <w:vAlign w:val="center"/>
          </w:tcPr>
          <w:p w14:paraId="17A8D205">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p>
        </w:tc>
      </w:tr>
      <w:tr w14:paraId="6AEC13D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14:paraId="1E00158E">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2.1</w:t>
            </w:r>
          </w:p>
        </w:tc>
        <w:tc>
          <w:tcPr>
            <w:tcW w:w="4789" w:type="dxa"/>
            <w:gridSpan w:val="2"/>
            <w:vAlign w:val="center"/>
          </w:tcPr>
          <w:p w14:paraId="1BE9569F">
            <w:pPr>
              <w:kinsoku/>
              <w:overflowPunct/>
              <w:bidi w:val="0"/>
              <w:spacing w:line="400" w:lineRule="exact"/>
              <w:jc w:val="lef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4"/>
                <w:highlight w:val="none"/>
                <w:lang w:val="zh-CN"/>
              </w:rPr>
              <w:t>本项目属于专门面向中小微企业采购的项目,</w:t>
            </w:r>
            <w:r>
              <w:rPr>
                <w:rFonts w:hint="eastAsia" w:ascii="宋体" w:hAnsi="宋体" w:cs="宋体"/>
                <w:color w:val="auto"/>
                <w:sz w:val="21"/>
                <w:szCs w:val="24"/>
                <w:highlight w:val="none"/>
                <w:lang w:val="zh-CN"/>
              </w:rPr>
              <w:t>投标人</w:t>
            </w:r>
            <w:r>
              <w:rPr>
                <w:rFonts w:hint="eastAsia" w:ascii="宋体" w:hAnsi="宋体" w:eastAsia="宋体" w:cs="宋体"/>
                <w:color w:val="auto"/>
                <w:sz w:val="21"/>
                <w:szCs w:val="24"/>
                <w:highlight w:val="none"/>
                <w:lang w:val="zh-CN"/>
              </w:rPr>
              <w:t>应为中小微企业或监狱企业或残疾人福利性单位</w:t>
            </w:r>
          </w:p>
        </w:tc>
        <w:tc>
          <w:tcPr>
            <w:tcW w:w="4360" w:type="dxa"/>
            <w:vAlign w:val="center"/>
          </w:tcPr>
          <w:p w14:paraId="5A1F14DB">
            <w:pPr>
              <w:kinsoku/>
              <w:overflowPunct/>
              <w:bidi w:val="0"/>
              <w:spacing w:line="400" w:lineRule="exac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《中小企业声明函》</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《残疾人福利性单位声明函》</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《监狱企业声明函》</w:t>
            </w:r>
            <w:r>
              <w:rPr>
                <w:rFonts w:hint="eastAsia" w:ascii="宋体" w:hAnsi="宋体" w:eastAsia="宋体" w:cs="宋体"/>
                <w:color w:val="auto"/>
                <w:sz w:val="21"/>
                <w:szCs w:val="21"/>
                <w:highlight w:val="none"/>
                <w:lang w:eastAsia="zh-CN"/>
              </w:rPr>
              <w:t>。详见表</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p>
        </w:tc>
      </w:tr>
      <w:tr w14:paraId="7A583C38">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14:paraId="28758463">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cs="宋体"/>
                <w:color w:val="auto"/>
                <w:sz w:val="21"/>
                <w:szCs w:val="21"/>
                <w:highlight w:val="none"/>
                <w:shd w:val="clear" w:color="auto" w:fill="auto"/>
                <w:lang w:val="en-US" w:eastAsia="zh-CN"/>
              </w:rPr>
              <w:t>.2</w:t>
            </w:r>
          </w:p>
        </w:tc>
        <w:tc>
          <w:tcPr>
            <w:tcW w:w="4789" w:type="dxa"/>
            <w:gridSpan w:val="2"/>
            <w:vAlign w:val="center"/>
          </w:tcPr>
          <w:p w14:paraId="28017397">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单位负责人为同一人或者存在直接控股、管理关系的不同投标人，不得参加同一合同项下的政府采购活动</w:t>
            </w:r>
          </w:p>
        </w:tc>
        <w:tc>
          <w:tcPr>
            <w:tcW w:w="4360" w:type="dxa"/>
            <w:vAlign w:val="center"/>
          </w:tcPr>
          <w:p w14:paraId="03B0837A">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与其他</w:t>
            </w:r>
            <w:r>
              <w:rPr>
                <w:rFonts w:hint="eastAsia" w:ascii="宋体" w:hAnsi="宋体" w:cs="宋体"/>
                <w:color w:val="auto"/>
                <w:sz w:val="21"/>
                <w:szCs w:val="21"/>
                <w:highlight w:val="none"/>
                <w:shd w:val="clear" w:color="auto" w:fill="auto"/>
                <w:lang w:eastAsia="zh-CN"/>
              </w:rPr>
              <w:t>投标人</w:t>
            </w:r>
            <w:r>
              <w:rPr>
                <w:rFonts w:hint="eastAsia" w:ascii="宋体" w:hAnsi="宋体" w:eastAsia="宋体" w:cs="宋体"/>
                <w:color w:val="auto"/>
                <w:sz w:val="21"/>
                <w:szCs w:val="21"/>
                <w:highlight w:val="none"/>
                <w:shd w:val="clear" w:color="auto" w:fill="auto"/>
              </w:rPr>
              <w:t>无利害关系的声明函，详见表</w:t>
            </w:r>
            <w:r>
              <w:rPr>
                <w:rFonts w:hint="eastAsia" w:ascii="宋体" w:hAnsi="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w:t>
            </w:r>
          </w:p>
        </w:tc>
      </w:tr>
      <w:tr w14:paraId="498609F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14:paraId="46203E54">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cs="宋体"/>
                <w:color w:val="auto"/>
                <w:sz w:val="21"/>
                <w:szCs w:val="21"/>
                <w:highlight w:val="none"/>
                <w:shd w:val="clear" w:color="auto" w:fill="auto"/>
                <w:lang w:val="en-US" w:eastAsia="zh-CN"/>
              </w:rPr>
              <w:t>3</w:t>
            </w:r>
          </w:p>
        </w:tc>
        <w:tc>
          <w:tcPr>
            <w:tcW w:w="4789" w:type="dxa"/>
            <w:gridSpan w:val="2"/>
            <w:vAlign w:val="center"/>
          </w:tcPr>
          <w:p w14:paraId="63CE0A92">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非联合体。</w:t>
            </w:r>
          </w:p>
        </w:tc>
        <w:tc>
          <w:tcPr>
            <w:tcW w:w="4360" w:type="dxa"/>
            <w:vAlign w:val="center"/>
          </w:tcPr>
          <w:p w14:paraId="623CB60F">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非联合体的声明函，</w:t>
            </w:r>
            <w:r>
              <w:rPr>
                <w:rFonts w:hint="eastAsia" w:ascii="宋体" w:hAnsi="宋体" w:eastAsia="宋体" w:cs="宋体"/>
                <w:color w:val="auto"/>
                <w:sz w:val="21"/>
                <w:szCs w:val="21"/>
                <w:highlight w:val="none"/>
                <w:shd w:val="clear" w:color="auto" w:fill="auto"/>
              </w:rPr>
              <w:t>详见表</w:t>
            </w:r>
            <w:r>
              <w:rPr>
                <w:rFonts w:hint="eastAsia" w:ascii="宋体" w:hAnsi="宋体" w:cs="宋体"/>
                <w:color w:val="auto"/>
                <w:sz w:val="21"/>
                <w:szCs w:val="21"/>
                <w:highlight w:val="none"/>
                <w:shd w:val="clear" w:color="auto" w:fill="auto"/>
                <w:lang w:val="en-US" w:eastAsia="zh-CN"/>
              </w:rPr>
              <w:t>9</w:t>
            </w:r>
            <w:r>
              <w:rPr>
                <w:rFonts w:hint="eastAsia" w:ascii="宋体" w:hAnsi="宋体" w:eastAsia="宋体" w:cs="宋体"/>
                <w:color w:val="auto"/>
                <w:kern w:val="0"/>
                <w:sz w:val="21"/>
                <w:szCs w:val="21"/>
                <w:highlight w:val="none"/>
                <w:shd w:val="clear" w:color="auto" w:fill="auto"/>
              </w:rPr>
              <w:t>。</w:t>
            </w:r>
          </w:p>
        </w:tc>
      </w:tr>
    </w:tbl>
    <w:p w14:paraId="38404D6B">
      <w:pPr>
        <w:pStyle w:val="5"/>
        <w:spacing w:before="66"/>
        <w:rPr>
          <w:rFonts w:hint="eastAsia" w:ascii="宋体" w:hAnsi="宋体" w:eastAsia="宋体" w:cs="宋体"/>
          <w:color w:val="auto"/>
          <w:sz w:val="24"/>
          <w:highlight w:val="none"/>
          <w:shd w:val="clear" w:color="auto" w:fill="auto"/>
        </w:rPr>
      </w:pPr>
    </w:p>
    <w:p w14:paraId="5FFB3D5E">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br w:type="page"/>
      </w:r>
    </w:p>
    <w:p w14:paraId="3680D7B0">
      <w:pPr>
        <w:pStyle w:val="5"/>
        <w:spacing w:before="6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14:paraId="3F61555E">
      <w:pPr>
        <w:pStyle w:val="87"/>
        <w:rPr>
          <w:rFonts w:hint="eastAsia"/>
          <w:color w:val="auto"/>
          <w:highlight w:val="none"/>
          <w:shd w:val="clear" w:color="auto" w:fill="auto"/>
        </w:rPr>
      </w:pPr>
    </w:p>
    <w:p w14:paraId="14C2517B">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具有良好的商业信誉和健全的财务会计制度声明函</w:t>
      </w:r>
    </w:p>
    <w:p w14:paraId="40CDE4C1">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auto"/>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u w:val="single"/>
          <w:shd w:val="clear" w:color="auto" w:fill="auto"/>
          <w:lang w:eastAsia="zh-CN"/>
        </w:rPr>
        <w:t>衢州智造新城管理委员会</w:t>
      </w:r>
      <w:r>
        <w:rPr>
          <w:rFonts w:hint="eastAsia" w:ascii="宋体" w:hAnsi="宋体" w:cs="宋体"/>
          <w:color w:val="auto"/>
          <w:kern w:val="0"/>
          <w:sz w:val="24"/>
          <w:highlight w:val="none"/>
          <w:shd w:val="clear" w:color="auto" w:fill="auto"/>
        </w:rPr>
        <w:t>：</w:t>
      </w:r>
    </w:p>
    <w:p w14:paraId="22A10578">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（投标人）   </w:t>
      </w:r>
      <w:r>
        <w:rPr>
          <w:rFonts w:hint="eastAsia" w:ascii="宋体" w:hAnsi="宋体" w:cs="宋体"/>
          <w:color w:val="auto"/>
          <w:kern w:val="0"/>
          <w:sz w:val="24"/>
          <w:highlight w:val="none"/>
          <w:u w:val="single"/>
          <w:shd w:val="clear" w:color="auto" w:fill="auto"/>
        </w:rPr>
        <w:t xml:space="preserve">         </w:t>
      </w:r>
      <w:r>
        <w:rPr>
          <w:rFonts w:hint="eastAsia" w:ascii="宋体" w:hAnsi="宋体" w:eastAsia="宋体" w:cs="宋体"/>
          <w:color w:val="auto"/>
          <w:spacing w:val="-4"/>
          <w:sz w:val="24"/>
          <w:szCs w:val="24"/>
          <w:highlight w:val="none"/>
          <w:shd w:val="clear" w:color="auto" w:fill="auto"/>
        </w:rPr>
        <w:t>具有良好的商业</w:t>
      </w:r>
      <w:r>
        <w:rPr>
          <w:rFonts w:hint="eastAsia" w:ascii="宋体" w:hAnsi="宋体" w:eastAsia="宋体" w:cs="宋体"/>
          <w:color w:val="auto"/>
          <w:spacing w:val="-7"/>
          <w:sz w:val="24"/>
          <w:szCs w:val="24"/>
          <w:highlight w:val="none"/>
          <w:shd w:val="clear" w:color="auto" w:fill="auto"/>
        </w:rPr>
        <w:t>信誉和健全的财务会计制度，我方对上述声明的真实性负责。如有虚假，采购人可取消我方任何资格（投标/中标/签订合同），我方对此无任何异议</w:t>
      </w:r>
      <w:r>
        <w:rPr>
          <w:rFonts w:hint="eastAsia" w:ascii="宋体" w:hAnsi="宋体" w:cs="宋体"/>
          <w:color w:val="auto"/>
          <w:kern w:val="0"/>
          <w:sz w:val="24"/>
          <w:highlight w:val="none"/>
          <w:shd w:val="clear" w:color="auto" w:fill="auto"/>
        </w:rPr>
        <w:t>。</w:t>
      </w:r>
    </w:p>
    <w:p w14:paraId="7A867633">
      <w:pPr>
        <w:widowControl/>
        <w:adjustRightInd w:val="0"/>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14:paraId="76FF3C20">
      <w:pPr>
        <w:pStyle w:val="88"/>
        <w:rPr>
          <w:rFonts w:hint="eastAsia" w:ascii="宋体" w:hAnsi="宋体" w:cs="宋体"/>
          <w:color w:val="auto"/>
          <w:kern w:val="0"/>
          <w:sz w:val="24"/>
          <w:highlight w:val="none"/>
          <w:shd w:val="clear" w:color="auto" w:fill="auto"/>
        </w:rPr>
      </w:pPr>
    </w:p>
    <w:p w14:paraId="51AFAFFF">
      <w:pPr>
        <w:adjustRightInd w:val="0"/>
        <w:snapToGrid w:val="0"/>
        <w:spacing w:line="360" w:lineRule="auto"/>
        <w:rPr>
          <w:rFonts w:hint="eastAsia" w:ascii="宋体" w:hAnsi="宋体" w:cs="宋体"/>
          <w:color w:val="auto"/>
          <w:kern w:val="0"/>
          <w:sz w:val="24"/>
          <w:highlight w:val="none"/>
          <w:shd w:val="clear" w:color="auto" w:fill="auto"/>
          <w:lang w:val="zh-CN"/>
        </w:rPr>
      </w:pPr>
    </w:p>
    <w:p w14:paraId="7352829F">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14:paraId="594EC5AD">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14:paraId="0A53C128">
      <w:pPr>
        <w:adjustRightInd w:val="0"/>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14:paraId="2F7F70AB">
      <w:pPr>
        <w:kinsoku/>
        <w:overflowPunct/>
        <w:bidi w:val="0"/>
        <w:spacing w:line="400" w:lineRule="exact"/>
        <w:rPr>
          <w:rFonts w:hint="eastAsia" w:ascii="宋体" w:hAnsi="宋体" w:cs="宋体"/>
          <w:color w:val="auto"/>
          <w:sz w:val="24"/>
          <w:highlight w:val="none"/>
          <w:shd w:val="clear" w:color="auto" w:fill="auto"/>
          <w:lang w:eastAsia="zh-CN"/>
        </w:rPr>
      </w:pPr>
    </w:p>
    <w:p w14:paraId="13EC6309">
      <w:pPr>
        <w:pStyle w:val="88"/>
        <w:ind w:left="0" w:leftChars="0" w:firstLine="0" w:firstLineChars="0"/>
        <w:jc w:val="left"/>
        <w:rPr>
          <w:rFonts w:hint="eastAsia" w:ascii="宋体" w:hAnsi="宋体" w:cs="宋体"/>
          <w:color w:val="auto"/>
          <w:sz w:val="24"/>
          <w:highlight w:val="none"/>
          <w:shd w:val="clear" w:color="auto" w:fill="auto"/>
          <w:lang w:eastAsia="zh-CN"/>
        </w:rPr>
      </w:pPr>
    </w:p>
    <w:p w14:paraId="2AFA0FD9">
      <w:pPr>
        <w:pStyle w:val="88"/>
        <w:ind w:left="0" w:leftChars="0" w:firstLine="0" w:firstLineChars="0"/>
        <w:rPr>
          <w:rFonts w:hint="eastAsia"/>
          <w:color w:val="auto"/>
          <w:highlight w:val="none"/>
          <w:shd w:val="clear" w:color="auto" w:fill="auto"/>
          <w:lang w:eastAsia="zh-CN"/>
        </w:rPr>
      </w:pPr>
    </w:p>
    <w:p w14:paraId="7233BF17">
      <w:pPr>
        <w:kinsoku/>
        <w:overflowPunct/>
        <w:bidi w:val="0"/>
        <w:spacing w:line="400" w:lineRule="exact"/>
        <w:rPr>
          <w:rFonts w:hint="eastAsia" w:ascii="宋体" w:hAnsi="宋体" w:cs="宋体"/>
          <w:color w:val="auto"/>
          <w:sz w:val="24"/>
          <w:highlight w:val="none"/>
          <w:shd w:val="clear" w:color="auto" w:fill="auto"/>
          <w:lang w:eastAsia="zh-CN"/>
        </w:rPr>
      </w:pPr>
    </w:p>
    <w:p w14:paraId="1100187E">
      <w:pPr>
        <w:kinsoku/>
        <w:overflowPunct/>
        <w:bidi w:val="0"/>
        <w:spacing w:line="400" w:lineRule="exact"/>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14:paraId="1BFBC164">
      <w:pPr>
        <w:kinsoku/>
        <w:overflowPunct/>
        <w:bidi w:val="0"/>
        <w:adjustRightInd w:val="0"/>
        <w:snapToGrid w:val="0"/>
        <w:spacing w:line="400" w:lineRule="exact"/>
        <w:rPr>
          <w:rFonts w:hint="eastAsia" w:ascii="宋体" w:hAnsi="宋体" w:eastAsia="宋体" w:cs="宋体"/>
          <w:b/>
          <w:bCs/>
          <w:color w:val="auto"/>
          <w:sz w:val="24"/>
          <w:szCs w:val="24"/>
          <w:highlight w:val="none"/>
          <w:shd w:val="clear" w:color="auto" w:fill="auto"/>
        </w:rPr>
      </w:pPr>
    </w:p>
    <w:p w14:paraId="4FFAF7AB">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具有履行合同所必需的专业服务（技术）能力的承诺函</w:t>
      </w:r>
    </w:p>
    <w:p w14:paraId="47350A00">
      <w:pPr>
        <w:kinsoku/>
        <w:overflowPunct/>
        <w:bidi w:val="0"/>
        <w:spacing w:line="400" w:lineRule="exact"/>
        <w:rPr>
          <w:rFonts w:hint="eastAsia" w:ascii="宋体" w:hAnsi="宋体" w:eastAsia="宋体" w:cs="宋体"/>
          <w:color w:val="auto"/>
          <w:highlight w:val="none"/>
          <w:shd w:val="clear" w:color="auto" w:fill="auto"/>
        </w:rPr>
      </w:pPr>
    </w:p>
    <w:p w14:paraId="23985484">
      <w:pPr>
        <w:widowControl/>
        <w:kinsoku/>
        <w:overflowPunct/>
        <w:bidi w:val="0"/>
        <w:adjustRightInd w:val="0"/>
        <w:snapToGrid w:val="0"/>
        <w:spacing w:line="400" w:lineRule="exact"/>
        <w:jc w:val="left"/>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u w:val="single"/>
          <w:shd w:val="clear" w:color="auto" w:fill="auto"/>
          <w:lang w:eastAsia="zh-CN"/>
        </w:rPr>
        <w:t>衢州智造新城管理委员会</w:t>
      </w:r>
      <w:r>
        <w:rPr>
          <w:rFonts w:hint="eastAsia" w:ascii="宋体" w:hAnsi="宋体" w:eastAsia="宋体" w:cs="宋体"/>
          <w:color w:val="auto"/>
          <w:kern w:val="0"/>
          <w:sz w:val="24"/>
          <w:highlight w:val="none"/>
          <w:shd w:val="clear" w:color="auto" w:fill="auto"/>
        </w:rPr>
        <w:t>：</w:t>
      </w:r>
    </w:p>
    <w:p w14:paraId="4CE7961A">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（投标人）          </w:t>
      </w:r>
      <w:r>
        <w:rPr>
          <w:rFonts w:hint="eastAsia" w:ascii="宋体" w:hAnsi="宋体" w:eastAsia="宋体" w:cs="宋体"/>
          <w:color w:val="auto"/>
          <w:kern w:val="0"/>
          <w:sz w:val="24"/>
          <w:highlight w:val="none"/>
          <w:shd w:val="clear" w:color="auto" w:fill="auto"/>
        </w:rPr>
        <w:t>承诺具有履行合同所必需的专业服务（技术）能力。如有虚假，采购人可取消我方任何资格（投标/中标/签订合同），我方对此无任何异议。</w:t>
      </w:r>
    </w:p>
    <w:p w14:paraId="6F7CDE97">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14:paraId="48542ADD">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p>
    <w:p w14:paraId="6A8CF65F">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14:paraId="40593493">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14:paraId="0C0DA67B">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cs="宋体"/>
          <w:color w:val="auto"/>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rPr>
        <w:t>年  月  日</w:t>
      </w:r>
    </w:p>
    <w:p w14:paraId="4E7F0DA8">
      <w:pPr>
        <w:kinsoku/>
        <w:overflowPunct/>
        <w:bidi w:val="0"/>
        <w:spacing w:line="400" w:lineRule="exact"/>
        <w:rPr>
          <w:rFonts w:hint="eastAsia" w:ascii="宋体" w:hAnsi="宋体" w:eastAsia="宋体" w:cs="宋体"/>
          <w:color w:val="auto"/>
          <w:sz w:val="24"/>
          <w:highlight w:val="none"/>
          <w:shd w:val="clear" w:color="auto" w:fill="auto"/>
        </w:rPr>
      </w:pPr>
    </w:p>
    <w:p w14:paraId="38BAB7BD">
      <w:pPr>
        <w:pStyle w:val="87"/>
        <w:rPr>
          <w:rFonts w:hint="eastAsia"/>
          <w:color w:val="auto"/>
          <w:highlight w:val="none"/>
        </w:rPr>
      </w:pPr>
    </w:p>
    <w:p w14:paraId="2BC069DE">
      <w:pPr>
        <w:pStyle w:val="69"/>
        <w:rPr>
          <w:rFonts w:hint="eastAsia"/>
          <w:color w:val="auto"/>
          <w:highlight w:val="none"/>
        </w:rPr>
      </w:pPr>
    </w:p>
    <w:p w14:paraId="5EA23B0E">
      <w:pPr>
        <w:rPr>
          <w:rFonts w:hint="eastAsia"/>
          <w:color w:val="auto"/>
          <w:highlight w:val="none"/>
        </w:rPr>
      </w:pPr>
    </w:p>
    <w:p w14:paraId="6B1C16BF">
      <w:pPr>
        <w:pStyle w:val="5"/>
        <w:spacing w:before="66"/>
        <w:rPr>
          <w:rFonts w:hint="eastAsia" w:ascii="宋体" w:hAnsi="宋体" w:eastAsia="宋体" w:cs="宋体"/>
          <w:color w:val="auto"/>
          <w:sz w:val="24"/>
          <w:highlight w:val="none"/>
          <w:shd w:val="clear" w:color="auto" w:fill="auto"/>
        </w:rPr>
      </w:pPr>
    </w:p>
    <w:p w14:paraId="530FE3C4">
      <w:pPr>
        <w:pStyle w:val="5"/>
        <w:spacing w:before="66"/>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14:paraId="0E363B79">
      <w:pPr>
        <w:pStyle w:val="8"/>
        <w:numPr>
          <w:ilvl w:val="0"/>
          <w:numId w:val="0"/>
        </w:numPr>
        <w:tabs>
          <w:tab w:val="clear" w:pos="1110"/>
        </w:tabs>
        <w:spacing w:before="164"/>
        <w:ind w:left="456" w:leftChars="0" w:right="37" w:rightChars="0"/>
        <w:jc w:val="center"/>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b/>
          <w:color w:val="auto"/>
          <w:kern w:val="2"/>
          <w:sz w:val="32"/>
          <w:highlight w:val="none"/>
          <w:shd w:val="clear" w:color="auto" w:fill="auto"/>
          <w:lang w:val="en-US" w:eastAsia="zh-CN" w:bidi="ar-SA"/>
        </w:rPr>
        <w:t>依法缴纳税收和社会保障资金的声明函</w:t>
      </w:r>
    </w:p>
    <w:p w14:paraId="266778AD">
      <w:pPr>
        <w:ind w:firstLine="720" w:firstLineChars="300"/>
        <w:rPr>
          <w:rFonts w:hint="eastAsia" w:ascii="宋体" w:hAnsi="宋体"/>
          <w:color w:val="auto"/>
          <w:sz w:val="24"/>
          <w:highlight w:val="none"/>
          <w:shd w:val="clear" w:color="auto" w:fill="auto"/>
        </w:rPr>
      </w:pPr>
    </w:p>
    <w:p w14:paraId="5D7474EB">
      <w:pPr>
        <w:widowControl/>
        <w:adjustRightInd w:val="0"/>
        <w:snapToGrid w:val="0"/>
        <w:spacing w:line="360" w:lineRule="auto"/>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u w:val="single"/>
          <w:shd w:val="clear" w:color="auto" w:fill="auto"/>
          <w:lang w:eastAsia="zh-CN"/>
        </w:rPr>
        <w:t>衢州智造新城管理委员会</w:t>
      </w:r>
      <w:r>
        <w:rPr>
          <w:rFonts w:hint="eastAsia" w:ascii="宋体" w:hAnsi="宋体" w:cs="宋体"/>
          <w:color w:val="auto"/>
          <w:kern w:val="0"/>
          <w:sz w:val="24"/>
          <w:highlight w:val="none"/>
          <w:shd w:val="clear" w:color="auto" w:fill="auto"/>
        </w:rPr>
        <w:t>：</w:t>
      </w:r>
    </w:p>
    <w:p w14:paraId="7B1B2F99">
      <w:pPr>
        <w:widowControl/>
        <w:adjustRightInd w:val="0"/>
        <w:snapToGrid w:val="0"/>
        <w:spacing w:line="360" w:lineRule="auto"/>
        <w:ind w:firstLine="480" w:firstLineChars="200"/>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我方</w:t>
      </w:r>
      <w:r>
        <w:rPr>
          <w:rFonts w:hint="eastAsia" w:ascii="宋体" w:hAnsi="宋体" w:cs="宋体"/>
          <w:color w:val="auto"/>
          <w:kern w:val="0"/>
          <w:sz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rPr>
        <w:t xml:space="preserve">（投标人）   </w:t>
      </w:r>
      <w:r>
        <w:rPr>
          <w:rFonts w:hint="eastAsia" w:ascii="宋体" w:hAnsi="宋体" w:cs="宋体"/>
          <w:color w:val="auto"/>
          <w:kern w:val="0"/>
          <w:sz w:val="24"/>
          <w:highlight w:val="none"/>
          <w:u w:val="single"/>
          <w:shd w:val="clear" w:color="auto" w:fill="auto"/>
        </w:rPr>
        <w:t xml:space="preserve">         </w:t>
      </w:r>
      <w:r>
        <w:rPr>
          <w:rFonts w:hint="eastAsia" w:ascii="宋体" w:hAnsi="宋体" w:eastAsia="宋体" w:cs="宋体"/>
          <w:color w:val="auto"/>
          <w:spacing w:val="-4"/>
          <w:sz w:val="24"/>
          <w:szCs w:val="24"/>
          <w:highlight w:val="none"/>
          <w:shd w:val="clear" w:color="auto" w:fill="auto"/>
        </w:rPr>
        <w:t>严格依法缴纳税</w:t>
      </w:r>
      <w:r>
        <w:rPr>
          <w:rFonts w:hint="eastAsia" w:ascii="宋体" w:hAnsi="宋体" w:eastAsia="宋体" w:cs="宋体"/>
          <w:color w:val="auto"/>
          <w:spacing w:val="-8"/>
          <w:sz w:val="24"/>
          <w:szCs w:val="24"/>
          <w:highlight w:val="none"/>
          <w:shd w:val="clear" w:color="auto" w:fill="auto"/>
        </w:rPr>
        <w:t>收和社会保障资金，我方对上述声明的真实性负责。</w:t>
      </w:r>
      <w:r>
        <w:rPr>
          <w:rFonts w:hint="eastAsia" w:ascii="宋体" w:hAnsi="宋体" w:eastAsia="宋体" w:cs="宋体"/>
          <w:color w:val="auto"/>
          <w:spacing w:val="-7"/>
          <w:sz w:val="24"/>
          <w:szCs w:val="24"/>
          <w:highlight w:val="none"/>
          <w:shd w:val="clear" w:color="auto" w:fill="auto"/>
        </w:rPr>
        <w:t>如有虚假，采购人可取消我方任何资格（投标/中标/签订合同），我方对此无任何异议</w:t>
      </w:r>
      <w:r>
        <w:rPr>
          <w:rFonts w:hint="eastAsia" w:ascii="宋体" w:hAnsi="宋体" w:cs="宋体"/>
          <w:color w:val="auto"/>
          <w:kern w:val="0"/>
          <w:sz w:val="24"/>
          <w:highlight w:val="none"/>
          <w:shd w:val="clear" w:color="auto" w:fill="auto"/>
        </w:rPr>
        <w:t>。</w:t>
      </w:r>
    </w:p>
    <w:p w14:paraId="1EB0629C">
      <w:pPr>
        <w:widowControl/>
        <w:adjustRightInd w:val="0"/>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14:paraId="0EEE9DEC">
      <w:pPr>
        <w:pStyle w:val="5"/>
        <w:rPr>
          <w:color w:val="auto"/>
          <w:highlight w:val="none"/>
        </w:rPr>
      </w:pPr>
    </w:p>
    <w:p w14:paraId="2E1F960C">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14:paraId="044B8BE7">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14:paraId="6DCEC4B4">
      <w:pPr>
        <w:adjustRightInd w:val="0"/>
        <w:snapToGrid w:val="0"/>
        <w:spacing w:line="360" w:lineRule="auto"/>
        <w:rPr>
          <w:rFonts w:ascii="宋体" w:hAnsi="宋体" w:cs="宋体"/>
          <w:color w:val="auto"/>
          <w:kern w:val="0"/>
          <w:sz w:val="24"/>
          <w:highlight w:val="none"/>
          <w:u w:val="single"/>
          <w:shd w:val="clear" w:color="auto" w:fill="auto"/>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14:paraId="43E54A2A">
      <w:pPr>
        <w:rPr>
          <w:rFonts w:hint="eastAsia" w:ascii="宋体" w:hAnsi="宋体" w:eastAsia="宋体" w:cs="宋体"/>
          <w:color w:val="auto"/>
          <w:highlight w:val="none"/>
          <w:shd w:val="clear" w:color="auto" w:fill="auto"/>
        </w:rPr>
      </w:pPr>
    </w:p>
    <w:p w14:paraId="399DA9DC">
      <w:pPr>
        <w:pStyle w:val="88"/>
        <w:ind w:left="0" w:leftChars="0" w:firstLine="0" w:firstLineChars="0"/>
        <w:rPr>
          <w:rFonts w:hint="eastAsia"/>
          <w:color w:val="auto"/>
          <w:highlight w:val="none"/>
          <w:shd w:val="clear" w:color="auto" w:fill="auto"/>
        </w:rPr>
      </w:pPr>
    </w:p>
    <w:p w14:paraId="05104EF6">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14:paraId="4DD3E419">
      <w:pPr>
        <w:jc w:val="left"/>
        <w:rPr>
          <w:rFonts w:hint="eastAsia" w:ascii="宋体" w:hAnsi="宋体" w:eastAsia="宋体" w:cs="宋体"/>
          <w:b/>
          <w:color w:val="auto"/>
          <w:sz w:val="32"/>
          <w:highlight w:val="none"/>
          <w:shd w:val="clear" w:color="auto" w:fill="auto"/>
        </w:rPr>
      </w:pPr>
    </w:p>
    <w:p w14:paraId="33F60FCA">
      <w:pPr>
        <w:jc w:val="left"/>
        <w:rPr>
          <w:rFonts w:hint="eastAsia" w:ascii="宋体" w:hAnsi="宋体" w:eastAsia="宋体" w:cs="宋体"/>
          <w:b/>
          <w:color w:val="auto"/>
          <w:sz w:val="32"/>
          <w:highlight w:val="none"/>
          <w:shd w:val="clear" w:color="auto" w:fill="auto"/>
        </w:rPr>
      </w:pPr>
    </w:p>
    <w:p w14:paraId="65313240">
      <w:pPr>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没有重大违法记录承诺函</w:t>
      </w:r>
    </w:p>
    <w:p w14:paraId="236A3195">
      <w:pPr>
        <w:spacing w:line="360" w:lineRule="auto"/>
        <w:rPr>
          <w:rFonts w:hint="eastAsia" w:ascii="宋体" w:hAnsi="宋体" w:eastAsia="宋体" w:cs="宋体"/>
          <w:color w:val="auto"/>
          <w:sz w:val="24"/>
          <w:szCs w:val="24"/>
          <w:highlight w:val="none"/>
          <w:u w:val="single"/>
          <w:shd w:val="clear" w:color="auto" w:fill="auto"/>
        </w:rPr>
      </w:pPr>
    </w:p>
    <w:p w14:paraId="01D226BD">
      <w:pPr>
        <w:spacing w:line="360" w:lineRule="auto"/>
        <w:rPr>
          <w:rFonts w:hint="eastAsia" w:ascii="宋体" w:hAnsi="宋体" w:eastAsia="宋体" w:cs="宋体"/>
          <w:color w:val="auto"/>
          <w:sz w:val="24"/>
          <w:szCs w:val="24"/>
          <w:highlight w:val="none"/>
          <w:u w:val="single"/>
          <w:shd w:val="clear" w:color="auto" w:fill="auto"/>
        </w:rPr>
      </w:pPr>
      <w:r>
        <w:rPr>
          <w:rFonts w:hint="eastAsia" w:ascii="宋体" w:hAnsi="宋体" w:cs="宋体"/>
          <w:color w:val="auto"/>
          <w:kern w:val="0"/>
          <w:sz w:val="24"/>
          <w:highlight w:val="none"/>
          <w:u w:val="single"/>
          <w:shd w:val="clear" w:color="auto" w:fill="auto"/>
          <w:lang w:eastAsia="zh-CN"/>
        </w:rPr>
        <w:t>衢州智造新城管理委员会</w:t>
      </w:r>
      <w:r>
        <w:rPr>
          <w:rFonts w:hint="eastAsia" w:ascii="宋体" w:hAnsi="宋体" w:eastAsia="宋体" w:cs="宋体"/>
          <w:color w:val="auto"/>
          <w:sz w:val="24"/>
          <w:szCs w:val="24"/>
          <w:highlight w:val="none"/>
          <w:shd w:val="clear" w:color="auto" w:fill="auto"/>
        </w:rPr>
        <w:t>：</w:t>
      </w:r>
    </w:p>
    <w:p w14:paraId="7239A620">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（投标人）            </w:t>
      </w:r>
      <w:r>
        <w:rPr>
          <w:rFonts w:hint="eastAsia" w:ascii="宋体" w:hAnsi="宋体" w:eastAsia="宋体" w:cs="宋体"/>
          <w:color w:val="auto"/>
          <w:sz w:val="24"/>
          <w:szCs w:val="24"/>
          <w:highlight w:val="none"/>
          <w:shd w:val="clear" w:color="auto" w:fill="auto"/>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14:paraId="71901242">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特此承诺！ </w:t>
      </w:r>
    </w:p>
    <w:p w14:paraId="65C90D5C">
      <w:pPr>
        <w:spacing w:line="360" w:lineRule="auto"/>
        <w:rPr>
          <w:rFonts w:hint="eastAsia" w:ascii="宋体" w:hAnsi="宋体" w:eastAsia="宋体" w:cs="宋体"/>
          <w:color w:val="auto"/>
          <w:sz w:val="24"/>
          <w:szCs w:val="24"/>
          <w:highlight w:val="none"/>
          <w:shd w:val="clear" w:color="auto" w:fill="auto"/>
        </w:rPr>
      </w:pPr>
    </w:p>
    <w:p w14:paraId="193E109E">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14:paraId="2E9F2D3B">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14:paraId="13927575">
      <w:pPr>
        <w:adjustRightInd w:val="0"/>
        <w:snapToGrid w:val="0"/>
        <w:spacing w:line="360" w:lineRule="auto"/>
        <w:rPr>
          <w:rFonts w:hint="eastAsia" w:ascii="宋体" w:hAnsi="宋体" w:eastAsia="宋体" w:cs="宋体"/>
          <w:b/>
          <w:color w:val="auto"/>
          <w:sz w:val="30"/>
          <w:szCs w:val="30"/>
          <w:highlight w:val="non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 xml:space="preserve">： </w:t>
      </w:r>
      <w:r>
        <w:rPr>
          <w:rFonts w:hint="eastAsia" w:ascii="宋体" w:hAnsi="宋体" w:cs="宋体"/>
          <w:color w:val="auto"/>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rPr>
        <w:t>年  月  日</w:t>
      </w:r>
    </w:p>
    <w:p w14:paraId="66BCB2CA">
      <w:pPr>
        <w:widowControl/>
        <w:spacing w:line="312" w:lineRule="auto"/>
        <w:jc w:val="left"/>
        <w:rPr>
          <w:rFonts w:hint="eastAsia" w:ascii="宋体" w:hAnsi="宋体" w:eastAsia="宋体" w:cs="宋体"/>
          <w:color w:val="auto"/>
          <w:sz w:val="24"/>
          <w:highlight w:val="none"/>
          <w:shd w:val="clear" w:color="auto" w:fill="auto"/>
        </w:rPr>
      </w:pPr>
    </w:p>
    <w:p w14:paraId="5BF5D443">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2"/>
          <w:highlight w:val="none"/>
          <w:shd w:val="clear" w:color="auto" w:fill="auto"/>
        </w:rPr>
        <w:t>无违法失信的声明函</w:t>
      </w:r>
    </w:p>
    <w:p w14:paraId="28273849">
      <w:pPr>
        <w:spacing w:line="312" w:lineRule="auto"/>
        <w:jc w:val="center"/>
        <w:rPr>
          <w:rFonts w:hint="eastAsia" w:ascii="宋体" w:hAnsi="宋体" w:eastAsia="宋体" w:cs="宋体"/>
          <w:b/>
          <w:color w:val="auto"/>
          <w:sz w:val="32"/>
          <w:szCs w:val="22"/>
          <w:highlight w:val="none"/>
          <w:shd w:val="clear" w:color="auto" w:fill="auto"/>
        </w:rPr>
      </w:pPr>
    </w:p>
    <w:p w14:paraId="01930A57">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无违法失信的声明函 </w:t>
      </w:r>
    </w:p>
    <w:p w14:paraId="7BFFFB9B">
      <w:pPr>
        <w:pStyle w:val="5"/>
        <w:rPr>
          <w:rFonts w:hint="eastAsia"/>
          <w:color w:val="auto"/>
          <w:highlight w:val="none"/>
        </w:rPr>
      </w:pPr>
    </w:p>
    <w:p w14:paraId="0C0DE2E5">
      <w:pPr>
        <w:spacing w:line="312" w:lineRule="auto"/>
        <w:rPr>
          <w:rFonts w:hint="eastAsia" w:ascii="宋体" w:hAnsi="宋体" w:eastAsia="宋体" w:cs="宋体"/>
          <w:color w:val="auto"/>
          <w:highlight w:val="none"/>
          <w:shd w:val="clear" w:color="auto" w:fill="auto"/>
        </w:rPr>
      </w:pPr>
      <w:r>
        <w:rPr>
          <w:rFonts w:hint="eastAsia" w:ascii="宋体" w:hAnsi="宋体" w:cs="宋体"/>
          <w:color w:val="auto"/>
          <w:kern w:val="0"/>
          <w:sz w:val="24"/>
          <w:highlight w:val="none"/>
          <w:u w:val="single"/>
          <w:shd w:val="clear" w:color="auto" w:fill="auto"/>
          <w:lang w:eastAsia="zh-CN"/>
        </w:rPr>
        <w:t>衢州智造新城管理委员会</w:t>
      </w:r>
      <w:r>
        <w:rPr>
          <w:rFonts w:hint="eastAsia" w:ascii="宋体" w:hAnsi="宋体" w:eastAsia="宋体" w:cs="宋体"/>
          <w:color w:val="auto"/>
          <w:sz w:val="24"/>
          <w:szCs w:val="24"/>
          <w:highlight w:val="none"/>
          <w:shd w:val="clear" w:color="auto" w:fill="auto"/>
        </w:rPr>
        <w:t>：</w:t>
      </w:r>
    </w:p>
    <w:p w14:paraId="7550EEBC">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截至</w:t>
      </w:r>
      <w:r>
        <w:rPr>
          <w:rFonts w:hint="eastAsia" w:ascii="宋体" w:hAnsi="宋体" w:cs="宋体"/>
          <w:color w:val="auto"/>
          <w:sz w:val="24"/>
          <w:szCs w:val="24"/>
          <w:highlight w:val="none"/>
          <w:u w:val="single"/>
          <w:shd w:val="clear" w:color="auto" w:fill="auto"/>
          <w:lang w:eastAsia="zh-CN"/>
        </w:rPr>
        <w:t>智造新城建设项目环评技术评估</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eastAsia="宋体" w:cs="宋体"/>
          <w:color w:val="auto"/>
          <w:sz w:val="24"/>
          <w:szCs w:val="24"/>
          <w:highlight w:val="none"/>
          <w:u w:val="single"/>
          <w:shd w:val="clear" w:color="auto" w:fill="auto"/>
          <w:lang w:val="en-US" w:eastAsia="zh-CN"/>
        </w:rPr>
        <w:t>ZZCG-2025-027</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 xml:space="preserve">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 </w:t>
      </w:r>
    </w:p>
    <w:p w14:paraId="2E3E6EE2">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本公司对上述声明的真实性负责。如有虚假，愿意承担相应责任，对此无任何异议。 </w:t>
      </w:r>
    </w:p>
    <w:p w14:paraId="50CB10F2">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特此声明！</w:t>
      </w:r>
    </w:p>
    <w:p w14:paraId="455F7899">
      <w:pPr>
        <w:spacing w:line="312" w:lineRule="auto"/>
        <w:ind w:firstLine="480" w:firstLineChars="200"/>
        <w:rPr>
          <w:rFonts w:hint="eastAsia" w:ascii="宋体" w:hAnsi="宋体" w:eastAsia="宋体" w:cs="宋体"/>
          <w:color w:val="auto"/>
          <w:sz w:val="24"/>
          <w:szCs w:val="24"/>
          <w:highlight w:val="none"/>
          <w:shd w:val="clear" w:color="auto" w:fill="auto"/>
        </w:rPr>
      </w:pPr>
    </w:p>
    <w:p w14:paraId="187ADFCB">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p>
    <w:p w14:paraId="125F6250">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14:paraId="6A7BBF39">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14:paraId="2050E935">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cs="宋体"/>
          <w:color w:val="auto"/>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rPr>
        <w:t>年  月  日</w:t>
      </w:r>
    </w:p>
    <w:p w14:paraId="3320A526">
      <w:pPr>
        <w:widowControl/>
        <w:spacing w:line="312" w:lineRule="auto"/>
        <w:jc w:val="left"/>
        <w:rPr>
          <w:rFonts w:hint="eastAsia" w:ascii="宋体" w:hAnsi="宋体" w:eastAsia="宋体" w:cs="宋体"/>
          <w:color w:val="auto"/>
          <w:sz w:val="24"/>
          <w:highlight w:val="none"/>
          <w:shd w:val="clear" w:color="auto" w:fill="auto"/>
        </w:rPr>
      </w:pPr>
    </w:p>
    <w:p w14:paraId="4135026A">
      <w:pPr>
        <w:pStyle w:val="528"/>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shd w:val="clear" w:color="auto" w:fill="auto"/>
        </w:rPr>
      </w:pPr>
    </w:p>
    <w:p w14:paraId="3CB1DC2C">
      <w:pPr>
        <w:pStyle w:val="528"/>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bookmarkStart w:id="87" w:name="_Toc8165"/>
    </w:p>
    <w:p w14:paraId="46BDE466">
      <w:pPr>
        <w:pStyle w:val="528"/>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34EBC385">
      <w:pPr>
        <w:pStyle w:val="528"/>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3BA891DE">
      <w:pPr>
        <w:pStyle w:val="528"/>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40F21364">
      <w:pPr>
        <w:pStyle w:val="528"/>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4FDAD6E7">
      <w:pPr>
        <w:pStyle w:val="528"/>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7A49E561">
      <w:pPr>
        <w:pStyle w:val="528"/>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754492AF">
      <w:pPr>
        <w:pStyle w:val="528"/>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28438426">
      <w:pPr>
        <w:pStyle w:val="528"/>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0DC1310A">
      <w:pPr>
        <w:pStyle w:val="528"/>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4A06E335">
      <w:pPr>
        <w:pStyle w:val="528"/>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13F38E04">
      <w:pPr>
        <w:pStyle w:val="528"/>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4B0F9BCE">
      <w:pPr>
        <w:pStyle w:val="528"/>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378BFA96">
      <w:pPr>
        <w:pStyle w:val="528"/>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3A31BAF4">
      <w:pPr>
        <w:pStyle w:val="528"/>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1F2CB4AC">
      <w:pPr>
        <w:pStyle w:val="528"/>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0C3FB534">
      <w:pPr>
        <w:pStyle w:val="528"/>
        <w:kinsoku/>
        <w:overflowPunct/>
        <w:bidi w:val="0"/>
        <w:adjustRightInd w:val="0"/>
        <w:snapToGrid w:val="0"/>
        <w:spacing w:line="400" w:lineRule="exact"/>
        <w:jc w:val="left"/>
        <w:outlineLvl w:val="1"/>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rPr>
        <w:t>表</w:t>
      </w:r>
      <w:r>
        <w:rPr>
          <w:rFonts w:hint="eastAsia" w:hAnsi="宋体" w:cs="宋体"/>
          <w:color w:val="auto"/>
          <w:sz w:val="24"/>
          <w:szCs w:val="22"/>
          <w:highlight w:val="none"/>
          <w:lang w:val="en-US" w:eastAsia="zh-CN"/>
        </w:rPr>
        <w:t>7</w:t>
      </w:r>
      <w:r>
        <w:rPr>
          <w:rFonts w:hint="eastAsia" w:ascii="宋体" w:hAnsi="宋体" w:eastAsia="宋体" w:cs="宋体"/>
          <w:color w:val="auto"/>
          <w:sz w:val="24"/>
          <w:szCs w:val="22"/>
          <w:highlight w:val="none"/>
        </w:rPr>
        <w:t>：</w:t>
      </w:r>
      <w:bookmarkStart w:id="88" w:name="_Toc6494396"/>
      <w:r>
        <w:rPr>
          <w:rFonts w:hint="eastAsia" w:ascii="宋体" w:hAnsi="宋体" w:eastAsia="宋体" w:cs="宋体"/>
          <w:color w:val="auto"/>
          <w:kern w:val="2"/>
          <w:sz w:val="24"/>
          <w:szCs w:val="22"/>
          <w:highlight w:val="none"/>
          <w:lang w:val="en-US" w:eastAsia="zh-CN" w:bidi="ar-SA"/>
        </w:rPr>
        <w:t>小微企业/监狱企业声明函/残疾人福利性单位声明函</w:t>
      </w:r>
      <w:bookmarkEnd w:id="88"/>
    </w:p>
    <w:p w14:paraId="2E3999DD">
      <w:pPr>
        <w:pStyle w:val="591"/>
        <w:kinsoku/>
        <w:overflowPunct/>
        <w:bidi w:val="0"/>
        <w:spacing w:line="360" w:lineRule="auto"/>
        <w:jc w:val="center"/>
        <w:rPr>
          <w:rStyle w:val="613"/>
          <w:rFonts w:hint="eastAsia" w:ascii="宋体" w:hAnsi="宋体" w:eastAsia="宋体" w:cs="宋体"/>
          <w:b/>
          <w:bCs/>
          <w:color w:val="auto"/>
          <w:kern w:val="0"/>
          <w:sz w:val="28"/>
          <w:szCs w:val="28"/>
          <w:highlight w:val="none"/>
          <w:lang w:val="zh-TW" w:eastAsia="zh-TW" w:bidi="ar-SA"/>
        </w:rPr>
      </w:pPr>
      <w:r>
        <w:rPr>
          <w:rStyle w:val="613"/>
          <w:rFonts w:hint="eastAsia" w:ascii="宋体" w:hAnsi="宋体" w:eastAsia="宋体" w:cs="宋体"/>
          <w:b/>
          <w:bCs/>
          <w:color w:val="auto"/>
          <w:sz w:val="28"/>
          <w:szCs w:val="28"/>
          <w:highlight w:val="none"/>
        </w:rPr>
        <w:t>1、</w:t>
      </w:r>
      <w:r>
        <w:rPr>
          <w:rStyle w:val="613"/>
          <w:rFonts w:hint="eastAsia" w:ascii="宋体" w:hAnsi="宋体" w:eastAsia="宋体" w:cs="宋体"/>
          <w:b/>
          <w:bCs/>
          <w:color w:val="auto"/>
          <w:kern w:val="0"/>
          <w:sz w:val="28"/>
          <w:szCs w:val="28"/>
          <w:highlight w:val="none"/>
          <w:lang w:val="zh-TW" w:eastAsia="zh-TW" w:bidi="ar-SA"/>
        </w:rPr>
        <w:t>中小企业声明函（服务）</w:t>
      </w:r>
    </w:p>
    <w:p w14:paraId="53A79BA1">
      <w:pPr>
        <w:keepNext w:val="0"/>
        <w:keepLines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hint="eastAsia" w:cs="宋体"/>
          <w:color w:val="auto"/>
          <w:kern w:val="0"/>
          <w:sz w:val="24"/>
          <w:highlight w:val="none"/>
          <w:u w:val="single"/>
          <w:shd w:val="clear" w:color="auto" w:fill="auto"/>
          <w:lang w:eastAsia="zh-CN"/>
        </w:rPr>
        <w:t>衢州智造新城管理委员会</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 xml:space="preserve">的 </w:t>
      </w:r>
      <w:r>
        <w:rPr>
          <w:rFonts w:hint="eastAsia" w:cs="宋体"/>
          <w:color w:val="auto"/>
          <w:sz w:val="24"/>
          <w:szCs w:val="24"/>
          <w:highlight w:val="none"/>
          <w:u w:val="single"/>
          <w:shd w:val="clear" w:color="auto" w:fill="auto"/>
          <w:lang w:eastAsia="zh-CN"/>
        </w:rPr>
        <w:t>智造新城建设项目环评技术评估</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 xml:space="preserve"> 采购活动，提供的服务全部由符合政策要求的中小企业承接。相关企业（含联合体中的中小企业、签订分包意向协议的中小企业）的具体情况如下：</w:t>
      </w:r>
    </w:p>
    <w:p w14:paraId="795858AE">
      <w:pPr>
        <w:keepNext w:val="0"/>
        <w:keepLines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cs="宋体"/>
          <w:color w:val="000000" w:themeColor="text1"/>
          <w:sz w:val="24"/>
          <w:szCs w:val="24"/>
          <w:highlight w:val="none"/>
          <w:u w:val="single"/>
          <w:lang w:val="en-US" w:eastAsia="zh-CN"/>
          <w14:textFill>
            <w14:solidFill>
              <w14:schemeClr w14:val="tx1"/>
            </w14:solidFill>
          </w14:textFill>
        </w:rPr>
        <w:t>智</w:t>
      </w:r>
      <w:r>
        <w:rPr>
          <w:rFonts w:hint="eastAsia" w:cs="宋体"/>
          <w:color w:val="auto"/>
          <w:sz w:val="24"/>
          <w:szCs w:val="24"/>
          <w:highlight w:val="none"/>
          <w:u w:val="single"/>
          <w:shd w:val="clear" w:color="auto" w:fill="auto"/>
          <w:lang w:eastAsia="zh-CN"/>
        </w:rPr>
        <w:t>造新城建设项目环评技术评估</w:t>
      </w:r>
      <w:r>
        <w:rPr>
          <w:rFonts w:hint="eastAsia" w:ascii="宋体" w:hAnsi="宋体" w:eastAsia="宋体" w:cs="宋体"/>
          <w:color w:val="000000" w:themeColor="text1"/>
          <w:sz w:val="24"/>
          <w:szCs w:val="24"/>
          <w:highlight w:val="none"/>
          <w:u w:val="single"/>
          <w14:textFill>
            <w14:solidFill>
              <w14:schemeClr w14:val="tx1"/>
            </w14:solidFill>
          </w14:textFill>
        </w:rPr>
        <w:t>（标的名称）</w:t>
      </w:r>
      <w:r>
        <w:rPr>
          <w:rFonts w:hint="eastAsia" w:ascii="宋体" w:hAnsi="宋体" w:eastAsia="宋体" w:cs="宋体"/>
          <w:color w:val="000000" w:themeColor="text1"/>
          <w:sz w:val="24"/>
          <w:szCs w:val="24"/>
          <w:highlight w:val="none"/>
          <w14:textFill>
            <w14:solidFill>
              <w14:schemeClr w14:val="tx1"/>
            </w14:solidFill>
          </w14:textFill>
        </w:rPr>
        <w:t xml:space="preserve"> ，属于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【其他未列明行业】</w:t>
      </w:r>
      <w:r>
        <w:rPr>
          <w:rFonts w:hint="eastAsia"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14:textFill>
            <w14:solidFill>
              <w14:schemeClr w14:val="tx1"/>
            </w14:solidFill>
          </w14:textFill>
        </w:rPr>
        <w:t>行业 ；</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（企业名称）</w:t>
      </w:r>
      <w:r>
        <w:rPr>
          <w:rFonts w:hint="eastAsia" w:ascii="宋体" w:hAnsi="宋体" w:eastAsia="宋体" w:cs="宋体"/>
          <w:color w:val="000000" w:themeColor="text1"/>
          <w:sz w:val="24"/>
          <w:szCs w:val="24"/>
          <w:highlight w:val="none"/>
          <w14:textFill>
            <w14:solidFill>
              <w14:schemeClr w14:val="tx1"/>
            </w14:solidFill>
          </w14:textFill>
        </w:rPr>
        <w:t xml:space="preserve"> ，从业人员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万元，属于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C90CA41">
      <w:pPr>
        <w:keepNext w:val="0"/>
        <w:keepLines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 </w:t>
      </w:r>
      <w:r>
        <w:rPr>
          <w:rFonts w:hint="eastAsia" w:ascii="宋体" w:hAnsi="宋体" w:eastAsia="宋体" w:cs="宋体"/>
          <w:color w:val="000000" w:themeColor="text1"/>
          <w:sz w:val="24"/>
          <w:szCs w:val="24"/>
          <w:highlight w:val="none"/>
          <w:u w:val="single"/>
          <w14:textFill>
            <w14:solidFill>
              <w14:schemeClr w14:val="tx1"/>
            </w14:solidFill>
          </w14:textFill>
        </w:rPr>
        <w:t>（标的名称）</w:t>
      </w:r>
      <w:r>
        <w:rPr>
          <w:rFonts w:hint="eastAsia" w:ascii="宋体" w:hAnsi="宋体" w:eastAsia="宋体" w:cs="宋体"/>
          <w:color w:val="000000" w:themeColor="text1"/>
          <w:sz w:val="24"/>
          <w:szCs w:val="24"/>
          <w:highlight w:val="none"/>
          <w14:textFill>
            <w14:solidFill>
              <w14:schemeClr w14:val="tx1"/>
            </w14:solidFill>
          </w14:textFill>
        </w:rPr>
        <w:t xml:space="preserve"> ，属于 </w:t>
      </w:r>
      <w:r>
        <w:rPr>
          <w:rFonts w:hint="eastAsia"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14:textFill>
            <w14:solidFill>
              <w14:schemeClr w14:val="tx1"/>
            </w14:solidFill>
          </w14:textFill>
        </w:rPr>
        <w:t>行业 ；</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商为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szCs w:val="24"/>
          <w:highlight w:val="none"/>
          <w14:textFill>
            <w14:solidFill>
              <w14:schemeClr w14:val="tx1"/>
            </w14:solidFill>
          </w14:textFill>
        </w:rPr>
        <w:t xml:space="preserve"> ，从业人员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万元，属于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BF80799">
      <w:pPr>
        <w:keepNext w:val="0"/>
        <w:keepLines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58BB7DFE">
      <w:pPr>
        <w:keepNext w:val="0"/>
        <w:keepLines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568CD653">
      <w:pPr>
        <w:keepNext w:val="0"/>
        <w:keepLines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42423022">
      <w:pPr>
        <w:keepNext w:val="0"/>
        <w:keepLines w:val="0"/>
        <w:kinsoku/>
        <w:wordWrap/>
        <w:overflowPunct/>
        <w:topLinePunct w:val="0"/>
        <w:autoSpaceDE/>
        <w:autoSpaceDN/>
        <w:bidi w:val="0"/>
        <w:adjustRightInd/>
        <w:snapToGrid w:val="0"/>
        <w:spacing w:line="288" w:lineRule="auto"/>
        <w:ind w:firstLine="5160" w:firstLineChars="215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投标人</w:t>
      </w:r>
      <w:r>
        <w:rPr>
          <w:rFonts w:hint="eastAsia" w:ascii="宋体" w:hAnsi="宋体" w:eastAsia="宋体" w:cs="宋体"/>
          <w:color w:val="000000" w:themeColor="text1"/>
          <w:kern w:val="0"/>
          <w:sz w:val="24"/>
          <w:szCs w:val="24"/>
          <w:highlight w:val="none"/>
          <w:lang w:val="zh-CN"/>
          <w14:textFill>
            <w14:solidFill>
              <w14:schemeClr w14:val="tx1"/>
            </w14:solidFill>
          </w14:textFill>
        </w:rPr>
        <w:t>名称（盖章或电子签章）：</w:t>
      </w:r>
    </w:p>
    <w:p w14:paraId="3F31E3CB">
      <w:pPr>
        <w:keepNext w:val="0"/>
        <w:keepLines w:val="0"/>
        <w:kinsoku/>
        <w:wordWrap/>
        <w:overflowPunct/>
        <w:topLinePunct w:val="0"/>
        <w:autoSpaceDE/>
        <w:autoSpaceDN/>
        <w:bidi w:val="0"/>
        <w:adjustRightInd/>
        <w:snapToGrid w:val="0"/>
        <w:spacing w:line="288" w:lineRule="auto"/>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日期</w:t>
      </w:r>
      <w:r>
        <w:rPr>
          <w:rFonts w:hint="eastAsia" w:ascii="宋体" w:hAnsi="宋体" w:eastAsia="宋体" w:cs="宋体"/>
          <w:color w:val="000000" w:themeColor="text1"/>
          <w:kern w:val="0"/>
          <w:sz w:val="24"/>
          <w:szCs w:val="24"/>
          <w:highlight w:val="none"/>
          <w14:textFill>
            <w14:solidFill>
              <w14:schemeClr w14:val="tx1"/>
            </w14:solidFill>
          </w14:textFill>
        </w:rPr>
        <w:t xml:space="preserve">：  年  </w:t>
      </w:r>
      <w:r>
        <w:rPr>
          <w:rFonts w:hint="eastAsia" w:ascii="宋体" w:hAnsi="宋体" w:eastAsia="宋体" w:cs="宋体"/>
          <w:color w:val="000000" w:themeColor="text1"/>
          <w:kern w:val="0"/>
          <w:sz w:val="24"/>
          <w:szCs w:val="24"/>
          <w:highlight w:val="none"/>
          <w:lang w:val="zh-CN"/>
          <w14:textFill>
            <w14:solidFill>
              <w14:schemeClr w14:val="tx1"/>
            </w14:solidFill>
          </w14:textFill>
        </w:rPr>
        <w:t>月</w:t>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14:textFill>
            <w14:solidFill>
              <w14:schemeClr w14:val="tx1"/>
            </w14:solidFill>
          </w14:textFill>
        </w:rPr>
        <w:t>日</w:t>
      </w:r>
    </w:p>
    <w:p w14:paraId="7DB3F0A8">
      <w:pPr>
        <w:pStyle w:val="617"/>
        <w:keepNext w:val="0"/>
        <w:keepLines w:val="0"/>
        <w:widowControl w:val="0"/>
        <w:shd w:val="clear" w:color="auto" w:fill="auto"/>
        <w:bidi w:val="0"/>
        <w:spacing w:before="0" w:after="0" w:line="360" w:lineRule="auto"/>
        <w:ind w:left="0" w:right="0" w:firstLine="0"/>
        <w:jc w:val="center"/>
        <w:rPr>
          <w:rFonts w:hint="eastAsia" w:ascii="宋体" w:hAnsi="宋体" w:eastAsia="宋体" w:cs="宋体"/>
          <w:color w:val="auto"/>
          <w:spacing w:val="0"/>
          <w:w w:val="100"/>
          <w:position w:val="0"/>
          <w:sz w:val="24"/>
          <w:szCs w:val="24"/>
          <w:highlight w:val="none"/>
        </w:rPr>
      </w:pPr>
    </w:p>
    <w:p w14:paraId="0FEB4C0B">
      <w:pPr>
        <w:pStyle w:val="617"/>
        <w:kinsoku/>
        <w:overflowPunct/>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注：从业人员、营业收入、资产总额填报上一年度数据，无上一年度数据的新成立企业可不填报。</w:t>
      </w:r>
    </w:p>
    <w:p w14:paraId="6E85310E">
      <w:pPr>
        <w:pStyle w:val="610"/>
        <w:pBdr>
          <w:top w:val="none" w:color="auto" w:sz="0" w:space="0"/>
          <w:left w:val="none" w:color="auto" w:sz="0" w:space="0"/>
          <w:bottom w:val="none" w:color="auto" w:sz="0" w:space="0"/>
          <w:right w:val="none" w:color="auto" w:sz="0" w:space="0"/>
        </w:pBdr>
        <w:kinsoku/>
        <w:wordWrap w:val="0"/>
        <w:overflowPunct/>
        <w:bidi w:val="0"/>
        <w:spacing w:line="360" w:lineRule="auto"/>
        <w:ind w:firstLine="570"/>
        <w:rPr>
          <w:rFonts w:hint="eastAsia" w:ascii="宋体" w:hAnsi="宋体" w:eastAsia="宋体" w:cs="宋体"/>
          <w:b/>
          <w:bCs/>
          <w:color w:val="auto"/>
          <w:sz w:val="24"/>
          <w:szCs w:val="24"/>
          <w:highlight w:val="none"/>
        </w:rPr>
      </w:pPr>
    </w:p>
    <w:p w14:paraId="39CB7454">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14:paraId="3E2E2C47">
      <w:pPr>
        <w:numPr>
          <w:ilvl w:val="0"/>
          <w:numId w:val="0"/>
        </w:numPr>
        <w:kinsoku/>
        <w:overflowPunct/>
        <w:bidi w:val="0"/>
        <w:spacing w:line="400" w:lineRule="exact"/>
        <w:jc w:val="both"/>
        <w:rPr>
          <w:rFonts w:hint="eastAsia" w:ascii="宋体" w:hAnsi="宋体" w:eastAsia="宋体" w:cs="宋体"/>
          <w:b/>
          <w:color w:val="auto"/>
          <w:spacing w:val="6"/>
          <w:sz w:val="24"/>
          <w:szCs w:val="24"/>
          <w:highlight w:val="none"/>
        </w:rPr>
      </w:pPr>
      <w:r>
        <w:rPr>
          <w:rFonts w:hint="eastAsia" w:ascii="宋体" w:hAnsi="宋体" w:cs="宋体"/>
          <w:b/>
          <w:color w:val="auto"/>
          <w:kern w:val="0"/>
          <w:sz w:val="24"/>
          <w:highlight w:val="none"/>
          <w:lang w:val="en-US" w:eastAsia="zh-CN"/>
        </w:rPr>
        <w:t xml:space="preserve">                 2.</w:t>
      </w:r>
      <w:r>
        <w:rPr>
          <w:rFonts w:hint="eastAsia" w:ascii="宋体" w:hAnsi="宋体" w:eastAsia="宋体" w:cs="宋体"/>
          <w:b/>
          <w:color w:val="auto"/>
          <w:spacing w:val="6"/>
          <w:sz w:val="28"/>
          <w:szCs w:val="28"/>
          <w:highlight w:val="none"/>
        </w:rPr>
        <w:t>监狱和戒毒企业证明材料</w:t>
      </w:r>
    </w:p>
    <w:p w14:paraId="62AF0E74">
      <w:pPr>
        <w:pStyle w:val="5"/>
        <w:rPr>
          <w:rFonts w:hint="eastAsia"/>
          <w:color w:val="auto"/>
          <w:highlight w:val="none"/>
        </w:rPr>
      </w:pPr>
    </w:p>
    <w:p w14:paraId="4264AA40">
      <w:pPr>
        <w:pStyle w:val="5"/>
        <w:numPr>
          <w:ilvl w:val="0"/>
          <w:numId w:val="0"/>
        </w:numPr>
        <w:rPr>
          <w:rFonts w:hint="eastAsia"/>
          <w:color w:val="auto"/>
          <w:highlight w:val="none"/>
        </w:rPr>
      </w:pPr>
    </w:p>
    <w:p w14:paraId="5171D8C8">
      <w:pPr>
        <w:kinsoku/>
        <w:overflowPunct/>
        <w:bidi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监狱和戒毒企业参加投标时应提供由省级以上监狱管理局、戒毒管理局（含新疆生产建设兵团）出具的属于监狱企业的证明文件。</w:t>
      </w:r>
    </w:p>
    <w:p w14:paraId="7BE9F733">
      <w:pPr>
        <w:kinsoku/>
        <w:overflowPunct/>
        <w:bidi w:val="0"/>
        <w:spacing w:line="360" w:lineRule="auto"/>
        <w:jc w:val="left"/>
        <w:rPr>
          <w:rFonts w:hint="eastAsia" w:ascii="宋体" w:hAnsi="宋体" w:eastAsia="宋体" w:cs="宋体"/>
          <w:color w:val="auto"/>
          <w:sz w:val="24"/>
          <w:szCs w:val="24"/>
          <w:highlight w:val="none"/>
        </w:rPr>
      </w:pPr>
    </w:p>
    <w:p w14:paraId="37303947">
      <w:pPr>
        <w:pStyle w:val="614"/>
        <w:kinsoku/>
        <w:overflowPunct/>
        <w:bidi w:val="0"/>
        <w:spacing w:line="400" w:lineRule="exact"/>
        <w:jc w:val="center"/>
        <w:rPr>
          <w:rFonts w:hint="eastAsia" w:ascii="宋体" w:hAnsi="宋体" w:eastAsia="宋体" w:cs="宋体"/>
          <w:b/>
          <w:color w:val="auto"/>
          <w:spacing w:val="6"/>
          <w:sz w:val="24"/>
          <w:highlight w:val="none"/>
        </w:rPr>
      </w:pPr>
    </w:p>
    <w:p w14:paraId="17305EBF">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14:paraId="60ABD6BB">
      <w:pPr>
        <w:pStyle w:val="610"/>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14:paraId="4BB1288D">
      <w:pPr>
        <w:pStyle w:val="610"/>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14:paraId="621D9DCB">
      <w:pPr>
        <w:pStyle w:val="614"/>
        <w:kinsoku/>
        <w:overflowPunct/>
        <w:bidi w:val="0"/>
        <w:spacing w:line="400" w:lineRule="exact"/>
        <w:jc w:val="center"/>
        <w:rPr>
          <w:rFonts w:hint="eastAsia" w:ascii="宋体" w:hAnsi="宋体" w:eastAsia="宋体" w:cs="宋体"/>
          <w:b/>
          <w:color w:val="auto"/>
          <w:spacing w:val="6"/>
          <w:sz w:val="24"/>
          <w:highlight w:val="none"/>
        </w:rPr>
      </w:pPr>
    </w:p>
    <w:p w14:paraId="5083C17B">
      <w:pPr>
        <w:pStyle w:val="614"/>
        <w:kinsoku/>
        <w:overflowPunct/>
        <w:bidi w:val="0"/>
        <w:spacing w:line="400" w:lineRule="exact"/>
        <w:jc w:val="center"/>
        <w:rPr>
          <w:rFonts w:hint="eastAsia" w:ascii="宋体" w:hAnsi="宋体" w:eastAsia="宋体" w:cs="宋体"/>
          <w:b/>
          <w:color w:val="auto"/>
          <w:spacing w:val="6"/>
          <w:sz w:val="24"/>
          <w:highlight w:val="none"/>
        </w:rPr>
      </w:pPr>
    </w:p>
    <w:p w14:paraId="12D2121F">
      <w:pPr>
        <w:pStyle w:val="614"/>
        <w:kinsoku/>
        <w:overflowPunct/>
        <w:bidi w:val="0"/>
        <w:spacing w:line="400" w:lineRule="exact"/>
        <w:jc w:val="center"/>
        <w:rPr>
          <w:rFonts w:hint="eastAsia" w:ascii="宋体" w:hAnsi="宋体" w:eastAsia="宋体" w:cs="宋体"/>
          <w:b/>
          <w:color w:val="auto"/>
          <w:spacing w:val="6"/>
          <w:sz w:val="24"/>
          <w:highlight w:val="none"/>
        </w:rPr>
      </w:pPr>
    </w:p>
    <w:p w14:paraId="2CFA5DAE">
      <w:pPr>
        <w:pStyle w:val="614"/>
        <w:numPr>
          <w:ilvl w:val="0"/>
          <w:numId w:val="0"/>
        </w:numPr>
        <w:kinsoku/>
        <w:overflowPunct/>
        <w:bidi w:val="0"/>
        <w:spacing w:line="400" w:lineRule="exact"/>
        <w:ind w:leftChars="0" w:firstLine="2638" w:firstLineChars="900"/>
        <w:jc w:val="both"/>
        <w:rPr>
          <w:rFonts w:hint="eastAsia" w:ascii="宋体" w:hAnsi="宋体" w:eastAsia="宋体" w:cs="宋体"/>
          <w:b/>
          <w:color w:val="auto"/>
          <w:spacing w:val="6"/>
          <w:sz w:val="28"/>
          <w:szCs w:val="28"/>
          <w:highlight w:val="none"/>
        </w:rPr>
      </w:pPr>
      <w:r>
        <w:rPr>
          <w:rFonts w:hint="eastAsia" w:ascii="宋体" w:hAnsi="宋体" w:cs="宋体"/>
          <w:b/>
          <w:color w:val="auto"/>
          <w:spacing w:val="6"/>
          <w:sz w:val="28"/>
          <w:szCs w:val="28"/>
          <w:highlight w:val="none"/>
          <w:lang w:val="en-US" w:eastAsia="zh-CN"/>
        </w:rPr>
        <w:t>3.</w:t>
      </w:r>
      <w:r>
        <w:rPr>
          <w:rFonts w:hint="eastAsia" w:ascii="宋体" w:hAnsi="宋体" w:eastAsia="宋体" w:cs="宋体"/>
          <w:b/>
          <w:color w:val="auto"/>
          <w:spacing w:val="6"/>
          <w:sz w:val="28"/>
          <w:szCs w:val="28"/>
          <w:highlight w:val="none"/>
        </w:rPr>
        <w:t>残疾人福利性单位声明函</w:t>
      </w:r>
    </w:p>
    <w:p w14:paraId="3E9B5569">
      <w:pPr>
        <w:pStyle w:val="614"/>
        <w:numPr>
          <w:ilvl w:val="0"/>
          <w:numId w:val="0"/>
        </w:numPr>
        <w:kinsoku/>
        <w:overflowPunct/>
        <w:bidi w:val="0"/>
        <w:spacing w:line="400" w:lineRule="exact"/>
        <w:ind w:leftChars="0"/>
        <w:jc w:val="both"/>
        <w:rPr>
          <w:rFonts w:hint="eastAsia" w:ascii="宋体" w:hAnsi="宋体" w:eastAsia="宋体" w:cs="宋体"/>
          <w:b/>
          <w:color w:val="auto"/>
          <w:spacing w:val="6"/>
          <w:sz w:val="24"/>
          <w:highlight w:val="none"/>
        </w:rPr>
      </w:pPr>
    </w:p>
    <w:p w14:paraId="7EA00EFF">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C020F83">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57602F3A">
      <w:pPr>
        <w:widowControl/>
        <w:kinsoku/>
        <w:overflowPunct/>
        <w:bidi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p>
    <w:p w14:paraId="38CCCB33">
      <w:pPr>
        <w:widowControl/>
        <w:kinsoku/>
        <w:overflowPunct/>
        <w:bidi w:val="0"/>
        <w:spacing w:line="400" w:lineRule="exact"/>
        <w:jc w:val="left"/>
        <w:rPr>
          <w:rFonts w:hint="eastAsia" w:ascii="宋体" w:hAnsi="宋体" w:eastAsia="宋体" w:cs="宋体"/>
          <w:color w:val="auto"/>
          <w:sz w:val="24"/>
          <w:highlight w:val="none"/>
        </w:rPr>
      </w:pPr>
    </w:p>
    <w:p w14:paraId="5F7EF45B">
      <w:pPr>
        <w:pStyle w:val="614"/>
        <w:kinsoku/>
        <w:overflowPunct/>
        <w:bidi w:val="0"/>
        <w:spacing w:line="400" w:lineRule="exact"/>
        <w:jc w:val="center"/>
        <w:rPr>
          <w:rFonts w:hint="eastAsia" w:ascii="宋体" w:hAnsi="宋体" w:eastAsia="宋体" w:cs="宋体"/>
          <w:b/>
          <w:color w:val="auto"/>
          <w:spacing w:val="6"/>
          <w:sz w:val="24"/>
          <w:highlight w:val="none"/>
        </w:rPr>
      </w:pPr>
    </w:p>
    <w:p w14:paraId="617A72EA">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14:paraId="416CB5F3">
      <w:pPr>
        <w:pStyle w:val="610"/>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14:paraId="2C5AB7DD">
      <w:pPr>
        <w:pStyle w:val="610"/>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14:paraId="173C187B">
      <w:pPr>
        <w:widowControl/>
        <w:kinsoku/>
        <w:overflowPunct/>
        <w:bidi w:val="0"/>
        <w:spacing w:line="400" w:lineRule="exact"/>
        <w:jc w:val="left"/>
        <w:rPr>
          <w:rFonts w:hint="eastAsia" w:ascii="宋体" w:hAnsi="宋体" w:eastAsia="宋体" w:cs="宋体"/>
          <w:color w:val="auto"/>
          <w:sz w:val="24"/>
          <w:highlight w:val="none"/>
        </w:rPr>
      </w:pPr>
    </w:p>
    <w:p w14:paraId="39E99DAA">
      <w:pPr>
        <w:pStyle w:val="5"/>
        <w:rPr>
          <w:rFonts w:hint="eastAsia"/>
          <w:color w:val="auto"/>
          <w:highlight w:val="none"/>
        </w:rPr>
      </w:pPr>
    </w:p>
    <w:p w14:paraId="6371FCEC">
      <w:pPr>
        <w:widowControl/>
        <w:kinsoku/>
        <w:overflowPunct/>
        <w:bidi w:val="0"/>
        <w:spacing w:line="400" w:lineRule="exact"/>
        <w:jc w:val="left"/>
        <w:rPr>
          <w:rFonts w:hint="eastAsia" w:ascii="宋体" w:hAnsi="宋体" w:eastAsia="宋体" w:cs="宋体"/>
          <w:color w:val="auto"/>
          <w:sz w:val="24"/>
          <w:highlight w:val="none"/>
        </w:rPr>
      </w:pPr>
    </w:p>
    <w:p w14:paraId="3D13C3AC">
      <w:pPr>
        <w:pStyle w:val="5"/>
        <w:rPr>
          <w:rFonts w:hint="eastAsia"/>
          <w:color w:val="auto"/>
          <w:highlight w:val="none"/>
        </w:rPr>
      </w:pPr>
    </w:p>
    <w:p w14:paraId="6BA97656">
      <w:pPr>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br w:type="page"/>
      </w:r>
    </w:p>
    <w:p w14:paraId="183A9D31">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表</w:t>
      </w:r>
      <w:r>
        <w:rPr>
          <w:rFonts w:hint="eastAsia" w:ascii="宋体" w:hAnsi="宋体" w:cs="宋体"/>
          <w:color w:val="auto"/>
          <w:sz w:val="24"/>
          <w:szCs w:val="22"/>
          <w:highlight w:val="none"/>
          <w:shd w:val="clear" w:color="auto" w:fill="auto"/>
          <w:lang w:val="en-US" w:eastAsia="zh-CN"/>
        </w:rPr>
        <w:t>8</w:t>
      </w:r>
      <w:r>
        <w:rPr>
          <w:rFonts w:hint="eastAsia" w:ascii="宋体" w:hAnsi="宋体" w:eastAsia="宋体" w:cs="宋体"/>
          <w:color w:val="auto"/>
          <w:sz w:val="24"/>
          <w:szCs w:val="22"/>
          <w:highlight w:val="none"/>
          <w:shd w:val="clear" w:color="auto" w:fill="auto"/>
        </w:rPr>
        <w:t>：与其他</w:t>
      </w:r>
      <w:r>
        <w:rPr>
          <w:rFonts w:hint="eastAsia" w:ascii="宋体" w:hAnsi="宋体" w:cs="宋体"/>
          <w:color w:val="auto"/>
          <w:sz w:val="24"/>
          <w:szCs w:val="22"/>
          <w:highlight w:val="none"/>
          <w:shd w:val="clear" w:color="auto" w:fill="auto"/>
          <w:lang w:eastAsia="zh-CN"/>
        </w:rPr>
        <w:t>投标人</w:t>
      </w:r>
      <w:r>
        <w:rPr>
          <w:rFonts w:hint="eastAsia" w:ascii="宋体" w:hAnsi="宋体" w:eastAsia="宋体" w:cs="宋体"/>
          <w:color w:val="auto"/>
          <w:sz w:val="24"/>
          <w:szCs w:val="22"/>
          <w:highlight w:val="none"/>
          <w:shd w:val="clear" w:color="auto" w:fill="auto"/>
        </w:rPr>
        <w:t>无利害关系的声明函</w:t>
      </w:r>
    </w:p>
    <w:p w14:paraId="7697F029">
      <w:pPr>
        <w:spacing w:line="312"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与其他</w:t>
      </w:r>
      <w:r>
        <w:rPr>
          <w:rFonts w:hint="eastAsia" w:ascii="宋体" w:hAnsi="宋体" w:cs="宋体"/>
          <w:b/>
          <w:color w:val="auto"/>
          <w:sz w:val="32"/>
          <w:szCs w:val="32"/>
          <w:highlight w:val="none"/>
          <w:shd w:val="clear" w:color="auto" w:fill="auto"/>
          <w:lang w:eastAsia="zh-CN"/>
        </w:rPr>
        <w:t>投标人</w:t>
      </w:r>
      <w:r>
        <w:rPr>
          <w:rFonts w:hint="eastAsia" w:ascii="宋体" w:hAnsi="宋体" w:eastAsia="宋体" w:cs="宋体"/>
          <w:b/>
          <w:color w:val="auto"/>
          <w:sz w:val="32"/>
          <w:szCs w:val="32"/>
          <w:highlight w:val="none"/>
          <w:shd w:val="clear" w:color="auto" w:fill="auto"/>
        </w:rPr>
        <w:t>无利害关系的声明函</w:t>
      </w:r>
    </w:p>
    <w:p w14:paraId="008ED64B">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shd w:val="clear" w:color="auto" w:fill="auto"/>
        </w:rPr>
      </w:pPr>
      <w:r>
        <w:rPr>
          <w:rFonts w:hint="eastAsia" w:ascii="宋体" w:hAnsi="宋体" w:cs="宋体"/>
          <w:color w:val="auto"/>
          <w:kern w:val="0"/>
          <w:sz w:val="24"/>
          <w:highlight w:val="none"/>
          <w:u w:val="single"/>
          <w:shd w:val="clear" w:color="auto" w:fill="auto"/>
          <w:lang w:eastAsia="zh-CN"/>
        </w:rPr>
        <w:t>衢州智造新城管理委员会</w:t>
      </w:r>
      <w:r>
        <w:rPr>
          <w:rFonts w:hint="eastAsia" w:ascii="宋体" w:hAnsi="宋体" w:eastAsia="宋体" w:cs="宋体"/>
          <w:color w:val="auto"/>
          <w:sz w:val="24"/>
          <w:szCs w:val="24"/>
          <w:highlight w:val="none"/>
          <w:shd w:val="clear" w:color="auto" w:fill="auto"/>
        </w:rPr>
        <w:t>：</w:t>
      </w:r>
    </w:p>
    <w:p w14:paraId="64CBAE37">
      <w:pPr>
        <w:pStyle w:val="5"/>
        <w:keepNext w:val="0"/>
        <w:keepLines w:val="0"/>
        <w:pageBreakBefore w:val="0"/>
        <w:tabs>
          <w:tab w:val="left" w:pos="1903"/>
          <w:tab w:val="left" w:pos="4336"/>
        </w:tabs>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 xml:space="preserve">（投标人）   </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参加</w:t>
      </w:r>
      <w:r>
        <w:rPr>
          <w:rFonts w:hint="eastAsia" w:ascii="宋体" w:hAnsi="宋体" w:cs="宋体"/>
          <w:color w:val="auto"/>
          <w:kern w:val="0"/>
          <w:sz w:val="24"/>
          <w:highlight w:val="none"/>
          <w:u w:val="single"/>
          <w:shd w:val="clear" w:color="auto" w:fill="auto"/>
          <w:lang w:eastAsia="zh-CN"/>
        </w:rPr>
        <w:t>衢州智造新城管理委员会</w:t>
      </w:r>
      <w:r>
        <w:rPr>
          <w:rFonts w:hint="eastAsia" w:ascii="宋体" w:hAnsi="宋体" w:eastAsia="宋体" w:cs="宋体"/>
          <w:color w:val="auto"/>
          <w:sz w:val="24"/>
          <w:szCs w:val="24"/>
          <w:highlight w:val="none"/>
          <w:shd w:val="clear" w:color="auto" w:fill="auto"/>
        </w:rPr>
        <w:t>（采购人）</w:t>
      </w:r>
      <w:r>
        <w:rPr>
          <w:rFonts w:hint="eastAsia" w:ascii="宋体" w:hAnsi="宋体" w:cs="宋体"/>
          <w:color w:val="auto"/>
          <w:sz w:val="24"/>
          <w:szCs w:val="24"/>
          <w:highlight w:val="none"/>
          <w:u w:val="single"/>
          <w:shd w:val="clear" w:color="auto" w:fill="auto"/>
          <w:lang w:eastAsia="zh-CN"/>
        </w:rPr>
        <w:t>智造新城建设项目环评技术评估</w:t>
      </w:r>
      <w:r>
        <w:rPr>
          <w:rFonts w:hint="eastAsia" w:ascii="宋体" w:hAnsi="宋体" w:eastAsia="宋体" w:cs="宋体"/>
          <w:color w:val="auto"/>
          <w:spacing w:val="-3"/>
          <w:sz w:val="24"/>
          <w:szCs w:val="24"/>
          <w:highlight w:val="none"/>
          <w:u w:val="single"/>
          <w:shd w:val="clear" w:color="auto" w:fill="auto"/>
        </w:rPr>
        <w:t>（项目编号</w:t>
      </w:r>
      <w:r>
        <w:rPr>
          <w:rFonts w:hint="eastAsia" w:ascii="宋体" w:hAnsi="宋体" w:eastAsia="宋体" w:cs="宋体"/>
          <w:color w:val="auto"/>
          <w:spacing w:val="-3"/>
          <w:sz w:val="24"/>
          <w:szCs w:val="24"/>
          <w:highlight w:val="none"/>
          <w:u w:val="single"/>
          <w:shd w:val="clear" w:color="auto" w:fill="auto"/>
          <w:lang w:eastAsia="zh-CN"/>
        </w:rPr>
        <w:t>：</w:t>
      </w:r>
      <w:r>
        <w:rPr>
          <w:rFonts w:hint="eastAsia" w:ascii="宋体" w:hAnsi="宋体" w:eastAsia="宋体" w:cs="宋体"/>
          <w:color w:val="auto"/>
          <w:sz w:val="24"/>
          <w:szCs w:val="24"/>
          <w:highlight w:val="none"/>
          <w:u w:val="single"/>
          <w:shd w:val="clear" w:color="auto" w:fill="auto"/>
          <w:lang w:val="en-US" w:eastAsia="zh-CN"/>
        </w:rPr>
        <w:t>ZZCG-2025-027</w:t>
      </w:r>
      <w:r>
        <w:rPr>
          <w:rFonts w:hint="eastAsia" w:ascii="宋体" w:hAnsi="宋体" w:eastAsia="宋体" w:cs="宋体"/>
          <w:color w:val="auto"/>
          <w:spacing w:val="-3"/>
          <w:sz w:val="24"/>
          <w:szCs w:val="24"/>
          <w:highlight w:val="none"/>
          <w:shd w:val="clear" w:color="auto" w:fill="auto"/>
        </w:rPr>
        <w:t>）政府采购活动，与其他</w:t>
      </w:r>
      <w:r>
        <w:rPr>
          <w:rFonts w:hint="eastAsia" w:ascii="宋体" w:hAnsi="宋体" w:cs="宋体"/>
          <w:color w:val="auto"/>
          <w:spacing w:val="-3"/>
          <w:sz w:val="24"/>
          <w:szCs w:val="24"/>
          <w:highlight w:val="none"/>
          <w:shd w:val="clear" w:color="auto" w:fill="auto"/>
          <w:lang w:eastAsia="zh-CN"/>
        </w:rPr>
        <w:t>投标人</w:t>
      </w:r>
      <w:r>
        <w:rPr>
          <w:rFonts w:hint="eastAsia" w:ascii="宋体" w:hAnsi="宋体" w:eastAsia="宋体" w:cs="宋体"/>
          <w:color w:val="auto"/>
          <w:spacing w:val="-3"/>
          <w:sz w:val="24"/>
          <w:szCs w:val="24"/>
          <w:highlight w:val="none"/>
          <w:shd w:val="clear" w:color="auto" w:fill="auto"/>
        </w:rPr>
        <w:t>不存在法定代表人为同一人或存在直接控股、管理关系。</w:t>
      </w:r>
    </w:p>
    <w:p w14:paraId="13B7211C">
      <w:pPr>
        <w:pStyle w:val="5"/>
        <w:keepNext w:val="0"/>
        <w:keepLines w:val="0"/>
        <w:pageBreakBefore w:val="0"/>
        <w:kinsoku/>
        <w:wordWrap/>
        <w:overflowPunct/>
        <w:topLinePunct w:val="0"/>
        <w:autoSpaceDE/>
        <w:autoSpaceDN/>
        <w:bidi w:val="0"/>
        <w:adjustRightInd/>
        <w:snapToGrid/>
        <w:spacing w:after="0" w:line="480" w:lineRule="exact"/>
        <w:ind w:left="490" w:leftChars="170" w:right="-30" w:hanging="14" w:hangingChars="6"/>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我方对上述声明的真实性负责。如有虚假，愿意承担相应责任，对此无任何异议。特此声明！</w:t>
      </w:r>
    </w:p>
    <w:p w14:paraId="34349B3E">
      <w:pPr>
        <w:pStyle w:val="87"/>
        <w:rPr>
          <w:rFonts w:hint="eastAsia" w:ascii="宋体" w:hAnsi="宋体" w:eastAsia="宋体" w:cs="宋体"/>
          <w:color w:val="auto"/>
          <w:sz w:val="24"/>
          <w:szCs w:val="24"/>
          <w:highlight w:val="none"/>
          <w:shd w:val="clear" w:color="auto" w:fill="auto"/>
        </w:rPr>
      </w:pPr>
    </w:p>
    <w:p w14:paraId="45092AA6">
      <w:pPr>
        <w:pStyle w:val="69"/>
        <w:rPr>
          <w:rFonts w:hint="eastAsia"/>
          <w:color w:val="auto"/>
          <w:highlight w:val="none"/>
        </w:rPr>
      </w:pPr>
    </w:p>
    <w:p w14:paraId="1069D882">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14:paraId="33A9FCC6">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14:paraId="7B2978A3">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cs="宋体"/>
          <w:color w:val="auto"/>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rPr>
        <w:t>年  月  日</w:t>
      </w:r>
    </w:p>
    <w:p w14:paraId="7E90D69D">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14:paraId="307C428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14:paraId="202D1E8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14:paraId="172FCF1A">
      <w:pPr>
        <w:pStyle w:val="88"/>
        <w:rPr>
          <w:rFonts w:hint="eastAsia" w:ascii="宋体" w:hAnsi="宋体" w:eastAsia="宋体" w:cs="宋体"/>
          <w:color w:val="auto"/>
          <w:sz w:val="24"/>
          <w:highlight w:val="none"/>
          <w:shd w:val="clear" w:color="auto" w:fill="auto"/>
        </w:rPr>
      </w:pPr>
    </w:p>
    <w:p w14:paraId="4CAB775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sz w:val="24"/>
          <w:highlight w:val="none"/>
          <w:shd w:val="clear" w:color="auto" w:fill="auto"/>
        </w:rPr>
        <w:t>非联合体的声明函</w:t>
      </w:r>
    </w:p>
    <w:p w14:paraId="1311D6CA">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非联合体的声明函 </w:t>
      </w:r>
    </w:p>
    <w:p w14:paraId="5E65FAE1">
      <w:pPr>
        <w:spacing w:line="312" w:lineRule="auto"/>
        <w:ind w:firstLine="480" w:firstLineChars="200"/>
        <w:rPr>
          <w:rFonts w:hint="eastAsia" w:ascii="宋体" w:hAnsi="宋体" w:eastAsia="宋体" w:cs="宋体"/>
          <w:color w:val="auto"/>
          <w:sz w:val="24"/>
          <w:szCs w:val="24"/>
          <w:highlight w:val="none"/>
          <w:u w:val="single"/>
          <w:shd w:val="clear" w:color="auto" w:fill="auto"/>
        </w:rPr>
      </w:pPr>
      <w:r>
        <w:rPr>
          <w:rFonts w:hint="eastAsia" w:ascii="宋体" w:hAnsi="宋体" w:cs="宋体"/>
          <w:color w:val="auto"/>
          <w:kern w:val="0"/>
          <w:sz w:val="24"/>
          <w:highlight w:val="none"/>
          <w:u w:val="single"/>
          <w:shd w:val="clear" w:color="auto" w:fill="auto"/>
          <w:lang w:eastAsia="zh-CN"/>
        </w:rPr>
        <w:t>衢州智造新城管理委员会</w:t>
      </w:r>
      <w:r>
        <w:rPr>
          <w:rFonts w:hint="eastAsia" w:ascii="宋体" w:hAnsi="宋体" w:eastAsia="宋体" w:cs="宋体"/>
          <w:color w:val="auto"/>
          <w:sz w:val="24"/>
          <w:szCs w:val="24"/>
          <w:highlight w:val="none"/>
          <w:u w:val="none"/>
          <w:shd w:val="clear" w:color="auto" w:fill="auto"/>
        </w:rPr>
        <w:t>：</w:t>
      </w:r>
    </w:p>
    <w:p w14:paraId="23F85619">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    （投标人）    </w:t>
      </w:r>
      <w:r>
        <w:rPr>
          <w:rFonts w:hint="eastAsia" w:ascii="宋体" w:hAnsi="宋体" w:eastAsia="宋体" w:cs="宋体"/>
          <w:color w:val="auto"/>
          <w:sz w:val="24"/>
          <w:szCs w:val="24"/>
          <w:highlight w:val="none"/>
          <w:shd w:val="clear" w:color="auto" w:fill="auto"/>
        </w:rPr>
        <w:t>独立参加</w:t>
      </w:r>
      <w:r>
        <w:rPr>
          <w:rFonts w:hint="eastAsia" w:ascii="宋体" w:hAnsi="宋体" w:cs="宋体"/>
          <w:color w:val="auto"/>
          <w:sz w:val="24"/>
          <w:szCs w:val="24"/>
          <w:highlight w:val="none"/>
          <w:u w:val="single"/>
          <w:shd w:val="clear" w:color="auto" w:fill="auto"/>
          <w:lang w:eastAsia="zh-CN"/>
        </w:rPr>
        <w:t>智造新城建设项目环评技术评估</w:t>
      </w:r>
      <w:r>
        <w:rPr>
          <w:rFonts w:hint="eastAsia" w:ascii="宋体" w:hAnsi="宋体" w:eastAsia="宋体" w:cs="宋体"/>
          <w:color w:val="auto"/>
          <w:spacing w:val="-3"/>
          <w:sz w:val="24"/>
          <w:szCs w:val="24"/>
          <w:highlight w:val="none"/>
          <w:u w:val="single"/>
          <w:shd w:val="clear" w:color="auto" w:fill="auto"/>
        </w:rPr>
        <w:t>（项目编号</w:t>
      </w:r>
      <w:r>
        <w:rPr>
          <w:rFonts w:hint="eastAsia" w:ascii="宋体" w:hAnsi="宋体" w:eastAsia="宋体" w:cs="宋体"/>
          <w:color w:val="auto"/>
          <w:spacing w:val="-3"/>
          <w:sz w:val="24"/>
          <w:szCs w:val="24"/>
          <w:highlight w:val="none"/>
          <w:u w:val="single"/>
          <w:shd w:val="clear" w:color="auto" w:fill="auto"/>
          <w:lang w:eastAsia="zh-CN"/>
        </w:rPr>
        <w:t>：</w:t>
      </w:r>
      <w:r>
        <w:rPr>
          <w:rFonts w:hint="eastAsia" w:ascii="宋体" w:hAnsi="宋体" w:eastAsia="宋体" w:cs="宋体"/>
          <w:color w:val="auto"/>
          <w:sz w:val="24"/>
          <w:szCs w:val="24"/>
          <w:highlight w:val="none"/>
          <w:u w:val="single"/>
          <w:shd w:val="clear" w:color="auto" w:fill="auto"/>
          <w:lang w:val="en-US" w:eastAsia="zh-CN"/>
        </w:rPr>
        <w:t>ZZCG-2025-027</w:t>
      </w:r>
      <w:r>
        <w:rPr>
          <w:rFonts w:hint="eastAsia" w:ascii="宋体" w:hAnsi="宋体" w:eastAsia="宋体" w:cs="宋体"/>
          <w:color w:val="auto"/>
          <w:spacing w:val="-3"/>
          <w:sz w:val="24"/>
          <w:szCs w:val="24"/>
          <w:highlight w:val="none"/>
          <w:shd w:val="clear" w:color="auto" w:fill="auto"/>
        </w:rPr>
        <w:t>）</w:t>
      </w:r>
      <w:r>
        <w:rPr>
          <w:rFonts w:hint="eastAsia" w:ascii="宋体" w:hAnsi="宋体" w:eastAsia="宋体" w:cs="宋体"/>
          <w:color w:val="auto"/>
          <w:sz w:val="24"/>
          <w:szCs w:val="24"/>
          <w:highlight w:val="none"/>
          <w:shd w:val="clear" w:color="auto" w:fill="auto"/>
        </w:rPr>
        <w:t xml:space="preserve">政府采购活动，未与其他单位组成联合体。 </w:t>
      </w:r>
    </w:p>
    <w:p w14:paraId="1A5F8885">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本公司对上述声明的真实性负责。如有虚假，将依法承担相应责任。 </w:t>
      </w:r>
    </w:p>
    <w:p w14:paraId="51F5609D">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14:paraId="4E85219E">
      <w:pPr>
        <w:pStyle w:val="5"/>
        <w:rPr>
          <w:rFonts w:hint="eastAsia" w:ascii="宋体" w:hAnsi="宋体" w:eastAsia="宋体" w:cs="宋体"/>
          <w:color w:val="auto"/>
          <w:sz w:val="24"/>
          <w:szCs w:val="24"/>
          <w:highlight w:val="none"/>
          <w:shd w:val="clear" w:color="auto" w:fill="auto"/>
        </w:rPr>
      </w:pPr>
    </w:p>
    <w:p w14:paraId="3272AA94">
      <w:pPr>
        <w:pStyle w:val="87"/>
        <w:rPr>
          <w:rFonts w:hint="eastAsia"/>
          <w:color w:val="auto"/>
          <w:highlight w:val="none"/>
        </w:rPr>
      </w:pPr>
    </w:p>
    <w:p w14:paraId="15296728">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14:paraId="5B2CAB03">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14:paraId="2F1ECE01">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cs="宋体"/>
          <w:color w:val="auto"/>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rPr>
        <w:t>年  月  日</w:t>
      </w:r>
    </w:p>
    <w:p w14:paraId="0E1F0A35">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7DC874F1">
      <w:pPr>
        <w:pStyle w:val="3"/>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格式二：投标声明函</w:t>
      </w:r>
      <w:bookmarkEnd w:id="83"/>
      <w:bookmarkEnd w:id="87"/>
    </w:p>
    <w:p w14:paraId="6520E64A">
      <w:pPr>
        <w:kinsoku/>
        <w:overflowPunct/>
        <w:bidi w:val="0"/>
        <w:adjustRightInd w:val="0"/>
        <w:snapToGrid w:val="0"/>
        <w:spacing w:line="400" w:lineRule="exact"/>
        <w:rPr>
          <w:rFonts w:hint="eastAsia" w:ascii="宋体" w:hAnsi="宋体" w:cs="宋体"/>
          <w:color w:val="auto"/>
          <w:sz w:val="24"/>
          <w:highlight w:val="none"/>
          <w:lang w:eastAsia="zh-CN"/>
        </w:rPr>
      </w:pPr>
    </w:p>
    <w:p w14:paraId="36AE4192">
      <w:pPr>
        <w:kinsoku/>
        <w:overflowPunct/>
        <w:bidi w:val="0"/>
        <w:adjustRightInd w:val="0"/>
        <w:snapToGrid w:val="0"/>
        <w:spacing w:line="400" w:lineRule="exac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衢州智造新城管理委员会</w:t>
      </w:r>
    </w:p>
    <w:p w14:paraId="6AD79B49">
      <w:pPr>
        <w:kinsoku/>
        <w:overflowPunct/>
        <w:bidi w:val="0"/>
        <w:adjustRightInd w:val="0"/>
        <w:snapToGrid w:val="0"/>
        <w:spacing w:line="400" w:lineRule="exact"/>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eastAsia="zh-CN"/>
        </w:rPr>
        <w:t>浙江中际工程项目管理有限公司</w:t>
      </w:r>
      <w:r>
        <w:rPr>
          <w:rFonts w:hint="eastAsia" w:ascii="宋体" w:hAnsi="宋体" w:eastAsia="宋体" w:cs="宋体"/>
          <w:color w:val="auto"/>
          <w:sz w:val="24"/>
          <w:szCs w:val="24"/>
          <w:highlight w:val="none"/>
        </w:rPr>
        <w:t>：</w:t>
      </w:r>
    </w:p>
    <w:p w14:paraId="5C4A63A5">
      <w:pPr>
        <w:pStyle w:val="3"/>
        <w:kinsoku/>
        <w:overflowPunct/>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本单位自愿参加</w:t>
      </w:r>
      <w:r>
        <w:rPr>
          <w:rFonts w:hint="eastAsia" w:hAnsi="宋体" w:cs="宋体"/>
          <w:color w:val="auto"/>
          <w:sz w:val="24"/>
          <w:szCs w:val="24"/>
          <w:highlight w:val="none"/>
          <w:u w:val="single"/>
          <w:shd w:val="clear" w:color="auto" w:fill="auto"/>
          <w:lang w:eastAsia="zh-CN"/>
        </w:rPr>
        <w:t>智造新城建设项目环评技术评估</w:t>
      </w:r>
      <w:r>
        <w:rPr>
          <w:rFonts w:hint="eastAsia" w:ascii="宋体" w:hAnsi="宋体" w:eastAsia="宋体" w:cs="宋体"/>
          <w:color w:val="auto"/>
          <w:spacing w:val="-3"/>
          <w:sz w:val="24"/>
          <w:szCs w:val="24"/>
          <w:highlight w:val="none"/>
          <w:u w:val="single"/>
          <w:shd w:val="clear" w:color="auto" w:fill="auto"/>
        </w:rPr>
        <w:t>（项目编号</w:t>
      </w:r>
      <w:r>
        <w:rPr>
          <w:rFonts w:hint="eastAsia" w:ascii="宋体" w:hAnsi="宋体" w:eastAsia="宋体" w:cs="宋体"/>
          <w:color w:val="auto"/>
          <w:spacing w:val="-3"/>
          <w:sz w:val="24"/>
          <w:szCs w:val="24"/>
          <w:highlight w:val="none"/>
          <w:u w:val="single"/>
          <w:shd w:val="clear" w:color="auto" w:fill="auto"/>
          <w:lang w:eastAsia="zh-CN"/>
        </w:rPr>
        <w:t>：</w:t>
      </w:r>
      <w:r>
        <w:rPr>
          <w:rFonts w:hint="eastAsia" w:ascii="宋体" w:hAnsi="宋体" w:eastAsia="宋体" w:cs="宋体"/>
          <w:color w:val="auto"/>
          <w:sz w:val="24"/>
          <w:szCs w:val="24"/>
          <w:highlight w:val="none"/>
          <w:u w:val="single"/>
          <w:shd w:val="clear" w:color="auto" w:fill="auto"/>
          <w:lang w:val="en-US" w:eastAsia="zh-CN"/>
        </w:rPr>
        <w:t>ZZCG-2025-027</w:t>
      </w:r>
      <w:r>
        <w:rPr>
          <w:rFonts w:hint="eastAsia" w:ascii="宋体" w:hAnsi="宋体" w:eastAsia="宋体" w:cs="宋体"/>
          <w:color w:val="auto"/>
          <w:spacing w:val="-3"/>
          <w:sz w:val="24"/>
          <w:szCs w:val="24"/>
          <w:highlight w:val="none"/>
          <w:shd w:val="clear" w:color="auto" w:fill="auto"/>
        </w:rPr>
        <w:t>）</w:t>
      </w:r>
      <w:r>
        <w:rPr>
          <w:rFonts w:hint="eastAsia" w:ascii="宋体" w:hAnsi="宋体" w:eastAsia="宋体" w:cs="宋体"/>
          <w:color w:val="auto"/>
          <w:sz w:val="24"/>
          <w:szCs w:val="24"/>
          <w:highlight w:val="none"/>
        </w:rPr>
        <w:t>的投标，并保证投标文件中所列举的投报价文件及相关资料和公司基本情况资料是真实的、合法的，我方：</w:t>
      </w:r>
    </w:p>
    <w:p w14:paraId="136BD331">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bookmarkStart w:id="89" w:name="_Toc522530053"/>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已详细阅读全部招标文件，包括招标文件补充文件（（如果有，包括相关的补充、更正、澄清公告和文件））、参考资料及有关附件，确认无误。我方完全理解并接受招标文件的各项规定和要求。</w:t>
      </w:r>
    </w:p>
    <w:p w14:paraId="0259CB23">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同意提供按照贵方可能要求的与投标有关的一切数据或资料等。若贵方需要，我方愿意提供我方作出的一切承诺的证明材料。</w:t>
      </w:r>
    </w:p>
    <w:p w14:paraId="4E349CCE">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中标或者成交后，按采购文件规定与采购人签订合同。拒绝签订合同的，承诺按采购预算金额的2%对采购人进行赔偿；赔偿金额不足以弥补采购人损失的，承诺继续承担超过部分的损失。</w:t>
      </w:r>
    </w:p>
    <w:p w14:paraId="7F7E3767">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同意在招标文件中投标人须知规定的开标日期起遵守本投标书中的承诺且在投标有效期满之前均具有约束力。</w:t>
      </w:r>
    </w:p>
    <w:p w14:paraId="21151577">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投标有效期内不撤销投标文件；强行撤销的，承诺按采购预算金额的2%赔偿对采购组织机构造成损失；</w:t>
      </w:r>
    </w:p>
    <w:p w14:paraId="11B3DA39">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中标或者成交后，按采购文件规定的采购代理服务费标准，承诺在签订合同前向采购代理机构支付采购代理服务费。</w:t>
      </w:r>
    </w:p>
    <w:p w14:paraId="0F15CC05">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完全理解贵方不一定要接受最低价的投标。</w:t>
      </w:r>
    </w:p>
    <w:p w14:paraId="110D5159">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单位、法定代表人、本项目授权代表及本项目负责人在参加本项目前三年内（以法院判决书生效日期为准）均无行贿犯罪记录。</w:t>
      </w:r>
    </w:p>
    <w:p w14:paraId="74853676">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如有列情形之一的，我方愿意被取消中标资格（如中标），同时继续承担其他一切法律后果，并不再寻求任何旨在减轻或免除法律责任的解释：</w:t>
      </w:r>
    </w:p>
    <w:p w14:paraId="4B5BDDBC">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(1)提供虚假材料（承诺）谋取中标、成交的；</w:t>
      </w:r>
    </w:p>
    <w:p w14:paraId="69B9A7B0">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(2)采取不正当手段诋毁、排挤其他投标人的；</w:t>
      </w:r>
    </w:p>
    <w:p w14:paraId="23F0B9FA">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(3)与招标人、其它投标人或者招标代理机构恶意串通的；</w:t>
      </w:r>
    </w:p>
    <w:p w14:paraId="5F24A1D3">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(4)向招标人、招标代理机构行贿或者提供其他不正当利益的；</w:t>
      </w:r>
    </w:p>
    <w:p w14:paraId="0F24E740">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(5)在招标采购过程中与招标人进行协商谈判的；</w:t>
      </w:r>
    </w:p>
    <w:p w14:paraId="30C665FF">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(6)拒绝有关部门监督检查或提供虚假情况的。</w:t>
      </w:r>
    </w:p>
    <w:p w14:paraId="2815BD2C">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14:paraId="0F484665">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法定（授权）代表人（签字或盖章）：                      </w:t>
      </w:r>
    </w:p>
    <w:p w14:paraId="76B03D52">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投标人盖章：                            </w:t>
      </w:r>
    </w:p>
    <w:p w14:paraId="21B6DC85">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联系电话（手机及座机）：           </w:t>
      </w:r>
    </w:p>
    <w:p w14:paraId="717BC2E4">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p w14:paraId="104334A1">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电子邮件：              </w:t>
      </w:r>
    </w:p>
    <w:p w14:paraId="6CBE399A">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纳税人识别号：                                                </w:t>
      </w:r>
    </w:p>
    <w:p w14:paraId="56F298AC">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p w14:paraId="06B6A2B9">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银行账号：                                                    </w:t>
      </w:r>
    </w:p>
    <w:p w14:paraId="0B92F4D2">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联系地址：                                                    </w:t>
      </w:r>
    </w:p>
    <w:p w14:paraId="288FF633">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邮政编码：                     </w:t>
      </w:r>
    </w:p>
    <w:p w14:paraId="6C21D731">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    期：        年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月    日</w:t>
      </w:r>
    </w:p>
    <w:p w14:paraId="08DFDC4B">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14:paraId="0679259E">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14:paraId="16E456FD">
      <w:pPr>
        <w:kinsoku/>
        <w:overflowPunct/>
        <w:bidi w:val="0"/>
        <w:adjustRightInd w:val="0"/>
        <w:snapToGrid w:val="0"/>
        <w:spacing w:line="400" w:lineRule="exact"/>
        <w:rPr>
          <w:rFonts w:hint="eastAsia" w:ascii="宋体" w:hAnsi="宋体" w:eastAsia="宋体" w:cs="宋体"/>
          <w:color w:val="auto"/>
          <w:sz w:val="24"/>
          <w:szCs w:val="24"/>
          <w:highlight w:val="none"/>
        </w:rPr>
        <w:sectPr>
          <w:headerReference r:id="rId12" w:type="default"/>
          <w:footerReference r:id="rId13" w:type="default"/>
          <w:pgSz w:w="11906" w:h="16838"/>
          <w:pgMar w:top="1134" w:right="1417" w:bottom="1134" w:left="1417" w:header="851" w:footer="850" w:gutter="0"/>
          <w:pgBorders>
            <w:top w:val="none" w:sz="0" w:space="0"/>
            <w:left w:val="none" w:sz="0" w:space="0"/>
            <w:bottom w:val="none" w:sz="0" w:space="0"/>
            <w:right w:val="none" w:sz="0" w:space="0"/>
          </w:pgBorders>
          <w:pgNumType w:fmt="decimal"/>
          <w:cols w:space="0" w:num="1"/>
          <w:titlePg/>
          <w:rtlGutter w:val="0"/>
          <w:docGrid w:linePitch="381" w:charSpace="0"/>
        </w:sectPr>
      </w:pPr>
      <w:r>
        <w:rPr>
          <w:rFonts w:hint="eastAsia" w:ascii="宋体" w:hAnsi="宋体" w:eastAsia="宋体" w:cs="宋体"/>
          <w:b/>
          <w:color w:val="auto"/>
          <w:kern w:val="0"/>
          <w:sz w:val="24"/>
          <w:szCs w:val="24"/>
          <w:highlight w:val="none"/>
          <w:lang w:val="zh-CN"/>
        </w:rPr>
        <w:t>注：未按照本投标声明函要求填报的将被视为非实质性响应，从而可能导致该投标文件被拒绝。</w:t>
      </w:r>
    </w:p>
    <w:p w14:paraId="6BD6A6B4">
      <w:pPr>
        <w:pStyle w:val="3"/>
        <w:kinsoku/>
        <w:overflowPunct/>
        <w:bidi w:val="0"/>
        <w:adjustRightInd w:val="0"/>
        <w:snapToGrid w:val="0"/>
        <w:spacing w:line="400" w:lineRule="exact"/>
        <w:outlineLvl w:val="1"/>
        <w:rPr>
          <w:rFonts w:hint="eastAsia" w:ascii="宋体" w:hAnsi="宋体" w:eastAsia="宋体" w:cs="宋体"/>
          <w:b/>
          <w:color w:val="auto"/>
          <w:sz w:val="28"/>
          <w:highlight w:val="none"/>
        </w:rPr>
      </w:pPr>
      <w:bookmarkStart w:id="90" w:name="_Toc15127"/>
      <w:r>
        <w:rPr>
          <w:rFonts w:hint="eastAsia" w:ascii="宋体" w:hAnsi="宋体" w:eastAsia="宋体" w:cs="宋体"/>
          <w:b/>
          <w:color w:val="auto"/>
          <w:kern w:val="0"/>
          <w:sz w:val="30"/>
          <w:highlight w:val="none"/>
          <w:lang w:val="zh-CN"/>
        </w:rPr>
        <w:t>格式三：</w:t>
      </w:r>
      <w:r>
        <w:rPr>
          <w:rFonts w:hint="eastAsia" w:ascii="宋体" w:hAnsi="宋体" w:eastAsia="宋体" w:cs="宋体"/>
          <w:b/>
          <w:color w:val="auto"/>
          <w:sz w:val="28"/>
          <w:highlight w:val="none"/>
        </w:rPr>
        <w:t>法定代表人身份证明或法定代表人身份证明及授权委托书</w:t>
      </w:r>
      <w:bookmarkEnd w:id="89"/>
      <w:bookmarkEnd w:id="90"/>
    </w:p>
    <w:p w14:paraId="0D57699B">
      <w:pPr>
        <w:pStyle w:val="3"/>
        <w:kinsoku/>
        <w:overflowPunct/>
        <w:bidi w:val="0"/>
        <w:adjustRightInd w:val="0"/>
        <w:snapToGrid w:val="0"/>
        <w:spacing w:line="400" w:lineRule="exact"/>
        <w:jc w:val="center"/>
        <w:rPr>
          <w:rFonts w:hint="eastAsia" w:ascii="宋体" w:hAnsi="宋体" w:eastAsia="宋体" w:cs="宋体"/>
          <w:b/>
          <w:color w:val="auto"/>
          <w:sz w:val="28"/>
          <w:highlight w:val="none"/>
        </w:rPr>
      </w:pPr>
    </w:p>
    <w:p w14:paraId="64EFE2E5">
      <w:pPr>
        <w:pStyle w:val="3"/>
        <w:kinsoku/>
        <w:overflowPunct/>
        <w:bidi w:val="0"/>
        <w:adjustRightInd w:val="0"/>
        <w:snapToGrid w:val="0"/>
        <w:spacing w:line="400" w:lineRule="exact"/>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sz w:val="28"/>
          <w:highlight w:val="none"/>
        </w:rPr>
        <w:t>3-1法定代表人身份证明</w:t>
      </w:r>
    </w:p>
    <w:p w14:paraId="58715A14">
      <w:pPr>
        <w:kinsoku/>
        <w:overflowPunct/>
        <w:bidi w:val="0"/>
        <w:adjustRightInd w:val="0"/>
        <w:snapToGrid w:val="0"/>
        <w:spacing w:line="400" w:lineRule="exact"/>
        <w:rPr>
          <w:rFonts w:hint="eastAsia" w:ascii="宋体" w:hAnsi="宋体" w:eastAsia="宋体" w:cs="宋体"/>
          <w:color w:val="auto"/>
          <w:sz w:val="24"/>
          <w:highlight w:val="none"/>
        </w:rPr>
      </w:pPr>
    </w:p>
    <w:p w14:paraId="544F983E">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  性别：  年龄：  职务：</w:t>
      </w:r>
    </w:p>
    <w:p w14:paraId="6C0A2963">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（投标人名称）的法定代表人。</w:t>
      </w:r>
    </w:p>
    <w:p w14:paraId="0ED8C1CE">
      <w:pPr>
        <w:kinsoku/>
        <w:overflowPunct/>
        <w:bidi w:val="0"/>
        <w:adjustRightInd w:val="0"/>
        <w:snapToGrid w:val="0"/>
        <w:spacing w:line="400" w:lineRule="exact"/>
        <w:ind w:firstLine="560"/>
        <w:rPr>
          <w:rFonts w:hint="eastAsia" w:ascii="宋体" w:hAnsi="宋体" w:eastAsia="宋体" w:cs="宋体"/>
          <w:color w:val="auto"/>
          <w:sz w:val="24"/>
          <w:highlight w:val="none"/>
        </w:rPr>
      </w:pPr>
    </w:p>
    <w:p w14:paraId="145213A4">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729C507E">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附：法定代表人身份证复印件</w:t>
      </w:r>
    </w:p>
    <w:p w14:paraId="4D5E12A0">
      <w:pPr>
        <w:kinsoku/>
        <w:overflowPunct/>
        <w:bidi w:val="0"/>
        <w:adjustRightInd w:val="0"/>
        <w:snapToGrid w:val="0"/>
        <w:spacing w:line="400" w:lineRule="exact"/>
        <w:rPr>
          <w:rFonts w:hint="eastAsia" w:ascii="宋体" w:hAnsi="宋体" w:eastAsia="宋体" w:cs="宋体"/>
          <w:color w:val="auto"/>
          <w:sz w:val="24"/>
          <w:highlight w:val="none"/>
        </w:rPr>
      </w:pPr>
    </w:p>
    <w:p w14:paraId="74285EE4">
      <w:pPr>
        <w:kinsoku/>
        <w:overflowPunct/>
        <w:bidi w:val="0"/>
        <w:adjustRightInd w:val="0"/>
        <w:snapToGrid w:val="0"/>
        <w:spacing w:line="400" w:lineRule="exact"/>
        <w:ind w:right="1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投标人：（全称加盖公章） </w:t>
      </w:r>
    </w:p>
    <w:p w14:paraId="6F586164">
      <w:pPr>
        <w:kinsoku/>
        <w:overflowPunct/>
        <w:bidi w:val="0"/>
        <w:adjustRightInd w:val="0"/>
        <w:snapToGrid w:val="0"/>
        <w:spacing w:line="400" w:lineRule="exact"/>
        <w:ind w:right="1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tbl>
      <w:tblPr>
        <w:tblStyle w:val="89"/>
        <w:tblW w:w="6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4"/>
      </w:tblGrid>
      <w:tr w14:paraId="06FB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4" w:hRule="atLeast"/>
          <w:jc w:val="center"/>
        </w:trPr>
        <w:tc>
          <w:tcPr>
            <w:tcW w:w="6864" w:type="dxa"/>
            <w:vAlign w:val="center"/>
          </w:tcPr>
          <w:p w14:paraId="1E386C3C">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法定代表人身份证复印件粘贴处（正、反面）</w:t>
            </w:r>
          </w:p>
        </w:tc>
      </w:tr>
    </w:tbl>
    <w:p w14:paraId="3C348F1E">
      <w:pPr>
        <w:kinsoku/>
        <w:overflowPunct/>
        <w:bidi w:val="0"/>
        <w:spacing w:beforeLines="50" w:line="400" w:lineRule="exact"/>
        <w:jc w:val="center"/>
        <w:rPr>
          <w:rFonts w:hint="eastAsia" w:ascii="宋体" w:hAnsi="宋体" w:eastAsia="宋体" w:cs="宋体"/>
          <w:b/>
          <w:color w:val="auto"/>
          <w:highlight w:val="none"/>
        </w:rPr>
      </w:pPr>
    </w:p>
    <w:p w14:paraId="79044264">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14E64E5D">
      <w:pPr>
        <w:pStyle w:val="3"/>
        <w:kinsoku/>
        <w:overflowPunct/>
        <w:bidi w:val="0"/>
        <w:spacing w:line="400" w:lineRule="exact"/>
        <w:rPr>
          <w:rFonts w:hint="eastAsia"/>
          <w:color w:val="auto"/>
          <w:highlight w:val="none"/>
        </w:rPr>
      </w:pPr>
    </w:p>
    <w:p w14:paraId="75557E38">
      <w:pPr>
        <w:kinsoku/>
        <w:overflowPunct/>
        <w:bidi w:val="0"/>
        <w:spacing w:beforeLines="50"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3-2法定代表人授权委托书</w:t>
      </w:r>
    </w:p>
    <w:p w14:paraId="7068D7BE">
      <w:pPr>
        <w:kinsoku/>
        <w:overflowPunct/>
        <w:bidi w:val="0"/>
        <w:adjustRightInd w:val="0"/>
        <w:snapToGrid w:val="0"/>
        <w:spacing w:line="400" w:lineRule="exact"/>
        <w:rPr>
          <w:rFonts w:hint="eastAsia" w:ascii="宋体" w:hAnsi="宋体" w:cs="宋体"/>
          <w:color w:val="auto"/>
          <w:sz w:val="24"/>
          <w:highlight w:val="none"/>
          <w:lang w:eastAsia="zh-CN"/>
        </w:rPr>
      </w:pPr>
    </w:p>
    <w:p w14:paraId="1D9EE9F5">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衢州智造新城管理委员会</w:t>
      </w:r>
      <w:r>
        <w:rPr>
          <w:rFonts w:hint="eastAsia" w:ascii="宋体" w:hAnsi="宋体" w:eastAsia="宋体" w:cs="宋体"/>
          <w:color w:val="auto"/>
          <w:sz w:val="24"/>
          <w:highlight w:val="none"/>
        </w:rPr>
        <w:t xml:space="preserve"> </w:t>
      </w:r>
    </w:p>
    <w:p w14:paraId="3BAD1834">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kern w:val="0"/>
          <w:sz w:val="24"/>
          <w:highlight w:val="none"/>
          <w:lang w:val="zh-CN"/>
        </w:rPr>
        <w:t>浙江中际工程项目管理有限公司</w:t>
      </w:r>
      <w:r>
        <w:rPr>
          <w:rFonts w:hint="eastAsia" w:ascii="宋体" w:hAnsi="宋体" w:eastAsia="宋体" w:cs="宋体"/>
          <w:color w:val="auto"/>
          <w:kern w:val="0"/>
          <w:sz w:val="24"/>
          <w:highlight w:val="none"/>
          <w:lang w:val="zh-CN"/>
        </w:rPr>
        <w:t>：</w:t>
      </w:r>
    </w:p>
    <w:p w14:paraId="6241FAB9">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  （职务）</w:t>
      </w:r>
      <w:r>
        <w:rPr>
          <w:rFonts w:hint="eastAsia" w:ascii="宋体" w:hAnsi="宋体" w:eastAsia="宋体" w:cs="宋体"/>
          <w:color w:val="auto"/>
          <w:sz w:val="24"/>
          <w:highlight w:val="none"/>
        </w:rPr>
        <w:t>为我方授权代表，以我方名义签署、澄清、说明、补正、递交、撤回、修改</w:t>
      </w:r>
      <w:r>
        <w:rPr>
          <w:rFonts w:hint="eastAsia" w:ascii="宋体" w:hAnsi="宋体" w:cs="宋体"/>
          <w:color w:val="auto"/>
          <w:sz w:val="24"/>
          <w:szCs w:val="24"/>
          <w:highlight w:val="none"/>
          <w:u w:val="single"/>
          <w:shd w:val="clear" w:color="auto" w:fill="auto"/>
          <w:lang w:eastAsia="zh-CN"/>
        </w:rPr>
        <w:t>智造新城建设项目环评技术评估</w:t>
      </w:r>
      <w:r>
        <w:rPr>
          <w:rFonts w:hint="eastAsia" w:ascii="宋体" w:hAnsi="宋体" w:eastAsia="宋体" w:cs="宋体"/>
          <w:color w:val="auto"/>
          <w:spacing w:val="-3"/>
          <w:sz w:val="24"/>
          <w:szCs w:val="24"/>
          <w:highlight w:val="none"/>
          <w:u w:val="single"/>
          <w:shd w:val="clear" w:color="auto" w:fill="auto"/>
        </w:rPr>
        <w:t>（项目编号</w:t>
      </w:r>
      <w:r>
        <w:rPr>
          <w:rFonts w:hint="eastAsia" w:ascii="宋体" w:hAnsi="宋体" w:eastAsia="宋体" w:cs="宋体"/>
          <w:color w:val="auto"/>
          <w:spacing w:val="-3"/>
          <w:sz w:val="24"/>
          <w:szCs w:val="24"/>
          <w:highlight w:val="none"/>
          <w:u w:val="single"/>
          <w:shd w:val="clear" w:color="auto" w:fill="auto"/>
          <w:lang w:eastAsia="zh-CN"/>
        </w:rPr>
        <w:t>：</w:t>
      </w:r>
      <w:r>
        <w:rPr>
          <w:rFonts w:hint="eastAsia" w:ascii="宋体" w:hAnsi="宋体" w:eastAsia="宋体" w:cs="宋体"/>
          <w:color w:val="auto"/>
          <w:sz w:val="24"/>
          <w:szCs w:val="24"/>
          <w:highlight w:val="none"/>
          <w:u w:val="single"/>
          <w:shd w:val="clear" w:color="auto" w:fill="auto"/>
          <w:lang w:val="en-US" w:eastAsia="zh-CN"/>
        </w:rPr>
        <w:t>ZZCG-2025-027</w:t>
      </w:r>
      <w:r>
        <w:rPr>
          <w:rFonts w:hint="eastAsia" w:ascii="宋体" w:hAnsi="宋体" w:eastAsia="宋体" w:cs="宋体"/>
          <w:color w:val="auto"/>
          <w:spacing w:val="-3"/>
          <w:sz w:val="24"/>
          <w:szCs w:val="24"/>
          <w:highlight w:val="none"/>
          <w:shd w:val="clear" w:color="auto" w:fill="auto"/>
        </w:rPr>
        <w:t>）</w:t>
      </w:r>
      <w:r>
        <w:rPr>
          <w:rFonts w:hint="eastAsia" w:ascii="宋体" w:hAnsi="宋体" w:eastAsia="宋体" w:cs="宋体"/>
          <w:color w:val="auto"/>
          <w:sz w:val="24"/>
          <w:highlight w:val="none"/>
        </w:rPr>
        <w:t>投标文件、签订合同和处理有关事宜，其法律后果由我方承担。</w:t>
      </w:r>
    </w:p>
    <w:p w14:paraId="6E179288">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440DF150">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该授权代表无转委托权，特此委托</w:t>
      </w:r>
    </w:p>
    <w:p w14:paraId="0D0943ED">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14:paraId="333920F2">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委托代理人身份证复印件</w:t>
      </w:r>
    </w:p>
    <w:p w14:paraId="40C1614F">
      <w:pPr>
        <w:kinsoku/>
        <w:overflowPunct/>
        <w:bidi w:val="0"/>
        <w:adjustRightInd w:val="0"/>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rPr>
        <w:t>授权代表为投标人在职员工的证明文件（投标人为其缴纳的社保记录或劳务合同等）。</w:t>
      </w:r>
    </w:p>
    <w:p w14:paraId="5820DBFF">
      <w:pPr>
        <w:kinsoku/>
        <w:overflowPunct/>
        <w:bidi w:val="0"/>
        <w:adjustRightInd w:val="0"/>
        <w:snapToGrid w:val="0"/>
        <w:spacing w:line="400" w:lineRule="exact"/>
        <w:rPr>
          <w:rFonts w:hint="eastAsia" w:ascii="宋体" w:hAnsi="宋体" w:eastAsia="宋体" w:cs="宋体"/>
          <w:color w:val="auto"/>
          <w:sz w:val="24"/>
          <w:highlight w:val="none"/>
        </w:rPr>
      </w:pPr>
    </w:p>
    <w:p w14:paraId="62D51647">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投标人：（全称加盖公章）</w:t>
      </w:r>
    </w:p>
    <w:p w14:paraId="4B86FDB7">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法定代表：（签字或盖章）                        授权代表：（签字或盖章）</w:t>
      </w:r>
    </w:p>
    <w:p w14:paraId="50D39610">
      <w:pPr>
        <w:kinsoku/>
        <w:overflowPunct/>
        <w:bidi w:val="0"/>
        <w:adjustRightInd w:val="0"/>
        <w:snapToGrid w:val="0"/>
        <w:spacing w:line="400" w:lineRule="exact"/>
        <w:ind w:firstLine="5160" w:firstLine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tbl>
      <w:tblPr>
        <w:tblStyle w:val="89"/>
        <w:tblW w:w="5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9"/>
      </w:tblGrid>
      <w:tr w14:paraId="47AA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3" w:hRule="atLeast"/>
          <w:jc w:val="center"/>
        </w:trPr>
        <w:tc>
          <w:tcPr>
            <w:tcW w:w="5809" w:type="dxa"/>
            <w:vAlign w:val="center"/>
          </w:tcPr>
          <w:p w14:paraId="7E893DDD">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授权代表身份证复印件粘贴处（正、反面）</w:t>
            </w:r>
          </w:p>
        </w:tc>
      </w:tr>
    </w:tbl>
    <w:p w14:paraId="5E507158">
      <w:pPr>
        <w:kinsoku/>
        <w:overflowPunct/>
        <w:bidi w:val="0"/>
        <w:adjustRightInd w:val="0"/>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注：如投标文件由授权代表签字或盖章的，投标文件必须附此授权委托书，否则视为无效投标文件。</w:t>
      </w:r>
    </w:p>
    <w:bookmarkEnd w:id="84"/>
    <w:p w14:paraId="7130AFE6">
      <w:pPr>
        <w:pStyle w:val="3"/>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91" w:name="_Toc522530054"/>
      <w:bookmarkStart w:id="92" w:name="_Toc354859632"/>
      <w:bookmarkStart w:id="93" w:name="_Toc391277571"/>
      <w:bookmarkStart w:id="94" w:name="_Toc233618991"/>
      <w:bookmarkStart w:id="95" w:name="_Toc354859475"/>
      <w:bookmarkStart w:id="96" w:name="_Toc354859551"/>
    </w:p>
    <w:p w14:paraId="37C5B1B5">
      <w:pPr>
        <w:pStyle w:val="3"/>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22032DBA">
      <w:pPr>
        <w:pStyle w:val="3"/>
        <w:kinsoku/>
        <w:overflowPunct/>
        <w:bidi w:val="0"/>
        <w:adjustRightInd w:val="0"/>
        <w:snapToGrid w:val="0"/>
        <w:spacing w:line="400" w:lineRule="exact"/>
        <w:outlineLvl w:val="1"/>
        <w:rPr>
          <w:rFonts w:hint="eastAsia" w:ascii="宋体" w:hAnsi="宋体" w:eastAsia="宋体" w:cs="宋体"/>
          <w:b/>
          <w:color w:val="auto"/>
          <w:kern w:val="0"/>
          <w:sz w:val="30"/>
          <w:highlight w:val="none"/>
          <w:lang w:val="zh-CN"/>
        </w:rPr>
      </w:pPr>
    </w:p>
    <w:p w14:paraId="6FF7E7CA">
      <w:pPr>
        <w:kinsoku/>
        <w:overflowPunct/>
        <w:bidi w:val="0"/>
        <w:spacing w:line="400" w:lineRule="exact"/>
        <w:rPr>
          <w:rFonts w:hint="eastAsia" w:ascii="宋体" w:hAnsi="宋体" w:eastAsia="宋体" w:cs="宋体"/>
          <w:color w:val="auto"/>
          <w:highlight w:val="none"/>
          <w:lang w:val="zh-CN"/>
        </w:rPr>
      </w:pPr>
    </w:p>
    <w:p w14:paraId="5FCC8641">
      <w:pPr>
        <w:pStyle w:val="87"/>
        <w:rPr>
          <w:rFonts w:hint="eastAsia"/>
          <w:color w:val="auto"/>
          <w:highlight w:val="none"/>
          <w:lang w:val="zh-CN"/>
        </w:rPr>
      </w:pPr>
    </w:p>
    <w:p w14:paraId="07A00D02">
      <w:pPr>
        <w:pStyle w:val="69"/>
        <w:rPr>
          <w:rFonts w:hint="eastAsia"/>
          <w:color w:val="auto"/>
          <w:highlight w:val="none"/>
          <w:lang w:val="zh-CN"/>
        </w:rPr>
      </w:pPr>
    </w:p>
    <w:p w14:paraId="1CD8D3EF">
      <w:pPr>
        <w:pStyle w:val="3"/>
        <w:kinsoku/>
        <w:overflowPunct/>
        <w:bidi w:val="0"/>
        <w:spacing w:line="400" w:lineRule="exact"/>
        <w:rPr>
          <w:rFonts w:hint="eastAsia" w:ascii="宋体" w:hAnsi="宋体" w:eastAsia="宋体" w:cs="宋体"/>
          <w:color w:val="auto"/>
          <w:highlight w:val="none"/>
          <w:lang w:val="zh-CN"/>
        </w:rPr>
      </w:pPr>
    </w:p>
    <w:p w14:paraId="7279A53B">
      <w:pPr>
        <w:rPr>
          <w:rFonts w:hint="eastAsia" w:ascii="宋体" w:hAnsi="宋体" w:eastAsia="宋体" w:cs="宋体"/>
          <w:b/>
          <w:color w:val="auto"/>
          <w:kern w:val="0"/>
          <w:sz w:val="30"/>
          <w:highlight w:val="none"/>
          <w:lang w:val="zh-CN"/>
        </w:rPr>
      </w:pPr>
      <w:bookmarkStart w:id="97" w:name="_Toc10253"/>
      <w:r>
        <w:rPr>
          <w:rFonts w:hint="eastAsia" w:ascii="宋体" w:hAnsi="宋体" w:eastAsia="宋体" w:cs="宋体"/>
          <w:b/>
          <w:color w:val="auto"/>
          <w:kern w:val="0"/>
          <w:sz w:val="30"/>
          <w:highlight w:val="none"/>
          <w:lang w:val="zh-CN"/>
        </w:rPr>
        <w:br w:type="page"/>
      </w:r>
    </w:p>
    <w:p w14:paraId="45E63B13">
      <w:pPr>
        <w:pStyle w:val="3"/>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格式四：以往业绩情况表</w:t>
      </w:r>
      <w:bookmarkEnd w:id="91"/>
      <w:bookmarkEnd w:id="97"/>
    </w:p>
    <w:p w14:paraId="4C66E048">
      <w:pPr>
        <w:kinsoku/>
        <w:overflowPunct/>
        <w:bidi w:val="0"/>
        <w:adjustRightInd w:val="0"/>
        <w:snapToGrid w:val="0"/>
        <w:spacing w:line="400" w:lineRule="exact"/>
        <w:jc w:val="center"/>
        <w:rPr>
          <w:rFonts w:hint="eastAsia" w:ascii="宋体" w:hAnsi="宋体" w:eastAsia="宋体" w:cs="宋体"/>
          <w:b/>
          <w:color w:val="auto"/>
          <w:sz w:val="24"/>
          <w:highlight w:val="none"/>
        </w:rPr>
      </w:pPr>
      <w:bookmarkStart w:id="98" w:name="_Toc522530055"/>
      <w:bookmarkStart w:id="99" w:name="_Toc25910"/>
      <w:r>
        <w:rPr>
          <w:rFonts w:hint="eastAsia" w:ascii="宋体" w:hAnsi="宋体" w:cs="宋体"/>
          <w:b/>
          <w:color w:val="auto"/>
          <w:sz w:val="24"/>
          <w:highlight w:val="none"/>
          <w:u w:val="single"/>
          <w:lang w:val="en-US" w:eastAsia="zh-CN"/>
        </w:rPr>
        <w:t xml:space="preserve">     </w:t>
      </w:r>
      <w:r>
        <w:rPr>
          <w:rFonts w:hint="eastAsia" w:ascii="宋体" w:hAnsi="宋体" w:eastAsia="宋体" w:cs="宋体"/>
          <w:b/>
          <w:color w:val="auto"/>
          <w:sz w:val="24"/>
          <w:highlight w:val="none"/>
        </w:rPr>
        <w:t>年以来</w:t>
      </w:r>
      <w:r>
        <w:rPr>
          <w:rFonts w:hint="eastAsia" w:ascii="宋体" w:hAnsi="宋体" w:eastAsia="宋体" w:cs="宋体"/>
          <w:b/>
          <w:color w:val="auto"/>
          <w:sz w:val="24"/>
          <w:highlight w:val="none"/>
          <w:lang w:eastAsia="zh-CN"/>
        </w:rPr>
        <w:t>企业</w:t>
      </w:r>
      <w:r>
        <w:rPr>
          <w:rFonts w:hint="eastAsia" w:ascii="宋体" w:hAnsi="宋体" w:eastAsia="宋体" w:cs="宋体"/>
          <w:b/>
          <w:color w:val="auto"/>
          <w:sz w:val="24"/>
          <w:highlight w:val="none"/>
        </w:rPr>
        <w:t>业绩情况汇总表</w:t>
      </w:r>
    </w:p>
    <w:tbl>
      <w:tblPr>
        <w:tblStyle w:val="89"/>
        <w:tblW w:w="914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90"/>
        <w:gridCol w:w="1914"/>
        <w:gridCol w:w="1000"/>
        <w:gridCol w:w="1414"/>
        <w:gridCol w:w="815"/>
        <w:gridCol w:w="815"/>
      </w:tblGrid>
      <w:tr w14:paraId="24E18CB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18" w:space="0"/>
              <w:left w:val="single" w:color="auto" w:sz="18" w:space="0"/>
              <w:bottom w:val="single" w:color="auto" w:sz="4" w:space="0"/>
              <w:right w:val="single" w:color="auto" w:sz="4" w:space="0"/>
            </w:tcBorders>
            <w:vAlign w:val="center"/>
          </w:tcPr>
          <w:p w14:paraId="37792FAC">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0" w:type="dxa"/>
            <w:tcBorders>
              <w:top w:val="single" w:color="auto" w:sz="18" w:space="0"/>
              <w:left w:val="single" w:color="auto" w:sz="4" w:space="0"/>
              <w:bottom w:val="single" w:color="auto" w:sz="4" w:space="0"/>
              <w:right w:val="single" w:color="auto" w:sz="4" w:space="0"/>
            </w:tcBorders>
            <w:vAlign w:val="center"/>
          </w:tcPr>
          <w:p w14:paraId="71FEA094">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项目名称</w:t>
            </w:r>
          </w:p>
        </w:tc>
        <w:tc>
          <w:tcPr>
            <w:tcW w:w="1914" w:type="dxa"/>
            <w:tcBorders>
              <w:top w:val="single" w:color="auto" w:sz="18" w:space="0"/>
              <w:left w:val="single" w:color="auto" w:sz="4" w:space="0"/>
              <w:bottom w:val="single" w:color="auto" w:sz="4" w:space="0"/>
              <w:right w:val="single" w:color="auto" w:sz="4" w:space="0"/>
            </w:tcBorders>
            <w:vAlign w:val="center"/>
          </w:tcPr>
          <w:p w14:paraId="271F8BE2">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合同内容</w:t>
            </w:r>
          </w:p>
        </w:tc>
        <w:tc>
          <w:tcPr>
            <w:tcW w:w="1000" w:type="dxa"/>
            <w:tcBorders>
              <w:top w:val="single" w:color="auto" w:sz="18" w:space="0"/>
              <w:left w:val="single" w:color="auto" w:sz="4" w:space="0"/>
              <w:bottom w:val="single" w:color="auto" w:sz="4" w:space="0"/>
              <w:right w:val="single" w:color="auto" w:sz="4" w:space="0"/>
            </w:tcBorders>
            <w:vAlign w:val="center"/>
          </w:tcPr>
          <w:p w14:paraId="22FA9A81">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合同价</w:t>
            </w:r>
          </w:p>
        </w:tc>
        <w:tc>
          <w:tcPr>
            <w:tcW w:w="1414" w:type="dxa"/>
            <w:tcBorders>
              <w:top w:val="single" w:color="auto" w:sz="18" w:space="0"/>
              <w:left w:val="single" w:color="auto" w:sz="4" w:space="0"/>
              <w:bottom w:val="single" w:color="auto" w:sz="4" w:space="0"/>
              <w:right w:val="single" w:color="auto" w:sz="4" w:space="0"/>
            </w:tcBorders>
            <w:vAlign w:val="center"/>
          </w:tcPr>
          <w:p w14:paraId="2F27F964">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合同签订日期</w:t>
            </w:r>
          </w:p>
        </w:tc>
        <w:tc>
          <w:tcPr>
            <w:tcW w:w="815" w:type="dxa"/>
            <w:tcBorders>
              <w:top w:val="single" w:color="auto" w:sz="18" w:space="0"/>
              <w:left w:val="single" w:color="auto" w:sz="4" w:space="0"/>
              <w:bottom w:val="single" w:color="auto" w:sz="4" w:space="0"/>
              <w:right w:val="single" w:color="auto" w:sz="18" w:space="0"/>
            </w:tcBorders>
            <w:vAlign w:val="center"/>
          </w:tcPr>
          <w:p w14:paraId="29296AC2">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所在页码</w:t>
            </w:r>
          </w:p>
        </w:tc>
        <w:tc>
          <w:tcPr>
            <w:tcW w:w="815" w:type="dxa"/>
            <w:tcBorders>
              <w:top w:val="single" w:color="auto" w:sz="18" w:space="0"/>
              <w:left w:val="single" w:color="auto" w:sz="4" w:space="0"/>
              <w:bottom w:val="single" w:color="auto" w:sz="4" w:space="0"/>
              <w:right w:val="single" w:color="auto" w:sz="18" w:space="0"/>
            </w:tcBorders>
            <w:vAlign w:val="center"/>
          </w:tcPr>
          <w:p w14:paraId="0A323F3B">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14:paraId="0E80E7D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6588D4D5">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0" w:type="dxa"/>
            <w:tcBorders>
              <w:top w:val="single" w:color="auto" w:sz="4" w:space="0"/>
              <w:left w:val="single" w:color="auto" w:sz="4" w:space="0"/>
              <w:bottom w:val="single" w:color="auto" w:sz="4" w:space="0"/>
              <w:right w:val="single" w:color="auto" w:sz="4" w:space="0"/>
            </w:tcBorders>
            <w:vAlign w:val="center"/>
          </w:tcPr>
          <w:p w14:paraId="42CD500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4FFFC23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21F4B21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4CA129C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4EFF9F3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507B577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7E9808A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249C2183">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0" w:type="dxa"/>
            <w:tcBorders>
              <w:top w:val="single" w:color="auto" w:sz="4" w:space="0"/>
              <w:left w:val="single" w:color="auto" w:sz="4" w:space="0"/>
              <w:bottom w:val="single" w:color="auto" w:sz="4" w:space="0"/>
              <w:right w:val="single" w:color="auto" w:sz="4" w:space="0"/>
            </w:tcBorders>
            <w:vAlign w:val="center"/>
          </w:tcPr>
          <w:p w14:paraId="288E29C6">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11C6A3C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96FAA06">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03AD401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43CD13C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081A598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11E884E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7BD50057">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0" w:type="dxa"/>
            <w:tcBorders>
              <w:top w:val="single" w:color="auto" w:sz="4" w:space="0"/>
              <w:left w:val="single" w:color="auto" w:sz="4" w:space="0"/>
              <w:bottom w:val="single" w:color="auto" w:sz="4" w:space="0"/>
              <w:right w:val="single" w:color="auto" w:sz="4" w:space="0"/>
            </w:tcBorders>
            <w:vAlign w:val="center"/>
          </w:tcPr>
          <w:p w14:paraId="35FA3430">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5BD6B35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43866A7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5240330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122E828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797BC11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056A0B5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34C46EAD">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2A0136D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26631DD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2EFC64A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17B196E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04963D2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7BEFFEF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bl>
    <w:p w14:paraId="3845B736">
      <w:pPr>
        <w:kinsoku/>
        <w:overflowPunct/>
        <w:bidi w:val="0"/>
        <w:adjustRightInd w:val="0"/>
        <w:snapToGrid w:val="0"/>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注：本表后附评分办法中要求的证明材料。</w:t>
      </w:r>
    </w:p>
    <w:p w14:paraId="12FDE91D">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14:paraId="6BE5F785">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77BB9AFD">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64116153">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eastAsia="zh-CN"/>
        </w:rPr>
        <w:t xml:space="preserve">   </w:t>
      </w:r>
      <w:r>
        <w:rPr>
          <w:rFonts w:hint="eastAsia" w:ascii="宋体" w:hAnsi="宋体" w:eastAsia="宋体" w:cs="宋体"/>
          <w:color w:val="auto"/>
          <w:kern w:val="0"/>
          <w:sz w:val="24"/>
          <w:highlight w:val="none"/>
          <w:lang w:eastAsia="zh-CN"/>
        </w:rPr>
        <w:t>年</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0DACCC55">
      <w:pPr>
        <w:kinsoku/>
        <w:overflowPunct/>
        <w:bidi w:val="0"/>
        <w:adjustRightInd w:val="0"/>
        <w:snapToGrid w:val="0"/>
        <w:spacing w:line="400" w:lineRule="exact"/>
        <w:jc w:val="center"/>
        <w:rPr>
          <w:rFonts w:hint="eastAsia" w:ascii="宋体" w:hAnsi="宋体" w:eastAsia="宋体" w:cs="宋体"/>
          <w:b/>
          <w:color w:val="auto"/>
          <w:sz w:val="24"/>
          <w:highlight w:val="none"/>
        </w:rPr>
      </w:pPr>
    </w:p>
    <w:p w14:paraId="3C191264">
      <w:pPr>
        <w:pStyle w:val="87"/>
        <w:kinsoku/>
        <w:overflowPunct/>
        <w:bidi w:val="0"/>
        <w:spacing w:after="0" w:line="400" w:lineRule="exact"/>
        <w:ind w:firstLine="24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0"/>
          <w:szCs w:val="30"/>
          <w:highlight w:val="none"/>
        </w:rPr>
        <w:br w:type="page"/>
      </w:r>
    </w:p>
    <w:p w14:paraId="236D4BB5">
      <w:pPr>
        <w:pStyle w:val="3"/>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格式五：</w:t>
      </w:r>
      <w:bookmarkEnd w:id="98"/>
      <w:bookmarkEnd w:id="99"/>
      <w:bookmarkStart w:id="100" w:name="_Toc522530057"/>
      <w:r>
        <w:rPr>
          <w:rFonts w:hint="eastAsia" w:ascii="宋体" w:hAnsi="宋体" w:eastAsia="宋体" w:cs="宋体"/>
          <w:b/>
          <w:color w:val="auto"/>
          <w:kern w:val="0"/>
          <w:sz w:val="30"/>
          <w:highlight w:val="none"/>
          <w:lang w:val="zh-CN"/>
        </w:rPr>
        <w:t>商务/技术偏离表</w:t>
      </w:r>
    </w:p>
    <w:p w14:paraId="3BF02905">
      <w:pPr>
        <w:kinsoku/>
        <w:overflowPunct/>
        <w:bidi w:val="0"/>
        <w:spacing w:line="400" w:lineRule="exact"/>
        <w:rPr>
          <w:rFonts w:hint="eastAsia"/>
          <w:color w:val="auto"/>
          <w:highlight w:val="none"/>
          <w:lang w:val="zh-CN"/>
        </w:rPr>
      </w:pPr>
    </w:p>
    <w:tbl>
      <w:tblPr>
        <w:tblStyle w:val="89"/>
        <w:tblW w:w="924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14:paraId="2ED476B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5887FE79">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序号</w:t>
            </w:r>
          </w:p>
        </w:tc>
        <w:tc>
          <w:tcPr>
            <w:tcW w:w="2693" w:type="dxa"/>
            <w:vAlign w:val="center"/>
          </w:tcPr>
          <w:p w14:paraId="501D8AC1">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招标文件要求</w:t>
            </w:r>
          </w:p>
        </w:tc>
        <w:tc>
          <w:tcPr>
            <w:tcW w:w="2593" w:type="dxa"/>
            <w:vAlign w:val="center"/>
          </w:tcPr>
          <w:p w14:paraId="6BF4F4AC">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投标文件响应</w:t>
            </w:r>
          </w:p>
        </w:tc>
        <w:tc>
          <w:tcPr>
            <w:tcW w:w="1431" w:type="dxa"/>
            <w:vAlign w:val="center"/>
          </w:tcPr>
          <w:p w14:paraId="2444A083">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正/负偏离</w:t>
            </w:r>
          </w:p>
        </w:tc>
        <w:tc>
          <w:tcPr>
            <w:tcW w:w="1848" w:type="dxa"/>
            <w:vAlign w:val="center"/>
          </w:tcPr>
          <w:p w14:paraId="40E1C8AD">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理由</w:t>
            </w:r>
          </w:p>
        </w:tc>
      </w:tr>
      <w:tr w14:paraId="53DAA66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6575C584">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2693" w:type="dxa"/>
            <w:vAlign w:val="center"/>
          </w:tcPr>
          <w:p w14:paraId="5EA751AD">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3ECDE1A4">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328E6360">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7F37C9DD">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770D6E8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0AA3CF7C">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2</w:t>
            </w:r>
          </w:p>
        </w:tc>
        <w:tc>
          <w:tcPr>
            <w:tcW w:w="2693" w:type="dxa"/>
            <w:vAlign w:val="center"/>
          </w:tcPr>
          <w:p w14:paraId="613A87C7">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71E99336">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03D7428B">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76F62866">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1566840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jc w:val="center"/>
        </w:trPr>
        <w:tc>
          <w:tcPr>
            <w:tcW w:w="677" w:type="dxa"/>
            <w:vAlign w:val="center"/>
          </w:tcPr>
          <w:p w14:paraId="184DD589">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3</w:t>
            </w:r>
          </w:p>
        </w:tc>
        <w:tc>
          <w:tcPr>
            <w:tcW w:w="2693" w:type="dxa"/>
            <w:vAlign w:val="center"/>
          </w:tcPr>
          <w:p w14:paraId="7A503ABD">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70F14152">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6408C815">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12E71AC1">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183ACE8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223340EE">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70AFF922">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248BFB6F">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1F5DCA65">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64EAF9AA">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578FA83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7821A185">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457010C2">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0CFE3E5B">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313154A0">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39F3531F">
            <w:pPr>
              <w:kinsoku/>
              <w:wordWrap/>
              <w:overflowPunct/>
              <w:topLinePunct w:val="0"/>
              <w:bidi w:val="0"/>
              <w:adjustRightInd w:val="0"/>
              <w:snapToGrid w:val="0"/>
              <w:spacing w:line="400" w:lineRule="exact"/>
              <w:jc w:val="center"/>
              <w:rPr>
                <w:rFonts w:ascii="宋体" w:hAnsi="宋体"/>
                <w:color w:val="auto"/>
                <w:sz w:val="24"/>
                <w:highlight w:val="none"/>
              </w:rPr>
            </w:pPr>
          </w:p>
        </w:tc>
      </w:tr>
    </w:tbl>
    <w:p w14:paraId="1600E990">
      <w:pPr>
        <w:kinsoku/>
        <w:wordWrap/>
        <w:overflowPunct/>
        <w:topLinePunct w:val="0"/>
        <w:bidi w:val="0"/>
        <w:adjustRightInd w:val="0"/>
        <w:snapToGrid w:val="0"/>
        <w:spacing w:line="400" w:lineRule="exact"/>
        <w:ind w:firstLine="482" w:firstLineChars="200"/>
        <w:rPr>
          <w:rFonts w:ascii="宋体" w:hAnsi="宋体"/>
          <w:b/>
          <w:color w:val="auto"/>
          <w:kern w:val="0"/>
          <w:sz w:val="24"/>
          <w:highlight w:val="none"/>
          <w:lang w:val="zh-CN"/>
        </w:rPr>
      </w:pPr>
      <w:r>
        <w:rPr>
          <w:rFonts w:hint="eastAsia" w:ascii="宋体" w:hAnsi="宋体"/>
          <w:b/>
          <w:color w:val="auto"/>
          <w:kern w:val="0"/>
          <w:sz w:val="24"/>
          <w:highlight w:val="none"/>
          <w:lang w:val="zh-CN"/>
        </w:rPr>
        <w:t>注：“商务偏离”是指对“商务部分”中条款的偏离，“技术偏离”是指对“第三部分  采购需求”中条款的偏离。本表仅在有偏离时填写，注明是正/负偏离，并说明理由。“投标文件响应”复制“招标文件要求”内容，不填写均视为投标人接受招标文件的全部要求。具体要求以评标办法为准。</w:t>
      </w:r>
    </w:p>
    <w:p w14:paraId="33BEF5EB">
      <w:pPr>
        <w:kinsoku/>
        <w:wordWrap/>
        <w:overflowPunct/>
        <w:topLinePunct w:val="0"/>
        <w:bidi w:val="0"/>
        <w:adjustRightInd w:val="0"/>
        <w:snapToGrid w:val="0"/>
        <w:spacing w:line="400" w:lineRule="exact"/>
        <w:rPr>
          <w:rFonts w:ascii="宋体" w:hAnsi="宋体"/>
          <w:color w:val="auto"/>
          <w:kern w:val="0"/>
          <w:sz w:val="24"/>
          <w:highlight w:val="none"/>
          <w:lang w:val="zh-CN"/>
        </w:rPr>
      </w:pPr>
    </w:p>
    <w:p w14:paraId="4C43C895">
      <w:pPr>
        <w:kinsoku/>
        <w:wordWrap/>
        <w:overflowPunct/>
        <w:topLinePunct w:val="0"/>
        <w:bidi w:val="0"/>
        <w:adjustRightInd w:val="0"/>
        <w:snapToGrid w:val="0"/>
        <w:spacing w:line="400" w:lineRule="exact"/>
        <w:rPr>
          <w:rFonts w:ascii="宋体" w:hAnsi="宋体"/>
          <w:color w:val="auto"/>
          <w:kern w:val="0"/>
          <w:sz w:val="24"/>
          <w:highlight w:val="none"/>
        </w:rPr>
      </w:pPr>
      <w:r>
        <w:rPr>
          <w:rFonts w:hint="eastAsia" w:ascii="宋体" w:hAnsi="宋体"/>
          <w:color w:val="auto"/>
          <w:kern w:val="0"/>
          <w:sz w:val="24"/>
          <w:highlight w:val="none"/>
          <w:lang w:val="zh-CN"/>
        </w:rPr>
        <w:t>法定/授权代表：</w:t>
      </w:r>
      <w:r>
        <w:rPr>
          <w:rFonts w:hint="eastAsia" w:ascii="宋体" w:hAnsi="宋体"/>
          <w:color w:val="auto"/>
          <w:kern w:val="0"/>
          <w:sz w:val="24"/>
          <w:highlight w:val="none"/>
          <w:u w:val="single"/>
          <w:lang w:val="zh-CN"/>
        </w:rPr>
        <w:t xml:space="preserve">（签字或盖章） </w:t>
      </w:r>
    </w:p>
    <w:p w14:paraId="12C6E875">
      <w:pPr>
        <w:kinsoku/>
        <w:wordWrap/>
        <w:overflowPunct/>
        <w:topLinePunct w:val="0"/>
        <w:bidi w:val="0"/>
        <w:adjustRightInd w:val="0"/>
        <w:snapToGrid w:val="0"/>
        <w:spacing w:line="400" w:lineRule="exact"/>
        <w:rPr>
          <w:rFonts w:ascii="宋体" w:hAnsi="宋体"/>
          <w:color w:val="auto"/>
          <w:kern w:val="0"/>
          <w:sz w:val="24"/>
          <w:highlight w:val="none"/>
          <w:u w:val="single"/>
          <w:lang w:val="zh-CN"/>
        </w:rPr>
      </w:pPr>
      <w:r>
        <w:rPr>
          <w:rFonts w:hint="eastAsia" w:ascii="宋体" w:hAnsi="宋体"/>
          <w:color w:val="auto"/>
          <w:kern w:val="0"/>
          <w:sz w:val="24"/>
          <w:highlight w:val="none"/>
          <w:lang w:val="zh-CN"/>
        </w:rPr>
        <w:t>投标人：</w:t>
      </w:r>
      <w:r>
        <w:rPr>
          <w:rFonts w:hint="eastAsia" w:ascii="宋体" w:hAnsi="宋体"/>
          <w:color w:val="auto"/>
          <w:kern w:val="0"/>
          <w:sz w:val="24"/>
          <w:highlight w:val="none"/>
          <w:u w:val="single"/>
          <w:lang w:val="zh-CN"/>
        </w:rPr>
        <w:t xml:space="preserve">（全称加盖公章）       </w:t>
      </w:r>
    </w:p>
    <w:p w14:paraId="08431E85">
      <w:pPr>
        <w:kinsoku/>
        <w:wordWrap/>
        <w:overflowPunct/>
        <w:topLinePunct w:val="0"/>
        <w:bidi w:val="0"/>
        <w:adjustRightInd w:val="0"/>
        <w:snapToGrid w:val="0"/>
        <w:spacing w:line="400" w:lineRule="exact"/>
        <w:rPr>
          <w:rFonts w:hint="eastAsia" w:ascii="宋体" w:hAnsi="宋体"/>
          <w:color w:val="auto"/>
          <w:kern w:val="0"/>
          <w:sz w:val="24"/>
          <w:highlight w:val="none"/>
          <w:lang w:val="zh-CN"/>
        </w:rPr>
      </w:pPr>
      <w:r>
        <w:rPr>
          <w:rFonts w:hint="eastAsia" w:ascii="宋体" w:hAnsi="宋体"/>
          <w:color w:val="auto"/>
          <w:kern w:val="0"/>
          <w:sz w:val="24"/>
          <w:highlight w:val="none"/>
          <w:lang w:val="zh-CN"/>
        </w:rPr>
        <w:t>日期</w:t>
      </w:r>
      <w:r>
        <w:rPr>
          <w:rFonts w:hint="eastAsia" w:ascii="宋体" w:hAnsi="宋体"/>
          <w:color w:val="auto"/>
          <w:kern w:val="0"/>
          <w:sz w:val="24"/>
          <w:highlight w:val="non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年</w:t>
      </w:r>
      <w:r>
        <w:rPr>
          <w:rFonts w:hint="eastAsia" w:ascii="宋体" w:hAnsi="宋体"/>
          <w:color w:val="auto"/>
          <w:kern w:val="0"/>
          <w:sz w:val="24"/>
          <w:highlight w:val="none"/>
          <w:u w:val="single"/>
        </w:rPr>
        <w:tab/>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月</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日</w:t>
      </w:r>
    </w:p>
    <w:p w14:paraId="2BA3A89B">
      <w:pPr>
        <w:pStyle w:val="26"/>
        <w:kinsoku/>
        <w:overflowPunct/>
        <w:bidi w:val="0"/>
        <w:spacing w:after="0" w:line="400" w:lineRule="exac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 xml:space="preserve"> </w:t>
      </w:r>
    </w:p>
    <w:p w14:paraId="1A6694AA">
      <w:pPr>
        <w:pStyle w:val="88"/>
        <w:kinsoku/>
        <w:overflowPunct/>
        <w:bidi w:val="0"/>
        <w:spacing w:after="0" w:line="400" w:lineRule="exact"/>
        <w:rPr>
          <w:rFonts w:hint="eastAsia" w:ascii="宋体" w:hAnsi="宋体"/>
          <w:color w:val="auto"/>
          <w:kern w:val="0"/>
          <w:sz w:val="24"/>
          <w:highlight w:val="none"/>
          <w:lang w:val="zh-CN"/>
        </w:rPr>
      </w:pPr>
    </w:p>
    <w:p w14:paraId="49FAC4B7">
      <w:pPr>
        <w:pStyle w:val="87"/>
        <w:kinsoku/>
        <w:overflowPunct/>
        <w:bidi w:val="0"/>
        <w:spacing w:after="0" w:line="400" w:lineRule="exact"/>
        <w:rPr>
          <w:rFonts w:hint="eastAsia" w:ascii="宋体" w:hAnsi="宋体"/>
          <w:color w:val="auto"/>
          <w:kern w:val="0"/>
          <w:sz w:val="24"/>
          <w:highlight w:val="none"/>
          <w:lang w:val="zh-CN"/>
        </w:rPr>
      </w:pPr>
    </w:p>
    <w:p w14:paraId="42D9C55A">
      <w:pPr>
        <w:pStyle w:val="69"/>
        <w:rPr>
          <w:rFonts w:hint="eastAsia"/>
          <w:color w:val="auto"/>
          <w:highlight w:val="none"/>
          <w:lang w:val="zh-CN"/>
        </w:rPr>
      </w:pPr>
    </w:p>
    <w:p w14:paraId="059670C2">
      <w:pPr>
        <w:kinsoku/>
        <w:overflowPunct/>
        <w:bidi w:val="0"/>
        <w:spacing w:line="400" w:lineRule="exact"/>
        <w:rPr>
          <w:rFonts w:hint="eastAsia" w:ascii="宋体" w:hAnsi="宋体"/>
          <w:color w:val="auto"/>
          <w:kern w:val="0"/>
          <w:sz w:val="24"/>
          <w:highlight w:val="none"/>
          <w:lang w:val="zh-CN"/>
        </w:rPr>
      </w:pPr>
    </w:p>
    <w:p w14:paraId="1CE8B80E">
      <w:pPr>
        <w:pStyle w:val="26"/>
        <w:kinsoku/>
        <w:overflowPunct/>
        <w:bidi w:val="0"/>
        <w:spacing w:after="0" w:line="400" w:lineRule="exact"/>
        <w:rPr>
          <w:rFonts w:hint="eastAsia" w:ascii="宋体" w:hAnsi="宋体"/>
          <w:color w:val="auto"/>
          <w:kern w:val="0"/>
          <w:sz w:val="24"/>
          <w:highlight w:val="none"/>
          <w:lang w:val="zh-CN"/>
        </w:rPr>
      </w:pPr>
    </w:p>
    <w:p w14:paraId="63E4669F">
      <w:pPr>
        <w:pStyle w:val="88"/>
        <w:kinsoku/>
        <w:overflowPunct/>
        <w:bidi w:val="0"/>
        <w:spacing w:after="0" w:line="400" w:lineRule="exact"/>
        <w:rPr>
          <w:rFonts w:hint="eastAsia" w:ascii="宋体" w:hAnsi="宋体"/>
          <w:color w:val="auto"/>
          <w:kern w:val="0"/>
          <w:sz w:val="24"/>
          <w:highlight w:val="none"/>
          <w:lang w:val="zh-CN"/>
        </w:rPr>
      </w:pPr>
    </w:p>
    <w:p w14:paraId="75225A9B">
      <w:pPr>
        <w:pStyle w:val="87"/>
        <w:kinsoku/>
        <w:overflowPunct/>
        <w:bidi w:val="0"/>
        <w:spacing w:after="0" w:line="400" w:lineRule="exact"/>
        <w:rPr>
          <w:rFonts w:hint="eastAsia"/>
          <w:color w:val="auto"/>
          <w:highlight w:val="none"/>
          <w:lang w:val="zh-CN"/>
        </w:rPr>
      </w:pPr>
    </w:p>
    <w:p w14:paraId="0A2711AC">
      <w:pPr>
        <w:rPr>
          <w:color w:val="auto"/>
          <w:highlight w:val="none"/>
        </w:rPr>
      </w:pPr>
      <w:r>
        <w:rPr>
          <w:color w:val="auto"/>
          <w:highlight w:val="none"/>
        </w:rPr>
        <w:br w:type="page"/>
      </w:r>
    </w:p>
    <w:p w14:paraId="5BFC7020">
      <w:pPr>
        <w:kinsoku/>
        <w:overflowPunct/>
        <w:bidi w:val="0"/>
        <w:adjustRightInd w:val="0"/>
        <w:snapToGrid w:val="0"/>
        <w:spacing w:line="400" w:lineRule="exact"/>
        <w:ind w:firstLine="602" w:firstLineChars="200"/>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w:t>
      </w:r>
      <w:r>
        <w:rPr>
          <w:rFonts w:hint="eastAsia" w:ascii="宋体" w:hAnsi="宋体" w:cs="宋体"/>
          <w:b/>
          <w:color w:val="auto"/>
          <w:kern w:val="0"/>
          <w:sz w:val="30"/>
          <w:highlight w:val="none"/>
          <w:lang w:val="zh-CN"/>
        </w:rPr>
        <w:t>六</w:t>
      </w:r>
      <w:r>
        <w:rPr>
          <w:rFonts w:hint="eastAsia" w:ascii="宋体" w:hAnsi="宋体" w:eastAsia="宋体" w:cs="宋体"/>
          <w:b/>
          <w:color w:val="auto"/>
          <w:kern w:val="0"/>
          <w:sz w:val="30"/>
          <w:highlight w:val="none"/>
          <w:lang w:val="zh-CN"/>
        </w:rPr>
        <w:t>：拟投入本项目的</w:t>
      </w:r>
      <w:r>
        <w:rPr>
          <w:rFonts w:hint="eastAsia" w:ascii="宋体" w:hAnsi="宋体" w:cs="宋体"/>
          <w:b/>
          <w:color w:val="auto"/>
          <w:kern w:val="0"/>
          <w:sz w:val="30"/>
          <w:highlight w:val="none"/>
          <w:lang w:val="en-US" w:eastAsia="zh-CN"/>
        </w:rPr>
        <w:t>实施人员</w:t>
      </w:r>
      <w:r>
        <w:rPr>
          <w:rFonts w:hint="eastAsia" w:ascii="宋体" w:hAnsi="宋体" w:eastAsia="宋体" w:cs="宋体"/>
          <w:b/>
          <w:color w:val="auto"/>
          <w:kern w:val="0"/>
          <w:sz w:val="30"/>
          <w:highlight w:val="none"/>
          <w:lang w:val="zh-CN"/>
        </w:rPr>
        <w:t>情况表</w:t>
      </w:r>
      <w:bookmarkEnd w:id="100"/>
    </w:p>
    <w:p w14:paraId="311570FB">
      <w:pPr>
        <w:pStyle w:val="26"/>
        <w:kinsoku/>
        <w:overflowPunct/>
        <w:bidi w:val="0"/>
        <w:spacing w:after="0" w:line="400" w:lineRule="exact"/>
        <w:rPr>
          <w:rFonts w:hint="eastAsia"/>
          <w:color w:val="auto"/>
          <w:highlight w:val="none"/>
        </w:rPr>
      </w:pPr>
    </w:p>
    <w:p w14:paraId="35940370">
      <w:pPr>
        <w:kinsoku/>
        <w:overflowPunct/>
        <w:bidi w:val="0"/>
        <w:adjustRightInd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拟投入本项目的</w:t>
      </w:r>
      <w:r>
        <w:rPr>
          <w:rFonts w:hint="eastAsia" w:ascii="宋体" w:hAnsi="宋体" w:eastAsia="宋体" w:cs="宋体"/>
          <w:b/>
          <w:color w:val="auto"/>
          <w:sz w:val="24"/>
          <w:highlight w:val="none"/>
          <w:lang w:val="en-US" w:eastAsia="zh-CN"/>
        </w:rPr>
        <w:t>实施人员</w:t>
      </w:r>
      <w:r>
        <w:rPr>
          <w:rFonts w:hint="eastAsia" w:ascii="宋体" w:hAnsi="宋体" w:eastAsia="宋体" w:cs="宋体"/>
          <w:b/>
          <w:color w:val="auto"/>
          <w:sz w:val="24"/>
          <w:highlight w:val="none"/>
        </w:rPr>
        <w:t>情况表</w:t>
      </w:r>
    </w:p>
    <w:tbl>
      <w:tblPr>
        <w:tblStyle w:val="89"/>
        <w:tblW w:w="9714"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1697"/>
        <w:gridCol w:w="2145"/>
        <w:gridCol w:w="1545"/>
        <w:gridCol w:w="1755"/>
        <w:gridCol w:w="765"/>
      </w:tblGrid>
      <w:tr w14:paraId="41FC3DC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55" w:type="dxa"/>
            <w:vAlign w:val="center"/>
          </w:tcPr>
          <w:p w14:paraId="773B1835">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252" w:type="dxa"/>
            <w:vAlign w:val="center"/>
          </w:tcPr>
          <w:p w14:paraId="5B2C757E">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姓名</w:t>
            </w:r>
          </w:p>
        </w:tc>
        <w:tc>
          <w:tcPr>
            <w:tcW w:w="1697" w:type="dxa"/>
            <w:vAlign w:val="center"/>
          </w:tcPr>
          <w:p w14:paraId="3017C316">
            <w:pPr>
              <w:kinsoku/>
              <w:overflowPunct/>
              <w:autoSpaceDE w:val="0"/>
              <w:autoSpaceDN w:val="0"/>
              <w:bidi w:val="0"/>
              <w:adjustRightInd w:val="0"/>
              <w:spacing w:line="400" w:lineRule="exact"/>
              <w:jc w:val="center"/>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身份证号</w:t>
            </w:r>
          </w:p>
        </w:tc>
        <w:tc>
          <w:tcPr>
            <w:tcW w:w="2145" w:type="dxa"/>
            <w:vAlign w:val="center"/>
          </w:tcPr>
          <w:p w14:paraId="1944EB33">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职称及相关专业认证（或执业资格）情况（如</w:t>
            </w:r>
            <w:r>
              <w:rPr>
                <w:rFonts w:hint="eastAsia" w:ascii="宋体" w:hAnsi="宋体" w:cs="宋体"/>
                <w:b/>
                <w:color w:val="auto"/>
                <w:kern w:val="0"/>
                <w:sz w:val="24"/>
                <w:highlight w:val="none"/>
                <w:lang w:val="en-US" w:eastAsia="zh-CN"/>
              </w:rPr>
              <w:t>有</w:t>
            </w:r>
            <w:r>
              <w:rPr>
                <w:rFonts w:hint="eastAsia" w:ascii="宋体" w:hAnsi="宋体" w:eastAsia="宋体" w:cs="宋体"/>
                <w:b/>
                <w:color w:val="auto"/>
                <w:kern w:val="0"/>
                <w:sz w:val="24"/>
                <w:highlight w:val="none"/>
              </w:rPr>
              <w:t>）</w:t>
            </w:r>
          </w:p>
        </w:tc>
        <w:tc>
          <w:tcPr>
            <w:tcW w:w="1545" w:type="dxa"/>
            <w:vAlign w:val="center"/>
          </w:tcPr>
          <w:p w14:paraId="2FB52F0E">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在本单位工作年限</w:t>
            </w:r>
          </w:p>
        </w:tc>
        <w:tc>
          <w:tcPr>
            <w:tcW w:w="1755" w:type="dxa"/>
            <w:vAlign w:val="center"/>
          </w:tcPr>
          <w:p w14:paraId="0E0560EE">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在本项目中拟担任职务</w:t>
            </w:r>
          </w:p>
        </w:tc>
        <w:tc>
          <w:tcPr>
            <w:tcW w:w="765" w:type="dxa"/>
            <w:vAlign w:val="center"/>
          </w:tcPr>
          <w:p w14:paraId="41790E12">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w:t>
            </w:r>
          </w:p>
        </w:tc>
      </w:tr>
      <w:tr w14:paraId="10AA99B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555" w:type="dxa"/>
            <w:vAlign w:val="center"/>
          </w:tcPr>
          <w:p w14:paraId="5ECC96BE">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52" w:type="dxa"/>
            <w:vAlign w:val="center"/>
          </w:tcPr>
          <w:p w14:paraId="098E53F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697" w:type="dxa"/>
            <w:vAlign w:val="center"/>
          </w:tcPr>
          <w:p w14:paraId="1127B71D">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2145" w:type="dxa"/>
            <w:vAlign w:val="center"/>
          </w:tcPr>
          <w:p w14:paraId="66FABA69">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45" w:type="dxa"/>
            <w:vAlign w:val="center"/>
          </w:tcPr>
          <w:p w14:paraId="65C656D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755" w:type="dxa"/>
            <w:vAlign w:val="center"/>
          </w:tcPr>
          <w:p w14:paraId="60579BA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项目负责人</w:t>
            </w:r>
          </w:p>
        </w:tc>
        <w:tc>
          <w:tcPr>
            <w:tcW w:w="765" w:type="dxa"/>
            <w:vAlign w:val="center"/>
          </w:tcPr>
          <w:p w14:paraId="4E6E0479">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5375557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320F7D3D">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252" w:type="dxa"/>
            <w:vAlign w:val="center"/>
          </w:tcPr>
          <w:p w14:paraId="71D6729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697" w:type="dxa"/>
            <w:vAlign w:val="center"/>
          </w:tcPr>
          <w:p w14:paraId="374BE4A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2145" w:type="dxa"/>
            <w:vAlign w:val="center"/>
          </w:tcPr>
          <w:p w14:paraId="42715FB0">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45" w:type="dxa"/>
            <w:vAlign w:val="center"/>
          </w:tcPr>
          <w:p w14:paraId="18C82B9D">
            <w:pPr>
              <w:spacing w:line="360" w:lineRule="auto"/>
              <w:jc w:val="center"/>
              <w:rPr>
                <w:rFonts w:hint="eastAsia" w:ascii="宋体" w:hAnsi="宋体" w:eastAsia="宋体" w:cs="宋体"/>
                <w:color w:val="auto"/>
                <w:kern w:val="0"/>
                <w:sz w:val="24"/>
                <w:highlight w:val="none"/>
              </w:rPr>
            </w:pPr>
          </w:p>
        </w:tc>
        <w:tc>
          <w:tcPr>
            <w:tcW w:w="1755" w:type="dxa"/>
            <w:vAlign w:val="center"/>
          </w:tcPr>
          <w:p w14:paraId="0E4AF6D5">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765" w:type="dxa"/>
            <w:vAlign w:val="center"/>
          </w:tcPr>
          <w:p w14:paraId="74EFC06C">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4DC3F3D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63F0E919">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1252" w:type="dxa"/>
            <w:vAlign w:val="center"/>
          </w:tcPr>
          <w:p w14:paraId="7A1F83D3">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697" w:type="dxa"/>
            <w:vAlign w:val="center"/>
          </w:tcPr>
          <w:p w14:paraId="37A1E09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2145" w:type="dxa"/>
            <w:vAlign w:val="center"/>
          </w:tcPr>
          <w:p w14:paraId="34F5D885">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45" w:type="dxa"/>
            <w:vAlign w:val="center"/>
          </w:tcPr>
          <w:p w14:paraId="24C7A80F">
            <w:pPr>
              <w:spacing w:line="360" w:lineRule="auto"/>
              <w:jc w:val="center"/>
              <w:rPr>
                <w:rFonts w:hint="eastAsia" w:ascii="宋体" w:hAnsi="宋体" w:eastAsia="宋体" w:cs="宋体"/>
                <w:color w:val="auto"/>
                <w:kern w:val="0"/>
                <w:sz w:val="24"/>
                <w:highlight w:val="none"/>
                <w:lang w:val="en-US" w:eastAsia="zh-CN"/>
              </w:rPr>
            </w:pPr>
          </w:p>
        </w:tc>
        <w:tc>
          <w:tcPr>
            <w:tcW w:w="1755" w:type="dxa"/>
            <w:vAlign w:val="center"/>
          </w:tcPr>
          <w:p w14:paraId="582256C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765" w:type="dxa"/>
            <w:vAlign w:val="center"/>
          </w:tcPr>
          <w:p w14:paraId="59BA72E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36F1A87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101EB509">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1252" w:type="dxa"/>
            <w:vAlign w:val="center"/>
          </w:tcPr>
          <w:p w14:paraId="2285610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697" w:type="dxa"/>
            <w:vAlign w:val="center"/>
          </w:tcPr>
          <w:p w14:paraId="4B5D5399">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2145" w:type="dxa"/>
            <w:vAlign w:val="center"/>
          </w:tcPr>
          <w:p w14:paraId="6FF8D90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45" w:type="dxa"/>
            <w:vAlign w:val="center"/>
          </w:tcPr>
          <w:p w14:paraId="3C71F8FC">
            <w:pPr>
              <w:spacing w:line="360" w:lineRule="auto"/>
              <w:jc w:val="center"/>
              <w:rPr>
                <w:rFonts w:hint="eastAsia" w:ascii="宋体" w:hAnsi="宋体" w:eastAsia="宋体" w:cs="宋体"/>
                <w:color w:val="auto"/>
                <w:sz w:val="24"/>
                <w:szCs w:val="24"/>
                <w:highlight w:val="none"/>
              </w:rPr>
            </w:pPr>
          </w:p>
        </w:tc>
        <w:tc>
          <w:tcPr>
            <w:tcW w:w="1755" w:type="dxa"/>
            <w:vAlign w:val="center"/>
          </w:tcPr>
          <w:p w14:paraId="30E7F463">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765" w:type="dxa"/>
            <w:vAlign w:val="center"/>
          </w:tcPr>
          <w:p w14:paraId="65F83B4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0CAE6BE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7E36722B">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1252" w:type="dxa"/>
            <w:vAlign w:val="center"/>
          </w:tcPr>
          <w:p w14:paraId="512AC5A3">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697" w:type="dxa"/>
            <w:vAlign w:val="center"/>
          </w:tcPr>
          <w:p w14:paraId="334F8CF8">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2145" w:type="dxa"/>
            <w:vAlign w:val="center"/>
          </w:tcPr>
          <w:p w14:paraId="1BA68BB9">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45" w:type="dxa"/>
            <w:vAlign w:val="center"/>
          </w:tcPr>
          <w:p w14:paraId="3C8B9D80">
            <w:pPr>
              <w:spacing w:line="360" w:lineRule="auto"/>
              <w:jc w:val="center"/>
              <w:rPr>
                <w:rFonts w:hint="eastAsia" w:ascii="宋体" w:hAnsi="宋体" w:eastAsia="宋体" w:cs="宋体"/>
                <w:color w:val="auto"/>
                <w:sz w:val="24"/>
                <w:szCs w:val="24"/>
                <w:highlight w:val="none"/>
              </w:rPr>
            </w:pPr>
          </w:p>
        </w:tc>
        <w:tc>
          <w:tcPr>
            <w:tcW w:w="1755" w:type="dxa"/>
            <w:vAlign w:val="center"/>
          </w:tcPr>
          <w:p w14:paraId="3459018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765" w:type="dxa"/>
            <w:vAlign w:val="center"/>
          </w:tcPr>
          <w:p w14:paraId="4CFD167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5B81FB1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65064705">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1252" w:type="dxa"/>
            <w:vAlign w:val="center"/>
          </w:tcPr>
          <w:p w14:paraId="0939300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697" w:type="dxa"/>
            <w:vAlign w:val="center"/>
          </w:tcPr>
          <w:p w14:paraId="4317F85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2145" w:type="dxa"/>
            <w:vAlign w:val="center"/>
          </w:tcPr>
          <w:p w14:paraId="06F4BE4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45" w:type="dxa"/>
            <w:vAlign w:val="center"/>
          </w:tcPr>
          <w:p w14:paraId="192A0F39">
            <w:pPr>
              <w:spacing w:line="360" w:lineRule="auto"/>
              <w:jc w:val="center"/>
              <w:rPr>
                <w:rFonts w:hint="eastAsia" w:ascii="宋体" w:hAnsi="宋体" w:eastAsia="宋体" w:cs="宋体"/>
                <w:color w:val="auto"/>
                <w:kern w:val="0"/>
                <w:sz w:val="24"/>
                <w:highlight w:val="none"/>
                <w:lang w:val="en-US" w:eastAsia="zh-CN"/>
              </w:rPr>
            </w:pPr>
          </w:p>
        </w:tc>
        <w:tc>
          <w:tcPr>
            <w:tcW w:w="1755" w:type="dxa"/>
            <w:vAlign w:val="center"/>
          </w:tcPr>
          <w:p w14:paraId="6E91B93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765" w:type="dxa"/>
            <w:vAlign w:val="center"/>
          </w:tcPr>
          <w:p w14:paraId="42F22E5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76F707A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7E218C80">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1252" w:type="dxa"/>
            <w:vAlign w:val="center"/>
          </w:tcPr>
          <w:p w14:paraId="1F58423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697" w:type="dxa"/>
            <w:vAlign w:val="center"/>
          </w:tcPr>
          <w:p w14:paraId="6C0F8CE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2145" w:type="dxa"/>
            <w:vAlign w:val="center"/>
          </w:tcPr>
          <w:p w14:paraId="7BC7359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45" w:type="dxa"/>
            <w:vAlign w:val="center"/>
          </w:tcPr>
          <w:p w14:paraId="61D96D78">
            <w:pPr>
              <w:spacing w:line="360" w:lineRule="auto"/>
              <w:jc w:val="center"/>
              <w:rPr>
                <w:rFonts w:hint="eastAsia" w:ascii="宋体" w:hAnsi="宋体" w:eastAsia="宋体" w:cs="宋体"/>
                <w:color w:val="auto"/>
                <w:sz w:val="24"/>
                <w:szCs w:val="24"/>
                <w:highlight w:val="none"/>
              </w:rPr>
            </w:pPr>
          </w:p>
        </w:tc>
        <w:tc>
          <w:tcPr>
            <w:tcW w:w="1755" w:type="dxa"/>
            <w:vAlign w:val="center"/>
          </w:tcPr>
          <w:p w14:paraId="38F2150A">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765" w:type="dxa"/>
            <w:vAlign w:val="center"/>
          </w:tcPr>
          <w:p w14:paraId="6A90D55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156F9B7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6A9E0BE3">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1252" w:type="dxa"/>
            <w:vAlign w:val="center"/>
          </w:tcPr>
          <w:p w14:paraId="5AB690D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697" w:type="dxa"/>
            <w:vAlign w:val="center"/>
          </w:tcPr>
          <w:p w14:paraId="112B924D">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2145" w:type="dxa"/>
            <w:vAlign w:val="center"/>
          </w:tcPr>
          <w:p w14:paraId="40DDD90A">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45" w:type="dxa"/>
            <w:vAlign w:val="center"/>
          </w:tcPr>
          <w:p w14:paraId="1ABCCD19">
            <w:pPr>
              <w:spacing w:line="360" w:lineRule="auto"/>
              <w:jc w:val="center"/>
              <w:rPr>
                <w:rFonts w:hint="eastAsia" w:ascii="宋体" w:hAnsi="宋体" w:eastAsia="宋体" w:cs="宋体"/>
                <w:color w:val="auto"/>
                <w:kern w:val="0"/>
                <w:sz w:val="24"/>
                <w:highlight w:val="none"/>
              </w:rPr>
            </w:pPr>
          </w:p>
        </w:tc>
        <w:tc>
          <w:tcPr>
            <w:tcW w:w="1755" w:type="dxa"/>
            <w:vAlign w:val="center"/>
          </w:tcPr>
          <w:p w14:paraId="652985C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765" w:type="dxa"/>
            <w:vAlign w:val="center"/>
          </w:tcPr>
          <w:p w14:paraId="502DA616">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7DA7EE3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50F78696">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p>
        </w:tc>
        <w:tc>
          <w:tcPr>
            <w:tcW w:w="1252" w:type="dxa"/>
            <w:vAlign w:val="center"/>
          </w:tcPr>
          <w:p w14:paraId="26A3B0C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697" w:type="dxa"/>
            <w:vAlign w:val="center"/>
          </w:tcPr>
          <w:p w14:paraId="0BBCC6A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2145" w:type="dxa"/>
            <w:vAlign w:val="center"/>
          </w:tcPr>
          <w:p w14:paraId="469D052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45" w:type="dxa"/>
            <w:vAlign w:val="center"/>
          </w:tcPr>
          <w:p w14:paraId="55492E03">
            <w:pPr>
              <w:spacing w:line="360" w:lineRule="auto"/>
              <w:jc w:val="center"/>
              <w:rPr>
                <w:rFonts w:hint="eastAsia" w:ascii="宋体" w:hAnsi="宋体" w:eastAsia="宋体" w:cs="宋体"/>
                <w:color w:val="auto"/>
                <w:sz w:val="24"/>
                <w:szCs w:val="24"/>
                <w:highlight w:val="none"/>
              </w:rPr>
            </w:pPr>
          </w:p>
        </w:tc>
        <w:tc>
          <w:tcPr>
            <w:tcW w:w="1755" w:type="dxa"/>
            <w:vAlign w:val="center"/>
          </w:tcPr>
          <w:p w14:paraId="4B48739C">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765" w:type="dxa"/>
            <w:vAlign w:val="center"/>
          </w:tcPr>
          <w:p w14:paraId="6B4FA07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5C27676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49" w:type="dxa"/>
            <w:gridSpan w:val="6"/>
            <w:vAlign w:val="center"/>
          </w:tcPr>
          <w:p w14:paraId="6D6D46D0">
            <w:pPr>
              <w:kinsoku/>
              <w:overflowPunct/>
              <w:autoSpaceDE w:val="0"/>
              <w:autoSpaceDN w:val="0"/>
              <w:bidi w:val="0"/>
              <w:adjustRightInd w:val="0"/>
              <w:spacing w:line="40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其他说明：（如有）</w:t>
            </w:r>
          </w:p>
        </w:tc>
        <w:tc>
          <w:tcPr>
            <w:tcW w:w="765" w:type="dxa"/>
            <w:vAlign w:val="center"/>
          </w:tcPr>
          <w:p w14:paraId="5831EA4C">
            <w:pPr>
              <w:kinsoku/>
              <w:overflowPunct/>
              <w:autoSpaceDE w:val="0"/>
              <w:autoSpaceDN w:val="0"/>
              <w:bidi w:val="0"/>
              <w:adjustRightInd w:val="0"/>
              <w:spacing w:line="400" w:lineRule="exact"/>
              <w:rPr>
                <w:rFonts w:hint="eastAsia" w:ascii="宋体" w:hAnsi="宋体" w:eastAsia="宋体" w:cs="宋体"/>
                <w:b/>
                <w:color w:val="auto"/>
                <w:kern w:val="0"/>
                <w:sz w:val="24"/>
                <w:highlight w:val="none"/>
              </w:rPr>
            </w:pPr>
          </w:p>
        </w:tc>
      </w:tr>
    </w:tbl>
    <w:p w14:paraId="62CFB6B4">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注：</w:t>
      </w:r>
      <w:r>
        <w:rPr>
          <w:rFonts w:hint="eastAsia" w:ascii="宋体" w:hAnsi="宋体" w:eastAsia="宋体" w:cs="宋体"/>
          <w:bCs/>
          <w:color w:val="auto"/>
          <w:sz w:val="24"/>
          <w:highlight w:val="none"/>
        </w:rPr>
        <w:t>本表后附对应的证明材料</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具体内容见评分办法。</w:t>
      </w:r>
    </w:p>
    <w:p w14:paraId="66F9D7A4">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14:paraId="55A30473">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48B7EF48">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686FAFEC">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30EB3DBD">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p w14:paraId="0DD17E76">
      <w:pPr>
        <w:pStyle w:val="3"/>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38D84151">
      <w:pPr>
        <w:pStyle w:val="3"/>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5256E578">
      <w:pPr>
        <w:pStyle w:val="3"/>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40C7DB9D">
      <w:pPr>
        <w:kinsoku/>
        <w:overflowPunct/>
        <w:bidi w:val="0"/>
        <w:spacing w:line="400" w:lineRule="exact"/>
        <w:rPr>
          <w:rFonts w:hint="eastAsia" w:ascii="宋体" w:hAnsi="宋体" w:eastAsia="宋体" w:cs="宋体"/>
          <w:b/>
          <w:color w:val="auto"/>
          <w:kern w:val="0"/>
          <w:sz w:val="30"/>
          <w:highlight w:val="none"/>
          <w:lang w:val="zh-CN"/>
        </w:rPr>
      </w:pPr>
    </w:p>
    <w:p w14:paraId="3A9E330E">
      <w:pPr>
        <w:pStyle w:val="3"/>
        <w:kinsoku/>
        <w:overflowPunct/>
        <w:bidi w:val="0"/>
        <w:spacing w:line="400" w:lineRule="exact"/>
        <w:rPr>
          <w:rFonts w:hint="eastAsia" w:ascii="宋体" w:hAnsi="宋体" w:eastAsia="宋体" w:cs="宋体"/>
          <w:b/>
          <w:color w:val="auto"/>
          <w:kern w:val="0"/>
          <w:sz w:val="30"/>
          <w:highlight w:val="none"/>
          <w:lang w:val="zh-CN"/>
        </w:rPr>
      </w:pPr>
    </w:p>
    <w:p w14:paraId="545F77BD">
      <w:pPr>
        <w:kinsoku/>
        <w:overflowPunct/>
        <w:bidi w:val="0"/>
        <w:spacing w:line="400" w:lineRule="exact"/>
        <w:rPr>
          <w:rFonts w:hint="eastAsia" w:ascii="宋体" w:hAnsi="宋体" w:eastAsia="宋体" w:cs="宋体"/>
          <w:b/>
          <w:color w:val="auto"/>
          <w:kern w:val="0"/>
          <w:sz w:val="30"/>
          <w:highlight w:val="none"/>
          <w:lang w:val="zh-CN"/>
        </w:rPr>
      </w:pPr>
    </w:p>
    <w:p w14:paraId="5024AAB2">
      <w:pPr>
        <w:pStyle w:val="3"/>
        <w:kinsoku/>
        <w:overflowPunct/>
        <w:bidi w:val="0"/>
        <w:spacing w:line="400" w:lineRule="exact"/>
        <w:rPr>
          <w:rFonts w:hint="eastAsia" w:ascii="宋体" w:hAnsi="宋体" w:eastAsia="宋体" w:cs="宋体"/>
          <w:b/>
          <w:color w:val="auto"/>
          <w:kern w:val="0"/>
          <w:sz w:val="30"/>
          <w:highlight w:val="none"/>
          <w:lang w:val="zh-CN"/>
        </w:rPr>
      </w:pPr>
    </w:p>
    <w:p w14:paraId="6DDDF18C">
      <w:pPr>
        <w:rPr>
          <w:rFonts w:hint="eastAsia" w:ascii="宋体" w:hAnsi="宋体" w:eastAsia="宋体" w:cs="宋体"/>
          <w:color w:val="auto"/>
          <w:kern w:val="0"/>
          <w:sz w:val="30"/>
          <w:highlight w:val="none"/>
          <w:lang w:val="zh-CN"/>
        </w:rPr>
      </w:pPr>
      <w:r>
        <w:rPr>
          <w:rFonts w:hint="eastAsia" w:ascii="宋体" w:hAnsi="宋体" w:eastAsia="宋体" w:cs="宋体"/>
          <w:color w:val="auto"/>
          <w:kern w:val="0"/>
          <w:sz w:val="30"/>
          <w:highlight w:val="none"/>
          <w:lang w:val="zh-CN"/>
        </w:rPr>
        <w:br w:type="page"/>
      </w:r>
    </w:p>
    <w:p w14:paraId="4AA2EDBD">
      <w:pPr>
        <w:pStyle w:val="8"/>
        <w:kinsoku/>
        <w:overflowPunct/>
        <w:bidi w:val="0"/>
        <w:spacing w:line="400" w:lineRule="exact"/>
        <w:ind w:left="0" w:firstLine="0"/>
        <w:jc w:val="center"/>
        <w:rPr>
          <w:rFonts w:hint="eastAsia" w:ascii="宋体" w:hAnsi="宋体" w:eastAsia="宋体" w:cs="宋体"/>
          <w:color w:val="auto"/>
          <w:sz w:val="28"/>
          <w:highlight w:val="none"/>
        </w:rPr>
      </w:pPr>
      <w:r>
        <w:rPr>
          <w:rFonts w:hint="eastAsia" w:ascii="宋体" w:hAnsi="宋体" w:eastAsia="宋体" w:cs="宋体"/>
          <w:color w:val="auto"/>
          <w:kern w:val="0"/>
          <w:sz w:val="30"/>
          <w:highlight w:val="none"/>
          <w:lang w:val="zh-CN"/>
        </w:rPr>
        <w:t>格式</w:t>
      </w:r>
      <w:r>
        <w:rPr>
          <w:rFonts w:hint="eastAsia" w:ascii="宋体" w:hAnsi="宋体" w:eastAsia="宋体" w:cs="宋体"/>
          <w:color w:val="auto"/>
          <w:kern w:val="0"/>
          <w:sz w:val="30"/>
          <w:highlight w:val="none"/>
          <w:lang w:val="en-US" w:eastAsia="zh-CN"/>
        </w:rPr>
        <w:t>七</w:t>
      </w:r>
      <w:r>
        <w:rPr>
          <w:rFonts w:hint="eastAsia" w:ascii="宋体" w:hAnsi="宋体" w:eastAsia="宋体" w:cs="宋体"/>
          <w:color w:val="auto"/>
          <w:kern w:val="0"/>
          <w:sz w:val="30"/>
          <w:highlight w:val="none"/>
          <w:lang w:val="zh-CN"/>
        </w:rPr>
        <w:t>：</w:t>
      </w:r>
      <w:bookmarkStart w:id="101" w:name="_Toc8841"/>
      <w:bookmarkStart w:id="102" w:name="_Toc522530058"/>
      <w:r>
        <w:rPr>
          <w:rFonts w:hint="eastAsia" w:ascii="宋体" w:hAnsi="宋体" w:eastAsia="宋体" w:cs="宋体"/>
          <w:color w:val="auto"/>
          <w:sz w:val="28"/>
          <w:szCs w:val="22"/>
          <w:highlight w:val="none"/>
        </w:rPr>
        <w:t>开标一览表</w:t>
      </w:r>
      <w:bookmarkEnd w:id="92"/>
      <w:bookmarkEnd w:id="93"/>
      <w:bookmarkEnd w:id="94"/>
      <w:bookmarkEnd w:id="95"/>
      <w:bookmarkEnd w:id="96"/>
      <w:bookmarkEnd w:id="101"/>
      <w:bookmarkEnd w:id="102"/>
    </w:p>
    <w:p w14:paraId="69E2AD86">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衢州智造新城管理委员会</w:t>
      </w:r>
    </w:p>
    <w:p w14:paraId="2A4DAACF">
      <w:pPr>
        <w:kinsoku/>
        <w:overflowPunct/>
        <w:bidi w:val="0"/>
        <w:adjustRightInd w:val="0"/>
        <w:snapToGrid w:val="0"/>
        <w:spacing w:line="400" w:lineRule="exact"/>
        <w:rPr>
          <w:rFonts w:hint="eastAsia" w:ascii="宋体" w:hAnsi="宋体" w:eastAsia="宋体" w:cs="宋体"/>
          <w:b/>
          <w:color w:val="auto"/>
          <w:sz w:val="30"/>
          <w:highlight w:val="none"/>
        </w:rPr>
      </w:pPr>
      <w:r>
        <w:rPr>
          <w:rFonts w:hint="eastAsia" w:ascii="宋体" w:hAnsi="宋体" w:cs="宋体"/>
          <w:color w:val="auto"/>
          <w:sz w:val="24"/>
          <w:highlight w:val="none"/>
          <w:lang w:eastAsia="zh-CN"/>
        </w:rPr>
        <w:t>浙江中际工程项目管理有限公司</w:t>
      </w:r>
      <w:r>
        <w:rPr>
          <w:rFonts w:hint="eastAsia" w:ascii="宋体" w:hAnsi="宋体" w:eastAsia="宋体" w:cs="宋体"/>
          <w:color w:val="auto"/>
          <w:sz w:val="24"/>
          <w:highlight w:val="none"/>
        </w:rPr>
        <w:t>：</w:t>
      </w:r>
    </w:p>
    <w:p w14:paraId="25D3B03D">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按贵方招标文件要求，如你方接受本投标文件，我方承诺按照如下开标一览表的价格完成</w:t>
      </w:r>
      <w:r>
        <w:rPr>
          <w:rFonts w:hint="eastAsia" w:ascii="宋体" w:hAnsi="宋体" w:cs="宋体"/>
          <w:color w:val="auto"/>
          <w:sz w:val="24"/>
          <w:szCs w:val="24"/>
          <w:highlight w:val="none"/>
          <w:u w:val="single"/>
          <w:shd w:val="clear" w:color="auto" w:fill="auto"/>
          <w:lang w:eastAsia="zh-CN"/>
        </w:rPr>
        <w:t>智造新城建设项目环评技术评估</w:t>
      </w:r>
      <w:r>
        <w:rPr>
          <w:rFonts w:hint="eastAsia" w:ascii="宋体" w:hAnsi="宋体" w:eastAsia="宋体" w:cs="宋体"/>
          <w:color w:val="auto"/>
          <w:spacing w:val="-3"/>
          <w:sz w:val="24"/>
          <w:szCs w:val="24"/>
          <w:highlight w:val="none"/>
          <w:u w:val="single"/>
          <w:shd w:val="clear" w:color="auto" w:fill="auto"/>
        </w:rPr>
        <w:t>（项目编号</w:t>
      </w:r>
      <w:r>
        <w:rPr>
          <w:rFonts w:hint="eastAsia" w:ascii="宋体" w:hAnsi="宋体" w:eastAsia="宋体" w:cs="宋体"/>
          <w:color w:val="auto"/>
          <w:spacing w:val="-3"/>
          <w:sz w:val="24"/>
          <w:szCs w:val="24"/>
          <w:highlight w:val="none"/>
          <w:u w:val="single"/>
          <w:shd w:val="clear" w:color="auto" w:fill="auto"/>
          <w:lang w:eastAsia="zh-CN"/>
        </w:rPr>
        <w:t>：</w:t>
      </w:r>
      <w:r>
        <w:rPr>
          <w:rFonts w:hint="eastAsia" w:ascii="宋体" w:hAnsi="宋体" w:eastAsia="宋体" w:cs="宋体"/>
          <w:color w:val="auto"/>
          <w:sz w:val="24"/>
          <w:szCs w:val="24"/>
          <w:highlight w:val="none"/>
          <w:u w:val="single"/>
          <w:shd w:val="clear" w:color="auto" w:fill="auto"/>
          <w:lang w:val="en-US" w:eastAsia="zh-CN"/>
        </w:rPr>
        <w:t>ZZCG-2025-027</w:t>
      </w:r>
      <w:r>
        <w:rPr>
          <w:rFonts w:hint="eastAsia" w:ascii="宋体" w:hAnsi="宋体" w:eastAsia="宋体" w:cs="宋体"/>
          <w:color w:val="auto"/>
          <w:spacing w:val="-3"/>
          <w:sz w:val="24"/>
          <w:szCs w:val="24"/>
          <w:highlight w:val="none"/>
          <w:shd w:val="clear" w:color="auto" w:fill="auto"/>
        </w:rPr>
        <w:t>）</w:t>
      </w:r>
      <w:r>
        <w:rPr>
          <w:rFonts w:hint="eastAsia" w:ascii="宋体" w:hAnsi="宋体" w:eastAsia="宋体" w:cs="宋体"/>
          <w:color w:val="auto"/>
          <w:kern w:val="0"/>
          <w:sz w:val="24"/>
          <w:highlight w:val="none"/>
          <w:lang w:val="zh-CN"/>
        </w:rPr>
        <w:t>的实施。</w:t>
      </w:r>
    </w:p>
    <w:p w14:paraId="4B123DAA">
      <w:pPr>
        <w:kinsoku/>
        <w:overflowPunct/>
        <w:bidi w:val="0"/>
        <w:adjustRightInd w:val="0"/>
        <w:snapToGrid w:val="0"/>
        <w:spacing w:line="400" w:lineRule="exact"/>
        <w:ind w:righ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 xml:space="preserve">                                              货币单位：人民币元</w:t>
      </w:r>
    </w:p>
    <w:tbl>
      <w:tblPr>
        <w:tblStyle w:val="8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154"/>
        <w:gridCol w:w="1021"/>
        <w:gridCol w:w="1488"/>
        <w:gridCol w:w="1200"/>
        <w:gridCol w:w="1724"/>
        <w:gridCol w:w="815"/>
      </w:tblGrid>
      <w:tr w14:paraId="7868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exact"/>
        </w:trPr>
        <w:tc>
          <w:tcPr>
            <w:tcW w:w="716" w:type="dxa"/>
            <w:noWrap/>
            <w:vAlign w:val="center"/>
          </w:tcPr>
          <w:p w14:paraId="77D5027D">
            <w:pPr>
              <w:spacing w:line="3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3175" w:type="dxa"/>
            <w:gridSpan w:val="2"/>
            <w:noWrap/>
            <w:vAlign w:val="center"/>
          </w:tcPr>
          <w:p w14:paraId="3896FCDE">
            <w:pPr>
              <w:spacing w:line="3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1488" w:type="dxa"/>
            <w:noWrap/>
            <w:vAlign w:val="center"/>
          </w:tcPr>
          <w:p w14:paraId="5E77E02B">
            <w:pPr>
              <w:spacing w:line="34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项目负责人</w:t>
            </w:r>
          </w:p>
        </w:tc>
        <w:tc>
          <w:tcPr>
            <w:tcW w:w="1200" w:type="dxa"/>
            <w:noWrap/>
            <w:vAlign w:val="center"/>
          </w:tcPr>
          <w:p w14:paraId="15008504">
            <w:pPr>
              <w:spacing w:line="340" w:lineRule="exact"/>
              <w:jc w:val="cente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评估数量（个）</w:t>
            </w:r>
          </w:p>
        </w:tc>
        <w:tc>
          <w:tcPr>
            <w:tcW w:w="1724" w:type="dxa"/>
            <w:noWrap/>
            <w:vAlign w:val="center"/>
          </w:tcPr>
          <w:p w14:paraId="60678E71">
            <w:pPr>
              <w:spacing w:line="3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单个评估项目报价</w:t>
            </w:r>
          </w:p>
        </w:tc>
        <w:tc>
          <w:tcPr>
            <w:tcW w:w="815" w:type="dxa"/>
            <w:noWrap/>
            <w:vAlign w:val="center"/>
          </w:tcPr>
          <w:p w14:paraId="60083F7F">
            <w:pPr>
              <w:spacing w:line="3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363C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716" w:type="dxa"/>
            <w:noWrap/>
            <w:vAlign w:val="center"/>
          </w:tcPr>
          <w:p w14:paraId="5D797C9F">
            <w:pPr>
              <w:spacing w:line="3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w:t>
            </w:r>
          </w:p>
        </w:tc>
        <w:tc>
          <w:tcPr>
            <w:tcW w:w="3175" w:type="dxa"/>
            <w:gridSpan w:val="2"/>
            <w:noWrap/>
            <w:vAlign w:val="center"/>
          </w:tcPr>
          <w:p w14:paraId="6D94F846">
            <w:pPr>
              <w:spacing w:line="340" w:lineRule="exact"/>
              <w:jc w:val="center"/>
              <w:rPr>
                <w:rFonts w:ascii="宋体" w:hAnsi="宋体" w:cs="宋体"/>
                <w:color w:val="000000" w:themeColor="text1"/>
                <w:sz w:val="24"/>
                <w:highlight w:val="none"/>
                <w14:textFill>
                  <w14:solidFill>
                    <w14:schemeClr w14:val="tx1"/>
                  </w14:solidFill>
                </w14:textFill>
              </w:rPr>
            </w:pPr>
          </w:p>
        </w:tc>
        <w:tc>
          <w:tcPr>
            <w:tcW w:w="1488" w:type="dxa"/>
            <w:noWrap/>
            <w:vAlign w:val="center"/>
          </w:tcPr>
          <w:p w14:paraId="27317CA7">
            <w:pPr>
              <w:spacing w:line="340" w:lineRule="exact"/>
              <w:jc w:val="center"/>
              <w:rPr>
                <w:rFonts w:ascii="宋体" w:hAnsi="宋体" w:cs="宋体"/>
                <w:color w:val="FF0000"/>
                <w:sz w:val="24"/>
                <w:highlight w:val="none"/>
              </w:rPr>
            </w:pPr>
          </w:p>
        </w:tc>
        <w:tc>
          <w:tcPr>
            <w:tcW w:w="1200" w:type="dxa"/>
            <w:noWrap/>
            <w:vAlign w:val="center"/>
          </w:tcPr>
          <w:p w14:paraId="162F981A">
            <w:pPr>
              <w:spacing w:line="340" w:lineRule="exact"/>
              <w:jc w:val="center"/>
              <w:rPr>
                <w:rFonts w:hint="default" w:ascii="宋体" w:hAnsi="宋体" w:eastAsia="宋体" w:cs="宋体"/>
                <w:color w:val="FF0000"/>
                <w:sz w:val="24"/>
                <w:highlight w:val="none"/>
                <w:lang w:val="en-US" w:eastAsia="zh-CN"/>
              </w:rPr>
            </w:pPr>
            <w:r>
              <w:rPr>
                <w:rFonts w:hint="eastAsia" w:ascii="宋体" w:hAnsi="宋体" w:cs="宋体"/>
                <w:color w:val="auto"/>
                <w:sz w:val="24"/>
                <w:highlight w:val="none"/>
                <w:lang w:val="en-US" w:eastAsia="zh-CN"/>
              </w:rPr>
              <w:t>50</w:t>
            </w:r>
          </w:p>
        </w:tc>
        <w:tc>
          <w:tcPr>
            <w:tcW w:w="1724" w:type="dxa"/>
            <w:noWrap/>
            <w:vAlign w:val="center"/>
          </w:tcPr>
          <w:p w14:paraId="24FCFFFD">
            <w:pPr>
              <w:spacing w:line="340" w:lineRule="exact"/>
              <w:jc w:val="center"/>
              <w:rPr>
                <w:rFonts w:ascii="宋体" w:hAnsi="宋体" w:cs="宋体"/>
                <w:color w:val="FF0000"/>
                <w:sz w:val="24"/>
                <w:highlight w:val="none"/>
              </w:rPr>
            </w:pPr>
          </w:p>
        </w:tc>
        <w:tc>
          <w:tcPr>
            <w:tcW w:w="815" w:type="dxa"/>
            <w:noWrap/>
            <w:vAlign w:val="center"/>
          </w:tcPr>
          <w:p w14:paraId="41D7ECC3">
            <w:pPr>
              <w:spacing w:line="340" w:lineRule="exact"/>
              <w:jc w:val="center"/>
              <w:rPr>
                <w:rFonts w:ascii="宋体" w:hAnsi="宋体" w:cs="宋体"/>
                <w:color w:val="000000" w:themeColor="text1"/>
                <w:sz w:val="24"/>
                <w:highlight w:val="none"/>
                <w14:textFill>
                  <w14:solidFill>
                    <w14:schemeClr w14:val="tx1"/>
                  </w14:solidFill>
                </w14:textFill>
              </w:rPr>
            </w:pPr>
          </w:p>
        </w:tc>
      </w:tr>
      <w:tr w14:paraId="7B19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870" w:type="dxa"/>
            <w:gridSpan w:val="2"/>
            <w:noWrap/>
            <w:vAlign w:val="center"/>
          </w:tcPr>
          <w:p w14:paraId="6A51FB0A">
            <w:pPr>
              <w:spacing w:line="3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投标总价 （小写）</w:t>
            </w:r>
          </w:p>
        </w:tc>
        <w:tc>
          <w:tcPr>
            <w:tcW w:w="6248" w:type="dxa"/>
            <w:gridSpan w:val="5"/>
            <w:noWrap/>
            <w:vAlign w:val="center"/>
          </w:tcPr>
          <w:p w14:paraId="3829BA02">
            <w:pPr>
              <w:spacing w:line="340" w:lineRule="exact"/>
              <w:ind w:firstLine="3480" w:firstLineChars="1450"/>
              <w:rPr>
                <w:rFonts w:ascii="宋体" w:hAnsi="宋体" w:cs="宋体"/>
                <w:color w:val="000000" w:themeColor="text1"/>
                <w:sz w:val="24"/>
                <w:highlight w:val="none"/>
                <w14:textFill>
                  <w14:solidFill>
                    <w14:schemeClr w14:val="tx1"/>
                  </w14:solidFill>
                </w14:textFill>
              </w:rPr>
            </w:pPr>
          </w:p>
        </w:tc>
      </w:tr>
      <w:tr w14:paraId="4ACB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870" w:type="dxa"/>
            <w:gridSpan w:val="2"/>
            <w:noWrap/>
            <w:vAlign w:val="center"/>
          </w:tcPr>
          <w:p w14:paraId="53BE6EF8">
            <w:pPr>
              <w:spacing w:line="3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投标总价 （大写）</w:t>
            </w:r>
          </w:p>
        </w:tc>
        <w:tc>
          <w:tcPr>
            <w:tcW w:w="6248" w:type="dxa"/>
            <w:gridSpan w:val="5"/>
            <w:noWrap/>
            <w:vAlign w:val="center"/>
          </w:tcPr>
          <w:p w14:paraId="50A01E63">
            <w:pPr>
              <w:spacing w:line="340" w:lineRule="exact"/>
              <w:ind w:firstLine="3480" w:firstLineChars="1450"/>
              <w:rPr>
                <w:rFonts w:ascii="宋体" w:hAnsi="宋体" w:cs="宋体"/>
                <w:color w:val="000000" w:themeColor="text1"/>
                <w:sz w:val="24"/>
                <w:highlight w:val="none"/>
                <w14:textFill>
                  <w14:solidFill>
                    <w14:schemeClr w14:val="tx1"/>
                  </w14:solidFill>
                </w14:textFill>
              </w:rPr>
            </w:pPr>
          </w:p>
        </w:tc>
      </w:tr>
      <w:tr w14:paraId="27C8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118" w:type="dxa"/>
            <w:gridSpan w:val="7"/>
            <w:noWrap/>
            <w:vAlign w:val="center"/>
          </w:tcPr>
          <w:p w14:paraId="08B627F6">
            <w:pPr>
              <w:spacing w:line="34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投标总价=评估数量×单个评估项目报价（报价精确到元）</w:t>
            </w:r>
          </w:p>
        </w:tc>
      </w:tr>
    </w:tbl>
    <w:p w14:paraId="1E8596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
          <w:color w:val="auto"/>
          <w:kern w:val="0"/>
          <w:sz w:val="24"/>
          <w:highlight w:val="none"/>
          <w:lang w:val="zh-CN"/>
        </w:rPr>
        <w:t>注</w:t>
      </w:r>
      <w:r>
        <w:rPr>
          <w:rFonts w:hint="eastAsia" w:ascii="宋体" w:hAnsi="宋体" w:eastAsia="宋体" w:cs="宋体"/>
          <w:bCs/>
          <w:color w:val="auto"/>
          <w:sz w:val="24"/>
          <w:szCs w:val="24"/>
          <w:highlight w:val="none"/>
          <w:lang w:val="zh-CN" w:eastAsia="zh-CN"/>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eastAsia="zh-CN"/>
        </w:rPr>
        <w:t>此表报价单不得涂改，请按规定要求填报。</w:t>
      </w:r>
    </w:p>
    <w:p w14:paraId="587F73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本项目报价采用人民币报价形式，投标人的报价应低于最高限价，否则其投标无效。本项目按实结算，以中标单价（包含项目评估费、专家评审费、会务费、专家住宿费、交通费、规费、税费、企业管理费、利润以及项目包含的所有风险、责任等各项应有费用。）*实际完成的评估数量=最终结算价，如实际评估项目数超出预算数的仍按照预算内的资金结算。</w:t>
      </w:r>
    </w:p>
    <w:p w14:paraId="5C9A55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r>
        <w:rPr>
          <w:rFonts w:hint="eastAsia" w:ascii="宋体" w:hAnsi="宋体" w:cs="宋体"/>
          <w:b/>
          <w:bCs w:val="0"/>
          <w:color w:val="auto"/>
          <w:sz w:val="24"/>
          <w:szCs w:val="24"/>
          <w:highlight w:val="none"/>
          <w:lang w:val="en-US" w:eastAsia="zh-CN"/>
        </w:rPr>
        <w:t>投标人报价低于项目预算50%的，应当在报价文件中详细阐述不影响服务质量或者诚信履约的具体原因。</w:t>
      </w:r>
    </w:p>
    <w:p w14:paraId="5DB2305E">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lang w:val="zh-CN"/>
        </w:rPr>
      </w:pPr>
    </w:p>
    <w:p w14:paraId="7DD1D0F6">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17E7C381">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6BA5BFB5">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4F5A3E47">
      <w:pPr>
        <w:pStyle w:val="8"/>
        <w:kinsoku/>
        <w:overflowPunct/>
        <w:bidi w:val="0"/>
        <w:spacing w:line="400" w:lineRule="exact"/>
        <w:ind w:left="0" w:firstLine="0"/>
        <w:jc w:val="both"/>
        <w:rPr>
          <w:rFonts w:hint="eastAsia" w:ascii="宋体" w:hAnsi="宋体" w:eastAsia="宋体" w:cs="宋体"/>
          <w:color w:val="auto"/>
          <w:sz w:val="28"/>
          <w:highlight w:val="none"/>
          <w:lang w:eastAsia="zh-CN"/>
        </w:rPr>
        <w:sectPr>
          <w:footerReference r:id="rId15" w:type="first"/>
          <w:footerReference r:id="rId14" w:type="default"/>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titlePg/>
          <w:docGrid w:linePitch="381" w:charSpace="0"/>
        </w:sectPr>
      </w:pPr>
      <w:bookmarkStart w:id="103" w:name="_Toc16646"/>
      <w:bookmarkStart w:id="104" w:name="_Toc522530061"/>
    </w:p>
    <w:bookmarkEnd w:id="10"/>
    <w:bookmarkEnd w:id="11"/>
    <w:bookmarkEnd w:id="12"/>
    <w:bookmarkEnd w:id="13"/>
    <w:bookmarkEnd w:id="85"/>
    <w:bookmarkEnd w:id="103"/>
    <w:bookmarkEnd w:id="104"/>
    <w:p w14:paraId="4FA18924">
      <w:pPr>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05" w:name="_Toc15453"/>
      <w:r>
        <w:rPr>
          <w:rFonts w:hint="eastAsia" w:ascii="宋体" w:hAnsi="宋体" w:eastAsia="宋体" w:cs="宋体"/>
          <w:b/>
          <w:color w:val="auto"/>
          <w:sz w:val="36"/>
          <w:highlight w:val="none"/>
        </w:rPr>
        <w:t>第六部分  评分办法</w:t>
      </w:r>
      <w:bookmarkEnd w:id="105"/>
    </w:p>
    <w:p w14:paraId="2AD350AD">
      <w:pPr>
        <w:pStyle w:val="7"/>
        <w:keepLines w:val="0"/>
        <w:pageBreakBefore w:val="0"/>
        <w:kinsoku/>
        <w:wordWrap/>
        <w:overflowPunct/>
        <w:topLinePunct/>
        <w:autoSpaceDE/>
        <w:autoSpaceDN/>
        <w:bidi w:val="0"/>
        <w:adjustRightInd w:val="0"/>
        <w:snapToGrid w:val="0"/>
        <w:spacing w:line="400" w:lineRule="exact"/>
        <w:ind w:right="0" w:rightChars="0" w:firstLine="482" w:firstLineChars="200"/>
        <w:jc w:val="left"/>
        <w:textAlignment w:val="auto"/>
        <w:rPr>
          <w:rStyle w:val="612"/>
          <w:rFonts w:hint="eastAsia" w:ascii="宋体" w:hAnsi="宋体" w:eastAsia="宋体" w:cs="宋体"/>
          <w:color w:val="auto"/>
          <w:sz w:val="24"/>
          <w:szCs w:val="24"/>
          <w:highlight w:val="none"/>
          <w:lang w:eastAsia="zh-CN"/>
        </w:rPr>
      </w:pPr>
      <w:r>
        <w:rPr>
          <w:rStyle w:val="612"/>
          <w:rFonts w:hint="eastAsia" w:ascii="宋体" w:hAnsi="宋体" w:eastAsia="宋体" w:cs="宋体"/>
          <w:color w:val="auto"/>
          <w:sz w:val="24"/>
          <w:szCs w:val="24"/>
          <w:highlight w:val="none"/>
        </w:rPr>
        <w:t>一、总则</w:t>
      </w:r>
    </w:p>
    <w:p w14:paraId="4B84256B">
      <w:pPr>
        <w:pStyle w:val="7"/>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12"/>
          <w:rFonts w:hint="eastAsia" w:ascii="宋体" w:hAnsi="宋体" w:eastAsia="宋体" w:cs="宋体"/>
          <w:b w:val="0"/>
          <w:color w:val="auto"/>
          <w:kern w:val="18"/>
          <w:sz w:val="24"/>
          <w:szCs w:val="24"/>
          <w:highlight w:val="none"/>
        </w:rPr>
      </w:pPr>
      <w:r>
        <w:rPr>
          <w:rStyle w:val="612"/>
          <w:rFonts w:hint="eastAsia" w:ascii="宋体" w:hAnsi="宋体" w:eastAsia="宋体" w:cs="宋体"/>
          <w:b w:val="0"/>
          <w:color w:val="auto"/>
          <w:sz w:val="24"/>
          <w:szCs w:val="24"/>
          <w:highlight w:val="none"/>
          <w:lang w:val="zh-TW"/>
        </w:rPr>
        <w:t>1</w:t>
      </w:r>
      <w:r>
        <w:rPr>
          <w:rStyle w:val="612"/>
          <w:rFonts w:hint="eastAsia" w:ascii="宋体" w:hAnsi="宋体" w:cs="宋体"/>
          <w:b w:val="0"/>
          <w:color w:val="auto"/>
          <w:sz w:val="24"/>
          <w:szCs w:val="24"/>
          <w:highlight w:val="none"/>
          <w:lang w:val="en-US" w:eastAsia="zh-CN"/>
        </w:rPr>
        <w:t>.</w:t>
      </w:r>
      <w:r>
        <w:rPr>
          <w:rStyle w:val="612"/>
          <w:rFonts w:hint="eastAsia" w:ascii="宋体" w:hAnsi="宋体" w:eastAsia="宋体" w:cs="宋体"/>
          <w:b w:val="0"/>
          <w:color w:val="auto"/>
          <w:sz w:val="24"/>
          <w:szCs w:val="24"/>
          <w:highlight w:val="none"/>
        </w:rPr>
        <w:t>根据《中华人民共和国政府采购法》、《政府采购货物和服务招标投标管理办法》（财政部</w:t>
      </w:r>
      <w:r>
        <w:rPr>
          <w:rStyle w:val="612"/>
          <w:rFonts w:hint="eastAsia" w:ascii="宋体" w:hAnsi="宋体" w:eastAsia="宋体" w:cs="宋体"/>
          <w:b w:val="0"/>
          <w:color w:val="auto"/>
          <w:kern w:val="18"/>
          <w:sz w:val="24"/>
          <w:szCs w:val="24"/>
          <w:highlight w:val="none"/>
        </w:rPr>
        <w:t>第87号令）及相关法规的规定，结合采购项目特点制定本评标办法。</w:t>
      </w:r>
    </w:p>
    <w:p w14:paraId="18FA8E79">
      <w:pPr>
        <w:pStyle w:val="7"/>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12"/>
          <w:rFonts w:hint="eastAsia" w:ascii="宋体" w:hAnsi="宋体" w:eastAsia="宋体" w:cs="宋体"/>
          <w:b w:val="0"/>
          <w:color w:val="auto"/>
          <w:sz w:val="24"/>
          <w:szCs w:val="24"/>
          <w:highlight w:val="none"/>
        </w:rPr>
      </w:pPr>
      <w:r>
        <w:rPr>
          <w:rStyle w:val="612"/>
          <w:rFonts w:hint="eastAsia" w:ascii="宋体" w:hAnsi="宋体" w:eastAsia="宋体" w:cs="宋体"/>
          <w:b w:val="0"/>
          <w:color w:val="auto"/>
          <w:sz w:val="24"/>
          <w:szCs w:val="24"/>
          <w:highlight w:val="none"/>
          <w:lang w:val="zh-TW"/>
        </w:rPr>
        <w:t>2</w:t>
      </w:r>
      <w:r>
        <w:rPr>
          <w:rStyle w:val="612"/>
          <w:rFonts w:hint="eastAsia" w:ascii="宋体" w:hAnsi="宋体" w:cs="宋体"/>
          <w:b w:val="0"/>
          <w:color w:val="auto"/>
          <w:sz w:val="24"/>
          <w:szCs w:val="24"/>
          <w:highlight w:val="none"/>
          <w:lang w:val="en-US" w:eastAsia="zh-CN"/>
        </w:rPr>
        <w:t>.</w:t>
      </w:r>
      <w:r>
        <w:rPr>
          <w:rStyle w:val="612"/>
          <w:rFonts w:hint="eastAsia" w:ascii="宋体" w:hAnsi="宋体" w:eastAsia="宋体" w:cs="宋体"/>
          <w:b w:val="0"/>
          <w:color w:val="auto"/>
          <w:sz w:val="24"/>
          <w:szCs w:val="24"/>
          <w:highlight w:val="none"/>
        </w:rPr>
        <w:t>评标工作由采购代理机构负责组织，具体评标事务由评标委员会负责。</w:t>
      </w:r>
    </w:p>
    <w:p w14:paraId="2D951E06">
      <w:pPr>
        <w:pStyle w:val="7"/>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12"/>
          <w:rFonts w:hint="eastAsia" w:ascii="宋体" w:hAnsi="宋体" w:eastAsia="宋体" w:cs="宋体"/>
          <w:b w:val="0"/>
          <w:color w:val="auto"/>
          <w:sz w:val="24"/>
          <w:szCs w:val="24"/>
          <w:highlight w:val="none"/>
        </w:rPr>
      </w:pPr>
      <w:r>
        <w:rPr>
          <w:rStyle w:val="612"/>
          <w:rFonts w:hint="eastAsia" w:ascii="宋体" w:hAnsi="宋体" w:eastAsia="宋体" w:cs="宋体"/>
          <w:b w:val="0"/>
          <w:color w:val="auto"/>
          <w:sz w:val="24"/>
          <w:szCs w:val="24"/>
          <w:highlight w:val="none"/>
        </w:rPr>
        <w:t>（1）评标委员会由5人组成（由采购人代表和评标专家组成，采购人代表人数不得超过总评委人数的三分之一）。</w:t>
      </w:r>
    </w:p>
    <w:p w14:paraId="535523F2">
      <w:pPr>
        <w:pStyle w:val="7"/>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12"/>
          <w:rFonts w:hint="eastAsia" w:ascii="宋体" w:hAnsi="宋体" w:eastAsia="宋体" w:cs="宋体"/>
          <w:b w:val="0"/>
          <w:color w:val="auto"/>
          <w:sz w:val="24"/>
          <w:szCs w:val="24"/>
          <w:highlight w:val="none"/>
        </w:rPr>
      </w:pPr>
      <w:r>
        <w:rPr>
          <w:rStyle w:val="612"/>
          <w:rFonts w:hint="eastAsia" w:ascii="宋体" w:hAnsi="宋体" w:eastAsia="宋体" w:cs="宋体"/>
          <w:b w:val="0"/>
          <w:color w:val="auto"/>
          <w:sz w:val="24"/>
          <w:szCs w:val="24"/>
          <w:highlight w:val="none"/>
        </w:rPr>
        <w:t>（2）评标专家确定方式：按相关规定从专家库中抽取。</w:t>
      </w:r>
    </w:p>
    <w:p w14:paraId="4F4C294B">
      <w:pPr>
        <w:pStyle w:val="7"/>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12"/>
          <w:rFonts w:hint="eastAsia" w:ascii="宋体" w:hAnsi="宋体" w:eastAsia="宋体" w:cs="宋体"/>
          <w:b w:val="0"/>
          <w:color w:val="auto"/>
          <w:sz w:val="24"/>
          <w:szCs w:val="24"/>
          <w:highlight w:val="none"/>
          <w:lang w:eastAsia="zh-CN"/>
        </w:rPr>
      </w:pPr>
      <w:r>
        <w:rPr>
          <w:rStyle w:val="612"/>
          <w:rFonts w:hint="eastAsia" w:ascii="宋体" w:hAnsi="宋体" w:eastAsia="宋体" w:cs="宋体"/>
          <w:b w:val="0"/>
          <w:color w:val="auto"/>
          <w:sz w:val="24"/>
          <w:szCs w:val="24"/>
          <w:highlight w:val="none"/>
          <w:lang w:val="zh-TW"/>
        </w:rPr>
        <w:t>3</w:t>
      </w:r>
      <w:r>
        <w:rPr>
          <w:rStyle w:val="612"/>
          <w:rFonts w:hint="eastAsia" w:ascii="宋体" w:hAnsi="宋体" w:cs="宋体"/>
          <w:b w:val="0"/>
          <w:color w:val="auto"/>
          <w:sz w:val="24"/>
          <w:szCs w:val="24"/>
          <w:highlight w:val="none"/>
          <w:lang w:val="en-US" w:eastAsia="zh-CN"/>
        </w:rPr>
        <w:t>.</w:t>
      </w:r>
      <w:r>
        <w:rPr>
          <w:rStyle w:val="612"/>
          <w:rFonts w:hint="eastAsia" w:ascii="宋体" w:hAnsi="宋体" w:eastAsia="宋体" w:cs="宋体"/>
          <w:b w:val="0"/>
          <w:color w:val="auto"/>
          <w:sz w:val="24"/>
          <w:szCs w:val="24"/>
          <w:highlight w:val="none"/>
        </w:rPr>
        <w:t>评标工作应遵循公平、公正、科学及择优的原则，并以相同的评标程序和标准对待所有的投标人。</w:t>
      </w:r>
    </w:p>
    <w:p w14:paraId="2217015E">
      <w:pPr>
        <w:pStyle w:val="7"/>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12"/>
          <w:rFonts w:hint="eastAsia" w:ascii="宋体" w:hAnsi="宋体" w:eastAsia="宋体" w:cs="宋体"/>
          <w:b w:val="0"/>
          <w:color w:val="auto"/>
          <w:sz w:val="24"/>
          <w:szCs w:val="24"/>
          <w:highlight w:val="none"/>
          <w:lang w:eastAsia="zh-CN"/>
        </w:rPr>
      </w:pPr>
      <w:r>
        <w:rPr>
          <w:rStyle w:val="612"/>
          <w:rFonts w:hint="eastAsia" w:ascii="宋体" w:hAnsi="宋体" w:eastAsia="宋体" w:cs="宋体"/>
          <w:b w:val="0"/>
          <w:color w:val="auto"/>
          <w:sz w:val="24"/>
          <w:szCs w:val="24"/>
          <w:highlight w:val="none"/>
          <w:lang w:val="zh-TW"/>
        </w:rPr>
        <w:t>4</w:t>
      </w:r>
      <w:r>
        <w:rPr>
          <w:rStyle w:val="612"/>
          <w:rFonts w:hint="eastAsia" w:ascii="宋体" w:hAnsi="宋体" w:cs="宋体"/>
          <w:b w:val="0"/>
          <w:color w:val="auto"/>
          <w:sz w:val="24"/>
          <w:szCs w:val="24"/>
          <w:highlight w:val="none"/>
          <w:lang w:val="en-US" w:eastAsia="zh-CN"/>
        </w:rPr>
        <w:t>.</w:t>
      </w:r>
      <w:r>
        <w:rPr>
          <w:rStyle w:val="612"/>
          <w:rFonts w:hint="eastAsia" w:ascii="宋体" w:hAnsi="宋体" w:eastAsia="宋体" w:cs="宋体"/>
          <w:b w:val="0"/>
          <w:color w:val="auto"/>
          <w:sz w:val="24"/>
          <w:szCs w:val="24"/>
          <w:highlight w:val="none"/>
        </w:rPr>
        <w:t>评标委员会按照采购项目文件规定的评标方法和标准进行评标，并独立履行下列职责：</w:t>
      </w:r>
    </w:p>
    <w:p w14:paraId="3906B405">
      <w:pPr>
        <w:pStyle w:val="7"/>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12"/>
          <w:rFonts w:hint="eastAsia" w:ascii="宋体" w:hAnsi="宋体" w:eastAsia="宋体" w:cs="宋体"/>
          <w:b w:val="0"/>
          <w:color w:val="auto"/>
          <w:sz w:val="24"/>
          <w:szCs w:val="24"/>
          <w:highlight w:val="none"/>
          <w:lang w:eastAsia="zh-CN"/>
        </w:rPr>
      </w:pPr>
      <w:r>
        <w:rPr>
          <w:rStyle w:val="612"/>
          <w:rFonts w:hint="eastAsia" w:ascii="宋体" w:hAnsi="宋体" w:eastAsia="宋体" w:cs="宋体"/>
          <w:b w:val="0"/>
          <w:color w:val="auto"/>
          <w:sz w:val="24"/>
          <w:szCs w:val="24"/>
          <w:highlight w:val="none"/>
        </w:rPr>
        <w:t>（</w:t>
      </w:r>
      <w:r>
        <w:rPr>
          <w:rStyle w:val="612"/>
          <w:rFonts w:hint="eastAsia" w:ascii="宋体" w:hAnsi="宋体" w:eastAsia="宋体" w:cs="宋体"/>
          <w:b w:val="0"/>
          <w:color w:val="auto"/>
          <w:sz w:val="24"/>
          <w:szCs w:val="24"/>
          <w:highlight w:val="none"/>
          <w:lang w:val="zh-TW"/>
        </w:rPr>
        <w:t>1</w:t>
      </w:r>
      <w:r>
        <w:rPr>
          <w:rStyle w:val="612"/>
          <w:rFonts w:hint="eastAsia" w:ascii="宋体" w:hAnsi="宋体" w:eastAsia="宋体" w:cs="宋体"/>
          <w:b w:val="0"/>
          <w:color w:val="auto"/>
          <w:sz w:val="24"/>
          <w:szCs w:val="24"/>
          <w:highlight w:val="none"/>
        </w:rPr>
        <w:t>）审查投标文件是否符合招标文件要求，并作出评价；</w:t>
      </w:r>
    </w:p>
    <w:p w14:paraId="23E248C3">
      <w:pPr>
        <w:pStyle w:val="7"/>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12"/>
          <w:rFonts w:hint="eastAsia" w:ascii="宋体" w:hAnsi="宋体" w:eastAsia="宋体" w:cs="宋体"/>
          <w:b w:val="0"/>
          <w:color w:val="auto"/>
          <w:sz w:val="24"/>
          <w:szCs w:val="24"/>
          <w:highlight w:val="none"/>
          <w:lang w:eastAsia="zh-CN"/>
        </w:rPr>
      </w:pPr>
      <w:r>
        <w:rPr>
          <w:rStyle w:val="612"/>
          <w:rFonts w:hint="eastAsia" w:ascii="宋体" w:hAnsi="宋体" w:eastAsia="宋体" w:cs="宋体"/>
          <w:b w:val="0"/>
          <w:color w:val="auto"/>
          <w:sz w:val="24"/>
          <w:szCs w:val="24"/>
          <w:highlight w:val="none"/>
        </w:rPr>
        <w:t>（</w:t>
      </w:r>
      <w:r>
        <w:rPr>
          <w:rStyle w:val="612"/>
          <w:rFonts w:hint="eastAsia" w:ascii="宋体" w:hAnsi="宋体" w:eastAsia="宋体" w:cs="宋体"/>
          <w:b w:val="0"/>
          <w:color w:val="auto"/>
          <w:sz w:val="24"/>
          <w:szCs w:val="24"/>
          <w:highlight w:val="none"/>
          <w:lang w:val="zh-TW"/>
        </w:rPr>
        <w:t>2</w:t>
      </w:r>
      <w:r>
        <w:rPr>
          <w:rStyle w:val="612"/>
          <w:rFonts w:hint="eastAsia" w:ascii="宋体" w:hAnsi="宋体" w:eastAsia="宋体" w:cs="宋体"/>
          <w:b w:val="0"/>
          <w:color w:val="auto"/>
          <w:sz w:val="24"/>
          <w:szCs w:val="24"/>
          <w:highlight w:val="none"/>
        </w:rPr>
        <w:t>）要求投标投标人对投标文件有关事项作出解释或者澄清；</w:t>
      </w:r>
    </w:p>
    <w:p w14:paraId="2A26443F">
      <w:pPr>
        <w:pStyle w:val="7"/>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12"/>
          <w:rFonts w:hint="eastAsia" w:ascii="宋体" w:hAnsi="宋体" w:eastAsia="宋体" w:cs="宋体"/>
          <w:b w:val="0"/>
          <w:color w:val="auto"/>
          <w:sz w:val="24"/>
          <w:szCs w:val="24"/>
          <w:highlight w:val="none"/>
          <w:lang w:eastAsia="zh-CN"/>
        </w:rPr>
      </w:pPr>
      <w:r>
        <w:rPr>
          <w:rStyle w:val="612"/>
          <w:rFonts w:hint="eastAsia" w:ascii="宋体" w:hAnsi="宋体" w:eastAsia="宋体" w:cs="宋体"/>
          <w:b w:val="0"/>
          <w:color w:val="auto"/>
          <w:sz w:val="24"/>
          <w:szCs w:val="24"/>
          <w:highlight w:val="none"/>
        </w:rPr>
        <w:t>（</w:t>
      </w:r>
      <w:r>
        <w:rPr>
          <w:rStyle w:val="612"/>
          <w:rFonts w:hint="eastAsia" w:ascii="宋体" w:hAnsi="宋体" w:eastAsia="宋体" w:cs="宋体"/>
          <w:b w:val="0"/>
          <w:color w:val="auto"/>
          <w:sz w:val="24"/>
          <w:szCs w:val="24"/>
          <w:highlight w:val="none"/>
          <w:lang w:val="zh-TW"/>
        </w:rPr>
        <w:t>3</w:t>
      </w:r>
      <w:r>
        <w:rPr>
          <w:rStyle w:val="612"/>
          <w:rFonts w:hint="eastAsia" w:ascii="宋体" w:hAnsi="宋体" w:eastAsia="宋体" w:cs="宋体"/>
          <w:b w:val="0"/>
          <w:color w:val="auto"/>
          <w:sz w:val="24"/>
          <w:szCs w:val="24"/>
          <w:highlight w:val="none"/>
        </w:rPr>
        <w:t>）推荐中标候选人名单；</w:t>
      </w:r>
    </w:p>
    <w:p w14:paraId="655E67C1">
      <w:pPr>
        <w:pStyle w:val="7"/>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12"/>
          <w:rFonts w:hint="eastAsia" w:ascii="宋体" w:hAnsi="宋体" w:eastAsia="宋体" w:cs="宋体"/>
          <w:b w:val="0"/>
          <w:color w:val="auto"/>
          <w:sz w:val="24"/>
          <w:szCs w:val="24"/>
          <w:highlight w:val="none"/>
          <w:lang w:eastAsia="zh-CN"/>
        </w:rPr>
      </w:pPr>
      <w:r>
        <w:rPr>
          <w:rStyle w:val="612"/>
          <w:rFonts w:hint="eastAsia" w:ascii="宋体" w:hAnsi="宋体" w:eastAsia="宋体" w:cs="宋体"/>
          <w:b w:val="0"/>
          <w:color w:val="auto"/>
          <w:sz w:val="24"/>
          <w:szCs w:val="24"/>
          <w:highlight w:val="none"/>
        </w:rPr>
        <w:t>（</w:t>
      </w:r>
      <w:r>
        <w:rPr>
          <w:rStyle w:val="612"/>
          <w:rFonts w:hint="eastAsia" w:ascii="宋体" w:hAnsi="宋体" w:eastAsia="宋体" w:cs="宋体"/>
          <w:b w:val="0"/>
          <w:color w:val="auto"/>
          <w:sz w:val="24"/>
          <w:szCs w:val="24"/>
          <w:highlight w:val="none"/>
          <w:lang w:val="zh-TW"/>
        </w:rPr>
        <w:t>4</w:t>
      </w:r>
      <w:r>
        <w:rPr>
          <w:rStyle w:val="612"/>
          <w:rFonts w:hint="eastAsia" w:ascii="宋体" w:hAnsi="宋体" w:eastAsia="宋体" w:cs="宋体"/>
          <w:b w:val="0"/>
          <w:color w:val="auto"/>
          <w:sz w:val="24"/>
          <w:szCs w:val="24"/>
          <w:highlight w:val="none"/>
        </w:rPr>
        <w:t>）向采购代理机构或者有关部门报告非法干预评标工作的行为。</w:t>
      </w:r>
    </w:p>
    <w:p w14:paraId="2DBE5697">
      <w:pPr>
        <w:pStyle w:val="7"/>
        <w:keepLines w:val="0"/>
        <w:pageBreakBefore w:val="0"/>
        <w:kinsoku/>
        <w:wordWrap/>
        <w:overflowPunct/>
        <w:topLinePunct/>
        <w:autoSpaceDE/>
        <w:autoSpaceDN/>
        <w:bidi w:val="0"/>
        <w:adjustRightInd w:val="0"/>
        <w:snapToGrid w:val="0"/>
        <w:spacing w:line="400" w:lineRule="exact"/>
        <w:ind w:left="4" w:right="0" w:rightChars="0" w:firstLine="482" w:firstLineChars="200"/>
        <w:jc w:val="left"/>
        <w:textAlignment w:val="auto"/>
        <w:rPr>
          <w:rStyle w:val="612"/>
          <w:rFonts w:hint="eastAsia" w:ascii="宋体" w:hAnsi="宋体" w:eastAsia="宋体" w:cs="宋体"/>
          <w:color w:val="auto"/>
          <w:sz w:val="24"/>
          <w:szCs w:val="24"/>
          <w:highlight w:val="none"/>
          <w:lang w:eastAsia="zh-CN"/>
        </w:rPr>
      </w:pPr>
      <w:r>
        <w:rPr>
          <w:rStyle w:val="612"/>
          <w:rFonts w:hint="eastAsia" w:ascii="宋体" w:hAnsi="宋体" w:eastAsia="宋体" w:cs="宋体"/>
          <w:color w:val="auto"/>
          <w:sz w:val="24"/>
          <w:szCs w:val="24"/>
          <w:highlight w:val="none"/>
        </w:rPr>
        <w:t>二、评标程序</w:t>
      </w:r>
    </w:p>
    <w:p w14:paraId="0DF31382">
      <w:pPr>
        <w:pStyle w:val="7"/>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12"/>
          <w:rFonts w:hint="eastAsia" w:ascii="宋体" w:hAnsi="宋体" w:eastAsia="宋体" w:cs="宋体"/>
          <w:b w:val="0"/>
          <w:color w:val="auto"/>
          <w:sz w:val="24"/>
          <w:szCs w:val="24"/>
          <w:highlight w:val="none"/>
        </w:rPr>
      </w:pPr>
      <w:r>
        <w:rPr>
          <w:rStyle w:val="612"/>
          <w:rFonts w:hint="eastAsia" w:ascii="宋体" w:hAnsi="宋体" w:eastAsia="宋体" w:cs="宋体"/>
          <w:b w:val="0"/>
          <w:color w:val="auto"/>
          <w:sz w:val="24"/>
          <w:szCs w:val="24"/>
          <w:highlight w:val="none"/>
        </w:rPr>
        <w:t>根据《政府采购货物和服务招标投标管理办法》的规定，评标按照下列工作程序进行：</w:t>
      </w:r>
    </w:p>
    <w:p w14:paraId="02BAF9AE">
      <w:pPr>
        <w:pStyle w:val="7"/>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12"/>
          <w:rFonts w:hint="eastAsia" w:ascii="宋体" w:hAnsi="宋体" w:eastAsia="宋体" w:cs="宋体"/>
          <w:b w:val="0"/>
          <w:color w:val="auto"/>
          <w:sz w:val="24"/>
          <w:szCs w:val="24"/>
          <w:highlight w:val="none"/>
          <w:lang w:val="zh-TW" w:eastAsia="zh-CN"/>
        </w:rPr>
      </w:pPr>
      <w:r>
        <w:rPr>
          <w:rStyle w:val="612"/>
          <w:rFonts w:hint="eastAsia" w:ascii="宋体" w:hAnsi="宋体" w:eastAsia="宋体" w:cs="宋体"/>
          <w:b w:val="0"/>
          <w:color w:val="auto"/>
          <w:sz w:val="24"/>
          <w:szCs w:val="24"/>
          <w:highlight w:val="none"/>
          <w:lang w:val="zh-TW"/>
        </w:rPr>
        <w:t>1</w:t>
      </w:r>
      <w:r>
        <w:rPr>
          <w:rStyle w:val="612"/>
          <w:rFonts w:hint="eastAsia" w:ascii="宋体" w:hAnsi="宋体" w:cs="宋体"/>
          <w:b w:val="0"/>
          <w:color w:val="auto"/>
          <w:sz w:val="24"/>
          <w:szCs w:val="24"/>
          <w:highlight w:val="none"/>
          <w:lang w:val="en-US" w:eastAsia="zh-CN"/>
        </w:rPr>
        <w:t>.</w:t>
      </w:r>
      <w:r>
        <w:rPr>
          <w:rStyle w:val="612"/>
          <w:rFonts w:hint="eastAsia" w:ascii="宋体" w:hAnsi="宋体" w:eastAsia="宋体" w:cs="宋体"/>
          <w:b w:val="0"/>
          <w:color w:val="auto"/>
          <w:sz w:val="24"/>
          <w:szCs w:val="24"/>
          <w:highlight w:val="none"/>
          <w:lang w:val="zh-TW"/>
        </w:rPr>
        <w:t>投标文件商务技术部分评审；</w:t>
      </w:r>
    </w:p>
    <w:p w14:paraId="14062FD8">
      <w:pPr>
        <w:pStyle w:val="7"/>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12"/>
          <w:rFonts w:hint="eastAsia" w:ascii="宋体" w:hAnsi="宋体" w:eastAsia="宋体" w:cs="宋体"/>
          <w:b w:val="0"/>
          <w:color w:val="auto"/>
          <w:sz w:val="24"/>
          <w:szCs w:val="24"/>
          <w:highlight w:val="none"/>
          <w:lang w:val="zh-TW" w:eastAsia="zh-CN"/>
        </w:rPr>
      </w:pPr>
      <w:r>
        <w:rPr>
          <w:rStyle w:val="612"/>
          <w:rFonts w:hint="eastAsia" w:ascii="宋体" w:hAnsi="宋体" w:eastAsia="宋体" w:cs="宋体"/>
          <w:b w:val="0"/>
          <w:color w:val="auto"/>
          <w:sz w:val="24"/>
          <w:szCs w:val="24"/>
          <w:highlight w:val="none"/>
          <w:lang w:val="zh-TW"/>
        </w:rPr>
        <w:t>2</w:t>
      </w:r>
      <w:r>
        <w:rPr>
          <w:rStyle w:val="612"/>
          <w:rFonts w:hint="eastAsia" w:ascii="宋体" w:hAnsi="宋体" w:cs="宋体"/>
          <w:b w:val="0"/>
          <w:color w:val="auto"/>
          <w:sz w:val="24"/>
          <w:szCs w:val="24"/>
          <w:highlight w:val="none"/>
          <w:lang w:val="en-US" w:eastAsia="zh-CN"/>
        </w:rPr>
        <w:t>.</w:t>
      </w:r>
      <w:r>
        <w:rPr>
          <w:rStyle w:val="612"/>
          <w:rFonts w:hint="eastAsia" w:ascii="宋体" w:hAnsi="宋体" w:eastAsia="宋体" w:cs="宋体"/>
          <w:b w:val="0"/>
          <w:color w:val="auto"/>
          <w:sz w:val="24"/>
          <w:szCs w:val="24"/>
          <w:highlight w:val="none"/>
          <w:lang w:val="zh-TW"/>
        </w:rPr>
        <w:t>投标文件报价部分审查；</w:t>
      </w:r>
    </w:p>
    <w:p w14:paraId="43E03D63">
      <w:pPr>
        <w:pStyle w:val="7"/>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12"/>
          <w:rFonts w:hint="eastAsia" w:ascii="宋体" w:hAnsi="宋体" w:eastAsia="宋体" w:cs="宋体"/>
          <w:b w:val="0"/>
          <w:color w:val="auto"/>
          <w:sz w:val="24"/>
          <w:szCs w:val="24"/>
          <w:highlight w:val="none"/>
          <w:lang w:val="zh-TW" w:eastAsia="zh-CN"/>
        </w:rPr>
      </w:pPr>
      <w:r>
        <w:rPr>
          <w:rStyle w:val="612"/>
          <w:rFonts w:hint="eastAsia" w:ascii="宋体" w:hAnsi="宋体" w:eastAsia="宋体" w:cs="宋体"/>
          <w:b w:val="0"/>
          <w:color w:val="auto"/>
          <w:sz w:val="24"/>
          <w:szCs w:val="24"/>
          <w:highlight w:val="none"/>
          <w:lang w:val="zh-TW"/>
        </w:rPr>
        <w:t>3</w:t>
      </w:r>
      <w:r>
        <w:rPr>
          <w:rStyle w:val="612"/>
          <w:rFonts w:hint="eastAsia" w:ascii="宋体" w:hAnsi="宋体" w:cs="宋体"/>
          <w:b w:val="0"/>
          <w:color w:val="auto"/>
          <w:sz w:val="24"/>
          <w:szCs w:val="24"/>
          <w:highlight w:val="none"/>
          <w:lang w:val="en-US" w:eastAsia="zh-CN"/>
        </w:rPr>
        <w:t>.</w:t>
      </w:r>
      <w:r>
        <w:rPr>
          <w:rStyle w:val="612"/>
          <w:rFonts w:hint="eastAsia" w:ascii="宋体" w:hAnsi="宋体" w:eastAsia="宋体" w:cs="宋体"/>
          <w:b w:val="0"/>
          <w:color w:val="auto"/>
          <w:sz w:val="24"/>
          <w:szCs w:val="24"/>
          <w:highlight w:val="none"/>
          <w:lang w:val="zh-TW"/>
        </w:rPr>
        <w:t>推荐中标候选人名单，编写评标报告。</w:t>
      </w:r>
    </w:p>
    <w:p w14:paraId="7DA75819">
      <w:pPr>
        <w:pStyle w:val="7"/>
        <w:keepLines w:val="0"/>
        <w:pageBreakBefore w:val="0"/>
        <w:kinsoku/>
        <w:wordWrap/>
        <w:overflowPunct/>
        <w:topLinePunct/>
        <w:autoSpaceDE/>
        <w:autoSpaceDN/>
        <w:bidi w:val="0"/>
        <w:adjustRightInd w:val="0"/>
        <w:snapToGrid w:val="0"/>
        <w:spacing w:line="400" w:lineRule="exact"/>
        <w:ind w:left="4" w:right="0" w:rightChars="0" w:firstLine="482" w:firstLineChars="200"/>
        <w:jc w:val="left"/>
        <w:textAlignment w:val="auto"/>
        <w:rPr>
          <w:rStyle w:val="612"/>
          <w:rFonts w:hint="eastAsia" w:ascii="宋体" w:hAnsi="宋体" w:eastAsia="宋体" w:cs="宋体"/>
          <w:color w:val="auto"/>
          <w:sz w:val="24"/>
          <w:szCs w:val="24"/>
          <w:highlight w:val="none"/>
          <w:lang w:eastAsia="zh-CN"/>
        </w:rPr>
      </w:pPr>
      <w:r>
        <w:rPr>
          <w:rStyle w:val="612"/>
          <w:rFonts w:hint="eastAsia" w:ascii="宋体" w:hAnsi="宋体" w:eastAsia="宋体" w:cs="宋体"/>
          <w:color w:val="auto"/>
          <w:sz w:val="24"/>
          <w:szCs w:val="24"/>
          <w:highlight w:val="none"/>
        </w:rPr>
        <w:t>三、定标及定标程序</w:t>
      </w:r>
    </w:p>
    <w:p w14:paraId="08E6079B">
      <w:pPr>
        <w:pStyle w:val="7"/>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12"/>
          <w:rFonts w:hint="eastAsia" w:ascii="宋体" w:hAnsi="宋体" w:eastAsia="宋体" w:cs="宋体"/>
          <w:b w:val="0"/>
          <w:color w:val="auto"/>
          <w:sz w:val="24"/>
          <w:szCs w:val="24"/>
          <w:highlight w:val="none"/>
          <w:lang w:val="zh-TW" w:eastAsia="zh-CN"/>
        </w:rPr>
      </w:pPr>
      <w:r>
        <w:rPr>
          <w:rStyle w:val="612"/>
          <w:rFonts w:hint="eastAsia" w:ascii="宋体" w:hAnsi="宋体" w:eastAsia="宋体" w:cs="宋体"/>
          <w:b w:val="0"/>
          <w:color w:val="auto"/>
          <w:sz w:val="24"/>
          <w:szCs w:val="24"/>
          <w:highlight w:val="none"/>
          <w:lang w:val="zh-TW"/>
        </w:rPr>
        <w:t>1</w:t>
      </w:r>
      <w:r>
        <w:rPr>
          <w:rStyle w:val="612"/>
          <w:rFonts w:hint="eastAsia" w:ascii="宋体" w:hAnsi="宋体" w:cs="宋体"/>
          <w:b w:val="0"/>
          <w:color w:val="auto"/>
          <w:sz w:val="24"/>
          <w:szCs w:val="24"/>
          <w:highlight w:val="none"/>
          <w:lang w:val="en-US" w:eastAsia="zh-CN"/>
        </w:rPr>
        <w:t>.</w:t>
      </w:r>
      <w:r>
        <w:rPr>
          <w:rStyle w:val="612"/>
          <w:rFonts w:hint="eastAsia" w:ascii="宋体" w:hAnsi="宋体" w:eastAsia="宋体" w:cs="宋体"/>
          <w:b w:val="0"/>
          <w:color w:val="auto"/>
          <w:sz w:val="24"/>
          <w:szCs w:val="24"/>
          <w:highlight w:val="none"/>
          <w:lang w:val="zh-TW"/>
        </w:rPr>
        <w:t>定标原则</w:t>
      </w:r>
    </w:p>
    <w:p w14:paraId="43A76D11">
      <w:pPr>
        <w:keepNext w:val="0"/>
        <w:keepLines w:val="0"/>
        <w:pageBreakBefore w:val="0"/>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rPr>
        <w:t>评标委员会根据以下规定确定投标人排名并推荐中标候选人。</w:t>
      </w:r>
    </w:p>
    <w:p w14:paraId="0FB8DAD7">
      <w:pPr>
        <w:pStyle w:val="7"/>
        <w:keepLines w:val="0"/>
        <w:pageBreakBefore w:val="0"/>
        <w:numPr>
          <w:ilvl w:val="0"/>
          <w:numId w:val="0"/>
        </w:numPr>
        <w:kinsoku/>
        <w:wordWrap/>
        <w:overflowPunct/>
        <w:topLinePunct/>
        <w:autoSpaceDE/>
        <w:autoSpaceDN/>
        <w:bidi w:val="0"/>
        <w:adjustRightInd w:val="0"/>
        <w:snapToGrid w:val="0"/>
        <w:spacing w:line="400" w:lineRule="exact"/>
        <w:ind w:leftChars="200" w:right="0" w:rightChars="0"/>
        <w:jc w:val="left"/>
        <w:textAlignment w:val="auto"/>
        <w:rPr>
          <w:rStyle w:val="612"/>
          <w:rFonts w:hint="eastAsia" w:ascii="宋体" w:hAnsi="宋体" w:eastAsia="宋体" w:cs="宋体"/>
          <w:b w:val="0"/>
          <w:color w:val="auto"/>
          <w:sz w:val="24"/>
          <w:szCs w:val="24"/>
          <w:highlight w:val="none"/>
          <w:lang w:val="zh-TW"/>
        </w:rPr>
      </w:pPr>
      <w:r>
        <w:rPr>
          <w:rStyle w:val="612"/>
          <w:rFonts w:hint="eastAsia" w:ascii="宋体" w:hAnsi="宋体" w:cs="宋体"/>
          <w:b w:val="0"/>
          <w:color w:val="auto"/>
          <w:sz w:val="24"/>
          <w:szCs w:val="24"/>
          <w:highlight w:val="none"/>
          <w:lang w:val="en-US" w:eastAsia="zh-CN"/>
        </w:rPr>
        <w:t>2.</w:t>
      </w:r>
      <w:r>
        <w:rPr>
          <w:rStyle w:val="612"/>
          <w:rFonts w:hint="eastAsia" w:ascii="宋体" w:hAnsi="宋体" w:eastAsia="宋体" w:cs="宋体"/>
          <w:b w:val="0"/>
          <w:color w:val="auto"/>
          <w:sz w:val="24"/>
          <w:szCs w:val="24"/>
          <w:highlight w:val="none"/>
          <w:lang w:val="zh-TW"/>
        </w:rPr>
        <w:t>定标程序</w:t>
      </w:r>
    </w:p>
    <w:p w14:paraId="69971174">
      <w:pPr>
        <w:pStyle w:val="52"/>
        <w:keepLines w:val="0"/>
        <w:pageBreakBefore w:val="0"/>
        <w:kinsoku/>
        <w:wordWrap/>
        <w:overflowPunct/>
        <w:autoSpaceDE/>
        <w:autoSpaceDN/>
        <w:bidi w:val="0"/>
        <w:spacing w:line="440" w:lineRule="exact"/>
        <w:ind w:left="0" w:leftChars="0" w:right="0" w:rightChars="0" w:firstLine="480" w:firstLineChars="200"/>
        <w:jc w:val="left"/>
        <w:textAlignment w:val="auto"/>
        <w:rPr>
          <w:rStyle w:val="612"/>
          <w:rFonts w:hint="eastAsia" w:ascii="宋体" w:hAnsi="宋体" w:eastAsia="宋体" w:cs="宋体"/>
          <w:color w:val="auto"/>
          <w:sz w:val="24"/>
          <w:szCs w:val="24"/>
          <w:highlight w:val="none"/>
          <w:shd w:val="clear" w:color="auto" w:fill="auto"/>
          <w:lang w:eastAsia="zh-TW"/>
        </w:rPr>
      </w:pPr>
      <w:r>
        <w:rPr>
          <w:rStyle w:val="612"/>
          <w:rFonts w:hint="eastAsia" w:ascii="宋体" w:hAnsi="宋体" w:eastAsia="宋体" w:cs="宋体"/>
          <w:color w:val="auto"/>
          <w:sz w:val="24"/>
          <w:szCs w:val="24"/>
          <w:highlight w:val="none"/>
          <w:shd w:val="clear" w:color="auto" w:fill="auto"/>
          <w:lang w:eastAsia="zh-TW"/>
        </w:rPr>
        <w:t>（1）评委会将评标情况写出书面评审报告，推荐中标候选人，并按照综合评分的高低排列顺序，确定中标候选人；如投标人综合得分相同的，报价低者为中标候选人。综合得分且报价相同的，商务技术指标优者为中标候选人；如综合得分、投标报价和商务技术得分均相同的，则抽签选取中标候选人。</w:t>
      </w:r>
    </w:p>
    <w:p w14:paraId="56DE456E">
      <w:pPr>
        <w:pStyle w:val="52"/>
        <w:keepLines w:val="0"/>
        <w:pageBreakBefore w:val="0"/>
        <w:kinsoku/>
        <w:wordWrap/>
        <w:overflowPunct/>
        <w:autoSpaceDE/>
        <w:autoSpaceDN/>
        <w:bidi w:val="0"/>
        <w:spacing w:line="440" w:lineRule="exact"/>
        <w:ind w:left="0" w:leftChars="0" w:right="0" w:rightChars="0" w:firstLine="480" w:firstLineChars="200"/>
        <w:jc w:val="left"/>
        <w:textAlignment w:val="auto"/>
        <w:rPr>
          <w:rStyle w:val="612"/>
          <w:rFonts w:hint="eastAsia" w:ascii="宋体" w:hAnsi="宋体" w:eastAsia="宋体" w:cs="宋体"/>
          <w:color w:val="auto"/>
          <w:sz w:val="24"/>
          <w:szCs w:val="24"/>
          <w:highlight w:val="none"/>
          <w:shd w:val="clear" w:color="auto" w:fill="auto"/>
        </w:rPr>
      </w:pPr>
      <w:r>
        <w:rPr>
          <w:rStyle w:val="612"/>
          <w:rFonts w:hint="eastAsia" w:ascii="宋体" w:hAnsi="宋体" w:eastAsia="宋体" w:cs="宋体"/>
          <w:color w:val="auto"/>
          <w:sz w:val="24"/>
          <w:szCs w:val="24"/>
          <w:highlight w:val="none"/>
          <w:shd w:val="clear" w:color="auto" w:fill="auto"/>
          <w:lang w:eastAsia="zh-TW"/>
        </w:rPr>
        <w:t>（</w:t>
      </w:r>
      <w:r>
        <w:rPr>
          <w:rStyle w:val="612"/>
          <w:rFonts w:hint="eastAsia" w:ascii="宋体" w:hAnsi="宋体" w:eastAsia="宋体" w:cs="宋体"/>
          <w:color w:val="auto"/>
          <w:sz w:val="24"/>
          <w:szCs w:val="24"/>
          <w:highlight w:val="none"/>
          <w:shd w:val="clear" w:color="auto" w:fill="auto"/>
          <w:lang w:val="zh-TW" w:eastAsia="zh-TW"/>
        </w:rPr>
        <w:t>2</w:t>
      </w:r>
      <w:r>
        <w:rPr>
          <w:rStyle w:val="612"/>
          <w:rFonts w:hint="eastAsia" w:ascii="宋体" w:hAnsi="宋体" w:eastAsia="宋体" w:cs="宋体"/>
          <w:color w:val="auto"/>
          <w:sz w:val="24"/>
          <w:szCs w:val="24"/>
          <w:highlight w:val="none"/>
          <w:shd w:val="clear" w:color="auto" w:fill="auto"/>
          <w:lang w:eastAsia="zh-TW"/>
        </w:rPr>
        <w:t>）</w:t>
      </w:r>
      <w:r>
        <w:rPr>
          <w:rStyle w:val="612"/>
          <w:rFonts w:hint="eastAsia" w:ascii="宋体" w:hAnsi="宋体" w:eastAsia="宋体" w:cs="宋体"/>
          <w:color w:val="auto"/>
          <w:sz w:val="24"/>
          <w:szCs w:val="24"/>
          <w:highlight w:val="none"/>
          <w:shd w:val="clear" w:color="auto" w:fill="auto"/>
        </w:rPr>
        <w:t>评定结果经采购人确定后，采购人在中标人确定之日起2个工作日内将以书面形式发出《中标通知书》，并在浙江政府采购网公告中标结果。</w:t>
      </w:r>
    </w:p>
    <w:p w14:paraId="76054FCD">
      <w:pPr>
        <w:pStyle w:val="52"/>
        <w:keepLines w:val="0"/>
        <w:pageBreakBefore w:val="0"/>
        <w:kinsoku/>
        <w:wordWrap/>
        <w:overflowPunct/>
        <w:autoSpaceDE/>
        <w:autoSpaceDN/>
        <w:bidi w:val="0"/>
        <w:spacing w:line="440" w:lineRule="exact"/>
        <w:ind w:left="0" w:leftChars="0" w:right="0" w:rightChars="0" w:firstLine="480" w:firstLineChars="200"/>
        <w:jc w:val="left"/>
        <w:textAlignment w:val="auto"/>
        <w:rPr>
          <w:rStyle w:val="612"/>
          <w:rFonts w:hint="eastAsia" w:ascii="宋体" w:hAnsi="宋体" w:eastAsia="宋体" w:cs="宋体"/>
          <w:color w:val="auto"/>
          <w:sz w:val="24"/>
          <w:szCs w:val="24"/>
          <w:highlight w:val="none"/>
          <w:shd w:val="clear" w:color="auto" w:fill="auto"/>
        </w:rPr>
      </w:pPr>
      <w:r>
        <w:rPr>
          <w:rStyle w:val="612"/>
          <w:rFonts w:hint="eastAsia" w:ascii="宋体" w:hAnsi="宋体" w:eastAsia="宋体" w:cs="宋体"/>
          <w:color w:val="auto"/>
          <w:sz w:val="24"/>
          <w:szCs w:val="24"/>
          <w:highlight w:val="none"/>
          <w:shd w:val="clear" w:color="auto" w:fill="auto"/>
        </w:rPr>
        <w:t>（</w:t>
      </w:r>
      <w:r>
        <w:rPr>
          <w:rStyle w:val="612"/>
          <w:rFonts w:hint="eastAsia" w:ascii="宋体" w:hAnsi="宋体" w:eastAsia="宋体" w:cs="宋体"/>
          <w:color w:val="auto"/>
          <w:sz w:val="24"/>
          <w:szCs w:val="24"/>
          <w:highlight w:val="none"/>
          <w:shd w:val="clear" w:color="auto" w:fill="auto"/>
          <w:lang w:val="zh-TW"/>
        </w:rPr>
        <w:t>3</w:t>
      </w:r>
      <w:r>
        <w:rPr>
          <w:rStyle w:val="612"/>
          <w:rFonts w:hint="eastAsia" w:ascii="宋体" w:hAnsi="宋体" w:eastAsia="宋体" w:cs="宋体"/>
          <w:color w:val="auto"/>
          <w:sz w:val="24"/>
          <w:szCs w:val="24"/>
          <w:highlight w:val="none"/>
          <w:shd w:val="clear" w:color="auto" w:fill="auto"/>
        </w:rPr>
        <w:t>）采购代理机构不解释中标或落标原因，不退回投标文件和其他投标资料。</w:t>
      </w:r>
    </w:p>
    <w:p w14:paraId="33E29373">
      <w:pPr>
        <w:pStyle w:val="52"/>
        <w:pageBreakBefore w:val="0"/>
        <w:kinsoku/>
        <w:wordWrap/>
        <w:overflowPunct/>
        <w:topLinePunct w:val="0"/>
        <w:bidi w:val="0"/>
        <w:spacing w:line="400" w:lineRule="exact"/>
        <w:ind w:left="0" w:leftChars="0" w:right="0" w:rightChars="0" w:firstLine="482" w:firstLineChars="200"/>
        <w:jc w:val="left"/>
        <w:textAlignment w:val="auto"/>
        <w:rPr>
          <w:rStyle w:val="612"/>
          <w:rFonts w:hint="eastAsia" w:ascii="宋体" w:hAnsi="宋体" w:eastAsia="宋体" w:cs="宋体"/>
          <w:b/>
          <w:color w:val="auto"/>
          <w:sz w:val="24"/>
          <w:szCs w:val="24"/>
          <w:highlight w:val="none"/>
        </w:rPr>
      </w:pPr>
      <w:r>
        <w:rPr>
          <w:rStyle w:val="612"/>
          <w:rFonts w:hint="eastAsia" w:ascii="宋体" w:hAnsi="宋体" w:eastAsia="宋体" w:cs="宋体"/>
          <w:b/>
          <w:color w:val="auto"/>
          <w:sz w:val="24"/>
          <w:szCs w:val="24"/>
          <w:highlight w:val="none"/>
        </w:rPr>
        <w:t>四、评标方法</w:t>
      </w:r>
    </w:p>
    <w:p w14:paraId="1AF8B642">
      <w:pPr>
        <w:pStyle w:val="52"/>
        <w:pageBreakBefore w:val="0"/>
        <w:kinsoku/>
        <w:wordWrap/>
        <w:overflowPunct/>
        <w:topLinePunct w:val="0"/>
        <w:bidi w:val="0"/>
        <w:spacing w:line="400" w:lineRule="exact"/>
        <w:ind w:left="0" w:leftChars="0" w:right="0" w:rightChars="0" w:firstLine="480" w:firstLineChars="200"/>
        <w:jc w:val="left"/>
        <w:textAlignment w:val="auto"/>
        <w:rPr>
          <w:rStyle w:val="612"/>
          <w:rFonts w:hint="eastAsia" w:ascii="宋体" w:hAnsi="宋体" w:eastAsia="宋体" w:cs="宋体"/>
          <w:color w:val="auto"/>
          <w:sz w:val="24"/>
          <w:szCs w:val="24"/>
          <w:highlight w:val="none"/>
          <w:lang w:val="zh-TW" w:eastAsia="zh-CN"/>
        </w:rPr>
      </w:pPr>
      <w:r>
        <w:rPr>
          <w:rStyle w:val="612"/>
          <w:rFonts w:hint="eastAsia" w:ascii="宋体" w:hAnsi="宋体" w:eastAsia="宋体" w:cs="宋体"/>
          <w:color w:val="auto"/>
          <w:sz w:val="24"/>
          <w:szCs w:val="24"/>
          <w:highlight w:val="none"/>
          <w:lang w:val="zh-TW"/>
        </w:rPr>
        <w:t>1</w:t>
      </w:r>
      <w:r>
        <w:rPr>
          <w:rStyle w:val="612"/>
          <w:rFonts w:hint="eastAsia" w:ascii="宋体" w:hAnsi="宋体" w:eastAsia="宋体" w:cs="宋体"/>
          <w:color w:val="auto"/>
          <w:sz w:val="24"/>
          <w:szCs w:val="24"/>
          <w:highlight w:val="none"/>
          <w:lang w:val="en-US" w:eastAsia="zh-CN"/>
        </w:rPr>
        <w:t>.</w:t>
      </w:r>
      <w:r>
        <w:rPr>
          <w:rStyle w:val="612"/>
          <w:rFonts w:hint="eastAsia" w:ascii="宋体" w:hAnsi="宋体" w:eastAsia="宋体" w:cs="宋体"/>
          <w:color w:val="auto"/>
          <w:sz w:val="24"/>
          <w:szCs w:val="24"/>
          <w:highlight w:val="none"/>
        </w:rPr>
        <w:t>本次评标采用综合评分法</w:t>
      </w:r>
      <w:r>
        <w:rPr>
          <w:rStyle w:val="612"/>
          <w:rFonts w:hint="eastAsia" w:ascii="宋体" w:hAnsi="宋体" w:eastAsia="宋体" w:cs="宋体"/>
          <w:color w:val="auto"/>
          <w:sz w:val="24"/>
          <w:szCs w:val="24"/>
          <w:highlight w:val="none"/>
          <w:lang w:eastAsia="zh-CN"/>
        </w:rPr>
        <w:t>，即在</w:t>
      </w:r>
      <w:r>
        <w:rPr>
          <w:rStyle w:val="612"/>
          <w:rFonts w:hint="eastAsia" w:ascii="宋体" w:hAnsi="宋体" w:eastAsia="宋体" w:cs="宋体"/>
          <w:color w:val="auto"/>
          <w:sz w:val="24"/>
          <w:szCs w:val="24"/>
          <w:highlight w:val="none"/>
          <w:lang w:val="en-US" w:eastAsia="zh-CN"/>
        </w:rPr>
        <w:t>投标</w:t>
      </w:r>
      <w:r>
        <w:rPr>
          <w:rStyle w:val="612"/>
          <w:rFonts w:hint="eastAsia" w:ascii="宋体" w:hAnsi="宋体" w:eastAsia="宋体" w:cs="宋体"/>
          <w:color w:val="auto"/>
          <w:sz w:val="24"/>
          <w:szCs w:val="24"/>
          <w:highlight w:val="none"/>
          <w:lang w:eastAsia="zh-CN"/>
        </w:rPr>
        <w:t>文件满足</w:t>
      </w:r>
      <w:r>
        <w:rPr>
          <w:rStyle w:val="612"/>
          <w:rFonts w:hint="eastAsia" w:ascii="宋体" w:hAnsi="宋体" w:eastAsia="宋体" w:cs="宋体"/>
          <w:color w:val="auto"/>
          <w:sz w:val="24"/>
          <w:szCs w:val="24"/>
          <w:highlight w:val="none"/>
          <w:lang w:val="en-US" w:eastAsia="zh-CN"/>
        </w:rPr>
        <w:t>招标</w:t>
      </w:r>
      <w:r>
        <w:rPr>
          <w:rStyle w:val="612"/>
          <w:rFonts w:hint="eastAsia" w:ascii="宋体" w:hAnsi="宋体" w:eastAsia="宋体" w:cs="宋体"/>
          <w:color w:val="auto"/>
          <w:sz w:val="24"/>
          <w:szCs w:val="24"/>
          <w:highlight w:val="none"/>
          <w:lang w:eastAsia="zh-CN"/>
        </w:rPr>
        <w:t>文件全部实质性要求的前提下，按照评审因素的量化指标评审得分从高到低的顺序推荐</w:t>
      </w:r>
      <w:r>
        <w:rPr>
          <w:rStyle w:val="612"/>
          <w:rFonts w:hint="eastAsia" w:ascii="宋体" w:hAnsi="宋体" w:eastAsia="宋体" w:cs="宋体"/>
          <w:color w:val="auto"/>
          <w:sz w:val="24"/>
          <w:szCs w:val="24"/>
          <w:highlight w:val="none"/>
          <w:lang w:val="en-US" w:eastAsia="zh-CN"/>
        </w:rPr>
        <w:t>综合</w:t>
      </w:r>
      <w:r>
        <w:rPr>
          <w:rStyle w:val="612"/>
          <w:rFonts w:hint="eastAsia" w:ascii="宋体" w:hAnsi="宋体" w:eastAsia="宋体" w:cs="宋体"/>
          <w:color w:val="auto"/>
          <w:sz w:val="24"/>
          <w:szCs w:val="24"/>
          <w:highlight w:val="none"/>
          <w:lang w:eastAsia="zh-CN"/>
        </w:rPr>
        <w:t>得分最高者为第一</w:t>
      </w:r>
      <w:r>
        <w:rPr>
          <w:rStyle w:val="612"/>
          <w:rFonts w:hint="eastAsia" w:ascii="宋体" w:hAnsi="宋体" w:eastAsia="宋体" w:cs="宋体"/>
          <w:color w:val="auto"/>
          <w:sz w:val="24"/>
          <w:szCs w:val="24"/>
          <w:highlight w:val="none"/>
          <w:lang w:val="en-US" w:eastAsia="zh-CN"/>
        </w:rPr>
        <w:t>中标候选人</w:t>
      </w:r>
      <w:r>
        <w:rPr>
          <w:rStyle w:val="612"/>
          <w:rFonts w:hint="eastAsia" w:ascii="宋体" w:hAnsi="宋体" w:eastAsia="宋体" w:cs="宋体"/>
          <w:color w:val="auto"/>
          <w:sz w:val="24"/>
          <w:szCs w:val="24"/>
          <w:highlight w:val="none"/>
          <w:lang w:eastAsia="zh-CN"/>
        </w:rPr>
        <w:t>，综合得分第二高者为第二</w:t>
      </w:r>
      <w:r>
        <w:rPr>
          <w:rStyle w:val="612"/>
          <w:rFonts w:hint="eastAsia" w:ascii="宋体" w:hAnsi="宋体" w:eastAsia="宋体" w:cs="宋体"/>
          <w:color w:val="auto"/>
          <w:sz w:val="24"/>
          <w:szCs w:val="24"/>
          <w:highlight w:val="none"/>
          <w:lang w:val="en-US" w:eastAsia="zh-CN"/>
        </w:rPr>
        <w:t>中标候选人</w:t>
      </w:r>
      <w:r>
        <w:rPr>
          <w:rStyle w:val="612"/>
          <w:rFonts w:hint="eastAsia" w:ascii="宋体" w:hAnsi="宋体" w:eastAsia="宋体" w:cs="宋体"/>
          <w:color w:val="auto"/>
          <w:sz w:val="24"/>
          <w:szCs w:val="24"/>
          <w:highlight w:val="none"/>
          <w:lang w:eastAsia="zh-CN"/>
        </w:rPr>
        <w:t>，综合得分第三高者为第三</w:t>
      </w:r>
      <w:r>
        <w:rPr>
          <w:rStyle w:val="612"/>
          <w:rFonts w:hint="eastAsia" w:ascii="宋体" w:hAnsi="宋体" w:eastAsia="宋体" w:cs="宋体"/>
          <w:color w:val="auto"/>
          <w:sz w:val="24"/>
          <w:szCs w:val="24"/>
          <w:highlight w:val="none"/>
          <w:lang w:val="en-US" w:eastAsia="zh-CN"/>
        </w:rPr>
        <w:t>中标候选人。</w:t>
      </w:r>
    </w:p>
    <w:p w14:paraId="71F2FFBF">
      <w:pPr>
        <w:pStyle w:val="52"/>
        <w:pageBreakBefore w:val="0"/>
        <w:kinsoku/>
        <w:wordWrap/>
        <w:overflowPunct/>
        <w:topLinePunct w:val="0"/>
        <w:bidi w:val="0"/>
        <w:spacing w:line="400" w:lineRule="exact"/>
        <w:ind w:left="0" w:leftChars="0" w:right="0" w:rightChars="0" w:firstLine="480" w:firstLineChars="200"/>
        <w:jc w:val="left"/>
        <w:textAlignment w:val="auto"/>
        <w:rPr>
          <w:rStyle w:val="612"/>
          <w:rFonts w:hint="eastAsia" w:ascii="宋体" w:hAnsi="宋体" w:eastAsia="宋体" w:cs="宋体"/>
          <w:color w:val="auto"/>
          <w:sz w:val="24"/>
          <w:szCs w:val="24"/>
          <w:highlight w:val="none"/>
          <w:lang w:eastAsia="zh-CN"/>
        </w:rPr>
      </w:pPr>
      <w:r>
        <w:rPr>
          <w:rStyle w:val="612"/>
          <w:rFonts w:hint="eastAsia" w:ascii="宋体" w:hAnsi="宋体" w:eastAsia="宋体" w:cs="宋体"/>
          <w:color w:val="auto"/>
          <w:sz w:val="24"/>
          <w:szCs w:val="24"/>
          <w:highlight w:val="none"/>
          <w:lang w:val="zh-TW" w:eastAsia="zh-CN"/>
        </w:rPr>
        <w:t>2</w:t>
      </w:r>
      <w:r>
        <w:rPr>
          <w:rStyle w:val="612"/>
          <w:rFonts w:hint="eastAsia" w:ascii="宋体" w:hAnsi="宋体" w:eastAsia="宋体" w:cs="宋体"/>
          <w:color w:val="auto"/>
          <w:sz w:val="24"/>
          <w:szCs w:val="24"/>
          <w:highlight w:val="none"/>
          <w:lang w:val="en-US" w:eastAsia="zh-CN"/>
        </w:rPr>
        <w:t>.</w:t>
      </w:r>
      <w:r>
        <w:rPr>
          <w:rStyle w:val="612"/>
          <w:rFonts w:hint="eastAsia" w:ascii="宋体" w:hAnsi="宋体" w:eastAsia="宋体" w:cs="宋体"/>
          <w:color w:val="auto"/>
          <w:sz w:val="24"/>
          <w:szCs w:val="24"/>
          <w:highlight w:val="none"/>
          <w:lang w:eastAsia="zh-CN"/>
        </w:rPr>
        <w:t>本项目为商务技术分</w:t>
      </w:r>
      <w:r>
        <w:rPr>
          <w:rStyle w:val="612"/>
          <w:rFonts w:hint="eastAsia" w:ascii="宋体" w:hAnsi="宋体" w:eastAsia="宋体" w:cs="宋体"/>
          <w:color w:val="auto"/>
          <w:sz w:val="24"/>
          <w:szCs w:val="24"/>
          <w:highlight w:val="none"/>
          <w:lang w:val="en-US" w:eastAsia="zh-CN"/>
        </w:rPr>
        <w:t>90</w:t>
      </w:r>
      <w:r>
        <w:rPr>
          <w:rStyle w:val="612"/>
          <w:rFonts w:hint="eastAsia" w:ascii="宋体" w:hAnsi="宋体" w:eastAsia="宋体" w:cs="宋体"/>
          <w:color w:val="auto"/>
          <w:sz w:val="24"/>
          <w:szCs w:val="24"/>
          <w:highlight w:val="none"/>
          <w:lang w:eastAsia="zh-CN"/>
        </w:rPr>
        <w:t>分和报价分</w:t>
      </w:r>
      <w:r>
        <w:rPr>
          <w:rStyle w:val="612"/>
          <w:rFonts w:hint="eastAsia" w:ascii="宋体" w:hAnsi="宋体" w:eastAsia="宋体" w:cs="宋体"/>
          <w:color w:val="auto"/>
          <w:sz w:val="24"/>
          <w:szCs w:val="24"/>
          <w:highlight w:val="none"/>
          <w:lang w:val="en-US" w:eastAsia="zh-CN"/>
        </w:rPr>
        <w:t>10</w:t>
      </w:r>
      <w:r>
        <w:rPr>
          <w:rStyle w:val="612"/>
          <w:rFonts w:hint="eastAsia" w:ascii="宋体" w:hAnsi="宋体" w:eastAsia="宋体" w:cs="宋体"/>
          <w:color w:val="auto"/>
          <w:sz w:val="24"/>
          <w:szCs w:val="24"/>
          <w:highlight w:val="none"/>
          <w:lang w:eastAsia="zh-CN"/>
        </w:rPr>
        <w:t>分合计评分，满分为</w:t>
      </w:r>
      <w:r>
        <w:rPr>
          <w:rStyle w:val="612"/>
          <w:rFonts w:hint="eastAsia" w:ascii="宋体" w:hAnsi="宋体" w:eastAsia="宋体" w:cs="宋体"/>
          <w:color w:val="auto"/>
          <w:sz w:val="24"/>
          <w:szCs w:val="24"/>
          <w:highlight w:val="none"/>
          <w:lang w:val="zh-TW" w:eastAsia="zh-CN"/>
        </w:rPr>
        <w:t>100</w:t>
      </w:r>
      <w:r>
        <w:rPr>
          <w:rStyle w:val="612"/>
          <w:rFonts w:hint="eastAsia" w:ascii="宋体" w:hAnsi="宋体" w:eastAsia="宋体" w:cs="宋体"/>
          <w:color w:val="auto"/>
          <w:sz w:val="24"/>
          <w:szCs w:val="24"/>
          <w:highlight w:val="none"/>
          <w:lang w:eastAsia="zh-CN"/>
        </w:rPr>
        <w:t>分。</w:t>
      </w:r>
    </w:p>
    <w:p w14:paraId="6432C5A2">
      <w:pPr>
        <w:pStyle w:val="52"/>
        <w:keepNext/>
        <w:keepLines/>
        <w:pageBreakBefore w:val="0"/>
        <w:kinsoku/>
        <w:wordWrap/>
        <w:overflowPunct/>
        <w:topLinePunct w:val="0"/>
        <w:bidi w:val="0"/>
        <w:adjustRightInd w:val="0"/>
        <w:snapToGrid w:val="0"/>
        <w:spacing w:line="400" w:lineRule="exact"/>
        <w:ind w:left="0" w:leftChars="0" w:right="0" w:rightChars="0" w:firstLine="482" w:firstLineChars="200"/>
        <w:jc w:val="left"/>
        <w:textAlignment w:val="auto"/>
        <w:rPr>
          <w:rStyle w:val="612"/>
          <w:rFonts w:hint="eastAsia" w:ascii="宋体" w:hAnsi="宋体" w:eastAsia="宋体" w:cs="宋体"/>
          <w:bCs/>
          <w:color w:val="auto"/>
          <w:sz w:val="24"/>
          <w:szCs w:val="24"/>
          <w:highlight w:val="none"/>
        </w:rPr>
      </w:pPr>
      <w:r>
        <w:rPr>
          <w:rStyle w:val="612"/>
          <w:rFonts w:hint="eastAsia" w:ascii="宋体" w:hAnsi="宋体" w:eastAsia="宋体" w:cs="宋体"/>
          <w:b/>
          <w:color w:val="auto"/>
          <w:sz w:val="24"/>
          <w:szCs w:val="24"/>
          <w:highlight w:val="none"/>
        </w:rPr>
        <w:t>五、评标细则及标准</w:t>
      </w:r>
    </w:p>
    <w:p w14:paraId="687435D9">
      <w:pPr>
        <w:pageBreakBefore w:val="0"/>
        <w:kinsoku/>
        <w:wordWrap/>
        <w:overflowPunct/>
        <w:topLinePunct w:val="0"/>
        <w:bidi w:val="0"/>
        <w:snapToGrid w:val="0"/>
        <w:spacing w:line="400" w:lineRule="exact"/>
        <w:ind w:left="0" w:leftChars="0" w:right="0" w:rightChars="0" w:firstLine="482" w:firstLineChars="200"/>
        <w:textAlignment w:val="auto"/>
        <w:rPr>
          <w:rStyle w:val="613"/>
          <w:rFonts w:hint="eastAsia" w:ascii="宋体" w:hAnsi="宋体" w:eastAsia="宋体" w:cs="宋体"/>
          <w:b/>
          <w:bCs/>
          <w:color w:val="auto"/>
          <w:sz w:val="24"/>
          <w:szCs w:val="24"/>
          <w:highlight w:val="none"/>
        </w:rPr>
      </w:pPr>
      <w:r>
        <w:rPr>
          <w:rStyle w:val="612"/>
          <w:rFonts w:hint="eastAsia" w:ascii="宋体" w:hAnsi="宋体" w:eastAsia="宋体" w:cs="宋体"/>
          <w:b/>
          <w:color w:val="auto"/>
          <w:sz w:val="24"/>
          <w:szCs w:val="24"/>
          <w:highlight w:val="none"/>
        </w:rPr>
        <w:t>1</w:t>
      </w:r>
      <w:r>
        <w:rPr>
          <w:rStyle w:val="613"/>
          <w:rFonts w:hint="eastAsia" w:ascii="宋体" w:hAnsi="宋体" w:cs="宋体"/>
          <w:b/>
          <w:bCs/>
          <w:color w:val="auto"/>
          <w:sz w:val="24"/>
          <w:szCs w:val="24"/>
          <w:highlight w:val="none"/>
          <w:lang w:val="en-US" w:eastAsia="zh-CN"/>
        </w:rPr>
        <w:t>.</w:t>
      </w:r>
      <w:r>
        <w:rPr>
          <w:rStyle w:val="613"/>
          <w:rFonts w:hint="eastAsia" w:ascii="宋体" w:hAnsi="宋体" w:eastAsia="宋体" w:cs="宋体"/>
          <w:b/>
          <w:bCs/>
          <w:color w:val="auto"/>
          <w:sz w:val="24"/>
          <w:szCs w:val="24"/>
          <w:highlight w:val="none"/>
        </w:rPr>
        <w:t>在投标文件评审过程中，如果出现评标委员会成员意见不一致的情况，按照少数服从多数的原则确定。</w:t>
      </w:r>
    </w:p>
    <w:p w14:paraId="3ED6439D">
      <w:pPr>
        <w:pStyle w:val="88"/>
        <w:pageBreakBefore w:val="0"/>
        <w:kinsoku/>
        <w:wordWrap/>
        <w:overflowPunct/>
        <w:topLinePunct w:val="0"/>
        <w:bidi w:val="0"/>
        <w:spacing w:after="0" w:line="400" w:lineRule="exact"/>
        <w:ind w:left="0" w:leftChars="0" w:right="0" w:rightChars="0" w:firstLine="482" w:firstLineChars="200"/>
        <w:textAlignment w:val="auto"/>
        <w:rPr>
          <w:rStyle w:val="613"/>
          <w:rFonts w:hint="eastAsia" w:ascii="宋体" w:hAnsi="宋体" w:eastAsia="宋体" w:cs="宋体"/>
          <w:b/>
          <w:bCs/>
          <w:color w:val="auto"/>
          <w:sz w:val="24"/>
          <w:szCs w:val="24"/>
          <w:highlight w:val="none"/>
          <w:lang w:eastAsia="zh-CN"/>
        </w:rPr>
      </w:pPr>
      <w:r>
        <w:rPr>
          <w:rStyle w:val="613"/>
          <w:rFonts w:hint="eastAsia" w:ascii="宋体" w:hAnsi="宋体" w:eastAsia="宋体" w:cs="宋体"/>
          <w:b/>
          <w:bCs/>
          <w:color w:val="auto"/>
          <w:sz w:val="24"/>
          <w:szCs w:val="24"/>
          <w:highlight w:val="none"/>
          <w:lang w:eastAsia="zh-CN"/>
        </w:rPr>
        <w:t>评分细则</w:t>
      </w:r>
    </w:p>
    <w:tbl>
      <w:tblPr>
        <w:tblStyle w:val="89"/>
        <w:tblW w:w="10600" w:type="dxa"/>
        <w:jc w:val="center"/>
        <w:tblLayout w:type="fixed"/>
        <w:tblCellMar>
          <w:top w:w="15" w:type="dxa"/>
          <w:left w:w="15" w:type="dxa"/>
          <w:bottom w:w="15" w:type="dxa"/>
          <w:right w:w="15" w:type="dxa"/>
        </w:tblCellMar>
      </w:tblPr>
      <w:tblGrid>
        <w:gridCol w:w="1349"/>
        <w:gridCol w:w="8351"/>
        <w:gridCol w:w="900"/>
      </w:tblGrid>
      <w:tr w14:paraId="0864A7B7">
        <w:tblPrEx>
          <w:tblCellMar>
            <w:top w:w="15" w:type="dxa"/>
            <w:left w:w="15" w:type="dxa"/>
            <w:bottom w:w="15" w:type="dxa"/>
            <w:right w:w="15" w:type="dxa"/>
          </w:tblCellMar>
        </w:tblPrEx>
        <w:trPr>
          <w:trHeight w:val="90" w:hRule="atLeast"/>
          <w:jc w:val="center"/>
        </w:trPr>
        <w:tc>
          <w:tcPr>
            <w:tcW w:w="1349" w:type="dxa"/>
            <w:tcBorders>
              <w:top w:val="single" w:color="000000" w:sz="4" w:space="0"/>
              <w:left w:val="single" w:color="000000" w:sz="4" w:space="0"/>
              <w:bottom w:val="single" w:color="000000" w:sz="4" w:space="0"/>
              <w:right w:val="single" w:color="000000" w:sz="4" w:space="0"/>
            </w:tcBorders>
            <w:vAlign w:val="center"/>
          </w:tcPr>
          <w:p w14:paraId="24BB01C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val="0"/>
              <w:spacing w:line="360" w:lineRule="auto"/>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shd w:val="clear" w:color="auto" w:fill="auto"/>
                <w:lang w:eastAsia="zh-CN"/>
              </w:rPr>
              <w:t>评分内容</w:t>
            </w:r>
          </w:p>
        </w:tc>
        <w:tc>
          <w:tcPr>
            <w:tcW w:w="8351" w:type="dxa"/>
            <w:tcBorders>
              <w:top w:val="single" w:color="000000" w:sz="4" w:space="0"/>
              <w:left w:val="single" w:color="000000" w:sz="4" w:space="0"/>
              <w:bottom w:val="single" w:color="000000" w:sz="4" w:space="0"/>
              <w:right w:val="single" w:color="000000" w:sz="4" w:space="0"/>
            </w:tcBorders>
            <w:vAlign w:val="center"/>
          </w:tcPr>
          <w:p w14:paraId="45B1907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val="0"/>
              <w:spacing w:line="360" w:lineRule="auto"/>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shd w:val="clear" w:color="auto" w:fill="auto"/>
                <w:lang w:eastAsia="zh-CN"/>
              </w:rPr>
              <w:t>细则内容</w:t>
            </w:r>
          </w:p>
        </w:tc>
        <w:tc>
          <w:tcPr>
            <w:tcW w:w="900" w:type="dxa"/>
            <w:tcBorders>
              <w:top w:val="single" w:color="000000" w:sz="4" w:space="0"/>
              <w:left w:val="single" w:color="000000" w:sz="4" w:space="0"/>
              <w:bottom w:val="single" w:color="000000" w:sz="4" w:space="0"/>
              <w:right w:val="single" w:color="000000" w:sz="4" w:space="0"/>
            </w:tcBorders>
            <w:vAlign w:val="center"/>
          </w:tcPr>
          <w:p w14:paraId="1D07EA5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val="0"/>
              <w:spacing w:line="360" w:lineRule="auto"/>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shd w:val="clear" w:color="auto" w:fill="auto"/>
                <w:lang w:eastAsia="zh-CN"/>
              </w:rPr>
              <w:t>分值</w:t>
            </w:r>
          </w:p>
        </w:tc>
      </w:tr>
      <w:tr w14:paraId="3A263123">
        <w:tblPrEx>
          <w:tblCellMar>
            <w:top w:w="15" w:type="dxa"/>
            <w:left w:w="15" w:type="dxa"/>
            <w:bottom w:w="15" w:type="dxa"/>
            <w:right w:w="15" w:type="dxa"/>
          </w:tblCellMar>
        </w:tblPrEx>
        <w:trPr>
          <w:trHeight w:val="1308" w:hRule="atLeast"/>
          <w:jc w:val="center"/>
        </w:trPr>
        <w:tc>
          <w:tcPr>
            <w:tcW w:w="1349" w:type="dxa"/>
            <w:tcBorders>
              <w:top w:val="single" w:color="auto" w:sz="4" w:space="0"/>
              <w:left w:val="single" w:color="auto" w:sz="4" w:space="0"/>
              <w:right w:val="single" w:color="auto" w:sz="4" w:space="0"/>
            </w:tcBorders>
            <w:vAlign w:val="center"/>
          </w:tcPr>
          <w:p w14:paraId="39E61D10">
            <w:pPr>
              <w:pStyle w:val="632"/>
              <w:tabs>
                <w:tab w:val="left" w:pos="-1080"/>
                <w:tab w:val="left" w:pos="180"/>
                <w:tab w:val="left" w:pos="1080"/>
              </w:tabs>
              <w:spacing w:line="240" w:lineRule="auto"/>
              <w:ind w:left="0" w:leftChars="0" w:firstLine="0" w:firstLineChars="0"/>
              <w:jc w:val="center"/>
              <w:rPr>
                <w:rStyle w:val="612"/>
                <w:rFonts w:hint="eastAsia" w:ascii="宋体" w:hAnsi="宋体" w:eastAsia="宋体" w:cs="宋体"/>
                <w:color w:val="auto"/>
                <w:kern w:val="2"/>
                <w:sz w:val="24"/>
                <w:szCs w:val="24"/>
                <w:highlight w:val="none"/>
                <w:lang w:eastAsia="zh-CN" w:bidi="ar-SA"/>
              </w:rPr>
            </w:pPr>
            <w:r>
              <w:rPr>
                <w:rStyle w:val="612"/>
                <w:rFonts w:hint="eastAsia" w:ascii="宋体" w:hAnsi="宋体" w:eastAsia="宋体" w:cs="宋体"/>
                <w:color w:val="auto"/>
                <w:kern w:val="2"/>
                <w:sz w:val="24"/>
                <w:szCs w:val="24"/>
                <w:highlight w:val="none"/>
                <w:lang w:val="zh-CN" w:eastAsia="zh-CN" w:bidi="ar-SA"/>
              </w:rPr>
              <w:t>业绩</w:t>
            </w:r>
          </w:p>
        </w:tc>
        <w:tc>
          <w:tcPr>
            <w:tcW w:w="8351" w:type="dxa"/>
            <w:tcBorders>
              <w:top w:val="single" w:color="000000" w:sz="4" w:space="0"/>
              <w:left w:val="single" w:color="auto" w:sz="4" w:space="0"/>
              <w:right w:val="single" w:color="000000" w:sz="4" w:space="0"/>
            </w:tcBorders>
            <w:vAlign w:val="center"/>
          </w:tcPr>
          <w:p w14:paraId="560E3488">
            <w:pPr>
              <w:pStyle w:val="632"/>
              <w:tabs>
                <w:tab w:val="left" w:pos="-1080"/>
                <w:tab w:val="left" w:pos="180"/>
                <w:tab w:val="left" w:pos="1080"/>
              </w:tabs>
              <w:spacing w:line="240" w:lineRule="auto"/>
              <w:ind w:left="0" w:leftChars="0" w:firstLine="0" w:firstLineChars="0"/>
              <w:jc w:val="left"/>
              <w:rPr>
                <w:rStyle w:val="612"/>
                <w:rFonts w:hint="eastAsia" w:ascii="宋体" w:hAnsi="宋体" w:eastAsia="宋体" w:cs="宋体"/>
                <w:color w:val="auto"/>
                <w:kern w:val="2"/>
                <w:sz w:val="24"/>
                <w:szCs w:val="24"/>
                <w:highlight w:val="none"/>
                <w:lang w:val="en-US" w:eastAsia="zh-CN" w:bidi="ar-SA"/>
              </w:rPr>
            </w:pPr>
            <w:r>
              <w:rPr>
                <w:rStyle w:val="612"/>
                <w:rFonts w:hint="eastAsia" w:ascii="宋体" w:hAnsi="宋体" w:eastAsia="宋体" w:cs="宋体"/>
                <w:color w:val="auto"/>
                <w:kern w:val="2"/>
                <w:sz w:val="24"/>
                <w:szCs w:val="24"/>
                <w:highlight w:val="none"/>
                <w:lang w:val="en-US" w:eastAsia="zh-CN" w:bidi="ar-SA"/>
              </w:rPr>
              <w:t>投标人自2021年1月1日起至开标截止时间止已全部完成的相关业绩（以合同签订时间为准），每个合同的得0.5分，最高得1分。</w:t>
            </w:r>
          </w:p>
          <w:p w14:paraId="7CECC847">
            <w:pPr>
              <w:pStyle w:val="632"/>
              <w:tabs>
                <w:tab w:val="left" w:pos="-1080"/>
                <w:tab w:val="left" w:pos="180"/>
                <w:tab w:val="left" w:pos="1080"/>
              </w:tabs>
              <w:spacing w:line="240" w:lineRule="auto"/>
              <w:ind w:left="0" w:leftChars="0" w:firstLine="0" w:firstLineChars="0"/>
              <w:jc w:val="left"/>
              <w:rPr>
                <w:rStyle w:val="612"/>
                <w:rFonts w:hint="eastAsia" w:ascii="宋体" w:hAnsi="宋体" w:eastAsia="宋体" w:cs="宋体"/>
                <w:color w:val="auto"/>
                <w:kern w:val="2"/>
                <w:sz w:val="24"/>
                <w:szCs w:val="24"/>
                <w:highlight w:val="none"/>
                <w:lang w:val="en-US" w:eastAsia="zh-CN" w:bidi="ar-SA"/>
              </w:rPr>
            </w:pPr>
            <w:r>
              <w:rPr>
                <w:rStyle w:val="612"/>
                <w:rFonts w:hint="eastAsia" w:ascii="宋体" w:hAnsi="宋体" w:eastAsia="宋体" w:cs="宋体"/>
                <w:color w:val="auto"/>
                <w:kern w:val="2"/>
                <w:sz w:val="24"/>
                <w:szCs w:val="24"/>
                <w:highlight w:val="none"/>
                <w:lang w:val="en-US" w:eastAsia="zh-CN" w:bidi="ar-SA"/>
              </w:rPr>
              <w:t>【提供合同原件扫描件加盖公章编入投标文件，未提供不得分】。</w:t>
            </w:r>
          </w:p>
        </w:tc>
        <w:tc>
          <w:tcPr>
            <w:tcW w:w="900" w:type="dxa"/>
            <w:tcBorders>
              <w:top w:val="single" w:color="000000" w:sz="4" w:space="0"/>
              <w:left w:val="single" w:color="000000" w:sz="4" w:space="0"/>
              <w:bottom w:val="single" w:color="000000" w:sz="4" w:space="0"/>
              <w:right w:val="single" w:color="000000" w:sz="4" w:space="0"/>
            </w:tcBorders>
            <w:vAlign w:val="center"/>
          </w:tcPr>
          <w:p w14:paraId="3B4638DC">
            <w:pPr>
              <w:pStyle w:val="632"/>
              <w:tabs>
                <w:tab w:val="left" w:pos="-1080"/>
                <w:tab w:val="left" w:pos="180"/>
                <w:tab w:val="left" w:pos="1080"/>
              </w:tabs>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华文中宋" w:hAnsi="华文中宋" w:eastAsia="华文中宋" w:cs="Times New Roman"/>
                <w:color w:val="auto"/>
                <w:sz w:val="24"/>
                <w:szCs w:val="22"/>
                <w:highlight w:val="none"/>
                <w:lang w:val="en-US" w:eastAsia="zh-CN" w:bidi="ar-SA"/>
              </w:rPr>
              <w:t>0-1分</w:t>
            </w:r>
          </w:p>
        </w:tc>
      </w:tr>
      <w:tr w14:paraId="522F3B49">
        <w:tblPrEx>
          <w:tblCellMar>
            <w:top w:w="15" w:type="dxa"/>
            <w:left w:w="15" w:type="dxa"/>
            <w:bottom w:w="15" w:type="dxa"/>
            <w:right w:w="15" w:type="dxa"/>
          </w:tblCellMar>
        </w:tblPrEx>
        <w:trPr>
          <w:trHeight w:val="90"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14:paraId="7200DCEC">
            <w:pPr>
              <w:pStyle w:val="632"/>
              <w:tabs>
                <w:tab w:val="left" w:pos="-1080"/>
                <w:tab w:val="left" w:pos="180"/>
                <w:tab w:val="left" w:pos="1080"/>
              </w:tabs>
              <w:spacing w:line="240" w:lineRule="auto"/>
              <w:ind w:left="0" w:leftChars="0" w:firstLine="0" w:firstLineChars="0"/>
              <w:jc w:val="center"/>
              <w:rPr>
                <w:rStyle w:val="612"/>
                <w:rFonts w:hint="eastAsia" w:ascii="宋体" w:hAnsi="宋体" w:eastAsia="宋体" w:cs="宋体"/>
                <w:color w:val="auto"/>
                <w:kern w:val="2"/>
                <w:sz w:val="24"/>
                <w:szCs w:val="24"/>
                <w:highlight w:val="none"/>
                <w:lang w:eastAsia="zh-CN" w:bidi="ar-SA"/>
              </w:rPr>
            </w:pPr>
            <w:r>
              <w:rPr>
                <w:rStyle w:val="612"/>
                <w:rFonts w:hint="eastAsia" w:ascii="宋体" w:hAnsi="宋体" w:eastAsia="宋体" w:cs="宋体"/>
                <w:color w:val="auto"/>
                <w:kern w:val="2"/>
                <w:sz w:val="24"/>
                <w:szCs w:val="24"/>
                <w:highlight w:val="none"/>
                <w:lang w:val="zh-CN" w:eastAsia="zh-CN" w:bidi="ar-SA"/>
              </w:rPr>
              <w:t>管理体系及能力评价</w:t>
            </w:r>
          </w:p>
        </w:tc>
        <w:tc>
          <w:tcPr>
            <w:tcW w:w="8351" w:type="dxa"/>
            <w:tcBorders>
              <w:top w:val="single" w:color="000000" w:sz="4" w:space="0"/>
              <w:left w:val="single" w:color="auto" w:sz="4" w:space="0"/>
              <w:bottom w:val="single" w:color="000000" w:sz="4" w:space="0"/>
              <w:right w:val="single" w:color="000000" w:sz="4" w:space="0"/>
            </w:tcBorders>
            <w:vAlign w:val="center"/>
          </w:tcPr>
          <w:p w14:paraId="66453290">
            <w:pPr>
              <w:pStyle w:val="632"/>
              <w:tabs>
                <w:tab w:val="left" w:pos="-1080"/>
                <w:tab w:val="left" w:pos="180"/>
                <w:tab w:val="left" w:pos="1080"/>
              </w:tabs>
              <w:spacing w:line="240" w:lineRule="auto"/>
              <w:ind w:left="0" w:leftChars="0" w:firstLine="0" w:firstLineChars="0"/>
              <w:jc w:val="left"/>
              <w:rPr>
                <w:rStyle w:val="612"/>
                <w:rFonts w:hint="default" w:ascii="宋体" w:hAnsi="宋体" w:eastAsia="宋体" w:cs="宋体"/>
                <w:color w:val="auto"/>
                <w:kern w:val="2"/>
                <w:sz w:val="24"/>
                <w:szCs w:val="24"/>
                <w:highlight w:val="none"/>
                <w:lang w:val="en-US" w:eastAsia="zh-CN" w:bidi="ar-SA"/>
              </w:rPr>
            </w:pPr>
            <w:r>
              <w:rPr>
                <w:rStyle w:val="612"/>
                <w:rFonts w:hint="default" w:ascii="宋体" w:hAnsi="宋体" w:eastAsia="宋体" w:cs="宋体"/>
                <w:color w:val="auto"/>
                <w:kern w:val="2"/>
                <w:sz w:val="24"/>
                <w:szCs w:val="24"/>
                <w:highlight w:val="none"/>
                <w:lang w:val="en-US" w:eastAsia="zh-CN" w:bidi="ar-SA"/>
              </w:rPr>
              <w:t>投标人具有有效的质量管理体系认证证书,得1分。</w:t>
            </w:r>
          </w:p>
          <w:p w14:paraId="36C83984">
            <w:pPr>
              <w:pStyle w:val="632"/>
              <w:tabs>
                <w:tab w:val="left" w:pos="-1080"/>
                <w:tab w:val="left" w:pos="180"/>
                <w:tab w:val="left" w:pos="1080"/>
              </w:tabs>
              <w:spacing w:line="240" w:lineRule="auto"/>
              <w:ind w:left="0" w:leftChars="0" w:firstLine="0" w:firstLineChars="0"/>
              <w:jc w:val="left"/>
              <w:rPr>
                <w:rStyle w:val="612"/>
                <w:rFonts w:hint="default" w:ascii="宋体" w:hAnsi="宋体" w:eastAsia="宋体" w:cs="宋体"/>
                <w:color w:val="auto"/>
                <w:kern w:val="2"/>
                <w:sz w:val="24"/>
                <w:szCs w:val="24"/>
                <w:highlight w:val="none"/>
                <w:lang w:val="en-US" w:eastAsia="zh-CN" w:bidi="ar-SA"/>
              </w:rPr>
            </w:pPr>
            <w:r>
              <w:rPr>
                <w:rStyle w:val="612"/>
                <w:rFonts w:hint="default" w:ascii="宋体" w:hAnsi="宋体" w:eastAsia="宋体" w:cs="宋体"/>
                <w:color w:val="auto"/>
                <w:kern w:val="2"/>
                <w:sz w:val="24"/>
                <w:szCs w:val="24"/>
                <w:highlight w:val="none"/>
                <w:lang w:val="en-US" w:eastAsia="zh-CN" w:bidi="ar-SA"/>
              </w:rPr>
              <w:t>投标人具有有效的环境管理体系认证证书,得1分。</w:t>
            </w:r>
          </w:p>
          <w:p w14:paraId="4CA27DAA">
            <w:pPr>
              <w:pStyle w:val="632"/>
              <w:tabs>
                <w:tab w:val="left" w:pos="-1080"/>
                <w:tab w:val="left" w:pos="180"/>
                <w:tab w:val="left" w:pos="1080"/>
              </w:tabs>
              <w:spacing w:line="240" w:lineRule="auto"/>
              <w:ind w:left="0" w:leftChars="0" w:firstLine="0" w:firstLineChars="0"/>
              <w:jc w:val="left"/>
              <w:rPr>
                <w:rStyle w:val="612"/>
                <w:rFonts w:hint="default" w:ascii="宋体" w:hAnsi="宋体" w:eastAsia="宋体" w:cs="宋体"/>
                <w:color w:val="auto"/>
                <w:kern w:val="2"/>
                <w:sz w:val="24"/>
                <w:szCs w:val="24"/>
                <w:highlight w:val="none"/>
                <w:lang w:val="en-US" w:eastAsia="zh-CN" w:bidi="ar-SA"/>
              </w:rPr>
            </w:pPr>
            <w:r>
              <w:rPr>
                <w:rStyle w:val="612"/>
                <w:rFonts w:hint="default" w:ascii="宋体" w:hAnsi="宋体" w:eastAsia="宋体" w:cs="宋体"/>
                <w:color w:val="auto"/>
                <w:kern w:val="2"/>
                <w:sz w:val="24"/>
                <w:szCs w:val="24"/>
                <w:highlight w:val="none"/>
                <w:lang w:val="en-US" w:eastAsia="zh-CN" w:bidi="ar-SA"/>
              </w:rPr>
              <w:t>投标人具有有效的职业健康管理体系认证证书,得1分。</w:t>
            </w:r>
          </w:p>
          <w:p w14:paraId="1E50D94C">
            <w:pPr>
              <w:pStyle w:val="632"/>
              <w:tabs>
                <w:tab w:val="left" w:pos="-1080"/>
                <w:tab w:val="left" w:pos="180"/>
                <w:tab w:val="left" w:pos="1080"/>
              </w:tabs>
              <w:spacing w:line="240" w:lineRule="auto"/>
              <w:ind w:left="0" w:leftChars="0" w:firstLine="0" w:firstLineChars="0"/>
              <w:jc w:val="left"/>
              <w:rPr>
                <w:rStyle w:val="612"/>
                <w:rFonts w:hint="eastAsia" w:ascii="宋体" w:hAnsi="宋体" w:eastAsia="宋体" w:cs="宋体"/>
                <w:color w:val="auto"/>
                <w:kern w:val="2"/>
                <w:sz w:val="24"/>
                <w:szCs w:val="24"/>
                <w:highlight w:val="none"/>
                <w:lang w:val="en-US" w:eastAsia="zh-CN" w:bidi="ar-SA"/>
              </w:rPr>
            </w:pPr>
            <w:r>
              <w:rPr>
                <w:rStyle w:val="612"/>
                <w:rFonts w:hint="default" w:ascii="宋体" w:hAnsi="宋体" w:eastAsia="宋体" w:cs="宋体"/>
                <w:color w:val="auto"/>
                <w:kern w:val="2"/>
                <w:sz w:val="24"/>
                <w:szCs w:val="24"/>
                <w:highlight w:val="none"/>
                <w:lang w:val="en-US" w:eastAsia="zh-CN" w:bidi="ar-SA"/>
              </w:rPr>
              <w:t>【提供相关证书扫描件编入投标文件中并加盖公章，否则不得分。】</w:t>
            </w:r>
          </w:p>
        </w:tc>
        <w:tc>
          <w:tcPr>
            <w:tcW w:w="900" w:type="dxa"/>
            <w:tcBorders>
              <w:top w:val="single" w:color="000000" w:sz="4" w:space="0"/>
              <w:left w:val="single" w:color="000000" w:sz="4" w:space="0"/>
              <w:bottom w:val="single" w:color="000000" w:sz="4" w:space="0"/>
              <w:right w:val="single" w:color="000000" w:sz="4" w:space="0"/>
            </w:tcBorders>
            <w:vAlign w:val="center"/>
          </w:tcPr>
          <w:p w14:paraId="6380A421">
            <w:pPr>
              <w:pStyle w:val="632"/>
              <w:tabs>
                <w:tab w:val="left" w:pos="-1080"/>
                <w:tab w:val="left" w:pos="180"/>
                <w:tab w:val="left" w:pos="1080"/>
              </w:tabs>
              <w:spacing w:line="240" w:lineRule="auto"/>
              <w:ind w:left="0" w:leftChars="0" w:firstLine="0" w:firstLineChars="0"/>
              <w:jc w:val="center"/>
              <w:rPr>
                <w:rFonts w:hint="eastAsia" w:ascii="宋体" w:hAnsi="宋体" w:eastAsia="宋体" w:cs="宋体"/>
                <w:b w:val="0"/>
                <w:color w:val="auto"/>
                <w:kern w:val="2"/>
                <w:sz w:val="24"/>
                <w:szCs w:val="24"/>
                <w:highlight w:val="none"/>
                <w:lang w:val="en-US" w:eastAsia="zh-CN" w:bidi="ar-SA"/>
              </w:rPr>
            </w:pPr>
            <w:r>
              <w:rPr>
                <w:rFonts w:hint="eastAsia" w:ascii="华文中宋" w:hAnsi="华文中宋" w:eastAsia="华文中宋" w:cs="Times New Roman"/>
                <w:color w:val="auto"/>
                <w:sz w:val="24"/>
                <w:szCs w:val="22"/>
                <w:highlight w:val="none"/>
                <w:lang w:val="en-US" w:eastAsia="zh-CN" w:bidi="ar-SA"/>
              </w:rPr>
              <w:t>0-3</w:t>
            </w:r>
            <w:r>
              <w:rPr>
                <w:rFonts w:hint="eastAsia" w:ascii="华文中宋" w:hAnsi="华文中宋" w:eastAsia="华文中宋" w:cs="Times New Roman"/>
                <w:color w:val="auto"/>
                <w:sz w:val="24"/>
                <w:szCs w:val="22"/>
                <w:highlight w:val="none"/>
                <w:lang w:val="zh-CN" w:eastAsia="zh-CN" w:bidi="ar-SA"/>
              </w:rPr>
              <w:t>分</w:t>
            </w:r>
          </w:p>
        </w:tc>
      </w:tr>
      <w:tr w14:paraId="1F62E735">
        <w:tblPrEx>
          <w:tblCellMar>
            <w:top w:w="15" w:type="dxa"/>
            <w:left w:w="15" w:type="dxa"/>
            <w:bottom w:w="15" w:type="dxa"/>
            <w:right w:w="15" w:type="dxa"/>
          </w:tblCellMar>
        </w:tblPrEx>
        <w:trPr>
          <w:trHeight w:val="90" w:hRule="atLeast"/>
          <w:jc w:val="center"/>
        </w:trPr>
        <w:tc>
          <w:tcPr>
            <w:tcW w:w="1349" w:type="dxa"/>
            <w:vMerge w:val="restart"/>
            <w:tcBorders>
              <w:top w:val="single" w:color="auto" w:sz="4" w:space="0"/>
              <w:left w:val="single" w:color="auto" w:sz="4" w:space="0"/>
              <w:right w:val="single" w:color="auto" w:sz="4" w:space="0"/>
            </w:tcBorders>
            <w:vAlign w:val="center"/>
          </w:tcPr>
          <w:p w14:paraId="46D23437">
            <w:pPr>
              <w:spacing w:line="320" w:lineRule="exact"/>
              <w:jc w:val="center"/>
              <w:rPr>
                <w:rStyle w:val="612"/>
                <w:rFonts w:hint="default" w:ascii="宋体" w:hAnsi="宋体" w:eastAsia="宋体" w:cs="宋体"/>
                <w:color w:val="auto"/>
                <w:kern w:val="2"/>
                <w:sz w:val="24"/>
                <w:szCs w:val="24"/>
                <w:highlight w:val="none"/>
                <w:lang w:val="en-US" w:eastAsia="zh-CN" w:bidi="ar-SA"/>
              </w:rPr>
            </w:pPr>
            <w:r>
              <w:rPr>
                <w:rStyle w:val="612"/>
                <w:rFonts w:hint="eastAsia" w:ascii="宋体" w:hAnsi="宋体" w:eastAsia="宋体" w:cs="宋体"/>
                <w:color w:val="auto"/>
                <w:kern w:val="2"/>
                <w:sz w:val="24"/>
                <w:szCs w:val="24"/>
                <w:highlight w:val="none"/>
                <w:lang w:val="en-US" w:eastAsia="zh-CN" w:bidi="ar-SA"/>
              </w:rPr>
              <w:t>投标人综合实力</w:t>
            </w:r>
          </w:p>
        </w:tc>
        <w:tc>
          <w:tcPr>
            <w:tcW w:w="8351" w:type="dxa"/>
            <w:tcBorders>
              <w:top w:val="single" w:color="000000" w:sz="4" w:space="0"/>
              <w:left w:val="single" w:color="auto" w:sz="4" w:space="0"/>
              <w:bottom w:val="single" w:color="000000" w:sz="4" w:space="0"/>
              <w:right w:val="single" w:color="000000" w:sz="4" w:space="0"/>
            </w:tcBorders>
            <w:shd w:val="clear" w:color="auto" w:fill="auto"/>
            <w:vAlign w:val="center"/>
          </w:tcPr>
          <w:p w14:paraId="298F3DD5">
            <w:pPr>
              <w:pStyle w:val="632"/>
              <w:tabs>
                <w:tab w:val="left" w:pos="-1080"/>
                <w:tab w:val="left" w:pos="180"/>
                <w:tab w:val="left" w:pos="1080"/>
              </w:tabs>
              <w:spacing w:line="240" w:lineRule="auto"/>
              <w:ind w:left="0" w:leftChars="0" w:firstLine="0" w:firstLineChars="0"/>
              <w:jc w:val="left"/>
              <w:rPr>
                <w:rStyle w:val="612"/>
                <w:rFonts w:hint="eastAsia" w:ascii="宋体" w:hAnsi="宋体" w:eastAsia="宋体" w:cs="宋体"/>
                <w:color w:val="auto"/>
                <w:kern w:val="2"/>
                <w:sz w:val="24"/>
                <w:szCs w:val="24"/>
                <w:highlight w:val="none"/>
                <w:lang w:eastAsia="zh-CN" w:bidi="ar-SA"/>
              </w:rPr>
            </w:pPr>
            <w:r>
              <w:rPr>
                <w:rStyle w:val="612"/>
                <w:rFonts w:hint="eastAsia" w:ascii="宋体" w:hAnsi="宋体" w:eastAsia="宋体" w:cs="宋体"/>
                <w:color w:val="auto"/>
                <w:kern w:val="2"/>
                <w:sz w:val="24"/>
                <w:szCs w:val="24"/>
                <w:highlight w:val="none"/>
                <w:lang w:val="en-US" w:eastAsia="zh-CN" w:bidi="ar-SA"/>
              </w:rPr>
              <w:t xml:space="preserve"> 项目负责人：具有注册环保工程师证或注册环评工程师执业资格证书，并为副高级或以上职称的得3分； </w:t>
            </w:r>
          </w:p>
          <w:p w14:paraId="50304088">
            <w:pPr>
              <w:pStyle w:val="632"/>
              <w:tabs>
                <w:tab w:val="left" w:pos="-1080"/>
                <w:tab w:val="left" w:pos="180"/>
                <w:tab w:val="left" w:pos="1080"/>
              </w:tabs>
              <w:spacing w:line="240" w:lineRule="auto"/>
              <w:ind w:left="0" w:leftChars="0" w:firstLine="0" w:firstLineChars="0"/>
              <w:jc w:val="left"/>
              <w:rPr>
                <w:rStyle w:val="612"/>
                <w:rFonts w:hint="eastAsia" w:ascii="宋体" w:hAnsi="宋体" w:eastAsia="宋体" w:cs="宋体"/>
                <w:color w:val="auto"/>
                <w:kern w:val="2"/>
                <w:sz w:val="24"/>
                <w:szCs w:val="24"/>
                <w:highlight w:val="none"/>
                <w:lang w:val="en-US" w:eastAsia="zh-CN" w:bidi="ar-SA"/>
              </w:rPr>
            </w:pPr>
            <w:r>
              <w:rPr>
                <w:rStyle w:val="612"/>
                <w:rFonts w:hint="eastAsia" w:ascii="宋体" w:hAnsi="宋体" w:eastAsia="宋体" w:cs="宋体"/>
                <w:color w:val="auto"/>
                <w:kern w:val="2"/>
                <w:sz w:val="24"/>
                <w:szCs w:val="24"/>
                <w:highlight w:val="none"/>
                <w:lang w:val="en-US" w:eastAsia="zh-CN" w:bidi="ar-SA"/>
              </w:rPr>
              <w:t xml:space="preserve">项目组成员（项目负责人除外）：具有环境相关专业高级及以上职称的，每人1分，中级职称的得0.5分，最高可得7分。 </w:t>
            </w:r>
          </w:p>
          <w:p w14:paraId="7282DE08">
            <w:pPr>
              <w:pStyle w:val="632"/>
              <w:tabs>
                <w:tab w:val="left" w:pos="-1080"/>
                <w:tab w:val="left" w:pos="180"/>
                <w:tab w:val="left" w:pos="1080"/>
              </w:tabs>
              <w:spacing w:line="240" w:lineRule="auto"/>
              <w:ind w:left="0" w:leftChars="0" w:firstLine="0" w:firstLineChars="0"/>
              <w:jc w:val="left"/>
              <w:rPr>
                <w:rStyle w:val="612"/>
                <w:rFonts w:hint="eastAsia" w:ascii="宋体" w:hAnsi="宋体" w:eastAsia="宋体" w:cs="宋体"/>
                <w:color w:val="auto"/>
                <w:kern w:val="2"/>
                <w:sz w:val="24"/>
                <w:szCs w:val="24"/>
                <w:highlight w:val="none"/>
                <w:lang w:val="en-US" w:eastAsia="zh-CN" w:bidi="ar-SA"/>
              </w:rPr>
            </w:pPr>
            <w:r>
              <w:rPr>
                <w:rStyle w:val="612"/>
                <w:rFonts w:hint="eastAsia" w:ascii="宋体" w:hAnsi="宋体" w:eastAsia="宋体" w:cs="宋体"/>
                <w:color w:val="auto"/>
                <w:kern w:val="2"/>
                <w:sz w:val="24"/>
                <w:szCs w:val="24"/>
                <w:highlight w:val="none"/>
                <w:lang w:val="en-US" w:eastAsia="zh-CN" w:bidi="ar-SA"/>
              </w:rPr>
              <w:t>【标书内附人员职称证书及社保证明的原件扫描件并加盖公章。人员的证书不重复计分，只计一次最高分。】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056A">
            <w:pPr>
              <w:pStyle w:val="632"/>
              <w:tabs>
                <w:tab w:val="left" w:pos="-1080"/>
                <w:tab w:val="left" w:pos="180"/>
                <w:tab w:val="left" w:pos="1080"/>
              </w:tabs>
              <w:spacing w:line="240" w:lineRule="auto"/>
              <w:ind w:left="0" w:leftChars="0" w:firstLine="0" w:firstLineChars="0"/>
              <w:jc w:val="center"/>
              <w:rPr>
                <w:rFonts w:hint="eastAsia" w:ascii="华文中宋" w:hAnsi="华文中宋" w:eastAsia="华文中宋" w:cs="Times New Roman"/>
                <w:color w:val="auto"/>
                <w:kern w:val="2"/>
                <w:sz w:val="24"/>
                <w:szCs w:val="22"/>
                <w:highlight w:val="none"/>
                <w:lang w:val="en-US" w:eastAsia="zh-CN" w:bidi="ar-SA"/>
              </w:rPr>
            </w:pPr>
            <w:r>
              <w:rPr>
                <w:rFonts w:hint="eastAsia" w:ascii="华文中宋" w:hAnsi="华文中宋" w:eastAsia="华文中宋" w:cs="Times New Roman"/>
                <w:color w:val="auto"/>
                <w:sz w:val="24"/>
                <w:szCs w:val="22"/>
                <w:highlight w:val="none"/>
                <w:lang w:val="en-US" w:eastAsia="zh-CN" w:bidi="ar-SA"/>
              </w:rPr>
              <w:t>0-10</w:t>
            </w:r>
            <w:r>
              <w:rPr>
                <w:rFonts w:hint="eastAsia" w:ascii="华文中宋" w:hAnsi="华文中宋" w:eastAsia="华文中宋" w:cs="Times New Roman"/>
                <w:color w:val="auto"/>
                <w:sz w:val="24"/>
                <w:szCs w:val="22"/>
                <w:highlight w:val="none"/>
                <w:lang w:val="zh-CN" w:eastAsia="zh-CN" w:bidi="ar-SA"/>
              </w:rPr>
              <w:t>分</w:t>
            </w:r>
          </w:p>
        </w:tc>
      </w:tr>
      <w:tr w14:paraId="3E1302BD">
        <w:tblPrEx>
          <w:tblCellMar>
            <w:top w:w="15" w:type="dxa"/>
            <w:left w:w="15" w:type="dxa"/>
            <w:bottom w:w="15" w:type="dxa"/>
            <w:right w:w="15" w:type="dxa"/>
          </w:tblCellMar>
        </w:tblPrEx>
        <w:trPr>
          <w:trHeight w:val="90" w:hRule="atLeast"/>
          <w:jc w:val="center"/>
        </w:trPr>
        <w:tc>
          <w:tcPr>
            <w:tcW w:w="1349" w:type="dxa"/>
            <w:vMerge w:val="continue"/>
            <w:tcBorders>
              <w:left w:val="single" w:color="auto" w:sz="4" w:space="0"/>
              <w:right w:val="single" w:color="auto" w:sz="4" w:space="0"/>
            </w:tcBorders>
            <w:vAlign w:val="center"/>
          </w:tcPr>
          <w:p w14:paraId="0DF6D54A">
            <w:pPr>
              <w:pStyle w:val="32"/>
              <w:rPr>
                <w:rStyle w:val="612"/>
                <w:rFonts w:hint="eastAsia" w:ascii="宋体" w:hAnsi="宋体" w:eastAsia="宋体" w:cs="宋体"/>
                <w:color w:val="auto"/>
                <w:kern w:val="2"/>
                <w:sz w:val="24"/>
                <w:szCs w:val="24"/>
                <w:highlight w:val="none"/>
                <w:lang w:eastAsia="zh-CN" w:bidi="ar-SA"/>
              </w:rPr>
            </w:pPr>
          </w:p>
        </w:tc>
        <w:tc>
          <w:tcPr>
            <w:tcW w:w="8351" w:type="dxa"/>
            <w:tcBorders>
              <w:top w:val="single" w:color="auto" w:sz="4" w:space="0"/>
              <w:left w:val="single" w:color="auto" w:sz="4" w:space="0"/>
              <w:bottom w:val="single" w:color="auto" w:sz="4" w:space="0"/>
              <w:right w:val="single" w:color="auto" w:sz="4" w:space="0"/>
            </w:tcBorders>
            <w:vAlign w:val="center"/>
          </w:tcPr>
          <w:p w14:paraId="7C05BDA6">
            <w:pPr>
              <w:pStyle w:val="632"/>
              <w:tabs>
                <w:tab w:val="left" w:pos="-1080"/>
                <w:tab w:val="left" w:pos="180"/>
                <w:tab w:val="left" w:pos="1080"/>
              </w:tabs>
              <w:spacing w:line="240" w:lineRule="auto"/>
              <w:ind w:left="0" w:leftChars="0" w:firstLine="0" w:firstLineChars="0"/>
              <w:jc w:val="left"/>
              <w:rPr>
                <w:rStyle w:val="612"/>
                <w:rFonts w:hint="eastAsia" w:ascii="宋体" w:hAnsi="宋体" w:eastAsia="宋体" w:cs="宋体"/>
                <w:color w:val="auto"/>
                <w:kern w:val="2"/>
                <w:sz w:val="24"/>
                <w:szCs w:val="24"/>
                <w:highlight w:val="none"/>
                <w:lang w:val="en-US" w:eastAsia="zh-CN" w:bidi="ar-SA"/>
              </w:rPr>
            </w:pPr>
            <w:r>
              <w:rPr>
                <w:rStyle w:val="612"/>
                <w:rFonts w:hint="eastAsia" w:ascii="宋体" w:hAnsi="宋体" w:eastAsia="宋体" w:cs="宋体"/>
                <w:color w:val="auto"/>
                <w:kern w:val="2"/>
                <w:sz w:val="24"/>
                <w:szCs w:val="24"/>
                <w:highlight w:val="none"/>
                <w:lang w:val="en-US" w:eastAsia="zh-CN" w:bidi="ar-SA"/>
              </w:rPr>
              <w:t xml:space="preserve">投标人从事生态环境保护工作获得过省级及以上荣誉的得3分，地市级荣誉的得2分，区县级荣誉的得1分，其余不得分，以最高荣誉计分，不累计。 </w:t>
            </w:r>
          </w:p>
          <w:p w14:paraId="45C90B8D">
            <w:pPr>
              <w:pStyle w:val="632"/>
              <w:tabs>
                <w:tab w:val="left" w:pos="-1080"/>
                <w:tab w:val="left" w:pos="180"/>
                <w:tab w:val="left" w:pos="1080"/>
              </w:tabs>
              <w:spacing w:line="240" w:lineRule="auto"/>
              <w:ind w:left="0" w:leftChars="0" w:firstLine="0" w:firstLineChars="0"/>
              <w:jc w:val="left"/>
              <w:rPr>
                <w:rStyle w:val="612"/>
                <w:rFonts w:hint="eastAsia" w:ascii="宋体" w:hAnsi="宋体" w:eastAsia="宋体" w:cs="宋体"/>
                <w:color w:val="auto"/>
                <w:kern w:val="2"/>
                <w:sz w:val="24"/>
                <w:szCs w:val="24"/>
                <w:highlight w:val="none"/>
                <w:lang w:val="en-US" w:eastAsia="zh-CN" w:bidi="ar-SA"/>
              </w:rPr>
            </w:pPr>
            <w:r>
              <w:rPr>
                <w:rStyle w:val="612"/>
                <w:rFonts w:hint="eastAsia" w:ascii="宋体" w:hAnsi="宋体" w:eastAsia="宋体" w:cs="宋体"/>
                <w:color w:val="auto"/>
                <w:kern w:val="2"/>
                <w:sz w:val="24"/>
                <w:szCs w:val="24"/>
                <w:highlight w:val="none"/>
                <w:lang w:val="en-US" w:eastAsia="zh-CN" w:bidi="ar-SA"/>
              </w:rPr>
              <w:t>【标书内提供相关证明性材料原件扫描件并加盖公章。】</w:t>
            </w:r>
          </w:p>
        </w:tc>
        <w:tc>
          <w:tcPr>
            <w:tcW w:w="900" w:type="dxa"/>
            <w:tcBorders>
              <w:top w:val="single" w:color="000000" w:sz="4" w:space="0"/>
              <w:left w:val="single" w:color="auto" w:sz="4" w:space="0"/>
              <w:bottom w:val="single" w:color="000000" w:sz="4" w:space="0"/>
              <w:right w:val="single" w:color="000000" w:sz="4" w:space="0"/>
            </w:tcBorders>
            <w:vAlign w:val="center"/>
          </w:tcPr>
          <w:p w14:paraId="44DC5782">
            <w:pPr>
              <w:pStyle w:val="632"/>
              <w:tabs>
                <w:tab w:val="left" w:pos="-1080"/>
                <w:tab w:val="left" w:pos="180"/>
                <w:tab w:val="left" w:pos="1080"/>
              </w:tabs>
              <w:spacing w:line="240" w:lineRule="auto"/>
              <w:ind w:left="0" w:leftChars="0" w:firstLine="0" w:firstLineChars="0"/>
              <w:jc w:val="center"/>
              <w:rPr>
                <w:rFonts w:hint="default" w:ascii="宋体" w:hAnsi="宋体" w:eastAsia="宋体" w:cs="宋体"/>
                <w:color w:val="auto"/>
                <w:kern w:val="2"/>
                <w:sz w:val="24"/>
                <w:szCs w:val="24"/>
                <w:highlight w:val="none"/>
                <w:shd w:val="clear" w:color="auto" w:fill="auto"/>
                <w:lang w:val="en-US" w:eastAsia="zh-CN" w:bidi="ar-SA"/>
              </w:rPr>
            </w:pPr>
            <w:r>
              <w:rPr>
                <w:rFonts w:hint="eastAsia" w:ascii="华文中宋" w:hAnsi="华文中宋" w:eastAsia="华文中宋" w:cs="Times New Roman"/>
                <w:color w:val="auto"/>
                <w:sz w:val="24"/>
                <w:szCs w:val="22"/>
                <w:highlight w:val="none"/>
                <w:lang w:val="en-US" w:eastAsia="zh-CN" w:bidi="ar-SA"/>
              </w:rPr>
              <w:t>0-3分</w:t>
            </w:r>
          </w:p>
        </w:tc>
      </w:tr>
      <w:tr w14:paraId="182A205A">
        <w:tblPrEx>
          <w:tblCellMar>
            <w:top w:w="15" w:type="dxa"/>
            <w:left w:w="15" w:type="dxa"/>
            <w:bottom w:w="15" w:type="dxa"/>
            <w:right w:w="15" w:type="dxa"/>
          </w:tblCellMar>
        </w:tblPrEx>
        <w:trPr>
          <w:trHeight w:val="90" w:hRule="atLeast"/>
          <w:jc w:val="center"/>
        </w:trPr>
        <w:tc>
          <w:tcPr>
            <w:tcW w:w="1349" w:type="dxa"/>
            <w:vMerge w:val="continue"/>
            <w:tcBorders>
              <w:left w:val="single" w:color="auto" w:sz="4" w:space="0"/>
              <w:bottom w:val="single" w:color="auto" w:sz="4" w:space="0"/>
              <w:right w:val="single" w:color="auto" w:sz="4" w:space="0"/>
            </w:tcBorders>
            <w:vAlign w:val="center"/>
          </w:tcPr>
          <w:p w14:paraId="3F93786C">
            <w:pPr>
              <w:pStyle w:val="32"/>
              <w:rPr>
                <w:rStyle w:val="612"/>
                <w:rFonts w:hint="eastAsia" w:ascii="宋体" w:hAnsi="宋体" w:eastAsia="宋体" w:cs="宋体"/>
                <w:color w:val="auto"/>
                <w:kern w:val="2"/>
                <w:sz w:val="24"/>
                <w:szCs w:val="24"/>
                <w:highlight w:val="none"/>
                <w:lang w:eastAsia="zh-CN" w:bidi="ar-SA"/>
              </w:rPr>
            </w:pPr>
          </w:p>
        </w:tc>
        <w:tc>
          <w:tcPr>
            <w:tcW w:w="8351" w:type="dxa"/>
            <w:tcBorders>
              <w:top w:val="single" w:color="auto" w:sz="4" w:space="0"/>
              <w:left w:val="single" w:color="auto" w:sz="4" w:space="0"/>
              <w:bottom w:val="single" w:color="auto" w:sz="4" w:space="0"/>
              <w:right w:val="single" w:color="auto" w:sz="4" w:space="0"/>
            </w:tcBorders>
            <w:vAlign w:val="center"/>
          </w:tcPr>
          <w:p w14:paraId="2535862D">
            <w:pPr>
              <w:pStyle w:val="632"/>
              <w:tabs>
                <w:tab w:val="left" w:pos="-1080"/>
                <w:tab w:val="left" w:pos="180"/>
                <w:tab w:val="left" w:pos="1080"/>
              </w:tabs>
              <w:spacing w:line="240" w:lineRule="auto"/>
              <w:ind w:left="0" w:leftChars="0" w:firstLine="0" w:firstLineChars="0"/>
              <w:jc w:val="left"/>
              <w:rPr>
                <w:rStyle w:val="612"/>
                <w:rFonts w:hint="eastAsia" w:ascii="宋体" w:hAnsi="宋体" w:eastAsia="宋体" w:cs="宋体"/>
                <w:color w:val="auto"/>
                <w:kern w:val="2"/>
                <w:sz w:val="24"/>
                <w:szCs w:val="24"/>
                <w:highlight w:val="none"/>
                <w:lang w:val="en-US" w:eastAsia="zh-CN" w:bidi="ar-SA"/>
              </w:rPr>
            </w:pPr>
            <w:r>
              <w:rPr>
                <w:rStyle w:val="612"/>
                <w:rFonts w:hint="eastAsia" w:ascii="宋体" w:hAnsi="宋体" w:eastAsia="宋体" w:cs="宋体"/>
                <w:color w:val="auto"/>
                <w:kern w:val="2"/>
                <w:sz w:val="24"/>
                <w:szCs w:val="24"/>
                <w:highlight w:val="none"/>
                <w:lang w:val="en-US" w:eastAsia="zh-CN" w:bidi="ar-SA"/>
              </w:rPr>
              <w:t xml:space="preserve">环评评审专家库：承诺评审专家来自省级环境影响评价评审专家库得5分；市级环境影响评价评审专家库得2分； </w:t>
            </w:r>
          </w:p>
        </w:tc>
        <w:tc>
          <w:tcPr>
            <w:tcW w:w="900" w:type="dxa"/>
            <w:tcBorders>
              <w:top w:val="single" w:color="000000" w:sz="4" w:space="0"/>
              <w:left w:val="single" w:color="auto" w:sz="4" w:space="0"/>
              <w:bottom w:val="single" w:color="000000" w:sz="4" w:space="0"/>
              <w:right w:val="single" w:color="000000" w:sz="4" w:space="0"/>
            </w:tcBorders>
            <w:vAlign w:val="center"/>
          </w:tcPr>
          <w:p w14:paraId="76D1BB93">
            <w:pPr>
              <w:pStyle w:val="632"/>
              <w:tabs>
                <w:tab w:val="left" w:pos="-1080"/>
                <w:tab w:val="left" w:pos="180"/>
                <w:tab w:val="left" w:pos="1080"/>
              </w:tabs>
              <w:spacing w:line="240" w:lineRule="auto"/>
              <w:ind w:left="0" w:leftChars="0" w:firstLine="0" w:firstLineChars="0"/>
              <w:jc w:val="center"/>
              <w:rPr>
                <w:rFonts w:hint="eastAsia" w:ascii="华文中宋" w:hAnsi="华文中宋" w:eastAsia="华文中宋" w:cs="Times New Roman"/>
                <w:color w:val="auto"/>
                <w:sz w:val="24"/>
                <w:szCs w:val="22"/>
                <w:highlight w:val="none"/>
                <w:lang w:val="en-US" w:eastAsia="zh-CN" w:bidi="ar-SA"/>
              </w:rPr>
            </w:pPr>
          </w:p>
          <w:p w14:paraId="711E108D">
            <w:pPr>
              <w:pStyle w:val="632"/>
              <w:tabs>
                <w:tab w:val="left" w:pos="-1080"/>
                <w:tab w:val="left" w:pos="180"/>
                <w:tab w:val="left" w:pos="1080"/>
              </w:tabs>
              <w:spacing w:line="240" w:lineRule="auto"/>
              <w:ind w:left="0" w:leftChars="0" w:firstLine="0" w:firstLineChars="0"/>
              <w:jc w:val="center"/>
              <w:rPr>
                <w:rFonts w:hint="default" w:cs="宋体"/>
                <w:color w:val="auto"/>
                <w:kern w:val="2"/>
                <w:sz w:val="24"/>
                <w:szCs w:val="24"/>
                <w:highlight w:val="none"/>
                <w:shd w:val="clear" w:color="auto" w:fill="auto"/>
                <w:lang w:val="en-US" w:eastAsia="zh-CN" w:bidi="ar-SA"/>
              </w:rPr>
            </w:pPr>
            <w:r>
              <w:rPr>
                <w:rFonts w:hint="eastAsia" w:ascii="华文中宋" w:hAnsi="华文中宋" w:eastAsia="华文中宋" w:cs="Times New Roman"/>
                <w:color w:val="auto"/>
                <w:sz w:val="24"/>
                <w:szCs w:val="22"/>
                <w:highlight w:val="none"/>
                <w:lang w:val="en-US" w:eastAsia="zh-CN" w:bidi="ar-SA"/>
              </w:rPr>
              <w:t>0-5分</w:t>
            </w:r>
          </w:p>
        </w:tc>
      </w:tr>
      <w:tr w14:paraId="10743969">
        <w:tblPrEx>
          <w:tblCellMar>
            <w:top w:w="15" w:type="dxa"/>
            <w:left w:w="15" w:type="dxa"/>
            <w:bottom w:w="15" w:type="dxa"/>
            <w:right w:w="15" w:type="dxa"/>
          </w:tblCellMar>
        </w:tblPrEx>
        <w:trPr>
          <w:trHeight w:val="90" w:hRule="atLeast"/>
          <w:jc w:val="center"/>
        </w:trPr>
        <w:tc>
          <w:tcPr>
            <w:tcW w:w="1349" w:type="dxa"/>
            <w:vMerge w:val="restart"/>
            <w:tcBorders>
              <w:top w:val="single" w:color="auto" w:sz="4" w:space="0"/>
              <w:left w:val="single" w:color="000000" w:sz="4" w:space="0"/>
              <w:right w:val="single" w:color="000000" w:sz="4" w:space="0"/>
            </w:tcBorders>
            <w:vAlign w:val="center"/>
          </w:tcPr>
          <w:p w14:paraId="37AD2558">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center"/>
              <w:textAlignment w:val="auto"/>
              <w:rPr>
                <w:rStyle w:val="612"/>
                <w:rFonts w:hint="eastAsia" w:ascii="宋体" w:hAnsi="宋体" w:eastAsia="宋体" w:cs="宋体"/>
                <w:color w:val="auto"/>
                <w:kern w:val="2"/>
                <w:sz w:val="24"/>
                <w:szCs w:val="24"/>
                <w:highlight w:val="none"/>
                <w:lang w:val="en-US" w:eastAsia="zh-CN" w:bidi="ar-SA"/>
              </w:rPr>
            </w:pPr>
            <w:r>
              <w:rPr>
                <w:rStyle w:val="612"/>
                <w:rFonts w:hint="eastAsia" w:ascii="宋体" w:hAnsi="宋体" w:eastAsia="宋体" w:cs="宋体"/>
                <w:color w:val="auto"/>
                <w:kern w:val="2"/>
                <w:sz w:val="24"/>
                <w:szCs w:val="24"/>
                <w:highlight w:val="none"/>
                <w:lang w:val="en-US" w:eastAsia="zh-CN" w:bidi="ar-SA"/>
              </w:rPr>
              <w:t>项目实施方案</w:t>
            </w:r>
          </w:p>
        </w:tc>
        <w:tc>
          <w:tcPr>
            <w:tcW w:w="8351" w:type="dxa"/>
            <w:tcBorders>
              <w:top w:val="single" w:color="auto" w:sz="4" w:space="0"/>
              <w:left w:val="single" w:color="000000" w:sz="4" w:space="0"/>
              <w:bottom w:val="single" w:color="auto" w:sz="4" w:space="0"/>
              <w:right w:val="single" w:color="000000" w:sz="4" w:space="0"/>
            </w:tcBorders>
            <w:vAlign w:val="top"/>
          </w:tcPr>
          <w:p w14:paraId="73E70982">
            <w:pPr>
              <w:pStyle w:val="632"/>
              <w:tabs>
                <w:tab w:val="left" w:pos="-1080"/>
                <w:tab w:val="left" w:pos="180"/>
                <w:tab w:val="left" w:pos="1080"/>
              </w:tabs>
              <w:spacing w:line="240" w:lineRule="auto"/>
              <w:ind w:left="0" w:leftChars="0" w:firstLine="0" w:firstLineChars="0"/>
              <w:jc w:val="left"/>
              <w:rPr>
                <w:rStyle w:val="612"/>
                <w:rFonts w:hint="eastAsia" w:ascii="宋体" w:hAnsi="宋体" w:eastAsia="宋体" w:cs="宋体"/>
                <w:color w:val="auto"/>
                <w:kern w:val="2"/>
                <w:sz w:val="24"/>
                <w:szCs w:val="24"/>
                <w:highlight w:val="none"/>
                <w:lang w:eastAsia="zh-CN" w:bidi="ar-SA"/>
              </w:rPr>
            </w:pPr>
            <w:r>
              <w:rPr>
                <w:rStyle w:val="612"/>
                <w:rFonts w:hint="eastAsia" w:ascii="宋体" w:hAnsi="宋体" w:eastAsia="宋体" w:cs="宋体"/>
                <w:color w:val="auto"/>
                <w:kern w:val="2"/>
                <w:sz w:val="24"/>
                <w:szCs w:val="24"/>
                <w:highlight w:val="none"/>
                <w:lang w:val="en-US" w:eastAsia="zh-CN" w:bidi="ar-SA"/>
              </w:rPr>
              <w:t>根据投标人对本项目的前期理解程度，主要包括项目背景、项目依据和工作目的认识进行评分：</w:t>
            </w:r>
          </w:p>
          <w:p w14:paraId="39D94159">
            <w:pPr>
              <w:pStyle w:val="632"/>
              <w:tabs>
                <w:tab w:val="left" w:pos="-1080"/>
                <w:tab w:val="left" w:pos="180"/>
                <w:tab w:val="left" w:pos="1080"/>
              </w:tabs>
              <w:spacing w:line="240" w:lineRule="auto"/>
              <w:ind w:left="0" w:leftChars="0" w:firstLine="240" w:firstLineChars="100"/>
              <w:jc w:val="left"/>
              <w:rPr>
                <w:rStyle w:val="612"/>
                <w:rFonts w:hint="eastAsia" w:ascii="宋体" w:hAnsi="宋体" w:eastAsia="宋体" w:cs="宋体"/>
                <w:color w:val="auto"/>
                <w:kern w:val="2"/>
                <w:sz w:val="24"/>
                <w:szCs w:val="24"/>
                <w:highlight w:val="none"/>
                <w:lang w:val="en-US" w:eastAsia="zh-CN" w:bidi="ar-SA"/>
              </w:rPr>
            </w:pPr>
            <w:r>
              <w:rPr>
                <w:rStyle w:val="612"/>
                <w:rFonts w:hint="eastAsia" w:ascii="宋体" w:hAnsi="宋体" w:eastAsia="宋体" w:cs="宋体"/>
                <w:color w:val="auto"/>
                <w:kern w:val="2"/>
                <w:sz w:val="24"/>
                <w:szCs w:val="24"/>
                <w:highlight w:val="none"/>
                <w:lang w:eastAsia="zh-CN" w:bidi="ar-SA"/>
              </w:rPr>
              <w:t>对</w:t>
            </w:r>
            <w:r>
              <w:rPr>
                <w:rStyle w:val="612"/>
                <w:rFonts w:hint="eastAsia" w:ascii="宋体" w:hAnsi="宋体" w:eastAsia="宋体" w:cs="宋体"/>
                <w:color w:val="auto"/>
                <w:kern w:val="2"/>
                <w:sz w:val="24"/>
                <w:szCs w:val="24"/>
                <w:highlight w:val="none"/>
                <w:lang w:val="en-US" w:eastAsia="zh-CN" w:bidi="ar-SA"/>
              </w:rPr>
              <w:t>目背景、项目依据和工作目的认识</w:t>
            </w:r>
            <w:r>
              <w:rPr>
                <w:rStyle w:val="612"/>
                <w:rFonts w:hint="eastAsia" w:ascii="宋体" w:hAnsi="宋体" w:eastAsia="宋体" w:cs="宋体"/>
                <w:color w:val="auto"/>
                <w:kern w:val="2"/>
                <w:sz w:val="24"/>
                <w:szCs w:val="24"/>
                <w:highlight w:val="none"/>
                <w:lang w:eastAsia="zh-CN" w:bidi="ar-SA"/>
              </w:rPr>
              <w:t>精准、全面、详尽的得</w:t>
            </w:r>
            <w:r>
              <w:rPr>
                <w:rStyle w:val="612"/>
                <w:rFonts w:hint="eastAsia" w:ascii="宋体" w:hAnsi="宋体" w:eastAsia="宋体" w:cs="宋体"/>
                <w:color w:val="auto"/>
                <w:kern w:val="2"/>
                <w:sz w:val="24"/>
                <w:szCs w:val="24"/>
                <w:highlight w:val="none"/>
                <w:lang w:val="en-US" w:eastAsia="zh-CN" w:bidi="ar-SA"/>
              </w:rPr>
              <w:t>10-6</w:t>
            </w:r>
            <w:r>
              <w:rPr>
                <w:rStyle w:val="612"/>
                <w:rFonts w:hint="eastAsia" w:ascii="宋体" w:hAnsi="宋体" w:eastAsia="宋体" w:cs="宋体"/>
                <w:color w:val="auto"/>
                <w:kern w:val="2"/>
                <w:sz w:val="24"/>
                <w:szCs w:val="24"/>
                <w:highlight w:val="none"/>
                <w:lang w:eastAsia="zh-CN" w:bidi="ar-SA"/>
              </w:rPr>
              <w:t>分；对</w:t>
            </w:r>
            <w:r>
              <w:rPr>
                <w:rStyle w:val="612"/>
                <w:rFonts w:hint="eastAsia" w:ascii="宋体" w:hAnsi="宋体" w:eastAsia="宋体" w:cs="宋体"/>
                <w:color w:val="auto"/>
                <w:kern w:val="2"/>
                <w:sz w:val="24"/>
                <w:szCs w:val="24"/>
                <w:highlight w:val="none"/>
                <w:lang w:val="en-US" w:eastAsia="zh-CN" w:bidi="ar-SA"/>
              </w:rPr>
              <w:t>目背景、项目依据和工作目的认识</w:t>
            </w:r>
            <w:r>
              <w:rPr>
                <w:rStyle w:val="612"/>
                <w:rFonts w:hint="eastAsia" w:ascii="宋体" w:hAnsi="宋体" w:eastAsia="宋体" w:cs="宋体"/>
                <w:color w:val="auto"/>
                <w:kern w:val="2"/>
                <w:sz w:val="24"/>
                <w:szCs w:val="24"/>
                <w:highlight w:val="none"/>
                <w:lang w:eastAsia="zh-CN" w:bidi="ar-SA"/>
              </w:rPr>
              <w:t>的剖析在细节上略有欠缺的得</w:t>
            </w:r>
            <w:r>
              <w:rPr>
                <w:rStyle w:val="612"/>
                <w:rFonts w:hint="eastAsia" w:ascii="宋体" w:hAnsi="宋体" w:eastAsia="宋体" w:cs="宋体"/>
                <w:color w:val="auto"/>
                <w:kern w:val="2"/>
                <w:sz w:val="24"/>
                <w:szCs w:val="24"/>
                <w:highlight w:val="none"/>
                <w:lang w:val="en-US" w:eastAsia="zh-CN" w:bidi="ar-SA"/>
              </w:rPr>
              <w:t>5.9-3</w:t>
            </w:r>
            <w:r>
              <w:rPr>
                <w:rStyle w:val="612"/>
                <w:rFonts w:hint="eastAsia" w:ascii="宋体" w:hAnsi="宋体" w:eastAsia="宋体" w:cs="宋体"/>
                <w:color w:val="auto"/>
                <w:kern w:val="2"/>
                <w:sz w:val="24"/>
                <w:szCs w:val="24"/>
                <w:highlight w:val="none"/>
                <w:lang w:eastAsia="zh-CN" w:bidi="ar-SA"/>
              </w:rPr>
              <w:t>分；对</w:t>
            </w:r>
            <w:r>
              <w:rPr>
                <w:rStyle w:val="612"/>
                <w:rFonts w:hint="eastAsia" w:ascii="宋体" w:hAnsi="宋体" w:eastAsia="宋体" w:cs="宋体"/>
                <w:color w:val="auto"/>
                <w:kern w:val="2"/>
                <w:sz w:val="24"/>
                <w:szCs w:val="24"/>
                <w:highlight w:val="none"/>
                <w:lang w:val="en-US" w:eastAsia="zh-CN" w:bidi="ar-SA"/>
              </w:rPr>
              <w:t>目背景、项目依据和工作目的认识</w:t>
            </w:r>
            <w:r>
              <w:rPr>
                <w:rStyle w:val="612"/>
                <w:rFonts w:hint="eastAsia" w:ascii="宋体" w:hAnsi="宋体" w:eastAsia="宋体" w:cs="宋体"/>
                <w:color w:val="auto"/>
                <w:kern w:val="2"/>
                <w:sz w:val="24"/>
                <w:szCs w:val="24"/>
                <w:highlight w:val="none"/>
                <w:lang w:eastAsia="zh-CN" w:bidi="ar-SA"/>
              </w:rPr>
              <w:t>剖析片面、缺乏专业性的得</w:t>
            </w:r>
            <w:r>
              <w:rPr>
                <w:rStyle w:val="612"/>
                <w:rFonts w:hint="eastAsia" w:ascii="宋体" w:hAnsi="宋体" w:eastAsia="宋体" w:cs="宋体"/>
                <w:color w:val="auto"/>
                <w:kern w:val="2"/>
                <w:sz w:val="24"/>
                <w:szCs w:val="24"/>
                <w:highlight w:val="none"/>
                <w:lang w:val="en-US" w:eastAsia="zh-CN" w:bidi="ar-SA"/>
              </w:rPr>
              <w:t>2.9-0.1</w:t>
            </w:r>
            <w:r>
              <w:rPr>
                <w:rStyle w:val="612"/>
                <w:rFonts w:hint="eastAsia" w:ascii="宋体" w:hAnsi="宋体" w:eastAsia="宋体" w:cs="宋体"/>
                <w:color w:val="auto"/>
                <w:kern w:val="2"/>
                <w:sz w:val="24"/>
                <w:szCs w:val="24"/>
                <w:highlight w:val="none"/>
                <w:lang w:eastAsia="zh-CN" w:bidi="ar-SA"/>
              </w:rPr>
              <w:t>分；</w:t>
            </w:r>
            <w:r>
              <w:rPr>
                <w:rStyle w:val="612"/>
                <w:rFonts w:hint="eastAsia" w:ascii="宋体" w:hAnsi="宋体" w:eastAsia="宋体" w:cs="宋体"/>
                <w:color w:val="auto"/>
                <w:kern w:val="2"/>
                <w:sz w:val="24"/>
                <w:szCs w:val="24"/>
                <w:highlight w:val="none"/>
                <w:lang w:val="en-US" w:eastAsia="zh-CN" w:bidi="ar-SA"/>
              </w:rPr>
              <w:t>不提供</w:t>
            </w:r>
            <w:r>
              <w:rPr>
                <w:rStyle w:val="612"/>
                <w:rFonts w:hint="eastAsia" w:ascii="宋体" w:hAnsi="宋体" w:eastAsia="宋体" w:cs="宋体"/>
                <w:color w:val="auto"/>
                <w:kern w:val="2"/>
                <w:sz w:val="24"/>
                <w:szCs w:val="24"/>
                <w:highlight w:val="none"/>
                <w:lang w:eastAsia="zh-CN" w:bidi="ar-SA"/>
              </w:rPr>
              <w:t>不得分。</w:t>
            </w:r>
          </w:p>
        </w:tc>
        <w:tc>
          <w:tcPr>
            <w:tcW w:w="900" w:type="dxa"/>
            <w:tcBorders>
              <w:top w:val="single" w:color="000000" w:sz="4" w:space="0"/>
              <w:left w:val="single" w:color="000000" w:sz="4" w:space="0"/>
              <w:bottom w:val="single" w:color="000000" w:sz="4" w:space="0"/>
              <w:right w:val="single" w:color="000000" w:sz="4" w:space="0"/>
            </w:tcBorders>
            <w:vAlign w:val="center"/>
          </w:tcPr>
          <w:p w14:paraId="6D621761">
            <w:pPr>
              <w:pStyle w:val="632"/>
              <w:tabs>
                <w:tab w:val="left" w:pos="-1080"/>
                <w:tab w:val="left" w:pos="180"/>
                <w:tab w:val="left" w:pos="1080"/>
              </w:tabs>
              <w:spacing w:line="240" w:lineRule="auto"/>
              <w:ind w:left="0" w:leftChars="0" w:firstLine="0" w:firstLineChars="0"/>
              <w:jc w:val="center"/>
              <w:rPr>
                <w:rFonts w:hint="eastAsia" w:ascii="宋体" w:hAnsi="宋体" w:eastAsia="宋体" w:cs="宋体"/>
                <w:b/>
                <w:bCs/>
                <w:color w:val="auto"/>
                <w:kern w:val="2"/>
                <w:sz w:val="24"/>
                <w:szCs w:val="24"/>
                <w:highlight w:val="none"/>
                <w:lang w:val="en-US" w:eastAsia="zh-CN" w:bidi="ar-SA"/>
              </w:rPr>
            </w:pPr>
            <w:r>
              <w:rPr>
                <w:rFonts w:hint="eastAsia" w:ascii="华文中宋" w:hAnsi="华文中宋" w:eastAsia="华文中宋" w:cs="Times New Roman"/>
                <w:color w:val="auto"/>
                <w:sz w:val="24"/>
                <w:szCs w:val="22"/>
                <w:highlight w:val="none"/>
                <w:lang w:val="en-US" w:eastAsia="zh-CN" w:bidi="ar-SA"/>
              </w:rPr>
              <w:t>0-10分</w:t>
            </w:r>
          </w:p>
        </w:tc>
      </w:tr>
      <w:tr w14:paraId="595A2BE3">
        <w:tblPrEx>
          <w:tblCellMar>
            <w:top w:w="15" w:type="dxa"/>
            <w:left w:w="15" w:type="dxa"/>
            <w:bottom w:w="15" w:type="dxa"/>
            <w:right w:w="15" w:type="dxa"/>
          </w:tblCellMar>
        </w:tblPrEx>
        <w:trPr>
          <w:trHeight w:val="90" w:hRule="atLeast"/>
          <w:jc w:val="center"/>
        </w:trPr>
        <w:tc>
          <w:tcPr>
            <w:tcW w:w="1349" w:type="dxa"/>
            <w:vMerge w:val="continue"/>
            <w:tcBorders>
              <w:left w:val="single" w:color="000000" w:sz="4" w:space="0"/>
              <w:right w:val="single" w:color="000000" w:sz="4" w:space="0"/>
            </w:tcBorders>
            <w:vAlign w:val="center"/>
          </w:tcPr>
          <w:p w14:paraId="63F84E6E">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Style w:val="612"/>
                <w:rFonts w:hint="eastAsia" w:ascii="宋体" w:hAnsi="宋体" w:eastAsia="宋体" w:cs="宋体"/>
                <w:color w:val="auto"/>
                <w:kern w:val="2"/>
                <w:sz w:val="24"/>
                <w:szCs w:val="24"/>
                <w:highlight w:val="none"/>
                <w:lang w:eastAsia="zh-CN" w:bidi="ar-SA"/>
              </w:rPr>
            </w:pPr>
          </w:p>
        </w:tc>
        <w:tc>
          <w:tcPr>
            <w:tcW w:w="8351" w:type="dxa"/>
            <w:tcBorders>
              <w:top w:val="single" w:color="000000" w:sz="4" w:space="0"/>
              <w:left w:val="single" w:color="000000" w:sz="4" w:space="0"/>
              <w:right w:val="single" w:color="000000" w:sz="4" w:space="0"/>
            </w:tcBorders>
            <w:vAlign w:val="top"/>
          </w:tcPr>
          <w:p w14:paraId="35685FC0">
            <w:pPr>
              <w:pStyle w:val="632"/>
              <w:tabs>
                <w:tab w:val="left" w:pos="-1080"/>
                <w:tab w:val="left" w:pos="180"/>
                <w:tab w:val="left" w:pos="1080"/>
              </w:tabs>
              <w:spacing w:line="240" w:lineRule="auto"/>
              <w:ind w:left="0" w:leftChars="0" w:firstLine="0" w:firstLineChars="0"/>
              <w:jc w:val="left"/>
              <w:rPr>
                <w:rStyle w:val="612"/>
                <w:rFonts w:hint="eastAsia" w:ascii="宋体" w:hAnsi="宋体" w:eastAsia="宋体" w:cs="宋体"/>
                <w:color w:val="auto"/>
                <w:kern w:val="2"/>
                <w:sz w:val="24"/>
                <w:szCs w:val="24"/>
                <w:highlight w:val="none"/>
                <w:lang w:val="en-US" w:eastAsia="zh-CN" w:bidi="ar-SA"/>
              </w:rPr>
            </w:pPr>
            <w:r>
              <w:rPr>
                <w:rStyle w:val="612"/>
                <w:rFonts w:hint="eastAsia" w:ascii="宋体" w:hAnsi="宋体" w:eastAsia="宋体" w:cs="宋体"/>
                <w:color w:val="auto"/>
                <w:kern w:val="2"/>
                <w:sz w:val="24"/>
                <w:szCs w:val="24"/>
                <w:highlight w:val="none"/>
                <w:lang w:val="en-US" w:eastAsia="zh-CN" w:bidi="ar-SA"/>
              </w:rPr>
              <w:t>根据投标文件中的实施方案是否全面、是否切实可行，软硬件配置是否得当，是否符合本项目实际情况和采购文件提出的要求，由评委进行评分：</w:t>
            </w:r>
          </w:p>
          <w:p w14:paraId="21FB8951">
            <w:pPr>
              <w:pStyle w:val="632"/>
              <w:tabs>
                <w:tab w:val="left" w:pos="-1080"/>
                <w:tab w:val="left" w:pos="180"/>
                <w:tab w:val="left" w:pos="1080"/>
              </w:tabs>
              <w:spacing w:line="240" w:lineRule="auto"/>
              <w:ind w:left="0" w:leftChars="0" w:firstLine="0" w:firstLineChars="0"/>
              <w:jc w:val="left"/>
              <w:rPr>
                <w:rStyle w:val="612"/>
                <w:rFonts w:hint="default" w:ascii="宋体" w:hAnsi="宋体" w:eastAsia="宋体" w:cs="宋体"/>
                <w:color w:val="auto"/>
                <w:kern w:val="2"/>
                <w:sz w:val="24"/>
                <w:szCs w:val="24"/>
                <w:highlight w:val="none"/>
                <w:lang w:val="en-US" w:eastAsia="zh-CN" w:bidi="ar-SA"/>
              </w:rPr>
            </w:pPr>
            <w:r>
              <w:rPr>
                <w:rStyle w:val="612"/>
                <w:rFonts w:hint="eastAsia" w:ascii="宋体" w:hAnsi="宋体" w:eastAsia="宋体" w:cs="宋体"/>
                <w:color w:val="auto"/>
                <w:kern w:val="2"/>
                <w:sz w:val="24"/>
                <w:szCs w:val="24"/>
                <w:highlight w:val="none"/>
                <w:lang w:val="en-US" w:eastAsia="zh-CN" w:bidi="ar-SA"/>
              </w:rPr>
              <w:t>方</w:t>
            </w:r>
            <w:r>
              <w:rPr>
                <w:rStyle w:val="612"/>
                <w:rFonts w:hint="eastAsia" w:ascii="宋体" w:hAnsi="宋体" w:eastAsia="宋体" w:cs="宋体"/>
                <w:color w:val="auto"/>
                <w:kern w:val="2"/>
                <w:sz w:val="24"/>
                <w:szCs w:val="24"/>
                <w:highlight w:val="none"/>
                <w:lang w:eastAsia="zh-CN" w:bidi="ar-SA"/>
              </w:rPr>
              <w:t>案详尽、符合项目要求，可行性强的的</w:t>
            </w:r>
            <w:r>
              <w:rPr>
                <w:rStyle w:val="612"/>
                <w:rFonts w:hint="eastAsia" w:ascii="宋体" w:hAnsi="宋体" w:eastAsia="宋体" w:cs="宋体"/>
                <w:color w:val="auto"/>
                <w:kern w:val="2"/>
                <w:sz w:val="24"/>
                <w:szCs w:val="24"/>
                <w:highlight w:val="none"/>
                <w:lang w:val="en-US" w:eastAsia="zh-CN" w:bidi="ar-SA"/>
              </w:rPr>
              <w:t>7</w:t>
            </w:r>
            <w:r>
              <w:rPr>
                <w:rStyle w:val="612"/>
                <w:rFonts w:hint="eastAsia" w:ascii="宋体" w:hAnsi="宋体" w:eastAsia="宋体" w:cs="宋体"/>
                <w:color w:val="auto"/>
                <w:kern w:val="2"/>
                <w:sz w:val="24"/>
                <w:szCs w:val="24"/>
                <w:highlight w:val="none"/>
                <w:lang w:eastAsia="zh-CN" w:bidi="ar-SA"/>
              </w:rPr>
              <w:t>.1-</w:t>
            </w:r>
            <w:r>
              <w:rPr>
                <w:rStyle w:val="612"/>
                <w:rFonts w:hint="eastAsia" w:ascii="宋体" w:hAnsi="宋体" w:eastAsia="宋体" w:cs="宋体"/>
                <w:color w:val="auto"/>
                <w:kern w:val="2"/>
                <w:sz w:val="24"/>
                <w:szCs w:val="24"/>
                <w:highlight w:val="none"/>
                <w:lang w:val="en-US" w:eastAsia="zh-CN" w:bidi="ar-SA"/>
              </w:rPr>
              <w:t>12</w:t>
            </w:r>
            <w:r>
              <w:rPr>
                <w:rStyle w:val="612"/>
                <w:rFonts w:hint="eastAsia" w:ascii="宋体" w:hAnsi="宋体" w:eastAsia="宋体" w:cs="宋体"/>
                <w:color w:val="auto"/>
                <w:kern w:val="2"/>
                <w:sz w:val="24"/>
                <w:szCs w:val="24"/>
                <w:highlight w:val="none"/>
                <w:lang w:eastAsia="zh-CN" w:bidi="ar-SA"/>
              </w:rPr>
              <w:t>分，方案详尽、基本符合项目实际的，得</w:t>
            </w:r>
            <w:r>
              <w:rPr>
                <w:rStyle w:val="612"/>
                <w:rFonts w:hint="eastAsia" w:ascii="宋体" w:hAnsi="宋体" w:eastAsia="宋体" w:cs="宋体"/>
                <w:color w:val="auto"/>
                <w:kern w:val="2"/>
                <w:sz w:val="24"/>
                <w:szCs w:val="24"/>
                <w:highlight w:val="none"/>
                <w:lang w:val="en-US" w:eastAsia="zh-CN" w:bidi="ar-SA"/>
              </w:rPr>
              <w:t>3</w:t>
            </w:r>
            <w:r>
              <w:rPr>
                <w:rStyle w:val="612"/>
                <w:rFonts w:hint="eastAsia" w:ascii="宋体" w:hAnsi="宋体" w:eastAsia="宋体" w:cs="宋体"/>
                <w:color w:val="auto"/>
                <w:kern w:val="2"/>
                <w:sz w:val="24"/>
                <w:szCs w:val="24"/>
                <w:highlight w:val="none"/>
                <w:lang w:eastAsia="zh-CN" w:bidi="ar-SA"/>
              </w:rPr>
              <w:t>.1-</w:t>
            </w:r>
            <w:r>
              <w:rPr>
                <w:rStyle w:val="612"/>
                <w:rFonts w:hint="eastAsia" w:ascii="宋体" w:hAnsi="宋体" w:eastAsia="宋体" w:cs="宋体"/>
                <w:color w:val="auto"/>
                <w:kern w:val="2"/>
                <w:sz w:val="24"/>
                <w:szCs w:val="24"/>
                <w:highlight w:val="none"/>
                <w:lang w:val="en-US" w:eastAsia="zh-CN" w:bidi="ar-SA"/>
              </w:rPr>
              <w:t>7</w:t>
            </w:r>
            <w:r>
              <w:rPr>
                <w:rStyle w:val="612"/>
                <w:rFonts w:hint="eastAsia" w:ascii="宋体" w:hAnsi="宋体" w:eastAsia="宋体" w:cs="宋体"/>
                <w:color w:val="auto"/>
                <w:kern w:val="2"/>
                <w:sz w:val="24"/>
                <w:szCs w:val="24"/>
                <w:highlight w:val="none"/>
                <w:lang w:eastAsia="zh-CN" w:bidi="ar-SA"/>
              </w:rPr>
              <w:t>分，方案欠缺、可行性弱的，得0.1-</w:t>
            </w:r>
            <w:r>
              <w:rPr>
                <w:rStyle w:val="612"/>
                <w:rFonts w:hint="eastAsia" w:ascii="宋体" w:hAnsi="宋体" w:eastAsia="宋体" w:cs="宋体"/>
                <w:color w:val="auto"/>
                <w:kern w:val="2"/>
                <w:sz w:val="24"/>
                <w:szCs w:val="24"/>
                <w:highlight w:val="none"/>
                <w:lang w:val="en-US" w:eastAsia="zh-CN" w:bidi="ar-SA"/>
              </w:rPr>
              <w:t>3</w:t>
            </w:r>
            <w:r>
              <w:rPr>
                <w:rStyle w:val="612"/>
                <w:rFonts w:hint="eastAsia" w:ascii="宋体" w:hAnsi="宋体" w:eastAsia="宋体" w:cs="宋体"/>
                <w:color w:val="auto"/>
                <w:kern w:val="2"/>
                <w:sz w:val="24"/>
                <w:szCs w:val="24"/>
                <w:highlight w:val="none"/>
                <w:lang w:eastAsia="zh-CN" w:bidi="ar-SA"/>
              </w:rPr>
              <w:t>分，不提供不得分。</w:t>
            </w:r>
          </w:p>
        </w:tc>
        <w:tc>
          <w:tcPr>
            <w:tcW w:w="900" w:type="dxa"/>
            <w:tcBorders>
              <w:top w:val="single" w:color="000000" w:sz="4" w:space="0"/>
              <w:left w:val="single" w:color="000000" w:sz="4" w:space="0"/>
              <w:bottom w:val="single" w:color="000000" w:sz="4" w:space="0"/>
              <w:right w:val="single" w:color="000000" w:sz="4" w:space="0"/>
            </w:tcBorders>
            <w:vAlign w:val="center"/>
          </w:tcPr>
          <w:p w14:paraId="1C98BCED">
            <w:pPr>
              <w:pStyle w:val="632"/>
              <w:tabs>
                <w:tab w:val="left" w:pos="-1080"/>
                <w:tab w:val="left" w:pos="180"/>
                <w:tab w:val="left" w:pos="1080"/>
              </w:tabs>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华文中宋" w:hAnsi="华文中宋" w:eastAsia="华文中宋" w:cs="Times New Roman"/>
                <w:color w:val="auto"/>
                <w:sz w:val="24"/>
                <w:szCs w:val="22"/>
                <w:highlight w:val="none"/>
                <w:lang w:val="en-US" w:eastAsia="zh-CN" w:bidi="ar-SA"/>
              </w:rPr>
              <w:t>0-12分</w:t>
            </w:r>
          </w:p>
        </w:tc>
      </w:tr>
      <w:tr w14:paraId="15B65F73">
        <w:tblPrEx>
          <w:tblCellMar>
            <w:top w:w="15" w:type="dxa"/>
            <w:left w:w="15" w:type="dxa"/>
            <w:bottom w:w="15" w:type="dxa"/>
            <w:right w:w="15" w:type="dxa"/>
          </w:tblCellMar>
        </w:tblPrEx>
        <w:trPr>
          <w:trHeight w:val="931" w:hRule="atLeast"/>
          <w:jc w:val="center"/>
        </w:trPr>
        <w:tc>
          <w:tcPr>
            <w:tcW w:w="1349" w:type="dxa"/>
            <w:vMerge w:val="continue"/>
            <w:tcBorders>
              <w:left w:val="single" w:color="000000" w:sz="4" w:space="0"/>
              <w:right w:val="single" w:color="000000" w:sz="4" w:space="0"/>
            </w:tcBorders>
            <w:vAlign w:val="center"/>
          </w:tcPr>
          <w:p w14:paraId="681A728E">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spacing w:line="360" w:lineRule="auto"/>
              <w:ind w:right="0" w:rightChars="0"/>
              <w:jc w:val="center"/>
              <w:textAlignment w:val="auto"/>
              <w:rPr>
                <w:rStyle w:val="612"/>
                <w:rFonts w:hint="eastAsia" w:ascii="宋体" w:hAnsi="宋体" w:eastAsia="宋体" w:cs="宋体"/>
                <w:color w:val="auto"/>
                <w:kern w:val="2"/>
                <w:sz w:val="24"/>
                <w:szCs w:val="24"/>
                <w:highlight w:val="none"/>
                <w:lang w:val="en-US" w:eastAsia="zh-CN" w:bidi="ar-SA"/>
              </w:rPr>
            </w:pPr>
          </w:p>
        </w:tc>
        <w:tc>
          <w:tcPr>
            <w:tcW w:w="8351" w:type="dxa"/>
            <w:tcBorders>
              <w:top w:val="single" w:color="000000" w:sz="4" w:space="0"/>
              <w:left w:val="single" w:color="000000" w:sz="4" w:space="0"/>
              <w:bottom w:val="single" w:color="auto" w:sz="4" w:space="0"/>
              <w:right w:val="single" w:color="000000" w:sz="4" w:space="0"/>
            </w:tcBorders>
            <w:vAlign w:val="top"/>
          </w:tcPr>
          <w:p w14:paraId="48F82813">
            <w:pPr>
              <w:pStyle w:val="632"/>
              <w:tabs>
                <w:tab w:val="left" w:pos="-1080"/>
                <w:tab w:val="left" w:pos="180"/>
                <w:tab w:val="left" w:pos="1080"/>
              </w:tabs>
              <w:spacing w:line="240" w:lineRule="auto"/>
              <w:ind w:left="0" w:leftChars="0" w:firstLine="0" w:firstLineChars="0"/>
              <w:jc w:val="left"/>
              <w:rPr>
                <w:rStyle w:val="612"/>
                <w:rFonts w:hint="eastAsia" w:ascii="宋体" w:hAnsi="宋体" w:eastAsia="宋体" w:cs="宋体"/>
                <w:color w:val="auto"/>
                <w:kern w:val="2"/>
                <w:sz w:val="24"/>
                <w:szCs w:val="24"/>
                <w:highlight w:val="none"/>
                <w:lang w:val="en-US" w:eastAsia="zh-CN" w:bidi="ar-SA"/>
              </w:rPr>
            </w:pPr>
            <w:r>
              <w:rPr>
                <w:rStyle w:val="612"/>
                <w:rFonts w:hint="eastAsia" w:ascii="宋体" w:hAnsi="宋体" w:eastAsia="宋体" w:cs="宋体"/>
                <w:color w:val="auto"/>
                <w:kern w:val="2"/>
                <w:sz w:val="24"/>
                <w:szCs w:val="24"/>
                <w:highlight w:val="none"/>
                <w:lang w:val="en-US" w:eastAsia="zh-CN" w:bidi="ar-SA"/>
              </w:rPr>
              <w:t>根据投标人提供的评估审核质量保证措施（审核制度等）由评委进行评分：方</w:t>
            </w:r>
            <w:r>
              <w:rPr>
                <w:rStyle w:val="612"/>
                <w:rFonts w:hint="eastAsia" w:ascii="宋体" w:hAnsi="宋体" w:eastAsia="宋体" w:cs="宋体"/>
                <w:color w:val="auto"/>
                <w:kern w:val="2"/>
                <w:sz w:val="24"/>
                <w:szCs w:val="24"/>
                <w:highlight w:val="none"/>
                <w:lang w:eastAsia="zh-CN" w:bidi="ar-SA"/>
              </w:rPr>
              <w:t>案详尽、符合项目要求，可行性强的的</w:t>
            </w:r>
            <w:r>
              <w:rPr>
                <w:rStyle w:val="612"/>
                <w:rFonts w:hint="eastAsia" w:ascii="宋体" w:hAnsi="宋体" w:eastAsia="宋体" w:cs="宋体"/>
                <w:color w:val="auto"/>
                <w:kern w:val="2"/>
                <w:sz w:val="24"/>
                <w:szCs w:val="24"/>
                <w:highlight w:val="none"/>
                <w:lang w:val="en-US" w:eastAsia="zh-CN" w:bidi="ar-SA"/>
              </w:rPr>
              <w:t>6</w:t>
            </w:r>
            <w:r>
              <w:rPr>
                <w:rStyle w:val="612"/>
                <w:rFonts w:hint="eastAsia" w:ascii="宋体" w:hAnsi="宋体" w:eastAsia="宋体" w:cs="宋体"/>
                <w:color w:val="auto"/>
                <w:kern w:val="2"/>
                <w:sz w:val="24"/>
                <w:szCs w:val="24"/>
                <w:highlight w:val="none"/>
                <w:lang w:eastAsia="zh-CN" w:bidi="ar-SA"/>
              </w:rPr>
              <w:t>.1-</w:t>
            </w:r>
            <w:r>
              <w:rPr>
                <w:rStyle w:val="612"/>
                <w:rFonts w:hint="eastAsia" w:ascii="宋体" w:hAnsi="宋体" w:eastAsia="宋体" w:cs="宋体"/>
                <w:color w:val="auto"/>
                <w:kern w:val="2"/>
                <w:sz w:val="24"/>
                <w:szCs w:val="24"/>
                <w:highlight w:val="none"/>
                <w:lang w:val="en-US" w:eastAsia="zh-CN" w:bidi="ar-SA"/>
              </w:rPr>
              <w:t>10</w:t>
            </w:r>
            <w:r>
              <w:rPr>
                <w:rStyle w:val="612"/>
                <w:rFonts w:hint="eastAsia" w:ascii="宋体" w:hAnsi="宋体" w:eastAsia="宋体" w:cs="宋体"/>
                <w:color w:val="auto"/>
                <w:kern w:val="2"/>
                <w:sz w:val="24"/>
                <w:szCs w:val="24"/>
                <w:highlight w:val="none"/>
                <w:lang w:eastAsia="zh-CN" w:bidi="ar-SA"/>
              </w:rPr>
              <w:t>分，方案详尽、基本符合项目实际的，得</w:t>
            </w:r>
            <w:r>
              <w:rPr>
                <w:rStyle w:val="612"/>
                <w:rFonts w:hint="eastAsia" w:ascii="宋体" w:hAnsi="宋体" w:eastAsia="宋体" w:cs="宋体"/>
                <w:color w:val="auto"/>
                <w:kern w:val="2"/>
                <w:sz w:val="24"/>
                <w:szCs w:val="24"/>
                <w:highlight w:val="none"/>
                <w:lang w:val="en-US" w:eastAsia="zh-CN" w:bidi="ar-SA"/>
              </w:rPr>
              <w:t>3</w:t>
            </w:r>
            <w:r>
              <w:rPr>
                <w:rStyle w:val="612"/>
                <w:rFonts w:hint="eastAsia" w:ascii="宋体" w:hAnsi="宋体" w:eastAsia="宋体" w:cs="宋体"/>
                <w:color w:val="auto"/>
                <w:kern w:val="2"/>
                <w:sz w:val="24"/>
                <w:szCs w:val="24"/>
                <w:highlight w:val="none"/>
                <w:lang w:eastAsia="zh-CN" w:bidi="ar-SA"/>
              </w:rPr>
              <w:t>.1-</w:t>
            </w:r>
            <w:r>
              <w:rPr>
                <w:rStyle w:val="612"/>
                <w:rFonts w:hint="eastAsia" w:ascii="宋体" w:hAnsi="宋体" w:eastAsia="宋体" w:cs="宋体"/>
                <w:color w:val="auto"/>
                <w:kern w:val="2"/>
                <w:sz w:val="24"/>
                <w:szCs w:val="24"/>
                <w:highlight w:val="none"/>
                <w:lang w:val="en-US" w:eastAsia="zh-CN" w:bidi="ar-SA"/>
              </w:rPr>
              <w:t>6</w:t>
            </w:r>
            <w:r>
              <w:rPr>
                <w:rStyle w:val="612"/>
                <w:rFonts w:hint="eastAsia" w:ascii="宋体" w:hAnsi="宋体" w:eastAsia="宋体" w:cs="宋体"/>
                <w:color w:val="auto"/>
                <w:kern w:val="2"/>
                <w:sz w:val="24"/>
                <w:szCs w:val="24"/>
                <w:highlight w:val="none"/>
                <w:lang w:eastAsia="zh-CN" w:bidi="ar-SA"/>
              </w:rPr>
              <w:t>分，方案欠缺、可行性弱的，得0.1-</w:t>
            </w:r>
            <w:r>
              <w:rPr>
                <w:rStyle w:val="612"/>
                <w:rFonts w:hint="eastAsia" w:ascii="宋体" w:hAnsi="宋体" w:eastAsia="宋体" w:cs="宋体"/>
                <w:color w:val="auto"/>
                <w:kern w:val="2"/>
                <w:sz w:val="24"/>
                <w:szCs w:val="24"/>
                <w:highlight w:val="none"/>
                <w:lang w:val="en-US" w:eastAsia="zh-CN" w:bidi="ar-SA"/>
              </w:rPr>
              <w:t>3</w:t>
            </w:r>
            <w:r>
              <w:rPr>
                <w:rStyle w:val="612"/>
                <w:rFonts w:hint="eastAsia" w:ascii="宋体" w:hAnsi="宋体" w:eastAsia="宋体" w:cs="宋体"/>
                <w:color w:val="auto"/>
                <w:kern w:val="2"/>
                <w:sz w:val="24"/>
                <w:szCs w:val="24"/>
                <w:highlight w:val="none"/>
                <w:lang w:eastAsia="zh-CN" w:bidi="ar-SA"/>
              </w:rPr>
              <w:t>分，不提供不得分。</w:t>
            </w:r>
          </w:p>
        </w:tc>
        <w:tc>
          <w:tcPr>
            <w:tcW w:w="900" w:type="dxa"/>
            <w:tcBorders>
              <w:top w:val="single" w:color="000000" w:sz="4" w:space="0"/>
              <w:left w:val="single" w:color="000000" w:sz="4" w:space="0"/>
              <w:bottom w:val="single" w:color="000000" w:sz="4" w:space="0"/>
              <w:right w:val="single" w:color="000000" w:sz="4" w:space="0"/>
            </w:tcBorders>
            <w:vAlign w:val="center"/>
          </w:tcPr>
          <w:p w14:paraId="774CA256">
            <w:pPr>
              <w:pStyle w:val="632"/>
              <w:tabs>
                <w:tab w:val="left" w:pos="-1080"/>
                <w:tab w:val="left" w:pos="180"/>
                <w:tab w:val="left" w:pos="1080"/>
              </w:tabs>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华文中宋" w:hAnsi="华文中宋" w:eastAsia="华文中宋" w:cs="Times New Roman"/>
                <w:color w:val="auto"/>
                <w:sz w:val="24"/>
                <w:szCs w:val="22"/>
                <w:highlight w:val="none"/>
                <w:lang w:val="en-US" w:eastAsia="zh-CN" w:bidi="ar-SA"/>
              </w:rPr>
              <w:t>0-10分</w:t>
            </w:r>
          </w:p>
        </w:tc>
      </w:tr>
      <w:tr w14:paraId="4633CE31">
        <w:tblPrEx>
          <w:tblCellMar>
            <w:top w:w="15" w:type="dxa"/>
            <w:left w:w="15" w:type="dxa"/>
            <w:bottom w:w="15" w:type="dxa"/>
            <w:right w:w="15" w:type="dxa"/>
          </w:tblCellMar>
        </w:tblPrEx>
        <w:trPr>
          <w:trHeight w:val="423" w:hRule="atLeast"/>
          <w:jc w:val="center"/>
        </w:trPr>
        <w:tc>
          <w:tcPr>
            <w:tcW w:w="1349" w:type="dxa"/>
            <w:vMerge w:val="continue"/>
            <w:tcBorders>
              <w:left w:val="single" w:color="000000" w:sz="4" w:space="0"/>
              <w:right w:val="single" w:color="000000" w:sz="4" w:space="0"/>
            </w:tcBorders>
            <w:vAlign w:val="center"/>
          </w:tcPr>
          <w:p w14:paraId="1B6F748C">
            <w:pPr>
              <w:pStyle w:val="19"/>
              <w:pageBreakBefore w:val="0"/>
              <w:kinsoku/>
              <w:wordWrap/>
              <w:overflowPunct/>
              <w:topLinePunct w:val="0"/>
              <w:bidi w:val="0"/>
              <w:spacing w:line="360" w:lineRule="auto"/>
              <w:ind w:left="0" w:leftChars="0" w:right="0" w:rightChars="0" w:firstLine="0" w:firstLineChars="0"/>
              <w:jc w:val="center"/>
              <w:textAlignment w:val="auto"/>
              <w:rPr>
                <w:rStyle w:val="612"/>
                <w:rFonts w:hint="eastAsia" w:ascii="宋体" w:hAnsi="宋体" w:eastAsia="宋体" w:cs="宋体"/>
                <w:color w:val="auto"/>
                <w:kern w:val="2"/>
                <w:sz w:val="24"/>
                <w:szCs w:val="24"/>
                <w:highlight w:val="none"/>
                <w:lang w:val="en-US" w:eastAsia="zh-CN" w:bidi="ar-SA"/>
              </w:rPr>
            </w:pPr>
          </w:p>
        </w:tc>
        <w:tc>
          <w:tcPr>
            <w:tcW w:w="8351" w:type="dxa"/>
            <w:tcBorders>
              <w:top w:val="single" w:color="000000" w:sz="4" w:space="0"/>
              <w:left w:val="single" w:color="000000" w:sz="4" w:space="0"/>
              <w:bottom w:val="single" w:color="auto" w:sz="4" w:space="0"/>
              <w:right w:val="single" w:color="000000" w:sz="4" w:space="0"/>
            </w:tcBorders>
            <w:vAlign w:val="top"/>
          </w:tcPr>
          <w:p w14:paraId="26DB0114">
            <w:pPr>
              <w:pStyle w:val="632"/>
              <w:tabs>
                <w:tab w:val="left" w:pos="-1080"/>
                <w:tab w:val="left" w:pos="180"/>
                <w:tab w:val="left" w:pos="1080"/>
              </w:tabs>
              <w:spacing w:line="240" w:lineRule="auto"/>
              <w:ind w:left="0" w:leftChars="0" w:firstLine="0" w:firstLineChars="0"/>
              <w:jc w:val="left"/>
              <w:rPr>
                <w:rStyle w:val="612"/>
                <w:rFonts w:hint="eastAsia" w:ascii="宋体" w:hAnsi="宋体" w:eastAsia="宋体" w:cs="宋体"/>
                <w:color w:val="auto"/>
                <w:kern w:val="2"/>
                <w:sz w:val="24"/>
                <w:szCs w:val="24"/>
                <w:highlight w:val="none"/>
                <w:lang w:val="en-US" w:eastAsia="zh-CN" w:bidi="ar-SA"/>
              </w:rPr>
            </w:pPr>
            <w:r>
              <w:rPr>
                <w:rStyle w:val="612"/>
                <w:rFonts w:hint="eastAsia" w:ascii="宋体" w:hAnsi="宋体" w:eastAsia="宋体" w:cs="宋体"/>
                <w:color w:val="auto"/>
                <w:kern w:val="2"/>
                <w:sz w:val="24"/>
                <w:szCs w:val="24"/>
                <w:highlight w:val="none"/>
                <w:lang w:val="en-US" w:eastAsia="zh-CN" w:bidi="ar-SA"/>
              </w:rPr>
              <w:t>根据投标人提供的评估流程，审核流程由评委进行评分：流程</w:t>
            </w:r>
            <w:r>
              <w:rPr>
                <w:rStyle w:val="612"/>
                <w:rFonts w:hint="eastAsia" w:ascii="宋体" w:hAnsi="宋体" w:eastAsia="宋体" w:cs="宋体"/>
                <w:color w:val="auto"/>
                <w:kern w:val="2"/>
                <w:sz w:val="24"/>
                <w:szCs w:val="24"/>
                <w:highlight w:val="none"/>
                <w:lang w:eastAsia="zh-CN" w:bidi="ar-SA"/>
              </w:rPr>
              <w:t>详尽、符合项目要求，可行性强的的</w:t>
            </w:r>
            <w:r>
              <w:rPr>
                <w:rStyle w:val="612"/>
                <w:rFonts w:hint="eastAsia" w:ascii="宋体" w:hAnsi="宋体" w:eastAsia="宋体" w:cs="宋体"/>
                <w:color w:val="auto"/>
                <w:kern w:val="2"/>
                <w:sz w:val="24"/>
                <w:szCs w:val="24"/>
                <w:highlight w:val="none"/>
                <w:lang w:val="en-US" w:eastAsia="zh-CN" w:bidi="ar-SA"/>
              </w:rPr>
              <w:t>6</w:t>
            </w:r>
            <w:r>
              <w:rPr>
                <w:rStyle w:val="612"/>
                <w:rFonts w:hint="eastAsia" w:ascii="宋体" w:hAnsi="宋体" w:eastAsia="宋体" w:cs="宋体"/>
                <w:color w:val="auto"/>
                <w:kern w:val="2"/>
                <w:sz w:val="24"/>
                <w:szCs w:val="24"/>
                <w:highlight w:val="none"/>
                <w:lang w:eastAsia="zh-CN" w:bidi="ar-SA"/>
              </w:rPr>
              <w:t>.1-</w:t>
            </w:r>
            <w:r>
              <w:rPr>
                <w:rStyle w:val="612"/>
                <w:rFonts w:hint="eastAsia" w:ascii="宋体" w:hAnsi="宋体" w:eastAsia="宋体" w:cs="宋体"/>
                <w:color w:val="auto"/>
                <w:kern w:val="2"/>
                <w:sz w:val="24"/>
                <w:szCs w:val="24"/>
                <w:highlight w:val="none"/>
                <w:lang w:val="en-US" w:eastAsia="zh-CN" w:bidi="ar-SA"/>
              </w:rPr>
              <w:t>10</w:t>
            </w:r>
            <w:r>
              <w:rPr>
                <w:rStyle w:val="612"/>
                <w:rFonts w:hint="eastAsia" w:ascii="宋体" w:hAnsi="宋体" w:eastAsia="宋体" w:cs="宋体"/>
                <w:color w:val="auto"/>
                <w:kern w:val="2"/>
                <w:sz w:val="24"/>
                <w:szCs w:val="24"/>
                <w:highlight w:val="none"/>
                <w:lang w:eastAsia="zh-CN" w:bidi="ar-SA"/>
              </w:rPr>
              <w:t>分，</w:t>
            </w:r>
            <w:r>
              <w:rPr>
                <w:rStyle w:val="612"/>
                <w:rFonts w:hint="eastAsia" w:ascii="宋体" w:hAnsi="宋体" w:eastAsia="宋体" w:cs="宋体"/>
                <w:color w:val="auto"/>
                <w:kern w:val="2"/>
                <w:sz w:val="24"/>
                <w:szCs w:val="24"/>
                <w:highlight w:val="none"/>
                <w:lang w:val="en-US" w:eastAsia="zh-CN" w:bidi="ar-SA"/>
              </w:rPr>
              <w:t>流程</w:t>
            </w:r>
            <w:r>
              <w:rPr>
                <w:rStyle w:val="612"/>
                <w:rFonts w:hint="eastAsia" w:ascii="宋体" w:hAnsi="宋体" w:eastAsia="宋体" w:cs="宋体"/>
                <w:color w:val="auto"/>
                <w:kern w:val="2"/>
                <w:sz w:val="24"/>
                <w:szCs w:val="24"/>
                <w:highlight w:val="none"/>
                <w:lang w:eastAsia="zh-CN" w:bidi="ar-SA"/>
              </w:rPr>
              <w:t>详尽、基本符合项目实际的，得</w:t>
            </w:r>
            <w:r>
              <w:rPr>
                <w:rStyle w:val="612"/>
                <w:rFonts w:hint="eastAsia" w:ascii="宋体" w:hAnsi="宋体" w:eastAsia="宋体" w:cs="宋体"/>
                <w:color w:val="auto"/>
                <w:kern w:val="2"/>
                <w:sz w:val="24"/>
                <w:szCs w:val="24"/>
                <w:highlight w:val="none"/>
                <w:lang w:val="en-US" w:eastAsia="zh-CN" w:bidi="ar-SA"/>
              </w:rPr>
              <w:t>3</w:t>
            </w:r>
            <w:r>
              <w:rPr>
                <w:rStyle w:val="612"/>
                <w:rFonts w:hint="eastAsia" w:ascii="宋体" w:hAnsi="宋体" w:eastAsia="宋体" w:cs="宋体"/>
                <w:color w:val="auto"/>
                <w:kern w:val="2"/>
                <w:sz w:val="24"/>
                <w:szCs w:val="24"/>
                <w:highlight w:val="none"/>
                <w:lang w:eastAsia="zh-CN" w:bidi="ar-SA"/>
              </w:rPr>
              <w:t>.1-</w:t>
            </w:r>
            <w:r>
              <w:rPr>
                <w:rStyle w:val="612"/>
                <w:rFonts w:hint="eastAsia" w:ascii="宋体" w:hAnsi="宋体" w:eastAsia="宋体" w:cs="宋体"/>
                <w:color w:val="auto"/>
                <w:kern w:val="2"/>
                <w:sz w:val="24"/>
                <w:szCs w:val="24"/>
                <w:highlight w:val="none"/>
                <w:lang w:val="en-US" w:eastAsia="zh-CN" w:bidi="ar-SA"/>
              </w:rPr>
              <w:t>6</w:t>
            </w:r>
            <w:r>
              <w:rPr>
                <w:rStyle w:val="612"/>
                <w:rFonts w:hint="eastAsia" w:ascii="宋体" w:hAnsi="宋体" w:eastAsia="宋体" w:cs="宋体"/>
                <w:color w:val="auto"/>
                <w:kern w:val="2"/>
                <w:sz w:val="24"/>
                <w:szCs w:val="24"/>
                <w:highlight w:val="none"/>
                <w:lang w:eastAsia="zh-CN" w:bidi="ar-SA"/>
              </w:rPr>
              <w:t>分，</w:t>
            </w:r>
            <w:r>
              <w:rPr>
                <w:rStyle w:val="612"/>
                <w:rFonts w:hint="eastAsia" w:ascii="宋体" w:hAnsi="宋体" w:eastAsia="宋体" w:cs="宋体"/>
                <w:color w:val="auto"/>
                <w:kern w:val="2"/>
                <w:sz w:val="24"/>
                <w:szCs w:val="24"/>
                <w:highlight w:val="none"/>
                <w:lang w:val="en-US" w:eastAsia="zh-CN" w:bidi="ar-SA"/>
              </w:rPr>
              <w:t>流程</w:t>
            </w:r>
            <w:r>
              <w:rPr>
                <w:rStyle w:val="612"/>
                <w:rFonts w:hint="eastAsia" w:ascii="宋体" w:hAnsi="宋体" w:eastAsia="宋体" w:cs="宋体"/>
                <w:color w:val="auto"/>
                <w:kern w:val="2"/>
                <w:sz w:val="24"/>
                <w:szCs w:val="24"/>
                <w:highlight w:val="none"/>
                <w:lang w:eastAsia="zh-CN" w:bidi="ar-SA"/>
              </w:rPr>
              <w:t>欠缺、可行性弱的，得0.1-</w:t>
            </w:r>
            <w:r>
              <w:rPr>
                <w:rStyle w:val="612"/>
                <w:rFonts w:hint="eastAsia" w:ascii="宋体" w:hAnsi="宋体" w:eastAsia="宋体" w:cs="宋体"/>
                <w:color w:val="auto"/>
                <w:kern w:val="2"/>
                <w:sz w:val="24"/>
                <w:szCs w:val="24"/>
                <w:highlight w:val="none"/>
                <w:lang w:val="en-US" w:eastAsia="zh-CN" w:bidi="ar-SA"/>
              </w:rPr>
              <w:t>3</w:t>
            </w:r>
            <w:r>
              <w:rPr>
                <w:rStyle w:val="612"/>
                <w:rFonts w:hint="eastAsia" w:ascii="宋体" w:hAnsi="宋体" w:eastAsia="宋体" w:cs="宋体"/>
                <w:color w:val="auto"/>
                <w:kern w:val="2"/>
                <w:sz w:val="24"/>
                <w:szCs w:val="24"/>
                <w:highlight w:val="none"/>
                <w:lang w:eastAsia="zh-CN" w:bidi="ar-SA"/>
              </w:rPr>
              <w:t>分，不提供不得分。</w:t>
            </w:r>
          </w:p>
        </w:tc>
        <w:tc>
          <w:tcPr>
            <w:tcW w:w="900" w:type="dxa"/>
            <w:tcBorders>
              <w:top w:val="single" w:color="000000" w:sz="4" w:space="0"/>
              <w:left w:val="single" w:color="000000" w:sz="4" w:space="0"/>
              <w:bottom w:val="single" w:color="000000" w:sz="4" w:space="0"/>
              <w:right w:val="single" w:color="000000" w:sz="4" w:space="0"/>
            </w:tcBorders>
            <w:vAlign w:val="center"/>
          </w:tcPr>
          <w:p w14:paraId="42809801">
            <w:pPr>
              <w:pStyle w:val="632"/>
              <w:tabs>
                <w:tab w:val="left" w:pos="-1080"/>
                <w:tab w:val="left" w:pos="180"/>
                <w:tab w:val="left" w:pos="1080"/>
              </w:tabs>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华文中宋" w:hAnsi="华文中宋" w:eastAsia="华文中宋" w:cs="Times New Roman"/>
                <w:color w:val="auto"/>
                <w:sz w:val="24"/>
                <w:szCs w:val="22"/>
                <w:highlight w:val="none"/>
                <w:lang w:val="en-US" w:eastAsia="zh-CN" w:bidi="ar-SA"/>
              </w:rPr>
              <w:t>0-10分</w:t>
            </w:r>
          </w:p>
        </w:tc>
      </w:tr>
      <w:tr w14:paraId="6C31BAB0">
        <w:tblPrEx>
          <w:tblCellMar>
            <w:top w:w="15" w:type="dxa"/>
            <w:left w:w="15" w:type="dxa"/>
            <w:bottom w:w="15" w:type="dxa"/>
            <w:right w:w="15" w:type="dxa"/>
          </w:tblCellMar>
        </w:tblPrEx>
        <w:trPr>
          <w:trHeight w:val="423" w:hRule="atLeast"/>
          <w:jc w:val="center"/>
        </w:trPr>
        <w:tc>
          <w:tcPr>
            <w:tcW w:w="1349" w:type="dxa"/>
            <w:vMerge w:val="continue"/>
            <w:tcBorders>
              <w:left w:val="single" w:color="000000" w:sz="4" w:space="0"/>
              <w:right w:val="single" w:color="000000" w:sz="4" w:space="0"/>
            </w:tcBorders>
            <w:vAlign w:val="center"/>
          </w:tcPr>
          <w:p w14:paraId="4655DF60">
            <w:pPr>
              <w:pStyle w:val="19"/>
              <w:pageBreakBefore w:val="0"/>
              <w:kinsoku/>
              <w:wordWrap/>
              <w:overflowPunct/>
              <w:topLinePunct w:val="0"/>
              <w:bidi w:val="0"/>
              <w:spacing w:line="360" w:lineRule="auto"/>
              <w:ind w:left="0" w:leftChars="0" w:right="0" w:rightChars="0" w:firstLine="0" w:firstLineChars="0"/>
              <w:jc w:val="center"/>
              <w:textAlignment w:val="auto"/>
              <w:rPr>
                <w:rStyle w:val="612"/>
                <w:rFonts w:hint="eastAsia" w:ascii="宋体" w:hAnsi="宋体" w:eastAsia="宋体" w:cs="宋体"/>
                <w:color w:val="auto"/>
                <w:kern w:val="2"/>
                <w:sz w:val="24"/>
                <w:szCs w:val="24"/>
                <w:highlight w:val="none"/>
                <w:lang w:val="en-US" w:eastAsia="zh-CN" w:bidi="ar-SA"/>
              </w:rPr>
            </w:pPr>
          </w:p>
        </w:tc>
        <w:tc>
          <w:tcPr>
            <w:tcW w:w="8351" w:type="dxa"/>
            <w:tcBorders>
              <w:top w:val="single" w:color="000000" w:sz="4" w:space="0"/>
              <w:left w:val="single" w:color="000000" w:sz="4" w:space="0"/>
              <w:bottom w:val="single" w:color="auto" w:sz="4" w:space="0"/>
              <w:right w:val="single" w:color="000000" w:sz="4" w:space="0"/>
            </w:tcBorders>
            <w:vAlign w:val="top"/>
          </w:tcPr>
          <w:p w14:paraId="3A02BC2B">
            <w:pPr>
              <w:pStyle w:val="632"/>
              <w:tabs>
                <w:tab w:val="left" w:pos="-1080"/>
                <w:tab w:val="left" w:pos="180"/>
                <w:tab w:val="left" w:pos="1080"/>
              </w:tabs>
              <w:spacing w:line="240" w:lineRule="auto"/>
              <w:ind w:left="0" w:leftChars="0" w:firstLine="0" w:firstLineChars="0"/>
              <w:jc w:val="left"/>
              <w:rPr>
                <w:rStyle w:val="612"/>
                <w:rFonts w:hint="eastAsia" w:ascii="宋体" w:hAnsi="宋体" w:eastAsia="宋体" w:cs="宋体"/>
                <w:color w:val="auto"/>
                <w:kern w:val="2"/>
                <w:sz w:val="24"/>
                <w:szCs w:val="24"/>
                <w:highlight w:val="none"/>
                <w:lang w:val="en-US" w:eastAsia="zh-CN" w:bidi="ar-SA"/>
              </w:rPr>
            </w:pPr>
            <w:r>
              <w:rPr>
                <w:rStyle w:val="612"/>
                <w:rFonts w:hint="eastAsia" w:ascii="宋体" w:hAnsi="宋体" w:eastAsia="宋体" w:cs="宋体"/>
                <w:color w:val="auto"/>
                <w:kern w:val="2"/>
                <w:sz w:val="24"/>
                <w:szCs w:val="24"/>
                <w:highlight w:val="none"/>
                <w:lang w:val="en-US" w:eastAsia="zh-CN" w:bidi="ar-SA"/>
              </w:rPr>
              <w:t>根据投标人对项目重点、难点的把握情况以及提出的合理化建议和措施情况，由评委进行评分：建议和措施</w:t>
            </w:r>
            <w:r>
              <w:rPr>
                <w:rStyle w:val="612"/>
                <w:rFonts w:hint="eastAsia" w:ascii="宋体" w:hAnsi="宋体" w:eastAsia="宋体" w:cs="宋体"/>
                <w:color w:val="auto"/>
                <w:kern w:val="2"/>
                <w:sz w:val="24"/>
                <w:szCs w:val="24"/>
                <w:highlight w:val="none"/>
                <w:lang w:eastAsia="zh-CN" w:bidi="ar-SA"/>
              </w:rPr>
              <w:t>详尽、符合项目要求，可行性强的的</w:t>
            </w:r>
            <w:r>
              <w:rPr>
                <w:rStyle w:val="612"/>
                <w:rFonts w:hint="eastAsia" w:ascii="宋体" w:hAnsi="宋体" w:eastAsia="宋体" w:cs="宋体"/>
                <w:color w:val="auto"/>
                <w:kern w:val="2"/>
                <w:sz w:val="24"/>
                <w:szCs w:val="24"/>
                <w:highlight w:val="none"/>
                <w:lang w:val="en-US" w:eastAsia="zh-CN" w:bidi="ar-SA"/>
              </w:rPr>
              <w:t>4</w:t>
            </w:r>
            <w:r>
              <w:rPr>
                <w:rStyle w:val="612"/>
                <w:rFonts w:hint="eastAsia" w:ascii="宋体" w:hAnsi="宋体" w:eastAsia="宋体" w:cs="宋体"/>
                <w:color w:val="auto"/>
                <w:kern w:val="2"/>
                <w:sz w:val="24"/>
                <w:szCs w:val="24"/>
                <w:highlight w:val="none"/>
                <w:lang w:eastAsia="zh-CN" w:bidi="ar-SA"/>
              </w:rPr>
              <w:t>.1-</w:t>
            </w:r>
            <w:r>
              <w:rPr>
                <w:rStyle w:val="612"/>
                <w:rFonts w:hint="eastAsia" w:ascii="宋体" w:hAnsi="宋体" w:eastAsia="宋体" w:cs="宋体"/>
                <w:color w:val="auto"/>
                <w:kern w:val="2"/>
                <w:sz w:val="24"/>
                <w:szCs w:val="24"/>
                <w:highlight w:val="none"/>
                <w:lang w:val="en-US" w:eastAsia="zh-CN" w:bidi="ar-SA"/>
              </w:rPr>
              <w:t>6</w:t>
            </w:r>
            <w:r>
              <w:rPr>
                <w:rStyle w:val="612"/>
                <w:rFonts w:hint="eastAsia" w:ascii="宋体" w:hAnsi="宋体" w:eastAsia="宋体" w:cs="宋体"/>
                <w:color w:val="auto"/>
                <w:kern w:val="2"/>
                <w:sz w:val="24"/>
                <w:szCs w:val="24"/>
                <w:highlight w:val="none"/>
                <w:lang w:eastAsia="zh-CN" w:bidi="ar-SA"/>
              </w:rPr>
              <w:t>分，</w:t>
            </w:r>
            <w:r>
              <w:rPr>
                <w:rStyle w:val="612"/>
                <w:rFonts w:hint="eastAsia" w:ascii="宋体" w:hAnsi="宋体" w:eastAsia="宋体" w:cs="宋体"/>
                <w:color w:val="auto"/>
                <w:kern w:val="2"/>
                <w:sz w:val="24"/>
                <w:szCs w:val="24"/>
                <w:highlight w:val="none"/>
                <w:lang w:val="en-US" w:eastAsia="zh-CN" w:bidi="ar-SA"/>
              </w:rPr>
              <w:t>建议和措施</w:t>
            </w:r>
            <w:r>
              <w:rPr>
                <w:rStyle w:val="612"/>
                <w:rFonts w:hint="eastAsia" w:ascii="宋体" w:hAnsi="宋体" w:eastAsia="宋体" w:cs="宋体"/>
                <w:color w:val="auto"/>
                <w:kern w:val="2"/>
                <w:sz w:val="24"/>
                <w:szCs w:val="24"/>
                <w:highlight w:val="none"/>
                <w:lang w:eastAsia="zh-CN" w:bidi="ar-SA"/>
              </w:rPr>
              <w:t>详尽、基本符合项目实际的，得</w:t>
            </w:r>
            <w:r>
              <w:rPr>
                <w:rStyle w:val="612"/>
                <w:rFonts w:hint="eastAsia" w:ascii="宋体" w:hAnsi="宋体" w:eastAsia="宋体" w:cs="宋体"/>
                <w:color w:val="auto"/>
                <w:kern w:val="2"/>
                <w:sz w:val="24"/>
                <w:szCs w:val="24"/>
                <w:highlight w:val="none"/>
                <w:lang w:val="en-US" w:eastAsia="zh-CN" w:bidi="ar-SA"/>
              </w:rPr>
              <w:t>2</w:t>
            </w:r>
            <w:r>
              <w:rPr>
                <w:rStyle w:val="612"/>
                <w:rFonts w:hint="eastAsia" w:ascii="宋体" w:hAnsi="宋体" w:eastAsia="宋体" w:cs="宋体"/>
                <w:color w:val="auto"/>
                <w:kern w:val="2"/>
                <w:sz w:val="24"/>
                <w:szCs w:val="24"/>
                <w:highlight w:val="none"/>
                <w:lang w:eastAsia="zh-CN" w:bidi="ar-SA"/>
              </w:rPr>
              <w:t>.1-</w:t>
            </w:r>
            <w:r>
              <w:rPr>
                <w:rStyle w:val="612"/>
                <w:rFonts w:hint="eastAsia" w:ascii="宋体" w:hAnsi="宋体" w:eastAsia="宋体" w:cs="宋体"/>
                <w:color w:val="auto"/>
                <w:kern w:val="2"/>
                <w:sz w:val="24"/>
                <w:szCs w:val="24"/>
                <w:highlight w:val="none"/>
                <w:lang w:val="en-US" w:eastAsia="zh-CN" w:bidi="ar-SA"/>
              </w:rPr>
              <w:t>4</w:t>
            </w:r>
            <w:r>
              <w:rPr>
                <w:rStyle w:val="612"/>
                <w:rFonts w:hint="eastAsia" w:ascii="宋体" w:hAnsi="宋体" w:eastAsia="宋体" w:cs="宋体"/>
                <w:color w:val="auto"/>
                <w:kern w:val="2"/>
                <w:sz w:val="24"/>
                <w:szCs w:val="24"/>
                <w:highlight w:val="none"/>
                <w:lang w:eastAsia="zh-CN" w:bidi="ar-SA"/>
              </w:rPr>
              <w:t>分，</w:t>
            </w:r>
            <w:r>
              <w:rPr>
                <w:rStyle w:val="612"/>
                <w:rFonts w:hint="eastAsia" w:ascii="宋体" w:hAnsi="宋体" w:eastAsia="宋体" w:cs="宋体"/>
                <w:color w:val="auto"/>
                <w:kern w:val="2"/>
                <w:sz w:val="24"/>
                <w:szCs w:val="24"/>
                <w:highlight w:val="none"/>
                <w:lang w:val="en-US" w:eastAsia="zh-CN" w:bidi="ar-SA"/>
              </w:rPr>
              <w:t>建议和措施</w:t>
            </w:r>
            <w:r>
              <w:rPr>
                <w:rStyle w:val="612"/>
                <w:rFonts w:hint="eastAsia" w:ascii="宋体" w:hAnsi="宋体" w:eastAsia="宋体" w:cs="宋体"/>
                <w:color w:val="auto"/>
                <w:kern w:val="2"/>
                <w:sz w:val="24"/>
                <w:szCs w:val="24"/>
                <w:highlight w:val="none"/>
                <w:lang w:eastAsia="zh-CN" w:bidi="ar-SA"/>
              </w:rPr>
              <w:t>欠缺、可行性弱的，得0.1-</w:t>
            </w:r>
            <w:r>
              <w:rPr>
                <w:rStyle w:val="612"/>
                <w:rFonts w:hint="eastAsia" w:ascii="宋体" w:hAnsi="宋体" w:eastAsia="宋体" w:cs="宋体"/>
                <w:color w:val="auto"/>
                <w:kern w:val="2"/>
                <w:sz w:val="24"/>
                <w:szCs w:val="24"/>
                <w:highlight w:val="none"/>
                <w:lang w:val="en-US" w:eastAsia="zh-CN" w:bidi="ar-SA"/>
              </w:rPr>
              <w:t>2</w:t>
            </w:r>
            <w:r>
              <w:rPr>
                <w:rStyle w:val="612"/>
                <w:rFonts w:hint="eastAsia" w:ascii="宋体" w:hAnsi="宋体" w:eastAsia="宋体" w:cs="宋体"/>
                <w:color w:val="auto"/>
                <w:kern w:val="2"/>
                <w:sz w:val="24"/>
                <w:szCs w:val="24"/>
                <w:highlight w:val="none"/>
                <w:lang w:eastAsia="zh-CN" w:bidi="ar-SA"/>
              </w:rPr>
              <w:t>分，不提供不得分。</w:t>
            </w:r>
          </w:p>
        </w:tc>
        <w:tc>
          <w:tcPr>
            <w:tcW w:w="900" w:type="dxa"/>
            <w:tcBorders>
              <w:top w:val="single" w:color="000000" w:sz="4" w:space="0"/>
              <w:left w:val="single" w:color="000000" w:sz="4" w:space="0"/>
              <w:bottom w:val="single" w:color="000000" w:sz="4" w:space="0"/>
              <w:right w:val="single" w:color="000000" w:sz="4" w:space="0"/>
            </w:tcBorders>
            <w:vAlign w:val="center"/>
          </w:tcPr>
          <w:p w14:paraId="4FF89133">
            <w:pPr>
              <w:pStyle w:val="632"/>
              <w:tabs>
                <w:tab w:val="left" w:pos="-1080"/>
                <w:tab w:val="left" w:pos="180"/>
                <w:tab w:val="left" w:pos="1080"/>
              </w:tabs>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华文中宋" w:hAnsi="华文中宋" w:eastAsia="华文中宋" w:cs="Times New Roman"/>
                <w:color w:val="auto"/>
                <w:sz w:val="24"/>
                <w:szCs w:val="22"/>
                <w:highlight w:val="none"/>
                <w:lang w:val="en-US" w:eastAsia="zh-CN" w:bidi="ar-SA"/>
              </w:rPr>
              <w:t>0-6分</w:t>
            </w:r>
          </w:p>
        </w:tc>
      </w:tr>
      <w:tr w14:paraId="5683AE99">
        <w:tblPrEx>
          <w:tblCellMar>
            <w:top w:w="15" w:type="dxa"/>
            <w:left w:w="15" w:type="dxa"/>
            <w:bottom w:w="15" w:type="dxa"/>
            <w:right w:w="15" w:type="dxa"/>
          </w:tblCellMar>
        </w:tblPrEx>
        <w:trPr>
          <w:trHeight w:val="423" w:hRule="atLeast"/>
          <w:jc w:val="center"/>
        </w:trPr>
        <w:tc>
          <w:tcPr>
            <w:tcW w:w="1349" w:type="dxa"/>
            <w:vMerge w:val="continue"/>
            <w:tcBorders>
              <w:left w:val="single" w:color="000000" w:sz="4" w:space="0"/>
              <w:right w:val="single" w:color="000000" w:sz="4" w:space="0"/>
            </w:tcBorders>
            <w:vAlign w:val="center"/>
          </w:tcPr>
          <w:p w14:paraId="1298503A">
            <w:pPr>
              <w:pStyle w:val="19"/>
              <w:pageBreakBefore w:val="0"/>
              <w:kinsoku/>
              <w:wordWrap/>
              <w:overflowPunct/>
              <w:topLinePunct w:val="0"/>
              <w:bidi w:val="0"/>
              <w:spacing w:line="360" w:lineRule="auto"/>
              <w:ind w:left="0" w:leftChars="0" w:right="0" w:rightChars="0" w:firstLine="0" w:firstLineChars="0"/>
              <w:jc w:val="center"/>
              <w:textAlignment w:val="auto"/>
              <w:rPr>
                <w:rStyle w:val="612"/>
                <w:rFonts w:hint="eastAsia" w:ascii="宋体" w:hAnsi="宋体" w:eastAsia="宋体" w:cs="宋体"/>
                <w:color w:val="auto"/>
                <w:kern w:val="2"/>
                <w:sz w:val="24"/>
                <w:szCs w:val="24"/>
                <w:highlight w:val="none"/>
                <w:lang w:val="en-US" w:eastAsia="zh-CN" w:bidi="ar-SA"/>
              </w:rPr>
            </w:pPr>
          </w:p>
        </w:tc>
        <w:tc>
          <w:tcPr>
            <w:tcW w:w="8351" w:type="dxa"/>
            <w:tcBorders>
              <w:top w:val="single" w:color="000000" w:sz="4" w:space="0"/>
              <w:left w:val="single" w:color="000000" w:sz="4" w:space="0"/>
              <w:bottom w:val="single" w:color="auto" w:sz="4" w:space="0"/>
              <w:right w:val="single" w:color="000000" w:sz="4" w:space="0"/>
            </w:tcBorders>
            <w:vAlign w:val="top"/>
          </w:tcPr>
          <w:p w14:paraId="3BA0F949">
            <w:pPr>
              <w:pStyle w:val="632"/>
              <w:tabs>
                <w:tab w:val="left" w:pos="-1080"/>
                <w:tab w:val="left" w:pos="180"/>
                <w:tab w:val="left" w:pos="1080"/>
              </w:tabs>
              <w:spacing w:line="240" w:lineRule="auto"/>
              <w:ind w:left="0" w:leftChars="0" w:firstLine="0" w:firstLineChars="0"/>
              <w:jc w:val="left"/>
              <w:rPr>
                <w:rStyle w:val="612"/>
                <w:rFonts w:hint="eastAsia" w:ascii="宋体" w:hAnsi="宋体" w:eastAsia="宋体" w:cs="宋体"/>
                <w:color w:val="auto"/>
                <w:kern w:val="2"/>
                <w:sz w:val="24"/>
                <w:szCs w:val="24"/>
                <w:highlight w:val="none"/>
                <w:lang w:val="en-US" w:eastAsia="zh-CN" w:bidi="ar-SA"/>
              </w:rPr>
            </w:pPr>
            <w:r>
              <w:rPr>
                <w:rStyle w:val="612"/>
                <w:rFonts w:hint="eastAsia" w:ascii="宋体" w:hAnsi="宋体" w:eastAsia="宋体" w:cs="宋体"/>
                <w:color w:val="auto"/>
                <w:kern w:val="2"/>
                <w:sz w:val="24"/>
                <w:szCs w:val="24"/>
                <w:highlight w:val="none"/>
                <w:lang w:val="en-US" w:eastAsia="zh-CN" w:bidi="ar-SA"/>
              </w:rPr>
              <w:t>根据投标人对项目整体进度安排、各阶段详细工作计划及进度保障措施由评委进行评分：措施</w:t>
            </w:r>
            <w:r>
              <w:rPr>
                <w:rStyle w:val="612"/>
                <w:rFonts w:hint="eastAsia" w:ascii="宋体" w:hAnsi="宋体" w:eastAsia="宋体" w:cs="宋体"/>
                <w:color w:val="auto"/>
                <w:kern w:val="2"/>
                <w:sz w:val="24"/>
                <w:szCs w:val="24"/>
                <w:highlight w:val="none"/>
                <w:lang w:eastAsia="zh-CN" w:bidi="ar-SA"/>
              </w:rPr>
              <w:t>详尽、符合项目要求，可行性强的的</w:t>
            </w:r>
            <w:r>
              <w:rPr>
                <w:rStyle w:val="612"/>
                <w:rFonts w:hint="eastAsia" w:ascii="宋体" w:hAnsi="宋体" w:eastAsia="宋体" w:cs="宋体"/>
                <w:color w:val="auto"/>
                <w:kern w:val="2"/>
                <w:sz w:val="24"/>
                <w:szCs w:val="24"/>
                <w:highlight w:val="none"/>
                <w:lang w:val="en-US" w:eastAsia="zh-CN" w:bidi="ar-SA"/>
              </w:rPr>
              <w:t>6</w:t>
            </w:r>
            <w:r>
              <w:rPr>
                <w:rStyle w:val="612"/>
                <w:rFonts w:hint="eastAsia" w:ascii="宋体" w:hAnsi="宋体" w:eastAsia="宋体" w:cs="宋体"/>
                <w:color w:val="auto"/>
                <w:kern w:val="2"/>
                <w:sz w:val="24"/>
                <w:szCs w:val="24"/>
                <w:highlight w:val="none"/>
                <w:lang w:eastAsia="zh-CN" w:bidi="ar-SA"/>
              </w:rPr>
              <w:t>.1-</w:t>
            </w:r>
            <w:r>
              <w:rPr>
                <w:rStyle w:val="612"/>
                <w:rFonts w:hint="eastAsia" w:ascii="宋体" w:hAnsi="宋体" w:eastAsia="宋体" w:cs="宋体"/>
                <w:color w:val="auto"/>
                <w:kern w:val="2"/>
                <w:sz w:val="24"/>
                <w:szCs w:val="24"/>
                <w:highlight w:val="none"/>
                <w:lang w:val="en-US" w:eastAsia="zh-CN" w:bidi="ar-SA"/>
              </w:rPr>
              <w:t>10</w:t>
            </w:r>
            <w:r>
              <w:rPr>
                <w:rStyle w:val="612"/>
                <w:rFonts w:hint="eastAsia" w:ascii="宋体" w:hAnsi="宋体" w:eastAsia="宋体" w:cs="宋体"/>
                <w:color w:val="auto"/>
                <w:kern w:val="2"/>
                <w:sz w:val="24"/>
                <w:szCs w:val="24"/>
                <w:highlight w:val="none"/>
                <w:lang w:eastAsia="zh-CN" w:bidi="ar-SA"/>
              </w:rPr>
              <w:t>分，</w:t>
            </w:r>
            <w:r>
              <w:rPr>
                <w:rStyle w:val="612"/>
                <w:rFonts w:hint="eastAsia" w:ascii="宋体" w:hAnsi="宋体" w:eastAsia="宋体" w:cs="宋体"/>
                <w:color w:val="auto"/>
                <w:kern w:val="2"/>
                <w:sz w:val="24"/>
                <w:szCs w:val="24"/>
                <w:highlight w:val="none"/>
                <w:lang w:val="en-US" w:eastAsia="zh-CN" w:bidi="ar-SA"/>
              </w:rPr>
              <w:t>措施</w:t>
            </w:r>
            <w:r>
              <w:rPr>
                <w:rStyle w:val="612"/>
                <w:rFonts w:hint="eastAsia" w:ascii="宋体" w:hAnsi="宋体" w:eastAsia="宋体" w:cs="宋体"/>
                <w:color w:val="auto"/>
                <w:kern w:val="2"/>
                <w:sz w:val="24"/>
                <w:szCs w:val="24"/>
                <w:highlight w:val="none"/>
                <w:lang w:eastAsia="zh-CN" w:bidi="ar-SA"/>
              </w:rPr>
              <w:t>详尽、基本符合项目实际的，得</w:t>
            </w:r>
            <w:r>
              <w:rPr>
                <w:rStyle w:val="612"/>
                <w:rFonts w:hint="eastAsia" w:ascii="宋体" w:hAnsi="宋体" w:eastAsia="宋体" w:cs="宋体"/>
                <w:color w:val="auto"/>
                <w:kern w:val="2"/>
                <w:sz w:val="24"/>
                <w:szCs w:val="24"/>
                <w:highlight w:val="none"/>
                <w:lang w:val="en-US" w:eastAsia="zh-CN" w:bidi="ar-SA"/>
              </w:rPr>
              <w:t>2</w:t>
            </w:r>
            <w:r>
              <w:rPr>
                <w:rStyle w:val="612"/>
                <w:rFonts w:hint="eastAsia" w:ascii="宋体" w:hAnsi="宋体" w:eastAsia="宋体" w:cs="宋体"/>
                <w:color w:val="auto"/>
                <w:kern w:val="2"/>
                <w:sz w:val="24"/>
                <w:szCs w:val="24"/>
                <w:highlight w:val="none"/>
                <w:lang w:eastAsia="zh-CN" w:bidi="ar-SA"/>
              </w:rPr>
              <w:t>.1-</w:t>
            </w:r>
            <w:r>
              <w:rPr>
                <w:rStyle w:val="612"/>
                <w:rFonts w:hint="eastAsia" w:ascii="宋体" w:hAnsi="宋体" w:eastAsia="宋体" w:cs="宋体"/>
                <w:color w:val="auto"/>
                <w:kern w:val="2"/>
                <w:sz w:val="24"/>
                <w:szCs w:val="24"/>
                <w:highlight w:val="none"/>
                <w:lang w:val="en-US" w:eastAsia="zh-CN" w:bidi="ar-SA"/>
              </w:rPr>
              <w:t>6</w:t>
            </w:r>
            <w:r>
              <w:rPr>
                <w:rStyle w:val="612"/>
                <w:rFonts w:hint="eastAsia" w:ascii="宋体" w:hAnsi="宋体" w:eastAsia="宋体" w:cs="宋体"/>
                <w:color w:val="auto"/>
                <w:kern w:val="2"/>
                <w:sz w:val="24"/>
                <w:szCs w:val="24"/>
                <w:highlight w:val="none"/>
                <w:lang w:eastAsia="zh-CN" w:bidi="ar-SA"/>
              </w:rPr>
              <w:t>分，</w:t>
            </w:r>
            <w:r>
              <w:rPr>
                <w:rStyle w:val="612"/>
                <w:rFonts w:hint="eastAsia" w:ascii="宋体" w:hAnsi="宋体" w:eastAsia="宋体" w:cs="宋体"/>
                <w:color w:val="auto"/>
                <w:kern w:val="2"/>
                <w:sz w:val="24"/>
                <w:szCs w:val="24"/>
                <w:highlight w:val="none"/>
                <w:lang w:val="en-US" w:eastAsia="zh-CN" w:bidi="ar-SA"/>
              </w:rPr>
              <w:t>措施</w:t>
            </w:r>
            <w:r>
              <w:rPr>
                <w:rStyle w:val="612"/>
                <w:rFonts w:hint="eastAsia" w:ascii="宋体" w:hAnsi="宋体" w:eastAsia="宋体" w:cs="宋体"/>
                <w:color w:val="auto"/>
                <w:kern w:val="2"/>
                <w:sz w:val="24"/>
                <w:szCs w:val="24"/>
                <w:highlight w:val="none"/>
                <w:lang w:eastAsia="zh-CN" w:bidi="ar-SA"/>
              </w:rPr>
              <w:t>欠缺、可行性弱的，得0.1-</w:t>
            </w:r>
            <w:r>
              <w:rPr>
                <w:rStyle w:val="612"/>
                <w:rFonts w:hint="eastAsia" w:ascii="宋体" w:hAnsi="宋体" w:eastAsia="宋体" w:cs="宋体"/>
                <w:color w:val="auto"/>
                <w:kern w:val="2"/>
                <w:sz w:val="24"/>
                <w:szCs w:val="24"/>
                <w:highlight w:val="none"/>
                <w:lang w:val="en-US" w:eastAsia="zh-CN" w:bidi="ar-SA"/>
              </w:rPr>
              <w:t>2</w:t>
            </w:r>
            <w:r>
              <w:rPr>
                <w:rStyle w:val="612"/>
                <w:rFonts w:hint="eastAsia" w:ascii="宋体" w:hAnsi="宋体" w:eastAsia="宋体" w:cs="宋体"/>
                <w:color w:val="auto"/>
                <w:kern w:val="2"/>
                <w:sz w:val="24"/>
                <w:szCs w:val="24"/>
                <w:highlight w:val="none"/>
                <w:lang w:eastAsia="zh-CN" w:bidi="ar-SA"/>
              </w:rPr>
              <w:t>分，不提供不得分。</w:t>
            </w:r>
          </w:p>
        </w:tc>
        <w:tc>
          <w:tcPr>
            <w:tcW w:w="900" w:type="dxa"/>
            <w:tcBorders>
              <w:top w:val="single" w:color="000000" w:sz="4" w:space="0"/>
              <w:left w:val="single" w:color="000000" w:sz="4" w:space="0"/>
              <w:bottom w:val="single" w:color="000000" w:sz="4" w:space="0"/>
              <w:right w:val="single" w:color="000000" w:sz="4" w:space="0"/>
            </w:tcBorders>
            <w:vAlign w:val="center"/>
          </w:tcPr>
          <w:p w14:paraId="3F758E33">
            <w:pPr>
              <w:pStyle w:val="632"/>
              <w:tabs>
                <w:tab w:val="left" w:pos="-1080"/>
                <w:tab w:val="left" w:pos="180"/>
                <w:tab w:val="left" w:pos="1080"/>
              </w:tabs>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华文中宋" w:hAnsi="华文中宋" w:eastAsia="华文中宋" w:cs="Times New Roman"/>
                <w:color w:val="auto"/>
                <w:sz w:val="24"/>
                <w:szCs w:val="22"/>
                <w:highlight w:val="none"/>
                <w:lang w:val="en-US" w:eastAsia="zh-CN" w:bidi="ar-SA"/>
              </w:rPr>
              <w:t>0-10分</w:t>
            </w:r>
          </w:p>
        </w:tc>
      </w:tr>
      <w:tr w14:paraId="545112B9">
        <w:tblPrEx>
          <w:tblCellMar>
            <w:top w:w="15" w:type="dxa"/>
            <w:left w:w="15" w:type="dxa"/>
            <w:bottom w:w="15" w:type="dxa"/>
            <w:right w:w="15" w:type="dxa"/>
          </w:tblCellMar>
        </w:tblPrEx>
        <w:trPr>
          <w:trHeight w:val="423" w:hRule="atLeast"/>
          <w:jc w:val="center"/>
        </w:trPr>
        <w:tc>
          <w:tcPr>
            <w:tcW w:w="1349" w:type="dxa"/>
            <w:vMerge w:val="continue"/>
            <w:tcBorders>
              <w:left w:val="single" w:color="000000" w:sz="4" w:space="0"/>
              <w:bottom w:val="single" w:color="auto" w:sz="4" w:space="0"/>
              <w:right w:val="single" w:color="000000" w:sz="4" w:space="0"/>
            </w:tcBorders>
            <w:vAlign w:val="center"/>
          </w:tcPr>
          <w:p w14:paraId="31BDA077">
            <w:pPr>
              <w:pStyle w:val="19"/>
              <w:pageBreakBefore w:val="0"/>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8351" w:type="dxa"/>
            <w:tcBorders>
              <w:top w:val="single" w:color="000000" w:sz="4" w:space="0"/>
              <w:left w:val="single" w:color="000000" w:sz="4" w:space="0"/>
              <w:bottom w:val="single" w:color="auto" w:sz="4" w:space="0"/>
              <w:right w:val="single" w:color="000000" w:sz="4" w:space="0"/>
            </w:tcBorders>
            <w:vAlign w:val="top"/>
          </w:tcPr>
          <w:p w14:paraId="635687AC">
            <w:pPr>
              <w:pStyle w:val="632"/>
              <w:tabs>
                <w:tab w:val="left" w:pos="-1080"/>
                <w:tab w:val="left" w:pos="180"/>
                <w:tab w:val="left" w:pos="1080"/>
              </w:tabs>
              <w:spacing w:line="240" w:lineRule="auto"/>
              <w:ind w:left="0" w:leftChars="0" w:firstLine="0" w:firstLineChars="0"/>
              <w:jc w:val="left"/>
              <w:rPr>
                <w:rFonts w:hint="eastAsia" w:ascii="宋体" w:hAnsi="宋体" w:eastAsia="宋体" w:cs="宋体"/>
                <w:color w:val="auto"/>
                <w:kern w:val="2"/>
                <w:sz w:val="24"/>
                <w:szCs w:val="24"/>
                <w:highlight w:val="none"/>
                <w:lang w:val="en-US" w:eastAsia="zh-CN"/>
              </w:rPr>
            </w:pPr>
            <w:bookmarkStart w:id="106" w:name="_GoBack"/>
            <w:r>
              <w:rPr>
                <w:rFonts w:hint="eastAsia" w:ascii="华文中宋" w:hAnsi="华文中宋" w:eastAsia="华文中宋" w:cs="Times New Roman"/>
                <w:color w:val="auto"/>
                <w:sz w:val="24"/>
                <w:szCs w:val="22"/>
                <w:highlight w:val="none"/>
                <w:lang w:val="en-US" w:eastAsia="zh-CN" w:bidi="ar-SA"/>
              </w:rPr>
              <w:t>根据投标人提供的服务承诺（时效性，响应时间、自我处罚）</w:t>
            </w:r>
            <w:r>
              <w:rPr>
                <w:rStyle w:val="612"/>
                <w:rFonts w:hint="eastAsia" w:ascii="宋体" w:hAnsi="宋体" w:eastAsia="宋体" w:cs="宋体"/>
                <w:color w:val="auto"/>
                <w:kern w:val="2"/>
                <w:sz w:val="24"/>
                <w:szCs w:val="24"/>
                <w:highlight w:val="none"/>
                <w:lang w:val="en-US" w:eastAsia="zh-CN" w:bidi="ar-SA"/>
              </w:rPr>
              <w:t>由评委进行评分：</w:t>
            </w:r>
            <w:r>
              <w:rPr>
                <w:rFonts w:hint="eastAsia" w:ascii="华文中宋" w:hAnsi="华文中宋" w:eastAsia="华文中宋" w:cs="Times New Roman"/>
                <w:color w:val="auto"/>
                <w:sz w:val="24"/>
                <w:szCs w:val="22"/>
                <w:highlight w:val="none"/>
                <w:lang w:val="en-US" w:eastAsia="zh-CN" w:bidi="ar-SA"/>
              </w:rPr>
              <w:t>服务承诺</w:t>
            </w:r>
            <w:r>
              <w:rPr>
                <w:rStyle w:val="612"/>
                <w:rFonts w:hint="eastAsia" w:ascii="宋体" w:hAnsi="宋体" w:eastAsia="宋体" w:cs="宋体"/>
                <w:color w:val="auto"/>
                <w:kern w:val="2"/>
                <w:sz w:val="24"/>
                <w:szCs w:val="24"/>
                <w:highlight w:val="none"/>
                <w:lang w:eastAsia="zh-CN" w:bidi="ar-SA"/>
              </w:rPr>
              <w:t>详尽、符合项目要求，可行性强的的</w:t>
            </w:r>
            <w:r>
              <w:rPr>
                <w:rStyle w:val="612"/>
                <w:rFonts w:hint="eastAsia" w:ascii="宋体" w:hAnsi="宋体" w:eastAsia="宋体" w:cs="宋体"/>
                <w:color w:val="auto"/>
                <w:kern w:val="2"/>
                <w:sz w:val="24"/>
                <w:szCs w:val="24"/>
                <w:highlight w:val="none"/>
                <w:lang w:val="en-US" w:eastAsia="zh-CN" w:bidi="ar-SA"/>
              </w:rPr>
              <w:t>6</w:t>
            </w:r>
            <w:r>
              <w:rPr>
                <w:rStyle w:val="612"/>
                <w:rFonts w:hint="eastAsia" w:ascii="宋体" w:hAnsi="宋体" w:eastAsia="宋体" w:cs="宋体"/>
                <w:color w:val="auto"/>
                <w:kern w:val="2"/>
                <w:sz w:val="24"/>
                <w:szCs w:val="24"/>
                <w:highlight w:val="none"/>
                <w:lang w:eastAsia="zh-CN" w:bidi="ar-SA"/>
              </w:rPr>
              <w:t>.1-</w:t>
            </w:r>
            <w:r>
              <w:rPr>
                <w:rStyle w:val="612"/>
                <w:rFonts w:hint="eastAsia" w:ascii="宋体" w:hAnsi="宋体" w:eastAsia="宋体" w:cs="宋体"/>
                <w:color w:val="auto"/>
                <w:kern w:val="2"/>
                <w:sz w:val="24"/>
                <w:szCs w:val="24"/>
                <w:highlight w:val="none"/>
                <w:lang w:val="en-US" w:eastAsia="zh-CN" w:bidi="ar-SA"/>
              </w:rPr>
              <w:t>10</w:t>
            </w:r>
            <w:r>
              <w:rPr>
                <w:rStyle w:val="612"/>
                <w:rFonts w:hint="eastAsia" w:ascii="宋体" w:hAnsi="宋体" w:eastAsia="宋体" w:cs="宋体"/>
                <w:color w:val="auto"/>
                <w:kern w:val="2"/>
                <w:sz w:val="24"/>
                <w:szCs w:val="24"/>
                <w:highlight w:val="none"/>
                <w:lang w:eastAsia="zh-CN" w:bidi="ar-SA"/>
              </w:rPr>
              <w:t>分，</w:t>
            </w:r>
            <w:r>
              <w:rPr>
                <w:rFonts w:hint="eastAsia" w:ascii="华文中宋" w:hAnsi="华文中宋" w:eastAsia="华文中宋" w:cs="Times New Roman"/>
                <w:color w:val="auto"/>
                <w:sz w:val="24"/>
                <w:szCs w:val="22"/>
                <w:highlight w:val="none"/>
                <w:lang w:val="en-US" w:eastAsia="zh-CN" w:bidi="ar-SA"/>
              </w:rPr>
              <w:t>服务承诺</w:t>
            </w:r>
            <w:r>
              <w:rPr>
                <w:rStyle w:val="612"/>
                <w:rFonts w:hint="eastAsia" w:ascii="宋体" w:hAnsi="宋体" w:eastAsia="宋体" w:cs="宋体"/>
                <w:color w:val="auto"/>
                <w:kern w:val="2"/>
                <w:sz w:val="24"/>
                <w:szCs w:val="24"/>
                <w:highlight w:val="none"/>
                <w:lang w:eastAsia="zh-CN" w:bidi="ar-SA"/>
              </w:rPr>
              <w:t>详尽、基本符合项目实际的，得</w:t>
            </w:r>
            <w:r>
              <w:rPr>
                <w:rStyle w:val="612"/>
                <w:rFonts w:hint="eastAsia" w:ascii="宋体" w:hAnsi="宋体" w:eastAsia="宋体" w:cs="宋体"/>
                <w:color w:val="auto"/>
                <w:kern w:val="2"/>
                <w:sz w:val="24"/>
                <w:szCs w:val="24"/>
                <w:highlight w:val="none"/>
                <w:lang w:val="en-US" w:eastAsia="zh-CN" w:bidi="ar-SA"/>
              </w:rPr>
              <w:t>2</w:t>
            </w:r>
            <w:r>
              <w:rPr>
                <w:rStyle w:val="612"/>
                <w:rFonts w:hint="eastAsia" w:ascii="宋体" w:hAnsi="宋体" w:eastAsia="宋体" w:cs="宋体"/>
                <w:color w:val="auto"/>
                <w:kern w:val="2"/>
                <w:sz w:val="24"/>
                <w:szCs w:val="24"/>
                <w:highlight w:val="none"/>
                <w:lang w:eastAsia="zh-CN" w:bidi="ar-SA"/>
              </w:rPr>
              <w:t>.1-</w:t>
            </w:r>
            <w:r>
              <w:rPr>
                <w:rStyle w:val="612"/>
                <w:rFonts w:hint="eastAsia" w:ascii="宋体" w:hAnsi="宋体" w:eastAsia="宋体" w:cs="宋体"/>
                <w:color w:val="auto"/>
                <w:kern w:val="2"/>
                <w:sz w:val="24"/>
                <w:szCs w:val="24"/>
                <w:highlight w:val="none"/>
                <w:lang w:val="en-US" w:eastAsia="zh-CN" w:bidi="ar-SA"/>
              </w:rPr>
              <w:t>6</w:t>
            </w:r>
            <w:r>
              <w:rPr>
                <w:rStyle w:val="612"/>
                <w:rFonts w:hint="eastAsia" w:ascii="宋体" w:hAnsi="宋体" w:eastAsia="宋体" w:cs="宋体"/>
                <w:color w:val="auto"/>
                <w:kern w:val="2"/>
                <w:sz w:val="24"/>
                <w:szCs w:val="24"/>
                <w:highlight w:val="none"/>
                <w:lang w:eastAsia="zh-CN" w:bidi="ar-SA"/>
              </w:rPr>
              <w:t>分，</w:t>
            </w:r>
            <w:r>
              <w:rPr>
                <w:rFonts w:hint="eastAsia" w:ascii="华文中宋" w:hAnsi="华文中宋" w:eastAsia="华文中宋" w:cs="Times New Roman"/>
                <w:color w:val="auto"/>
                <w:sz w:val="24"/>
                <w:szCs w:val="22"/>
                <w:highlight w:val="none"/>
                <w:lang w:val="en-US" w:eastAsia="zh-CN" w:bidi="ar-SA"/>
              </w:rPr>
              <w:t>服务承诺</w:t>
            </w:r>
            <w:r>
              <w:rPr>
                <w:rStyle w:val="612"/>
                <w:rFonts w:hint="eastAsia" w:ascii="宋体" w:hAnsi="宋体" w:eastAsia="宋体" w:cs="宋体"/>
                <w:color w:val="auto"/>
                <w:kern w:val="2"/>
                <w:sz w:val="24"/>
                <w:szCs w:val="24"/>
                <w:highlight w:val="none"/>
                <w:lang w:eastAsia="zh-CN" w:bidi="ar-SA"/>
              </w:rPr>
              <w:t>欠缺、可行性弱的，得0.1-</w:t>
            </w:r>
            <w:r>
              <w:rPr>
                <w:rStyle w:val="612"/>
                <w:rFonts w:hint="eastAsia" w:ascii="宋体" w:hAnsi="宋体" w:eastAsia="宋体" w:cs="宋体"/>
                <w:color w:val="auto"/>
                <w:kern w:val="2"/>
                <w:sz w:val="24"/>
                <w:szCs w:val="24"/>
                <w:highlight w:val="none"/>
                <w:lang w:val="en-US" w:eastAsia="zh-CN" w:bidi="ar-SA"/>
              </w:rPr>
              <w:t>2</w:t>
            </w:r>
            <w:r>
              <w:rPr>
                <w:rStyle w:val="612"/>
                <w:rFonts w:hint="eastAsia" w:ascii="宋体" w:hAnsi="宋体" w:eastAsia="宋体" w:cs="宋体"/>
                <w:color w:val="auto"/>
                <w:kern w:val="2"/>
                <w:sz w:val="24"/>
                <w:szCs w:val="24"/>
                <w:highlight w:val="none"/>
                <w:lang w:eastAsia="zh-CN" w:bidi="ar-SA"/>
              </w:rPr>
              <w:t>分，不提供不得分。</w:t>
            </w:r>
            <w:bookmarkEnd w:id="106"/>
          </w:p>
        </w:tc>
        <w:tc>
          <w:tcPr>
            <w:tcW w:w="900" w:type="dxa"/>
            <w:tcBorders>
              <w:top w:val="single" w:color="000000" w:sz="4" w:space="0"/>
              <w:left w:val="single" w:color="000000" w:sz="4" w:space="0"/>
              <w:bottom w:val="single" w:color="000000" w:sz="4" w:space="0"/>
              <w:right w:val="single" w:color="000000" w:sz="4" w:space="0"/>
            </w:tcBorders>
            <w:vAlign w:val="center"/>
          </w:tcPr>
          <w:p w14:paraId="7F0F03E2">
            <w:pPr>
              <w:pStyle w:val="632"/>
              <w:tabs>
                <w:tab w:val="left" w:pos="-1080"/>
                <w:tab w:val="left" w:pos="180"/>
                <w:tab w:val="left" w:pos="1080"/>
              </w:tabs>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华文中宋" w:hAnsi="华文中宋" w:eastAsia="华文中宋" w:cs="Times New Roman"/>
                <w:color w:val="auto"/>
                <w:sz w:val="24"/>
                <w:szCs w:val="22"/>
                <w:highlight w:val="none"/>
                <w:lang w:val="en-US" w:eastAsia="zh-CN" w:bidi="ar-SA"/>
              </w:rPr>
              <w:t>0-10分</w:t>
            </w:r>
          </w:p>
        </w:tc>
      </w:tr>
      <w:tr w14:paraId="7C9B928F">
        <w:tblPrEx>
          <w:tblCellMar>
            <w:top w:w="15" w:type="dxa"/>
            <w:left w:w="15" w:type="dxa"/>
            <w:bottom w:w="15" w:type="dxa"/>
            <w:right w:w="15" w:type="dxa"/>
          </w:tblCellMar>
        </w:tblPrEx>
        <w:trPr>
          <w:trHeight w:val="358" w:hRule="atLeast"/>
          <w:jc w:val="center"/>
        </w:trPr>
        <w:tc>
          <w:tcPr>
            <w:tcW w:w="1349" w:type="dxa"/>
            <w:tcBorders>
              <w:top w:val="single" w:color="auto" w:sz="4" w:space="0"/>
              <w:left w:val="single" w:color="auto" w:sz="4" w:space="0"/>
              <w:bottom w:val="single" w:color="auto" w:sz="4" w:space="0"/>
              <w:right w:val="single" w:color="000000" w:sz="4" w:space="0"/>
            </w:tcBorders>
            <w:vAlign w:val="center"/>
          </w:tcPr>
          <w:p w14:paraId="4930E37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投标报价</w:t>
            </w:r>
          </w:p>
        </w:tc>
        <w:tc>
          <w:tcPr>
            <w:tcW w:w="8351" w:type="dxa"/>
            <w:tcBorders>
              <w:top w:val="single" w:color="000000" w:sz="4" w:space="0"/>
              <w:left w:val="single" w:color="000000" w:sz="4" w:space="0"/>
              <w:bottom w:val="single" w:color="000000" w:sz="4" w:space="0"/>
              <w:right w:val="single" w:color="000000" w:sz="4" w:space="0"/>
            </w:tcBorders>
            <w:vAlign w:val="center"/>
          </w:tcPr>
          <w:p w14:paraId="72B9E8F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b/>
                <w:bCs/>
                <w:color w:val="auto"/>
                <w:kern w:val="2"/>
                <w:sz w:val="24"/>
                <w:szCs w:val="24"/>
                <w:highlight w:val="none"/>
                <w:u w:val="none"/>
                <w:lang w:val="en-US" w:eastAsia="zh-CN"/>
              </w:rPr>
            </w:pPr>
            <w:r>
              <w:rPr>
                <w:rFonts w:hint="eastAsia" w:ascii="宋体" w:hAnsi="宋体" w:eastAsia="宋体" w:cs="宋体"/>
                <w:b/>
                <w:bCs/>
                <w:color w:val="auto"/>
                <w:kern w:val="2"/>
                <w:sz w:val="24"/>
                <w:szCs w:val="24"/>
                <w:highlight w:val="none"/>
                <w:u w:val="none"/>
                <w:lang w:val="en-US" w:eastAsia="zh-CN"/>
              </w:rPr>
              <w:t>投标人报价高于最高限价的作无效标处理。</w:t>
            </w:r>
          </w:p>
          <w:p w14:paraId="1965F69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评标基准价为满足评标要求且投标价格最低的投标报价，投标报价得分=(基准价／投标报价)×</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lang w:eastAsia="zh-CN"/>
              </w:rPr>
              <w:t>，四舍五入，保留两位小数。报价高于预算价（最高限价）的，为无效投标文件。</w:t>
            </w:r>
          </w:p>
        </w:tc>
        <w:tc>
          <w:tcPr>
            <w:tcW w:w="900" w:type="dxa"/>
            <w:tcBorders>
              <w:top w:val="single" w:color="000000" w:sz="4" w:space="0"/>
              <w:left w:val="single" w:color="000000" w:sz="4" w:space="0"/>
              <w:bottom w:val="single" w:color="000000" w:sz="4" w:space="0"/>
              <w:right w:val="single" w:color="000000" w:sz="4" w:space="0"/>
            </w:tcBorders>
            <w:vAlign w:val="center"/>
          </w:tcPr>
          <w:p w14:paraId="03243342">
            <w:pPr>
              <w:keepNext w:val="0"/>
              <w:keepLines w:val="0"/>
              <w:pageBreakBefore w:val="0"/>
              <w:kinsoku/>
              <w:wordWrap/>
              <w:overflowPunct/>
              <w:topLinePunct w:val="0"/>
              <w:bidi w:val="0"/>
              <w:adjustRightInd w:val="0"/>
              <w:snapToGrid w:val="0"/>
              <w:spacing w:line="360" w:lineRule="auto"/>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0-</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0分</w:t>
            </w:r>
          </w:p>
        </w:tc>
      </w:tr>
    </w:tbl>
    <w:p w14:paraId="37486756">
      <w:pPr>
        <w:pStyle w:val="52"/>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12"/>
          <w:rFonts w:hint="eastAsia" w:ascii="宋体" w:hAnsi="宋体" w:eastAsia="宋体" w:cs="宋体"/>
          <w:color w:val="auto"/>
          <w:sz w:val="24"/>
          <w:szCs w:val="24"/>
          <w:highlight w:val="none"/>
          <w:lang w:val="zh-TW"/>
        </w:rPr>
      </w:pPr>
      <w:r>
        <w:rPr>
          <w:rStyle w:val="612"/>
          <w:rFonts w:hint="eastAsia" w:ascii="宋体" w:hAnsi="宋体" w:eastAsia="宋体" w:cs="宋体"/>
          <w:color w:val="auto"/>
          <w:sz w:val="24"/>
          <w:szCs w:val="24"/>
          <w:highlight w:val="none"/>
          <w:lang w:val="en-US" w:eastAsia="zh-CN"/>
        </w:rPr>
        <w:t xml:space="preserve">(1) </w:t>
      </w:r>
      <w:r>
        <w:rPr>
          <w:rStyle w:val="612"/>
          <w:rFonts w:hint="eastAsia" w:ascii="宋体" w:hAnsi="宋体" w:eastAsia="宋体" w:cs="宋体"/>
          <w:color w:val="auto"/>
          <w:sz w:val="24"/>
          <w:szCs w:val="24"/>
          <w:highlight w:val="none"/>
          <w:lang w:val="zh-TW" w:eastAsia="zh-TW"/>
        </w:rPr>
        <w:t>评标委员会根据表格，对各投标单位的商务技术标进行书面审核和评论后，由各专家独立</w:t>
      </w:r>
      <w:r>
        <w:rPr>
          <w:rStyle w:val="612"/>
          <w:rFonts w:hint="eastAsia" w:ascii="宋体" w:hAnsi="宋体" w:eastAsia="宋体" w:cs="宋体"/>
          <w:color w:val="auto"/>
          <w:sz w:val="24"/>
          <w:szCs w:val="24"/>
          <w:highlight w:val="none"/>
        </w:rPr>
        <w:t>评</w:t>
      </w:r>
      <w:r>
        <w:rPr>
          <w:rStyle w:val="612"/>
          <w:rFonts w:hint="eastAsia" w:ascii="宋体" w:hAnsi="宋体" w:eastAsia="宋体" w:cs="宋体"/>
          <w:color w:val="auto"/>
          <w:sz w:val="24"/>
          <w:szCs w:val="24"/>
          <w:highlight w:val="none"/>
          <w:lang w:val="zh-TW" w:eastAsia="zh-TW"/>
        </w:rPr>
        <w:t>分，打分时保留小数</w:t>
      </w:r>
      <w:r>
        <w:rPr>
          <w:rStyle w:val="612"/>
          <w:rFonts w:hint="eastAsia" w:ascii="宋体" w:hAnsi="宋体" w:eastAsia="宋体" w:cs="宋体"/>
          <w:color w:val="auto"/>
          <w:sz w:val="24"/>
          <w:szCs w:val="24"/>
          <w:highlight w:val="none"/>
          <w:lang w:val="zh-TW"/>
        </w:rPr>
        <w:t>1</w:t>
      </w:r>
      <w:r>
        <w:rPr>
          <w:rStyle w:val="612"/>
          <w:rFonts w:hint="eastAsia" w:ascii="宋体" w:hAnsi="宋体" w:eastAsia="宋体" w:cs="宋体"/>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12"/>
          <w:rFonts w:hint="eastAsia" w:ascii="宋体" w:hAnsi="宋体" w:eastAsia="宋体" w:cs="宋体"/>
          <w:color w:val="auto"/>
          <w:sz w:val="24"/>
          <w:szCs w:val="24"/>
          <w:highlight w:val="none"/>
          <w:lang w:val="zh-TW"/>
        </w:rPr>
        <w:t>2</w:t>
      </w:r>
      <w:r>
        <w:rPr>
          <w:rStyle w:val="612"/>
          <w:rFonts w:hint="eastAsia" w:ascii="宋体" w:hAnsi="宋体" w:eastAsia="宋体" w:cs="宋体"/>
          <w:color w:val="auto"/>
          <w:sz w:val="24"/>
          <w:szCs w:val="24"/>
          <w:highlight w:val="none"/>
          <w:lang w:val="zh-TW" w:eastAsia="zh-TW"/>
        </w:rPr>
        <w:t>位</w:t>
      </w:r>
      <w:r>
        <w:rPr>
          <w:rStyle w:val="612"/>
          <w:rFonts w:hint="eastAsia" w:ascii="宋体" w:hAnsi="宋体" w:eastAsia="宋体" w:cs="宋体"/>
          <w:color w:val="auto"/>
          <w:sz w:val="24"/>
          <w:szCs w:val="24"/>
          <w:highlight w:val="none"/>
          <w:lang w:val="zh-TW"/>
        </w:rPr>
        <w:t>。</w:t>
      </w:r>
    </w:p>
    <w:p w14:paraId="1011630C">
      <w:pPr>
        <w:pStyle w:val="52"/>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12"/>
          <w:rFonts w:hint="eastAsia" w:ascii="宋体" w:hAnsi="宋体" w:eastAsia="宋体" w:cs="宋体"/>
          <w:color w:val="auto"/>
          <w:sz w:val="24"/>
          <w:szCs w:val="24"/>
          <w:highlight w:val="none"/>
          <w:lang w:val="zh-TW"/>
        </w:rPr>
      </w:pPr>
      <w:r>
        <w:rPr>
          <w:rStyle w:val="612"/>
          <w:rFonts w:hint="eastAsia" w:ascii="宋体" w:hAnsi="宋体" w:eastAsia="宋体" w:cs="宋体"/>
          <w:color w:val="auto"/>
          <w:sz w:val="24"/>
          <w:szCs w:val="24"/>
          <w:highlight w:val="none"/>
          <w:lang w:val="zh-TW"/>
        </w:rPr>
        <w:t>（2）</w:t>
      </w:r>
      <w:r>
        <w:rPr>
          <w:rStyle w:val="612"/>
          <w:rFonts w:hint="eastAsia" w:ascii="宋体" w:hAnsi="宋体" w:eastAsia="宋体" w:cs="宋体"/>
          <w:color w:val="auto"/>
          <w:sz w:val="24"/>
          <w:szCs w:val="24"/>
          <w:highlight w:val="none"/>
          <w:lang w:val="zh-TW" w:eastAsia="zh-TW"/>
        </w:rPr>
        <w:t>评标委员会全体人员对评分细则和投标文件，充分讨论后，按少数服从多数的原则集体统一评分。</w:t>
      </w:r>
    </w:p>
    <w:p w14:paraId="52CA9FF4">
      <w:pPr>
        <w:pStyle w:val="591"/>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13"/>
          <w:rFonts w:hint="eastAsia" w:ascii="宋体" w:hAnsi="宋体" w:eastAsia="宋体" w:cs="宋体"/>
          <w:b/>
          <w:bCs/>
          <w:color w:val="auto"/>
          <w:szCs w:val="24"/>
          <w:highlight w:val="none"/>
        </w:rPr>
      </w:pPr>
      <w:r>
        <w:rPr>
          <w:rStyle w:val="612"/>
          <w:rFonts w:hint="eastAsia" w:ascii="宋体" w:hAnsi="宋体" w:eastAsia="宋体" w:cs="宋体"/>
          <w:color w:val="auto"/>
          <w:szCs w:val="24"/>
          <w:highlight w:val="none"/>
          <w:lang w:val="zh-TW"/>
        </w:rPr>
        <w:t>（3）</w:t>
      </w:r>
      <w:r>
        <w:rPr>
          <w:rStyle w:val="612"/>
          <w:rFonts w:hint="eastAsia" w:ascii="宋体" w:hAnsi="宋体" w:eastAsia="宋体" w:cs="宋体"/>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w:t>
      </w:r>
      <w:r>
        <w:rPr>
          <w:rStyle w:val="612"/>
          <w:rFonts w:hint="eastAsia" w:ascii="宋体" w:hAnsi="宋体" w:eastAsia="宋体" w:cs="宋体"/>
          <w:color w:val="auto"/>
          <w:szCs w:val="24"/>
          <w:highlight w:val="none"/>
          <w:lang w:val="zh-TW" w:eastAsia="zh-CN"/>
        </w:rPr>
        <w:t>投标人</w:t>
      </w:r>
      <w:r>
        <w:rPr>
          <w:rStyle w:val="612"/>
          <w:rFonts w:hint="eastAsia" w:ascii="宋体" w:hAnsi="宋体" w:eastAsia="宋体" w:cs="宋体"/>
          <w:color w:val="auto"/>
          <w:szCs w:val="24"/>
          <w:highlight w:val="none"/>
          <w:lang w:val="zh-TW" w:eastAsia="zh-TW"/>
        </w:rPr>
        <w:t>限期进行解释。如</w:t>
      </w:r>
      <w:r>
        <w:rPr>
          <w:rStyle w:val="612"/>
          <w:rFonts w:hint="eastAsia" w:ascii="宋体" w:hAnsi="宋体" w:eastAsia="宋体" w:cs="宋体"/>
          <w:color w:val="auto"/>
          <w:szCs w:val="24"/>
          <w:highlight w:val="none"/>
          <w:lang w:val="zh-TW" w:eastAsia="zh-CN"/>
        </w:rPr>
        <w:t>投标人</w:t>
      </w:r>
      <w:r>
        <w:rPr>
          <w:rStyle w:val="612"/>
          <w:rFonts w:hint="eastAsia" w:ascii="宋体" w:hAnsi="宋体" w:eastAsia="宋体" w:cs="宋体"/>
          <w:color w:val="auto"/>
          <w:szCs w:val="24"/>
          <w:highlight w:val="none"/>
          <w:lang w:val="zh-TW" w:eastAsia="zh-TW"/>
        </w:rPr>
        <w:t>未在规定期限内做出解释，或所作解释不合理，经评标委员会取得一致意见后，可确定该投标为无效报价。</w:t>
      </w:r>
    </w:p>
    <w:p w14:paraId="0FA316C1">
      <w:pPr>
        <w:pStyle w:val="52"/>
        <w:pageBreakBefore w:val="0"/>
        <w:kinsoku/>
        <w:wordWrap/>
        <w:overflowPunct/>
        <w:topLinePunct w:val="0"/>
        <w:bidi w:val="0"/>
        <w:spacing w:line="400" w:lineRule="exact"/>
        <w:ind w:left="0" w:leftChars="0" w:right="0" w:rightChars="0" w:firstLine="482" w:firstLineChars="200"/>
        <w:jc w:val="left"/>
        <w:textAlignment w:val="auto"/>
        <w:rPr>
          <w:rStyle w:val="612"/>
          <w:rFonts w:hint="eastAsia" w:ascii="宋体" w:hAnsi="宋体" w:eastAsia="宋体" w:cs="宋体"/>
          <w:b/>
          <w:color w:val="auto"/>
          <w:sz w:val="24"/>
          <w:szCs w:val="24"/>
          <w:highlight w:val="none"/>
          <w:lang w:val="zh-CN"/>
        </w:rPr>
      </w:pPr>
      <w:r>
        <w:rPr>
          <w:rStyle w:val="612"/>
          <w:rFonts w:hint="eastAsia" w:ascii="宋体" w:hAnsi="宋体" w:eastAsia="宋体" w:cs="宋体"/>
          <w:b/>
          <w:color w:val="auto"/>
          <w:sz w:val="24"/>
          <w:szCs w:val="24"/>
          <w:highlight w:val="none"/>
          <w:lang w:val="zh-CN"/>
        </w:rPr>
        <w:t>六、开评标程序</w:t>
      </w:r>
    </w:p>
    <w:p w14:paraId="04AF3136">
      <w:pPr>
        <w:pStyle w:val="591"/>
        <w:pageBreakBefore w:val="0"/>
        <w:kinsoku/>
        <w:wordWrap/>
        <w:overflowPunct/>
        <w:topLinePunct w:val="0"/>
        <w:bidi w:val="0"/>
        <w:spacing w:line="400" w:lineRule="exact"/>
        <w:ind w:left="0" w:leftChars="0" w:right="0" w:rightChars="0" w:firstLine="480" w:firstLineChars="200"/>
        <w:textAlignment w:val="auto"/>
        <w:rPr>
          <w:rStyle w:val="612"/>
          <w:rFonts w:hint="eastAsia" w:ascii="宋体" w:hAnsi="宋体" w:eastAsia="宋体" w:cs="宋体"/>
          <w:color w:val="auto"/>
          <w:szCs w:val="24"/>
          <w:highlight w:val="none"/>
          <w:lang w:val="zh-CN"/>
        </w:rPr>
      </w:pPr>
      <w:r>
        <w:rPr>
          <w:rStyle w:val="612"/>
          <w:rFonts w:hint="eastAsia" w:ascii="宋体" w:hAnsi="宋体" w:eastAsia="宋体" w:cs="宋体"/>
          <w:color w:val="auto"/>
          <w:szCs w:val="24"/>
          <w:highlight w:val="none"/>
        </w:rPr>
        <w:t>1</w:t>
      </w:r>
      <w:r>
        <w:rPr>
          <w:rStyle w:val="612"/>
          <w:rFonts w:hint="eastAsia" w:ascii="宋体" w:hAnsi="宋体" w:eastAsia="宋体" w:cs="宋体"/>
          <w:color w:val="auto"/>
          <w:szCs w:val="24"/>
          <w:highlight w:val="none"/>
          <w:lang w:val="en-US" w:eastAsia="zh-CN"/>
        </w:rPr>
        <w:t>.</w:t>
      </w:r>
      <w:r>
        <w:rPr>
          <w:rStyle w:val="612"/>
          <w:rFonts w:hint="eastAsia" w:ascii="宋体" w:hAnsi="宋体" w:eastAsia="宋体" w:cs="宋体"/>
          <w:color w:val="auto"/>
          <w:szCs w:val="24"/>
          <w:highlight w:val="none"/>
          <w:lang w:val="zh-TW"/>
        </w:rPr>
        <w:t>工作人员宣布投标截止时间，截止时间以国家授时中心标准时间为准，宣布招标会议开始。</w:t>
      </w:r>
    </w:p>
    <w:p w14:paraId="6ED76310">
      <w:pPr>
        <w:pStyle w:val="591"/>
        <w:pageBreakBefore w:val="0"/>
        <w:kinsoku/>
        <w:wordWrap/>
        <w:overflowPunct/>
        <w:topLinePunct w:val="0"/>
        <w:bidi w:val="0"/>
        <w:spacing w:line="400" w:lineRule="exact"/>
        <w:ind w:left="0" w:leftChars="0" w:right="0" w:rightChars="0" w:firstLine="480" w:firstLineChars="200"/>
        <w:textAlignment w:val="auto"/>
        <w:rPr>
          <w:rStyle w:val="612"/>
          <w:rFonts w:hint="eastAsia" w:ascii="宋体" w:hAnsi="宋体" w:eastAsia="宋体" w:cs="宋体"/>
          <w:color w:val="auto"/>
          <w:szCs w:val="24"/>
          <w:highlight w:val="none"/>
          <w:lang w:val="zh-TW"/>
        </w:rPr>
      </w:pPr>
      <w:r>
        <w:rPr>
          <w:rStyle w:val="612"/>
          <w:rFonts w:hint="eastAsia" w:ascii="宋体" w:hAnsi="宋体" w:eastAsia="宋体" w:cs="宋体"/>
          <w:color w:val="auto"/>
          <w:szCs w:val="24"/>
          <w:highlight w:val="none"/>
        </w:rPr>
        <w:t>2</w:t>
      </w:r>
      <w:r>
        <w:rPr>
          <w:rStyle w:val="612"/>
          <w:rFonts w:hint="eastAsia" w:ascii="宋体" w:hAnsi="宋体" w:eastAsia="宋体" w:cs="宋体"/>
          <w:color w:val="auto"/>
          <w:szCs w:val="24"/>
          <w:highlight w:val="none"/>
          <w:lang w:val="en-US" w:eastAsia="zh-CN"/>
        </w:rPr>
        <w:t>.</w:t>
      </w:r>
      <w:r>
        <w:rPr>
          <w:rStyle w:val="612"/>
          <w:rFonts w:hint="eastAsia" w:ascii="宋体" w:hAnsi="宋体" w:eastAsia="宋体" w:cs="宋体"/>
          <w:color w:val="auto"/>
          <w:szCs w:val="24"/>
          <w:highlight w:val="none"/>
          <w:lang w:val="zh-TW"/>
        </w:rPr>
        <w:t>工作人员确认投标人法定代表人（负责人）或授权委托代理人资格、投标文件递交等情况。</w:t>
      </w:r>
    </w:p>
    <w:p w14:paraId="3B62E3B2">
      <w:pPr>
        <w:pStyle w:val="591"/>
        <w:pageBreakBefore w:val="0"/>
        <w:kinsoku/>
        <w:wordWrap/>
        <w:overflowPunct/>
        <w:topLinePunct w:val="0"/>
        <w:bidi w:val="0"/>
        <w:spacing w:line="400" w:lineRule="exact"/>
        <w:ind w:left="0" w:leftChars="0" w:right="0" w:rightChars="0" w:firstLine="480" w:firstLineChars="200"/>
        <w:textAlignment w:val="auto"/>
        <w:rPr>
          <w:rStyle w:val="612"/>
          <w:rFonts w:hint="eastAsia" w:ascii="宋体" w:hAnsi="宋体" w:eastAsia="宋体" w:cs="宋体"/>
          <w:color w:val="auto"/>
          <w:szCs w:val="24"/>
          <w:highlight w:val="none"/>
          <w:lang w:val="zh-TW"/>
        </w:rPr>
      </w:pPr>
      <w:r>
        <w:rPr>
          <w:rStyle w:val="612"/>
          <w:rFonts w:hint="eastAsia" w:ascii="宋体" w:hAnsi="宋体" w:eastAsia="宋体" w:cs="宋体"/>
          <w:color w:val="auto"/>
          <w:szCs w:val="24"/>
          <w:highlight w:val="none"/>
        </w:rPr>
        <w:t>3</w:t>
      </w:r>
      <w:r>
        <w:rPr>
          <w:rStyle w:val="612"/>
          <w:rFonts w:hint="eastAsia" w:ascii="宋体" w:hAnsi="宋体" w:eastAsia="宋体" w:cs="宋体"/>
          <w:color w:val="auto"/>
          <w:szCs w:val="24"/>
          <w:highlight w:val="none"/>
          <w:lang w:val="en-US" w:eastAsia="zh-CN"/>
        </w:rPr>
        <w:t>.</w:t>
      </w:r>
      <w:r>
        <w:rPr>
          <w:rStyle w:val="612"/>
          <w:rFonts w:hint="eastAsia" w:ascii="宋体" w:hAnsi="宋体" w:eastAsia="宋体" w:cs="宋体"/>
          <w:color w:val="auto"/>
          <w:szCs w:val="24"/>
          <w:highlight w:val="none"/>
          <w:lang w:val="zh-TW"/>
        </w:rPr>
        <w:t>本项目原则上采用政采云电子招投标开标及评审程序，但有下情形之一的，按以下情况处理：</w:t>
      </w:r>
    </w:p>
    <w:p w14:paraId="626283CB">
      <w:pPr>
        <w:pStyle w:val="591"/>
        <w:pageBreakBefore w:val="0"/>
        <w:kinsoku/>
        <w:wordWrap/>
        <w:overflowPunct/>
        <w:topLinePunct w:val="0"/>
        <w:bidi w:val="0"/>
        <w:spacing w:line="400" w:lineRule="exact"/>
        <w:ind w:left="0" w:leftChars="0" w:right="0" w:rightChars="0" w:firstLine="480" w:firstLineChars="200"/>
        <w:textAlignment w:val="auto"/>
        <w:rPr>
          <w:rStyle w:val="612"/>
          <w:rFonts w:hint="eastAsia" w:ascii="宋体" w:hAnsi="宋体" w:eastAsia="宋体" w:cs="宋体"/>
          <w:color w:val="auto"/>
          <w:szCs w:val="24"/>
          <w:highlight w:val="none"/>
          <w:lang w:val="zh-TW"/>
        </w:rPr>
      </w:pPr>
      <w:r>
        <w:rPr>
          <w:rStyle w:val="612"/>
          <w:rFonts w:hint="eastAsia" w:ascii="宋体" w:hAnsi="宋体" w:eastAsia="宋体" w:cs="宋体"/>
          <w:color w:val="auto"/>
          <w:szCs w:val="24"/>
          <w:highlight w:val="none"/>
          <w:lang w:val="zh-TW"/>
        </w:rPr>
        <w:t>若投标人的电子投标文件在规定时间内无法解密或解密失败，工作人员将开启该投标人递交的电子备份投标文件，以完成开标。</w:t>
      </w:r>
    </w:p>
    <w:p w14:paraId="01B5AF88">
      <w:pPr>
        <w:pStyle w:val="591"/>
        <w:pageBreakBefore w:val="0"/>
        <w:kinsoku/>
        <w:wordWrap/>
        <w:overflowPunct/>
        <w:topLinePunct w:val="0"/>
        <w:bidi w:val="0"/>
        <w:spacing w:line="400" w:lineRule="exact"/>
        <w:ind w:left="0" w:leftChars="0" w:right="0" w:rightChars="0" w:firstLine="480" w:firstLineChars="200"/>
        <w:textAlignment w:val="auto"/>
        <w:rPr>
          <w:rStyle w:val="612"/>
          <w:rFonts w:hint="eastAsia" w:ascii="宋体" w:hAnsi="宋体" w:eastAsia="宋体" w:cs="宋体"/>
          <w:color w:val="auto"/>
          <w:szCs w:val="24"/>
          <w:highlight w:val="none"/>
          <w:lang w:val="zh-TW"/>
        </w:rPr>
      </w:pPr>
      <w:r>
        <w:rPr>
          <w:rStyle w:val="612"/>
          <w:rFonts w:hint="eastAsia" w:ascii="宋体" w:hAnsi="宋体" w:eastAsia="宋体" w:cs="宋体"/>
          <w:color w:val="auto"/>
          <w:szCs w:val="24"/>
          <w:highlight w:val="none"/>
        </w:rPr>
        <w:t>4</w:t>
      </w:r>
      <w:r>
        <w:rPr>
          <w:rStyle w:val="612"/>
          <w:rFonts w:hint="eastAsia" w:ascii="宋体" w:hAnsi="宋体" w:eastAsia="宋体" w:cs="宋体"/>
          <w:color w:val="auto"/>
          <w:szCs w:val="24"/>
          <w:highlight w:val="none"/>
          <w:lang w:val="en-US" w:eastAsia="zh-CN"/>
        </w:rPr>
        <w:t>.</w:t>
      </w:r>
      <w:r>
        <w:rPr>
          <w:rStyle w:val="612"/>
          <w:rFonts w:hint="eastAsia" w:ascii="宋体" w:hAnsi="宋体" w:eastAsia="宋体" w:cs="宋体"/>
          <w:color w:val="auto"/>
          <w:szCs w:val="24"/>
          <w:highlight w:val="none"/>
          <w:lang w:val="zh-TW"/>
        </w:rPr>
        <w:t>电子投标开标及评审程序</w:t>
      </w:r>
    </w:p>
    <w:p w14:paraId="6D741DD1">
      <w:pPr>
        <w:pStyle w:val="591"/>
        <w:pageBreakBefore w:val="0"/>
        <w:kinsoku/>
        <w:wordWrap/>
        <w:overflowPunct/>
        <w:topLinePunct w:val="0"/>
        <w:bidi w:val="0"/>
        <w:spacing w:line="400" w:lineRule="exact"/>
        <w:ind w:left="0" w:leftChars="0" w:right="0" w:rightChars="0" w:firstLine="480" w:firstLineChars="200"/>
        <w:textAlignment w:val="auto"/>
        <w:rPr>
          <w:rStyle w:val="612"/>
          <w:rFonts w:hint="eastAsia" w:ascii="宋体" w:hAnsi="宋体" w:eastAsia="宋体" w:cs="宋体"/>
          <w:color w:val="auto"/>
          <w:szCs w:val="24"/>
          <w:highlight w:val="none"/>
          <w:lang w:val="zh-TW"/>
        </w:rPr>
      </w:pPr>
      <w:r>
        <w:rPr>
          <w:rStyle w:val="612"/>
          <w:rFonts w:hint="eastAsia" w:ascii="宋体" w:hAnsi="宋体" w:eastAsia="宋体" w:cs="宋体"/>
          <w:color w:val="auto"/>
          <w:szCs w:val="24"/>
          <w:highlight w:val="none"/>
          <w:lang w:val="zh-TW"/>
        </w:rPr>
        <w:t>（1）投标截止时间后，投标人登录政采云平台，用“项目采购-开标评标”功能对电子投标文件进行在线解密。在线解密电子投标文件时间为开标时间起半个小时内。</w:t>
      </w:r>
    </w:p>
    <w:p w14:paraId="0A26C88D">
      <w:pPr>
        <w:pStyle w:val="591"/>
        <w:pageBreakBefore w:val="0"/>
        <w:kinsoku/>
        <w:wordWrap/>
        <w:overflowPunct/>
        <w:topLinePunct w:val="0"/>
        <w:bidi w:val="0"/>
        <w:spacing w:line="400" w:lineRule="exact"/>
        <w:ind w:left="0" w:leftChars="0" w:right="0" w:rightChars="0" w:firstLine="480" w:firstLineChars="200"/>
        <w:textAlignment w:val="auto"/>
        <w:rPr>
          <w:rStyle w:val="612"/>
          <w:rFonts w:hint="eastAsia" w:ascii="宋体" w:hAnsi="宋体" w:eastAsia="宋体" w:cs="宋体"/>
          <w:color w:val="auto"/>
          <w:szCs w:val="24"/>
          <w:highlight w:val="none"/>
          <w:lang w:val="zh-TW"/>
        </w:rPr>
      </w:pPr>
      <w:r>
        <w:rPr>
          <w:rStyle w:val="612"/>
          <w:rFonts w:hint="eastAsia" w:ascii="宋体" w:hAnsi="宋体" w:eastAsia="宋体" w:cs="宋体"/>
          <w:color w:val="auto"/>
          <w:szCs w:val="24"/>
          <w:highlight w:val="none"/>
          <w:lang w:val="zh-TW"/>
        </w:rPr>
        <w:t>（2）评标委员会对商务技术文件进行评审；</w:t>
      </w:r>
    </w:p>
    <w:p w14:paraId="6CF15322">
      <w:pPr>
        <w:pStyle w:val="591"/>
        <w:pageBreakBefore w:val="0"/>
        <w:kinsoku/>
        <w:wordWrap/>
        <w:overflowPunct/>
        <w:topLinePunct w:val="0"/>
        <w:bidi w:val="0"/>
        <w:spacing w:line="400" w:lineRule="exact"/>
        <w:ind w:left="0" w:leftChars="0" w:right="0" w:rightChars="0" w:firstLine="480" w:firstLineChars="200"/>
        <w:textAlignment w:val="auto"/>
        <w:rPr>
          <w:rStyle w:val="612"/>
          <w:rFonts w:hint="eastAsia" w:ascii="宋体" w:hAnsi="宋体" w:eastAsia="宋体" w:cs="宋体"/>
          <w:color w:val="auto"/>
          <w:szCs w:val="24"/>
          <w:highlight w:val="none"/>
          <w:lang w:val="zh-TW"/>
        </w:rPr>
      </w:pPr>
      <w:r>
        <w:rPr>
          <w:rStyle w:val="612"/>
          <w:rFonts w:hint="eastAsia" w:ascii="宋体" w:hAnsi="宋体" w:eastAsia="宋体" w:cs="宋体"/>
          <w:color w:val="auto"/>
          <w:szCs w:val="24"/>
          <w:highlight w:val="none"/>
          <w:lang w:val="zh-TW"/>
        </w:rPr>
        <w:t>（3）在系统上商务技术</w:t>
      </w:r>
      <w:r>
        <w:rPr>
          <w:rStyle w:val="612"/>
          <w:rFonts w:hint="eastAsia" w:ascii="宋体" w:hAnsi="宋体" w:eastAsia="宋体" w:cs="宋体"/>
          <w:color w:val="auto"/>
          <w:szCs w:val="24"/>
          <w:highlight w:val="none"/>
        </w:rPr>
        <w:t>文件</w:t>
      </w:r>
      <w:r>
        <w:rPr>
          <w:rStyle w:val="612"/>
          <w:rFonts w:hint="eastAsia" w:ascii="宋体" w:hAnsi="宋体" w:eastAsia="宋体" w:cs="宋体"/>
          <w:color w:val="auto"/>
          <w:szCs w:val="24"/>
          <w:highlight w:val="none"/>
          <w:lang w:val="zh-TW"/>
        </w:rPr>
        <w:t>评审结果；</w:t>
      </w:r>
    </w:p>
    <w:p w14:paraId="635F0C44">
      <w:pPr>
        <w:pStyle w:val="591"/>
        <w:pageBreakBefore w:val="0"/>
        <w:kinsoku/>
        <w:wordWrap/>
        <w:overflowPunct/>
        <w:topLinePunct w:val="0"/>
        <w:bidi w:val="0"/>
        <w:spacing w:line="400" w:lineRule="exact"/>
        <w:ind w:left="0" w:leftChars="0" w:right="0" w:rightChars="0" w:firstLine="480" w:firstLineChars="200"/>
        <w:textAlignment w:val="auto"/>
        <w:rPr>
          <w:rStyle w:val="612"/>
          <w:rFonts w:hint="eastAsia" w:ascii="宋体" w:hAnsi="宋体" w:eastAsia="宋体" w:cs="宋体"/>
          <w:color w:val="auto"/>
          <w:szCs w:val="24"/>
          <w:highlight w:val="none"/>
          <w:lang w:val="zh-TW"/>
        </w:rPr>
      </w:pPr>
      <w:r>
        <w:rPr>
          <w:rStyle w:val="612"/>
          <w:rFonts w:hint="eastAsia" w:ascii="宋体" w:hAnsi="宋体" w:eastAsia="宋体" w:cs="宋体"/>
          <w:color w:val="auto"/>
          <w:szCs w:val="24"/>
          <w:highlight w:val="none"/>
          <w:lang w:val="zh-TW"/>
        </w:rPr>
        <w:t>（4）在系统上公开报价开标情况；</w:t>
      </w:r>
    </w:p>
    <w:p w14:paraId="7387D68D">
      <w:pPr>
        <w:pStyle w:val="591"/>
        <w:pageBreakBefore w:val="0"/>
        <w:kinsoku/>
        <w:wordWrap/>
        <w:overflowPunct/>
        <w:topLinePunct w:val="0"/>
        <w:bidi w:val="0"/>
        <w:spacing w:line="400" w:lineRule="exact"/>
        <w:ind w:left="0" w:leftChars="0" w:right="0" w:rightChars="0" w:firstLine="480" w:firstLineChars="200"/>
        <w:textAlignment w:val="auto"/>
        <w:rPr>
          <w:rStyle w:val="612"/>
          <w:rFonts w:hint="eastAsia" w:ascii="宋体" w:hAnsi="宋体" w:eastAsia="宋体" w:cs="宋体"/>
          <w:color w:val="auto"/>
          <w:szCs w:val="24"/>
          <w:highlight w:val="none"/>
          <w:lang w:val="zh-TW"/>
        </w:rPr>
      </w:pPr>
      <w:r>
        <w:rPr>
          <w:rStyle w:val="612"/>
          <w:rFonts w:hint="eastAsia" w:ascii="宋体" w:hAnsi="宋体" w:eastAsia="宋体" w:cs="宋体"/>
          <w:color w:val="auto"/>
          <w:szCs w:val="24"/>
          <w:highlight w:val="none"/>
          <w:lang w:val="zh-TW"/>
        </w:rPr>
        <w:t>（5）评标委员会对报价情况进行评审；</w:t>
      </w:r>
    </w:p>
    <w:p w14:paraId="7733FD9C">
      <w:pPr>
        <w:pStyle w:val="591"/>
        <w:pageBreakBefore w:val="0"/>
        <w:kinsoku/>
        <w:wordWrap/>
        <w:overflowPunct/>
        <w:topLinePunct w:val="0"/>
        <w:bidi w:val="0"/>
        <w:spacing w:line="400" w:lineRule="exact"/>
        <w:ind w:left="0" w:leftChars="0" w:right="0" w:rightChars="0" w:firstLine="480" w:firstLineChars="200"/>
        <w:textAlignment w:val="auto"/>
        <w:rPr>
          <w:rStyle w:val="612"/>
          <w:rFonts w:hint="eastAsia" w:ascii="宋体" w:hAnsi="宋体" w:eastAsia="宋体" w:cs="宋体"/>
          <w:color w:val="auto"/>
          <w:szCs w:val="24"/>
          <w:highlight w:val="none"/>
          <w:lang w:val="zh-TW"/>
        </w:rPr>
      </w:pPr>
      <w:r>
        <w:rPr>
          <w:rStyle w:val="612"/>
          <w:rFonts w:hint="eastAsia" w:ascii="宋体" w:hAnsi="宋体" w:eastAsia="宋体" w:cs="宋体"/>
          <w:color w:val="auto"/>
          <w:szCs w:val="24"/>
          <w:highlight w:val="none"/>
          <w:lang w:val="zh-TW"/>
        </w:rPr>
        <w:t>（6）在系统上公布评审结果。</w:t>
      </w:r>
    </w:p>
    <w:p w14:paraId="44D17E3B">
      <w:pPr>
        <w:pStyle w:val="591"/>
        <w:pageBreakBefore w:val="0"/>
        <w:kinsoku/>
        <w:wordWrap/>
        <w:overflowPunct/>
        <w:topLinePunct w:val="0"/>
        <w:bidi w:val="0"/>
        <w:spacing w:line="400" w:lineRule="exact"/>
        <w:ind w:left="0" w:leftChars="0" w:right="0" w:rightChars="0" w:firstLine="480" w:firstLineChars="200"/>
        <w:textAlignment w:val="auto"/>
        <w:rPr>
          <w:rStyle w:val="612"/>
          <w:rFonts w:hint="eastAsia" w:ascii="宋体" w:hAnsi="宋体" w:eastAsia="宋体" w:cs="宋体"/>
          <w:color w:val="auto"/>
          <w:szCs w:val="24"/>
          <w:highlight w:val="none"/>
          <w:lang w:val="zh-TW"/>
        </w:rPr>
      </w:pPr>
      <w:r>
        <w:rPr>
          <w:rStyle w:val="612"/>
          <w:rFonts w:hint="eastAsia" w:ascii="宋体" w:hAnsi="宋体" w:eastAsia="宋体" w:cs="宋体"/>
          <w:color w:val="auto"/>
          <w:szCs w:val="24"/>
          <w:highlight w:val="none"/>
          <w:lang w:val="zh-TW"/>
        </w:rPr>
        <w:t>特别说明：政采云公司如对电子化开标及评审程序有调整的，按调整后的程序操作。</w:t>
      </w:r>
    </w:p>
    <w:p w14:paraId="0BCDF713">
      <w:pPr>
        <w:pStyle w:val="591"/>
        <w:pageBreakBefore w:val="0"/>
        <w:kinsoku/>
        <w:wordWrap/>
        <w:overflowPunct/>
        <w:topLinePunct w:val="0"/>
        <w:bidi w:val="0"/>
        <w:spacing w:line="400" w:lineRule="exact"/>
        <w:ind w:left="0" w:leftChars="0" w:right="0" w:rightChars="0" w:firstLine="480" w:firstLineChars="200"/>
        <w:textAlignment w:val="auto"/>
        <w:rPr>
          <w:rFonts w:hint="eastAsia" w:ascii="宋体" w:hAnsi="宋体" w:eastAsia="宋体" w:cs="宋体"/>
          <w:color w:val="auto"/>
          <w:szCs w:val="24"/>
          <w:highlight w:val="none"/>
        </w:rPr>
      </w:pPr>
      <w:r>
        <w:rPr>
          <w:rStyle w:val="612"/>
          <w:rFonts w:hint="eastAsia" w:ascii="宋体" w:hAnsi="宋体" w:eastAsia="宋体" w:cs="宋体"/>
          <w:color w:val="auto"/>
          <w:szCs w:val="24"/>
          <w:highlight w:val="none"/>
        </w:rPr>
        <w:t>5</w:t>
      </w:r>
      <w:r>
        <w:rPr>
          <w:rStyle w:val="612"/>
          <w:rFonts w:hint="eastAsia" w:ascii="宋体" w:hAnsi="宋体" w:eastAsia="宋体" w:cs="宋体"/>
          <w:color w:val="auto"/>
          <w:szCs w:val="24"/>
          <w:highlight w:val="none"/>
          <w:lang w:val="zh-TW"/>
        </w:rPr>
        <w:t>.开标会结束。</w:t>
      </w:r>
    </w:p>
    <w:p w14:paraId="26740843">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5464A271">
      <w:pPr>
        <w:spacing w:before="117" w:line="504" w:lineRule="exact"/>
        <w:ind w:left="2638"/>
        <w:outlineLvl w:val="0"/>
        <w:rPr>
          <w:rFonts w:ascii="宋体" w:hAnsi="宋体" w:eastAsia="宋体" w:cs="宋体"/>
          <w:sz w:val="36"/>
          <w:szCs w:val="36"/>
        </w:rPr>
      </w:pPr>
      <w:r>
        <w:rPr>
          <w:rFonts w:ascii="宋体" w:hAnsi="宋体" w:eastAsia="宋体" w:cs="宋体"/>
          <w:b/>
          <w:bCs/>
          <w:color w:val="232323"/>
          <w:spacing w:val="3"/>
          <w:position w:val="2"/>
          <w:sz w:val="36"/>
          <w:szCs w:val="36"/>
        </w:rPr>
        <w:t>政府采购活动现场确认声明书</w:t>
      </w:r>
    </w:p>
    <w:p w14:paraId="46BD4596">
      <w:pPr>
        <w:spacing w:line="296" w:lineRule="auto"/>
        <w:rPr>
          <w:rFonts w:ascii="Arial"/>
          <w:sz w:val="21"/>
        </w:rPr>
      </w:pPr>
    </w:p>
    <w:p w14:paraId="591BBF4E">
      <w:pPr>
        <w:pStyle w:val="5"/>
        <w:keepNext w:val="0"/>
        <w:keepLines w:val="0"/>
        <w:pageBreakBefore w:val="0"/>
        <w:kinsoku/>
        <w:wordWrap/>
        <w:overflowPunct/>
        <w:topLinePunct w:val="0"/>
        <w:autoSpaceDE/>
        <w:autoSpaceDN/>
        <w:bidi w:val="0"/>
        <w:adjustRightInd/>
        <w:snapToGrid/>
        <w:spacing w:before="65" w:line="360" w:lineRule="exact"/>
        <w:ind w:left="112"/>
        <w:textAlignment w:val="auto"/>
        <w:rPr>
          <w:sz w:val="24"/>
          <w:szCs w:val="24"/>
        </w:rPr>
      </w:pPr>
      <w:r>
        <w:rPr>
          <w:rFonts w:hint="eastAsia"/>
          <w:color w:val="232323"/>
          <w:spacing w:val="5"/>
          <w:sz w:val="24"/>
          <w:szCs w:val="24"/>
          <w:lang w:eastAsia="zh-CN"/>
        </w:rPr>
        <w:t>浙江中际工程项目管理有限公司</w:t>
      </w:r>
      <w:r>
        <w:rPr>
          <w:color w:val="232323"/>
          <w:spacing w:val="5"/>
          <w:sz w:val="24"/>
          <w:szCs w:val="24"/>
        </w:rPr>
        <w:t>:</w:t>
      </w:r>
    </w:p>
    <w:p w14:paraId="445A3B20">
      <w:pPr>
        <w:pStyle w:val="5"/>
        <w:keepNext w:val="0"/>
        <w:keepLines w:val="0"/>
        <w:pageBreakBefore w:val="0"/>
        <w:kinsoku/>
        <w:wordWrap/>
        <w:overflowPunct/>
        <w:topLinePunct w:val="0"/>
        <w:autoSpaceDE/>
        <w:autoSpaceDN/>
        <w:bidi w:val="0"/>
        <w:adjustRightInd/>
        <w:snapToGrid/>
        <w:spacing w:before="68" w:line="360" w:lineRule="exact"/>
        <w:ind w:left="467"/>
        <w:textAlignment w:val="auto"/>
        <w:rPr>
          <w:sz w:val="24"/>
          <w:szCs w:val="24"/>
        </w:rPr>
      </w:pPr>
      <w:r>
        <w:rPr>
          <w:color w:val="232323"/>
          <w:spacing w:val="4"/>
          <w:sz w:val="24"/>
          <w:szCs w:val="24"/>
        </w:rPr>
        <w:t xml:space="preserve">本人 </w:t>
      </w:r>
      <w:r>
        <w:rPr>
          <w:color w:val="232323"/>
          <w:spacing w:val="4"/>
          <w:sz w:val="24"/>
          <w:szCs w:val="24"/>
          <w:u w:val="single" w:color="000000"/>
        </w:rPr>
        <w:t xml:space="preserve">                </w:t>
      </w:r>
      <w:r>
        <w:rPr>
          <w:color w:val="232323"/>
          <w:spacing w:val="4"/>
          <w:sz w:val="24"/>
          <w:szCs w:val="24"/>
        </w:rPr>
        <w:t>（授权代表姓名</w:t>
      </w:r>
      <w:r>
        <w:rPr>
          <w:color w:val="232323"/>
          <w:spacing w:val="-42"/>
          <w:sz w:val="24"/>
          <w:szCs w:val="24"/>
        </w:rPr>
        <w:t xml:space="preserve"> </w:t>
      </w:r>
      <w:r>
        <w:rPr>
          <w:color w:val="232323"/>
          <w:spacing w:val="-15"/>
          <w:sz w:val="24"/>
          <w:szCs w:val="24"/>
        </w:rPr>
        <w:t>），</w:t>
      </w:r>
      <w:r>
        <w:rPr>
          <w:color w:val="232323"/>
          <w:spacing w:val="4"/>
          <w:sz w:val="24"/>
          <w:szCs w:val="24"/>
        </w:rPr>
        <w:t>经由</w:t>
      </w:r>
      <w:r>
        <w:rPr>
          <w:color w:val="232323"/>
          <w:spacing w:val="-98"/>
          <w:sz w:val="24"/>
          <w:szCs w:val="24"/>
        </w:rPr>
        <w:t xml:space="preserve"> </w:t>
      </w:r>
      <w:r>
        <w:rPr>
          <w:color w:val="232323"/>
          <w:spacing w:val="4"/>
          <w:sz w:val="24"/>
          <w:szCs w:val="24"/>
          <w:u w:val="single" w:color="000000"/>
        </w:rPr>
        <w:t xml:space="preserve">             </w:t>
      </w:r>
      <w:r>
        <w:rPr>
          <w:color w:val="232323"/>
          <w:spacing w:val="3"/>
          <w:sz w:val="24"/>
          <w:szCs w:val="24"/>
          <w:u w:val="single" w:color="000000"/>
        </w:rPr>
        <w:t xml:space="preserve">             </w:t>
      </w:r>
      <w:r>
        <w:rPr>
          <w:color w:val="232323"/>
          <w:spacing w:val="3"/>
          <w:sz w:val="24"/>
          <w:szCs w:val="24"/>
        </w:rPr>
        <w:t>（单</w:t>
      </w:r>
      <w:r>
        <w:rPr>
          <w:color w:val="232323"/>
          <w:spacing w:val="9"/>
          <w:sz w:val="24"/>
          <w:szCs w:val="24"/>
        </w:rPr>
        <w:t>位</w:t>
      </w:r>
      <w:r>
        <w:rPr>
          <w:color w:val="232323"/>
          <w:spacing w:val="-36"/>
          <w:sz w:val="24"/>
          <w:szCs w:val="24"/>
        </w:rPr>
        <w:t>）</w:t>
      </w:r>
      <w:r>
        <w:rPr>
          <w:color w:val="232323"/>
          <w:spacing w:val="3"/>
          <w:sz w:val="24"/>
          <w:szCs w:val="24"/>
          <w:u w:val="single" w:color="000000"/>
        </w:rPr>
        <w:t xml:space="preserve">                </w:t>
      </w:r>
      <w:r>
        <w:rPr>
          <w:color w:val="232323"/>
          <w:spacing w:val="-36"/>
          <w:sz w:val="24"/>
          <w:szCs w:val="24"/>
        </w:rPr>
        <w:t>（</w:t>
      </w:r>
      <w:r>
        <w:rPr>
          <w:color w:val="232323"/>
          <w:spacing w:val="9"/>
          <w:sz w:val="24"/>
          <w:szCs w:val="24"/>
        </w:rPr>
        <w:t>法定代表人姓名）合法授权参加</w:t>
      </w:r>
      <w:r>
        <w:rPr>
          <w:rFonts w:hint="eastAsia"/>
          <w:color w:val="232323"/>
          <w:spacing w:val="9"/>
          <w:sz w:val="24"/>
          <w:szCs w:val="24"/>
          <w:lang w:val="en-US" w:eastAsia="zh-CN"/>
        </w:rPr>
        <w:t>智造新城建设项目环评技术评估</w:t>
      </w:r>
      <w:r>
        <w:rPr>
          <w:color w:val="232323"/>
          <w:spacing w:val="6"/>
          <w:sz w:val="24"/>
          <w:szCs w:val="24"/>
        </w:rPr>
        <w:t>（编号：</w:t>
      </w:r>
      <w:r>
        <w:rPr>
          <w:rFonts w:hint="eastAsia" w:ascii="宋体" w:hAnsi="宋体" w:eastAsia="宋体" w:cs="宋体"/>
          <w:color w:val="auto"/>
          <w:sz w:val="24"/>
          <w:szCs w:val="24"/>
          <w:highlight w:val="none"/>
          <w:u w:val="single"/>
          <w:shd w:val="clear" w:color="auto" w:fill="auto"/>
          <w:lang w:val="en-US" w:eastAsia="zh-CN"/>
        </w:rPr>
        <w:t>ZZCG-2025-027</w:t>
      </w:r>
      <w:r>
        <w:rPr>
          <w:color w:val="232323"/>
          <w:spacing w:val="6"/>
          <w:sz w:val="24"/>
          <w:szCs w:val="24"/>
        </w:rPr>
        <w:t>）政府采购活动．经与本单位法人代表（负责人）联系确认，现就有关公平竞争事</w:t>
      </w:r>
      <w:r>
        <w:rPr>
          <w:color w:val="232323"/>
          <w:spacing w:val="8"/>
          <w:sz w:val="24"/>
          <w:szCs w:val="24"/>
        </w:rPr>
        <w:t xml:space="preserve"> </w:t>
      </w:r>
      <w:r>
        <w:rPr>
          <w:color w:val="232323"/>
          <w:spacing w:val="5"/>
          <w:sz w:val="24"/>
          <w:szCs w:val="24"/>
        </w:rPr>
        <w:t>项郑重声明如下:</w:t>
      </w:r>
    </w:p>
    <w:p w14:paraId="69C68FD9">
      <w:pPr>
        <w:pStyle w:val="5"/>
        <w:keepNext w:val="0"/>
        <w:keepLines w:val="0"/>
        <w:pageBreakBefore w:val="0"/>
        <w:kinsoku/>
        <w:wordWrap/>
        <w:overflowPunct/>
        <w:topLinePunct w:val="0"/>
        <w:autoSpaceDE/>
        <w:autoSpaceDN/>
        <w:bidi w:val="0"/>
        <w:adjustRightInd/>
        <w:snapToGrid/>
        <w:spacing w:before="34" w:line="360" w:lineRule="exact"/>
        <w:ind w:left="480"/>
        <w:textAlignment w:val="auto"/>
        <w:outlineLvl w:val="1"/>
        <w:rPr>
          <w:sz w:val="24"/>
          <w:szCs w:val="24"/>
        </w:rPr>
      </w:pPr>
      <w:r>
        <w:rPr>
          <w:color w:val="232323"/>
          <w:spacing w:val="6"/>
          <w:sz w:val="24"/>
          <w:szCs w:val="24"/>
        </w:rPr>
        <w:t>一、本单位与采购人之间口不存在利害关系口存在下列利害关</w:t>
      </w:r>
      <w:r>
        <w:rPr>
          <w:color w:val="232323"/>
          <w:spacing w:val="5"/>
          <w:sz w:val="24"/>
          <w:szCs w:val="24"/>
        </w:rPr>
        <w:t>系:</w:t>
      </w:r>
    </w:p>
    <w:p w14:paraId="0E4C0E15">
      <w:pPr>
        <w:pStyle w:val="5"/>
        <w:keepNext w:val="0"/>
        <w:keepLines w:val="0"/>
        <w:pageBreakBefore w:val="0"/>
        <w:kinsoku/>
        <w:wordWrap/>
        <w:overflowPunct/>
        <w:topLinePunct w:val="0"/>
        <w:autoSpaceDE/>
        <w:autoSpaceDN/>
        <w:bidi w:val="0"/>
        <w:adjustRightInd/>
        <w:snapToGrid/>
        <w:spacing w:before="68" w:line="360" w:lineRule="exact"/>
        <w:ind w:left="467"/>
        <w:textAlignment w:val="auto"/>
        <w:rPr>
          <w:color w:val="232323"/>
          <w:spacing w:val="4"/>
          <w:sz w:val="24"/>
          <w:szCs w:val="24"/>
        </w:rPr>
      </w:pPr>
      <w:r>
        <w:rPr>
          <w:color w:val="232323"/>
          <w:spacing w:val="4"/>
          <w:sz w:val="24"/>
          <w:szCs w:val="24"/>
        </w:rPr>
        <w:t>A．投资关系</w:t>
      </w:r>
    </w:p>
    <w:p w14:paraId="43DF97C3">
      <w:pPr>
        <w:pStyle w:val="5"/>
        <w:keepNext w:val="0"/>
        <w:keepLines w:val="0"/>
        <w:pageBreakBefore w:val="0"/>
        <w:kinsoku/>
        <w:wordWrap/>
        <w:overflowPunct/>
        <w:topLinePunct w:val="0"/>
        <w:autoSpaceDE/>
        <w:autoSpaceDN/>
        <w:bidi w:val="0"/>
        <w:adjustRightInd/>
        <w:snapToGrid/>
        <w:spacing w:before="68" w:line="360" w:lineRule="exact"/>
        <w:ind w:left="467"/>
        <w:textAlignment w:val="auto"/>
        <w:rPr>
          <w:color w:val="232323"/>
          <w:spacing w:val="4"/>
          <w:sz w:val="24"/>
          <w:szCs w:val="24"/>
        </w:rPr>
      </w:pPr>
      <w:r>
        <w:rPr>
          <w:color w:val="232323"/>
          <w:spacing w:val="4"/>
          <w:sz w:val="24"/>
          <w:szCs w:val="24"/>
        </w:rPr>
        <w:t xml:space="preserve">B．行政隶属关系 </w:t>
      </w:r>
    </w:p>
    <w:p w14:paraId="15454723">
      <w:pPr>
        <w:pStyle w:val="5"/>
        <w:keepNext w:val="0"/>
        <w:keepLines w:val="0"/>
        <w:pageBreakBefore w:val="0"/>
        <w:kinsoku/>
        <w:wordWrap/>
        <w:overflowPunct/>
        <w:topLinePunct w:val="0"/>
        <w:autoSpaceDE/>
        <w:autoSpaceDN/>
        <w:bidi w:val="0"/>
        <w:adjustRightInd/>
        <w:snapToGrid/>
        <w:spacing w:before="68" w:line="360" w:lineRule="exact"/>
        <w:ind w:left="467"/>
        <w:textAlignment w:val="auto"/>
        <w:rPr>
          <w:color w:val="232323"/>
          <w:spacing w:val="4"/>
          <w:sz w:val="24"/>
          <w:szCs w:val="24"/>
        </w:rPr>
      </w:pPr>
      <w:r>
        <w:rPr>
          <w:color w:val="232323"/>
          <w:spacing w:val="4"/>
          <w:sz w:val="24"/>
          <w:szCs w:val="24"/>
        </w:rPr>
        <w:t>C．业务指导关系</w:t>
      </w:r>
    </w:p>
    <w:p w14:paraId="2F21B0AD">
      <w:pPr>
        <w:pStyle w:val="5"/>
        <w:keepNext w:val="0"/>
        <w:keepLines w:val="0"/>
        <w:pageBreakBefore w:val="0"/>
        <w:kinsoku/>
        <w:wordWrap/>
        <w:overflowPunct/>
        <w:topLinePunct w:val="0"/>
        <w:autoSpaceDE/>
        <w:autoSpaceDN/>
        <w:bidi w:val="0"/>
        <w:adjustRightInd/>
        <w:snapToGrid/>
        <w:spacing w:before="68" w:line="360" w:lineRule="exact"/>
        <w:ind w:left="467"/>
        <w:textAlignment w:val="auto"/>
        <w:rPr>
          <w:color w:val="232323"/>
          <w:spacing w:val="4"/>
          <w:sz w:val="24"/>
          <w:szCs w:val="24"/>
        </w:rPr>
      </w:pPr>
      <w:r>
        <w:rPr>
          <w:color w:val="232323"/>
          <w:spacing w:val="4"/>
          <w:sz w:val="24"/>
          <w:szCs w:val="24"/>
        </w:rPr>
        <w:t>D．其他可能影响采购公正的利害关系（如有，请如实说明）。</w:t>
      </w:r>
    </w:p>
    <w:p w14:paraId="403273EF">
      <w:pPr>
        <w:pStyle w:val="5"/>
        <w:keepNext w:val="0"/>
        <w:keepLines w:val="0"/>
        <w:pageBreakBefore w:val="0"/>
        <w:kinsoku/>
        <w:wordWrap/>
        <w:overflowPunct/>
        <w:topLinePunct w:val="0"/>
        <w:autoSpaceDE/>
        <w:autoSpaceDN/>
        <w:bidi w:val="0"/>
        <w:adjustRightInd/>
        <w:snapToGrid/>
        <w:spacing w:before="70" w:line="360" w:lineRule="exact"/>
        <w:ind w:left="479"/>
        <w:textAlignment w:val="auto"/>
        <w:rPr>
          <w:sz w:val="24"/>
          <w:szCs w:val="24"/>
        </w:rPr>
      </w:pPr>
      <w:r>
        <w:rPr>
          <w:color w:val="232323"/>
          <w:spacing w:val="5"/>
          <w:sz w:val="24"/>
          <w:szCs w:val="24"/>
        </w:rPr>
        <w:t>二、现己清楚知道参加本项目采购活动的其他所有</w:t>
      </w:r>
      <w:r>
        <w:rPr>
          <w:rFonts w:hint="eastAsia"/>
          <w:color w:val="232323"/>
          <w:spacing w:val="5"/>
          <w:sz w:val="24"/>
          <w:szCs w:val="24"/>
          <w:lang w:eastAsia="zh-CN"/>
        </w:rPr>
        <w:t>投标人</w:t>
      </w:r>
      <w:r>
        <w:rPr>
          <w:color w:val="232323"/>
          <w:spacing w:val="5"/>
          <w:sz w:val="24"/>
          <w:szCs w:val="24"/>
        </w:rPr>
        <w:t>名称，本单位口与其他所有</w:t>
      </w:r>
      <w:r>
        <w:rPr>
          <w:rFonts w:hint="eastAsia"/>
          <w:color w:val="232323"/>
          <w:spacing w:val="5"/>
          <w:sz w:val="24"/>
          <w:szCs w:val="24"/>
          <w:lang w:eastAsia="zh-CN"/>
        </w:rPr>
        <w:t>投标人</w:t>
      </w:r>
      <w:r>
        <w:rPr>
          <w:color w:val="232323"/>
          <w:spacing w:val="5"/>
          <w:sz w:val="24"/>
          <w:szCs w:val="24"/>
        </w:rPr>
        <w:t>之间均不存在利害关系口与</w:t>
      </w:r>
      <w:r>
        <w:rPr>
          <w:color w:val="232323"/>
          <w:spacing w:val="-95"/>
          <w:sz w:val="24"/>
          <w:szCs w:val="24"/>
        </w:rPr>
        <w:t xml:space="preserve"> </w:t>
      </w:r>
      <w:r>
        <w:rPr>
          <w:color w:val="232323"/>
          <w:spacing w:val="5"/>
          <w:sz w:val="24"/>
          <w:szCs w:val="24"/>
          <w:u w:val="single" w:color="000000"/>
        </w:rPr>
        <w:t xml:space="preserve">                </w:t>
      </w:r>
      <w:r>
        <w:rPr>
          <w:color w:val="232323"/>
          <w:spacing w:val="5"/>
          <w:sz w:val="24"/>
          <w:szCs w:val="24"/>
        </w:rPr>
        <w:t>（</w:t>
      </w:r>
      <w:r>
        <w:rPr>
          <w:rFonts w:hint="eastAsia"/>
          <w:color w:val="232323"/>
          <w:spacing w:val="5"/>
          <w:sz w:val="24"/>
          <w:szCs w:val="24"/>
          <w:lang w:eastAsia="zh-CN"/>
        </w:rPr>
        <w:t>投标人</w:t>
      </w:r>
      <w:r>
        <w:rPr>
          <w:color w:val="232323"/>
          <w:spacing w:val="5"/>
          <w:sz w:val="24"/>
          <w:szCs w:val="24"/>
        </w:rPr>
        <w:t>名称）之间存在下列利害关系:</w:t>
      </w:r>
    </w:p>
    <w:p w14:paraId="5F9F9AB3">
      <w:pPr>
        <w:pStyle w:val="5"/>
        <w:keepNext w:val="0"/>
        <w:keepLines w:val="0"/>
        <w:pageBreakBefore w:val="0"/>
        <w:kinsoku/>
        <w:wordWrap/>
        <w:overflowPunct/>
        <w:topLinePunct w:val="0"/>
        <w:autoSpaceDE/>
        <w:autoSpaceDN/>
        <w:bidi w:val="0"/>
        <w:adjustRightInd/>
        <w:snapToGrid/>
        <w:spacing w:before="71" w:line="360" w:lineRule="exact"/>
        <w:ind w:left="835"/>
        <w:textAlignment w:val="auto"/>
        <w:rPr>
          <w:sz w:val="24"/>
          <w:szCs w:val="24"/>
        </w:rPr>
      </w:pPr>
      <w:r>
        <w:rPr>
          <w:color w:val="232323"/>
          <w:spacing w:val="6"/>
          <w:sz w:val="24"/>
          <w:szCs w:val="24"/>
        </w:rPr>
        <w:t>A．法定代表人或负责人或实际控制人是同一人</w:t>
      </w:r>
    </w:p>
    <w:p w14:paraId="11ABC633">
      <w:pPr>
        <w:pStyle w:val="5"/>
        <w:keepNext w:val="0"/>
        <w:keepLines w:val="0"/>
        <w:pageBreakBefore w:val="0"/>
        <w:kinsoku/>
        <w:wordWrap/>
        <w:overflowPunct/>
        <w:topLinePunct w:val="0"/>
        <w:autoSpaceDE/>
        <w:autoSpaceDN/>
        <w:bidi w:val="0"/>
        <w:adjustRightInd/>
        <w:snapToGrid/>
        <w:spacing w:before="68" w:line="360" w:lineRule="exact"/>
        <w:ind w:left="835"/>
        <w:textAlignment w:val="auto"/>
        <w:rPr>
          <w:sz w:val="24"/>
          <w:szCs w:val="24"/>
        </w:rPr>
      </w:pPr>
      <w:r>
        <w:rPr>
          <w:color w:val="232323"/>
          <w:spacing w:val="6"/>
          <w:sz w:val="24"/>
          <w:szCs w:val="24"/>
        </w:rPr>
        <w:t>B．法定代表人或负责人或实际控制人是夫妻关系</w:t>
      </w:r>
    </w:p>
    <w:p w14:paraId="0EA14767">
      <w:pPr>
        <w:pStyle w:val="5"/>
        <w:keepNext w:val="0"/>
        <w:keepLines w:val="0"/>
        <w:pageBreakBefore w:val="0"/>
        <w:kinsoku/>
        <w:wordWrap/>
        <w:overflowPunct/>
        <w:topLinePunct w:val="0"/>
        <w:autoSpaceDE/>
        <w:autoSpaceDN/>
        <w:bidi w:val="0"/>
        <w:adjustRightInd/>
        <w:snapToGrid/>
        <w:spacing w:before="69" w:line="360" w:lineRule="exact"/>
        <w:ind w:left="836"/>
        <w:textAlignment w:val="auto"/>
        <w:rPr>
          <w:sz w:val="24"/>
          <w:szCs w:val="24"/>
        </w:rPr>
      </w:pPr>
      <w:r>
        <w:rPr>
          <w:color w:val="232323"/>
          <w:spacing w:val="6"/>
          <w:sz w:val="24"/>
          <w:szCs w:val="24"/>
        </w:rPr>
        <w:t>C．法定代表人或负责人或实际控制人是直系血亲关系</w:t>
      </w:r>
    </w:p>
    <w:p w14:paraId="0F38DB01">
      <w:pPr>
        <w:pStyle w:val="5"/>
        <w:keepNext w:val="0"/>
        <w:keepLines w:val="0"/>
        <w:pageBreakBefore w:val="0"/>
        <w:kinsoku/>
        <w:wordWrap/>
        <w:overflowPunct/>
        <w:topLinePunct w:val="0"/>
        <w:autoSpaceDE/>
        <w:autoSpaceDN/>
        <w:bidi w:val="0"/>
        <w:adjustRightInd/>
        <w:snapToGrid/>
        <w:spacing w:before="69" w:line="360" w:lineRule="exact"/>
        <w:ind w:left="836"/>
        <w:textAlignment w:val="auto"/>
        <w:rPr>
          <w:sz w:val="24"/>
          <w:szCs w:val="24"/>
        </w:rPr>
      </w:pPr>
      <w:r>
        <w:rPr>
          <w:color w:val="232323"/>
          <w:spacing w:val="6"/>
          <w:sz w:val="24"/>
          <w:szCs w:val="24"/>
        </w:rPr>
        <w:t>D．法定代表人或负责人或实际控制人存在三代以内旁系血亲关系</w:t>
      </w:r>
    </w:p>
    <w:p w14:paraId="2B4292A1">
      <w:pPr>
        <w:pStyle w:val="5"/>
        <w:keepNext w:val="0"/>
        <w:keepLines w:val="0"/>
        <w:pageBreakBefore w:val="0"/>
        <w:kinsoku/>
        <w:wordWrap/>
        <w:overflowPunct/>
        <w:topLinePunct w:val="0"/>
        <w:autoSpaceDE/>
        <w:autoSpaceDN/>
        <w:bidi w:val="0"/>
        <w:adjustRightInd/>
        <w:snapToGrid/>
        <w:spacing w:before="71" w:line="360" w:lineRule="exact"/>
        <w:ind w:left="836"/>
        <w:textAlignment w:val="auto"/>
        <w:rPr>
          <w:sz w:val="24"/>
          <w:szCs w:val="24"/>
        </w:rPr>
      </w:pPr>
      <w:r>
        <w:rPr>
          <w:color w:val="232323"/>
          <w:spacing w:val="6"/>
          <w:sz w:val="24"/>
          <w:szCs w:val="24"/>
        </w:rPr>
        <w:t>E．法定代表人或负责人或实际控制人存在近姻亲关系</w:t>
      </w:r>
    </w:p>
    <w:p w14:paraId="47B642AE">
      <w:pPr>
        <w:pStyle w:val="5"/>
        <w:keepNext w:val="0"/>
        <w:keepLines w:val="0"/>
        <w:pageBreakBefore w:val="0"/>
        <w:kinsoku/>
        <w:wordWrap/>
        <w:overflowPunct/>
        <w:topLinePunct w:val="0"/>
        <w:autoSpaceDE/>
        <w:autoSpaceDN/>
        <w:bidi w:val="0"/>
        <w:adjustRightInd/>
        <w:snapToGrid/>
        <w:spacing w:before="70" w:line="360" w:lineRule="exact"/>
        <w:ind w:left="836"/>
        <w:textAlignment w:val="auto"/>
        <w:rPr>
          <w:sz w:val="24"/>
          <w:szCs w:val="24"/>
        </w:rPr>
      </w:pPr>
      <w:r>
        <w:rPr>
          <w:color w:val="232323"/>
          <w:spacing w:val="6"/>
          <w:sz w:val="24"/>
          <w:szCs w:val="24"/>
        </w:rPr>
        <w:t>F．法定代表人或负责人或实际控制人存在股份控制或实际控制关系</w:t>
      </w:r>
    </w:p>
    <w:p w14:paraId="42223757">
      <w:pPr>
        <w:pStyle w:val="5"/>
        <w:keepNext w:val="0"/>
        <w:keepLines w:val="0"/>
        <w:pageBreakBefore w:val="0"/>
        <w:kinsoku/>
        <w:wordWrap/>
        <w:overflowPunct/>
        <w:topLinePunct w:val="0"/>
        <w:autoSpaceDE/>
        <w:autoSpaceDN/>
        <w:bidi w:val="0"/>
        <w:adjustRightInd/>
        <w:snapToGrid/>
        <w:spacing w:before="71" w:line="360" w:lineRule="exact"/>
        <w:ind w:left="836"/>
        <w:textAlignment w:val="auto"/>
        <w:rPr>
          <w:sz w:val="24"/>
          <w:szCs w:val="24"/>
        </w:rPr>
      </w:pPr>
      <w:r>
        <w:rPr>
          <w:color w:val="232323"/>
          <w:spacing w:val="6"/>
          <w:sz w:val="24"/>
          <w:szCs w:val="24"/>
        </w:rPr>
        <w:t>G．存在共同直接或间接投资设立子公司、联营企业和合营企业情况</w:t>
      </w:r>
    </w:p>
    <w:p w14:paraId="769542F2">
      <w:pPr>
        <w:pStyle w:val="5"/>
        <w:keepNext w:val="0"/>
        <w:keepLines w:val="0"/>
        <w:pageBreakBefore w:val="0"/>
        <w:kinsoku/>
        <w:wordWrap/>
        <w:overflowPunct/>
        <w:topLinePunct w:val="0"/>
        <w:autoSpaceDE/>
        <w:autoSpaceDN/>
        <w:bidi w:val="0"/>
        <w:adjustRightInd/>
        <w:snapToGrid/>
        <w:spacing w:before="71" w:line="360" w:lineRule="exact"/>
        <w:ind w:left="128" w:right="194" w:firstLine="709"/>
        <w:textAlignment w:val="auto"/>
        <w:rPr>
          <w:sz w:val="24"/>
          <w:szCs w:val="24"/>
        </w:rPr>
      </w:pPr>
      <w:r>
        <w:rPr>
          <w:color w:val="232323"/>
          <w:spacing w:val="5"/>
          <w:sz w:val="24"/>
          <w:szCs w:val="24"/>
        </w:rPr>
        <w:t>H．存在分级代理或代销关系、同一生产制造商关系、管理关系、重要业务（</w:t>
      </w:r>
      <w:r>
        <w:rPr>
          <w:color w:val="232323"/>
          <w:spacing w:val="-31"/>
          <w:sz w:val="24"/>
          <w:szCs w:val="24"/>
        </w:rPr>
        <w:t xml:space="preserve"> </w:t>
      </w:r>
      <w:r>
        <w:rPr>
          <w:color w:val="232323"/>
          <w:spacing w:val="5"/>
          <w:sz w:val="24"/>
          <w:szCs w:val="24"/>
        </w:rPr>
        <w:t>占主营业务收入</w:t>
      </w:r>
      <w:r>
        <w:rPr>
          <w:color w:val="232323"/>
          <w:spacing w:val="4"/>
          <w:sz w:val="24"/>
          <w:szCs w:val="24"/>
        </w:rPr>
        <w:t xml:space="preserve"> 50</w:t>
      </w:r>
      <w:r>
        <w:rPr>
          <w:color w:val="232323"/>
          <w:spacing w:val="51"/>
          <w:sz w:val="24"/>
          <w:szCs w:val="24"/>
        </w:rPr>
        <w:t xml:space="preserve"> </w:t>
      </w:r>
      <w:r>
        <w:rPr>
          <w:color w:val="232323"/>
          <w:spacing w:val="4"/>
          <w:sz w:val="24"/>
          <w:szCs w:val="24"/>
        </w:rPr>
        <w:t>%</w:t>
      </w:r>
      <w:r>
        <w:rPr>
          <w:color w:val="232323"/>
          <w:sz w:val="24"/>
          <w:szCs w:val="24"/>
        </w:rPr>
        <w:t xml:space="preserve"> </w:t>
      </w:r>
      <w:r>
        <w:rPr>
          <w:color w:val="232323"/>
          <w:spacing w:val="5"/>
          <w:sz w:val="24"/>
          <w:szCs w:val="24"/>
        </w:rPr>
        <w:t>以上）或重要财务往来关系（如融资）等其他实质性控制关系</w:t>
      </w:r>
    </w:p>
    <w:p w14:paraId="1540AF75">
      <w:pPr>
        <w:pStyle w:val="5"/>
        <w:keepNext w:val="0"/>
        <w:keepLines w:val="0"/>
        <w:pageBreakBefore w:val="0"/>
        <w:kinsoku/>
        <w:wordWrap/>
        <w:overflowPunct/>
        <w:topLinePunct w:val="0"/>
        <w:autoSpaceDE/>
        <w:autoSpaceDN/>
        <w:bidi w:val="0"/>
        <w:adjustRightInd/>
        <w:snapToGrid/>
        <w:spacing w:before="71" w:line="360" w:lineRule="exact"/>
        <w:ind w:left="851"/>
        <w:textAlignment w:val="auto"/>
        <w:rPr>
          <w:sz w:val="24"/>
          <w:szCs w:val="24"/>
        </w:rPr>
      </w:pPr>
      <w:r>
        <w:rPr>
          <w:color w:val="232323"/>
          <w:spacing w:val="3"/>
          <w:sz w:val="24"/>
          <w:szCs w:val="24"/>
        </w:rPr>
        <w:t>I．其他利害关系情况</w:t>
      </w:r>
      <w:r>
        <w:rPr>
          <w:color w:val="232323"/>
          <w:spacing w:val="-94"/>
          <w:sz w:val="24"/>
          <w:szCs w:val="24"/>
        </w:rPr>
        <w:t xml:space="preserve"> </w:t>
      </w:r>
      <w:r>
        <w:rPr>
          <w:color w:val="232323"/>
          <w:spacing w:val="1"/>
          <w:sz w:val="24"/>
          <w:szCs w:val="24"/>
          <w:u w:val="single" w:color="000000"/>
        </w:rPr>
        <w:t xml:space="preserve">                   </w:t>
      </w:r>
      <w:r>
        <w:rPr>
          <w:color w:val="232323"/>
          <w:sz w:val="24"/>
          <w:szCs w:val="24"/>
          <w:u w:val="single" w:color="000000"/>
        </w:rPr>
        <w:t xml:space="preserve">                 </w:t>
      </w:r>
      <w:r>
        <w:rPr>
          <w:color w:val="232323"/>
          <w:spacing w:val="3"/>
          <w:sz w:val="24"/>
          <w:szCs w:val="24"/>
        </w:rPr>
        <w:t>。</w:t>
      </w:r>
    </w:p>
    <w:p w14:paraId="2FBC11E4">
      <w:pPr>
        <w:pStyle w:val="5"/>
        <w:keepNext w:val="0"/>
        <w:keepLines w:val="0"/>
        <w:pageBreakBefore w:val="0"/>
        <w:kinsoku/>
        <w:wordWrap/>
        <w:overflowPunct/>
        <w:topLinePunct w:val="0"/>
        <w:autoSpaceDE/>
        <w:autoSpaceDN/>
        <w:bidi w:val="0"/>
        <w:adjustRightInd/>
        <w:snapToGrid/>
        <w:spacing w:before="69" w:line="360" w:lineRule="exact"/>
        <w:ind w:left="483"/>
        <w:textAlignment w:val="auto"/>
        <w:rPr>
          <w:sz w:val="24"/>
          <w:szCs w:val="24"/>
        </w:rPr>
      </w:pPr>
      <w:r>
        <w:rPr>
          <w:color w:val="232323"/>
          <w:spacing w:val="5"/>
          <w:sz w:val="24"/>
          <w:szCs w:val="24"/>
        </w:rPr>
        <w:t>三、现己清楚知道并严格遵守政府采购法律法规和现场纪律。</w:t>
      </w:r>
    </w:p>
    <w:p w14:paraId="167E5B87">
      <w:pPr>
        <w:pStyle w:val="5"/>
        <w:keepNext w:val="0"/>
        <w:keepLines w:val="0"/>
        <w:pageBreakBefore w:val="0"/>
        <w:kinsoku/>
        <w:wordWrap/>
        <w:overflowPunct/>
        <w:topLinePunct w:val="0"/>
        <w:autoSpaceDE/>
        <w:autoSpaceDN/>
        <w:bidi w:val="0"/>
        <w:adjustRightInd/>
        <w:snapToGrid/>
        <w:spacing w:before="70" w:line="360" w:lineRule="exact"/>
        <w:ind w:left="491"/>
        <w:textAlignment w:val="auto"/>
        <w:rPr>
          <w:sz w:val="24"/>
          <w:szCs w:val="24"/>
        </w:rPr>
      </w:pPr>
      <w:r>
        <w:rPr>
          <w:color w:val="232323"/>
          <w:spacing w:val="5"/>
          <w:sz w:val="24"/>
          <w:szCs w:val="24"/>
        </w:rPr>
        <w:t>四、我发现</w:t>
      </w:r>
      <w:r>
        <w:rPr>
          <w:color w:val="232323"/>
          <w:spacing w:val="-99"/>
          <w:sz w:val="24"/>
          <w:szCs w:val="24"/>
        </w:rPr>
        <w:t xml:space="preserve"> </w:t>
      </w:r>
      <w:r>
        <w:rPr>
          <w:color w:val="232323"/>
          <w:spacing w:val="3"/>
          <w:sz w:val="24"/>
          <w:szCs w:val="24"/>
          <w:u w:val="single" w:color="000000"/>
        </w:rPr>
        <w:t xml:space="preserve">                </w:t>
      </w:r>
      <w:r>
        <w:rPr>
          <w:color w:val="232323"/>
          <w:spacing w:val="-89"/>
          <w:sz w:val="24"/>
          <w:szCs w:val="24"/>
        </w:rPr>
        <w:t xml:space="preserve"> </w:t>
      </w:r>
      <w:r>
        <w:rPr>
          <w:rFonts w:hint="eastAsia"/>
          <w:color w:val="232323"/>
          <w:spacing w:val="5"/>
          <w:sz w:val="24"/>
          <w:szCs w:val="24"/>
          <w:lang w:eastAsia="zh-CN"/>
        </w:rPr>
        <w:t>投标人</w:t>
      </w:r>
      <w:r>
        <w:rPr>
          <w:color w:val="232323"/>
          <w:spacing w:val="5"/>
          <w:sz w:val="24"/>
          <w:szCs w:val="24"/>
        </w:rPr>
        <w:t>之间存在或可能存在上述第二条第</w:t>
      </w:r>
      <w:r>
        <w:rPr>
          <w:color w:val="232323"/>
          <w:spacing w:val="-98"/>
          <w:sz w:val="24"/>
          <w:szCs w:val="24"/>
        </w:rPr>
        <w:t xml:space="preserve"> </w:t>
      </w:r>
      <w:r>
        <w:rPr>
          <w:color w:val="232323"/>
          <w:spacing w:val="3"/>
          <w:sz w:val="24"/>
          <w:szCs w:val="24"/>
          <w:u w:val="single" w:color="000000"/>
        </w:rPr>
        <w:t xml:space="preserve">                </w:t>
      </w:r>
      <w:r>
        <w:rPr>
          <w:color w:val="232323"/>
          <w:spacing w:val="-83"/>
          <w:sz w:val="24"/>
          <w:szCs w:val="24"/>
        </w:rPr>
        <w:t xml:space="preserve"> </w:t>
      </w:r>
      <w:r>
        <w:rPr>
          <w:color w:val="232323"/>
          <w:spacing w:val="4"/>
          <w:sz w:val="24"/>
          <w:szCs w:val="24"/>
        </w:rPr>
        <w:t>项利害关系。</w:t>
      </w:r>
    </w:p>
    <w:p w14:paraId="24D04C92">
      <w:pPr>
        <w:pStyle w:val="5"/>
        <w:keepNext w:val="0"/>
        <w:keepLines w:val="0"/>
        <w:pageBreakBefore w:val="0"/>
        <w:kinsoku/>
        <w:wordWrap/>
        <w:overflowPunct/>
        <w:topLinePunct w:val="0"/>
        <w:autoSpaceDE/>
        <w:autoSpaceDN/>
        <w:bidi w:val="0"/>
        <w:adjustRightInd/>
        <w:snapToGrid/>
        <w:spacing w:before="209" w:line="360" w:lineRule="exact"/>
        <w:ind w:left="96"/>
        <w:textAlignment w:val="auto"/>
        <w:rPr>
          <w:sz w:val="24"/>
          <w:szCs w:val="24"/>
        </w:rPr>
      </w:pPr>
      <w:r>
        <w:rPr>
          <w:rFonts w:hint="eastAsia"/>
          <w:color w:val="232323"/>
          <w:spacing w:val="5"/>
          <w:sz w:val="24"/>
          <w:szCs w:val="24"/>
          <w:lang w:eastAsia="zh-CN"/>
        </w:rPr>
        <w:t>投标人</w:t>
      </w:r>
      <w:r>
        <w:rPr>
          <w:color w:val="232323"/>
          <w:spacing w:val="5"/>
          <w:sz w:val="24"/>
          <w:szCs w:val="24"/>
        </w:rPr>
        <w:t>代表签名：</w:t>
      </w:r>
    </w:p>
    <w:p w14:paraId="60EC3C0C">
      <w:pPr>
        <w:pStyle w:val="591"/>
        <w:keepNext w:val="0"/>
        <w:keepLines w:val="0"/>
        <w:pageBreakBefore w:val="0"/>
        <w:kinsoku/>
        <w:wordWrap/>
        <w:overflowPunct/>
        <w:topLinePunct w:val="0"/>
        <w:autoSpaceDE/>
        <w:autoSpaceDN/>
        <w:bidi w:val="0"/>
        <w:adjustRightInd/>
        <w:snapToGrid/>
        <w:spacing w:line="360" w:lineRule="exact"/>
        <w:ind w:left="0" w:leftChars="0" w:right="0" w:rightChars="0" w:firstLine="6250" w:firstLineChars="2500"/>
        <w:textAlignment w:val="auto"/>
        <w:rPr>
          <w:rFonts w:ascii="Calibri" w:hAnsi="Calibri" w:eastAsia="宋体" w:cs="Times New Roman"/>
          <w:color w:val="232323"/>
          <w:spacing w:val="5"/>
          <w:kern w:val="2"/>
          <w:sz w:val="24"/>
          <w:szCs w:val="24"/>
          <w:lang w:val="en-US" w:eastAsia="zh-CN" w:bidi="ar-SA"/>
        </w:rPr>
      </w:pPr>
      <w:r>
        <w:rPr>
          <w:rFonts w:ascii="Calibri" w:hAnsi="Calibri" w:eastAsia="宋体" w:cs="Times New Roman"/>
          <w:color w:val="232323"/>
          <w:spacing w:val="5"/>
          <w:kern w:val="2"/>
          <w:sz w:val="24"/>
          <w:szCs w:val="24"/>
          <w:lang w:val="en-US" w:eastAsia="zh-CN" w:bidi="ar-SA"/>
        </w:rPr>
        <w:t>2025年</w:t>
      </w:r>
      <w:r>
        <w:rPr>
          <w:rFonts w:hint="eastAsia" w:ascii="Calibri" w:hAnsi="Calibri" w:eastAsia="宋体" w:cs="Times New Roman"/>
          <w:color w:val="232323"/>
          <w:spacing w:val="5"/>
          <w:kern w:val="2"/>
          <w:sz w:val="24"/>
          <w:szCs w:val="24"/>
          <w:lang w:val="en-US" w:eastAsia="zh-CN" w:bidi="ar-SA"/>
        </w:rPr>
        <w:t xml:space="preserve">  </w:t>
      </w:r>
      <w:r>
        <w:rPr>
          <w:rFonts w:ascii="Calibri" w:hAnsi="Calibri" w:eastAsia="宋体" w:cs="Times New Roman"/>
          <w:color w:val="232323"/>
          <w:spacing w:val="5"/>
          <w:kern w:val="2"/>
          <w:sz w:val="24"/>
          <w:szCs w:val="24"/>
          <w:lang w:val="en-US" w:eastAsia="zh-CN" w:bidi="ar-SA"/>
        </w:rPr>
        <w:t>月</w:t>
      </w:r>
      <w:r>
        <w:rPr>
          <w:rFonts w:hint="eastAsia" w:ascii="Calibri" w:hAnsi="Calibri" w:eastAsia="宋体" w:cs="Times New Roman"/>
          <w:color w:val="232323"/>
          <w:spacing w:val="5"/>
          <w:kern w:val="2"/>
          <w:sz w:val="24"/>
          <w:szCs w:val="24"/>
          <w:lang w:val="en-US" w:eastAsia="zh-CN" w:bidi="ar-SA"/>
        </w:rPr>
        <w:t xml:space="preserve">  </w:t>
      </w:r>
      <w:r>
        <w:rPr>
          <w:rFonts w:ascii="Calibri" w:hAnsi="Calibri" w:eastAsia="宋体" w:cs="Times New Roman"/>
          <w:color w:val="232323"/>
          <w:spacing w:val="5"/>
          <w:kern w:val="2"/>
          <w:sz w:val="24"/>
          <w:szCs w:val="24"/>
          <w:lang w:val="en-US" w:eastAsia="zh-CN" w:bidi="ar-SA"/>
        </w:rPr>
        <w:t>日</w:t>
      </w:r>
    </w:p>
    <w:p w14:paraId="01622E87">
      <w:pPr>
        <w:pStyle w:val="629"/>
        <w:keepNext w:val="0"/>
        <w:keepLines w:val="0"/>
        <w:pageBreakBefore w:val="0"/>
        <w:widowControl/>
        <w:kinsoku/>
        <w:wordWrap/>
        <w:overflowPunct/>
        <w:topLinePunct w:val="0"/>
        <w:autoSpaceDE/>
        <w:autoSpaceDN/>
        <w:bidi w:val="0"/>
        <w:adjustRightInd w:val="0"/>
        <w:snapToGrid w:val="0"/>
        <w:spacing w:after="0" w:line="380" w:lineRule="exact"/>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注：投标人在结束解密后30分钟内将填写完整且经授权代表签署的《采购活动现场确认声明书》扫描件发至经办人邮箱（邮箱地址：504727921@qq.com）</w:t>
      </w:r>
    </w:p>
    <w:p w14:paraId="615003AD">
      <w:pPr>
        <w:pStyle w:val="591"/>
        <w:pageBreakBefore w:val="0"/>
        <w:kinsoku/>
        <w:wordWrap/>
        <w:overflowPunct/>
        <w:topLinePunct w:val="0"/>
        <w:bidi w:val="0"/>
        <w:spacing w:line="400" w:lineRule="exact"/>
        <w:ind w:left="0" w:leftChars="0" w:right="0" w:rightChars="0" w:firstLine="7250" w:firstLineChars="2500"/>
        <w:textAlignment w:val="auto"/>
        <w:rPr>
          <w:rFonts w:hint="eastAsia" w:ascii="Calibri" w:hAnsi="Calibri" w:eastAsia="宋体" w:cs="Times New Roman"/>
          <w:color w:val="232323"/>
          <w:spacing w:val="5"/>
          <w:kern w:val="2"/>
          <w:sz w:val="28"/>
          <w:lang w:val="en-US" w:eastAsia="zh-CN" w:bidi="ar-SA"/>
        </w:rPr>
      </w:pPr>
    </w:p>
    <w:sectPr>
      <w:pgSz w:w="11906" w:h="16838"/>
      <w:pgMar w:top="720" w:right="720" w:bottom="720" w:left="720" w:header="851" w:footer="851" w:gutter="0"/>
      <w:pgBorders>
        <w:top w:val="none" w:sz="0" w:space="0"/>
        <w:left w:val="none" w:sz="0" w:space="0"/>
        <w:bottom w:val="none" w:sz="0" w:space="0"/>
        <w:right w:val="none" w:sz="0" w:space="0"/>
      </w:pgBorders>
      <w:pgNumType w:fmt="decimal"/>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华文楷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HYKai U3HK">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Yu Gothic"/>
    <w:panose1 w:val="00000000000000000000"/>
    <w:charset w:val="80"/>
    <w:family w:val="auto"/>
    <w:pitch w:val="default"/>
    <w:sig w:usb0="00000000" w:usb1="00000000" w:usb2="00000012" w:usb3="00000000" w:csb0="0002000D" w:csb1="00000000"/>
  </w:font>
  <w:font w:name="??_GB2312">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BDDE7">
    <w:pPr>
      <w:pStyle w:val="56"/>
      <w:jc w:val="center"/>
    </w:pPr>
  </w:p>
  <w:p w14:paraId="112A2D95">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F7440">
    <w:pPr>
      <w:pStyle w:val="56"/>
      <w:framePr w:wrap="around" w:vAnchor="text" w:hAnchor="margin" w:xAlign="center" w:y="1"/>
      <w:rPr>
        <w:rStyle w:val="94"/>
      </w:rPr>
    </w:pPr>
    <w:r>
      <w:fldChar w:fldCharType="begin"/>
    </w:r>
    <w:r>
      <w:rPr>
        <w:rStyle w:val="94"/>
      </w:rPr>
      <w:instrText xml:space="preserve">PAGE  </w:instrText>
    </w:r>
    <w:r>
      <w:fldChar w:fldCharType="separate"/>
    </w:r>
    <w:r>
      <w:rPr>
        <w:rStyle w:val="94"/>
      </w:rPr>
      <w:t>1</w:t>
    </w:r>
    <w:r>
      <w:fldChar w:fldCharType="end"/>
    </w:r>
  </w:p>
  <w:p w14:paraId="4C300C1A">
    <w:pPr>
      <w:pStyle w:val="56"/>
    </w:pPr>
  </w:p>
  <w:p w14:paraId="09A10F66"/>
  <w:p w14:paraId="0F576D8D"/>
  <w:p w14:paraId="43AFDD2A"/>
  <w:p w14:paraId="66416418"/>
  <w:p w14:paraId="1464266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F82E2">
    <w:pPr>
      <w:pStyle w:val="5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63123">
                          <w:pPr>
                            <w:pStyle w:val="56"/>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5A63123">
                    <w:pPr>
                      <w:pStyle w:val="56"/>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01BC4">
    <w:pPr>
      <w:pStyle w:val="5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5CA2F">
                          <w:pPr>
                            <w:pStyle w:val="5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285CA2F">
                    <w:pPr>
                      <w:pStyle w:val="5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6B95ED3B">
    <w:pPr>
      <w:pStyle w:val="5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1E00A">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E65958">
                          <w:pPr>
                            <w:pStyle w:val="56"/>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6DE65958">
                    <w:pPr>
                      <w:pStyle w:val="5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8BA3B">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28F718">
                          <w:pPr>
                            <w:pStyle w:val="56"/>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5728F718">
                    <w:pPr>
                      <w:pStyle w:val="5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AE15A">
    <w:pPr>
      <w:pStyle w:val="56"/>
      <w:spacing w:before="120" w:after="120"/>
      <w:ind w:firstLine="422"/>
      <w:jc w:val="center"/>
      <w:rPr>
        <w:b/>
        <w:color w:val="984806"/>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BE478">
                          <w:pPr>
                            <w:pStyle w:val="56"/>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DDBE478">
                    <w:pPr>
                      <w:pStyle w:val="56"/>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96AD5">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1E347">
                          <w:pPr>
                            <w:pStyle w:val="56"/>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A01E347">
                    <w:pPr>
                      <w:pStyle w:val="56"/>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2BD76">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E3B45">
                          <w:pPr>
                            <w:pStyle w:val="56"/>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2AE3B45">
                    <w:pPr>
                      <w:pStyle w:val="56"/>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E06A7">
    <w:pPr>
      <w:pStyle w:val="5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C22F7">
    <w:pPr>
      <w:pStyle w:val="58"/>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80B03">
    <w:pPr>
      <w:pStyle w:val="5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B16FE">
    <w:pPr>
      <w:pStyle w:val="5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78FC4"/>
    <w:multiLevelType w:val="singleLevel"/>
    <w:tmpl w:val="99C78FC4"/>
    <w:lvl w:ilvl="0" w:tentative="0">
      <w:start w:val="3"/>
      <w:numFmt w:val="chineseCounting"/>
      <w:suff w:val="space"/>
      <w:lvlText w:val="第%1部分"/>
      <w:lvlJc w:val="left"/>
      <w:rPr>
        <w:rFonts w:hint="eastAsia"/>
      </w:rPr>
    </w:lvl>
  </w:abstractNum>
  <w:abstractNum w:abstractNumId="1">
    <w:nsid w:val="E97CC6C7"/>
    <w:multiLevelType w:val="singleLevel"/>
    <w:tmpl w:val="E97CC6C7"/>
    <w:lvl w:ilvl="0" w:tentative="0">
      <w:start w:val="5"/>
      <w:numFmt w:val="chineseCounting"/>
      <w:suff w:val="nothing"/>
      <w:lvlText w:val="%1、"/>
      <w:lvlJc w:val="left"/>
      <w:rPr>
        <w:rFonts w:hint="eastAsia"/>
      </w:rPr>
    </w:lvl>
  </w:abstractNum>
  <w:abstractNum w:abstractNumId="2">
    <w:nsid w:val="F674539E"/>
    <w:multiLevelType w:val="singleLevel"/>
    <w:tmpl w:val="F674539E"/>
    <w:lvl w:ilvl="0" w:tentative="0">
      <w:start w:val="1"/>
      <w:numFmt w:val="decimal"/>
      <w:suff w:val="nothing"/>
      <w:lvlText w:val="（%1）"/>
      <w:lvlJc w:val="left"/>
    </w:lvl>
  </w:abstractNum>
  <w:abstractNum w:abstractNumId="3">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15"/>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4">
    <w:nsid w:val="3E21619A"/>
    <w:multiLevelType w:val="singleLevel"/>
    <w:tmpl w:val="3E21619A"/>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MDk0NWFiZmRmYTdhMWNkODA3ZTYyMjg1MWY2MWMifQ=="/>
  </w:docVars>
  <w:rsids>
    <w:rsidRoot w:val="007A5D82"/>
    <w:rsid w:val="00027E82"/>
    <w:rsid w:val="00046B9C"/>
    <w:rsid w:val="000B2DD3"/>
    <w:rsid w:val="000B6D1D"/>
    <w:rsid w:val="000C5583"/>
    <w:rsid w:val="000D1422"/>
    <w:rsid w:val="00105D0F"/>
    <w:rsid w:val="0013265A"/>
    <w:rsid w:val="0015040C"/>
    <w:rsid w:val="001A0CD4"/>
    <w:rsid w:val="001B2290"/>
    <w:rsid w:val="002131C9"/>
    <w:rsid w:val="002272AD"/>
    <w:rsid w:val="00243D83"/>
    <w:rsid w:val="0025204E"/>
    <w:rsid w:val="002903B8"/>
    <w:rsid w:val="0034556A"/>
    <w:rsid w:val="003A42CB"/>
    <w:rsid w:val="003C5EF4"/>
    <w:rsid w:val="00406FB1"/>
    <w:rsid w:val="00415500"/>
    <w:rsid w:val="00430F02"/>
    <w:rsid w:val="00483399"/>
    <w:rsid w:val="0048446F"/>
    <w:rsid w:val="004C66FE"/>
    <w:rsid w:val="005016A3"/>
    <w:rsid w:val="00553F2B"/>
    <w:rsid w:val="00560C55"/>
    <w:rsid w:val="005770C6"/>
    <w:rsid w:val="005844EC"/>
    <w:rsid w:val="00592201"/>
    <w:rsid w:val="005D5A89"/>
    <w:rsid w:val="00620CEE"/>
    <w:rsid w:val="006475F9"/>
    <w:rsid w:val="006557B5"/>
    <w:rsid w:val="0067025D"/>
    <w:rsid w:val="006D68BC"/>
    <w:rsid w:val="006F7EC8"/>
    <w:rsid w:val="007221E1"/>
    <w:rsid w:val="007506F2"/>
    <w:rsid w:val="00785368"/>
    <w:rsid w:val="0079676D"/>
    <w:rsid w:val="007A5D82"/>
    <w:rsid w:val="007C3852"/>
    <w:rsid w:val="007F7870"/>
    <w:rsid w:val="00806165"/>
    <w:rsid w:val="00842EA4"/>
    <w:rsid w:val="008618A5"/>
    <w:rsid w:val="0088327D"/>
    <w:rsid w:val="008B6D38"/>
    <w:rsid w:val="008D4084"/>
    <w:rsid w:val="0090511E"/>
    <w:rsid w:val="009175E9"/>
    <w:rsid w:val="00965F66"/>
    <w:rsid w:val="009948A6"/>
    <w:rsid w:val="009D3545"/>
    <w:rsid w:val="009F125B"/>
    <w:rsid w:val="009F2638"/>
    <w:rsid w:val="00A30AEF"/>
    <w:rsid w:val="00A74250"/>
    <w:rsid w:val="00AA31C9"/>
    <w:rsid w:val="00AE44FE"/>
    <w:rsid w:val="00B1163D"/>
    <w:rsid w:val="00B2721C"/>
    <w:rsid w:val="00B34A9D"/>
    <w:rsid w:val="00B52669"/>
    <w:rsid w:val="00B63531"/>
    <w:rsid w:val="00B648EC"/>
    <w:rsid w:val="00BC7179"/>
    <w:rsid w:val="00C23D3C"/>
    <w:rsid w:val="00C36099"/>
    <w:rsid w:val="00C40E2E"/>
    <w:rsid w:val="00C63501"/>
    <w:rsid w:val="00C82DC5"/>
    <w:rsid w:val="00C83E71"/>
    <w:rsid w:val="00C94444"/>
    <w:rsid w:val="00CB7716"/>
    <w:rsid w:val="00CE6FFB"/>
    <w:rsid w:val="00D7121C"/>
    <w:rsid w:val="00D93836"/>
    <w:rsid w:val="00DC0A28"/>
    <w:rsid w:val="00E20DA8"/>
    <w:rsid w:val="00E4621F"/>
    <w:rsid w:val="00EB2895"/>
    <w:rsid w:val="00EC5F54"/>
    <w:rsid w:val="00EC7558"/>
    <w:rsid w:val="00F02364"/>
    <w:rsid w:val="00F41063"/>
    <w:rsid w:val="00FC5D2D"/>
    <w:rsid w:val="011D1ADA"/>
    <w:rsid w:val="01343CDE"/>
    <w:rsid w:val="01411F7E"/>
    <w:rsid w:val="01480FD1"/>
    <w:rsid w:val="014E520E"/>
    <w:rsid w:val="01A65DF4"/>
    <w:rsid w:val="01AA487D"/>
    <w:rsid w:val="01B26DEB"/>
    <w:rsid w:val="01F70F33"/>
    <w:rsid w:val="021777EF"/>
    <w:rsid w:val="02195631"/>
    <w:rsid w:val="02205F46"/>
    <w:rsid w:val="022E21C6"/>
    <w:rsid w:val="02372334"/>
    <w:rsid w:val="023B42B5"/>
    <w:rsid w:val="02422490"/>
    <w:rsid w:val="025564EB"/>
    <w:rsid w:val="02635503"/>
    <w:rsid w:val="028313BA"/>
    <w:rsid w:val="02857804"/>
    <w:rsid w:val="02C45A4B"/>
    <w:rsid w:val="02DE09FE"/>
    <w:rsid w:val="02DE46CD"/>
    <w:rsid w:val="0300101E"/>
    <w:rsid w:val="03031D77"/>
    <w:rsid w:val="03051C85"/>
    <w:rsid w:val="0319088C"/>
    <w:rsid w:val="032A6256"/>
    <w:rsid w:val="0330604B"/>
    <w:rsid w:val="03366254"/>
    <w:rsid w:val="038742F5"/>
    <w:rsid w:val="039D113B"/>
    <w:rsid w:val="03A0685D"/>
    <w:rsid w:val="03A722EC"/>
    <w:rsid w:val="03B55B6B"/>
    <w:rsid w:val="03D86C66"/>
    <w:rsid w:val="03DD1E88"/>
    <w:rsid w:val="03E13221"/>
    <w:rsid w:val="03E719A3"/>
    <w:rsid w:val="03EB570F"/>
    <w:rsid w:val="04073203"/>
    <w:rsid w:val="041465B3"/>
    <w:rsid w:val="0427203C"/>
    <w:rsid w:val="042C60AB"/>
    <w:rsid w:val="04375C55"/>
    <w:rsid w:val="043B3259"/>
    <w:rsid w:val="045C3220"/>
    <w:rsid w:val="04671DFA"/>
    <w:rsid w:val="04836EB7"/>
    <w:rsid w:val="04901016"/>
    <w:rsid w:val="04913A57"/>
    <w:rsid w:val="049D5887"/>
    <w:rsid w:val="04A65518"/>
    <w:rsid w:val="04BD70CC"/>
    <w:rsid w:val="04BE22A0"/>
    <w:rsid w:val="04C30E9E"/>
    <w:rsid w:val="04CF49E8"/>
    <w:rsid w:val="04CF6494"/>
    <w:rsid w:val="05155495"/>
    <w:rsid w:val="05203D67"/>
    <w:rsid w:val="052755E6"/>
    <w:rsid w:val="053509BB"/>
    <w:rsid w:val="05363B99"/>
    <w:rsid w:val="05463197"/>
    <w:rsid w:val="055A008C"/>
    <w:rsid w:val="05660C79"/>
    <w:rsid w:val="05A94E9B"/>
    <w:rsid w:val="05B5354F"/>
    <w:rsid w:val="05C77D31"/>
    <w:rsid w:val="05CF34BF"/>
    <w:rsid w:val="05D626FD"/>
    <w:rsid w:val="05F36976"/>
    <w:rsid w:val="05F80E9F"/>
    <w:rsid w:val="06671DFD"/>
    <w:rsid w:val="066C1FAC"/>
    <w:rsid w:val="06A244C2"/>
    <w:rsid w:val="06A85729"/>
    <w:rsid w:val="06E36C70"/>
    <w:rsid w:val="070B6B2B"/>
    <w:rsid w:val="07260087"/>
    <w:rsid w:val="072C55A5"/>
    <w:rsid w:val="072C7A50"/>
    <w:rsid w:val="073F5B5F"/>
    <w:rsid w:val="074A5FE6"/>
    <w:rsid w:val="07534A72"/>
    <w:rsid w:val="075524D7"/>
    <w:rsid w:val="07673B86"/>
    <w:rsid w:val="076E4329"/>
    <w:rsid w:val="077765EB"/>
    <w:rsid w:val="07D04F72"/>
    <w:rsid w:val="07DF1FF4"/>
    <w:rsid w:val="07E63C42"/>
    <w:rsid w:val="07E723AA"/>
    <w:rsid w:val="07F30816"/>
    <w:rsid w:val="084C20C2"/>
    <w:rsid w:val="085146E0"/>
    <w:rsid w:val="085B3EDF"/>
    <w:rsid w:val="086218C9"/>
    <w:rsid w:val="08715170"/>
    <w:rsid w:val="087D2589"/>
    <w:rsid w:val="08892FF8"/>
    <w:rsid w:val="08970A9A"/>
    <w:rsid w:val="089F124E"/>
    <w:rsid w:val="08AD60D8"/>
    <w:rsid w:val="08BA63EF"/>
    <w:rsid w:val="08D35662"/>
    <w:rsid w:val="08E763E3"/>
    <w:rsid w:val="08EF6EE4"/>
    <w:rsid w:val="09096B03"/>
    <w:rsid w:val="09190EEC"/>
    <w:rsid w:val="093D37A3"/>
    <w:rsid w:val="096D7C5A"/>
    <w:rsid w:val="09734935"/>
    <w:rsid w:val="09796F60"/>
    <w:rsid w:val="098C0F2C"/>
    <w:rsid w:val="099D5A30"/>
    <w:rsid w:val="09B878D0"/>
    <w:rsid w:val="09CA55FB"/>
    <w:rsid w:val="09E924D2"/>
    <w:rsid w:val="09EB2C7F"/>
    <w:rsid w:val="09EC0BAB"/>
    <w:rsid w:val="0A0C2E66"/>
    <w:rsid w:val="0A146479"/>
    <w:rsid w:val="0A1D3BE9"/>
    <w:rsid w:val="0A360103"/>
    <w:rsid w:val="0A4C074B"/>
    <w:rsid w:val="0A6C3C00"/>
    <w:rsid w:val="0A705E7E"/>
    <w:rsid w:val="0A9B375F"/>
    <w:rsid w:val="0AAB4B62"/>
    <w:rsid w:val="0AAC6C0C"/>
    <w:rsid w:val="0AB255E0"/>
    <w:rsid w:val="0AC675CB"/>
    <w:rsid w:val="0AC95838"/>
    <w:rsid w:val="0AE6346D"/>
    <w:rsid w:val="0AE63B5D"/>
    <w:rsid w:val="0B085EBE"/>
    <w:rsid w:val="0B1262CC"/>
    <w:rsid w:val="0B1940D3"/>
    <w:rsid w:val="0B2606ED"/>
    <w:rsid w:val="0B4E16E0"/>
    <w:rsid w:val="0B5B2301"/>
    <w:rsid w:val="0B5C2651"/>
    <w:rsid w:val="0B606F35"/>
    <w:rsid w:val="0B704EB8"/>
    <w:rsid w:val="0B7E6125"/>
    <w:rsid w:val="0BA670FD"/>
    <w:rsid w:val="0BD206EB"/>
    <w:rsid w:val="0BE22D2E"/>
    <w:rsid w:val="0BE23A54"/>
    <w:rsid w:val="0BE76914"/>
    <w:rsid w:val="0C056249"/>
    <w:rsid w:val="0C274838"/>
    <w:rsid w:val="0C4563B9"/>
    <w:rsid w:val="0C5E0654"/>
    <w:rsid w:val="0C62612E"/>
    <w:rsid w:val="0C8072C3"/>
    <w:rsid w:val="0C8C6BC5"/>
    <w:rsid w:val="0C92386B"/>
    <w:rsid w:val="0CA04CA2"/>
    <w:rsid w:val="0CA8433B"/>
    <w:rsid w:val="0CB85341"/>
    <w:rsid w:val="0CBD485A"/>
    <w:rsid w:val="0CD27274"/>
    <w:rsid w:val="0CE60C5B"/>
    <w:rsid w:val="0CF47832"/>
    <w:rsid w:val="0CFD24B4"/>
    <w:rsid w:val="0D0117B4"/>
    <w:rsid w:val="0D01619F"/>
    <w:rsid w:val="0D2E4F2F"/>
    <w:rsid w:val="0D4041EB"/>
    <w:rsid w:val="0D4C180E"/>
    <w:rsid w:val="0DA678BA"/>
    <w:rsid w:val="0DBB1D88"/>
    <w:rsid w:val="0DCE0F79"/>
    <w:rsid w:val="0DD37C00"/>
    <w:rsid w:val="0DDA199C"/>
    <w:rsid w:val="0DDA727B"/>
    <w:rsid w:val="0DDC0EB9"/>
    <w:rsid w:val="0DDC2799"/>
    <w:rsid w:val="0DDD00BB"/>
    <w:rsid w:val="0E125C73"/>
    <w:rsid w:val="0E173B47"/>
    <w:rsid w:val="0E2D6374"/>
    <w:rsid w:val="0E3501A1"/>
    <w:rsid w:val="0E445115"/>
    <w:rsid w:val="0E586E56"/>
    <w:rsid w:val="0E770BF6"/>
    <w:rsid w:val="0E965313"/>
    <w:rsid w:val="0EA91E75"/>
    <w:rsid w:val="0EE344B5"/>
    <w:rsid w:val="0F0D107C"/>
    <w:rsid w:val="0F0E6720"/>
    <w:rsid w:val="0F4D3080"/>
    <w:rsid w:val="0F627DA2"/>
    <w:rsid w:val="0F7154C5"/>
    <w:rsid w:val="0F764B07"/>
    <w:rsid w:val="0F8A67B5"/>
    <w:rsid w:val="0FA461AB"/>
    <w:rsid w:val="0FE22AB7"/>
    <w:rsid w:val="0FE718AE"/>
    <w:rsid w:val="0FE81A41"/>
    <w:rsid w:val="0FF504C5"/>
    <w:rsid w:val="10236D77"/>
    <w:rsid w:val="10384BA1"/>
    <w:rsid w:val="103F4D87"/>
    <w:rsid w:val="10422AE1"/>
    <w:rsid w:val="10523E08"/>
    <w:rsid w:val="105F2958"/>
    <w:rsid w:val="10631D68"/>
    <w:rsid w:val="1064669D"/>
    <w:rsid w:val="10716375"/>
    <w:rsid w:val="107E3BF9"/>
    <w:rsid w:val="10877F6D"/>
    <w:rsid w:val="11061962"/>
    <w:rsid w:val="1115410E"/>
    <w:rsid w:val="112A1FBA"/>
    <w:rsid w:val="113A5E51"/>
    <w:rsid w:val="113D7F91"/>
    <w:rsid w:val="11512D64"/>
    <w:rsid w:val="11696F12"/>
    <w:rsid w:val="118F603A"/>
    <w:rsid w:val="119E4B3A"/>
    <w:rsid w:val="11BC311D"/>
    <w:rsid w:val="11F92636"/>
    <w:rsid w:val="120D3084"/>
    <w:rsid w:val="12292A1E"/>
    <w:rsid w:val="122E5B1E"/>
    <w:rsid w:val="123F44A2"/>
    <w:rsid w:val="12617E75"/>
    <w:rsid w:val="12666BCC"/>
    <w:rsid w:val="12816125"/>
    <w:rsid w:val="128220B6"/>
    <w:rsid w:val="128C7D48"/>
    <w:rsid w:val="12A36533"/>
    <w:rsid w:val="12AA3A07"/>
    <w:rsid w:val="12AC6E04"/>
    <w:rsid w:val="12D220C7"/>
    <w:rsid w:val="12E93547"/>
    <w:rsid w:val="12EE31F2"/>
    <w:rsid w:val="12F3442E"/>
    <w:rsid w:val="12FC6791"/>
    <w:rsid w:val="133476EF"/>
    <w:rsid w:val="13445791"/>
    <w:rsid w:val="134635DB"/>
    <w:rsid w:val="13646D10"/>
    <w:rsid w:val="13655A9E"/>
    <w:rsid w:val="139628D8"/>
    <w:rsid w:val="13A36590"/>
    <w:rsid w:val="13CF51DD"/>
    <w:rsid w:val="13D226AF"/>
    <w:rsid w:val="13D34AF5"/>
    <w:rsid w:val="13DB4F92"/>
    <w:rsid w:val="1418000B"/>
    <w:rsid w:val="142172D0"/>
    <w:rsid w:val="1427438A"/>
    <w:rsid w:val="14565D1F"/>
    <w:rsid w:val="14787907"/>
    <w:rsid w:val="14806907"/>
    <w:rsid w:val="14806CD6"/>
    <w:rsid w:val="14A23E44"/>
    <w:rsid w:val="14A8396E"/>
    <w:rsid w:val="14B62C1A"/>
    <w:rsid w:val="14D44300"/>
    <w:rsid w:val="14D93CB1"/>
    <w:rsid w:val="14DA70D1"/>
    <w:rsid w:val="14EF7961"/>
    <w:rsid w:val="14F069EA"/>
    <w:rsid w:val="14F56D5A"/>
    <w:rsid w:val="14FB28FE"/>
    <w:rsid w:val="150429F6"/>
    <w:rsid w:val="150D2A54"/>
    <w:rsid w:val="15156A19"/>
    <w:rsid w:val="155623E0"/>
    <w:rsid w:val="1572095A"/>
    <w:rsid w:val="15900747"/>
    <w:rsid w:val="15C95B09"/>
    <w:rsid w:val="15EA5CAE"/>
    <w:rsid w:val="15FA19FE"/>
    <w:rsid w:val="160217CC"/>
    <w:rsid w:val="16027579"/>
    <w:rsid w:val="16171CB4"/>
    <w:rsid w:val="161F16D9"/>
    <w:rsid w:val="16260333"/>
    <w:rsid w:val="1643527D"/>
    <w:rsid w:val="16440E89"/>
    <w:rsid w:val="164A6903"/>
    <w:rsid w:val="164C095D"/>
    <w:rsid w:val="16547CCA"/>
    <w:rsid w:val="16632339"/>
    <w:rsid w:val="167A25D1"/>
    <w:rsid w:val="16AF74C1"/>
    <w:rsid w:val="16B451A1"/>
    <w:rsid w:val="16DC353E"/>
    <w:rsid w:val="170A73BD"/>
    <w:rsid w:val="17160A43"/>
    <w:rsid w:val="17176641"/>
    <w:rsid w:val="174A5A95"/>
    <w:rsid w:val="174F4395"/>
    <w:rsid w:val="176B0DEA"/>
    <w:rsid w:val="1777258E"/>
    <w:rsid w:val="177B2B4C"/>
    <w:rsid w:val="17847968"/>
    <w:rsid w:val="17863144"/>
    <w:rsid w:val="1786425E"/>
    <w:rsid w:val="178A0924"/>
    <w:rsid w:val="17A16F12"/>
    <w:rsid w:val="17BE442F"/>
    <w:rsid w:val="17C54B98"/>
    <w:rsid w:val="17CF4BB8"/>
    <w:rsid w:val="17D21925"/>
    <w:rsid w:val="17DF243D"/>
    <w:rsid w:val="17E84521"/>
    <w:rsid w:val="17EB14FB"/>
    <w:rsid w:val="17FE0027"/>
    <w:rsid w:val="181B0779"/>
    <w:rsid w:val="181D494B"/>
    <w:rsid w:val="18260B07"/>
    <w:rsid w:val="18364E77"/>
    <w:rsid w:val="183D4FEE"/>
    <w:rsid w:val="18400A5E"/>
    <w:rsid w:val="18407A15"/>
    <w:rsid w:val="187C456B"/>
    <w:rsid w:val="187E6CAF"/>
    <w:rsid w:val="188633DB"/>
    <w:rsid w:val="188D05C7"/>
    <w:rsid w:val="18C73D32"/>
    <w:rsid w:val="18CB2B75"/>
    <w:rsid w:val="18EA4156"/>
    <w:rsid w:val="19024F6A"/>
    <w:rsid w:val="19167623"/>
    <w:rsid w:val="192B4317"/>
    <w:rsid w:val="19433FC8"/>
    <w:rsid w:val="196561E2"/>
    <w:rsid w:val="19675A6E"/>
    <w:rsid w:val="19775513"/>
    <w:rsid w:val="19894A37"/>
    <w:rsid w:val="198F4E4D"/>
    <w:rsid w:val="199A1F1B"/>
    <w:rsid w:val="199B28A1"/>
    <w:rsid w:val="19AD5C55"/>
    <w:rsid w:val="19AE250E"/>
    <w:rsid w:val="19B10BC9"/>
    <w:rsid w:val="19C55B70"/>
    <w:rsid w:val="19D71810"/>
    <w:rsid w:val="19EE17C2"/>
    <w:rsid w:val="19F23284"/>
    <w:rsid w:val="1A034B64"/>
    <w:rsid w:val="1A110FAB"/>
    <w:rsid w:val="1A224AA1"/>
    <w:rsid w:val="1A2528D9"/>
    <w:rsid w:val="1A272330"/>
    <w:rsid w:val="1A3076E5"/>
    <w:rsid w:val="1A39737E"/>
    <w:rsid w:val="1A3B132B"/>
    <w:rsid w:val="1A6E2C42"/>
    <w:rsid w:val="1A791292"/>
    <w:rsid w:val="1A7F27BC"/>
    <w:rsid w:val="1AA56983"/>
    <w:rsid w:val="1AAF0325"/>
    <w:rsid w:val="1AD75490"/>
    <w:rsid w:val="1AE338C3"/>
    <w:rsid w:val="1AF632E9"/>
    <w:rsid w:val="1AF75459"/>
    <w:rsid w:val="1B1B2C06"/>
    <w:rsid w:val="1B23102F"/>
    <w:rsid w:val="1B943714"/>
    <w:rsid w:val="1B9951F6"/>
    <w:rsid w:val="1B9B1D0C"/>
    <w:rsid w:val="1BB13BF3"/>
    <w:rsid w:val="1BB74F63"/>
    <w:rsid w:val="1BCB12F4"/>
    <w:rsid w:val="1BCC09C5"/>
    <w:rsid w:val="1BDE3E04"/>
    <w:rsid w:val="1BE80AAD"/>
    <w:rsid w:val="1BED13FF"/>
    <w:rsid w:val="1BF70361"/>
    <w:rsid w:val="1C024CC8"/>
    <w:rsid w:val="1C037EB6"/>
    <w:rsid w:val="1C1532CA"/>
    <w:rsid w:val="1C177518"/>
    <w:rsid w:val="1C2F63A6"/>
    <w:rsid w:val="1C3F2750"/>
    <w:rsid w:val="1C411AC8"/>
    <w:rsid w:val="1C4B0137"/>
    <w:rsid w:val="1C4B41AF"/>
    <w:rsid w:val="1C6177B4"/>
    <w:rsid w:val="1C767F81"/>
    <w:rsid w:val="1C99460C"/>
    <w:rsid w:val="1CA650F5"/>
    <w:rsid w:val="1CBB49C8"/>
    <w:rsid w:val="1CEB159C"/>
    <w:rsid w:val="1CFD2715"/>
    <w:rsid w:val="1D047F18"/>
    <w:rsid w:val="1D0B6CAD"/>
    <w:rsid w:val="1D1D5D25"/>
    <w:rsid w:val="1D376E52"/>
    <w:rsid w:val="1D3B1492"/>
    <w:rsid w:val="1D3F5CDF"/>
    <w:rsid w:val="1D520FE4"/>
    <w:rsid w:val="1D54199D"/>
    <w:rsid w:val="1D5F7718"/>
    <w:rsid w:val="1D647783"/>
    <w:rsid w:val="1D8525E2"/>
    <w:rsid w:val="1D863312"/>
    <w:rsid w:val="1D9407DB"/>
    <w:rsid w:val="1D9B7143"/>
    <w:rsid w:val="1D9F01C2"/>
    <w:rsid w:val="1DA67B23"/>
    <w:rsid w:val="1DA7646F"/>
    <w:rsid w:val="1DC558A4"/>
    <w:rsid w:val="1DD4732B"/>
    <w:rsid w:val="1DE63612"/>
    <w:rsid w:val="1DE85F2E"/>
    <w:rsid w:val="1DEF0FBF"/>
    <w:rsid w:val="1E0336A4"/>
    <w:rsid w:val="1E19374A"/>
    <w:rsid w:val="1E29538D"/>
    <w:rsid w:val="1E497EFC"/>
    <w:rsid w:val="1E6D4EB4"/>
    <w:rsid w:val="1E7F7B76"/>
    <w:rsid w:val="1E9A38F0"/>
    <w:rsid w:val="1EA7571C"/>
    <w:rsid w:val="1EB9164B"/>
    <w:rsid w:val="1EBA0BB2"/>
    <w:rsid w:val="1EBF0860"/>
    <w:rsid w:val="1EC4064D"/>
    <w:rsid w:val="1ECB118B"/>
    <w:rsid w:val="1EDF0E06"/>
    <w:rsid w:val="1EE05F44"/>
    <w:rsid w:val="1EE447BD"/>
    <w:rsid w:val="1EF2097C"/>
    <w:rsid w:val="1EFE4210"/>
    <w:rsid w:val="1F0075A3"/>
    <w:rsid w:val="1F1B2A3F"/>
    <w:rsid w:val="1F2B4068"/>
    <w:rsid w:val="1F2C0899"/>
    <w:rsid w:val="1F415C80"/>
    <w:rsid w:val="1F7223F2"/>
    <w:rsid w:val="1F9A2B40"/>
    <w:rsid w:val="1FA936A0"/>
    <w:rsid w:val="1FF668C6"/>
    <w:rsid w:val="2002708F"/>
    <w:rsid w:val="201C3760"/>
    <w:rsid w:val="201F3F2C"/>
    <w:rsid w:val="203A52F3"/>
    <w:rsid w:val="20424C71"/>
    <w:rsid w:val="20446D01"/>
    <w:rsid w:val="20485775"/>
    <w:rsid w:val="20632CC8"/>
    <w:rsid w:val="207768C4"/>
    <w:rsid w:val="208A6299"/>
    <w:rsid w:val="2093656D"/>
    <w:rsid w:val="20A66858"/>
    <w:rsid w:val="20FB015C"/>
    <w:rsid w:val="20FF4B26"/>
    <w:rsid w:val="212649FA"/>
    <w:rsid w:val="212A476B"/>
    <w:rsid w:val="213C6A2D"/>
    <w:rsid w:val="214F713D"/>
    <w:rsid w:val="216E0CF5"/>
    <w:rsid w:val="219D065F"/>
    <w:rsid w:val="219E6B34"/>
    <w:rsid w:val="21BA0F46"/>
    <w:rsid w:val="21CB5590"/>
    <w:rsid w:val="21E830FD"/>
    <w:rsid w:val="221C5BAB"/>
    <w:rsid w:val="223A7C20"/>
    <w:rsid w:val="224A67E6"/>
    <w:rsid w:val="225E5065"/>
    <w:rsid w:val="226B0330"/>
    <w:rsid w:val="228418C8"/>
    <w:rsid w:val="229354C1"/>
    <w:rsid w:val="229D030B"/>
    <w:rsid w:val="22D0275F"/>
    <w:rsid w:val="22EB55BE"/>
    <w:rsid w:val="22EB5957"/>
    <w:rsid w:val="22F05634"/>
    <w:rsid w:val="22F55525"/>
    <w:rsid w:val="232A05DD"/>
    <w:rsid w:val="2331761B"/>
    <w:rsid w:val="23514754"/>
    <w:rsid w:val="23597941"/>
    <w:rsid w:val="235C6A64"/>
    <w:rsid w:val="236465ED"/>
    <w:rsid w:val="236F6657"/>
    <w:rsid w:val="237301B7"/>
    <w:rsid w:val="2379206F"/>
    <w:rsid w:val="237F652B"/>
    <w:rsid w:val="23845305"/>
    <w:rsid w:val="239F233B"/>
    <w:rsid w:val="23AB13B0"/>
    <w:rsid w:val="23DF2177"/>
    <w:rsid w:val="23FC6428"/>
    <w:rsid w:val="240E27B8"/>
    <w:rsid w:val="241E3953"/>
    <w:rsid w:val="243C32E8"/>
    <w:rsid w:val="243F212F"/>
    <w:rsid w:val="244E059E"/>
    <w:rsid w:val="24512CF6"/>
    <w:rsid w:val="24572DE2"/>
    <w:rsid w:val="24624EEE"/>
    <w:rsid w:val="2480564C"/>
    <w:rsid w:val="24912A34"/>
    <w:rsid w:val="2491647C"/>
    <w:rsid w:val="24A64F12"/>
    <w:rsid w:val="24E83286"/>
    <w:rsid w:val="24F82D4B"/>
    <w:rsid w:val="2510223E"/>
    <w:rsid w:val="253749C3"/>
    <w:rsid w:val="25757BBB"/>
    <w:rsid w:val="2585514B"/>
    <w:rsid w:val="258D50FE"/>
    <w:rsid w:val="259C237B"/>
    <w:rsid w:val="259F0959"/>
    <w:rsid w:val="25A42B2E"/>
    <w:rsid w:val="25AB2640"/>
    <w:rsid w:val="25AB5457"/>
    <w:rsid w:val="25FF35A5"/>
    <w:rsid w:val="260A34EE"/>
    <w:rsid w:val="262313E5"/>
    <w:rsid w:val="262B36B8"/>
    <w:rsid w:val="26514040"/>
    <w:rsid w:val="265F6A8C"/>
    <w:rsid w:val="26614EB2"/>
    <w:rsid w:val="26757865"/>
    <w:rsid w:val="26AE111A"/>
    <w:rsid w:val="26E878F2"/>
    <w:rsid w:val="26EF78E2"/>
    <w:rsid w:val="270840EE"/>
    <w:rsid w:val="27100B77"/>
    <w:rsid w:val="27126367"/>
    <w:rsid w:val="274F643E"/>
    <w:rsid w:val="275B048C"/>
    <w:rsid w:val="2760534C"/>
    <w:rsid w:val="278A3C65"/>
    <w:rsid w:val="279B2617"/>
    <w:rsid w:val="27A0510E"/>
    <w:rsid w:val="27D319B2"/>
    <w:rsid w:val="27DA3CAD"/>
    <w:rsid w:val="27DF3186"/>
    <w:rsid w:val="27E005DD"/>
    <w:rsid w:val="27E03436"/>
    <w:rsid w:val="27EA7948"/>
    <w:rsid w:val="28044DC0"/>
    <w:rsid w:val="280865AB"/>
    <w:rsid w:val="280C0791"/>
    <w:rsid w:val="280C5231"/>
    <w:rsid w:val="281F49DA"/>
    <w:rsid w:val="28806389"/>
    <w:rsid w:val="28836521"/>
    <w:rsid w:val="28883B56"/>
    <w:rsid w:val="28A145D8"/>
    <w:rsid w:val="28A649CC"/>
    <w:rsid w:val="28C33A61"/>
    <w:rsid w:val="28D92D69"/>
    <w:rsid w:val="28E2443B"/>
    <w:rsid w:val="28EC1DEA"/>
    <w:rsid w:val="28F03C43"/>
    <w:rsid w:val="29164A71"/>
    <w:rsid w:val="29482868"/>
    <w:rsid w:val="294B6114"/>
    <w:rsid w:val="29603A8C"/>
    <w:rsid w:val="29736E05"/>
    <w:rsid w:val="29AF12B9"/>
    <w:rsid w:val="29B91615"/>
    <w:rsid w:val="29C6331B"/>
    <w:rsid w:val="29D00C2D"/>
    <w:rsid w:val="29E46F79"/>
    <w:rsid w:val="29E626CA"/>
    <w:rsid w:val="29E9063C"/>
    <w:rsid w:val="29E928DF"/>
    <w:rsid w:val="29FD7131"/>
    <w:rsid w:val="2A0B74FD"/>
    <w:rsid w:val="2A2C7628"/>
    <w:rsid w:val="2A3740FB"/>
    <w:rsid w:val="2A4A557A"/>
    <w:rsid w:val="2A4E1F8A"/>
    <w:rsid w:val="2A4E4E38"/>
    <w:rsid w:val="2A5F1BC5"/>
    <w:rsid w:val="2A633BFF"/>
    <w:rsid w:val="2AB15EF0"/>
    <w:rsid w:val="2AB8760C"/>
    <w:rsid w:val="2B016278"/>
    <w:rsid w:val="2B101B22"/>
    <w:rsid w:val="2B1B054C"/>
    <w:rsid w:val="2B2D2AC4"/>
    <w:rsid w:val="2B325ED0"/>
    <w:rsid w:val="2B396AE6"/>
    <w:rsid w:val="2B404763"/>
    <w:rsid w:val="2B486B34"/>
    <w:rsid w:val="2B565C2C"/>
    <w:rsid w:val="2B6D2755"/>
    <w:rsid w:val="2B81017E"/>
    <w:rsid w:val="2B892E82"/>
    <w:rsid w:val="2B917947"/>
    <w:rsid w:val="2B94181A"/>
    <w:rsid w:val="2B9E3498"/>
    <w:rsid w:val="2BB175F0"/>
    <w:rsid w:val="2BBC431E"/>
    <w:rsid w:val="2BC26AAD"/>
    <w:rsid w:val="2BD456EC"/>
    <w:rsid w:val="2C195B97"/>
    <w:rsid w:val="2C2858E8"/>
    <w:rsid w:val="2C2F2FEF"/>
    <w:rsid w:val="2C2F42A7"/>
    <w:rsid w:val="2C3E7B0C"/>
    <w:rsid w:val="2C4549EB"/>
    <w:rsid w:val="2C577E1C"/>
    <w:rsid w:val="2C605D23"/>
    <w:rsid w:val="2C657396"/>
    <w:rsid w:val="2C814143"/>
    <w:rsid w:val="2C8A0B90"/>
    <w:rsid w:val="2C9343C0"/>
    <w:rsid w:val="2C9F626A"/>
    <w:rsid w:val="2CA77679"/>
    <w:rsid w:val="2CB649F5"/>
    <w:rsid w:val="2CC80477"/>
    <w:rsid w:val="2CDA6E40"/>
    <w:rsid w:val="2CDA7100"/>
    <w:rsid w:val="2D273E42"/>
    <w:rsid w:val="2D4D757F"/>
    <w:rsid w:val="2D50232D"/>
    <w:rsid w:val="2D602BCE"/>
    <w:rsid w:val="2D6C0E74"/>
    <w:rsid w:val="2D811361"/>
    <w:rsid w:val="2D861736"/>
    <w:rsid w:val="2DAB4BA4"/>
    <w:rsid w:val="2DAF56A3"/>
    <w:rsid w:val="2DB25E25"/>
    <w:rsid w:val="2DB7373B"/>
    <w:rsid w:val="2DD22450"/>
    <w:rsid w:val="2E2D23E8"/>
    <w:rsid w:val="2E3B046E"/>
    <w:rsid w:val="2E520C9F"/>
    <w:rsid w:val="2E550B10"/>
    <w:rsid w:val="2E823C93"/>
    <w:rsid w:val="2EB432C2"/>
    <w:rsid w:val="2EC75D1E"/>
    <w:rsid w:val="2F096EF5"/>
    <w:rsid w:val="2F1C0F54"/>
    <w:rsid w:val="2F53589E"/>
    <w:rsid w:val="2F5C6AD1"/>
    <w:rsid w:val="2F8A1E88"/>
    <w:rsid w:val="2F8B3B64"/>
    <w:rsid w:val="2F962509"/>
    <w:rsid w:val="2FAC5150"/>
    <w:rsid w:val="2FC83110"/>
    <w:rsid w:val="302C4798"/>
    <w:rsid w:val="30335CA7"/>
    <w:rsid w:val="305C25BA"/>
    <w:rsid w:val="307652E0"/>
    <w:rsid w:val="30BE30B2"/>
    <w:rsid w:val="30C1578B"/>
    <w:rsid w:val="30DD760C"/>
    <w:rsid w:val="30F037B7"/>
    <w:rsid w:val="30F901FF"/>
    <w:rsid w:val="310D58F9"/>
    <w:rsid w:val="310E2D9A"/>
    <w:rsid w:val="312838DA"/>
    <w:rsid w:val="312A22E4"/>
    <w:rsid w:val="313559B3"/>
    <w:rsid w:val="3149639F"/>
    <w:rsid w:val="314B6E06"/>
    <w:rsid w:val="314F7D17"/>
    <w:rsid w:val="3174455B"/>
    <w:rsid w:val="317B18DA"/>
    <w:rsid w:val="31816B73"/>
    <w:rsid w:val="31851480"/>
    <w:rsid w:val="319028F9"/>
    <w:rsid w:val="31973EDC"/>
    <w:rsid w:val="319C2813"/>
    <w:rsid w:val="31C667C2"/>
    <w:rsid w:val="31C73ED6"/>
    <w:rsid w:val="31D71259"/>
    <w:rsid w:val="31E157EA"/>
    <w:rsid w:val="322C2610"/>
    <w:rsid w:val="3241526D"/>
    <w:rsid w:val="324308EA"/>
    <w:rsid w:val="325E574A"/>
    <w:rsid w:val="32623B7E"/>
    <w:rsid w:val="326669AD"/>
    <w:rsid w:val="32802FE1"/>
    <w:rsid w:val="32A45429"/>
    <w:rsid w:val="32C257D5"/>
    <w:rsid w:val="32D86D2B"/>
    <w:rsid w:val="32E20AF0"/>
    <w:rsid w:val="32F83B93"/>
    <w:rsid w:val="33076C49"/>
    <w:rsid w:val="334B2E19"/>
    <w:rsid w:val="33547BBB"/>
    <w:rsid w:val="335C64D7"/>
    <w:rsid w:val="3365285E"/>
    <w:rsid w:val="3369769F"/>
    <w:rsid w:val="33775F59"/>
    <w:rsid w:val="33824DCA"/>
    <w:rsid w:val="3388544D"/>
    <w:rsid w:val="338A0A3C"/>
    <w:rsid w:val="33902D14"/>
    <w:rsid w:val="33930D63"/>
    <w:rsid w:val="339E1AB7"/>
    <w:rsid w:val="33A07A69"/>
    <w:rsid w:val="33C10D97"/>
    <w:rsid w:val="33E70D41"/>
    <w:rsid w:val="33E921C6"/>
    <w:rsid w:val="340347FD"/>
    <w:rsid w:val="34130690"/>
    <w:rsid w:val="34240224"/>
    <w:rsid w:val="34260863"/>
    <w:rsid w:val="34274467"/>
    <w:rsid w:val="34402037"/>
    <w:rsid w:val="34542266"/>
    <w:rsid w:val="345F21EA"/>
    <w:rsid w:val="347E62A7"/>
    <w:rsid w:val="348175C0"/>
    <w:rsid w:val="348A2042"/>
    <w:rsid w:val="34992D08"/>
    <w:rsid w:val="34AE728B"/>
    <w:rsid w:val="34CD4FBC"/>
    <w:rsid w:val="34FD2414"/>
    <w:rsid w:val="35223B41"/>
    <w:rsid w:val="354B5F5A"/>
    <w:rsid w:val="354F0A7E"/>
    <w:rsid w:val="35845149"/>
    <w:rsid w:val="35901358"/>
    <w:rsid w:val="35AC118A"/>
    <w:rsid w:val="35FD2BCE"/>
    <w:rsid w:val="36021F40"/>
    <w:rsid w:val="36193CC3"/>
    <w:rsid w:val="36360E94"/>
    <w:rsid w:val="36403688"/>
    <w:rsid w:val="36412735"/>
    <w:rsid w:val="36450DE7"/>
    <w:rsid w:val="364A2F7B"/>
    <w:rsid w:val="36855DEE"/>
    <w:rsid w:val="368B1519"/>
    <w:rsid w:val="369E781D"/>
    <w:rsid w:val="36CE1B81"/>
    <w:rsid w:val="36ED31CC"/>
    <w:rsid w:val="36EF34FF"/>
    <w:rsid w:val="36FB6483"/>
    <w:rsid w:val="370839DD"/>
    <w:rsid w:val="373D2BC0"/>
    <w:rsid w:val="37402414"/>
    <w:rsid w:val="374A56DF"/>
    <w:rsid w:val="374A6487"/>
    <w:rsid w:val="375740B2"/>
    <w:rsid w:val="37752930"/>
    <w:rsid w:val="37841FFA"/>
    <w:rsid w:val="3791457C"/>
    <w:rsid w:val="37B976AA"/>
    <w:rsid w:val="3809170D"/>
    <w:rsid w:val="380D4601"/>
    <w:rsid w:val="3812716A"/>
    <w:rsid w:val="384B38CB"/>
    <w:rsid w:val="385C2DCA"/>
    <w:rsid w:val="385C79B7"/>
    <w:rsid w:val="38613D37"/>
    <w:rsid w:val="386D4A46"/>
    <w:rsid w:val="387E7FB6"/>
    <w:rsid w:val="38A23D04"/>
    <w:rsid w:val="38AD7DDF"/>
    <w:rsid w:val="38B14C2C"/>
    <w:rsid w:val="38B25D8F"/>
    <w:rsid w:val="38BB1BF5"/>
    <w:rsid w:val="38FA3C19"/>
    <w:rsid w:val="390C3521"/>
    <w:rsid w:val="39562557"/>
    <w:rsid w:val="39586D27"/>
    <w:rsid w:val="395C7EA8"/>
    <w:rsid w:val="3971606B"/>
    <w:rsid w:val="398902C8"/>
    <w:rsid w:val="39A37325"/>
    <w:rsid w:val="39A477F1"/>
    <w:rsid w:val="39BB6F2F"/>
    <w:rsid w:val="39C14F14"/>
    <w:rsid w:val="39CB65CF"/>
    <w:rsid w:val="39D94B9D"/>
    <w:rsid w:val="3A04428C"/>
    <w:rsid w:val="3A103610"/>
    <w:rsid w:val="3A181A65"/>
    <w:rsid w:val="3A246F8E"/>
    <w:rsid w:val="3A354145"/>
    <w:rsid w:val="3A417075"/>
    <w:rsid w:val="3A424688"/>
    <w:rsid w:val="3A4A0AF4"/>
    <w:rsid w:val="3A72611A"/>
    <w:rsid w:val="3A752464"/>
    <w:rsid w:val="3A850084"/>
    <w:rsid w:val="3AA13867"/>
    <w:rsid w:val="3AA63641"/>
    <w:rsid w:val="3AAB2767"/>
    <w:rsid w:val="3ADE36D2"/>
    <w:rsid w:val="3AE51AD8"/>
    <w:rsid w:val="3AF575F3"/>
    <w:rsid w:val="3B052DAD"/>
    <w:rsid w:val="3B0D13A3"/>
    <w:rsid w:val="3B1C4644"/>
    <w:rsid w:val="3B200A99"/>
    <w:rsid w:val="3B487D3B"/>
    <w:rsid w:val="3B4A3C82"/>
    <w:rsid w:val="3B556612"/>
    <w:rsid w:val="3B5600FB"/>
    <w:rsid w:val="3B61265B"/>
    <w:rsid w:val="3B695633"/>
    <w:rsid w:val="3BA00C79"/>
    <w:rsid w:val="3BA745F4"/>
    <w:rsid w:val="3BAE3989"/>
    <w:rsid w:val="3BC545A0"/>
    <w:rsid w:val="3BC865EA"/>
    <w:rsid w:val="3BD7675C"/>
    <w:rsid w:val="3BEA2540"/>
    <w:rsid w:val="3BED080D"/>
    <w:rsid w:val="3C610815"/>
    <w:rsid w:val="3C9A5864"/>
    <w:rsid w:val="3D075FB0"/>
    <w:rsid w:val="3D305709"/>
    <w:rsid w:val="3D49638D"/>
    <w:rsid w:val="3D68066C"/>
    <w:rsid w:val="3D8250CD"/>
    <w:rsid w:val="3DBE43A6"/>
    <w:rsid w:val="3DE27A0D"/>
    <w:rsid w:val="3DFB1CCB"/>
    <w:rsid w:val="3E0620BF"/>
    <w:rsid w:val="3E236A22"/>
    <w:rsid w:val="3E251D20"/>
    <w:rsid w:val="3E4B5A15"/>
    <w:rsid w:val="3E554C90"/>
    <w:rsid w:val="3E570E68"/>
    <w:rsid w:val="3E7744D0"/>
    <w:rsid w:val="3E7D7A5C"/>
    <w:rsid w:val="3E99230E"/>
    <w:rsid w:val="3EB30D2E"/>
    <w:rsid w:val="3EB3129C"/>
    <w:rsid w:val="3ED07771"/>
    <w:rsid w:val="3EE24830"/>
    <w:rsid w:val="3EE905BF"/>
    <w:rsid w:val="3F165706"/>
    <w:rsid w:val="3F433B88"/>
    <w:rsid w:val="3F6040EE"/>
    <w:rsid w:val="3F68201C"/>
    <w:rsid w:val="3F7074B3"/>
    <w:rsid w:val="3F742073"/>
    <w:rsid w:val="3FA85344"/>
    <w:rsid w:val="3FB81167"/>
    <w:rsid w:val="3FDA4591"/>
    <w:rsid w:val="3FF47336"/>
    <w:rsid w:val="3FF930D3"/>
    <w:rsid w:val="3FFB7900"/>
    <w:rsid w:val="3FFF7CB6"/>
    <w:rsid w:val="402152B6"/>
    <w:rsid w:val="4022067D"/>
    <w:rsid w:val="40245265"/>
    <w:rsid w:val="402A6BA5"/>
    <w:rsid w:val="40476EDE"/>
    <w:rsid w:val="404D43F0"/>
    <w:rsid w:val="40650FA5"/>
    <w:rsid w:val="40671860"/>
    <w:rsid w:val="40855658"/>
    <w:rsid w:val="408E49B1"/>
    <w:rsid w:val="4097520C"/>
    <w:rsid w:val="40AA41B6"/>
    <w:rsid w:val="40AB3E18"/>
    <w:rsid w:val="40B5573C"/>
    <w:rsid w:val="40B85BD6"/>
    <w:rsid w:val="40BC6EB0"/>
    <w:rsid w:val="40C34962"/>
    <w:rsid w:val="40CC5A04"/>
    <w:rsid w:val="40CE6DC7"/>
    <w:rsid w:val="40D92673"/>
    <w:rsid w:val="40DD194E"/>
    <w:rsid w:val="40DE568A"/>
    <w:rsid w:val="41053DD8"/>
    <w:rsid w:val="410B401A"/>
    <w:rsid w:val="411C7E79"/>
    <w:rsid w:val="41367526"/>
    <w:rsid w:val="413B3A1F"/>
    <w:rsid w:val="413B3AFD"/>
    <w:rsid w:val="413C0389"/>
    <w:rsid w:val="414B26B4"/>
    <w:rsid w:val="414D2BD4"/>
    <w:rsid w:val="41724946"/>
    <w:rsid w:val="417C2072"/>
    <w:rsid w:val="418732DB"/>
    <w:rsid w:val="41943147"/>
    <w:rsid w:val="419C331C"/>
    <w:rsid w:val="41C024C4"/>
    <w:rsid w:val="41C7062A"/>
    <w:rsid w:val="41D05685"/>
    <w:rsid w:val="41E23311"/>
    <w:rsid w:val="41FB080C"/>
    <w:rsid w:val="41FF4189"/>
    <w:rsid w:val="42122CA8"/>
    <w:rsid w:val="421A7063"/>
    <w:rsid w:val="425E3582"/>
    <w:rsid w:val="4266334F"/>
    <w:rsid w:val="427C635A"/>
    <w:rsid w:val="42A90F16"/>
    <w:rsid w:val="42AC0E5B"/>
    <w:rsid w:val="42C401A2"/>
    <w:rsid w:val="42D12FBF"/>
    <w:rsid w:val="42F8343A"/>
    <w:rsid w:val="43024664"/>
    <w:rsid w:val="43083F52"/>
    <w:rsid w:val="435E45D2"/>
    <w:rsid w:val="4362689F"/>
    <w:rsid w:val="43A510A4"/>
    <w:rsid w:val="43C721FD"/>
    <w:rsid w:val="43EA31FB"/>
    <w:rsid w:val="43F501B0"/>
    <w:rsid w:val="4402095F"/>
    <w:rsid w:val="44170D25"/>
    <w:rsid w:val="44527CF9"/>
    <w:rsid w:val="4458374E"/>
    <w:rsid w:val="445A24BD"/>
    <w:rsid w:val="44664390"/>
    <w:rsid w:val="4469400D"/>
    <w:rsid w:val="447F2497"/>
    <w:rsid w:val="44B474C7"/>
    <w:rsid w:val="44C617CF"/>
    <w:rsid w:val="44E72B1D"/>
    <w:rsid w:val="450179BC"/>
    <w:rsid w:val="45071CEB"/>
    <w:rsid w:val="450C1F47"/>
    <w:rsid w:val="451D594D"/>
    <w:rsid w:val="451F622E"/>
    <w:rsid w:val="452610B1"/>
    <w:rsid w:val="45265639"/>
    <w:rsid w:val="452F5E5E"/>
    <w:rsid w:val="45383B45"/>
    <w:rsid w:val="455763A5"/>
    <w:rsid w:val="456D703A"/>
    <w:rsid w:val="45732F05"/>
    <w:rsid w:val="4583117D"/>
    <w:rsid w:val="45900458"/>
    <w:rsid w:val="45937A62"/>
    <w:rsid w:val="459B7131"/>
    <w:rsid w:val="45BF054E"/>
    <w:rsid w:val="45C66EB9"/>
    <w:rsid w:val="45D45AA8"/>
    <w:rsid w:val="45E325BE"/>
    <w:rsid w:val="45E9322E"/>
    <w:rsid w:val="45F63DA0"/>
    <w:rsid w:val="45FA50A9"/>
    <w:rsid w:val="460458BC"/>
    <w:rsid w:val="46062895"/>
    <w:rsid w:val="461E6462"/>
    <w:rsid w:val="462061AB"/>
    <w:rsid w:val="462D1E0F"/>
    <w:rsid w:val="4636454B"/>
    <w:rsid w:val="46450F0B"/>
    <w:rsid w:val="46617AA3"/>
    <w:rsid w:val="4683165C"/>
    <w:rsid w:val="46925EC8"/>
    <w:rsid w:val="46984426"/>
    <w:rsid w:val="46A40226"/>
    <w:rsid w:val="46A4073F"/>
    <w:rsid w:val="46AD014C"/>
    <w:rsid w:val="46B7407C"/>
    <w:rsid w:val="46B90E05"/>
    <w:rsid w:val="46CD6008"/>
    <w:rsid w:val="46D2570C"/>
    <w:rsid w:val="46EE14D2"/>
    <w:rsid w:val="46FC4043"/>
    <w:rsid w:val="47040115"/>
    <w:rsid w:val="471B0744"/>
    <w:rsid w:val="47235A28"/>
    <w:rsid w:val="473379F7"/>
    <w:rsid w:val="474273A5"/>
    <w:rsid w:val="47573699"/>
    <w:rsid w:val="475E0F47"/>
    <w:rsid w:val="47620221"/>
    <w:rsid w:val="47673289"/>
    <w:rsid w:val="47707058"/>
    <w:rsid w:val="478A49F3"/>
    <w:rsid w:val="47AC01DC"/>
    <w:rsid w:val="47CA0E20"/>
    <w:rsid w:val="47CF2CAA"/>
    <w:rsid w:val="47E37A43"/>
    <w:rsid w:val="481141F7"/>
    <w:rsid w:val="482652C6"/>
    <w:rsid w:val="48364572"/>
    <w:rsid w:val="484D59E2"/>
    <w:rsid w:val="485E33F9"/>
    <w:rsid w:val="48611E7A"/>
    <w:rsid w:val="48642157"/>
    <w:rsid w:val="486F0102"/>
    <w:rsid w:val="487638D1"/>
    <w:rsid w:val="48827784"/>
    <w:rsid w:val="48963CBC"/>
    <w:rsid w:val="48980810"/>
    <w:rsid w:val="48A07DF6"/>
    <w:rsid w:val="48A165FE"/>
    <w:rsid w:val="48B35A17"/>
    <w:rsid w:val="48C5270A"/>
    <w:rsid w:val="48C82689"/>
    <w:rsid w:val="48CB1A2F"/>
    <w:rsid w:val="48D33E74"/>
    <w:rsid w:val="48E420A8"/>
    <w:rsid w:val="48ED2EAD"/>
    <w:rsid w:val="48F3457D"/>
    <w:rsid w:val="48F74FE7"/>
    <w:rsid w:val="49174972"/>
    <w:rsid w:val="491B29C2"/>
    <w:rsid w:val="4937195F"/>
    <w:rsid w:val="493D183B"/>
    <w:rsid w:val="494663F0"/>
    <w:rsid w:val="495121C7"/>
    <w:rsid w:val="496117B7"/>
    <w:rsid w:val="497E61D1"/>
    <w:rsid w:val="49852803"/>
    <w:rsid w:val="4989364F"/>
    <w:rsid w:val="49917631"/>
    <w:rsid w:val="499C71A3"/>
    <w:rsid w:val="49A23E49"/>
    <w:rsid w:val="49A37CB3"/>
    <w:rsid w:val="49AE34E3"/>
    <w:rsid w:val="49BD5341"/>
    <w:rsid w:val="49BE31C7"/>
    <w:rsid w:val="49D24610"/>
    <w:rsid w:val="49E86A80"/>
    <w:rsid w:val="4A001AB6"/>
    <w:rsid w:val="4A07545F"/>
    <w:rsid w:val="4A121ACE"/>
    <w:rsid w:val="4A260643"/>
    <w:rsid w:val="4A354DC8"/>
    <w:rsid w:val="4A667978"/>
    <w:rsid w:val="4A7B11CA"/>
    <w:rsid w:val="4A9E376C"/>
    <w:rsid w:val="4AB52EC7"/>
    <w:rsid w:val="4ABC3B25"/>
    <w:rsid w:val="4ABD2B10"/>
    <w:rsid w:val="4AC03833"/>
    <w:rsid w:val="4AD1289D"/>
    <w:rsid w:val="4AED73D2"/>
    <w:rsid w:val="4AF660AB"/>
    <w:rsid w:val="4B270FB0"/>
    <w:rsid w:val="4B2B24FF"/>
    <w:rsid w:val="4B2E7A87"/>
    <w:rsid w:val="4B33301D"/>
    <w:rsid w:val="4B56096D"/>
    <w:rsid w:val="4B706F71"/>
    <w:rsid w:val="4B710BFF"/>
    <w:rsid w:val="4B771A77"/>
    <w:rsid w:val="4B786751"/>
    <w:rsid w:val="4B796D0A"/>
    <w:rsid w:val="4B8C04A0"/>
    <w:rsid w:val="4B8E3B2C"/>
    <w:rsid w:val="4B94409A"/>
    <w:rsid w:val="4BB425C4"/>
    <w:rsid w:val="4BC06C5F"/>
    <w:rsid w:val="4BF9479B"/>
    <w:rsid w:val="4BFA334B"/>
    <w:rsid w:val="4C0C7A0A"/>
    <w:rsid w:val="4C2942E6"/>
    <w:rsid w:val="4C600D95"/>
    <w:rsid w:val="4C6C1695"/>
    <w:rsid w:val="4C79323F"/>
    <w:rsid w:val="4C7B1D9D"/>
    <w:rsid w:val="4C8461EF"/>
    <w:rsid w:val="4C8D6888"/>
    <w:rsid w:val="4C983E5B"/>
    <w:rsid w:val="4CB008AD"/>
    <w:rsid w:val="4CB518A1"/>
    <w:rsid w:val="4CB6421D"/>
    <w:rsid w:val="4CE47047"/>
    <w:rsid w:val="4CEA2732"/>
    <w:rsid w:val="4CF03B50"/>
    <w:rsid w:val="4CFB33DC"/>
    <w:rsid w:val="4D244D2A"/>
    <w:rsid w:val="4D3A46AD"/>
    <w:rsid w:val="4D3F7B32"/>
    <w:rsid w:val="4D40643B"/>
    <w:rsid w:val="4D4871DD"/>
    <w:rsid w:val="4D5E01A0"/>
    <w:rsid w:val="4D6C226A"/>
    <w:rsid w:val="4D8E6102"/>
    <w:rsid w:val="4D9E0DEE"/>
    <w:rsid w:val="4DC4631F"/>
    <w:rsid w:val="4DCE091F"/>
    <w:rsid w:val="4DDB343F"/>
    <w:rsid w:val="4DFB70DA"/>
    <w:rsid w:val="4DFF05A3"/>
    <w:rsid w:val="4E3779FB"/>
    <w:rsid w:val="4E411AC2"/>
    <w:rsid w:val="4E456658"/>
    <w:rsid w:val="4E4F4DDD"/>
    <w:rsid w:val="4E4F59A0"/>
    <w:rsid w:val="4E594DDC"/>
    <w:rsid w:val="4E5A2CAE"/>
    <w:rsid w:val="4E662E38"/>
    <w:rsid w:val="4E6A26E4"/>
    <w:rsid w:val="4E6C0458"/>
    <w:rsid w:val="4E6E4801"/>
    <w:rsid w:val="4E8250D8"/>
    <w:rsid w:val="4E897726"/>
    <w:rsid w:val="4E9F25D3"/>
    <w:rsid w:val="4EA96D01"/>
    <w:rsid w:val="4EBF6B80"/>
    <w:rsid w:val="4EC54F0F"/>
    <w:rsid w:val="4ECC2EB6"/>
    <w:rsid w:val="4ED80CDA"/>
    <w:rsid w:val="4F012482"/>
    <w:rsid w:val="4F076469"/>
    <w:rsid w:val="4F4B4AED"/>
    <w:rsid w:val="4F510271"/>
    <w:rsid w:val="4F526AC4"/>
    <w:rsid w:val="4F5B730E"/>
    <w:rsid w:val="4F6D2041"/>
    <w:rsid w:val="4F6F73DD"/>
    <w:rsid w:val="4F793C80"/>
    <w:rsid w:val="4F7D256A"/>
    <w:rsid w:val="4F916869"/>
    <w:rsid w:val="4F98721B"/>
    <w:rsid w:val="4F9F30CF"/>
    <w:rsid w:val="4FC6669D"/>
    <w:rsid w:val="4FE01DD4"/>
    <w:rsid w:val="4FE106C7"/>
    <w:rsid w:val="4FE405D0"/>
    <w:rsid w:val="500D6C73"/>
    <w:rsid w:val="5016708B"/>
    <w:rsid w:val="50252756"/>
    <w:rsid w:val="502B5A5E"/>
    <w:rsid w:val="502D6515"/>
    <w:rsid w:val="503C4B5D"/>
    <w:rsid w:val="503D1053"/>
    <w:rsid w:val="503E7050"/>
    <w:rsid w:val="504615CE"/>
    <w:rsid w:val="505D5C1B"/>
    <w:rsid w:val="50641853"/>
    <w:rsid w:val="507C7A2E"/>
    <w:rsid w:val="50887B90"/>
    <w:rsid w:val="509D0395"/>
    <w:rsid w:val="509F4AA8"/>
    <w:rsid w:val="50A64417"/>
    <w:rsid w:val="50AB3A83"/>
    <w:rsid w:val="50C91743"/>
    <w:rsid w:val="50D259E6"/>
    <w:rsid w:val="50DA5799"/>
    <w:rsid w:val="50ED0543"/>
    <w:rsid w:val="51067C16"/>
    <w:rsid w:val="51094E52"/>
    <w:rsid w:val="510B58A3"/>
    <w:rsid w:val="51181152"/>
    <w:rsid w:val="51274525"/>
    <w:rsid w:val="51380850"/>
    <w:rsid w:val="513F7BDE"/>
    <w:rsid w:val="514A6211"/>
    <w:rsid w:val="514A6742"/>
    <w:rsid w:val="516952AE"/>
    <w:rsid w:val="51893587"/>
    <w:rsid w:val="51A44805"/>
    <w:rsid w:val="51AB7DB1"/>
    <w:rsid w:val="51AE0370"/>
    <w:rsid w:val="51B159B8"/>
    <w:rsid w:val="51CA0AD8"/>
    <w:rsid w:val="51CC2CB9"/>
    <w:rsid w:val="51D7370F"/>
    <w:rsid w:val="51D92902"/>
    <w:rsid w:val="51E627A7"/>
    <w:rsid w:val="51FA3520"/>
    <w:rsid w:val="52072061"/>
    <w:rsid w:val="52183F03"/>
    <w:rsid w:val="52211ACC"/>
    <w:rsid w:val="523C1EA9"/>
    <w:rsid w:val="527643B4"/>
    <w:rsid w:val="5277471D"/>
    <w:rsid w:val="527A5ABC"/>
    <w:rsid w:val="528513A7"/>
    <w:rsid w:val="52860AFE"/>
    <w:rsid w:val="52970987"/>
    <w:rsid w:val="529C3702"/>
    <w:rsid w:val="52A13E50"/>
    <w:rsid w:val="52AA6800"/>
    <w:rsid w:val="52BD6BA5"/>
    <w:rsid w:val="52CB7796"/>
    <w:rsid w:val="52CE4979"/>
    <w:rsid w:val="52E851D2"/>
    <w:rsid w:val="53045BD3"/>
    <w:rsid w:val="530B4D46"/>
    <w:rsid w:val="5322570D"/>
    <w:rsid w:val="53400351"/>
    <w:rsid w:val="53563C85"/>
    <w:rsid w:val="536757A3"/>
    <w:rsid w:val="537E241C"/>
    <w:rsid w:val="53B33212"/>
    <w:rsid w:val="53D632E4"/>
    <w:rsid w:val="540D665A"/>
    <w:rsid w:val="5410249E"/>
    <w:rsid w:val="54282718"/>
    <w:rsid w:val="54330E98"/>
    <w:rsid w:val="5439017D"/>
    <w:rsid w:val="54483FF6"/>
    <w:rsid w:val="545A05A8"/>
    <w:rsid w:val="545B188F"/>
    <w:rsid w:val="5460241F"/>
    <w:rsid w:val="5460332D"/>
    <w:rsid w:val="547D21C7"/>
    <w:rsid w:val="549764E9"/>
    <w:rsid w:val="54F17C19"/>
    <w:rsid w:val="552F7EE9"/>
    <w:rsid w:val="55464338"/>
    <w:rsid w:val="555F7CF5"/>
    <w:rsid w:val="557275F1"/>
    <w:rsid w:val="558C5CEF"/>
    <w:rsid w:val="558C6D44"/>
    <w:rsid w:val="558D7767"/>
    <w:rsid w:val="55930E6F"/>
    <w:rsid w:val="55A311EB"/>
    <w:rsid w:val="55AA00F9"/>
    <w:rsid w:val="55AD4965"/>
    <w:rsid w:val="55B00C41"/>
    <w:rsid w:val="55B25162"/>
    <w:rsid w:val="55DB3131"/>
    <w:rsid w:val="56081F25"/>
    <w:rsid w:val="560B0BE1"/>
    <w:rsid w:val="5616164D"/>
    <w:rsid w:val="561B10BC"/>
    <w:rsid w:val="561C57DE"/>
    <w:rsid w:val="56321AAC"/>
    <w:rsid w:val="56426A33"/>
    <w:rsid w:val="56467876"/>
    <w:rsid w:val="564F52B5"/>
    <w:rsid w:val="5670722A"/>
    <w:rsid w:val="567B064F"/>
    <w:rsid w:val="568911A3"/>
    <w:rsid w:val="56A6458A"/>
    <w:rsid w:val="56A675BE"/>
    <w:rsid w:val="56AF34CC"/>
    <w:rsid w:val="56B15EE2"/>
    <w:rsid w:val="56C744F7"/>
    <w:rsid w:val="56D05DB9"/>
    <w:rsid w:val="56FE6B97"/>
    <w:rsid w:val="57024F39"/>
    <w:rsid w:val="57157D19"/>
    <w:rsid w:val="572214C9"/>
    <w:rsid w:val="57313DCE"/>
    <w:rsid w:val="574E0484"/>
    <w:rsid w:val="575701A2"/>
    <w:rsid w:val="577547D5"/>
    <w:rsid w:val="57B06A23"/>
    <w:rsid w:val="57CC6D86"/>
    <w:rsid w:val="57D90AFD"/>
    <w:rsid w:val="57EB5E17"/>
    <w:rsid w:val="57EF0B7A"/>
    <w:rsid w:val="57F31256"/>
    <w:rsid w:val="57FF4827"/>
    <w:rsid w:val="580A3E45"/>
    <w:rsid w:val="580F3506"/>
    <w:rsid w:val="581207C5"/>
    <w:rsid w:val="584741FA"/>
    <w:rsid w:val="584B02D1"/>
    <w:rsid w:val="584E7A49"/>
    <w:rsid w:val="58553E74"/>
    <w:rsid w:val="58953AD8"/>
    <w:rsid w:val="58AB2D49"/>
    <w:rsid w:val="58BB137F"/>
    <w:rsid w:val="58BF6E3E"/>
    <w:rsid w:val="58C56C3D"/>
    <w:rsid w:val="58C974A2"/>
    <w:rsid w:val="58F57697"/>
    <w:rsid w:val="590B0514"/>
    <w:rsid w:val="59273E84"/>
    <w:rsid w:val="592F012D"/>
    <w:rsid w:val="59432300"/>
    <w:rsid w:val="594450A9"/>
    <w:rsid w:val="59450E17"/>
    <w:rsid w:val="59502101"/>
    <w:rsid w:val="5966741B"/>
    <w:rsid w:val="596B5919"/>
    <w:rsid w:val="596E718F"/>
    <w:rsid w:val="597520FE"/>
    <w:rsid w:val="59B67607"/>
    <w:rsid w:val="59D1733B"/>
    <w:rsid w:val="59DF1474"/>
    <w:rsid w:val="59E73D8B"/>
    <w:rsid w:val="59E80876"/>
    <w:rsid w:val="5A005FE1"/>
    <w:rsid w:val="5A1676BE"/>
    <w:rsid w:val="5A2F1632"/>
    <w:rsid w:val="5A4D7B45"/>
    <w:rsid w:val="5A4F7429"/>
    <w:rsid w:val="5A7B6EB1"/>
    <w:rsid w:val="5A876E27"/>
    <w:rsid w:val="5A940B09"/>
    <w:rsid w:val="5A965AAA"/>
    <w:rsid w:val="5A9F20E1"/>
    <w:rsid w:val="5AA6530C"/>
    <w:rsid w:val="5AA828B1"/>
    <w:rsid w:val="5AAE1FA0"/>
    <w:rsid w:val="5ADC32A1"/>
    <w:rsid w:val="5AEE1A9A"/>
    <w:rsid w:val="5AFC24F2"/>
    <w:rsid w:val="5B126C7E"/>
    <w:rsid w:val="5B137595"/>
    <w:rsid w:val="5B506723"/>
    <w:rsid w:val="5B642BCB"/>
    <w:rsid w:val="5B8B23A0"/>
    <w:rsid w:val="5B8D5B73"/>
    <w:rsid w:val="5BA02A3D"/>
    <w:rsid w:val="5BAA6BC3"/>
    <w:rsid w:val="5BBD27BC"/>
    <w:rsid w:val="5BC46D00"/>
    <w:rsid w:val="5BE54CAB"/>
    <w:rsid w:val="5BEB433C"/>
    <w:rsid w:val="5BF47026"/>
    <w:rsid w:val="5C0A21A7"/>
    <w:rsid w:val="5C201622"/>
    <w:rsid w:val="5C3679C0"/>
    <w:rsid w:val="5C4252F4"/>
    <w:rsid w:val="5C5D5AB7"/>
    <w:rsid w:val="5C636E7B"/>
    <w:rsid w:val="5C7B6323"/>
    <w:rsid w:val="5C8F2F02"/>
    <w:rsid w:val="5CA4234F"/>
    <w:rsid w:val="5CA5626B"/>
    <w:rsid w:val="5CBF5EBC"/>
    <w:rsid w:val="5CC72378"/>
    <w:rsid w:val="5CCF3818"/>
    <w:rsid w:val="5D16746F"/>
    <w:rsid w:val="5D2607D7"/>
    <w:rsid w:val="5D29334A"/>
    <w:rsid w:val="5D297DC8"/>
    <w:rsid w:val="5D2E7B7A"/>
    <w:rsid w:val="5D304D2C"/>
    <w:rsid w:val="5D331CE4"/>
    <w:rsid w:val="5D456B0D"/>
    <w:rsid w:val="5D770A98"/>
    <w:rsid w:val="5D881A7F"/>
    <w:rsid w:val="5D911830"/>
    <w:rsid w:val="5D9A73ED"/>
    <w:rsid w:val="5DB8095B"/>
    <w:rsid w:val="5DC832EF"/>
    <w:rsid w:val="5DEC1281"/>
    <w:rsid w:val="5DF70310"/>
    <w:rsid w:val="5E030521"/>
    <w:rsid w:val="5E162914"/>
    <w:rsid w:val="5E4D0684"/>
    <w:rsid w:val="5E551F5B"/>
    <w:rsid w:val="5E667147"/>
    <w:rsid w:val="5E6946A1"/>
    <w:rsid w:val="5E753627"/>
    <w:rsid w:val="5EE60DAF"/>
    <w:rsid w:val="5F32376B"/>
    <w:rsid w:val="5F356D87"/>
    <w:rsid w:val="5F385700"/>
    <w:rsid w:val="5F525D06"/>
    <w:rsid w:val="5F755536"/>
    <w:rsid w:val="5F7C22CD"/>
    <w:rsid w:val="5FA14575"/>
    <w:rsid w:val="5FB61AED"/>
    <w:rsid w:val="5FCA1C81"/>
    <w:rsid w:val="5FE16BDB"/>
    <w:rsid w:val="5FF56D40"/>
    <w:rsid w:val="60025593"/>
    <w:rsid w:val="600D6C18"/>
    <w:rsid w:val="60432AC8"/>
    <w:rsid w:val="604B3BBD"/>
    <w:rsid w:val="60620C4F"/>
    <w:rsid w:val="6086434B"/>
    <w:rsid w:val="60B6165D"/>
    <w:rsid w:val="60CF3E67"/>
    <w:rsid w:val="60F819E2"/>
    <w:rsid w:val="61057182"/>
    <w:rsid w:val="612D790C"/>
    <w:rsid w:val="61801FBC"/>
    <w:rsid w:val="618C797C"/>
    <w:rsid w:val="6193127D"/>
    <w:rsid w:val="61AB7A39"/>
    <w:rsid w:val="61BF3F5A"/>
    <w:rsid w:val="61C02766"/>
    <w:rsid w:val="61E61E1C"/>
    <w:rsid w:val="61E7154B"/>
    <w:rsid w:val="61F97357"/>
    <w:rsid w:val="62273AA7"/>
    <w:rsid w:val="623F1D75"/>
    <w:rsid w:val="62481198"/>
    <w:rsid w:val="624C7713"/>
    <w:rsid w:val="62573C4A"/>
    <w:rsid w:val="626A2DA2"/>
    <w:rsid w:val="62710FF3"/>
    <w:rsid w:val="628B3790"/>
    <w:rsid w:val="6299493E"/>
    <w:rsid w:val="629B401A"/>
    <w:rsid w:val="62A860FF"/>
    <w:rsid w:val="62AF5B1B"/>
    <w:rsid w:val="62B357A2"/>
    <w:rsid w:val="62BA31BE"/>
    <w:rsid w:val="62D40F97"/>
    <w:rsid w:val="631651C6"/>
    <w:rsid w:val="63195F09"/>
    <w:rsid w:val="631F28F3"/>
    <w:rsid w:val="63222429"/>
    <w:rsid w:val="63597FCD"/>
    <w:rsid w:val="636001CA"/>
    <w:rsid w:val="63637018"/>
    <w:rsid w:val="6369228E"/>
    <w:rsid w:val="636E4DB0"/>
    <w:rsid w:val="637C55C1"/>
    <w:rsid w:val="63B46442"/>
    <w:rsid w:val="63B858D2"/>
    <w:rsid w:val="63BC10F2"/>
    <w:rsid w:val="63CD680C"/>
    <w:rsid w:val="63D01980"/>
    <w:rsid w:val="63D01C09"/>
    <w:rsid w:val="63FB31A4"/>
    <w:rsid w:val="64006189"/>
    <w:rsid w:val="64163A25"/>
    <w:rsid w:val="64445A06"/>
    <w:rsid w:val="64A81F49"/>
    <w:rsid w:val="64D442D4"/>
    <w:rsid w:val="64EB2CED"/>
    <w:rsid w:val="64F0256E"/>
    <w:rsid w:val="64F94851"/>
    <w:rsid w:val="65042D4C"/>
    <w:rsid w:val="65300EC5"/>
    <w:rsid w:val="65676612"/>
    <w:rsid w:val="65A32811"/>
    <w:rsid w:val="65B15EDA"/>
    <w:rsid w:val="65BE0513"/>
    <w:rsid w:val="65F5183A"/>
    <w:rsid w:val="66005129"/>
    <w:rsid w:val="66094390"/>
    <w:rsid w:val="66277D80"/>
    <w:rsid w:val="66373EED"/>
    <w:rsid w:val="664A20FA"/>
    <w:rsid w:val="66700AF6"/>
    <w:rsid w:val="669C5639"/>
    <w:rsid w:val="66AB52AA"/>
    <w:rsid w:val="66DE6FE0"/>
    <w:rsid w:val="66FF4B72"/>
    <w:rsid w:val="67067EF1"/>
    <w:rsid w:val="672F6B54"/>
    <w:rsid w:val="673C7338"/>
    <w:rsid w:val="67441893"/>
    <w:rsid w:val="6751313B"/>
    <w:rsid w:val="676352DD"/>
    <w:rsid w:val="67637F1F"/>
    <w:rsid w:val="67655AF9"/>
    <w:rsid w:val="67834946"/>
    <w:rsid w:val="67916963"/>
    <w:rsid w:val="67A54EDB"/>
    <w:rsid w:val="67E308B5"/>
    <w:rsid w:val="67E4180D"/>
    <w:rsid w:val="67F47EA3"/>
    <w:rsid w:val="680C6096"/>
    <w:rsid w:val="68212DD9"/>
    <w:rsid w:val="682866AF"/>
    <w:rsid w:val="682B22EE"/>
    <w:rsid w:val="683A6524"/>
    <w:rsid w:val="686076D6"/>
    <w:rsid w:val="68624305"/>
    <w:rsid w:val="688374A8"/>
    <w:rsid w:val="689A700A"/>
    <w:rsid w:val="68BF62C3"/>
    <w:rsid w:val="68C03953"/>
    <w:rsid w:val="68C41247"/>
    <w:rsid w:val="68E66CA0"/>
    <w:rsid w:val="691845DA"/>
    <w:rsid w:val="69205D36"/>
    <w:rsid w:val="692F349B"/>
    <w:rsid w:val="692F7966"/>
    <w:rsid w:val="69370C72"/>
    <w:rsid w:val="69525280"/>
    <w:rsid w:val="69B472FA"/>
    <w:rsid w:val="69C3368B"/>
    <w:rsid w:val="69C37DEF"/>
    <w:rsid w:val="69D62B98"/>
    <w:rsid w:val="69DB042B"/>
    <w:rsid w:val="69E150CB"/>
    <w:rsid w:val="69F25096"/>
    <w:rsid w:val="6A077BEE"/>
    <w:rsid w:val="6A375C7A"/>
    <w:rsid w:val="6A4677DE"/>
    <w:rsid w:val="6A4E00C3"/>
    <w:rsid w:val="6A69264A"/>
    <w:rsid w:val="6A6F1DB6"/>
    <w:rsid w:val="6A6F73F0"/>
    <w:rsid w:val="6A765E56"/>
    <w:rsid w:val="6A8C721D"/>
    <w:rsid w:val="6A9728DD"/>
    <w:rsid w:val="6AA7438C"/>
    <w:rsid w:val="6ACA6E2D"/>
    <w:rsid w:val="6AD4703F"/>
    <w:rsid w:val="6ADB5EA5"/>
    <w:rsid w:val="6AE55C4D"/>
    <w:rsid w:val="6AEA006D"/>
    <w:rsid w:val="6AED37AD"/>
    <w:rsid w:val="6AFC3C20"/>
    <w:rsid w:val="6B166A2F"/>
    <w:rsid w:val="6B370492"/>
    <w:rsid w:val="6B4B3B82"/>
    <w:rsid w:val="6B4C171B"/>
    <w:rsid w:val="6B7F197D"/>
    <w:rsid w:val="6B82583D"/>
    <w:rsid w:val="6B85617D"/>
    <w:rsid w:val="6B9950CC"/>
    <w:rsid w:val="6BB86036"/>
    <w:rsid w:val="6BD10196"/>
    <w:rsid w:val="6BEE1CD1"/>
    <w:rsid w:val="6BF74566"/>
    <w:rsid w:val="6C1747D2"/>
    <w:rsid w:val="6C22597F"/>
    <w:rsid w:val="6C230986"/>
    <w:rsid w:val="6C4038DA"/>
    <w:rsid w:val="6C427C1A"/>
    <w:rsid w:val="6C461A87"/>
    <w:rsid w:val="6C800716"/>
    <w:rsid w:val="6CA71B33"/>
    <w:rsid w:val="6CC53527"/>
    <w:rsid w:val="6CCD13E5"/>
    <w:rsid w:val="6CF23782"/>
    <w:rsid w:val="6D024FFB"/>
    <w:rsid w:val="6D0424D2"/>
    <w:rsid w:val="6D067C9B"/>
    <w:rsid w:val="6D0D4301"/>
    <w:rsid w:val="6D18699C"/>
    <w:rsid w:val="6D293F19"/>
    <w:rsid w:val="6D514BC8"/>
    <w:rsid w:val="6D671E98"/>
    <w:rsid w:val="6D715DCB"/>
    <w:rsid w:val="6D922790"/>
    <w:rsid w:val="6D923B5C"/>
    <w:rsid w:val="6D957BAF"/>
    <w:rsid w:val="6DA07839"/>
    <w:rsid w:val="6DC20C5A"/>
    <w:rsid w:val="6DCE6F9E"/>
    <w:rsid w:val="6DEF5C4F"/>
    <w:rsid w:val="6DF03867"/>
    <w:rsid w:val="6E056799"/>
    <w:rsid w:val="6E3549E7"/>
    <w:rsid w:val="6E44376B"/>
    <w:rsid w:val="6E491F3E"/>
    <w:rsid w:val="6E643ED2"/>
    <w:rsid w:val="6E740FCB"/>
    <w:rsid w:val="6E903041"/>
    <w:rsid w:val="6ED65122"/>
    <w:rsid w:val="6ED66053"/>
    <w:rsid w:val="6F0F3775"/>
    <w:rsid w:val="6F267698"/>
    <w:rsid w:val="6F38008C"/>
    <w:rsid w:val="6F707D01"/>
    <w:rsid w:val="6F712C4D"/>
    <w:rsid w:val="6F960763"/>
    <w:rsid w:val="6F9C0AB7"/>
    <w:rsid w:val="6FA619ED"/>
    <w:rsid w:val="6FC22F83"/>
    <w:rsid w:val="6FD84B68"/>
    <w:rsid w:val="6FD9616A"/>
    <w:rsid w:val="6FE37C6B"/>
    <w:rsid w:val="6FEA5FD6"/>
    <w:rsid w:val="6FEB75B6"/>
    <w:rsid w:val="6FED1756"/>
    <w:rsid w:val="6FFC7800"/>
    <w:rsid w:val="700117AB"/>
    <w:rsid w:val="70161433"/>
    <w:rsid w:val="70315496"/>
    <w:rsid w:val="705769CA"/>
    <w:rsid w:val="705A7508"/>
    <w:rsid w:val="70613884"/>
    <w:rsid w:val="706E71BD"/>
    <w:rsid w:val="70701C4B"/>
    <w:rsid w:val="708E2982"/>
    <w:rsid w:val="70AE2678"/>
    <w:rsid w:val="70DB3D14"/>
    <w:rsid w:val="70E27F93"/>
    <w:rsid w:val="70E86135"/>
    <w:rsid w:val="711A4BF8"/>
    <w:rsid w:val="71242F3A"/>
    <w:rsid w:val="713A32E9"/>
    <w:rsid w:val="71840BA1"/>
    <w:rsid w:val="718606CD"/>
    <w:rsid w:val="71950047"/>
    <w:rsid w:val="719E7039"/>
    <w:rsid w:val="71AD725D"/>
    <w:rsid w:val="71B749D5"/>
    <w:rsid w:val="71E25F25"/>
    <w:rsid w:val="71FA2C98"/>
    <w:rsid w:val="72427059"/>
    <w:rsid w:val="72555CDD"/>
    <w:rsid w:val="72641B0D"/>
    <w:rsid w:val="72676F72"/>
    <w:rsid w:val="726D7A40"/>
    <w:rsid w:val="726F7C81"/>
    <w:rsid w:val="72764ECB"/>
    <w:rsid w:val="728C3623"/>
    <w:rsid w:val="72A024FF"/>
    <w:rsid w:val="72A722C8"/>
    <w:rsid w:val="72AD39B6"/>
    <w:rsid w:val="72D16B6E"/>
    <w:rsid w:val="72DD54F1"/>
    <w:rsid w:val="72FF2E55"/>
    <w:rsid w:val="730B1548"/>
    <w:rsid w:val="735E2EF6"/>
    <w:rsid w:val="736675E5"/>
    <w:rsid w:val="73831138"/>
    <w:rsid w:val="73976045"/>
    <w:rsid w:val="73A3416B"/>
    <w:rsid w:val="73A43391"/>
    <w:rsid w:val="73BE0238"/>
    <w:rsid w:val="73C46707"/>
    <w:rsid w:val="73D61DBE"/>
    <w:rsid w:val="73DD5DBE"/>
    <w:rsid w:val="73F3727F"/>
    <w:rsid w:val="74053D0B"/>
    <w:rsid w:val="74135CDD"/>
    <w:rsid w:val="74146C7D"/>
    <w:rsid w:val="742B1243"/>
    <w:rsid w:val="744F37AA"/>
    <w:rsid w:val="746C62BC"/>
    <w:rsid w:val="7475796A"/>
    <w:rsid w:val="748C15BC"/>
    <w:rsid w:val="74CC67F4"/>
    <w:rsid w:val="74F310F6"/>
    <w:rsid w:val="74FD204F"/>
    <w:rsid w:val="74FF0626"/>
    <w:rsid w:val="750751FF"/>
    <w:rsid w:val="751E0C7A"/>
    <w:rsid w:val="751F371C"/>
    <w:rsid w:val="752A6F6F"/>
    <w:rsid w:val="755A287A"/>
    <w:rsid w:val="755F0E4A"/>
    <w:rsid w:val="75834F63"/>
    <w:rsid w:val="759069F7"/>
    <w:rsid w:val="75941DF3"/>
    <w:rsid w:val="75954DD4"/>
    <w:rsid w:val="759C6DC0"/>
    <w:rsid w:val="75B65B36"/>
    <w:rsid w:val="75B66081"/>
    <w:rsid w:val="75E766FA"/>
    <w:rsid w:val="75F04356"/>
    <w:rsid w:val="75F94C86"/>
    <w:rsid w:val="7624278E"/>
    <w:rsid w:val="76387C51"/>
    <w:rsid w:val="76480B20"/>
    <w:rsid w:val="76966590"/>
    <w:rsid w:val="76A51677"/>
    <w:rsid w:val="76A74B48"/>
    <w:rsid w:val="76A828E8"/>
    <w:rsid w:val="76B6788D"/>
    <w:rsid w:val="77020631"/>
    <w:rsid w:val="770479A8"/>
    <w:rsid w:val="7723459B"/>
    <w:rsid w:val="774C6CD5"/>
    <w:rsid w:val="774D0367"/>
    <w:rsid w:val="7750360F"/>
    <w:rsid w:val="775365F7"/>
    <w:rsid w:val="776A08B1"/>
    <w:rsid w:val="777D168E"/>
    <w:rsid w:val="779A2034"/>
    <w:rsid w:val="77AD584D"/>
    <w:rsid w:val="77BD227A"/>
    <w:rsid w:val="77C278B4"/>
    <w:rsid w:val="77CB1F66"/>
    <w:rsid w:val="77F22C55"/>
    <w:rsid w:val="77F24742"/>
    <w:rsid w:val="77F576B8"/>
    <w:rsid w:val="77FD5607"/>
    <w:rsid w:val="78023E42"/>
    <w:rsid w:val="781C5BB5"/>
    <w:rsid w:val="78215CC2"/>
    <w:rsid w:val="78392E32"/>
    <w:rsid w:val="784B6342"/>
    <w:rsid w:val="78536C2C"/>
    <w:rsid w:val="787903B0"/>
    <w:rsid w:val="787A3EB4"/>
    <w:rsid w:val="789C3D38"/>
    <w:rsid w:val="78A113F8"/>
    <w:rsid w:val="78A51175"/>
    <w:rsid w:val="78DA389E"/>
    <w:rsid w:val="78FD0660"/>
    <w:rsid w:val="79003002"/>
    <w:rsid w:val="79195500"/>
    <w:rsid w:val="79331C0A"/>
    <w:rsid w:val="7955157C"/>
    <w:rsid w:val="79844DCF"/>
    <w:rsid w:val="79866B7F"/>
    <w:rsid w:val="798745EF"/>
    <w:rsid w:val="79AB48FE"/>
    <w:rsid w:val="79AD36FA"/>
    <w:rsid w:val="79B1652A"/>
    <w:rsid w:val="79CC1038"/>
    <w:rsid w:val="79F67E12"/>
    <w:rsid w:val="79FF6CB0"/>
    <w:rsid w:val="7A054169"/>
    <w:rsid w:val="7A5B6F19"/>
    <w:rsid w:val="7A6C6A2B"/>
    <w:rsid w:val="7A6D2FDF"/>
    <w:rsid w:val="7A700FB1"/>
    <w:rsid w:val="7A9B413D"/>
    <w:rsid w:val="7AAC7B7E"/>
    <w:rsid w:val="7AB90E57"/>
    <w:rsid w:val="7AD31BAE"/>
    <w:rsid w:val="7ADF4527"/>
    <w:rsid w:val="7AE37846"/>
    <w:rsid w:val="7AE47E86"/>
    <w:rsid w:val="7AF2720D"/>
    <w:rsid w:val="7B073E40"/>
    <w:rsid w:val="7B0C3F15"/>
    <w:rsid w:val="7B114715"/>
    <w:rsid w:val="7B291028"/>
    <w:rsid w:val="7B4D629C"/>
    <w:rsid w:val="7B5074FF"/>
    <w:rsid w:val="7B684DCA"/>
    <w:rsid w:val="7B7A2C8B"/>
    <w:rsid w:val="7B7F2637"/>
    <w:rsid w:val="7B852BC5"/>
    <w:rsid w:val="7B8A228A"/>
    <w:rsid w:val="7B9C23BE"/>
    <w:rsid w:val="7BA90981"/>
    <w:rsid w:val="7BC4600E"/>
    <w:rsid w:val="7BE43371"/>
    <w:rsid w:val="7BFB3926"/>
    <w:rsid w:val="7C0F7337"/>
    <w:rsid w:val="7C274CBE"/>
    <w:rsid w:val="7C392F77"/>
    <w:rsid w:val="7C4A629F"/>
    <w:rsid w:val="7C4C6362"/>
    <w:rsid w:val="7C5E1C65"/>
    <w:rsid w:val="7C6876C8"/>
    <w:rsid w:val="7C6B7DF6"/>
    <w:rsid w:val="7C727507"/>
    <w:rsid w:val="7C931FE1"/>
    <w:rsid w:val="7CA420AB"/>
    <w:rsid w:val="7CAB28AE"/>
    <w:rsid w:val="7CD35696"/>
    <w:rsid w:val="7CDD1473"/>
    <w:rsid w:val="7CF52769"/>
    <w:rsid w:val="7CF976ED"/>
    <w:rsid w:val="7CFD4495"/>
    <w:rsid w:val="7D5702BA"/>
    <w:rsid w:val="7D787D90"/>
    <w:rsid w:val="7D8969B7"/>
    <w:rsid w:val="7DC45CC2"/>
    <w:rsid w:val="7DE17BBA"/>
    <w:rsid w:val="7DE215DB"/>
    <w:rsid w:val="7DF701F4"/>
    <w:rsid w:val="7E144E8F"/>
    <w:rsid w:val="7E182D16"/>
    <w:rsid w:val="7E30094B"/>
    <w:rsid w:val="7E414509"/>
    <w:rsid w:val="7E654AB8"/>
    <w:rsid w:val="7E704415"/>
    <w:rsid w:val="7E7FE509"/>
    <w:rsid w:val="7EA61EED"/>
    <w:rsid w:val="7EA75F15"/>
    <w:rsid w:val="7EAC5AC6"/>
    <w:rsid w:val="7EDE0C50"/>
    <w:rsid w:val="7EE57C91"/>
    <w:rsid w:val="7EEB62EE"/>
    <w:rsid w:val="7F01354C"/>
    <w:rsid w:val="7F2001A7"/>
    <w:rsid w:val="7F2F6772"/>
    <w:rsid w:val="7F3D57E1"/>
    <w:rsid w:val="7F405587"/>
    <w:rsid w:val="7F575472"/>
    <w:rsid w:val="7F624F6F"/>
    <w:rsid w:val="7F6C64EB"/>
    <w:rsid w:val="7F8913C7"/>
    <w:rsid w:val="7F8B11B0"/>
    <w:rsid w:val="7F8F4F7D"/>
    <w:rsid w:val="7FA155C7"/>
    <w:rsid w:val="F76FE4D7"/>
    <w:rsid w:val="FBFBAC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7">
    <w:name w:val="heading 1"/>
    <w:basedOn w:val="1"/>
    <w:next w:val="1"/>
    <w:link w:val="113"/>
    <w:qFormat/>
    <w:uiPriority w:val="9"/>
    <w:pPr>
      <w:keepNext/>
      <w:widowControl/>
      <w:spacing w:line="360" w:lineRule="auto"/>
      <w:jc w:val="center"/>
      <w:outlineLvl w:val="0"/>
    </w:pPr>
    <w:rPr>
      <w:rFonts w:ascii="黑体"/>
      <w:b/>
      <w:kern w:val="0"/>
      <w:sz w:val="32"/>
    </w:rPr>
  </w:style>
  <w:style w:type="paragraph" w:styleId="8">
    <w:name w:val="heading 2"/>
    <w:basedOn w:val="1"/>
    <w:next w:val="1"/>
    <w:link w:val="192"/>
    <w:qFormat/>
    <w:uiPriority w:val="0"/>
    <w:pPr>
      <w:keepNext/>
      <w:keepLines/>
      <w:tabs>
        <w:tab w:val="left" w:pos="706"/>
        <w:tab w:val="left" w:pos="1110"/>
      </w:tabs>
      <w:spacing w:line="360" w:lineRule="auto"/>
      <w:ind w:left="106" w:firstLine="454"/>
      <w:outlineLvl w:val="1"/>
    </w:pPr>
    <w:rPr>
      <w:rFonts w:eastAsia="黑体"/>
      <w:b/>
      <w:sz w:val="21"/>
    </w:rPr>
  </w:style>
  <w:style w:type="paragraph" w:styleId="9">
    <w:name w:val="heading 3"/>
    <w:basedOn w:val="1"/>
    <w:next w:val="1"/>
    <w:link w:val="115"/>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10">
    <w:name w:val="heading 4"/>
    <w:basedOn w:val="1"/>
    <w:next w:val="1"/>
    <w:link w:val="116"/>
    <w:qFormat/>
    <w:uiPriority w:val="0"/>
    <w:pPr>
      <w:tabs>
        <w:tab w:val="left" w:pos="720"/>
      </w:tabs>
      <w:spacing w:before="280" w:after="290" w:line="372" w:lineRule="auto"/>
      <w:outlineLvl w:val="3"/>
    </w:pPr>
    <w:rPr>
      <w:rFonts w:ascii="Arial" w:hAnsi="Arial" w:eastAsia="黑体"/>
    </w:rPr>
  </w:style>
  <w:style w:type="paragraph" w:styleId="11">
    <w:name w:val="heading 5"/>
    <w:basedOn w:val="1"/>
    <w:next w:val="1"/>
    <w:link w:val="117"/>
    <w:qFormat/>
    <w:uiPriority w:val="0"/>
    <w:pPr>
      <w:keepNext/>
      <w:keepLines/>
      <w:spacing w:before="280" w:after="290" w:line="372" w:lineRule="auto"/>
      <w:outlineLvl w:val="4"/>
    </w:pPr>
    <w:rPr>
      <w:b/>
    </w:rPr>
  </w:style>
  <w:style w:type="paragraph" w:styleId="12">
    <w:name w:val="heading 6"/>
    <w:basedOn w:val="1"/>
    <w:next w:val="1"/>
    <w:link w:val="118"/>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3">
    <w:name w:val="heading 7"/>
    <w:basedOn w:val="1"/>
    <w:next w:val="1"/>
    <w:link w:val="119"/>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4">
    <w:name w:val="heading 8"/>
    <w:basedOn w:val="1"/>
    <w:next w:val="1"/>
    <w:link w:val="120"/>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5">
    <w:name w:val="heading 9"/>
    <w:basedOn w:val="1"/>
    <w:next w:val="1"/>
    <w:link w:val="12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91">
    <w:name w:val="Default Paragraph Font"/>
    <w:unhideWhenUsed/>
    <w:qFormat/>
    <w:uiPriority w:val="1"/>
  </w:style>
  <w:style w:type="table" w:default="1" w:styleId="89">
    <w:name w:val="Normal Table"/>
    <w:unhideWhenUsed/>
    <w:qFormat/>
    <w:uiPriority w:val="99"/>
    <w:tblPr>
      <w:tblCellMar>
        <w:top w:w="0" w:type="dxa"/>
        <w:left w:w="108" w:type="dxa"/>
        <w:bottom w:w="0" w:type="dxa"/>
        <w:right w:w="108" w:type="dxa"/>
      </w:tblCellMar>
    </w:tblPr>
  </w:style>
  <w:style w:type="paragraph" w:customStyle="1" w:styleId="2">
    <w:name w:val="表格文字"/>
    <w:basedOn w:val="3"/>
    <w:next w:val="5"/>
    <w:qFormat/>
    <w:uiPriority w:val="0"/>
    <w:pPr>
      <w:adjustRightInd w:val="0"/>
      <w:spacing w:line="420" w:lineRule="atLeast"/>
      <w:textAlignment w:val="baseline"/>
    </w:pPr>
    <w:rPr>
      <w:kern w:val="0"/>
      <w:sz w:val="21"/>
    </w:rPr>
  </w:style>
  <w:style w:type="paragraph" w:styleId="3">
    <w:name w:val="Plain Text"/>
    <w:basedOn w:val="1"/>
    <w:next w:val="4"/>
    <w:link w:val="339"/>
    <w:qFormat/>
    <w:uiPriority w:val="0"/>
    <w:rPr>
      <w:rFonts w:ascii="宋体" w:hAnsi="Courier New" w:cstheme="minorBidi"/>
      <w:sz w:val="21"/>
      <w:szCs w:val="22"/>
    </w:rPr>
  </w:style>
  <w:style w:type="paragraph" w:styleId="4">
    <w:name w:val="Date"/>
    <w:basedOn w:val="1"/>
    <w:next w:val="1"/>
    <w:link w:val="338"/>
    <w:qFormat/>
    <w:uiPriority w:val="0"/>
    <w:pPr>
      <w:adjustRightInd w:val="0"/>
      <w:jc w:val="right"/>
      <w:textAlignment w:val="baseline"/>
    </w:pPr>
    <w:rPr>
      <w:rFonts w:eastAsia="仿宋_GB2312" w:asciiTheme="minorHAnsi" w:hAnsiTheme="minorHAnsi" w:cstheme="minorBidi"/>
      <w:b/>
      <w:szCs w:val="22"/>
    </w:rPr>
  </w:style>
  <w:style w:type="paragraph" w:styleId="5">
    <w:name w:val="Body Text"/>
    <w:basedOn w:val="1"/>
    <w:link w:val="124"/>
    <w:unhideWhenUsed/>
    <w:qFormat/>
    <w:uiPriority w:val="0"/>
    <w:pPr>
      <w:spacing w:after="120"/>
    </w:pPr>
  </w:style>
  <w:style w:type="paragraph" w:styleId="6">
    <w:name w:val="macro"/>
    <w:link w:val="34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16">
    <w:name w:val="List 3"/>
    <w:basedOn w:val="1"/>
    <w:qFormat/>
    <w:uiPriority w:val="0"/>
    <w:pPr>
      <w:ind w:left="100" w:leftChars="400" w:hanging="200" w:hangingChars="200"/>
    </w:pPr>
    <w:rPr>
      <w:sz w:val="21"/>
    </w:rPr>
  </w:style>
  <w:style w:type="paragraph" w:styleId="17">
    <w:name w:val="toc 7"/>
    <w:basedOn w:val="1"/>
    <w:next w:val="1"/>
    <w:qFormat/>
    <w:uiPriority w:val="0"/>
    <w:pPr>
      <w:ind w:left="1680"/>
      <w:jc w:val="left"/>
    </w:pPr>
    <w:rPr>
      <w:sz w:val="18"/>
    </w:rPr>
  </w:style>
  <w:style w:type="paragraph" w:styleId="18">
    <w:name w:val="List Number 2"/>
    <w:basedOn w:val="1"/>
    <w:qFormat/>
    <w:uiPriority w:val="0"/>
    <w:pPr>
      <w:tabs>
        <w:tab w:val="left" w:pos="0"/>
      </w:tabs>
      <w:ind w:left="1146" w:hanging="720"/>
    </w:pPr>
    <w:rPr>
      <w:sz w:val="21"/>
    </w:rPr>
  </w:style>
  <w:style w:type="paragraph" w:styleId="19">
    <w:name w:val="table of authorities"/>
    <w:basedOn w:val="1"/>
    <w:next w:val="1"/>
    <w:qFormat/>
    <w:uiPriority w:val="0"/>
    <w:pPr>
      <w:ind w:left="420" w:leftChars="200"/>
    </w:pPr>
    <w:rPr>
      <w:sz w:val="21"/>
    </w:rPr>
  </w:style>
  <w:style w:type="paragraph" w:styleId="20">
    <w:name w:val="Note Heading"/>
    <w:basedOn w:val="1"/>
    <w:next w:val="1"/>
    <w:link w:val="341"/>
    <w:qFormat/>
    <w:uiPriority w:val="0"/>
    <w:pPr>
      <w:jc w:val="center"/>
    </w:pPr>
    <w:rPr>
      <w:rFonts w:asciiTheme="minorHAnsi" w:hAnsiTheme="minorHAnsi" w:eastAsiaTheme="minorEastAsia" w:cstheme="minorBidi"/>
      <w:sz w:val="21"/>
      <w:szCs w:val="22"/>
    </w:rPr>
  </w:style>
  <w:style w:type="paragraph" w:styleId="21">
    <w:name w:val="List Bullet 4"/>
    <w:basedOn w:val="1"/>
    <w:qFormat/>
    <w:uiPriority w:val="0"/>
    <w:pPr>
      <w:tabs>
        <w:tab w:val="left" w:pos="1620"/>
      </w:tabs>
      <w:ind w:left="1620" w:hanging="360"/>
    </w:pPr>
    <w:rPr>
      <w:sz w:val="21"/>
    </w:rPr>
  </w:style>
  <w:style w:type="paragraph" w:styleId="22">
    <w:name w:val="index 8"/>
    <w:basedOn w:val="1"/>
    <w:next w:val="1"/>
    <w:qFormat/>
    <w:uiPriority w:val="0"/>
    <w:pPr>
      <w:ind w:left="1400" w:leftChars="1400"/>
    </w:pPr>
    <w:rPr>
      <w:sz w:val="21"/>
    </w:rPr>
  </w:style>
  <w:style w:type="paragraph" w:styleId="23">
    <w:name w:val="E-mail Signature"/>
    <w:basedOn w:val="1"/>
    <w:link w:val="335"/>
    <w:qFormat/>
    <w:uiPriority w:val="0"/>
    <w:rPr>
      <w:rFonts w:asciiTheme="minorHAnsi" w:hAnsiTheme="minorHAnsi" w:eastAsiaTheme="minorEastAsia" w:cstheme="minorBidi"/>
      <w:sz w:val="21"/>
      <w:szCs w:val="22"/>
    </w:rPr>
  </w:style>
  <w:style w:type="paragraph" w:styleId="24">
    <w:name w:val="List Number"/>
    <w:basedOn w:val="1"/>
    <w:qFormat/>
    <w:uiPriority w:val="0"/>
    <w:pPr>
      <w:tabs>
        <w:tab w:val="left" w:pos="360"/>
      </w:tabs>
      <w:ind w:left="360" w:hanging="360"/>
    </w:pPr>
    <w:rPr>
      <w:sz w:val="21"/>
    </w:rPr>
  </w:style>
  <w:style w:type="paragraph" w:styleId="25">
    <w:name w:val="Normal Indent"/>
    <w:basedOn w:val="1"/>
    <w:next w:val="26"/>
    <w:link w:val="312"/>
    <w:qFormat/>
    <w:uiPriority w:val="0"/>
    <w:pPr>
      <w:widowControl/>
      <w:ind w:firstLine="420"/>
      <w:jc w:val="left"/>
    </w:pPr>
    <w:rPr>
      <w:rFonts w:asciiTheme="minorHAnsi" w:hAnsiTheme="minorHAnsi" w:cstheme="minorBidi"/>
      <w:sz w:val="24"/>
      <w:szCs w:val="22"/>
    </w:rPr>
  </w:style>
  <w:style w:type="paragraph" w:styleId="26">
    <w:name w:val="Body Text Indent"/>
    <w:basedOn w:val="1"/>
    <w:link w:val="122"/>
    <w:unhideWhenUsed/>
    <w:qFormat/>
    <w:uiPriority w:val="0"/>
    <w:pPr>
      <w:spacing w:after="120"/>
      <w:ind w:left="420" w:leftChars="200"/>
    </w:pPr>
  </w:style>
  <w:style w:type="paragraph" w:styleId="27">
    <w:name w:val="caption"/>
    <w:basedOn w:val="1"/>
    <w:next w:val="1"/>
    <w:qFormat/>
    <w:uiPriority w:val="0"/>
    <w:rPr>
      <w:rFonts w:ascii="Arial" w:hAnsi="Arial" w:eastAsia="黑体"/>
      <w:sz w:val="20"/>
    </w:rPr>
  </w:style>
  <w:style w:type="paragraph" w:styleId="28">
    <w:name w:val="index 5"/>
    <w:basedOn w:val="1"/>
    <w:next w:val="1"/>
    <w:qFormat/>
    <w:uiPriority w:val="0"/>
    <w:pPr>
      <w:ind w:left="800" w:leftChars="800"/>
    </w:pPr>
    <w:rPr>
      <w:sz w:val="21"/>
    </w:rPr>
  </w:style>
  <w:style w:type="paragraph" w:styleId="29">
    <w:name w:val="List Bullet"/>
    <w:basedOn w:val="1"/>
    <w:qFormat/>
    <w:uiPriority w:val="0"/>
    <w:pPr>
      <w:tabs>
        <w:tab w:val="left" w:pos="735"/>
      </w:tabs>
      <w:ind w:left="735"/>
    </w:pPr>
    <w:rPr>
      <w:sz w:val="21"/>
    </w:rPr>
  </w:style>
  <w:style w:type="paragraph" w:styleId="30">
    <w:name w:val="envelope address"/>
    <w:basedOn w:val="1"/>
    <w:qFormat/>
    <w:uiPriority w:val="0"/>
    <w:pPr>
      <w:snapToGrid w:val="0"/>
      <w:ind w:left="100" w:leftChars="1400"/>
    </w:pPr>
    <w:rPr>
      <w:rFonts w:ascii="Arial" w:hAnsi="Arial"/>
      <w:sz w:val="24"/>
    </w:rPr>
  </w:style>
  <w:style w:type="paragraph" w:styleId="31">
    <w:name w:val="Document Map"/>
    <w:basedOn w:val="1"/>
    <w:link w:val="343"/>
    <w:qFormat/>
    <w:uiPriority w:val="0"/>
    <w:pPr>
      <w:shd w:val="clear" w:color="auto" w:fill="000080"/>
    </w:pPr>
    <w:rPr>
      <w:rFonts w:asciiTheme="minorHAnsi" w:hAnsiTheme="minorHAnsi" w:eastAsiaTheme="minorEastAsia" w:cstheme="minorBidi"/>
      <w:szCs w:val="22"/>
      <w:shd w:val="clear" w:color="auto" w:fill="000080"/>
    </w:rPr>
  </w:style>
  <w:style w:type="paragraph" w:styleId="32">
    <w:name w:val="toa heading"/>
    <w:basedOn w:val="1"/>
    <w:next w:val="1"/>
    <w:qFormat/>
    <w:uiPriority w:val="0"/>
    <w:pPr>
      <w:spacing w:before="120"/>
    </w:pPr>
    <w:rPr>
      <w:rFonts w:ascii="Arial" w:hAnsi="Arial"/>
      <w:sz w:val="24"/>
    </w:rPr>
  </w:style>
  <w:style w:type="paragraph" w:styleId="33">
    <w:name w:val="annotation text"/>
    <w:basedOn w:val="1"/>
    <w:link w:val="128"/>
    <w:unhideWhenUsed/>
    <w:qFormat/>
    <w:uiPriority w:val="0"/>
    <w:pPr>
      <w:jc w:val="left"/>
    </w:pPr>
  </w:style>
  <w:style w:type="paragraph" w:styleId="34">
    <w:name w:val="index 6"/>
    <w:basedOn w:val="1"/>
    <w:next w:val="1"/>
    <w:qFormat/>
    <w:uiPriority w:val="0"/>
    <w:pPr>
      <w:ind w:left="1000" w:leftChars="1000"/>
    </w:pPr>
    <w:rPr>
      <w:sz w:val="21"/>
    </w:rPr>
  </w:style>
  <w:style w:type="paragraph" w:styleId="35">
    <w:name w:val="Salutation"/>
    <w:basedOn w:val="1"/>
    <w:next w:val="1"/>
    <w:link w:val="351"/>
    <w:qFormat/>
    <w:uiPriority w:val="0"/>
    <w:rPr>
      <w:rFonts w:ascii="宋体" w:hAnsiTheme="minorHAnsi" w:eastAsiaTheme="minorEastAsia" w:cstheme="minorBidi"/>
      <w:szCs w:val="22"/>
    </w:rPr>
  </w:style>
  <w:style w:type="paragraph" w:styleId="36">
    <w:name w:val="Body Text 3"/>
    <w:basedOn w:val="1"/>
    <w:link w:val="355"/>
    <w:qFormat/>
    <w:uiPriority w:val="0"/>
    <w:pPr>
      <w:spacing w:after="120"/>
    </w:pPr>
    <w:rPr>
      <w:rFonts w:asciiTheme="minorHAnsi" w:hAnsiTheme="minorHAnsi" w:eastAsiaTheme="minorEastAsia" w:cstheme="minorBidi"/>
      <w:sz w:val="16"/>
      <w:szCs w:val="22"/>
    </w:rPr>
  </w:style>
  <w:style w:type="paragraph" w:styleId="37">
    <w:name w:val="Closing"/>
    <w:basedOn w:val="1"/>
    <w:link w:val="340"/>
    <w:qFormat/>
    <w:uiPriority w:val="0"/>
    <w:pPr>
      <w:ind w:left="100" w:leftChars="2100"/>
    </w:pPr>
    <w:rPr>
      <w:rFonts w:asciiTheme="minorHAnsi" w:hAnsiTheme="minorHAnsi" w:eastAsiaTheme="minorEastAsia" w:cstheme="minorBidi"/>
      <w:sz w:val="21"/>
      <w:szCs w:val="22"/>
    </w:rPr>
  </w:style>
  <w:style w:type="paragraph" w:styleId="38">
    <w:name w:val="List Bullet 3"/>
    <w:basedOn w:val="1"/>
    <w:qFormat/>
    <w:uiPriority w:val="0"/>
    <w:pPr>
      <w:tabs>
        <w:tab w:val="left" w:pos="1200"/>
      </w:tabs>
      <w:ind w:left="1200" w:hanging="360"/>
    </w:pPr>
    <w:rPr>
      <w:sz w:val="21"/>
    </w:rPr>
  </w:style>
  <w:style w:type="paragraph" w:styleId="39">
    <w:name w:val="List Number 3"/>
    <w:basedOn w:val="1"/>
    <w:qFormat/>
    <w:uiPriority w:val="0"/>
    <w:pPr>
      <w:tabs>
        <w:tab w:val="left" w:pos="1200"/>
      </w:tabs>
      <w:ind w:left="1200" w:hanging="360"/>
    </w:pPr>
    <w:rPr>
      <w:sz w:val="21"/>
    </w:rPr>
  </w:style>
  <w:style w:type="paragraph" w:styleId="40">
    <w:name w:val="List 2"/>
    <w:basedOn w:val="1"/>
    <w:qFormat/>
    <w:uiPriority w:val="0"/>
    <w:pPr>
      <w:ind w:left="100" w:leftChars="200" w:hanging="200" w:hangingChars="200"/>
    </w:pPr>
    <w:rPr>
      <w:sz w:val="21"/>
    </w:rPr>
  </w:style>
  <w:style w:type="paragraph" w:styleId="41">
    <w:name w:val="List Continue"/>
    <w:basedOn w:val="1"/>
    <w:qFormat/>
    <w:uiPriority w:val="0"/>
    <w:pPr>
      <w:spacing w:after="120"/>
      <w:ind w:left="420" w:leftChars="200"/>
    </w:pPr>
    <w:rPr>
      <w:sz w:val="21"/>
    </w:rPr>
  </w:style>
  <w:style w:type="paragraph" w:styleId="42">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3">
    <w:name w:val="List Bullet 2"/>
    <w:basedOn w:val="1"/>
    <w:qFormat/>
    <w:uiPriority w:val="0"/>
    <w:pPr>
      <w:tabs>
        <w:tab w:val="left" w:pos="780"/>
      </w:tabs>
      <w:ind w:left="780" w:hanging="360"/>
    </w:pPr>
    <w:rPr>
      <w:sz w:val="21"/>
    </w:rPr>
  </w:style>
  <w:style w:type="paragraph" w:styleId="44">
    <w:name w:val="HTML Address"/>
    <w:basedOn w:val="1"/>
    <w:link w:val="346"/>
    <w:qFormat/>
    <w:uiPriority w:val="0"/>
    <w:rPr>
      <w:rFonts w:asciiTheme="minorHAnsi" w:hAnsiTheme="minorHAnsi" w:eastAsiaTheme="minorEastAsia" w:cstheme="minorBidi"/>
      <w:i/>
      <w:sz w:val="21"/>
      <w:szCs w:val="22"/>
    </w:rPr>
  </w:style>
  <w:style w:type="paragraph" w:styleId="45">
    <w:name w:val="index 4"/>
    <w:basedOn w:val="1"/>
    <w:next w:val="1"/>
    <w:qFormat/>
    <w:uiPriority w:val="0"/>
    <w:pPr>
      <w:ind w:left="600" w:leftChars="600"/>
    </w:pPr>
    <w:rPr>
      <w:sz w:val="21"/>
    </w:rPr>
  </w:style>
  <w:style w:type="paragraph" w:styleId="46">
    <w:name w:val="toc 5"/>
    <w:basedOn w:val="1"/>
    <w:next w:val="1"/>
    <w:qFormat/>
    <w:uiPriority w:val="0"/>
    <w:pPr>
      <w:ind w:left="1120"/>
      <w:jc w:val="left"/>
    </w:pPr>
    <w:rPr>
      <w:sz w:val="18"/>
    </w:rPr>
  </w:style>
  <w:style w:type="paragraph" w:styleId="47">
    <w:name w:val="toc 3"/>
    <w:basedOn w:val="1"/>
    <w:next w:val="1"/>
    <w:qFormat/>
    <w:uiPriority w:val="0"/>
    <w:pPr>
      <w:ind w:left="560"/>
      <w:jc w:val="left"/>
    </w:pPr>
    <w:rPr>
      <w:i/>
      <w:sz w:val="20"/>
    </w:rPr>
  </w:style>
  <w:style w:type="paragraph" w:styleId="48">
    <w:name w:val="List Bullet 5"/>
    <w:basedOn w:val="1"/>
    <w:qFormat/>
    <w:uiPriority w:val="0"/>
    <w:pPr>
      <w:tabs>
        <w:tab w:val="left" w:pos="2040"/>
      </w:tabs>
      <w:ind w:left="2040" w:hanging="360"/>
    </w:pPr>
    <w:rPr>
      <w:sz w:val="21"/>
    </w:rPr>
  </w:style>
  <w:style w:type="paragraph" w:styleId="49">
    <w:name w:val="List Number 4"/>
    <w:basedOn w:val="1"/>
    <w:qFormat/>
    <w:uiPriority w:val="0"/>
    <w:pPr>
      <w:tabs>
        <w:tab w:val="left" w:pos="1620"/>
      </w:tabs>
      <w:ind w:left="1620" w:hanging="360"/>
    </w:pPr>
    <w:rPr>
      <w:sz w:val="21"/>
    </w:rPr>
  </w:style>
  <w:style w:type="paragraph" w:styleId="50">
    <w:name w:val="toc 8"/>
    <w:basedOn w:val="1"/>
    <w:next w:val="1"/>
    <w:qFormat/>
    <w:uiPriority w:val="0"/>
    <w:pPr>
      <w:ind w:left="1960"/>
      <w:jc w:val="left"/>
    </w:pPr>
    <w:rPr>
      <w:sz w:val="18"/>
    </w:rPr>
  </w:style>
  <w:style w:type="paragraph" w:styleId="51">
    <w:name w:val="index 3"/>
    <w:basedOn w:val="1"/>
    <w:next w:val="1"/>
    <w:qFormat/>
    <w:uiPriority w:val="0"/>
    <w:pPr>
      <w:ind w:left="400" w:leftChars="400"/>
    </w:pPr>
    <w:rPr>
      <w:sz w:val="21"/>
    </w:rPr>
  </w:style>
  <w:style w:type="paragraph" w:styleId="52">
    <w:name w:val="Body Text Indent 2"/>
    <w:basedOn w:val="1"/>
    <w:link w:val="342"/>
    <w:qFormat/>
    <w:uiPriority w:val="0"/>
    <w:pPr>
      <w:spacing w:line="520" w:lineRule="exact"/>
      <w:ind w:firstLine="848" w:firstLineChars="303"/>
    </w:pPr>
    <w:rPr>
      <w:rFonts w:ascii="黑体" w:eastAsia="黑体" w:hAnsiTheme="minorHAnsi" w:cstheme="minorBidi"/>
      <w:szCs w:val="22"/>
    </w:rPr>
  </w:style>
  <w:style w:type="paragraph" w:styleId="53">
    <w:name w:val="endnote text"/>
    <w:basedOn w:val="1"/>
    <w:link w:val="334"/>
    <w:qFormat/>
    <w:uiPriority w:val="0"/>
    <w:pPr>
      <w:snapToGrid w:val="0"/>
    </w:pPr>
    <w:rPr>
      <w:rFonts w:asciiTheme="minorHAnsi" w:hAnsiTheme="minorHAnsi" w:eastAsiaTheme="minorEastAsia" w:cstheme="minorBidi"/>
      <w:sz w:val="21"/>
      <w:szCs w:val="22"/>
    </w:rPr>
  </w:style>
  <w:style w:type="paragraph" w:styleId="54">
    <w:name w:val="List Continue 5"/>
    <w:basedOn w:val="1"/>
    <w:qFormat/>
    <w:uiPriority w:val="0"/>
    <w:pPr>
      <w:spacing w:after="120"/>
      <w:ind w:left="2100" w:leftChars="1000"/>
    </w:pPr>
    <w:rPr>
      <w:sz w:val="21"/>
    </w:rPr>
  </w:style>
  <w:style w:type="paragraph" w:styleId="55">
    <w:name w:val="Balloon Text"/>
    <w:basedOn w:val="1"/>
    <w:next w:val="1"/>
    <w:link w:val="350"/>
    <w:qFormat/>
    <w:uiPriority w:val="99"/>
    <w:rPr>
      <w:rFonts w:asciiTheme="minorHAnsi" w:hAnsiTheme="minorHAnsi" w:eastAsiaTheme="minorEastAsia" w:cstheme="minorBidi"/>
      <w:sz w:val="18"/>
      <w:szCs w:val="22"/>
    </w:rPr>
  </w:style>
  <w:style w:type="paragraph" w:styleId="56">
    <w:name w:val="footer"/>
    <w:basedOn w:val="1"/>
    <w:link w:val="112"/>
    <w:unhideWhenUsed/>
    <w:qFormat/>
    <w:uiPriority w:val="99"/>
    <w:pPr>
      <w:tabs>
        <w:tab w:val="center" w:pos="4153"/>
        <w:tab w:val="right" w:pos="8306"/>
      </w:tabs>
      <w:snapToGrid w:val="0"/>
      <w:jc w:val="left"/>
    </w:pPr>
    <w:rPr>
      <w:sz w:val="18"/>
      <w:szCs w:val="18"/>
    </w:rPr>
  </w:style>
  <w:style w:type="paragraph" w:styleId="57">
    <w:name w:val="envelope return"/>
    <w:basedOn w:val="1"/>
    <w:qFormat/>
    <w:uiPriority w:val="0"/>
    <w:pPr>
      <w:snapToGrid w:val="0"/>
    </w:pPr>
    <w:rPr>
      <w:rFonts w:ascii="Arial" w:hAnsi="Arial"/>
      <w:sz w:val="21"/>
    </w:rPr>
  </w:style>
  <w:style w:type="paragraph" w:styleId="58">
    <w:name w:val="header"/>
    <w:basedOn w:val="1"/>
    <w:link w:val="111"/>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354"/>
    <w:qFormat/>
    <w:uiPriority w:val="0"/>
    <w:pPr>
      <w:ind w:left="100" w:leftChars="2100"/>
    </w:pPr>
    <w:rPr>
      <w:rFonts w:asciiTheme="minorHAnsi" w:hAnsiTheme="minorHAnsi" w:eastAsiaTheme="minorEastAsia" w:cstheme="minorBidi"/>
      <w:sz w:val="21"/>
      <w:szCs w:val="22"/>
    </w:rPr>
  </w:style>
  <w:style w:type="paragraph" w:styleId="60">
    <w:name w:val="toc 1"/>
    <w:basedOn w:val="1"/>
    <w:next w:val="1"/>
    <w:qFormat/>
    <w:uiPriority w:val="39"/>
    <w:pPr>
      <w:tabs>
        <w:tab w:val="right" w:leader="dot" w:pos="8364"/>
      </w:tabs>
      <w:spacing w:before="120" w:after="120" w:line="360" w:lineRule="auto"/>
      <w:jc w:val="left"/>
    </w:pPr>
    <w:rPr>
      <w:b/>
      <w:caps/>
      <w:sz w:val="20"/>
    </w:rPr>
  </w:style>
  <w:style w:type="paragraph" w:styleId="61">
    <w:name w:val="List Continue 4"/>
    <w:basedOn w:val="1"/>
    <w:qFormat/>
    <w:uiPriority w:val="0"/>
    <w:pPr>
      <w:spacing w:after="120"/>
      <w:ind w:left="1680" w:leftChars="800"/>
    </w:pPr>
    <w:rPr>
      <w:sz w:val="21"/>
    </w:rPr>
  </w:style>
  <w:style w:type="paragraph" w:styleId="62">
    <w:name w:val="toc 4"/>
    <w:basedOn w:val="1"/>
    <w:next w:val="1"/>
    <w:qFormat/>
    <w:uiPriority w:val="0"/>
    <w:pPr>
      <w:ind w:left="840"/>
      <w:jc w:val="left"/>
    </w:pPr>
    <w:rPr>
      <w:sz w:val="18"/>
    </w:rPr>
  </w:style>
  <w:style w:type="paragraph" w:styleId="63">
    <w:name w:val="index heading"/>
    <w:basedOn w:val="1"/>
    <w:next w:val="64"/>
    <w:qFormat/>
    <w:uiPriority w:val="0"/>
    <w:rPr>
      <w:rFonts w:ascii="Arial" w:hAnsi="Arial"/>
      <w:b/>
      <w:sz w:val="21"/>
    </w:rPr>
  </w:style>
  <w:style w:type="paragraph" w:styleId="64">
    <w:name w:val="index 1"/>
    <w:basedOn w:val="1"/>
    <w:next w:val="1"/>
    <w:unhideWhenUsed/>
    <w:qFormat/>
    <w:uiPriority w:val="0"/>
  </w:style>
  <w:style w:type="paragraph" w:styleId="65">
    <w:name w:val="Subtitle"/>
    <w:basedOn w:val="1"/>
    <w:next w:val="1"/>
    <w:link w:val="356"/>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6">
    <w:name w:val="List Number 5"/>
    <w:basedOn w:val="1"/>
    <w:qFormat/>
    <w:uiPriority w:val="0"/>
    <w:pPr>
      <w:tabs>
        <w:tab w:val="left" w:pos="2040"/>
      </w:tabs>
      <w:ind w:left="2040" w:hanging="360"/>
    </w:pPr>
    <w:rPr>
      <w:sz w:val="21"/>
    </w:rPr>
  </w:style>
  <w:style w:type="paragraph" w:styleId="67">
    <w:name w:val="List"/>
    <w:basedOn w:val="1"/>
    <w:qFormat/>
    <w:uiPriority w:val="0"/>
    <w:pPr>
      <w:ind w:left="200" w:hanging="200" w:hangingChars="200"/>
    </w:pPr>
    <w:rPr>
      <w:sz w:val="21"/>
    </w:rPr>
  </w:style>
  <w:style w:type="paragraph" w:styleId="68">
    <w:name w:val="footnote text"/>
    <w:basedOn w:val="1"/>
    <w:link w:val="357"/>
    <w:qFormat/>
    <w:uiPriority w:val="0"/>
    <w:pPr>
      <w:snapToGrid w:val="0"/>
      <w:jc w:val="left"/>
    </w:pPr>
    <w:rPr>
      <w:rFonts w:asciiTheme="minorHAnsi" w:hAnsiTheme="minorHAnsi" w:eastAsiaTheme="minorEastAsia" w:cstheme="minorBidi"/>
      <w:sz w:val="18"/>
      <w:szCs w:val="22"/>
    </w:rPr>
  </w:style>
  <w:style w:type="paragraph" w:styleId="69">
    <w:name w:val="toc 6"/>
    <w:basedOn w:val="1"/>
    <w:next w:val="1"/>
    <w:qFormat/>
    <w:uiPriority w:val="0"/>
    <w:pPr>
      <w:ind w:left="1400"/>
      <w:jc w:val="left"/>
    </w:pPr>
    <w:rPr>
      <w:sz w:val="18"/>
    </w:rPr>
  </w:style>
  <w:style w:type="paragraph" w:styleId="70">
    <w:name w:val="List 5"/>
    <w:basedOn w:val="1"/>
    <w:qFormat/>
    <w:uiPriority w:val="0"/>
    <w:pPr>
      <w:ind w:left="100" w:leftChars="800" w:hanging="200" w:hangingChars="200"/>
    </w:pPr>
    <w:rPr>
      <w:sz w:val="21"/>
    </w:rPr>
  </w:style>
  <w:style w:type="paragraph" w:styleId="71">
    <w:name w:val="Body Text Indent 3"/>
    <w:basedOn w:val="1"/>
    <w:link w:val="353"/>
    <w:qFormat/>
    <w:uiPriority w:val="0"/>
    <w:pPr>
      <w:spacing w:line="520" w:lineRule="exact"/>
      <w:ind w:firstLine="547"/>
    </w:pPr>
    <w:rPr>
      <w:rFonts w:asciiTheme="minorHAnsi" w:hAnsiTheme="minorHAnsi" w:eastAsiaTheme="minorEastAsia" w:cstheme="minorBidi"/>
      <w:szCs w:val="22"/>
    </w:rPr>
  </w:style>
  <w:style w:type="paragraph" w:styleId="72">
    <w:name w:val="index 7"/>
    <w:basedOn w:val="1"/>
    <w:next w:val="1"/>
    <w:qFormat/>
    <w:uiPriority w:val="0"/>
    <w:pPr>
      <w:ind w:left="1200" w:leftChars="1200"/>
    </w:pPr>
    <w:rPr>
      <w:sz w:val="21"/>
    </w:rPr>
  </w:style>
  <w:style w:type="paragraph" w:styleId="73">
    <w:name w:val="index 9"/>
    <w:basedOn w:val="1"/>
    <w:next w:val="1"/>
    <w:qFormat/>
    <w:uiPriority w:val="0"/>
    <w:pPr>
      <w:ind w:left="1600" w:leftChars="1600"/>
    </w:pPr>
    <w:rPr>
      <w:sz w:val="21"/>
    </w:rPr>
  </w:style>
  <w:style w:type="paragraph" w:styleId="74">
    <w:name w:val="table of figures"/>
    <w:basedOn w:val="1"/>
    <w:next w:val="1"/>
    <w:qFormat/>
    <w:uiPriority w:val="0"/>
    <w:pPr>
      <w:ind w:left="560" w:hanging="560"/>
      <w:jc w:val="left"/>
    </w:pPr>
    <w:rPr>
      <w:smallCaps/>
      <w:sz w:val="20"/>
    </w:rPr>
  </w:style>
  <w:style w:type="paragraph" w:styleId="75">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6">
    <w:name w:val="toc 9"/>
    <w:basedOn w:val="1"/>
    <w:next w:val="1"/>
    <w:qFormat/>
    <w:uiPriority w:val="0"/>
    <w:pPr>
      <w:ind w:left="2240"/>
      <w:jc w:val="left"/>
    </w:pPr>
    <w:rPr>
      <w:sz w:val="18"/>
    </w:rPr>
  </w:style>
  <w:style w:type="paragraph" w:styleId="77">
    <w:name w:val="Body Text 2"/>
    <w:basedOn w:val="1"/>
    <w:link w:val="336"/>
    <w:qFormat/>
    <w:uiPriority w:val="0"/>
    <w:pPr>
      <w:spacing w:after="120" w:line="480" w:lineRule="auto"/>
    </w:pPr>
    <w:rPr>
      <w:rFonts w:asciiTheme="minorHAnsi" w:hAnsiTheme="minorHAnsi" w:eastAsiaTheme="minorEastAsia" w:cstheme="minorBidi"/>
      <w:sz w:val="21"/>
      <w:szCs w:val="22"/>
    </w:rPr>
  </w:style>
  <w:style w:type="paragraph" w:styleId="78">
    <w:name w:val="List 4"/>
    <w:basedOn w:val="1"/>
    <w:qFormat/>
    <w:uiPriority w:val="0"/>
    <w:pPr>
      <w:ind w:left="100" w:leftChars="600" w:hanging="200" w:hangingChars="200"/>
    </w:pPr>
    <w:rPr>
      <w:sz w:val="21"/>
    </w:rPr>
  </w:style>
  <w:style w:type="paragraph" w:styleId="79">
    <w:name w:val="List Continue 2"/>
    <w:basedOn w:val="1"/>
    <w:qFormat/>
    <w:uiPriority w:val="0"/>
    <w:pPr>
      <w:spacing w:after="120"/>
      <w:ind w:left="840" w:leftChars="400"/>
    </w:pPr>
    <w:rPr>
      <w:sz w:val="21"/>
    </w:rPr>
  </w:style>
  <w:style w:type="paragraph" w:styleId="80">
    <w:name w:val="Message Header"/>
    <w:basedOn w:val="1"/>
    <w:next w:val="1"/>
    <w:link w:val="35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1">
    <w:name w:val="HTML Preformatted"/>
    <w:basedOn w:val="1"/>
    <w:link w:val="3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2">
    <w:name w:val="Normal (Web)"/>
    <w:basedOn w:val="1"/>
    <w:qFormat/>
    <w:uiPriority w:val="99"/>
    <w:pPr>
      <w:widowControl/>
      <w:spacing w:before="100" w:beforeAutospacing="1" w:after="100" w:afterAutospacing="1"/>
      <w:jc w:val="left"/>
    </w:pPr>
    <w:rPr>
      <w:rFonts w:ascii="宋体" w:hAnsi="宋体"/>
      <w:kern w:val="0"/>
      <w:sz w:val="24"/>
    </w:rPr>
  </w:style>
  <w:style w:type="paragraph" w:styleId="83">
    <w:name w:val="List Continue 3"/>
    <w:basedOn w:val="1"/>
    <w:qFormat/>
    <w:uiPriority w:val="0"/>
    <w:pPr>
      <w:spacing w:after="120"/>
      <w:ind w:left="1260" w:leftChars="600"/>
    </w:pPr>
    <w:rPr>
      <w:sz w:val="21"/>
    </w:rPr>
  </w:style>
  <w:style w:type="paragraph" w:styleId="84">
    <w:name w:val="index 2"/>
    <w:basedOn w:val="1"/>
    <w:next w:val="1"/>
    <w:qFormat/>
    <w:uiPriority w:val="0"/>
    <w:pPr>
      <w:ind w:left="200" w:leftChars="200"/>
    </w:pPr>
    <w:rPr>
      <w:sz w:val="21"/>
    </w:rPr>
  </w:style>
  <w:style w:type="paragraph" w:styleId="85">
    <w:name w:val="Title"/>
    <w:basedOn w:val="1"/>
    <w:link w:val="349"/>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paragraph" w:styleId="86">
    <w:name w:val="annotation subject"/>
    <w:basedOn w:val="33"/>
    <w:next w:val="33"/>
    <w:link w:val="360"/>
    <w:qFormat/>
    <w:uiPriority w:val="0"/>
    <w:rPr>
      <w:rFonts w:asciiTheme="minorHAnsi" w:hAnsiTheme="minorHAnsi" w:eastAsiaTheme="minorEastAsia" w:cstheme="minorBidi"/>
      <w:b/>
      <w:sz w:val="21"/>
      <w:szCs w:val="22"/>
    </w:rPr>
  </w:style>
  <w:style w:type="paragraph" w:styleId="87">
    <w:name w:val="Body Text First Indent"/>
    <w:basedOn w:val="5"/>
    <w:next w:val="69"/>
    <w:link w:val="347"/>
    <w:qFormat/>
    <w:uiPriority w:val="0"/>
    <w:pPr>
      <w:ind w:firstLine="420" w:firstLineChars="100"/>
    </w:pPr>
    <w:rPr>
      <w:rFonts w:ascii="等线" w:hAnsi="等线" w:eastAsia="等线" w:cstheme="minorBidi"/>
      <w:sz w:val="21"/>
      <w:szCs w:val="22"/>
    </w:rPr>
  </w:style>
  <w:style w:type="paragraph" w:styleId="88">
    <w:name w:val="Body Text First Indent 2"/>
    <w:basedOn w:val="26"/>
    <w:link w:val="348"/>
    <w:qFormat/>
    <w:uiPriority w:val="0"/>
    <w:pPr>
      <w:ind w:firstLine="420" w:firstLineChars="200"/>
    </w:pPr>
    <w:rPr>
      <w:rFonts w:ascii="等线" w:hAnsi="等线" w:eastAsia="等线" w:cstheme="minorBidi"/>
      <w:sz w:val="21"/>
      <w:szCs w:val="22"/>
    </w:rPr>
  </w:style>
  <w:style w:type="table" w:styleId="90">
    <w:name w:val="Table Grid"/>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2">
    <w:name w:val="Strong"/>
    <w:basedOn w:val="91"/>
    <w:qFormat/>
    <w:uiPriority w:val="22"/>
    <w:rPr>
      <w:b/>
    </w:rPr>
  </w:style>
  <w:style w:type="character" w:styleId="93">
    <w:name w:val="endnote reference"/>
    <w:qFormat/>
    <w:uiPriority w:val="0"/>
    <w:rPr>
      <w:vertAlign w:val="superscript"/>
    </w:rPr>
  </w:style>
  <w:style w:type="character" w:styleId="94">
    <w:name w:val="page number"/>
    <w:basedOn w:val="91"/>
    <w:qFormat/>
    <w:uiPriority w:val="0"/>
  </w:style>
  <w:style w:type="character" w:styleId="95">
    <w:name w:val="FollowedHyperlink"/>
    <w:qFormat/>
    <w:uiPriority w:val="0"/>
    <w:rPr>
      <w:color w:val="800080"/>
      <w:u w:val="single"/>
    </w:rPr>
  </w:style>
  <w:style w:type="character" w:styleId="96">
    <w:name w:val="Emphasis"/>
    <w:qFormat/>
    <w:uiPriority w:val="0"/>
    <w:rPr>
      <w:color w:val="CC0000"/>
    </w:rPr>
  </w:style>
  <w:style w:type="character" w:styleId="97">
    <w:name w:val="Hyperlink"/>
    <w:qFormat/>
    <w:uiPriority w:val="99"/>
    <w:rPr>
      <w:color w:val="0000FF"/>
      <w:u w:val="single"/>
    </w:rPr>
  </w:style>
  <w:style w:type="character" w:styleId="98">
    <w:name w:val="annotation reference"/>
    <w:qFormat/>
    <w:uiPriority w:val="0"/>
    <w:rPr>
      <w:sz w:val="21"/>
    </w:rPr>
  </w:style>
  <w:style w:type="character" w:styleId="99">
    <w:name w:val="footnote reference"/>
    <w:qFormat/>
    <w:uiPriority w:val="0"/>
    <w:rPr>
      <w:vertAlign w:val="superscript"/>
    </w:rPr>
  </w:style>
  <w:style w:type="character" w:styleId="100">
    <w:name w:val="HTML Sample"/>
    <w:qFormat/>
    <w:uiPriority w:val="0"/>
    <w:rPr>
      <w:rFonts w:ascii="Courier New" w:hAnsi="Courier New"/>
    </w:rPr>
  </w:style>
  <w:style w:type="paragraph" w:customStyle="1" w:styleId="101">
    <w:name w:val="样式 表格正文 + 两端对齐"/>
    <w:basedOn w:val="1"/>
    <w:next w:val="102"/>
    <w:qFormat/>
    <w:uiPriority w:val="0"/>
    <w:pPr>
      <w:spacing w:line="300" w:lineRule="auto"/>
    </w:pPr>
    <w:rPr>
      <w:rFonts w:ascii="Times New Roman"/>
    </w:rPr>
  </w:style>
  <w:style w:type="paragraph" w:customStyle="1" w:styleId="102">
    <w:name w:val="正文1"/>
    <w:basedOn w:val="1"/>
    <w:next w:val="103"/>
    <w:qFormat/>
    <w:uiPriority w:val="0"/>
    <w:pPr>
      <w:autoSpaceDE w:val="0"/>
      <w:autoSpaceDN w:val="0"/>
      <w:adjustRightInd w:val="0"/>
      <w:spacing w:before="120" w:line="360" w:lineRule="auto"/>
      <w:ind w:left="1366" w:hanging="686"/>
      <w:textAlignment w:val="baseline"/>
    </w:pPr>
    <w:rPr>
      <w:sz w:val="21"/>
    </w:rPr>
  </w:style>
  <w:style w:type="paragraph" w:customStyle="1" w:styleId="103">
    <w:name w:val="自动更正"/>
    <w:next w:val="10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xl39"/>
    <w:basedOn w:val="1"/>
    <w:next w:val="105"/>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105">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10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07">
    <w:name w:val="BodyText1I2"/>
    <w:basedOn w:val="108"/>
    <w:next w:val="1"/>
    <w:qFormat/>
    <w:uiPriority w:val="0"/>
    <w:pPr>
      <w:tabs>
        <w:tab w:val="left" w:pos="435"/>
      </w:tabs>
      <w:spacing w:after="120"/>
      <w:ind w:left="420" w:leftChars="200" w:firstLine="420" w:firstLineChars="200"/>
      <w:jc w:val="both"/>
      <w:textAlignment w:val="baseline"/>
    </w:pPr>
    <w:rPr>
      <w:sz w:val="28"/>
    </w:rPr>
  </w:style>
  <w:style w:type="paragraph" w:customStyle="1" w:styleId="108">
    <w:name w:val="BodyTextIndent"/>
    <w:basedOn w:val="1"/>
    <w:qFormat/>
    <w:uiPriority w:val="0"/>
    <w:pPr>
      <w:spacing w:after="120"/>
      <w:ind w:left="420" w:leftChars="200"/>
      <w:jc w:val="both"/>
      <w:textAlignment w:val="baseline"/>
    </w:pPr>
  </w:style>
  <w:style w:type="paragraph" w:customStyle="1" w:styleId="109">
    <w:name w:val="List2"/>
    <w:basedOn w:val="67"/>
    <w:qFormat/>
    <w:uiPriority w:val="0"/>
    <w:pPr>
      <w:spacing w:after="120" w:line="400" w:lineRule="exact"/>
      <w:ind w:left="0" w:firstLine="0" w:firstLineChars="0"/>
    </w:pPr>
    <w:rPr>
      <w:sz w:val="24"/>
      <w:szCs w:val="20"/>
    </w:rPr>
  </w:style>
  <w:style w:type="paragraph" w:customStyle="1" w:styleId="110">
    <w:name w:val="文章正文"/>
    <w:basedOn w:val="1"/>
    <w:qFormat/>
    <w:uiPriority w:val="0"/>
    <w:pPr>
      <w:spacing w:line="360" w:lineRule="auto"/>
      <w:ind w:firstLine="200" w:firstLineChars="200"/>
    </w:pPr>
    <w:rPr>
      <w:sz w:val="24"/>
      <w:szCs w:val="24"/>
    </w:rPr>
  </w:style>
  <w:style w:type="character" w:customStyle="1" w:styleId="111">
    <w:name w:val="页眉 Char"/>
    <w:basedOn w:val="91"/>
    <w:link w:val="58"/>
    <w:qFormat/>
    <w:uiPriority w:val="99"/>
    <w:rPr>
      <w:sz w:val="18"/>
      <w:szCs w:val="18"/>
    </w:rPr>
  </w:style>
  <w:style w:type="character" w:customStyle="1" w:styleId="112">
    <w:name w:val="页脚 Char"/>
    <w:basedOn w:val="91"/>
    <w:link w:val="56"/>
    <w:qFormat/>
    <w:uiPriority w:val="99"/>
    <w:rPr>
      <w:sz w:val="18"/>
      <w:szCs w:val="18"/>
    </w:rPr>
  </w:style>
  <w:style w:type="character" w:customStyle="1" w:styleId="113">
    <w:name w:val="标题 1 Char"/>
    <w:basedOn w:val="91"/>
    <w:link w:val="7"/>
    <w:qFormat/>
    <w:uiPriority w:val="9"/>
    <w:rPr>
      <w:rFonts w:ascii="黑体" w:hAnsi="Calibri" w:eastAsia="宋体" w:cs="Times New Roman"/>
      <w:b/>
      <w:kern w:val="0"/>
      <w:sz w:val="32"/>
      <w:szCs w:val="20"/>
    </w:rPr>
  </w:style>
  <w:style w:type="character" w:customStyle="1" w:styleId="114">
    <w:name w:val="标题 2 Char"/>
    <w:basedOn w:val="91"/>
    <w:qFormat/>
    <w:uiPriority w:val="0"/>
    <w:rPr>
      <w:rFonts w:asciiTheme="majorHAnsi" w:hAnsiTheme="majorHAnsi" w:eastAsiaTheme="majorEastAsia" w:cstheme="majorBidi"/>
      <w:b/>
      <w:bCs/>
      <w:sz w:val="32"/>
      <w:szCs w:val="32"/>
    </w:rPr>
  </w:style>
  <w:style w:type="character" w:customStyle="1" w:styleId="115">
    <w:name w:val="标题 3 Char"/>
    <w:basedOn w:val="91"/>
    <w:link w:val="9"/>
    <w:qFormat/>
    <w:uiPriority w:val="0"/>
    <w:rPr>
      <w:rFonts w:ascii="Calibri" w:hAnsi="Calibri" w:eastAsia="宋体" w:cs="Times New Roman"/>
      <w:b/>
      <w:kern w:val="0"/>
      <w:sz w:val="32"/>
      <w:szCs w:val="20"/>
    </w:rPr>
  </w:style>
  <w:style w:type="character" w:customStyle="1" w:styleId="116">
    <w:name w:val="标题 4 Char"/>
    <w:basedOn w:val="91"/>
    <w:link w:val="10"/>
    <w:qFormat/>
    <w:uiPriority w:val="0"/>
    <w:rPr>
      <w:rFonts w:ascii="Arial" w:hAnsi="Arial" w:eastAsia="黑体" w:cs="Times New Roman"/>
      <w:b/>
      <w:sz w:val="28"/>
      <w:szCs w:val="20"/>
    </w:rPr>
  </w:style>
  <w:style w:type="character" w:customStyle="1" w:styleId="117">
    <w:name w:val="标题 5 Char"/>
    <w:basedOn w:val="91"/>
    <w:link w:val="11"/>
    <w:qFormat/>
    <w:uiPriority w:val="0"/>
    <w:rPr>
      <w:rFonts w:ascii="Calibri" w:hAnsi="Calibri" w:eastAsia="宋体" w:cs="Times New Roman"/>
      <w:b/>
      <w:sz w:val="28"/>
      <w:szCs w:val="20"/>
    </w:rPr>
  </w:style>
  <w:style w:type="character" w:customStyle="1" w:styleId="118">
    <w:name w:val="标题 6 Char"/>
    <w:basedOn w:val="91"/>
    <w:link w:val="12"/>
    <w:qFormat/>
    <w:uiPriority w:val="0"/>
    <w:rPr>
      <w:rFonts w:ascii="Arial" w:hAnsi="Arial" w:eastAsia="黑体" w:cs="Times New Roman"/>
      <w:b/>
      <w:kern w:val="0"/>
      <w:sz w:val="24"/>
      <w:szCs w:val="20"/>
    </w:rPr>
  </w:style>
  <w:style w:type="character" w:customStyle="1" w:styleId="119">
    <w:name w:val="标题 7 Char"/>
    <w:basedOn w:val="91"/>
    <w:link w:val="13"/>
    <w:qFormat/>
    <w:uiPriority w:val="0"/>
    <w:rPr>
      <w:rFonts w:ascii="Calibri" w:hAnsi="Calibri" w:eastAsia="宋体" w:cs="Times New Roman"/>
      <w:b/>
      <w:kern w:val="0"/>
      <w:sz w:val="24"/>
      <w:szCs w:val="20"/>
    </w:rPr>
  </w:style>
  <w:style w:type="character" w:customStyle="1" w:styleId="120">
    <w:name w:val="标题 8 Char"/>
    <w:basedOn w:val="91"/>
    <w:link w:val="14"/>
    <w:qFormat/>
    <w:uiPriority w:val="0"/>
    <w:rPr>
      <w:rFonts w:ascii="Arial" w:hAnsi="Arial" w:eastAsia="黑体" w:cs="Times New Roman"/>
      <w:kern w:val="0"/>
      <w:sz w:val="24"/>
      <w:szCs w:val="20"/>
    </w:rPr>
  </w:style>
  <w:style w:type="character" w:customStyle="1" w:styleId="121">
    <w:name w:val="标题 9 Char"/>
    <w:basedOn w:val="91"/>
    <w:link w:val="15"/>
    <w:qFormat/>
    <w:uiPriority w:val="0"/>
    <w:rPr>
      <w:rFonts w:ascii="Arial" w:hAnsi="Arial" w:eastAsia="黑体" w:cs="Times New Roman"/>
      <w:kern w:val="0"/>
      <w:szCs w:val="20"/>
    </w:rPr>
  </w:style>
  <w:style w:type="character" w:customStyle="1" w:styleId="122">
    <w:name w:val="正文文本缩进 Char"/>
    <w:basedOn w:val="91"/>
    <w:link w:val="26"/>
    <w:qFormat/>
    <w:uiPriority w:val="0"/>
    <w:rPr>
      <w:rFonts w:ascii="Calibri" w:hAnsi="Calibri" w:eastAsia="宋体" w:cs="Times New Roman"/>
      <w:sz w:val="28"/>
      <w:szCs w:val="20"/>
    </w:rPr>
  </w:style>
  <w:style w:type="character" w:customStyle="1" w:styleId="123">
    <w:name w:val="正文首行缩进 2 Char"/>
    <w:basedOn w:val="122"/>
    <w:qFormat/>
    <w:uiPriority w:val="0"/>
    <w:rPr>
      <w:rFonts w:ascii="Calibri" w:hAnsi="Calibri" w:eastAsia="宋体" w:cs="Times New Roman"/>
      <w:sz w:val="28"/>
      <w:szCs w:val="20"/>
    </w:rPr>
  </w:style>
  <w:style w:type="character" w:customStyle="1" w:styleId="124">
    <w:name w:val="正文文本 Char"/>
    <w:basedOn w:val="91"/>
    <w:link w:val="5"/>
    <w:qFormat/>
    <w:uiPriority w:val="0"/>
    <w:rPr>
      <w:rFonts w:ascii="Calibri" w:hAnsi="Calibri" w:eastAsia="宋体" w:cs="Times New Roman"/>
      <w:sz w:val="28"/>
      <w:szCs w:val="20"/>
    </w:rPr>
  </w:style>
  <w:style w:type="character" w:customStyle="1" w:styleId="125">
    <w:name w:val="正文首行缩进 Char"/>
    <w:basedOn w:val="124"/>
    <w:link w:val="126"/>
    <w:qFormat/>
    <w:uiPriority w:val="0"/>
    <w:rPr>
      <w:rFonts w:ascii="Calibri" w:hAnsi="Calibri" w:eastAsia="宋体" w:cs="Times New Roman"/>
      <w:sz w:val="28"/>
      <w:szCs w:val="20"/>
    </w:rPr>
  </w:style>
  <w:style w:type="paragraph" w:customStyle="1" w:styleId="126">
    <w:name w:val="正文首行缩进1"/>
    <w:basedOn w:val="5"/>
    <w:link w:val="125"/>
    <w:qFormat/>
    <w:uiPriority w:val="0"/>
    <w:pPr>
      <w:spacing w:after="0"/>
      <w:ind w:firstLine="420" w:firstLineChars="100"/>
    </w:pPr>
  </w:style>
  <w:style w:type="character" w:customStyle="1" w:styleId="127">
    <w:name w:val="标题 Char"/>
    <w:basedOn w:val="91"/>
    <w:qFormat/>
    <w:uiPriority w:val="0"/>
    <w:rPr>
      <w:rFonts w:eastAsia="宋体" w:asciiTheme="majorHAnsi" w:hAnsiTheme="majorHAnsi" w:cstheme="majorBidi"/>
      <w:b/>
      <w:bCs/>
      <w:sz w:val="32"/>
      <w:szCs w:val="32"/>
    </w:rPr>
  </w:style>
  <w:style w:type="character" w:customStyle="1" w:styleId="128">
    <w:name w:val="批注文字 Char"/>
    <w:basedOn w:val="91"/>
    <w:link w:val="33"/>
    <w:qFormat/>
    <w:uiPriority w:val="0"/>
    <w:rPr>
      <w:rFonts w:ascii="Calibri" w:hAnsi="Calibri" w:eastAsia="宋体" w:cs="Times New Roman"/>
      <w:sz w:val="28"/>
      <w:szCs w:val="20"/>
    </w:rPr>
  </w:style>
  <w:style w:type="character" w:customStyle="1" w:styleId="129">
    <w:name w:val="批注主题 Char"/>
    <w:basedOn w:val="128"/>
    <w:link w:val="130"/>
    <w:qFormat/>
    <w:uiPriority w:val="0"/>
    <w:rPr>
      <w:rFonts w:ascii="Calibri" w:hAnsi="Calibri" w:eastAsia="宋体" w:cs="Times New Roman"/>
      <w:b/>
      <w:bCs/>
      <w:sz w:val="28"/>
      <w:szCs w:val="20"/>
    </w:rPr>
  </w:style>
  <w:style w:type="paragraph" w:customStyle="1" w:styleId="130">
    <w:name w:val="批注主题1"/>
    <w:basedOn w:val="33"/>
    <w:next w:val="33"/>
    <w:link w:val="129"/>
    <w:qFormat/>
    <w:uiPriority w:val="0"/>
    <w:rPr>
      <w:b/>
      <w:bCs/>
    </w:rPr>
  </w:style>
  <w:style w:type="character" w:customStyle="1" w:styleId="131">
    <w:name w:val="宏文本 Char"/>
    <w:basedOn w:val="91"/>
    <w:qFormat/>
    <w:uiPriority w:val="0"/>
    <w:rPr>
      <w:rFonts w:ascii="Courier New" w:hAnsi="Courier New" w:eastAsia="宋体" w:cs="Courier New"/>
      <w:sz w:val="24"/>
      <w:szCs w:val="24"/>
    </w:rPr>
  </w:style>
  <w:style w:type="character" w:customStyle="1" w:styleId="132">
    <w:name w:val="注释标题 Char"/>
    <w:basedOn w:val="91"/>
    <w:qFormat/>
    <w:uiPriority w:val="0"/>
    <w:rPr>
      <w:rFonts w:ascii="Calibri" w:hAnsi="Calibri" w:eastAsia="宋体" w:cs="Times New Roman"/>
      <w:sz w:val="28"/>
      <w:szCs w:val="20"/>
    </w:rPr>
  </w:style>
  <w:style w:type="character" w:customStyle="1" w:styleId="133">
    <w:name w:val="电子邮件签名 Char"/>
    <w:basedOn w:val="91"/>
    <w:qFormat/>
    <w:uiPriority w:val="0"/>
    <w:rPr>
      <w:rFonts w:ascii="Calibri" w:hAnsi="Calibri" w:eastAsia="宋体" w:cs="Times New Roman"/>
      <w:sz w:val="28"/>
      <w:szCs w:val="20"/>
    </w:rPr>
  </w:style>
  <w:style w:type="character" w:customStyle="1" w:styleId="134">
    <w:name w:val="文档结构图 Char"/>
    <w:basedOn w:val="91"/>
    <w:qFormat/>
    <w:uiPriority w:val="0"/>
    <w:rPr>
      <w:rFonts w:ascii="宋体" w:hAnsi="Calibri" w:eastAsia="宋体" w:cs="Times New Roman"/>
      <w:sz w:val="18"/>
      <w:szCs w:val="18"/>
    </w:rPr>
  </w:style>
  <w:style w:type="character" w:customStyle="1" w:styleId="135">
    <w:name w:val="称呼 Char"/>
    <w:basedOn w:val="91"/>
    <w:qFormat/>
    <w:uiPriority w:val="0"/>
    <w:rPr>
      <w:rFonts w:ascii="Calibri" w:hAnsi="Calibri" w:eastAsia="宋体" w:cs="Times New Roman"/>
      <w:sz w:val="28"/>
      <w:szCs w:val="20"/>
    </w:rPr>
  </w:style>
  <w:style w:type="character" w:customStyle="1" w:styleId="136">
    <w:name w:val="正文文本 3 Char"/>
    <w:basedOn w:val="91"/>
    <w:qFormat/>
    <w:uiPriority w:val="0"/>
    <w:rPr>
      <w:rFonts w:ascii="Calibri" w:hAnsi="Calibri" w:eastAsia="宋体" w:cs="Times New Roman"/>
      <w:sz w:val="16"/>
      <w:szCs w:val="16"/>
    </w:rPr>
  </w:style>
  <w:style w:type="character" w:customStyle="1" w:styleId="137">
    <w:name w:val="结束语 Char"/>
    <w:basedOn w:val="91"/>
    <w:qFormat/>
    <w:uiPriority w:val="0"/>
    <w:rPr>
      <w:rFonts w:ascii="Calibri" w:hAnsi="Calibri" w:eastAsia="宋体" w:cs="Times New Roman"/>
      <w:sz w:val="28"/>
      <w:szCs w:val="20"/>
    </w:rPr>
  </w:style>
  <w:style w:type="character" w:customStyle="1" w:styleId="138">
    <w:name w:val="HTML 地址 Char"/>
    <w:basedOn w:val="91"/>
    <w:qFormat/>
    <w:uiPriority w:val="0"/>
    <w:rPr>
      <w:rFonts w:ascii="Calibri" w:hAnsi="Calibri" w:eastAsia="宋体" w:cs="Times New Roman"/>
      <w:i/>
      <w:iCs/>
      <w:sz w:val="28"/>
      <w:szCs w:val="20"/>
    </w:rPr>
  </w:style>
  <w:style w:type="character" w:customStyle="1" w:styleId="139">
    <w:name w:val="纯文本 Char"/>
    <w:basedOn w:val="91"/>
    <w:qFormat/>
    <w:uiPriority w:val="0"/>
    <w:rPr>
      <w:rFonts w:ascii="宋体" w:hAnsi="Courier New" w:eastAsia="宋体" w:cs="Courier New"/>
      <w:szCs w:val="21"/>
    </w:rPr>
  </w:style>
  <w:style w:type="character" w:customStyle="1" w:styleId="140">
    <w:name w:val="日期 Char"/>
    <w:basedOn w:val="91"/>
    <w:qFormat/>
    <w:uiPriority w:val="0"/>
    <w:rPr>
      <w:rFonts w:ascii="Calibri" w:hAnsi="Calibri" w:eastAsia="宋体" w:cs="Times New Roman"/>
      <w:sz w:val="28"/>
      <w:szCs w:val="20"/>
    </w:rPr>
  </w:style>
  <w:style w:type="character" w:customStyle="1" w:styleId="141">
    <w:name w:val="正文文本缩进 2 Char"/>
    <w:basedOn w:val="91"/>
    <w:link w:val="142"/>
    <w:qFormat/>
    <w:uiPriority w:val="0"/>
    <w:rPr>
      <w:rFonts w:ascii="Calibri" w:hAnsi="Calibri" w:eastAsia="宋体" w:cs="Times New Roman"/>
      <w:sz w:val="28"/>
      <w:szCs w:val="20"/>
    </w:rPr>
  </w:style>
  <w:style w:type="paragraph" w:customStyle="1" w:styleId="142">
    <w:name w:val="正文文本缩进 22"/>
    <w:basedOn w:val="1"/>
    <w:link w:val="141"/>
    <w:qFormat/>
    <w:uiPriority w:val="0"/>
    <w:pPr>
      <w:adjustRightInd w:val="0"/>
      <w:spacing w:line="400" w:lineRule="atLeast"/>
      <w:ind w:firstLine="540"/>
      <w:textAlignment w:val="baseline"/>
    </w:pPr>
  </w:style>
  <w:style w:type="character" w:customStyle="1" w:styleId="143">
    <w:name w:val="尾注文本 Char"/>
    <w:basedOn w:val="91"/>
    <w:qFormat/>
    <w:uiPriority w:val="0"/>
    <w:rPr>
      <w:rFonts w:ascii="Calibri" w:hAnsi="Calibri" w:eastAsia="宋体" w:cs="Times New Roman"/>
      <w:sz w:val="28"/>
      <w:szCs w:val="20"/>
    </w:rPr>
  </w:style>
  <w:style w:type="character" w:customStyle="1" w:styleId="144">
    <w:name w:val="批注框文本 Char"/>
    <w:basedOn w:val="91"/>
    <w:qFormat/>
    <w:uiPriority w:val="99"/>
    <w:rPr>
      <w:rFonts w:ascii="Calibri" w:hAnsi="Calibri" w:eastAsia="宋体" w:cs="Times New Roman"/>
      <w:sz w:val="18"/>
      <w:szCs w:val="18"/>
    </w:rPr>
  </w:style>
  <w:style w:type="character" w:customStyle="1" w:styleId="145">
    <w:name w:val="签名 Char"/>
    <w:basedOn w:val="91"/>
    <w:qFormat/>
    <w:uiPriority w:val="0"/>
    <w:rPr>
      <w:rFonts w:ascii="Calibri" w:hAnsi="Calibri" w:eastAsia="宋体" w:cs="Times New Roman"/>
      <w:sz w:val="28"/>
      <w:szCs w:val="20"/>
    </w:rPr>
  </w:style>
  <w:style w:type="character" w:customStyle="1" w:styleId="146">
    <w:name w:val="副标题 Char"/>
    <w:basedOn w:val="91"/>
    <w:qFormat/>
    <w:uiPriority w:val="0"/>
    <w:rPr>
      <w:rFonts w:eastAsia="宋体" w:asciiTheme="majorHAnsi" w:hAnsiTheme="majorHAnsi" w:cstheme="majorBidi"/>
      <w:b/>
      <w:bCs/>
      <w:kern w:val="28"/>
      <w:sz w:val="32"/>
      <w:szCs w:val="32"/>
    </w:rPr>
  </w:style>
  <w:style w:type="character" w:customStyle="1" w:styleId="147">
    <w:name w:val="脚注文本 Char"/>
    <w:basedOn w:val="91"/>
    <w:qFormat/>
    <w:uiPriority w:val="0"/>
    <w:rPr>
      <w:rFonts w:ascii="Calibri" w:hAnsi="Calibri" w:eastAsia="宋体" w:cs="Times New Roman"/>
      <w:sz w:val="18"/>
      <w:szCs w:val="18"/>
    </w:rPr>
  </w:style>
  <w:style w:type="character" w:customStyle="1" w:styleId="148">
    <w:name w:val="正文文本缩进 3 Char"/>
    <w:basedOn w:val="91"/>
    <w:link w:val="149"/>
    <w:qFormat/>
    <w:uiPriority w:val="0"/>
    <w:rPr>
      <w:rFonts w:ascii="Calibri" w:hAnsi="Calibri" w:eastAsia="宋体" w:cs="Times New Roman"/>
      <w:sz w:val="16"/>
      <w:szCs w:val="16"/>
    </w:rPr>
  </w:style>
  <w:style w:type="paragraph" w:customStyle="1" w:styleId="149">
    <w:name w:val="正文文本缩进 31"/>
    <w:basedOn w:val="1"/>
    <w:link w:val="148"/>
    <w:qFormat/>
    <w:uiPriority w:val="0"/>
    <w:pPr>
      <w:spacing w:line="360" w:lineRule="auto"/>
      <w:ind w:firstLine="490" w:firstLineChars="204"/>
    </w:pPr>
    <w:rPr>
      <w:sz w:val="16"/>
      <w:szCs w:val="16"/>
    </w:rPr>
  </w:style>
  <w:style w:type="character" w:customStyle="1" w:styleId="150">
    <w:name w:val="正文文本 2 Char"/>
    <w:basedOn w:val="91"/>
    <w:link w:val="151"/>
    <w:qFormat/>
    <w:uiPriority w:val="0"/>
    <w:rPr>
      <w:rFonts w:ascii="Calibri" w:hAnsi="Calibri" w:eastAsia="宋体" w:cs="Times New Roman"/>
      <w:sz w:val="28"/>
      <w:szCs w:val="20"/>
    </w:rPr>
  </w:style>
  <w:style w:type="paragraph" w:customStyle="1" w:styleId="151">
    <w:name w:val="正文文本 22"/>
    <w:basedOn w:val="1"/>
    <w:link w:val="150"/>
    <w:qFormat/>
    <w:uiPriority w:val="0"/>
    <w:pPr>
      <w:adjustRightInd w:val="0"/>
      <w:ind w:firstLine="510"/>
      <w:jc w:val="left"/>
      <w:textAlignment w:val="baseline"/>
    </w:pPr>
  </w:style>
  <w:style w:type="character" w:customStyle="1" w:styleId="152">
    <w:name w:val="信息标题 Char"/>
    <w:basedOn w:val="91"/>
    <w:qFormat/>
    <w:uiPriority w:val="0"/>
    <w:rPr>
      <w:rFonts w:asciiTheme="majorHAnsi" w:hAnsiTheme="majorHAnsi" w:eastAsiaTheme="majorEastAsia" w:cstheme="majorBidi"/>
      <w:sz w:val="24"/>
      <w:szCs w:val="24"/>
      <w:shd w:val="pct20" w:color="auto" w:fill="auto"/>
    </w:rPr>
  </w:style>
  <w:style w:type="character" w:customStyle="1" w:styleId="153">
    <w:name w:val="HTML 预设格式 Char"/>
    <w:basedOn w:val="91"/>
    <w:link w:val="154"/>
    <w:qFormat/>
    <w:uiPriority w:val="0"/>
    <w:rPr>
      <w:rFonts w:ascii="Courier New" w:hAnsi="Courier New" w:eastAsia="宋体" w:cs="Courier New"/>
      <w:sz w:val="20"/>
      <w:szCs w:val="20"/>
    </w:rPr>
  </w:style>
  <w:style w:type="paragraph" w:customStyle="1" w:styleId="154">
    <w:name w:val="HTML 预设格式1"/>
    <w:basedOn w:val="1"/>
    <w:link w:val="153"/>
    <w:qFormat/>
    <w:uiPriority w:val="0"/>
    <w:rPr>
      <w:rFonts w:ascii="Courier New" w:hAnsi="Courier New" w:cs="Courier New"/>
      <w:sz w:val="20"/>
    </w:rPr>
  </w:style>
  <w:style w:type="character" w:customStyle="1" w:styleId="155">
    <w:name w:val="bemq"/>
    <w:qFormat/>
    <w:uiPriority w:val="0"/>
  </w:style>
  <w:style w:type="character" w:customStyle="1" w:styleId="156">
    <w:name w:val="标题 Char3"/>
    <w:qFormat/>
    <w:uiPriority w:val="0"/>
    <w:rPr>
      <w:b/>
      <w:sz w:val="24"/>
      <w:lang w:val="en-GB"/>
    </w:rPr>
  </w:style>
  <w:style w:type="character" w:customStyle="1" w:styleId="157">
    <w:name w:val="HTML 打字机1"/>
    <w:qFormat/>
    <w:uiPriority w:val="0"/>
    <w:rPr>
      <w:rFonts w:ascii="Courier New" w:hAnsi="Courier New"/>
      <w:sz w:val="20"/>
    </w:rPr>
  </w:style>
  <w:style w:type="character" w:customStyle="1" w:styleId="158">
    <w:name w:val="样式1 Char Char"/>
    <w:link w:val="159"/>
    <w:qFormat/>
    <w:uiPriority w:val="0"/>
    <w:rPr>
      <w:rFonts w:ascii="黑体"/>
      <w:b/>
      <w:sz w:val="32"/>
    </w:rPr>
  </w:style>
  <w:style w:type="paragraph" w:customStyle="1" w:styleId="159">
    <w:name w:val="样式1"/>
    <w:basedOn w:val="7"/>
    <w:link w:val="158"/>
    <w:qFormat/>
    <w:uiPriority w:val="0"/>
    <w:pPr>
      <w:tabs>
        <w:tab w:val="left" w:pos="-839"/>
      </w:tabs>
      <w:ind w:left="1320" w:hanging="1320"/>
    </w:pPr>
    <w:rPr>
      <w:rFonts w:hAnsiTheme="minorHAnsi" w:eastAsiaTheme="minorEastAsia" w:cstheme="minorBidi"/>
      <w:kern w:val="2"/>
      <w:szCs w:val="22"/>
    </w:rPr>
  </w:style>
  <w:style w:type="character" w:customStyle="1" w:styleId="160">
    <w:name w:val="日期 Char1"/>
    <w:qFormat/>
    <w:uiPriority w:val="0"/>
    <w:rPr>
      <w:rFonts w:ascii="Times New Roman" w:hAnsi="Times New Roman" w:eastAsia="宋体"/>
    </w:rPr>
  </w:style>
  <w:style w:type="character" w:customStyle="1" w:styleId="161">
    <w:name w:val="标题 9 字符"/>
    <w:qFormat/>
    <w:uiPriority w:val="0"/>
    <w:rPr>
      <w:rFonts w:ascii="等线 Light" w:hAnsi="等线 Light" w:eastAsia="等线 Light"/>
      <w:kern w:val="2"/>
      <w:sz w:val="21"/>
    </w:rPr>
  </w:style>
  <w:style w:type="character" w:customStyle="1" w:styleId="162">
    <w:name w:val="标题 3 Char Char Char"/>
    <w:qFormat/>
    <w:uiPriority w:val="0"/>
    <w:rPr>
      <w:rFonts w:eastAsia="宋体"/>
      <w:b/>
      <w:kern w:val="2"/>
      <w:sz w:val="32"/>
      <w:lang w:val="en-US" w:eastAsia="zh-CN"/>
    </w:rPr>
  </w:style>
  <w:style w:type="character" w:customStyle="1" w:styleId="163">
    <w:name w:val="正文文本缩进 字符"/>
    <w:qFormat/>
    <w:uiPriority w:val="0"/>
    <w:rPr>
      <w:rFonts w:ascii="Times New Roman" w:hAnsi="Times New Roman" w:eastAsia="宋体"/>
      <w:kern w:val="2"/>
      <w:sz w:val="21"/>
    </w:rPr>
  </w:style>
  <w:style w:type="character" w:customStyle="1" w:styleId="164">
    <w:name w:val="style1 style6 style7"/>
    <w:qFormat/>
    <w:uiPriority w:val="0"/>
  </w:style>
  <w:style w:type="character" w:customStyle="1" w:styleId="165">
    <w:name w:val="h2 Char"/>
    <w:qFormat/>
    <w:uiPriority w:val="0"/>
    <w:rPr>
      <w:rFonts w:ascii="Arial" w:hAnsi="Arial" w:eastAsia="黑体"/>
      <w:color w:val="0000FF"/>
      <w:sz w:val="24"/>
      <w:lang w:val="en-US" w:eastAsia="zh-CN"/>
    </w:rPr>
  </w:style>
  <w:style w:type="character" w:customStyle="1" w:styleId="166">
    <w:name w:val="页脚 字符"/>
    <w:qFormat/>
    <w:uiPriority w:val="0"/>
    <w:rPr>
      <w:kern w:val="2"/>
      <w:sz w:val="18"/>
    </w:rPr>
  </w:style>
  <w:style w:type="character" w:customStyle="1" w:styleId="167">
    <w:name w:val="content3"/>
    <w:qFormat/>
    <w:uiPriority w:val="0"/>
    <w:rPr>
      <w:b/>
      <w:sz w:val="18"/>
    </w:rPr>
  </w:style>
  <w:style w:type="character" w:customStyle="1" w:styleId="168">
    <w:name w:val="street-address"/>
    <w:qFormat/>
    <w:uiPriority w:val="0"/>
  </w:style>
  <w:style w:type="character" w:customStyle="1" w:styleId="169">
    <w:name w:val="正文文本缩进 2 Char1"/>
    <w:qFormat/>
    <w:uiPriority w:val="0"/>
    <w:rPr>
      <w:rFonts w:ascii="黑体" w:eastAsia="黑体"/>
      <w:sz w:val="28"/>
    </w:rPr>
  </w:style>
  <w:style w:type="character" w:customStyle="1" w:styleId="170">
    <w:name w:val="标题 7 字符"/>
    <w:qFormat/>
    <w:uiPriority w:val="0"/>
    <w:rPr>
      <w:rFonts w:ascii="Times New Roman" w:hAnsi="Times New Roman" w:eastAsia="宋体"/>
      <w:b/>
      <w:kern w:val="2"/>
      <w:sz w:val="24"/>
    </w:rPr>
  </w:style>
  <w:style w:type="character" w:customStyle="1" w:styleId="171">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72">
    <w:name w:val="内文 Char Char"/>
    <w:link w:val="173"/>
    <w:qFormat/>
    <w:uiPriority w:val="0"/>
    <w:rPr>
      <w:rFonts w:ascii="Arial" w:hAnsi="Arial" w:eastAsia="Times New Roman"/>
    </w:rPr>
  </w:style>
  <w:style w:type="paragraph" w:customStyle="1" w:styleId="173">
    <w:name w:val="内文"/>
    <w:link w:val="172"/>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74">
    <w:name w:val="font14news1"/>
    <w:qFormat/>
    <w:uiPriority w:val="0"/>
    <w:rPr>
      <w:color w:val="333333"/>
      <w:sz w:val="21"/>
    </w:rPr>
  </w:style>
  <w:style w:type="character" w:customStyle="1" w:styleId="175">
    <w:name w:val="标题 6 Char1"/>
    <w:qFormat/>
    <w:uiPriority w:val="0"/>
    <w:rPr>
      <w:rFonts w:ascii="Arial" w:hAnsi="Arial" w:eastAsia="黑体"/>
      <w:b/>
      <w:sz w:val="24"/>
      <w:lang w:val="en-US" w:eastAsia="zh-CN"/>
    </w:rPr>
  </w:style>
  <w:style w:type="character" w:customStyle="1" w:styleId="176">
    <w:name w:val="HTML 变量1"/>
    <w:qFormat/>
    <w:uiPriority w:val="0"/>
    <w:rPr>
      <w:i/>
    </w:rPr>
  </w:style>
  <w:style w:type="character" w:customStyle="1" w:styleId="177">
    <w:name w:val="标题 2 Char1"/>
    <w:qFormat/>
    <w:uiPriority w:val="0"/>
    <w:rPr>
      <w:rFonts w:ascii="Arial" w:hAnsi="Arial" w:eastAsia="黑体"/>
      <w:b/>
      <w:sz w:val="32"/>
      <w:lang w:val="en-US" w:eastAsia="zh-CN"/>
    </w:rPr>
  </w:style>
  <w:style w:type="character" w:customStyle="1" w:styleId="178">
    <w:name w:val="样式10 Char"/>
    <w:link w:val="179"/>
    <w:qFormat/>
    <w:uiPriority w:val="0"/>
    <w:rPr>
      <w:b/>
      <w:sz w:val="24"/>
    </w:rPr>
  </w:style>
  <w:style w:type="paragraph" w:customStyle="1" w:styleId="179">
    <w:name w:val="样式10"/>
    <w:basedOn w:val="1"/>
    <w:link w:val="178"/>
    <w:qFormat/>
    <w:uiPriority w:val="0"/>
    <w:pPr>
      <w:spacing w:line="360" w:lineRule="auto"/>
    </w:pPr>
    <w:rPr>
      <w:rFonts w:asciiTheme="minorHAnsi" w:hAnsiTheme="minorHAnsi" w:eastAsiaTheme="minorEastAsia" w:cstheme="minorBidi"/>
      <w:b/>
      <w:sz w:val="24"/>
      <w:szCs w:val="22"/>
    </w:rPr>
  </w:style>
  <w:style w:type="character" w:customStyle="1" w:styleId="180">
    <w:name w:val="注释标题 字符"/>
    <w:qFormat/>
    <w:uiPriority w:val="0"/>
    <w:rPr>
      <w:kern w:val="2"/>
      <w:sz w:val="28"/>
    </w:rPr>
  </w:style>
  <w:style w:type="character" w:customStyle="1" w:styleId="181">
    <w:name w:val="标题 1 Char2"/>
    <w:qFormat/>
    <w:uiPriority w:val="0"/>
    <w:rPr>
      <w:rFonts w:ascii="Arial Unicode MS" w:hAnsi="Arial Unicode MS" w:eastAsia="Arial Unicode MS"/>
      <w:b/>
      <w:kern w:val="36"/>
      <w:sz w:val="48"/>
      <w:lang w:val="en-US" w:eastAsia="zh-CN"/>
    </w:rPr>
  </w:style>
  <w:style w:type="character" w:customStyle="1" w:styleId="182">
    <w:name w:val="Comment Text Char"/>
    <w:qFormat/>
    <w:uiPriority w:val="0"/>
    <w:rPr>
      <w:rFonts w:ascii="Times New Roman" w:hAnsi="Times New Roman" w:eastAsia="宋体"/>
      <w:sz w:val="24"/>
    </w:rPr>
  </w:style>
  <w:style w:type="character" w:customStyle="1" w:styleId="183">
    <w:name w:val="纯文本 字符"/>
    <w:qFormat/>
    <w:uiPriority w:val="0"/>
    <w:rPr>
      <w:rFonts w:ascii="宋体" w:hAnsi="Courier New" w:eastAsia="宋体"/>
      <w:kern w:val="2"/>
      <w:sz w:val="21"/>
    </w:rPr>
  </w:style>
  <w:style w:type="character" w:customStyle="1" w:styleId="184">
    <w:name w:val="页脚 Char2"/>
    <w:qFormat/>
    <w:uiPriority w:val="0"/>
    <w:rPr>
      <w:kern w:val="2"/>
      <w:sz w:val="18"/>
    </w:rPr>
  </w:style>
  <w:style w:type="character" w:customStyle="1" w:styleId="185">
    <w:name w:val="个人撰写风格"/>
    <w:qFormat/>
    <w:uiPriority w:val="0"/>
    <w:rPr>
      <w:rFonts w:ascii="Arial" w:hAnsi="Arial" w:eastAsia="宋体"/>
      <w:color w:val="auto"/>
      <w:sz w:val="20"/>
    </w:rPr>
  </w:style>
  <w:style w:type="character" w:customStyle="1" w:styleId="186">
    <w:name w:val="正文文本缩进 Char1"/>
    <w:qFormat/>
    <w:uiPriority w:val="0"/>
    <w:rPr>
      <w:rFonts w:ascii="宋体" w:hAnsi="宋体" w:eastAsia="宋体"/>
      <w:spacing w:val="-6"/>
      <w:kern w:val="2"/>
      <w:sz w:val="21"/>
      <w:lang w:val="en-US" w:eastAsia="zh-CN"/>
    </w:rPr>
  </w:style>
  <w:style w:type="character" w:customStyle="1" w:styleId="187">
    <w:name w:val="Char Char6"/>
    <w:qFormat/>
    <w:uiPriority w:val="0"/>
    <w:rPr>
      <w:rFonts w:ascii="宋体" w:hAnsi="Courier New" w:eastAsia="宋体"/>
      <w:kern w:val="2"/>
      <w:sz w:val="21"/>
      <w:lang w:val="en-US" w:eastAsia="zh-CN"/>
    </w:rPr>
  </w:style>
  <w:style w:type="character" w:customStyle="1" w:styleId="188">
    <w:name w:val="Char Char"/>
    <w:link w:val="189"/>
    <w:qFormat/>
    <w:uiPriority w:val="0"/>
    <w:rPr>
      <w:rFonts w:eastAsia="仿宋_GB2312"/>
      <w:sz w:val="28"/>
    </w:rPr>
  </w:style>
  <w:style w:type="paragraph" w:customStyle="1" w:styleId="189">
    <w:name w:val="Char12"/>
    <w:basedOn w:val="1"/>
    <w:link w:val="188"/>
    <w:qFormat/>
    <w:uiPriority w:val="0"/>
    <w:rPr>
      <w:rFonts w:eastAsia="仿宋_GB2312" w:asciiTheme="minorHAnsi" w:hAnsiTheme="minorHAnsi" w:cstheme="minorBidi"/>
      <w:szCs w:val="22"/>
    </w:rPr>
  </w:style>
  <w:style w:type="character" w:customStyle="1" w:styleId="190">
    <w:name w:val="Plain Text Char"/>
    <w:qFormat/>
    <w:uiPriority w:val="0"/>
    <w:rPr>
      <w:rFonts w:ascii="宋体" w:hAnsi="Courier New" w:eastAsia="宋体"/>
      <w:kern w:val="2"/>
      <w:sz w:val="21"/>
      <w:lang w:val="en-US" w:eastAsia="zh-CN"/>
    </w:rPr>
  </w:style>
  <w:style w:type="character" w:customStyle="1" w:styleId="191">
    <w:name w:val="zbggmain"/>
    <w:qFormat/>
    <w:uiPriority w:val="0"/>
  </w:style>
  <w:style w:type="character" w:customStyle="1" w:styleId="192">
    <w:name w:val="标题 2 Char2"/>
    <w:link w:val="8"/>
    <w:qFormat/>
    <w:uiPriority w:val="0"/>
    <w:rPr>
      <w:rFonts w:ascii="Arial" w:hAnsi="Arial" w:eastAsia="黑体" w:cs="Times New Roman"/>
      <w:b/>
      <w:szCs w:val="20"/>
    </w:rPr>
  </w:style>
  <w:style w:type="character" w:customStyle="1" w:styleId="193">
    <w:name w:val="8953"/>
    <w:qFormat/>
    <w:uiPriority w:val="0"/>
  </w:style>
  <w:style w:type="character" w:customStyle="1" w:styleId="194">
    <w:name w:val="H1 Char"/>
    <w:qFormat/>
    <w:uiPriority w:val="0"/>
    <w:rPr>
      <w:rFonts w:ascii="Arial Unicode MS" w:hAnsi="Arial Unicode MS" w:eastAsia="Arial Unicode MS"/>
      <w:b/>
      <w:kern w:val="36"/>
      <w:sz w:val="48"/>
      <w:lang w:val="en-US" w:eastAsia="zh-CN"/>
    </w:rPr>
  </w:style>
  <w:style w:type="character" w:customStyle="1" w:styleId="195">
    <w:name w:val="样式 标题 3Heading 3 Char1Heading 3 Char Char列表编号33 bullet2ERM... Char"/>
    <w:link w:val="196"/>
    <w:qFormat/>
    <w:uiPriority w:val="0"/>
    <w:rPr>
      <w:b/>
    </w:rPr>
  </w:style>
  <w:style w:type="paragraph" w:customStyle="1" w:styleId="196">
    <w:name w:val="样式 标题 3Heading 3 Char1Heading 3 Char Char列表编号33 bullet2ERM..."/>
    <w:basedOn w:val="9"/>
    <w:link w:val="195"/>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97">
    <w:name w:val="Char Char12"/>
    <w:qFormat/>
    <w:uiPriority w:val="0"/>
    <w:rPr>
      <w:rFonts w:ascii="Arial" w:hAnsi="Arial" w:eastAsia="黑体"/>
      <w:b/>
      <w:sz w:val="24"/>
    </w:rPr>
  </w:style>
  <w:style w:type="character" w:customStyle="1" w:styleId="198">
    <w:name w:val="页眉 Char1"/>
    <w:qFormat/>
    <w:uiPriority w:val="0"/>
    <w:rPr>
      <w:rFonts w:eastAsia="宋体"/>
      <w:kern w:val="2"/>
      <w:sz w:val="18"/>
      <w:lang w:val="en-US" w:eastAsia="zh-CN"/>
    </w:rPr>
  </w:style>
  <w:style w:type="character" w:customStyle="1" w:styleId="199">
    <w:name w:val="正文文本缩进 2 字符"/>
    <w:qFormat/>
    <w:uiPriority w:val="0"/>
    <w:rPr>
      <w:rFonts w:ascii="Times New Roman" w:hAnsi="Times New Roman" w:eastAsia="宋体"/>
      <w:kern w:val="2"/>
      <w:sz w:val="21"/>
    </w:rPr>
  </w:style>
  <w:style w:type="character" w:customStyle="1" w:styleId="200">
    <w:name w:val="页眉 Char2"/>
    <w:qFormat/>
    <w:uiPriority w:val="0"/>
    <w:rPr>
      <w:kern w:val="2"/>
      <w:sz w:val="18"/>
    </w:rPr>
  </w:style>
  <w:style w:type="character" w:customStyle="1" w:styleId="201">
    <w:name w:val="批注主题 Char1"/>
    <w:qFormat/>
    <w:uiPriority w:val="0"/>
    <w:rPr>
      <w:b/>
    </w:rPr>
  </w:style>
  <w:style w:type="character" w:customStyle="1" w:styleId="202">
    <w:name w:val="qclx"/>
    <w:qFormat/>
    <w:uiPriority w:val="0"/>
  </w:style>
  <w:style w:type="character" w:customStyle="1" w:styleId="203">
    <w:name w:val="even Char Char"/>
    <w:qFormat/>
    <w:uiPriority w:val="0"/>
    <w:rPr>
      <w:rFonts w:ascii="Times New Roman" w:hAnsi="Times New Roman" w:eastAsia="宋体"/>
      <w:sz w:val="18"/>
    </w:rPr>
  </w:style>
  <w:style w:type="character" w:customStyle="1" w:styleId="204">
    <w:name w:val="正文文本缩进 3 Char1"/>
    <w:qFormat/>
    <w:uiPriority w:val="0"/>
    <w:rPr>
      <w:sz w:val="28"/>
    </w:rPr>
  </w:style>
  <w:style w:type="character" w:customStyle="1" w:styleId="205">
    <w:name w:val="信息标题 字符"/>
    <w:qFormat/>
    <w:uiPriority w:val="0"/>
    <w:rPr>
      <w:rFonts w:ascii="等线 Light" w:hAnsi="等线 Light" w:eastAsia="等线 Light"/>
      <w:kern w:val="2"/>
      <w:sz w:val="24"/>
      <w:shd w:val="pct20" w:color="auto" w:fill="auto"/>
    </w:rPr>
  </w:style>
  <w:style w:type="character" w:customStyle="1" w:styleId="206">
    <w:name w:val="标题 5 字符"/>
    <w:qFormat/>
    <w:uiPriority w:val="0"/>
    <w:rPr>
      <w:rFonts w:ascii="Times New Roman" w:hAnsi="Times New Roman" w:eastAsia="宋体"/>
      <w:b/>
      <w:kern w:val="2"/>
      <w:sz w:val="28"/>
    </w:rPr>
  </w:style>
  <w:style w:type="character" w:customStyle="1" w:styleId="207">
    <w:name w:val="HTML 预设格式 Char2"/>
    <w:qFormat/>
    <w:uiPriority w:val="0"/>
    <w:rPr>
      <w:rFonts w:ascii="黑体" w:hAnsi="Courier New" w:eastAsia="黑体"/>
    </w:rPr>
  </w:style>
  <w:style w:type="character" w:customStyle="1" w:styleId="208">
    <w:name w:val="p7"/>
    <w:qFormat/>
    <w:uiPriority w:val="0"/>
  </w:style>
  <w:style w:type="character" w:customStyle="1" w:styleId="209">
    <w:name w:val="签名 字符"/>
    <w:qFormat/>
    <w:uiPriority w:val="0"/>
    <w:rPr>
      <w:kern w:val="2"/>
      <w:sz w:val="28"/>
    </w:rPr>
  </w:style>
  <w:style w:type="character" w:customStyle="1" w:styleId="210">
    <w:name w:val="批注文字 Char1"/>
    <w:qFormat/>
    <w:uiPriority w:val="0"/>
    <w:rPr>
      <w:rFonts w:eastAsia="宋体"/>
      <w:kern w:val="2"/>
      <w:sz w:val="21"/>
      <w:lang w:val="en-US" w:eastAsia="zh-CN"/>
    </w:rPr>
  </w:style>
  <w:style w:type="character" w:customStyle="1" w:styleId="211">
    <w:name w:val="文档结构图 Char1"/>
    <w:qFormat/>
    <w:uiPriority w:val="0"/>
    <w:rPr>
      <w:rFonts w:eastAsia="宋体"/>
      <w:kern w:val="2"/>
      <w:sz w:val="21"/>
      <w:lang w:val="en-US" w:eastAsia="zh-CN"/>
    </w:rPr>
  </w:style>
  <w:style w:type="character" w:customStyle="1" w:styleId="212">
    <w:name w:val="纯文本 Char1"/>
    <w:qFormat/>
    <w:uiPriority w:val="0"/>
    <w:rPr>
      <w:rFonts w:ascii="宋体" w:hAnsi="Courier New" w:eastAsia="宋体"/>
      <w:kern w:val="2"/>
      <w:sz w:val="21"/>
    </w:rPr>
  </w:style>
  <w:style w:type="character" w:customStyle="1" w:styleId="213">
    <w:name w:val="无间隔 Char"/>
    <w:link w:val="214"/>
    <w:qFormat/>
    <w:locked/>
    <w:uiPriority w:val="0"/>
    <w:rPr>
      <w:rFonts w:ascii="宋体" w:hAnsi="宋体"/>
      <w:szCs w:val="24"/>
    </w:rPr>
  </w:style>
  <w:style w:type="paragraph" w:customStyle="1" w:styleId="214">
    <w:name w:val="无间隔1"/>
    <w:basedOn w:val="1"/>
    <w:link w:val="213"/>
    <w:qFormat/>
    <w:uiPriority w:val="0"/>
    <w:rPr>
      <w:rFonts w:ascii="宋体" w:hAnsi="宋体" w:eastAsiaTheme="minorEastAsia" w:cstheme="minorBidi"/>
      <w:sz w:val="21"/>
      <w:szCs w:val="24"/>
    </w:rPr>
  </w:style>
  <w:style w:type="character" w:customStyle="1" w:styleId="215">
    <w:name w:val="HTML 引文1"/>
    <w:qFormat/>
    <w:uiPriority w:val="0"/>
    <w:rPr>
      <w:i/>
    </w:rPr>
  </w:style>
  <w:style w:type="character" w:customStyle="1" w:styleId="216">
    <w:name w:val="Char Char13"/>
    <w:qFormat/>
    <w:uiPriority w:val="0"/>
    <w:rPr>
      <w:rFonts w:ascii="Times New Roman" w:hAnsi="Times New Roman" w:eastAsia="宋体"/>
      <w:b/>
      <w:sz w:val="28"/>
    </w:rPr>
  </w:style>
  <w:style w:type="character" w:customStyle="1" w:styleId="217">
    <w:name w:val="brown1"/>
    <w:qFormat/>
    <w:uiPriority w:val="0"/>
    <w:rPr>
      <w:color w:val="80786A"/>
    </w:rPr>
  </w:style>
  <w:style w:type="character" w:customStyle="1" w:styleId="218">
    <w:name w:val="正文首行缩进 2 字符"/>
    <w:basedOn w:val="219"/>
    <w:qFormat/>
    <w:uiPriority w:val="0"/>
    <w:rPr>
      <w:rFonts w:ascii="黑体" w:eastAsia="黑体"/>
      <w:sz w:val="28"/>
    </w:rPr>
  </w:style>
  <w:style w:type="character" w:customStyle="1" w:styleId="219">
    <w:name w:val="正文文本缩进 Char2"/>
    <w:qFormat/>
    <w:uiPriority w:val="0"/>
    <w:rPr>
      <w:rFonts w:ascii="黑体" w:eastAsia="黑体"/>
      <w:sz w:val="28"/>
    </w:rPr>
  </w:style>
  <w:style w:type="character" w:customStyle="1" w:styleId="220">
    <w:name w:val="正文非缩进 Char"/>
    <w:qFormat/>
    <w:uiPriority w:val="0"/>
    <w:rPr>
      <w:rFonts w:ascii="宋体" w:eastAsia="宋体"/>
      <w:snapToGrid w:val="0"/>
      <w:color w:val="000000"/>
      <w:kern w:val="28"/>
      <w:sz w:val="28"/>
      <w:lang w:val="en-US" w:eastAsia="zh-CN"/>
    </w:rPr>
  </w:style>
  <w:style w:type="character" w:customStyle="1" w:styleId="221">
    <w:name w:val="标题 1 1 Char"/>
    <w:qFormat/>
    <w:uiPriority w:val="0"/>
    <w:rPr>
      <w:rFonts w:ascii="Times New Roman" w:hAnsi="Times New Roman" w:eastAsia="宋体"/>
      <w:b/>
      <w:kern w:val="44"/>
      <w:sz w:val="44"/>
    </w:rPr>
  </w:style>
  <w:style w:type="character" w:customStyle="1" w:styleId="222">
    <w:name w:val="z-窗体底端 Char"/>
    <w:qFormat/>
    <w:uiPriority w:val="0"/>
    <w:rPr>
      <w:rFonts w:ascii="Arial" w:hAnsi="Arial"/>
      <w:vanish/>
      <w:sz w:val="16"/>
    </w:rPr>
  </w:style>
  <w:style w:type="paragraph" w:customStyle="1" w:styleId="223">
    <w:name w:val="z-窗体底端1"/>
    <w:basedOn w:val="1"/>
    <w:next w:val="1"/>
    <w:link w:val="388"/>
    <w:qFormat/>
    <w:uiPriority w:val="0"/>
    <w:pPr>
      <w:pBdr>
        <w:top w:val="single" w:color="auto" w:sz="6" w:space="1"/>
      </w:pBdr>
      <w:jc w:val="center"/>
    </w:pPr>
    <w:rPr>
      <w:rFonts w:ascii="Arial" w:hAnsi="Arial" w:eastAsiaTheme="minorEastAsia" w:cstheme="minorBidi"/>
      <w:vanish/>
      <w:sz w:val="16"/>
      <w:szCs w:val="22"/>
    </w:rPr>
  </w:style>
  <w:style w:type="character" w:customStyle="1" w:styleId="224">
    <w:name w:val="font161"/>
    <w:qFormat/>
    <w:uiPriority w:val="0"/>
    <w:rPr>
      <w:b/>
      <w:sz w:val="32"/>
    </w:rPr>
  </w:style>
  <w:style w:type="character" w:customStyle="1" w:styleId="225">
    <w:name w:val="脚注文本 字符"/>
    <w:qFormat/>
    <w:uiPriority w:val="0"/>
    <w:rPr>
      <w:kern w:val="2"/>
      <w:sz w:val="18"/>
    </w:rPr>
  </w:style>
  <w:style w:type="character" w:customStyle="1" w:styleId="226">
    <w:name w:val="HTML 代码1"/>
    <w:qFormat/>
    <w:uiPriority w:val="0"/>
    <w:rPr>
      <w:rFonts w:ascii="Courier New" w:hAnsi="Courier New"/>
      <w:sz w:val="20"/>
    </w:rPr>
  </w:style>
  <w:style w:type="character" w:customStyle="1" w:styleId="227">
    <w:name w:val="标题 Char2"/>
    <w:qFormat/>
    <w:uiPriority w:val="0"/>
    <w:rPr>
      <w:rFonts w:ascii="Arial" w:hAnsi="Arial" w:eastAsia="宋体"/>
      <w:b/>
      <w:sz w:val="32"/>
      <w:lang w:val="en-US" w:eastAsia="zh-CN"/>
    </w:rPr>
  </w:style>
  <w:style w:type="character" w:customStyle="1" w:styleId="228">
    <w:name w:val="正文文本 Char2"/>
    <w:qFormat/>
    <w:uiPriority w:val="0"/>
    <w:rPr>
      <w:sz w:val="24"/>
    </w:rPr>
  </w:style>
  <w:style w:type="character" w:customStyle="1" w:styleId="229">
    <w:name w:val="lemmatitleh11"/>
    <w:qFormat/>
    <w:uiPriority w:val="0"/>
  </w:style>
  <w:style w:type="character" w:customStyle="1" w:styleId="230">
    <w:name w:val="Char Char16"/>
    <w:qFormat/>
    <w:uiPriority w:val="0"/>
    <w:rPr>
      <w:kern w:val="2"/>
      <w:sz w:val="18"/>
    </w:rPr>
  </w:style>
  <w:style w:type="character" w:customStyle="1" w:styleId="231">
    <w:name w:val="正文首行缩进 Char1"/>
    <w:qFormat/>
    <w:uiPriority w:val="0"/>
    <w:rPr>
      <w:rFonts w:ascii="等线" w:hAnsi="等线" w:eastAsia="等线"/>
    </w:rPr>
  </w:style>
  <w:style w:type="character" w:customStyle="1" w:styleId="232">
    <w:name w:val="Char Char17"/>
    <w:qFormat/>
    <w:uiPriority w:val="0"/>
    <w:rPr>
      <w:kern w:val="2"/>
      <w:sz w:val="18"/>
    </w:rPr>
  </w:style>
  <w:style w:type="character" w:customStyle="1" w:styleId="233">
    <w:name w:val="font31"/>
    <w:basedOn w:val="91"/>
    <w:qFormat/>
    <w:uiPriority w:val="0"/>
    <w:rPr>
      <w:rFonts w:hint="eastAsia" w:ascii="宋体" w:hAnsi="宋体" w:eastAsia="宋体"/>
      <w:color w:val="0000FF"/>
      <w:sz w:val="21"/>
      <w:u w:val="none"/>
      <w:vertAlign w:val="superscript"/>
    </w:rPr>
  </w:style>
  <w:style w:type="character" w:customStyle="1" w:styleId="234">
    <w:name w:val="标题 4 Char1"/>
    <w:qFormat/>
    <w:uiPriority w:val="0"/>
    <w:rPr>
      <w:rFonts w:ascii="Arial" w:hAnsi="Arial" w:eastAsia="黑体"/>
      <w:b/>
      <w:kern w:val="2"/>
      <w:sz w:val="28"/>
      <w:lang w:val="en-US" w:eastAsia="zh-CN"/>
    </w:rPr>
  </w:style>
  <w:style w:type="character" w:customStyle="1" w:styleId="235">
    <w:name w:val="p141"/>
    <w:qFormat/>
    <w:uiPriority w:val="0"/>
    <w:rPr>
      <w:sz w:val="21"/>
      <w:szCs w:val="21"/>
    </w:rPr>
  </w:style>
  <w:style w:type="character" w:customStyle="1" w:styleId="236">
    <w:name w:val="批注引用1"/>
    <w:qFormat/>
    <w:uiPriority w:val="0"/>
    <w:rPr>
      <w:sz w:val="21"/>
    </w:rPr>
  </w:style>
  <w:style w:type="character" w:customStyle="1" w:styleId="237">
    <w:name w:val="发布"/>
    <w:qFormat/>
    <w:uiPriority w:val="0"/>
    <w:rPr>
      <w:rFonts w:ascii="黑体" w:eastAsia="黑体"/>
      <w:spacing w:val="22"/>
      <w:w w:val="100"/>
      <w:position w:val="3"/>
      <w:sz w:val="28"/>
    </w:rPr>
  </w:style>
  <w:style w:type="character" w:customStyle="1" w:styleId="238">
    <w:name w:val="j23x"/>
    <w:qFormat/>
    <w:uiPriority w:val="0"/>
  </w:style>
  <w:style w:type="character" w:customStyle="1" w:styleId="239">
    <w:name w:val="纯文本 Char2"/>
    <w:qFormat/>
    <w:uiPriority w:val="0"/>
    <w:rPr>
      <w:rFonts w:ascii="宋体" w:hAnsi="Courier New" w:eastAsia="宋体"/>
      <w:kern w:val="2"/>
      <w:sz w:val="21"/>
      <w:lang w:val="en-US" w:eastAsia="zh-CN"/>
    </w:rPr>
  </w:style>
  <w:style w:type="character" w:customStyle="1" w:styleId="240">
    <w:name w:val="567r"/>
    <w:qFormat/>
    <w:uiPriority w:val="0"/>
  </w:style>
  <w:style w:type="character" w:customStyle="1" w:styleId="241">
    <w:name w:val="文档结构图 字符"/>
    <w:qFormat/>
    <w:uiPriority w:val="0"/>
    <w:rPr>
      <w:rFonts w:ascii="Microsoft YaHei UI" w:hAnsi="Times New Roman" w:eastAsia="Microsoft YaHei UI"/>
      <w:kern w:val="2"/>
      <w:sz w:val="18"/>
    </w:rPr>
  </w:style>
  <w:style w:type="character" w:customStyle="1" w:styleId="242">
    <w:name w:val="正文文本 2 字符"/>
    <w:qFormat/>
    <w:uiPriority w:val="0"/>
    <w:rPr>
      <w:kern w:val="2"/>
      <w:sz w:val="28"/>
    </w:rPr>
  </w:style>
  <w:style w:type="character" w:customStyle="1" w:styleId="243">
    <w:name w:val="font01"/>
    <w:basedOn w:val="91"/>
    <w:qFormat/>
    <w:uiPriority w:val="0"/>
    <w:rPr>
      <w:rFonts w:hint="eastAsia" w:ascii="宋体" w:hAnsi="宋体" w:eastAsia="宋体" w:cs="宋体"/>
      <w:color w:val="000000"/>
      <w:sz w:val="22"/>
      <w:szCs w:val="22"/>
      <w:u w:val="none"/>
    </w:rPr>
  </w:style>
  <w:style w:type="character" w:customStyle="1" w:styleId="244">
    <w:name w:val="Title Char"/>
    <w:qFormat/>
    <w:uiPriority w:val="0"/>
    <w:rPr>
      <w:rFonts w:ascii="Arial" w:hAnsi="Arial" w:eastAsia="宋体"/>
      <w:b/>
      <w:kern w:val="2"/>
      <w:sz w:val="32"/>
      <w:lang w:val="en-US" w:eastAsia="zh-CN"/>
    </w:rPr>
  </w:style>
  <w:style w:type="character" w:customStyle="1" w:styleId="245">
    <w:name w:val="宏文本 字符"/>
    <w:qFormat/>
    <w:uiPriority w:val="0"/>
    <w:rPr>
      <w:rFonts w:ascii="Courier New" w:hAnsi="Courier New"/>
      <w:kern w:val="2"/>
      <w:sz w:val="24"/>
    </w:rPr>
  </w:style>
  <w:style w:type="character" w:customStyle="1" w:styleId="246">
    <w:name w:val="Char Char22"/>
    <w:qFormat/>
    <w:uiPriority w:val="0"/>
    <w:rPr>
      <w:rFonts w:ascii="Arial" w:hAnsi="Arial" w:eastAsia="黑体"/>
      <w:b/>
      <w:kern w:val="2"/>
      <w:sz w:val="32"/>
      <w:lang w:val="en-US" w:eastAsia="zh-CN"/>
    </w:rPr>
  </w:style>
  <w:style w:type="character" w:customStyle="1" w:styleId="247">
    <w:name w:val="尾注文本 字符"/>
    <w:qFormat/>
    <w:uiPriority w:val="0"/>
    <w:rPr>
      <w:kern w:val="2"/>
      <w:sz w:val="28"/>
    </w:rPr>
  </w:style>
  <w:style w:type="character" w:customStyle="1" w:styleId="248">
    <w:name w:val="副标题 Char1"/>
    <w:qFormat/>
    <w:uiPriority w:val="0"/>
    <w:rPr>
      <w:rFonts w:ascii="Calibri Light" w:hAnsi="Calibri Light" w:eastAsia="宋体"/>
      <w:b/>
      <w:kern w:val="28"/>
      <w:sz w:val="32"/>
    </w:rPr>
  </w:style>
  <w:style w:type="character" w:customStyle="1" w:styleId="249">
    <w:name w:val="正文文本 Char1"/>
    <w:qFormat/>
    <w:uiPriority w:val="0"/>
    <w:rPr>
      <w:rFonts w:ascii="宋体" w:hAnsi="宋体" w:eastAsia="宋体"/>
      <w:spacing w:val="-6"/>
      <w:kern w:val="2"/>
      <w:sz w:val="21"/>
      <w:lang w:val="en-US" w:eastAsia="zh-CN"/>
    </w:rPr>
  </w:style>
  <w:style w:type="character" w:customStyle="1" w:styleId="250">
    <w:name w:val="HTML 缩写1"/>
    <w:qFormat/>
    <w:uiPriority w:val="0"/>
  </w:style>
  <w:style w:type="character" w:customStyle="1" w:styleId="251">
    <w:name w:val="标题 1 Char1"/>
    <w:qFormat/>
    <w:uiPriority w:val="0"/>
    <w:rPr>
      <w:rFonts w:eastAsia="宋体"/>
      <w:b/>
      <w:kern w:val="44"/>
      <w:sz w:val="44"/>
      <w:lang w:val="en-US" w:eastAsia="zh-CN"/>
    </w:rPr>
  </w:style>
  <w:style w:type="character" w:customStyle="1" w:styleId="252">
    <w:name w:val="15"/>
    <w:qFormat/>
    <w:uiPriority w:val="0"/>
  </w:style>
  <w:style w:type="character" w:customStyle="1" w:styleId="253">
    <w:name w:val="样式 正文文本 Char"/>
    <w:link w:val="254"/>
    <w:qFormat/>
    <w:uiPriority w:val="0"/>
    <w:rPr>
      <w:rFonts w:ascii="Arial" w:hAnsi="Arial"/>
      <w:color w:val="000000"/>
    </w:rPr>
  </w:style>
  <w:style w:type="paragraph" w:customStyle="1" w:styleId="254">
    <w:name w:val="样式 正文文本"/>
    <w:basedOn w:val="1"/>
    <w:link w:val="253"/>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55">
    <w:name w:val="正文格式 Char"/>
    <w:link w:val="256"/>
    <w:qFormat/>
    <w:uiPriority w:val="0"/>
    <w:rPr>
      <w:rFonts w:ascii="Times New Roman" w:hAnsi="Times New Roman"/>
      <w:sz w:val="24"/>
    </w:rPr>
  </w:style>
  <w:style w:type="paragraph" w:customStyle="1" w:styleId="256">
    <w:name w:val="正文格式"/>
    <w:basedOn w:val="1"/>
    <w:link w:val="255"/>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57">
    <w:name w:val="bulletintext1"/>
    <w:qFormat/>
    <w:uiPriority w:val="0"/>
    <w:rPr>
      <w:color w:val="000000"/>
      <w:sz w:val="18"/>
    </w:rPr>
  </w:style>
  <w:style w:type="character" w:customStyle="1" w:styleId="258">
    <w:name w:val="fonts11"/>
    <w:qFormat/>
    <w:uiPriority w:val="0"/>
    <w:rPr>
      <w:sz w:val="18"/>
    </w:rPr>
  </w:style>
  <w:style w:type="character" w:customStyle="1" w:styleId="259">
    <w:name w:val="locality"/>
    <w:qFormat/>
    <w:uiPriority w:val="0"/>
  </w:style>
  <w:style w:type="character" w:customStyle="1" w:styleId="260">
    <w:name w:val="标题 3 字符"/>
    <w:qFormat/>
    <w:uiPriority w:val="0"/>
    <w:rPr>
      <w:rFonts w:ascii="Times New Roman" w:hAnsi="Times New Roman" w:eastAsia="宋体"/>
      <w:b/>
      <w:kern w:val="2"/>
      <w:sz w:val="32"/>
    </w:rPr>
  </w:style>
  <w:style w:type="character" w:customStyle="1" w:styleId="261">
    <w:name w:val="标题 8 字符"/>
    <w:qFormat/>
    <w:uiPriority w:val="0"/>
    <w:rPr>
      <w:rFonts w:ascii="等线 Light" w:hAnsi="等线 Light" w:eastAsia="等线 Light"/>
      <w:kern w:val="2"/>
      <w:sz w:val="24"/>
    </w:rPr>
  </w:style>
  <w:style w:type="character" w:customStyle="1" w:styleId="262">
    <w:name w:val="批注主题 字符"/>
    <w:qFormat/>
    <w:uiPriority w:val="0"/>
    <w:rPr>
      <w:b/>
      <w:kern w:val="2"/>
      <w:sz w:val="28"/>
    </w:rPr>
  </w:style>
  <w:style w:type="character" w:customStyle="1" w:styleId="263">
    <w:name w:val="H3 Char"/>
    <w:qFormat/>
    <w:uiPriority w:val="0"/>
    <w:rPr>
      <w:rFonts w:eastAsia="宋体"/>
      <w:b/>
      <w:kern w:val="2"/>
      <w:sz w:val="32"/>
      <w:lang w:val="en-US" w:eastAsia="zh-CN"/>
    </w:rPr>
  </w:style>
  <w:style w:type="character" w:customStyle="1" w:styleId="264">
    <w:name w:val="标题 9 Char1"/>
    <w:qFormat/>
    <w:uiPriority w:val="0"/>
    <w:rPr>
      <w:rFonts w:ascii="Arial" w:hAnsi="Arial" w:eastAsia="黑体"/>
      <w:sz w:val="21"/>
      <w:lang w:val="en-US" w:eastAsia="zh-CN"/>
    </w:rPr>
  </w:style>
  <w:style w:type="character" w:customStyle="1" w:styleId="265">
    <w:name w:val="公文正文 Char"/>
    <w:link w:val="266"/>
    <w:qFormat/>
    <w:uiPriority w:val="0"/>
    <w:rPr>
      <w:rFonts w:ascii="仿宋_GB2312" w:eastAsia="仿宋_GB2312"/>
      <w:sz w:val="24"/>
    </w:rPr>
  </w:style>
  <w:style w:type="paragraph" w:customStyle="1" w:styleId="266">
    <w:name w:val="公文正文"/>
    <w:basedOn w:val="1"/>
    <w:link w:val="265"/>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67">
    <w:name w:val="正文文本缩进 3 字符"/>
    <w:qFormat/>
    <w:uiPriority w:val="0"/>
    <w:rPr>
      <w:rFonts w:ascii="Times New Roman" w:hAnsi="Times New Roman" w:eastAsia="宋体"/>
      <w:kern w:val="2"/>
      <w:sz w:val="16"/>
    </w:rPr>
  </w:style>
  <w:style w:type="character" w:customStyle="1" w:styleId="268">
    <w:name w:val="my Char"/>
    <w:link w:val="269"/>
    <w:qFormat/>
    <w:uiPriority w:val="0"/>
    <w:rPr>
      <w:rFonts w:ascii="宋体" w:hAnsi="宋体"/>
      <w:sz w:val="24"/>
    </w:rPr>
  </w:style>
  <w:style w:type="paragraph" w:customStyle="1" w:styleId="269">
    <w:name w:val="my"/>
    <w:basedOn w:val="1"/>
    <w:link w:val="268"/>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70">
    <w:name w:val="info1"/>
    <w:qFormat/>
    <w:uiPriority w:val="99"/>
    <w:rPr>
      <w:color w:val="000000"/>
      <w:spacing w:val="15"/>
      <w:sz w:val="24"/>
    </w:rPr>
  </w:style>
  <w:style w:type="character" w:customStyle="1" w:styleId="271">
    <w:name w:val="正文文本 2 Char1"/>
    <w:qFormat/>
    <w:uiPriority w:val="0"/>
  </w:style>
  <w:style w:type="character" w:customStyle="1" w:styleId="272">
    <w:name w:val="HTML 预设格式 Char1"/>
    <w:qFormat/>
    <w:uiPriority w:val="0"/>
    <w:rPr>
      <w:rFonts w:ascii="Courier New" w:hAnsi="Courier New" w:eastAsia="宋体"/>
      <w:kern w:val="2"/>
    </w:rPr>
  </w:style>
  <w:style w:type="character" w:customStyle="1" w:styleId="273">
    <w:name w:val="电子邮件签名 字符"/>
    <w:qFormat/>
    <w:uiPriority w:val="0"/>
    <w:rPr>
      <w:kern w:val="2"/>
      <w:sz w:val="28"/>
    </w:rPr>
  </w:style>
  <w:style w:type="character" w:customStyle="1" w:styleId="274">
    <w:name w:val="称呼 字符"/>
    <w:qFormat/>
    <w:uiPriority w:val="0"/>
    <w:rPr>
      <w:kern w:val="2"/>
      <w:sz w:val="28"/>
    </w:rPr>
  </w:style>
  <w:style w:type="character" w:customStyle="1" w:styleId="275">
    <w:name w:val="标题 4 Char Char Char Char Char Char"/>
    <w:qFormat/>
    <w:uiPriority w:val="0"/>
    <w:rPr>
      <w:rFonts w:eastAsia="宋体"/>
      <w:kern w:val="2"/>
      <w:sz w:val="24"/>
      <w:lang w:val="en-US" w:eastAsia="zh-CN"/>
    </w:rPr>
  </w:style>
  <w:style w:type="character" w:customStyle="1" w:styleId="276">
    <w:name w:val="标题 6 字符"/>
    <w:qFormat/>
    <w:uiPriority w:val="0"/>
    <w:rPr>
      <w:rFonts w:ascii="等线 Light" w:hAnsi="等线 Light" w:eastAsia="等线 Light"/>
      <w:b/>
      <w:kern w:val="2"/>
      <w:sz w:val="24"/>
    </w:rPr>
  </w:style>
  <w:style w:type="character" w:customStyle="1" w:styleId="277">
    <w:name w:val="标题 7 Char1"/>
    <w:qFormat/>
    <w:uiPriority w:val="0"/>
    <w:rPr>
      <w:rFonts w:eastAsia="宋体"/>
      <w:b/>
      <w:sz w:val="24"/>
      <w:lang w:val="en-US" w:eastAsia="zh-CN"/>
    </w:rPr>
  </w:style>
  <w:style w:type="character" w:customStyle="1" w:styleId="278">
    <w:name w:val="副标题 字符"/>
    <w:qFormat/>
    <w:uiPriority w:val="0"/>
    <w:rPr>
      <w:rFonts w:ascii="等线 Light" w:hAnsi="等线 Light"/>
      <w:b/>
      <w:kern w:val="28"/>
      <w:sz w:val="32"/>
    </w:rPr>
  </w:style>
  <w:style w:type="character" w:customStyle="1" w:styleId="279">
    <w:name w:val="font21"/>
    <w:basedOn w:val="91"/>
    <w:qFormat/>
    <w:uiPriority w:val="0"/>
    <w:rPr>
      <w:rFonts w:hint="eastAsia" w:ascii="宋体" w:hAnsi="宋体" w:eastAsia="宋体"/>
      <w:color w:val="FF0000"/>
      <w:sz w:val="21"/>
      <w:u w:val="none"/>
      <w:vertAlign w:val="superscript"/>
    </w:rPr>
  </w:style>
  <w:style w:type="character" w:customStyle="1" w:styleId="280">
    <w:name w:val="font41"/>
    <w:basedOn w:val="91"/>
    <w:qFormat/>
    <w:uiPriority w:val="0"/>
    <w:rPr>
      <w:rFonts w:hint="eastAsia" w:ascii="宋体" w:hAnsi="宋体" w:eastAsia="宋体" w:cs="宋体"/>
      <w:color w:val="000000"/>
      <w:sz w:val="20"/>
      <w:szCs w:val="20"/>
      <w:u w:val="none"/>
    </w:rPr>
  </w:style>
  <w:style w:type="character" w:customStyle="1" w:styleId="281">
    <w:name w:val="结束语 字符"/>
    <w:qFormat/>
    <w:uiPriority w:val="0"/>
    <w:rPr>
      <w:kern w:val="2"/>
      <w:sz w:val="28"/>
    </w:rPr>
  </w:style>
  <w:style w:type="character" w:customStyle="1" w:styleId="282">
    <w:name w:val="彩色列表 - 着色 1 字符"/>
    <w:link w:val="283"/>
    <w:qFormat/>
    <w:uiPriority w:val="0"/>
  </w:style>
  <w:style w:type="paragraph" w:customStyle="1" w:styleId="283">
    <w:name w:val="彩色列表 - 着色 12"/>
    <w:basedOn w:val="1"/>
    <w:link w:val="282"/>
    <w:qFormat/>
    <w:uiPriority w:val="0"/>
    <w:pPr>
      <w:ind w:firstLine="420" w:firstLineChars="200"/>
    </w:pPr>
    <w:rPr>
      <w:rFonts w:asciiTheme="minorHAnsi" w:hAnsiTheme="minorHAnsi" w:eastAsiaTheme="minorEastAsia" w:cstheme="minorBidi"/>
      <w:sz w:val="21"/>
      <w:szCs w:val="22"/>
    </w:rPr>
  </w:style>
  <w:style w:type="character" w:customStyle="1" w:styleId="284">
    <w:name w:val="正文文本 3 Char1"/>
    <w:qFormat/>
    <w:uiPriority w:val="0"/>
    <w:rPr>
      <w:rFonts w:eastAsia="宋体"/>
      <w:color w:val="FF0000"/>
      <w:kern w:val="2"/>
      <w:sz w:val="24"/>
      <w:lang w:val="en-US" w:eastAsia="zh-CN"/>
    </w:rPr>
  </w:style>
  <w:style w:type="character" w:customStyle="1" w:styleId="285">
    <w:name w:val="纯文本 Char3"/>
    <w:qFormat/>
    <w:uiPriority w:val="0"/>
    <w:rPr>
      <w:rFonts w:ascii="宋体" w:hAnsi="Courier New" w:eastAsia="宋体"/>
    </w:rPr>
  </w:style>
  <w:style w:type="character" w:customStyle="1" w:styleId="286">
    <w:name w:val="个人答复风格"/>
    <w:qFormat/>
    <w:uiPriority w:val="0"/>
    <w:rPr>
      <w:rFonts w:ascii="Arial" w:hAnsi="Arial" w:eastAsia="宋体"/>
      <w:color w:val="auto"/>
      <w:sz w:val="20"/>
    </w:rPr>
  </w:style>
  <w:style w:type="character" w:customStyle="1" w:styleId="287">
    <w:name w:val="标题 3 Char1"/>
    <w:qFormat/>
    <w:uiPriority w:val="0"/>
    <w:rPr>
      <w:rFonts w:eastAsia="宋体"/>
      <w:b/>
      <w:kern w:val="2"/>
      <w:sz w:val="32"/>
      <w:lang w:val="en-US" w:eastAsia="zh-CN"/>
    </w:rPr>
  </w:style>
  <w:style w:type="character" w:customStyle="1" w:styleId="288">
    <w:name w:val="脚注文本 Char1"/>
    <w:qFormat/>
    <w:uiPriority w:val="0"/>
    <w:rPr>
      <w:rFonts w:eastAsia="宋体"/>
      <w:kern w:val="2"/>
      <w:sz w:val="18"/>
      <w:lang w:val="en-US" w:eastAsia="zh-CN"/>
    </w:rPr>
  </w:style>
  <w:style w:type="character" w:customStyle="1" w:styleId="289">
    <w:name w:val="无格式表格 31"/>
    <w:qFormat/>
    <w:uiPriority w:val="0"/>
    <w:rPr>
      <w:i/>
      <w:color w:val="808080"/>
    </w:rPr>
  </w:style>
  <w:style w:type="character" w:customStyle="1" w:styleId="290">
    <w:name w:val="HTML 键盘1"/>
    <w:qFormat/>
    <w:uiPriority w:val="0"/>
    <w:rPr>
      <w:rFonts w:ascii="Courier New" w:hAnsi="Courier New"/>
      <w:sz w:val="20"/>
    </w:rPr>
  </w:style>
  <w:style w:type="character" w:customStyle="1" w:styleId="291">
    <w:name w:val="标题 Char1"/>
    <w:qFormat/>
    <w:uiPriority w:val="0"/>
    <w:rPr>
      <w:rFonts w:ascii="Cambria" w:hAnsi="Cambria" w:eastAsia="宋体"/>
      <w:b/>
      <w:sz w:val="32"/>
    </w:rPr>
  </w:style>
  <w:style w:type="character" w:customStyle="1" w:styleId="292">
    <w:name w:val="样式8 字符"/>
    <w:link w:val="293"/>
    <w:qFormat/>
    <w:uiPriority w:val="0"/>
    <w:rPr>
      <w:rFonts w:ascii="Times New Roman" w:hAnsi="Times New Roman"/>
      <w:sz w:val="24"/>
      <w:szCs w:val="27"/>
    </w:rPr>
  </w:style>
  <w:style w:type="paragraph" w:customStyle="1" w:styleId="293">
    <w:name w:val="样式8"/>
    <w:basedOn w:val="294"/>
    <w:link w:val="292"/>
    <w:qFormat/>
    <w:uiPriority w:val="0"/>
    <w:pPr>
      <w:tabs>
        <w:tab w:val="left" w:pos="1301"/>
        <w:tab w:val="left" w:pos="6043"/>
      </w:tabs>
      <w:ind w:right="0" w:rightChars="0"/>
    </w:pPr>
    <w:rPr>
      <w:rFonts w:eastAsiaTheme="minorEastAsia" w:cstheme="minorBidi"/>
    </w:rPr>
  </w:style>
  <w:style w:type="paragraph" w:customStyle="1" w:styleId="294">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95">
    <w:name w:val="font11"/>
    <w:basedOn w:val="91"/>
    <w:qFormat/>
    <w:uiPriority w:val="0"/>
    <w:rPr>
      <w:rFonts w:hint="eastAsia" w:ascii="宋体" w:hAnsi="宋体" w:eastAsia="宋体"/>
      <w:color w:val="000000"/>
      <w:sz w:val="21"/>
      <w:u w:val="none"/>
      <w:vertAlign w:val="superscript"/>
    </w:rPr>
  </w:style>
  <w:style w:type="character" w:customStyle="1" w:styleId="296">
    <w:name w:val="页脚 Char1"/>
    <w:qFormat/>
    <w:uiPriority w:val="0"/>
    <w:rPr>
      <w:rFonts w:eastAsia="宋体"/>
      <w:kern w:val="2"/>
      <w:sz w:val="18"/>
      <w:lang w:val="en-US" w:eastAsia="zh-CN"/>
    </w:rPr>
  </w:style>
  <w:style w:type="character" w:customStyle="1" w:styleId="297">
    <w:name w:val="country-name"/>
    <w:qFormat/>
    <w:uiPriority w:val="0"/>
  </w:style>
  <w:style w:type="character" w:customStyle="1" w:styleId="298">
    <w:name w:val="HTML 样本1"/>
    <w:qFormat/>
    <w:uiPriority w:val="0"/>
    <w:rPr>
      <w:rFonts w:ascii="Courier New" w:hAnsi="Courier New"/>
    </w:rPr>
  </w:style>
  <w:style w:type="character" w:customStyle="1" w:styleId="299">
    <w:name w:val="标题 4 字符"/>
    <w:qFormat/>
    <w:uiPriority w:val="0"/>
    <w:rPr>
      <w:rFonts w:ascii="等线 Light" w:hAnsi="等线 Light" w:eastAsia="等线 Light"/>
      <w:b/>
      <w:kern w:val="2"/>
      <w:sz w:val="28"/>
    </w:rPr>
  </w:style>
  <w:style w:type="character" w:customStyle="1" w:styleId="300">
    <w:name w:val="zbggmain style9"/>
    <w:qFormat/>
    <w:uiPriority w:val="0"/>
  </w:style>
  <w:style w:type="character" w:customStyle="1" w:styleId="301">
    <w:name w:val="标题 1 Char Char"/>
    <w:qFormat/>
    <w:uiPriority w:val="0"/>
    <w:rPr>
      <w:rFonts w:ascii="Arial" w:hAnsi="Arial" w:eastAsia="黑体"/>
      <w:kern w:val="44"/>
      <w:sz w:val="24"/>
      <w:lang w:val="en-US" w:eastAsia="zh-CN"/>
    </w:rPr>
  </w:style>
  <w:style w:type="character" w:customStyle="1" w:styleId="302">
    <w:name w:val="批注框文本 Char1"/>
    <w:qFormat/>
    <w:uiPriority w:val="0"/>
    <w:rPr>
      <w:rFonts w:eastAsia="宋体"/>
      <w:kern w:val="2"/>
      <w:sz w:val="18"/>
      <w:lang w:val="en-US" w:eastAsia="zh-CN"/>
    </w:rPr>
  </w:style>
  <w:style w:type="character" w:customStyle="1" w:styleId="303">
    <w:name w:val="HTML 地址 字符"/>
    <w:qFormat/>
    <w:uiPriority w:val="0"/>
    <w:rPr>
      <w:i/>
      <w:kern w:val="2"/>
      <w:sz w:val="28"/>
    </w:rPr>
  </w:style>
  <w:style w:type="character" w:customStyle="1" w:styleId="304">
    <w:name w:val="正文文本 字符"/>
    <w:qFormat/>
    <w:uiPriority w:val="0"/>
    <w:rPr>
      <w:rFonts w:ascii="Times New Roman" w:hAnsi="Times New Roman" w:eastAsia="宋体"/>
      <w:kern w:val="2"/>
      <w:sz w:val="21"/>
    </w:rPr>
  </w:style>
  <w:style w:type="character" w:customStyle="1" w:styleId="305">
    <w:name w:val="页眉 字符"/>
    <w:qFormat/>
    <w:uiPriority w:val="0"/>
    <w:rPr>
      <w:kern w:val="2"/>
      <w:sz w:val="18"/>
    </w:rPr>
  </w:style>
  <w:style w:type="character" w:customStyle="1" w:styleId="306">
    <w:name w:val="标题 5 Char1"/>
    <w:qFormat/>
    <w:uiPriority w:val="0"/>
    <w:rPr>
      <w:rFonts w:eastAsia="宋体"/>
      <w:b/>
      <w:sz w:val="28"/>
      <w:lang w:val="en-US" w:eastAsia="zh-CN"/>
    </w:rPr>
  </w:style>
  <w:style w:type="character" w:customStyle="1" w:styleId="307">
    <w:name w:val="正文文字4 Char Char"/>
    <w:qFormat/>
    <w:uiPriority w:val="0"/>
    <w:rPr>
      <w:rFonts w:ascii="宋体" w:hAnsi="宋体" w:eastAsia="宋体"/>
      <w:spacing w:val="-6"/>
      <w:kern w:val="2"/>
      <w:sz w:val="21"/>
      <w:lang w:val="en-US" w:eastAsia="zh-CN"/>
    </w:rPr>
  </w:style>
  <w:style w:type="character" w:customStyle="1" w:styleId="308">
    <w:name w:val="z-窗体顶端 Char"/>
    <w:link w:val="309"/>
    <w:qFormat/>
    <w:uiPriority w:val="0"/>
    <w:rPr>
      <w:rFonts w:ascii="Arial" w:hAnsi="Arial"/>
      <w:vanish/>
      <w:sz w:val="16"/>
    </w:rPr>
  </w:style>
  <w:style w:type="paragraph" w:customStyle="1" w:styleId="309">
    <w:name w:val="z-窗体顶端1"/>
    <w:basedOn w:val="1"/>
    <w:next w:val="1"/>
    <w:link w:val="308"/>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10">
    <w:name w:val="正文文本 3 字符"/>
    <w:qFormat/>
    <w:uiPriority w:val="0"/>
    <w:rPr>
      <w:kern w:val="2"/>
      <w:sz w:val="16"/>
    </w:rPr>
  </w:style>
  <w:style w:type="character" w:customStyle="1" w:styleId="311">
    <w:name w:val="s81i"/>
    <w:qFormat/>
    <w:uiPriority w:val="0"/>
  </w:style>
  <w:style w:type="character" w:customStyle="1" w:styleId="312">
    <w:name w:val="正文缩进 Char"/>
    <w:link w:val="25"/>
    <w:qFormat/>
    <w:uiPriority w:val="0"/>
    <w:rPr>
      <w:rFonts w:eastAsia="宋体"/>
      <w:sz w:val="24"/>
    </w:rPr>
  </w:style>
  <w:style w:type="character" w:customStyle="1" w:styleId="313">
    <w:name w:val="Char Char23"/>
    <w:qFormat/>
    <w:uiPriority w:val="0"/>
    <w:rPr>
      <w:rFonts w:eastAsia="宋体"/>
      <w:b/>
      <w:kern w:val="44"/>
      <w:sz w:val="44"/>
      <w:lang w:val="en-US" w:eastAsia="zh-CN"/>
    </w:rPr>
  </w:style>
  <w:style w:type="character" w:customStyle="1" w:styleId="314">
    <w:name w:val="apple-converted-space"/>
    <w:qFormat/>
    <w:uiPriority w:val="0"/>
  </w:style>
  <w:style w:type="character" w:customStyle="1" w:styleId="315">
    <w:name w:val="highlight1"/>
    <w:qFormat/>
    <w:uiPriority w:val="0"/>
    <w:rPr>
      <w:color w:val="FF0000"/>
    </w:rPr>
  </w:style>
  <w:style w:type="character" w:customStyle="1" w:styleId="316">
    <w:name w:val="正文2 Char Char"/>
    <w:qFormat/>
    <w:uiPriority w:val="0"/>
    <w:rPr>
      <w:rFonts w:eastAsia="宋体"/>
      <w:kern w:val="2"/>
      <w:sz w:val="24"/>
      <w:lang w:val="en-US" w:eastAsia="zh-CN"/>
    </w:rPr>
  </w:style>
  <w:style w:type="character" w:customStyle="1" w:styleId="317">
    <w:name w:val="标题1"/>
    <w:qFormat/>
    <w:uiPriority w:val="0"/>
    <w:rPr>
      <w:b/>
      <w:sz w:val="28"/>
    </w:rPr>
  </w:style>
  <w:style w:type="character" w:customStyle="1" w:styleId="318">
    <w:name w:val="正文2 Char"/>
    <w:link w:val="319"/>
    <w:qFormat/>
    <w:uiPriority w:val="0"/>
    <w:rPr>
      <w:rFonts w:eastAsia="宋体"/>
      <w:sz w:val="24"/>
    </w:rPr>
  </w:style>
  <w:style w:type="paragraph" w:customStyle="1" w:styleId="319">
    <w:name w:val="正文2"/>
    <w:basedOn w:val="1"/>
    <w:link w:val="318"/>
    <w:qFormat/>
    <w:uiPriority w:val="0"/>
    <w:pPr>
      <w:spacing w:before="156" w:line="360" w:lineRule="auto"/>
      <w:ind w:firstLine="510" w:firstLineChars="200"/>
    </w:pPr>
    <w:rPr>
      <w:rFonts w:asciiTheme="minorHAnsi" w:hAnsiTheme="minorHAnsi" w:cstheme="minorBidi"/>
      <w:sz w:val="24"/>
      <w:szCs w:val="22"/>
    </w:rPr>
  </w:style>
  <w:style w:type="character" w:customStyle="1" w:styleId="320">
    <w:name w:val="HTML 定义1"/>
    <w:qFormat/>
    <w:uiPriority w:val="0"/>
    <w:rPr>
      <w:i/>
    </w:rPr>
  </w:style>
  <w:style w:type="character" w:customStyle="1" w:styleId="321">
    <w:name w:val="批注框文本 字符"/>
    <w:qFormat/>
    <w:uiPriority w:val="0"/>
    <w:rPr>
      <w:rFonts w:ascii="Times New Roman" w:hAnsi="Times New Roman" w:eastAsia="宋体"/>
      <w:kern w:val="2"/>
      <w:sz w:val="18"/>
    </w:rPr>
  </w:style>
  <w:style w:type="character" w:customStyle="1" w:styleId="322">
    <w:name w:val="75pk"/>
    <w:qFormat/>
    <w:uiPriority w:val="0"/>
  </w:style>
  <w:style w:type="character" w:customStyle="1" w:styleId="323">
    <w:name w:val="z-窗体底端 字符"/>
    <w:qFormat/>
    <w:uiPriority w:val="0"/>
    <w:rPr>
      <w:rFonts w:ascii="Arial" w:hAnsi="Arial"/>
      <w:vanish/>
      <w:kern w:val="2"/>
      <w:sz w:val="16"/>
    </w:rPr>
  </w:style>
  <w:style w:type="character" w:customStyle="1" w:styleId="324">
    <w:name w:val="页码1"/>
    <w:qFormat/>
    <w:uiPriority w:val="0"/>
  </w:style>
  <w:style w:type="character" w:customStyle="1" w:styleId="325">
    <w:name w:val="Char Char21"/>
    <w:qFormat/>
    <w:uiPriority w:val="0"/>
    <w:rPr>
      <w:rFonts w:eastAsia="楷体_GB2312"/>
      <w:kern w:val="2"/>
      <w:sz w:val="28"/>
      <w:lang w:val="en-US" w:eastAsia="zh-CN"/>
    </w:rPr>
  </w:style>
  <w:style w:type="character" w:customStyle="1" w:styleId="326">
    <w:name w:val="列出段落 字符"/>
    <w:qFormat/>
    <w:uiPriority w:val="0"/>
    <w:rPr>
      <w:kern w:val="2"/>
      <w:sz w:val="21"/>
    </w:rPr>
  </w:style>
  <w:style w:type="character" w:customStyle="1" w:styleId="327">
    <w:name w:val="批注文字 字符"/>
    <w:qFormat/>
    <w:uiPriority w:val="0"/>
    <w:rPr>
      <w:kern w:val="2"/>
      <w:sz w:val="28"/>
    </w:rPr>
  </w:style>
  <w:style w:type="character" w:customStyle="1" w:styleId="328">
    <w:name w:val="日期 Char2"/>
    <w:qFormat/>
    <w:uiPriority w:val="0"/>
    <w:rPr>
      <w:rFonts w:eastAsia="仿宋_GB2312"/>
      <w:b/>
      <w:sz w:val="28"/>
    </w:rPr>
  </w:style>
  <w:style w:type="character" w:customStyle="1" w:styleId="329">
    <w:name w:val="z-窗体顶端 Char1"/>
    <w:qFormat/>
    <w:uiPriority w:val="0"/>
    <w:rPr>
      <w:rFonts w:ascii="Arial" w:hAnsi="Arial"/>
      <w:vanish/>
      <w:sz w:val="16"/>
    </w:rPr>
  </w:style>
  <w:style w:type="paragraph" w:customStyle="1" w:styleId="330">
    <w:name w:val="z-窗体顶端2"/>
    <w:basedOn w:val="1"/>
    <w:next w:val="1"/>
    <w:link w:val="464"/>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31">
    <w:name w:val="标题 1 1 Char1"/>
    <w:qFormat/>
    <w:uiPriority w:val="0"/>
    <w:rPr>
      <w:rFonts w:ascii="Times New Roman" w:hAnsi="Times New Roman" w:eastAsia="宋体"/>
      <w:b/>
      <w:kern w:val="44"/>
      <w:sz w:val="44"/>
    </w:rPr>
  </w:style>
  <w:style w:type="character" w:customStyle="1" w:styleId="332">
    <w:name w:val="标题 8 Char1"/>
    <w:qFormat/>
    <w:uiPriority w:val="0"/>
    <w:rPr>
      <w:rFonts w:ascii="Arial" w:hAnsi="Arial" w:eastAsia="黑体"/>
      <w:sz w:val="24"/>
      <w:lang w:val="en-US" w:eastAsia="zh-CN"/>
    </w:rPr>
  </w:style>
  <w:style w:type="character" w:customStyle="1" w:styleId="333">
    <w:name w:val="font61"/>
    <w:qFormat/>
    <w:uiPriority w:val="0"/>
    <w:rPr>
      <w:rFonts w:hint="eastAsia" w:ascii="宋体" w:hAnsi="宋体" w:eastAsia="宋体" w:cs="宋体"/>
      <w:color w:val="000000"/>
      <w:sz w:val="20"/>
      <w:szCs w:val="20"/>
      <w:u w:val="none"/>
    </w:rPr>
  </w:style>
  <w:style w:type="character" w:customStyle="1" w:styleId="334">
    <w:name w:val="尾注文本 Char1"/>
    <w:basedOn w:val="91"/>
    <w:link w:val="53"/>
    <w:qFormat/>
    <w:uiPriority w:val="0"/>
  </w:style>
  <w:style w:type="character" w:customStyle="1" w:styleId="335">
    <w:name w:val="电子邮件签名 Char1"/>
    <w:basedOn w:val="91"/>
    <w:link w:val="23"/>
    <w:qFormat/>
    <w:uiPriority w:val="0"/>
  </w:style>
  <w:style w:type="character" w:customStyle="1" w:styleId="336">
    <w:name w:val="正文文本 2 Char2"/>
    <w:basedOn w:val="91"/>
    <w:link w:val="77"/>
    <w:qFormat/>
    <w:uiPriority w:val="0"/>
  </w:style>
  <w:style w:type="character" w:customStyle="1" w:styleId="337">
    <w:name w:val="正文文本 Char3"/>
    <w:basedOn w:val="91"/>
    <w:semiHidden/>
    <w:qFormat/>
    <w:uiPriority w:val="99"/>
    <w:rPr>
      <w:rFonts w:ascii="Calibri" w:hAnsi="Calibri" w:eastAsia="宋体" w:cs="Times New Roman"/>
      <w:sz w:val="28"/>
      <w:szCs w:val="20"/>
    </w:rPr>
  </w:style>
  <w:style w:type="character" w:customStyle="1" w:styleId="338">
    <w:name w:val="日期 Char3"/>
    <w:basedOn w:val="91"/>
    <w:link w:val="4"/>
    <w:qFormat/>
    <w:uiPriority w:val="0"/>
    <w:rPr>
      <w:rFonts w:eastAsia="仿宋_GB2312"/>
      <w:b/>
      <w:sz w:val="28"/>
    </w:rPr>
  </w:style>
  <w:style w:type="character" w:customStyle="1" w:styleId="339">
    <w:name w:val="纯文本 Char4"/>
    <w:basedOn w:val="91"/>
    <w:link w:val="3"/>
    <w:qFormat/>
    <w:uiPriority w:val="0"/>
    <w:rPr>
      <w:rFonts w:ascii="宋体" w:hAnsi="Courier New" w:eastAsia="宋体"/>
    </w:rPr>
  </w:style>
  <w:style w:type="character" w:customStyle="1" w:styleId="340">
    <w:name w:val="结束语 Char1"/>
    <w:basedOn w:val="91"/>
    <w:link w:val="37"/>
    <w:qFormat/>
    <w:uiPriority w:val="0"/>
  </w:style>
  <w:style w:type="character" w:customStyle="1" w:styleId="341">
    <w:name w:val="注释标题 Char1"/>
    <w:basedOn w:val="91"/>
    <w:link w:val="20"/>
    <w:qFormat/>
    <w:uiPriority w:val="0"/>
  </w:style>
  <w:style w:type="character" w:customStyle="1" w:styleId="342">
    <w:name w:val="正文文本缩进 2 Char2"/>
    <w:basedOn w:val="91"/>
    <w:link w:val="52"/>
    <w:qFormat/>
    <w:uiPriority w:val="0"/>
    <w:rPr>
      <w:rFonts w:ascii="黑体" w:eastAsia="黑体"/>
      <w:sz w:val="28"/>
    </w:rPr>
  </w:style>
  <w:style w:type="character" w:customStyle="1" w:styleId="343">
    <w:name w:val="文档结构图 Char2"/>
    <w:basedOn w:val="91"/>
    <w:link w:val="31"/>
    <w:qFormat/>
    <w:uiPriority w:val="0"/>
    <w:rPr>
      <w:sz w:val="28"/>
      <w:shd w:val="clear" w:color="auto" w:fill="000080"/>
    </w:rPr>
  </w:style>
  <w:style w:type="character" w:customStyle="1" w:styleId="344">
    <w:name w:val="正文文本缩进 Char3"/>
    <w:basedOn w:val="91"/>
    <w:semiHidden/>
    <w:qFormat/>
    <w:uiPriority w:val="99"/>
    <w:rPr>
      <w:rFonts w:ascii="Calibri" w:hAnsi="Calibri" w:eastAsia="宋体" w:cs="Times New Roman"/>
      <w:sz w:val="28"/>
      <w:szCs w:val="20"/>
    </w:rPr>
  </w:style>
  <w:style w:type="character" w:customStyle="1" w:styleId="345">
    <w:name w:val="宏文本 Char1"/>
    <w:basedOn w:val="91"/>
    <w:link w:val="6"/>
    <w:qFormat/>
    <w:uiPriority w:val="0"/>
    <w:rPr>
      <w:rFonts w:ascii="Courier New" w:hAnsi="Courier New"/>
      <w:sz w:val="24"/>
    </w:rPr>
  </w:style>
  <w:style w:type="character" w:customStyle="1" w:styleId="346">
    <w:name w:val="HTML 地址 Char1"/>
    <w:basedOn w:val="91"/>
    <w:link w:val="44"/>
    <w:qFormat/>
    <w:uiPriority w:val="0"/>
    <w:rPr>
      <w:i/>
    </w:rPr>
  </w:style>
  <w:style w:type="character" w:customStyle="1" w:styleId="347">
    <w:name w:val="正文首行缩进 Char2"/>
    <w:basedOn w:val="337"/>
    <w:link w:val="87"/>
    <w:qFormat/>
    <w:uiPriority w:val="0"/>
    <w:rPr>
      <w:rFonts w:ascii="等线" w:hAnsi="等线" w:eastAsia="等线" w:cs="Times New Roman"/>
      <w:sz w:val="28"/>
      <w:szCs w:val="20"/>
    </w:rPr>
  </w:style>
  <w:style w:type="character" w:customStyle="1" w:styleId="348">
    <w:name w:val="正文首行缩进 2 Char1"/>
    <w:basedOn w:val="344"/>
    <w:link w:val="88"/>
    <w:qFormat/>
    <w:uiPriority w:val="0"/>
    <w:rPr>
      <w:rFonts w:ascii="等线" w:hAnsi="等线" w:eastAsia="等线" w:cs="Times New Roman"/>
      <w:sz w:val="28"/>
      <w:szCs w:val="20"/>
    </w:rPr>
  </w:style>
  <w:style w:type="character" w:customStyle="1" w:styleId="349">
    <w:name w:val="标题 Char4"/>
    <w:basedOn w:val="91"/>
    <w:link w:val="85"/>
    <w:qFormat/>
    <w:uiPriority w:val="0"/>
    <w:rPr>
      <w:b/>
      <w:sz w:val="24"/>
      <w:lang w:val="en-GB"/>
    </w:rPr>
  </w:style>
  <w:style w:type="character" w:customStyle="1" w:styleId="350">
    <w:name w:val="批注框文本 Char2"/>
    <w:basedOn w:val="91"/>
    <w:link w:val="55"/>
    <w:qFormat/>
    <w:uiPriority w:val="99"/>
    <w:rPr>
      <w:sz w:val="18"/>
    </w:rPr>
  </w:style>
  <w:style w:type="character" w:customStyle="1" w:styleId="351">
    <w:name w:val="称呼 Char1"/>
    <w:basedOn w:val="91"/>
    <w:link w:val="35"/>
    <w:qFormat/>
    <w:uiPriority w:val="0"/>
    <w:rPr>
      <w:rFonts w:ascii="宋体"/>
      <w:sz w:val="28"/>
    </w:rPr>
  </w:style>
  <w:style w:type="character" w:customStyle="1" w:styleId="352">
    <w:name w:val="批注文字 Char2"/>
    <w:basedOn w:val="91"/>
    <w:semiHidden/>
    <w:qFormat/>
    <w:uiPriority w:val="99"/>
    <w:rPr>
      <w:rFonts w:ascii="Calibri" w:hAnsi="Calibri" w:eastAsia="宋体" w:cs="Times New Roman"/>
      <w:sz w:val="28"/>
      <w:szCs w:val="20"/>
    </w:rPr>
  </w:style>
  <w:style w:type="character" w:customStyle="1" w:styleId="353">
    <w:name w:val="正文文本缩进 3 Char2"/>
    <w:basedOn w:val="91"/>
    <w:link w:val="71"/>
    <w:qFormat/>
    <w:uiPriority w:val="0"/>
    <w:rPr>
      <w:sz w:val="28"/>
    </w:rPr>
  </w:style>
  <w:style w:type="character" w:customStyle="1" w:styleId="354">
    <w:name w:val="签名 Char1"/>
    <w:basedOn w:val="91"/>
    <w:link w:val="59"/>
    <w:qFormat/>
    <w:uiPriority w:val="0"/>
  </w:style>
  <w:style w:type="character" w:customStyle="1" w:styleId="355">
    <w:name w:val="正文文本 3 Char2"/>
    <w:basedOn w:val="91"/>
    <w:link w:val="36"/>
    <w:qFormat/>
    <w:uiPriority w:val="0"/>
    <w:rPr>
      <w:sz w:val="16"/>
    </w:rPr>
  </w:style>
  <w:style w:type="character" w:customStyle="1" w:styleId="356">
    <w:name w:val="副标题 Char2"/>
    <w:basedOn w:val="91"/>
    <w:link w:val="65"/>
    <w:qFormat/>
    <w:uiPriority w:val="0"/>
    <w:rPr>
      <w:rFonts w:ascii="Cambria" w:hAnsi="Cambria"/>
      <w:b/>
      <w:kern w:val="28"/>
      <w:sz w:val="32"/>
    </w:rPr>
  </w:style>
  <w:style w:type="character" w:customStyle="1" w:styleId="357">
    <w:name w:val="脚注文本 Char2"/>
    <w:basedOn w:val="91"/>
    <w:link w:val="68"/>
    <w:qFormat/>
    <w:uiPriority w:val="0"/>
    <w:rPr>
      <w:sz w:val="18"/>
    </w:rPr>
  </w:style>
  <w:style w:type="character" w:customStyle="1" w:styleId="358">
    <w:name w:val="信息标题 Char1"/>
    <w:basedOn w:val="91"/>
    <w:link w:val="80"/>
    <w:qFormat/>
    <w:uiPriority w:val="0"/>
    <w:rPr>
      <w:rFonts w:ascii="Arial" w:hAnsi="Arial"/>
      <w:sz w:val="24"/>
      <w:shd w:val="pct20" w:color="auto" w:fill="auto"/>
    </w:rPr>
  </w:style>
  <w:style w:type="character" w:customStyle="1" w:styleId="359">
    <w:name w:val="HTML 预设格式 Char3"/>
    <w:basedOn w:val="91"/>
    <w:link w:val="81"/>
    <w:qFormat/>
    <w:uiPriority w:val="0"/>
    <w:rPr>
      <w:rFonts w:ascii="黑体" w:hAnsi="Courier New" w:eastAsia="黑体"/>
    </w:rPr>
  </w:style>
  <w:style w:type="character" w:customStyle="1" w:styleId="360">
    <w:name w:val="批注主题 Char2"/>
    <w:basedOn w:val="352"/>
    <w:link w:val="86"/>
    <w:qFormat/>
    <w:uiPriority w:val="0"/>
    <w:rPr>
      <w:rFonts w:ascii="Calibri" w:hAnsi="Calibri" w:eastAsia="宋体" w:cs="Times New Roman"/>
      <w:b/>
      <w:sz w:val="28"/>
      <w:szCs w:val="20"/>
    </w:rPr>
  </w:style>
  <w:style w:type="paragraph" w:customStyle="1" w:styleId="361">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62">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63">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64">
    <w:name w:val="三级条标题"/>
    <w:basedOn w:val="365"/>
    <w:next w:val="366"/>
    <w:qFormat/>
    <w:uiPriority w:val="0"/>
    <w:pPr>
      <w:tabs>
        <w:tab w:val="left" w:pos="360"/>
        <w:tab w:val="left" w:pos="720"/>
        <w:tab w:val="left" w:pos="3600"/>
      </w:tabs>
      <w:ind w:left="2100" w:hanging="420"/>
      <w:jc w:val="left"/>
      <w:outlineLvl w:val="4"/>
    </w:pPr>
    <w:rPr>
      <w:rFonts w:ascii="Times New Roman"/>
      <w:sz w:val="20"/>
    </w:rPr>
  </w:style>
  <w:style w:type="paragraph" w:customStyle="1" w:styleId="365">
    <w:name w:val="二级条标题"/>
    <w:basedOn w:val="1"/>
    <w:next w:val="366"/>
    <w:qFormat/>
    <w:uiPriority w:val="0"/>
    <w:pPr>
      <w:widowControl/>
      <w:tabs>
        <w:tab w:val="left" w:pos="360"/>
      </w:tabs>
      <w:outlineLvl w:val="3"/>
    </w:pPr>
    <w:rPr>
      <w:rFonts w:ascii="黑体" w:eastAsia="黑体"/>
      <w:kern w:val="0"/>
      <w:sz w:val="21"/>
    </w:rPr>
  </w:style>
  <w:style w:type="paragraph" w:customStyle="1" w:styleId="366">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7">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8">
    <w:name w:val="样式 居中"/>
    <w:basedOn w:val="1"/>
    <w:qFormat/>
    <w:uiPriority w:val="0"/>
    <w:pPr>
      <w:spacing w:line="360" w:lineRule="auto"/>
      <w:jc w:val="center"/>
    </w:pPr>
    <w:rPr>
      <w:sz w:val="21"/>
    </w:rPr>
  </w:style>
  <w:style w:type="paragraph" w:customStyle="1" w:styleId="369">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0">
    <w:name w:val="正文文本缩进1"/>
    <w:basedOn w:val="1"/>
    <w:qFormat/>
    <w:uiPriority w:val="0"/>
    <w:pPr>
      <w:spacing w:after="120"/>
      <w:ind w:left="420" w:leftChars="200"/>
    </w:pPr>
    <w:rPr>
      <w:sz w:val="21"/>
    </w:rPr>
  </w:style>
  <w:style w:type="paragraph" w:customStyle="1" w:styleId="371">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72">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73">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74">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75">
    <w:name w:val="样式 正文（首行缩进两字） + 首行缩进:  2 字符"/>
    <w:basedOn w:val="25"/>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8">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9">
    <w:name w:val="文档结构图1"/>
    <w:basedOn w:val="1"/>
    <w:qFormat/>
    <w:uiPriority w:val="0"/>
    <w:pPr>
      <w:shd w:val="clear" w:color="auto" w:fill="000080"/>
    </w:pPr>
    <w:rPr>
      <w:kern w:val="0"/>
      <w:sz w:val="20"/>
      <w:shd w:val="clear" w:color="auto" w:fill="000080"/>
    </w:rPr>
  </w:style>
  <w:style w:type="paragraph" w:customStyle="1" w:styleId="380">
    <w:name w:val="简单回函地址"/>
    <w:basedOn w:val="1"/>
    <w:qFormat/>
    <w:uiPriority w:val="0"/>
    <w:pPr>
      <w:adjustRightInd w:val="0"/>
      <w:spacing w:line="312" w:lineRule="atLeast"/>
      <w:textAlignment w:val="baseline"/>
    </w:pPr>
    <w:rPr>
      <w:kern w:val="0"/>
      <w:sz w:val="21"/>
    </w:rPr>
  </w:style>
  <w:style w:type="paragraph" w:customStyle="1" w:styleId="381">
    <w:name w:val="Char Char Char Char Char Char3 Char Char Char Char Char Char Char"/>
    <w:basedOn w:val="1"/>
    <w:next w:val="1"/>
    <w:qFormat/>
    <w:uiPriority w:val="0"/>
    <w:rPr>
      <w:rFonts w:eastAsia="黑体"/>
    </w:rPr>
  </w:style>
  <w:style w:type="paragraph" w:customStyle="1" w:styleId="382">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83">
    <w:name w:val="0"/>
    <w:basedOn w:val="1"/>
    <w:qFormat/>
    <w:uiPriority w:val="0"/>
    <w:pPr>
      <w:widowControl/>
    </w:pPr>
    <w:rPr>
      <w:kern w:val="0"/>
      <w:sz w:val="21"/>
    </w:rPr>
  </w:style>
  <w:style w:type="paragraph" w:customStyle="1" w:styleId="384">
    <w:name w:val="正文21"/>
    <w:basedOn w:val="1"/>
    <w:qFormat/>
    <w:uiPriority w:val="0"/>
    <w:pPr>
      <w:adjustRightInd w:val="0"/>
      <w:spacing w:line="420" w:lineRule="atLeast"/>
      <w:textAlignment w:val="baseline"/>
    </w:pPr>
    <w:rPr>
      <w:kern w:val="0"/>
      <w:sz w:val="21"/>
    </w:rPr>
  </w:style>
  <w:style w:type="paragraph" w:customStyle="1" w:styleId="385">
    <w:name w:val="标准书脚_偶数页"/>
    <w:qFormat/>
    <w:uiPriority w:val="0"/>
    <w:pPr>
      <w:spacing w:before="120"/>
    </w:pPr>
    <w:rPr>
      <w:rFonts w:ascii="Calibri" w:hAnsi="Calibri" w:eastAsia="宋体" w:cs="Times New Roman"/>
      <w:sz w:val="18"/>
      <w:lang w:val="en-US" w:eastAsia="zh-CN" w:bidi="ar-SA"/>
    </w:rPr>
  </w:style>
  <w:style w:type="paragraph" w:customStyle="1" w:styleId="386">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87">
    <w:name w:val="网格表 31"/>
    <w:basedOn w:val="7"/>
    <w:next w:val="1"/>
    <w:qFormat/>
    <w:uiPriority w:val="0"/>
    <w:pPr>
      <w:keepLines/>
      <w:spacing w:before="480" w:line="276" w:lineRule="auto"/>
      <w:jc w:val="left"/>
      <w:outlineLvl w:val="9"/>
    </w:pPr>
    <w:rPr>
      <w:rFonts w:ascii="Cambria" w:hAnsi="Cambria"/>
      <w:color w:val="365F91"/>
      <w:sz w:val="28"/>
    </w:rPr>
  </w:style>
  <w:style w:type="character" w:customStyle="1" w:styleId="388">
    <w:name w:val="z-窗体底端 Char1"/>
    <w:basedOn w:val="91"/>
    <w:link w:val="223"/>
    <w:qFormat/>
    <w:uiPriority w:val="0"/>
    <w:rPr>
      <w:rFonts w:ascii="Arial" w:hAnsi="Arial"/>
      <w:vanish/>
      <w:sz w:val="16"/>
    </w:rPr>
  </w:style>
  <w:style w:type="paragraph" w:customStyle="1" w:styleId="389">
    <w:name w:val="正文表标题"/>
    <w:next w:val="366"/>
    <w:qFormat/>
    <w:uiPriority w:val="0"/>
    <w:pPr>
      <w:jc w:val="center"/>
    </w:pPr>
    <w:rPr>
      <w:rFonts w:ascii="黑体" w:hAnsi="Calibri" w:eastAsia="黑体" w:cs="Times New Roman"/>
      <w:sz w:val="21"/>
      <w:lang w:val="en-US" w:eastAsia="zh-CN" w:bidi="ar-SA"/>
    </w:rPr>
  </w:style>
  <w:style w:type="paragraph" w:customStyle="1" w:styleId="390">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91">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92">
    <w:name w:val="网格表 32"/>
    <w:basedOn w:val="7"/>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93">
    <w:name w:val="四级条标题"/>
    <w:basedOn w:val="364"/>
    <w:next w:val="366"/>
    <w:qFormat/>
    <w:uiPriority w:val="0"/>
    <w:pPr>
      <w:ind w:left="0" w:firstLine="0"/>
      <w:outlineLvl w:val="5"/>
    </w:pPr>
  </w:style>
  <w:style w:type="paragraph" w:customStyle="1" w:styleId="394">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95">
    <w:name w:val="font8"/>
    <w:basedOn w:val="1"/>
    <w:qFormat/>
    <w:uiPriority w:val="0"/>
    <w:pPr>
      <w:widowControl/>
      <w:spacing w:before="100" w:beforeAutospacing="1" w:after="100" w:afterAutospacing="1"/>
    </w:pPr>
    <w:rPr>
      <w:rFonts w:eastAsia="Arial Unicode MS"/>
      <w:kern w:val="0"/>
      <w:sz w:val="24"/>
    </w:rPr>
  </w:style>
  <w:style w:type="paragraph" w:customStyle="1" w:styleId="396">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97">
    <w:name w:val="彩色列表 - 着色 11"/>
    <w:basedOn w:val="1"/>
    <w:qFormat/>
    <w:uiPriority w:val="0"/>
    <w:pPr>
      <w:widowControl/>
      <w:ind w:firstLine="420" w:firstLineChars="200"/>
      <w:jc w:val="left"/>
    </w:pPr>
    <w:rPr>
      <w:rFonts w:ascii="宋体" w:hAnsi="宋体"/>
      <w:kern w:val="0"/>
      <w:sz w:val="24"/>
    </w:rPr>
  </w:style>
  <w:style w:type="paragraph" w:customStyle="1" w:styleId="398">
    <w:name w:val="Char Char20"/>
    <w:basedOn w:val="1"/>
    <w:qFormat/>
    <w:uiPriority w:val="0"/>
    <w:pPr>
      <w:snapToGrid w:val="0"/>
      <w:spacing w:afterLines="30" w:line="360" w:lineRule="auto"/>
      <w:ind w:firstLine="200" w:firstLineChars="200"/>
    </w:pPr>
    <w:rPr>
      <w:sz w:val="21"/>
    </w:rPr>
  </w:style>
  <w:style w:type="paragraph" w:customStyle="1" w:styleId="399">
    <w:name w:val="附录一级条标题"/>
    <w:basedOn w:val="400"/>
    <w:next w:val="366"/>
    <w:qFormat/>
    <w:uiPriority w:val="0"/>
    <w:pPr>
      <w:tabs>
        <w:tab w:val="left" w:pos="720"/>
        <w:tab w:val="left" w:pos="840"/>
        <w:tab w:val="left" w:pos="1440"/>
      </w:tabs>
      <w:autoSpaceDN w:val="0"/>
      <w:ind w:left="0" w:firstLine="0"/>
      <w:outlineLvl w:val="2"/>
    </w:pPr>
  </w:style>
  <w:style w:type="paragraph" w:customStyle="1" w:styleId="400">
    <w:name w:val="附录章标题"/>
    <w:next w:val="366"/>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401">
    <w:name w:val="表格3"/>
    <w:basedOn w:val="1"/>
    <w:qFormat/>
    <w:uiPriority w:val="0"/>
    <w:pPr>
      <w:adjustRightInd w:val="0"/>
      <w:spacing w:line="420" w:lineRule="atLeast"/>
      <w:textAlignment w:val="baseline"/>
    </w:pPr>
    <w:rPr>
      <w:rFonts w:eastAsia="楷体"/>
      <w:kern w:val="0"/>
      <w:sz w:val="21"/>
    </w:rPr>
  </w:style>
  <w:style w:type="paragraph" w:customStyle="1" w:styleId="402">
    <w:name w:val="样式 一号 加粗 居中"/>
    <w:basedOn w:val="1"/>
    <w:qFormat/>
    <w:uiPriority w:val="0"/>
    <w:pPr>
      <w:jc w:val="center"/>
    </w:pPr>
    <w:rPr>
      <w:sz w:val="52"/>
    </w:rPr>
  </w:style>
  <w:style w:type="paragraph" w:customStyle="1" w:styleId="403">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404">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405">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06">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07">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8">
    <w:name w:val="正文缩进2"/>
    <w:basedOn w:val="1"/>
    <w:qFormat/>
    <w:uiPriority w:val="0"/>
    <w:pPr>
      <w:ind w:firstLine="420"/>
    </w:pPr>
    <w:rPr>
      <w:sz w:val="21"/>
    </w:rPr>
  </w:style>
  <w:style w:type="paragraph" w:customStyle="1" w:styleId="409">
    <w:name w:val="表头"/>
    <w:basedOn w:val="410"/>
    <w:qFormat/>
    <w:uiPriority w:val="0"/>
    <w:pPr>
      <w:spacing w:before="120" w:after="60"/>
    </w:pPr>
    <w:rPr>
      <w:rFonts w:ascii="黑体" w:eastAsia="黑体"/>
      <w:b/>
    </w:rPr>
  </w:style>
  <w:style w:type="paragraph" w:customStyle="1" w:styleId="410">
    <w:name w:val="表格方字"/>
    <w:basedOn w:val="1"/>
    <w:qFormat/>
    <w:uiPriority w:val="0"/>
    <w:pPr>
      <w:adjustRightInd w:val="0"/>
      <w:spacing w:line="420" w:lineRule="atLeast"/>
      <w:textAlignment w:val="baseline"/>
    </w:pPr>
    <w:rPr>
      <w:kern w:val="0"/>
      <w:sz w:val="21"/>
    </w:rPr>
  </w:style>
  <w:style w:type="paragraph" w:customStyle="1" w:styleId="411">
    <w:name w:val="正文段"/>
    <w:basedOn w:val="1"/>
    <w:qFormat/>
    <w:uiPriority w:val="0"/>
    <w:pPr>
      <w:widowControl/>
      <w:snapToGrid w:val="0"/>
      <w:spacing w:afterLines="50"/>
      <w:ind w:firstLine="200" w:firstLineChars="200"/>
    </w:pPr>
    <w:rPr>
      <w:kern w:val="0"/>
      <w:sz w:val="24"/>
    </w:rPr>
  </w:style>
  <w:style w:type="paragraph" w:customStyle="1" w:styleId="412">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13">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14">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15">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16">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17">
    <w:name w:val="1"/>
    <w:basedOn w:val="1"/>
    <w:qFormat/>
    <w:uiPriority w:val="0"/>
    <w:pPr>
      <w:adjustRightInd w:val="0"/>
      <w:spacing w:before="360" w:after="240" w:line="420" w:lineRule="atLeast"/>
      <w:ind w:firstLine="454"/>
      <w:textAlignment w:val="baseline"/>
    </w:pPr>
    <w:rPr>
      <w:b/>
      <w:kern w:val="0"/>
      <w:sz w:val="21"/>
    </w:rPr>
  </w:style>
  <w:style w:type="paragraph" w:customStyle="1" w:styleId="418">
    <w:name w:val="附录四级条标题"/>
    <w:basedOn w:val="419"/>
    <w:next w:val="366"/>
    <w:qFormat/>
    <w:uiPriority w:val="0"/>
    <w:pPr>
      <w:tabs>
        <w:tab w:val="left" w:pos="720"/>
        <w:tab w:val="left" w:pos="840"/>
        <w:tab w:val="left" w:pos="1440"/>
      </w:tabs>
      <w:outlineLvl w:val="5"/>
    </w:pPr>
  </w:style>
  <w:style w:type="paragraph" w:customStyle="1" w:styleId="419">
    <w:name w:val="附录三级条标题"/>
    <w:basedOn w:val="420"/>
    <w:next w:val="366"/>
    <w:qFormat/>
    <w:uiPriority w:val="0"/>
    <w:pPr>
      <w:tabs>
        <w:tab w:val="left" w:pos="720"/>
        <w:tab w:val="left" w:pos="840"/>
        <w:tab w:val="left" w:pos="1440"/>
      </w:tabs>
      <w:outlineLvl w:val="4"/>
    </w:pPr>
  </w:style>
  <w:style w:type="paragraph" w:customStyle="1" w:styleId="420">
    <w:name w:val="附录二级条标题"/>
    <w:basedOn w:val="399"/>
    <w:next w:val="366"/>
    <w:qFormat/>
    <w:uiPriority w:val="0"/>
    <w:pPr>
      <w:outlineLvl w:val="3"/>
    </w:pPr>
  </w:style>
  <w:style w:type="paragraph" w:customStyle="1" w:styleId="421">
    <w:name w:val="引文目录标题1"/>
    <w:basedOn w:val="1"/>
    <w:next w:val="1"/>
    <w:qFormat/>
    <w:uiPriority w:val="0"/>
    <w:pPr>
      <w:spacing w:before="120"/>
    </w:pPr>
    <w:rPr>
      <w:rFonts w:ascii="Arial" w:hAnsi="Arial"/>
      <w:sz w:val="24"/>
    </w:rPr>
  </w:style>
  <w:style w:type="paragraph" w:customStyle="1" w:styleId="422">
    <w:name w:val="Char Char Char Char Char Char Char Char Char"/>
    <w:basedOn w:val="1"/>
    <w:qFormat/>
    <w:uiPriority w:val="0"/>
    <w:pPr>
      <w:widowControl/>
      <w:spacing w:after="160" w:line="240" w:lineRule="exact"/>
      <w:jc w:val="left"/>
    </w:pPr>
    <w:rPr>
      <w:sz w:val="21"/>
    </w:rPr>
  </w:style>
  <w:style w:type="paragraph" w:customStyle="1" w:styleId="423">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24">
    <w:name w:val="Char Char Char1 Char"/>
    <w:basedOn w:val="1"/>
    <w:next w:val="1"/>
    <w:qFormat/>
    <w:uiPriority w:val="0"/>
    <w:rPr>
      <w:sz w:val="21"/>
    </w:rPr>
  </w:style>
  <w:style w:type="paragraph" w:customStyle="1" w:styleId="425">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2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27">
    <w:name w:val="实施日期"/>
    <w:basedOn w:val="428"/>
    <w:qFormat/>
    <w:uiPriority w:val="0"/>
    <w:pPr>
      <w:jc w:val="right"/>
    </w:pPr>
  </w:style>
  <w:style w:type="paragraph" w:customStyle="1" w:styleId="428">
    <w:name w:val="发布日期"/>
    <w:qFormat/>
    <w:uiPriority w:val="0"/>
    <w:rPr>
      <w:rFonts w:ascii="Calibri" w:hAnsi="Calibri" w:eastAsia="黑体" w:cs="Times New Roman"/>
      <w:sz w:val="28"/>
      <w:lang w:val="en-US" w:eastAsia="zh-CN" w:bidi="ar-SA"/>
    </w:rPr>
  </w:style>
  <w:style w:type="paragraph" w:customStyle="1" w:styleId="429">
    <w:name w:val="一般格式"/>
    <w:basedOn w:val="1"/>
    <w:qFormat/>
    <w:uiPriority w:val="0"/>
    <w:pPr>
      <w:spacing w:line="360" w:lineRule="auto"/>
      <w:ind w:firstLine="200" w:firstLineChars="200"/>
    </w:pPr>
    <w:rPr>
      <w:sz w:val="24"/>
    </w:rPr>
  </w:style>
  <w:style w:type="paragraph" w:customStyle="1" w:styleId="430">
    <w:name w:val="附录图标题"/>
    <w:next w:val="366"/>
    <w:qFormat/>
    <w:uiPriority w:val="0"/>
    <w:pPr>
      <w:tabs>
        <w:tab w:val="left" w:pos="360"/>
      </w:tabs>
      <w:jc w:val="center"/>
    </w:pPr>
    <w:rPr>
      <w:rFonts w:ascii="黑体" w:hAnsi="Calibri" w:eastAsia="黑体" w:cs="Times New Roman"/>
      <w:sz w:val="21"/>
      <w:lang w:val="en-US" w:eastAsia="zh-CN" w:bidi="ar-SA"/>
    </w:rPr>
  </w:style>
  <w:style w:type="paragraph" w:customStyle="1" w:styleId="431">
    <w:name w:val="1.4"/>
    <w:basedOn w:val="1"/>
    <w:qFormat/>
    <w:uiPriority w:val="0"/>
    <w:pPr>
      <w:widowControl/>
      <w:spacing w:line="288" w:lineRule="auto"/>
      <w:ind w:left="3" w:firstLine="503"/>
    </w:pPr>
    <w:rPr>
      <w:rFonts w:ascii="宋体" w:hAnsi="宋体"/>
      <w:kern w:val="0"/>
      <w:sz w:val="24"/>
    </w:rPr>
  </w:style>
  <w:style w:type="paragraph" w:customStyle="1" w:styleId="432">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33">
    <w:name w:val="p17"/>
    <w:basedOn w:val="1"/>
    <w:qFormat/>
    <w:uiPriority w:val="0"/>
    <w:pPr>
      <w:widowControl/>
      <w:spacing w:before="100" w:after="100" w:line="432" w:lineRule="auto"/>
      <w:jc w:val="left"/>
    </w:pPr>
    <w:rPr>
      <w:rFonts w:ascii="宋体" w:hAnsi="宋体"/>
      <w:kern w:val="0"/>
      <w:sz w:val="27"/>
    </w:rPr>
  </w:style>
  <w:style w:type="paragraph" w:customStyle="1" w:styleId="434">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35">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36">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7">
    <w:name w:val="正文缩进3"/>
    <w:basedOn w:val="1"/>
    <w:qFormat/>
    <w:uiPriority w:val="0"/>
    <w:pPr>
      <w:ind w:firstLine="420"/>
    </w:pPr>
    <w:rPr>
      <w:sz w:val="21"/>
    </w:rPr>
  </w:style>
  <w:style w:type="paragraph" w:customStyle="1" w:styleId="438">
    <w:name w:val="五级条标题"/>
    <w:basedOn w:val="393"/>
    <w:next w:val="366"/>
    <w:qFormat/>
    <w:uiPriority w:val="0"/>
    <w:pPr>
      <w:outlineLvl w:val="6"/>
    </w:pPr>
  </w:style>
  <w:style w:type="paragraph" w:customStyle="1" w:styleId="439">
    <w:name w:val="正文文本 31"/>
    <w:basedOn w:val="1"/>
    <w:qFormat/>
    <w:uiPriority w:val="0"/>
    <w:rPr>
      <w:rFonts w:eastAsia="隶书"/>
      <w:kern w:val="0"/>
      <w:sz w:val="24"/>
    </w:rPr>
  </w:style>
  <w:style w:type="paragraph" w:customStyle="1" w:styleId="440">
    <w:name w:val="杭州页脚"/>
    <w:basedOn w:val="1"/>
    <w:qFormat/>
    <w:uiPriority w:val="0"/>
    <w:pPr>
      <w:tabs>
        <w:tab w:val="left" w:pos="340"/>
      </w:tabs>
      <w:adjustRightInd w:val="0"/>
      <w:snapToGrid w:val="0"/>
      <w:ind w:left="340" w:hanging="340"/>
    </w:pPr>
    <w:rPr>
      <w:rFonts w:eastAsia="HYKai U3HK"/>
      <w:sz w:val="20"/>
    </w:rPr>
  </w:style>
  <w:style w:type="paragraph" w:customStyle="1" w:styleId="441">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42">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43">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44">
    <w:name w:val="Char Char Char"/>
    <w:basedOn w:val="1"/>
    <w:qFormat/>
    <w:uiPriority w:val="0"/>
    <w:pPr>
      <w:spacing w:line="360" w:lineRule="auto"/>
      <w:ind w:firstLine="200" w:firstLineChars="200"/>
    </w:pPr>
    <w:rPr>
      <w:rFonts w:ascii="宋体" w:hAnsi="宋体"/>
      <w:sz w:val="24"/>
    </w:rPr>
  </w:style>
  <w:style w:type="paragraph" w:customStyle="1" w:styleId="445">
    <w:name w:val="样式 标题 3 + (中文) 黑体 小四 非加粗 段前: 7.8 磅 段后: 0 磅 行距: 固定值 20 磅"/>
    <w:basedOn w:val="9"/>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46">
    <w:name w:val="纯文本1"/>
    <w:basedOn w:val="1"/>
    <w:qFormat/>
    <w:uiPriority w:val="0"/>
    <w:pPr>
      <w:widowControl/>
      <w:jc w:val="left"/>
    </w:pPr>
    <w:rPr>
      <w:rFonts w:ascii="宋体" w:hAnsi="Courier New"/>
      <w:kern w:val="0"/>
      <w:sz w:val="20"/>
    </w:rPr>
  </w:style>
  <w:style w:type="paragraph" w:customStyle="1" w:styleId="447">
    <w:name w:val="列出段落1"/>
    <w:basedOn w:val="1"/>
    <w:qFormat/>
    <w:uiPriority w:val="0"/>
    <w:pPr>
      <w:ind w:firstLine="420" w:firstLineChars="200"/>
    </w:pPr>
    <w:rPr>
      <w:sz w:val="21"/>
    </w:rPr>
  </w:style>
  <w:style w:type="paragraph" w:customStyle="1" w:styleId="448">
    <w:name w:val="正文文本 21"/>
    <w:basedOn w:val="1"/>
    <w:qFormat/>
    <w:uiPriority w:val="0"/>
    <w:pPr>
      <w:adjustRightInd w:val="0"/>
      <w:spacing w:line="300" w:lineRule="auto"/>
      <w:jc w:val="center"/>
    </w:pPr>
    <w:rPr>
      <w:rFonts w:hint="eastAsia" w:ascii="宋体" w:hAnsi="宋体"/>
      <w:sz w:val="24"/>
    </w:rPr>
  </w:style>
  <w:style w:type="paragraph" w:customStyle="1" w:styleId="449">
    <w:name w:val="表格文字2"/>
    <w:basedOn w:val="1"/>
    <w:qFormat/>
    <w:uiPriority w:val="0"/>
    <w:rPr>
      <w:spacing w:val="-4"/>
      <w:sz w:val="24"/>
    </w:rPr>
  </w:style>
  <w:style w:type="paragraph" w:customStyle="1" w:styleId="450">
    <w:name w:val="图表左对齐"/>
    <w:basedOn w:val="1"/>
    <w:qFormat/>
    <w:uiPriority w:val="0"/>
    <w:pPr>
      <w:spacing w:line="360" w:lineRule="exact"/>
      <w:jc w:val="left"/>
    </w:pPr>
    <w:rPr>
      <w:spacing w:val="-10"/>
      <w:sz w:val="24"/>
    </w:rPr>
  </w:style>
  <w:style w:type="paragraph" w:customStyle="1" w:styleId="451">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52">
    <w:name w:val="样式 标题 2 + Times New Roman 四号 非加粗 段前: 5 磅 段后: 0 磅 行距: 固定值 20..."/>
    <w:basedOn w:val="8"/>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53">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54">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55">
    <w:name w:val="纯文本3"/>
    <w:basedOn w:val="1"/>
    <w:qFormat/>
    <w:uiPriority w:val="0"/>
    <w:pPr>
      <w:widowControl/>
      <w:jc w:val="left"/>
    </w:pPr>
    <w:rPr>
      <w:rFonts w:ascii="宋体" w:hAnsi="Courier New"/>
      <w:kern w:val="0"/>
      <w:sz w:val="20"/>
    </w:rPr>
  </w:style>
  <w:style w:type="paragraph" w:customStyle="1" w:styleId="456">
    <w:name w:val="表格6"/>
    <w:basedOn w:val="1"/>
    <w:qFormat/>
    <w:uiPriority w:val="0"/>
    <w:pPr>
      <w:adjustRightInd w:val="0"/>
      <w:spacing w:line="420" w:lineRule="atLeast"/>
      <w:ind w:left="737"/>
      <w:textAlignment w:val="baseline"/>
    </w:pPr>
    <w:rPr>
      <w:rFonts w:ascii="宋体"/>
      <w:kern w:val="0"/>
      <w:sz w:val="21"/>
    </w:rPr>
  </w:style>
  <w:style w:type="paragraph" w:customStyle="1" w:styleId="457">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8">
    <w:name w:val="默认段落字体 Para Char Char Char Char Char Char Char Char Char Char Char Char Char"/>
    <w:basedOn w:val="1"/>
    <w:qFormat/>
    <w:uiPriority w:val="0"/>
    <w:rPr>
      <w:sz w:val="21"/>
    </w:rPr>
  </w:style>
  <w:style w:type="paragraph" w:customStyle="1" w:styleId="459">
    <w:name w:val="修订1"/>
    <w:qFormat/>
    <w:uiPriority w:val="0"/>
    <w:rPr>
      <w:rFonts w:ascii="宋体" w:hAnsi="Calibri" w:eastAsia="宋体" w:cs="Times New Roman"/>
      <w:kern w:val="2"/>
      <w:sz w:val="28"/>
      <w:lang w:val="en-US" w:eastAsia="zh-CN" w:bidi="ar-SA"/>
    </w:rPr>
  </w:style>
  <w:style w:type="paragraph" w:customStyle="1" w:styleId="460">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61">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62">
    <w:name w:val="目录3"/>
    <w:basedOn w:val="1"/>
    <w:qFormat/>
    <w:uiPriority w:val="0"/>
    <w:pPr>
      <w:adjustRightInd w:val="0"/>
      <w:spacing w:line="420" w:lineRule="atLeast"/>
      <w:ind w:left="454"/>
      <w:textAlignment w:val="baseline"/>
    </w:pPr>
    <w:rPr>
      <w:kern w:val="0"/>
      <w:sz w:val="21"/>
    </w:rPr>
  </w:style>
  <w:style w:type="paragraph" w:customStyle="1" w:styleId="463">
    <w:name w:val="默认段落字体 Para Char Char Char Char Char Char Char Char Char1 Char Char Char Char"/>
    <w:basedOn w:val="1"/>
    <w:qFormat/>
    <w:uiPriority w:val="0"/>
    <w:rPr>
      <w:rFonts w:ascii="Tahoma" w:hAnsi="Tahoma"/>
      <w:sz w:val="24"/>
    </w:rPr>
  </w:style>
  <w:style w:type="character" w:customStyle="1" w:styleId="464">
    <w:name w:val="z-窗体顶端 Char2"/>
    <w:basedOn w:val="91"/>
    <w:link w:val="330"/>
    <w:qFormat/>
    <w:uiPriority w:val="0"/>
    <w:rPr>
      <w:rFonts w:ascii="Arial" w:hAnsi="Arial"/>
      <w:vanish/>
      <w:sz w:val="16"/>
    </w:rPr>
  </w:style>
  <w:style w:type="paragraph" w:customStyle="1" w:styleId="46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66">
    <w:name w:val="样式3"/>
    <w:basedOn w:val="9"/>
    <w:qFormat/>
    <w:uiPriority w:val="0"/>
    <w:pPr>
      <w:widowControl w:val="0"/>
      <w:tabs>
        <w:tab w:val="clear" w:pos="720"/>
      </w:tabs>
      <w:ind w:left="0" w:firstLine="0"/>
      <w:jc w:val="both"/>
    </w:pPr>
    <w:rPr>
      <w:b w:val="0"/>
      <w:kern w:val="2"/>
      <w:sz w:val="24"/>
    </w:rPr>
  </w:style>
  <w:style w:type="paragraph" w:customStyle="1" w:styleId="467">
    <w:name w:val="样式 居中 行距: 固定值 60 磅"/>
    <w:basedOn w:val="1"/>
    <w:qFormat/>
    <w:uiPriority w:val="0"/>
    <w:pPr>
      <w:spacing w:line="360" w:lineRule="auto"/>
      <w:jc w:val="center"/>
    </w:pPr>
    <w:rPr>
      <w:sz w:val="21"/>
    </w:rPr>
  </w:style>
  <w:style w:type="paragraph" w:customStyle="1" w:styleId="468">
    <w:name w:val="其他发布部门"/>
    <w:basedOn w:val="469"/>
    <w:qFormat/>
    <w:uiPriority w:val="0"/>
    <w:pPr>
      <w:spacing w:line="0" w:lineRule="atLeast"/>
    </w:pPr>
    <w:rPr>
      <w:rFonts w:ascii="黑体" w:eastAsia="黑体"/>
      <w:b w:val="0"/>
    </w:rPr>
  </w:style>
  <w:style w:type="paragraph" w:customStyle="1" w:styleId="469">
    <w:name w:val="发布部门"/>
    <w:next w:val="366"/>
    <w:qFormat/>
    <w:uiPriority w:val="0"/>
    <w:pPr>
      <w:jc w:val="center"/>
    </w:pPr>
    <w:rPr>
      <w:rFonts w:ascii="宋体" w:hAnsi="Calibri" w:eastAsia="宋体" w:cs="Times New Roman"/>
      <w:b/>
      <w:spacing w:val="20"/>
      <w:w w:val="135"/>
      <w:sz w:val="36"/>
      <w:lang w:val="en-US" w:eastAsia="zh-CN" w:bidi="ar-SA"/>
    </w:rPr>
  </w:style>
  <w:style w:type="paragraph" w:customStyle="1" w:styleId="470">
    <w:name w:val="示例"/>
    <w:next w:val="366"/>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71">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72">
    <w:name w:val="样式 标题 1 + 黑体 三号 非加粗 居中 段前: 6 磅 段后: 6 磅 行距: 固定值 20 磅"/>
    <w:basedOn w:val="7"/>
    <w:qFormat/>
    <w:uiPriority w:val="0"/>
    <w:pPr>
      <w:keepLines/>
      <w:widowControl w:val="0"/>
      <w:spacing w:before="120" w:after="120" w:line="400" w:lineRule="exact"/>
      <w:jc w:val="both"/>
    </w:pPr>
    <w:rPr>
      <w:rFonts w:hAnsi="黑体" w:eastAsia="黑体"/>
      <w:b w:val="0"/>
      <w:kern w:val="44"/>
    </w:rPr>
  </w:style>
  <w:style w:type="paragraph" w:customStyle="1" w:styleId="473">
    <w:name w:val="标题2"/>
    <w:basedOn w:val="1"/>
    <w:qFormat/>
    <w:uiPriority w:val="0"/>
    <w:rPr>
      <w:rFonts w:ascii="宋体" w:hAnsi="宋体"/>
      <w:b/>
      <w:sz w:val="21"/>
    </w:rPr>
  </w:style>
  <w:style w:type="paragraph" w:customStyle="1" w:styleId="474">
    <w:name w:val="Char"/>
    <w:basedOn w:val="1"/>
    <w:qFormat/>
    <w:uiPriority w:val="0"/>
    <w:rPr>
      <w:rFonts w:ascii="仿宋_GB2312" w:eastAsia="仿宋_GB2312"/>
      <w:b/>
      <w:sz w:val="32"/>
    </w:rPr>
  </w:style>
  <w:style w:type="paragraph" w:customStyle="1" w:styleId="475">
    <w:name w:val="无间隔2"/>
    <w:qFormat/>
    <w:uiPriority w:val="0"/>
    <w:rPr>
      <w:rFonts w:ascii="Calibri" w:hAnsi="Calibri" w:eastAsia="宋体" w:cs="Times New Roman"/>
      <w:sz w:val="22"/>
      <w:lang w:val="en-US" w:eastAsia="en-US" w:bidi="ar-SA"/>
    </w:rPr>
  </w:style>
  <w:style w:type="paragraph" w:customStyle="1" w:styleId="476">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7">
    <w:name w:val="Char Char Char 字元 字元"/>
    <w:basedOn w:val="1"/>
    <w:qFormat/>
    <w:uiPriority w:val="0"/>
    <w:rPr>
      <w:rFonts w:ascii="Tahoma" w:hAnsi="Tahoma"/>
      <w:sz w:val="24"/>
    </w:rPr>
  </w:style>
  <w:style w:type="paragraph" w:customStyle="1" w:styleId="478">
    <w:name w:val="标准书眉_偶数页"/>
    <w:basedOn w:val="1"/>
    <w:next w:val="1"/>
    <w:qFormat/>
    <w:uiPriority w:val="0"/>
    <w:pPr>
      <w:widowControl/>
      <w:tabs>
        <w:tab w:val="center" w:pos="4154"/>
        <w:tab w:val="right" w:pos="8306"/>
      </w:tabs>
      <w:spacing w:after="120"/>
    </w:pPr>
    <w:rPr>
      <w:kern w:val="0"/>
      <w:sz w:val="21"/>
    </w:rPr>
  </w:style>
  <w:style w:type="paragraph" w:customStyle="1" w:styleId="47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80">
    <w:name w:val="样式 正文缩进 + 首行缩进:  2 字符"/>
    <w:basedOn w:val="481"/>
    <w:qFormat/>
    <w:uiPriority w:val="99"/>
    <w:pPr>
      <w:spacing w:line="360" w:lineRule="auto"/>
      <w:ind w:firstLine="200"/>
    </w:pPr>
    <w:rPr>
      <w:rFonts w:ascii="Calibri" w:hAnsi="Calibri"/>
      <w:sz w:val="24"/>
      <w:szCs w:val="24"/>
    </w:rPr>
  </w:style>
  <w:style w:type="paragraph" w:customStyle="1" w:styleId="481">
    <w:name w:val="正文缩进_0"/>
    <w:basedOn w:val="377"/>
    <w:qFormat/>
    <w:uiPriority w:val="0"/>
    <w:pPr>
      <w:ind w:firstLine="420"/>
    </w:pPr>
    <w:rPr>
      <w:rFonts w:ascii="Times New Roman" w:hAnsi="Times New Roman"/>
      <w:kern w:val="0"/>
      <w:szCs w:val="20"/>
    </w:rPr>
  </w:style>
  <w:style w:type="paragraph" w:customStyle="1" w:styleId="482">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83">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84">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85">
    <w:name w:val="表格"/>
    <w:basedOn w:val="1"/>
    <w:qFormat/>
    <w:uiPriority w:val="0"/>
    <w:pPr>
      <w:textAlignment w:val="center"/>
    </w:pPr>
    <w:rPr>
      <w:rFonts w:ascii="华文细黑" w:hAnsi="华文细黑"/>
      <w:kern w:val="0"/>
      <w:sz w:val="21"/>
    </w:rPr>
  </w:style>
  <w:style w:type="paragraph" w:customStyle="1" w:styleId="486">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7">
    <w:name w:val="图表脚注"/>
    <w:next w:val="366"/>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8">
    <w:name w:val="末级"/>
    <w:basedOn w:val="1"/>
    <w:qFormat/>
    <w:uiPriority w:val="0"/>
    <w:pPr>
      <w:tabs>
        <w:tab w:val="left" w:pos="851"/>
      </w:tabs>
      <w:spacing w:line="360" w:lineRule="auto"/>
      <w:ind w:firstLine="510"/>
    </w:pPr>
    <w:rPr>
      <w:sz w:val="24"/>
    </w:rPr>
  </w:style>
  <w:style w:type="paragraph" w:customStyle="1" w:styleId="489">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90">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91">
    <w:name w:val="bold_10"/>
    <w:basedOn w:val="1"/>
    <w:next w:val="1"/>
    <w:qFormat/>
    <w:uiPriority w:val="0"/>
    <w:pPr>
      <w:widowControl/>
    </w:pPr>
    <w:rPr>
      <w:rFonts w:ascii="Arial" w:hAnsi="Arial"/>
      <w:b/>
      <w:kern w:val="0"/>
      <w:sz w:val="20"/>
      <w:lang w:val="en-AU"/>
    </w:rPr>
  </w:style>
  <w:style w:type="paragraph" w:customStyle="1" w:styleId="49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p18"/>
    <w:basedOn w:val="1"/>
    <w:qFormat/>
    <w:uiPriority w:val="99"/>
    <w:pPr>
      <w:widowControl/>
      <w:spacing w:line="500" w:lineRule="atLeast"/>
      <w:ind w:firstLine="420"/>
    </w:pPr>
    <w:rPr>
      <w:kern w:val="0"/>
      <w:szCs w:val="28"/>
    </w:rPr>
  </w:style>
  <w:style w:type="paragraph" w:customStyle="1" w:styleId="494">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95">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96">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7">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8">
    <w:name w:val="Char Char3"/>
    <w:basedOn w:val="31"/>
    <w:qFormat/>
    <w:uiPriority w:val="0"/>
    <w:rPr>
      <w:rFonts w:ascii="Tahoma" w:hAnsi="Tahoma"/>
      <w:sz w:val="24"/>
    </w:rPr>
  </w:style>
  <w:style w:type="paragraph" w:customStyle="1" w:styleId="499">
    <w:name w:val="多级符号2"/>
    <w:basedOn w:val="500"/>
    <w:qFormat/>
    <w:uiPriority w:val="0"/>
    <w:pPr>
      <w:outlineLvl w:val="9"/>
    </w:pPr>
    <w:rPr>
      <w:b w:val="0"/>
      <w:sz w:val="24"/>
    </w:rPr>
  </w:style>
  <w:style w:type="paragraph" w:customStyle="1" w:styleId="500">
    <w:name w:val="多级符号1"/>
    <w:basedOn w:val="1"/>
    <w:next w:val="1"/>
    <w:qFormat/>
    <w:uiPriority w:val="0"/>
    <w:pPr>
      <w:spacing w:line="360" w:lineRule="auto"/>
      <w:jc w:val="left"/>
      <w:outlineLvl w:val="0"/>
    </w:pPr>
    <w:rPr>
      <w:rFonts w:eastAsia="仿宋_GB2312"/>
      <w:b/>
      <w:sz w:val="30"/>
    </w:rPr>
  </w:style>
  <w:style w:type="paragraph" w:customStyle="1" w:styleId="501">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502">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50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04">
    <w:name w:val="彩色底纹 - 着色 11"/>
    <w:qFormat/>
    <w:uiPriority w:val="0"/>
    <w:rPr>
      <w:rFonts w:ascii="Calibri" w:hAnsi="Calibri" w:eastAsia="宋体" w:cs="Times New Roman"/>
      <w:kern w:val="2"/>
      <w:sz w:val="21"/>
      <w:lang w:val="en-US" w:eastAsia="zh-CN" w:bidi="ar-SA"/>
    </w:rPr>
  </w:style>
  <w:style w:type="paragraph" w:customStyle="1" w:styleId="505">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06">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7">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8">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9">
    <w:name w:val="封面标准代替信息"/>
    <w:basedOn w:val="510"/>
    <w:qFormat/>
    <w:uiPriority w:val="0"/>
    <w:pPr>
      <w:spacing w:before="57"/>
    </w:pPr>
    <w:rPr>
      <w:rFonts w:ascii="宋体"/>
      <w:sz w:val="21"/>
    </w:rPr>
  </w:style>
  <w:style w:type="paragraph" w:customStyle="1" w:styleId="510">
    <w:name w:val="封面标准号2"/>
    <w:basedOn w:val="511"/>
    <w:qFormat/>
    <w:uiPriority w:val="0"/>
    <w:pPr>
      <w:adjustRightInd w:val="0"/>
      <w:spacing w:before="357" w:line="280" w:lineRule="exact"/>
    </w:pPr>
  </w:style>
  <w:style w:type="paragraph" w:customStyle="1" w:styleId="511">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12">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1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14">
    <w:name w:val="目次、标准名称标题"/>
    <w:basedOn w:val="1"/>
    <w:next w:val="366"/>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15">
    <w:name w:val="表中"/>
    <w:basedOn w:val="1"/>
    <w:qFormat/>
    <w:uiPriority w:val="0"/>
    <w:pPr>
      <w:autoSpaceDE w:val="0"/>
      <w:autoSpaceDN w:val="0"/>
      <w:adjustRightInd w:val="0"/>
      <w:spacing w:line="360" w:lineRule="atLeast"/>
    </w:pPr>
    <w:rPr>
      <w:rFonts w:ascii="宋体"/>
      <w:kern w:val="0"/>
      <w:sz w:val="21"/>
    </w:rPr>
  </w:style>
  <w:style w:type="paragraph" w:customStyle="1" w:styleId="516">
    <w:name w:val="1 Char Char Char"/>
    <w:basedOn w:val="1"/>
    <w:next w:val="9"/>
    <w:qFormat/>
    <w:uiPriority w:val="0"/>
    <w:pPr>
      <w:spacing w:line="500" w:lineRule="exact"/>
      <w:ind w:firstLine="200"/>
      <w:jc w:val="center"/>
    </w:pPr>
    <w:rPr>
      <w:rFonts w:ascii="仿宋_GB2312" w:hAnsi="Arial" w:eastAsia="仿宋_GB2312"/>
      <w:sz w:val="32"/>
    </w:rPr>
  </w:style>
  <w:style w:type="paragraph" w:customStyle="1" w:styleId="517">
    <w:name w:val="样式2"/>
    <w:basedOn w:val="74"/>
    <w:qFormat/>
    <w:uiPriority w:val="0"/>
    <w:pPr>
      <w:ind w:left="200" w:leftChars="200" w:hanging="200" w:hangingChars="200"/>
      <w:jc w:val="both"/>
    </w:pPr>
    <w:rPr>
      <w:rFonts w:ascii="Times New Roman" w:hAnsi="Times New Roman"/>
      <w:smallCaps w:val="0"/>
      <w:sz w:val="21"/>
    </w:rPr>
  </w:style>
  <w:style w:type="paragraph" w:customStyle="1" w:styleId="518">
    <w:name w:val="样式 标题 4 + 五号"/>
    <w:basedOn w:val="10"/>
    <w:qFormat/>
    <w:uiPriority w:val="0"/>
    <w:rPr>
      <w:kern w:val="0"/>
      <w:sz w:val="21"/>
    </w:rPr>
  </w:style>
  <w:style w:type="paragraph" w:customStyle="1" w:styleId="51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20">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21">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22">
    <w:name w:val="Char11"/>
    <w:basedOn w:val="1"/>
    <w:qFormat/>
    <w:uiPriority w:val="0"/>
    <w:pPr>
      <w:widowControl/>
      <w:spacing w:after="160" w:line="240" w:lineRule="exact"/>
      <w:jc w:val="left"/>
    </w:pPr>
    <w:rPr>
      <w:rFonts w:ascii="Tahoma" w:hAnsi="Tahoma"/>
      <w:kern w:val="0"/>
      <w:sz w:val="24"/>
      <w:lang w:eastAsia="en-US"/>
    </w:rPr>
  </w:style>
  <w:style w:type="paragraph" w:customStyle="1" w:styleId="523">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24">
    <w:name w:val="Char Char Char1 Char Char Char Char Char Char Char Char Char Char Char Char Char"/>
    <w:basedOn w:val="1"/>
    <w:qFormat/>
    <w:uiPriority w:val="0"/>
    <w:rPr>
      <w:rFonts w:ascii="Tahoma" w:hAnsi="Tahoma"/>
      <w:sz w:val="24"/>
    </w:rPr>
  </w:style>
  <w:style w:type="paragraph" w:customStyle="1" w:styleId="525">
    <w:name w:val="参考文献、索引标题"/>
    <w:basedOn w:val="454"/>
    <w:next w:val="1"/>
    <w:qFormat/>
    <w:uiPriority w:val="0"/>
    <w:pPr>
      <w:spacing w:after="200"/>
    </w:pPr>
    <w:rPr>
      <w:sz w:val="21"/>
    </w:rPr>
  </w:style>
  <w:style w:type="paragraph" w:customStyle="1" w:styleId="526">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7">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8">
    <w:name w:val="纯文本2"/>
    <w:basedOn w:val="1"/>
    <w:qFormat/>
    <w:uiPriority w:val="0"/>
    <w:pPr>
      <w:adjustRightInd w:val="0"/>
      <w:spacing w:line="360" w:lineRule="atLeast"/>
      <w:textAlignment w:val="baseline"/>
    </w:pPr>
    <w:rPr>
      <w:rFonts w:ascii="宋体" w:hAnsi="Courier New"/>
    </w:rPr>
  </w:style>
  <w:style w:type="paragraph" w:customStyle="1" w:styleId="529">
    <w:name w:val="Körper"/>
    <w:basedOn w:val="1"/>
    <w:qFormat/>
    <w:uiPriority w:val="0"/>
    <w:pPr>
      <w:widowControl/>
      <w:spacing w:before="120" w:line="240" w:lineRule="exact"/>
    </w:pPr>
    <w:rPr>
      <w:rFonts w:ascii="Arial" w:hAnsi="Arial"/>
      <w:kern w:val="0"/>
      <w:sz w:val="20"/>
      <w:lang w:val="de-DE" w:eastAsia="de-DE"/>
    </w:rPr>
  </w:style>
  <w:style w:type="paragraph" w:customStyle="1" w:styleId="530">
    <w:name w:val="2"/>
    <w:basedOn w:val="1"/>
    <w:qFormat/>
    <w:uiPriority w:val="0"/>
    <w:rPr>
      <w:rFonts w:ascii="Tahoma" w:hAnsi="Tahoma"/>
      <w:sz w:val="24"/>
    </w:rPr>
  </w:style>
  <w:style w:type="paragraph" w:customStyle="1" w:styleId="531">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32">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33">
    <w:name w:val="样式 三号 加粗 居中"/>
    <w:basedOn w:val="1"/>
    <w:qFormat/>
    <w:uiPriority w:val="0"/>
    <w:pPr>
      <w:spacing w:line="360" w:lineRule="auto"/>
      <w:jc w:val="center"/>
    </w:pPr>
    <w:rPr>
      <w:b/>
      <w:sz w:val="32"/>
    </w:rPr>
  </w:style>
  <w:style w:type="paragraph" w:customStyle="1" w:styleId="534">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35">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3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7">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8">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9">
    <w:name w:val="修订2"/>
    <w:qFormat/>
    <w:uiPriority w:val="0"/>
    <w:rPr>
      <w:rFonts w:ascii="Calibri" w:hAnsi="Calibri" w:eastAsia="宋体" w:cs="Times New Roman"/>
      <w:kern w:val="2"/>
      <w:sz w:val="28"/>
      <w:lang w:val="en-US" w:eastAsia="zh-CN" w:bidi="ar-SA"/>
    </w:rPr>
  </w:style>
  <w:style w:type="paragraph" w:customStyle="1" w:styleId="540">
    <w:name w:val="标题4"/>
    <w:basedOn w:val="1"/>
    <w:qFormat/>
    <w:uiPriority w:val="0"/>
    <w:rPr>
      <w:rFonts w:eastAsia="仿宋_GB2312"/>
      <w:sz w:val="32"/>
    </w:rPr>
  </w:style>
  <w:style w:type="paragraph" w:customStyle="1" w:styleId="541">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42">
    <w:name w:val="章标题"/>
    <w:next w:val="366"/>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43">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44">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45">
    <w:name w:val="标准书眉一"/>
    <w:qFormat/>
    <w:uiPriority w:val="0"/>
    <w:pPr>
      <w:jc w:val="both"/>
    </w:pPr>
    <w:rPr>
      <w:rFonts w:ascii="Calibri" w:hAnsi="Calibri" w:eastAsia="宋体" w:cs="Times New Roman"/>
      <w:lang w:val="en-US" w:eastAsia="zh-CN" w:bidi="ar-SA"/>
    </w:rPr>
  </w:style>
  <w:style w:type="paragraph" w:customStyle="1" w:styleId="546">
    <w:name w:val="Char Char Char Char Char Char3 Char Char Char Char Char Char Char Char Char Char"/>
    <w:basedOn w:val="1"/>
    <w:next w:val="1"/>
    <w:qFormat/>
    <w:uiPriority w:val="0"/>
    <w:rPr>
      <w:rFonts w:eastAsia="黑体"/>
    </w:rPr>
  </w:style>
  <w:style w:type="paragraph" w:customStyle="1" w:styleId="547">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8">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9">
    <w:name w:val="Char Char Char Char1"/>
    <w:basedOn w:val="1"/>
    <w:qFormat/>
    <w:uiPriority w:val="0"/>
    <w:rPr>
      <w:sz w:val="21"/>
    </w:rPr>
  </w:style>
  <w:style w:type="paragraph" w:customStyle="1" w:styleId="550">
    <w:name w:val="表文C"/>
    <w:basedOn w:val="1"/>
    <w:qFormat/>
    <w:uiPriority w:val="0"/>
    <w:pPr>
      <w:widowControl/>
      <w:tabs>
        <w:tab w:val="left" w:pos="0"/>
      </w:tabs>
      <w:adjustRightInd w:val="0"/>
      <w:snapToGrid w:val="0"/>
    </w:pPr>
    <w:rPr>
      <w:snapToGrid w:val="0"/>
      <w:kern w:val="0"/>
      <w:sz w:val="21"/>
    </w:rPr>
  </w:style>
  <w:style w:type="paragraph" w:customStyle="1" w:styleId="551">
    <w:name w:val="_Style 3"/>
    <w:qFormat/>
    <w:uiPriority w:val="0"/>
    <w:rPr>
      <w:rFonts w:ascii="Calibri" w:hAnsi="Calibri" w:eastAsia="宋体" w:cs="Times New Roman"/>
      <w:sz w:val="22"/>
      <w:szCs w:val="22"/>
      <w:lang w:val="en-US" w:eastAsia="zh-CN" w:bidi="ar-SA"/>
    </w:rPr>
  </w:style>
  <w:style w:type="paragraph" w:customStyle="1" w:styleId="552">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53">
    <w:name w:val="一级条标题"/>
    <w:next w:val="366"/>
    <w:qFormat/>
    <w:uiPriority w:val="0"/>
    <w:pPr>
      <w:outlineLvl w:val="2"/>
    </w:pPr>
    <w:rPr>
      <w:rFonts w:ascii="Calibri" w:hAnsi="Calibri" w:eastAsia="黑体" w:cs="Times New Roman"/>
      <w:sz w:val="21"/>
      <w:lang w:val="en-US" w:eastAsia="zh-CN" w:bidi="ar-SA"/>
    </w:rPr>
  </w:style>
  <w:style w:type="paragraph" w:customStyle="1" w:styleId="554">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55">
    <w:name w:val="投标正文"/>
    <w:basedOn w:val="1"/>
    <w:qFormat/>
    <w:uiPriority w:val="0"/>
    <w:pPr>
      <w:spacing w:line="360" w:lineRule="auto"/>
      <w:ind w:left="100" w:firstLine="480" w:firstLineChars="200"/>
    </w:pPr>
    <w:rPr>
      <w:sz w:val="24"/>
      <w:szCs w:val="24"/>
    </w:rPr>
  </w:style>
  <w:style w:type="paragraph" w:customStyle="1" w:styleId="556">
    <w:name w:val="标题 0"/>
    <w:basedOn w:val="7"/>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7">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8">
    <w:name w:val="条文脚注"/>
    <w:basedOn w:val="68"/>
    <w:qFormat/>
    <w:uiPriority w:val="0"/>
    <w:pPr>
      <w:ind w:left="780" w:leftChars="200" w:hanging="360" w:hangingChars="200"/>
      <w:jc w:val="both"/>
    </w:pPr>
    <w:rPr>
      <w:rFonts w:ascii="宋体"/>
    </w:rPr>
  </w:style>
  <w:style w:type="paragraph" w:customStyle="1" w:styleId="559">
    <w:name w:val="HTML 地址1"/>
    <w:basedOn w:val="1"/>
    <w:qFormat/>
    <w:uiPriority w:val="0"/>
    <w:rPr>
      <w:i/>
      <w:kern w:val="0"/>
      <w:sz w:val="20"/>
    </w:rPr>
  </w:style>
  <w:style w:type="paragraph" w:customStyle="1" w:styleId="560">
    <w:name w:val="表格5"/>
    <w:basedOn w:val="561"/>
    <w:qFormat/>
    <w:uiPriority w:val="0"/>
    <w:pPr>
      <w:ind w:left="1021" w:hanging="284"/>
    </w:pPr>
    <w:rPr>
      <w:rFonts w:ascii="宋体"/>
    </w:rPr>
  </w:style>
  <w:style w:type="paragraph" w:customStyle="1" w:styleId="561">
    <w:name w:val="表格2"/>
    <w:basedOn w:val="1"/>
    <w:qFormat/>
    <w:uiPriority w:val="0"/>
    <w:pPr>
      <w:adjustRightInd w:val="0"/>
      <w:spacing w:line="420" w:lineRule="atLeast"/>
      <w:ind w:left="284" w:firstLine="454"/>
      <w:textAlignment w:val="baseline"/>
    </w:pPr>
    <w:rPr>
      <w:kern w:val="0"/>
      <w:sz w:val="21"/>
    </w:rPr>
  </w:style>
  <w:style w:type="paragraph" w:customStyle="1" w:styleId="562">
    <w:name w:val="_Style 10"/>
    <w:basedOn w:val="1"/>
    <w:next w:val="1"/>
    <w:qFormat/>
    <w:uiPriority w:val="0"/>
    <w:rPr>
      <w:sz w:val="21"/>
    </w:rPr>
  </w:style>
  <w:style w:type="paragraph" w:customStyle="1" w:styleId="563">
    <w:name w:val="Char1"/>
    <w:basedOn w:val="1"/>
    <w:qFormat/>
    <w:uiPriority w:val="0"/>
    <w:rPr>
      <w:rFonts w:ascii="仿宋_GB2312" w:eastAsia="仿宋_GB2312"/>
      <w:b/>
      <w:sz w:val="32"/>
    </w:rPr>
  </w:style>
  <w:style w:type="paragraph" w:customStyle="1" w:styleId="564">
    <w:name w:val="Char Char Char Char Char Char Char Char Char Char Char Char1 Char"/>
    <w:basedOn w:val="31"/>
    <w:qFormat/>
    <w:uiPriority w:val="0"/>
    <w:rPr>
      <w:rFonts w:ascii="等线" w:hAnsi="等线"/>
      <w:sz w:val="21"/>
    </w:rPr>
  </w:style>
  <w:style w:type="paragraph" w:customStyle="1" w:styleId="565">
    <w:name w:val="Char Char2"/>
    <w:basedOn w:val="1"/>
    <w:qFormat/>
    <w:uiPriority w:val="0"/>
    <w:rPr>
      <w:rFonts w:ascii="Tahoma" w:hAnsi="Tahoma"/>
      <w:sz w:val="24"/>
    </w:rPr>
  </w:style>
  <w:style w:type="paragraph" w:customStyle="1" w:styleId="566">
    <w:name w:val="目录1"/>
    <w:basedOn w:val="1"/>
    <w:qFormat/>
    <w:uiPriority w:val="0"/>
    <w:pPr>
      <w:adjustRightInd w:val="0"/>
      <w:spacing w:line="420" w:lineRule="atLeast"/>
      <w:textAlignment w:val="baseline"/>
    </w:pPr>
    <w:rPr>
      <w:rFonts w:eastAsia="黑体"/>
      <w:b/>
      <w:kern w:val="0"/>
      <w:sz w:val="21"/>
    </w:rPr>
  </w:style>
  <w:style w:type="paragraph" w:customStyle="1" w:styleId="567">
    <w:name w:val="收件单位"/>
    <w:basedOn w:val="1"/>
    <w:qFormat/>
    <w:uiPriority w:val="0"/>
    <w:pPr>
      <w:tabs>
        <w:tab w:val="left" w:pos="1365"/>
      </w:tabs>
      <w:spacing w:beforeLines="100"/>
    </w:pPr>
    <w:rPr>
      <w:rFonts w:eastAsia="华文仿宋"/>
      <w:sz w:val="30"/>
    </w:rPr>
  </w:style>
  <w:style w:type="paragraph" w:customStyle="1" w:styleId="568">
    <w:name w:val="表内居中"/>
    <w:qFormat/>
    <w:uiPriority w:val="0"/>
    <w:pPr>
      <w:jc w:val="center"/>
    </w:pPr>
    <w:rPr>
      <w:rFonts w:ascii="Calibri" w:hAnsi="Calibri" w:eastAsia="宋体" w:cs="Times New Roman"/>
      <w:lang w:val="en-US" w:eastAsia="zh-CN" w:bidi="ar-SA"/>
    </w:rPr>
  </w:style>
  <w:style w:type="paragraph" w:customStyle="1" w:styleId="569">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70">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71">
    <w:name w:val="封面正文"/>
    <w:qFormat/>
    <w:uiPriority w:val="0"/>
    <w:pPr>
      <w:jc w:val="both"/>
    </w:pPr>
    <w:rPr>
      <w:rFonts w:ascii="Calibri" w:hAnsi="Calibri" w:eastAsia="宋体" w:cs="Times New Roman"/>
      <w:lang w:val="en-US" w:eastAsia="zh-CN" w:bidi="ar-SA"/>
    </w:rPr>
  </w:style>
  <w:style w:type="paragraph" w:customStyle="1" w:styleId="572">
    <w:name w:val="表格1"/>
    <w:basedOn w:val="1"/>
    <w:qFormat/>
    <w:uiPriority w:val="0"/>
    <w:pPr>
      <w:adjustRightInd w:val="0"/>
      <w:spacing w:line="420" w:lineRule="atLeast"/>
      <w:ind w:left="284"/>
      <w:textAlignment w:val="baseline"/>
    </w:pPr>
    <w:rPr>
      <w:kern w:val="0"/>
      <w:sz w:val="21"/>
    </w:rPr>
  </w:style>
  <w:style w:type="paragraph" w:customStyle="1" w:styleId="57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74">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75">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76">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7">
    <w:name w:val="附录表标题"/>
    <w:next w:val="366"/>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8">
    <w:name w:val="_Style 32"/>
    <w:basedOn w:val="1"/>
    <w:next w:val="447"/>
    <w:qFormat/>
    <w:uiPriority w:val="34"/>
    <w:pPr>
      <w:ind w:firstLine="420" w:firstLineChars="200"/>
    </w:pPr>
  </w:style>
  <w:style w:type="paragraph" w:customStyle="1" w:styleId="579">
    <w:name w:val="日期1"/>
    <w:basedOn w:val="1"/>
    <w:next w:val="1"/>
    <w:qFormat/>
    <w:uiPriority w:val="0"/>
    <w:pPr>
      <w:ind w:left="100" w:leftChars="2500"/>
    </w:pPr>
    <w:rPr>
      <w:kern w:val="0"/>
      <w:sz w:val="20"/>
    </w:rPr>
  </w:style>
  <w:style w:type="paragraph" w:customStyle="1" w:styleId="580">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81">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82">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83">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84">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85">
    <w:name w:val="附录五级条标题"/>
    <w:basedOn w:val="418"/>
    <w:next w:val="366"/>
    <w:qFormat/>
    <w:uiPriority w:val="0"/>
    <w:pPr>
      <w:outlineLvl w:val="6"/>
    </w:pPr>
  </w:style>
  <w:style w:type="paragraph" w:customStyle="1" w:styleId="586">
    <w:name w:val="彩色底纹 - 强调文字颜色 11"/>
    <w:qFormat/>
    <w:uiPriority w:val="0"/>
    <w:rPr>
      <w:rFonts w:ascii="Calibri" w:hAnsi="Calibri" w:eastAsia="宋体" w:cs="Times New Roman"/>
      <w:kern w:val="2"/>
      <w:sz w:val="21"/>
      <w:lang w:val="en-US" w:eastAsia="zh-CN" w:bidi="ar-SA"/>
    </w:rPr>
  </w:style>
  <w:style w:type="paragraph" w:customStyle="1" w:styleId="587">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8">
    <w:name w:val="正文内"/>
    <w:basedOn w:val="1"/>
    <w:qFormat/>
    <w:uiPriority w:val="0"/>
    <w:pPr>
      <w:spacing w:line="400" w:lineRule="exact"/>
      <w:ind w:firstLine="200" w:firstLineChars="200"/>
    </w:pPr>
    <w:rPr>
      <w:rFonts w:ascii="宋体" w:hAnsi="宋体"/>
      <w:sz w:val="21"/>
    </w:rPr>
  </w:style>
  <w:style w:type="paragraph" w:customStyle="1" w:styleId="589">
    <w:name w:val="表"/>
    <w:basedOn w:val="1"/>
    <w:qFormat/>
    <w:uiPriority w:val="0"/>
    <w:pPr>
      <w:spacing w:line="360" w:lineRule="auto"/>
      <w:jc w:val="center"/>
    </w:pPr>
    <w:rPr>
      <w:color w:val="000000"/>
      <w:sz w:val="21"/>
    </w:rPr>
  </w:style>
  <w:style w:type="paragraph" w:customStyle="1" w:styleId="590">
    <w:name w:val="附录标识"/>
    <w:basedOn w:val="454"/>
    <w:qFormat/>
    <w:uiPriority w:val="0"/>
    <w:pPr>
      <w:tabs>
        <w:tab w:val="left" w:pos="720"/>
        <w:tab w:val="left" w:pos="6405"/>
      </w:tabs>
      <w:spacing w:after="200"/>
      <w:ind w:left="360" w:hanging="360"/>
    </w:pPr>
    <w:rPr>
      <w:sz w:val="21"/>
    </w:rPr>
  </w:style>
  <w:style w:type="paragraph" w:customStyle="1" w:styleId="591">
    <w:name w:val="正文 A"/>
    <w:qFormat/>
    <w:uiPriority w:val="0"/>
    <w:rPr>
      <w:rFonts w:ascii="Calibri" w:hAnsi="Calibri" w:eastAsia="ヒラギノ角ゴ Pro W3" w:cs="Times New Roman"/>
      <w:color w:val="000000"/>
      <w:sz w:val="24"/>
      <w:lang w:val="en-US" w:eastAsia="zh-CN" w:bidi="ar-SA"/>
    </w:rPr>
  </w:style>
  <w:style w:type="paragraph" w:customStyle="1" w:styleId="592">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9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94">
    <w:name w:val="默认段落字体 Para Char"/>
    <w:basedOn w:val="1"/>
    <w:qFormat/>
    <w:uiPriority w:val="0"/>
    <w:pPr>
      <w:tabs>
        <w:tab w:val="left" w:pos="425"/>
      </w:tabs>
      <w:ind w:left="425" w:hanging="425"/>
    </w:pPr>
    <w:rPr>
      <w:sz w:val="21"/>
    </w:rPr>
  </w:style>
  <w:style w:type="paragraph" w:customStyle="1" w:styleId="595">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6">
    <w:name w:val="_Style 40"/>
    <w:basedOn w:val="1"/>
    <w:qFormat/>
    <w:uiPriority w:val="0"/>
    <w:rPr>
      <w:sz w:val="21"/>
    </w:rPr>
  </w:style>
  <w:style w:type="paragraph" w:customStyle="1" w:styleId="597">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8">
    <w:name w:val="注："/>
    <w:next w:val="366"/>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9">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600">
    <w:name w:val="彩色列表 - 强调文字颜色 12"/>
    <w:basedOn w:val="1"/>
    <w:qFormat/>
    <w:uiPriority w:val="0"/>
    <w:pPr>
      <w:ind w:firstLine="420" w:firstLineChars="200"/>
    </w:pPr>
    <w:rPr>
      <w:sz w:val="21"/>
    </w:rPr>
  </w:style>
  <w:style w:type="paragraph" w:customStyle="1" w:styleId="601">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602">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603">
    <w:name w:val="正文样式"/>
    <w:basedOn w:val="1"/>
    <w:qFormat/>
    <w:uiPriority w:val="0"/>
    <w:pPr>
      <w:ind w:firstLine="480" w:firstLineChars="200"/>
    </w:pPr>
    <w:rPr>
      <w:rFonts w:eastAsia="华文仿宋"/>
      <w:szCs w:val="24"/>
    </w:rPr>
  </w:style>
  <w:style w:type="paragraph" w:customStyle="1" w:styleId="604">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605">
    <w:name w:val="正文图标题"/>
    <w:next w:val="366"/>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606">
    <w:name w:val="表格一"/>
    <w:basedOn w:val="1"/>
    <w:qFormat/>
    <w:uiPriority w:val="0"/>
    <w:pPr>
      <w:spacing w:line="240" w:lineRule="exact"/>
      <w:ind w:left="105" w:leftChars="50"/>
    </w:pPr>
    <w:rPr>
      <w:sz w:val="18"/>
    </w:rPr>
  </w:style>
  <w:style w:type="paragraph" w:customStyle="1" w:styleId="607">
    <w:name w:val="[Normal]"/>
    <w:qFormat/>
    <w:uiPriority w:val="0"/>
    <w:rPr>
      <w:rFonts w:ascii="宋体" w:hAnsi="宋体" w:eastAsia="宋体" w:cs="Times New Roman"/>
      <w:sz w:val="24"/>
      <w:szCs w:val="22"/>
      <w:lang w:val="zh-CN" w:eastAsia="zh-CN" w:bidi="ar-SA"/>
    </w:rPr>
  </w:style>
  <w:style w:type="paragraph" w:customStyle="1" w:styleId="608">
    <w:name w:val="moban"/>
    <w:basedOn w:val="1"/>
    <w:qFormat/>
    <w:uiPriority w:val="0"/>
    <w:pPr>
      <w:pBdr>
        <w:bottom w:val="single" w:color="auto" w:sz="4" w:space="5"/>
      </w:pBdr>
      <w:spacing w:line="360" w:lineRule="auto"/>
    </w:pPr>
  </w:style>
  <w:style w:type="character" w:customStyle="1" w:styleId="609">
    <w:name w:val="large1"/>
    <w:qFormat/>
    <w:uiPriority w:val="0"/>
    <w:rPr>
      <w:rFonts w:hint="eastAsia" w:ascii="宋体" w:hAnsi="宋体" w:eastAsia="宋体"/>
      <w:sz w:val="21"/>
      <w:szCs w:val="21"/>
    </w:rPr>
  </w:style>
  <w:style w:type="paragraph" w:customStyle="1" w:styleId="610">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11">
    <w:name w:val="Table Paragraph"/>
    <w:basedOn w:val="1"/>
    <w:qFormat/>
    <w:uiPriority w:val="1"/>
    <w:rPr>
      <w:rFonts w:ascii="宋体" w:hAnsi="宋体" w:cs="宋体"/>
      <w:lang w:val="zh-CN" w:bidi="zh-CN"/>
    </w:rPr>
  </w:style>
  <w:style w:type="character" w:customStyle="1" w:styleId="612">
    <w:name w:val="Hyperlink.3"/>
    <w:basedOn w:val="613"/>
    <w:qFormat/>
    <w:uiPriority w:val="99"/>
    <w:rPr>
      <w:rFonts w:ascii="宋体" w:hAnsi="宋体" w:eastAsia="宋体" w:cs="宋体"/>
      <w:lang w:val="en-US"/>
    </w:rPr>
  </w:style>
  <w:style w:type="character" w:customStyle="1" w:styleId="613">
    <w:name w:val="无"/>
    <w:qFormat/>
    <w:uiPriority w:val="99"/>
  </w:style>
  <w:style w:type="paragraph" w:customStyle="1" w:styleId="61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5">
    <w:name w:val="标题3"/>
    <w:basedOn w:val="9"/>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16">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7">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8">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9">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0">
    <w:name w:val="_Style 1"/>
    <w:qFormat/>
    <w:uiPriority w:val="0"/>
    <w:rPr>
      <w:rFonts w:ascii="Calibri" w:hAnsi="Calibri" w:eastAsia="宋体" w:cs="Times New Roman"/>
      <w:kern w:val="2"/>
      <w:sz w:val="28"/>
      <w:szCs w:val="22"/>
      <w:lang w:val="en-US" w:eastAsia="zh-CN" w:bidi="ar-SA"/>
    </w:rPr>
  </w:style>
  <w:style w:type="paragraph" w:customStyle="1" w:styleId="62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22">
    <w:name w:val="List Paragraph"/>
    <w:basedOn w:val="1"/>
    <w:qFormat/>
    <w:uiPriority w:val="34"/>
    <w:pPr>
      <w:ind w:firstLine="420"/>
    </w:pPr>
    <w:rPr>
      <w:rFonts w:ascii="Times New Roman" w:hAnsi="Times New Roman" w:cs="Times New Roman"/>
    </w:rPr>
  </w:style>
  <w:style w:type="paragraph" w:customStyle="1" w:styleId="623">
    <w:name w:val="列表段落1"/>
    <w:basedOn w:val="1"/>
    <w:qFormat/>
    <w:uiPriority w:val="34"/>
    <w:pPr>
      <w:ind w:firstLine="420"/>
    </w:pPr>
    <w:rPr>
      <w:rFonts w:ascii="Times New Roman" w:hAnsi="Times New Roman"/>
    </w:rPr>
  </w:style>
  <w:style w:type="paragraph" w:customStyle="1" w:styleId="624">
    <w:name w:val="正文_9"/>
    <w:next w:val="625"/>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5">
    <w:name w:val="文本块_3"/>
    <w:basedOn w:val="624"/>
    <w:qFormat/>
    <w:uiPriority w:val="0"/>
    <w:pPr>
      <w:adjustRightInd w:val="0"/>
      <w:snapToGrid w:val="0"/>
      <w:spacing w:line="300" w:lineRule="auto"/>
      <w:ind w:left="958" w:right="-120" w:rightChars="-120"/>
      <w:jc w:val="left"/>
    </w:pPr>
    <w:rPr>
      <w:rFonts w:hint="eastAsia" w:ascii="宋体" w:hAnsi="宋体"/>
      <w:sz w:val="28"/>
      <w:szCs w:val="20"/>
    </w:rPr>
  </w:style>
  <w:style w:type="character" w:customStyle="1" w:styleId="626">
    <w:name w:val="fontstyle01"/>
    <w:basedOn w:val="91"/>
    <w:qFormat/>
    <w:uiPriority w:val="0"/>
    <w:rPr>
      <w:rFonts w:hint="eastAsia" w:ascii="宋体" w:hAnsi="宋体" w:eastAsia="宋体"/>
      <w:color w:val="000000"/>
      <w:sz w:val="22"/>
      <w:szCs w:val="22"/>
    </w:rPr>
  </w:style>
  <w:style w:type="paragraph" w:customStyle="1" w:styleId="627">
    <w:name w:val="toc 11"/>
    <w:next w:val="1"/>
    <w:qFormat/>
    <w:uiPriority w:val="0"/>
    <w:pPr>
      <w:wordWrap w:val="0"/>
      <w:jc w:val="both"/>
    </w:pPr>
    <w:rPr>
      <w:rFonts w:ascii="Times New Roman" w:hAnsi="Times New Roman" w:eastAsia="宋体" w:cs="Times New Roman"/>
      <w:sz w:val="21"/>
      <w:lang w:val="en-US" w:eastAsia="zh-CN" w:bidi="ar-SA"/>
    </w:rPr>
  </w:style>
  <w:style w:type="paragraph" w:customStyle="1" w:styleId="628">
    <w:name w:val="+正文"/>
    <w:basedOn w:val="1"/>
    <w:qFormat/>
    <w:uiPriority w:val="0"/>
    <w:pPr>
      <w:spacing w:line="360" w:lineRule="auto"/>
      <w:ind w:firstLine="200" w:firstLineChars="200"/>
    </w:pPr>
    <w:rPr>
      <w:rFonts w:eastAsia="Times New Roman"/>
      <w:kern w:val="0"/>
      <w:sz w:val="24"/>
      <w:szCs w:val="28"/>
    </w:rPr>
  </w:style>
  <w:style w:type="paragraph" w:customStyle="1" w:styleId="629">
    <w:name w:val="Plain Text"/>
    <w:basedOn w:val="1"/>
    <w:qFormat/>
    <w:uiPriority w:val="0"/>
    <w:rPr>
      <w:rFonts w:hint="default" w:ascii="宋体" w:hAnsi="Courier New"/>
      <w:sz w:val="24"/>
      <w:szCs w:val="24"/>
    </w:rPr>
  </w:style>
  <w:style w:type="paragraph" w:customStyle="1" w:styleId="630">
    <w:name w:val="Body Text First Indent 2"/>
    <w:basedOn w:val="63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31">
    <w:name w:val="Body Text Indent"/>
    <w:basedOn w:val="1"/>
    <w:next w:val="1"/>
    <w:autoRedefine/>
    <w:qFormat/>
    <w:uiPriority w:val="0"/>
    <w:pPr>
      <w:spacing w:after="120" w:afterLines="0"/>
      <w:ind w:left="420" w:leftChars="200"/>
    </w:pPr>
    <w:rPr>
      <w:color w:val="000000"/>
      <w:sz w:val="21"/>
      <w:szCs w:val="21"/>
    </w:rPr>
  </w:style>
  <w:style w:type="paragraph" w:customStyle="1" w:styleId="632">
    <w:name w:val="List Paragraph1"/>
    <w:basedOn w:val="1"/>
    <w:qFormat/>
    <w:uiPriority w:val="0"/>
    <w:pPr>
      <w:widowControl/>
      <w:ind w:firstLine="420" w:firstLineChars="200"/>
      <w:jc w:val="left"/>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24821</Words>
  <Characters>25423</Characters>
  <Lines>299</Lines>
  <Paragraphs>84</Paragraphs>
  <TotalTime>54</TotalTime>
  <ScaleCrop>false</ScaleCrop>
  <LinksUpToDate>false</LinksUpToDate>
  <CharactersWithSpaces>25832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2020-07-15T03:29:00Z</dcterms:created>
  <dc:creator>yht</dc:creator>
  <cp:lastModifiedBy>杨建英</cp:lastModifiedBy>
  <cp:lastPrinted>2025-07-02T02:25:00Z</cp:lastPrinted>
  <dcterms:modified xsi:type="dcterms:W3CDTF">2025-07-04T08:05:19Z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A7D0704BF13C24FF140324684B187726_43</vt:lpwstr>
  </property>
  <property fmtid="{D5CDD505-2E9C-101B-9397-08002B2CF9AE}" pid="4" name="commondata">
    <vt:lpwstr>eyJoZGlkIjoiNmRkMjM0YzBkMTQyODhiY2M3ZWU5ZTE4NTFhMDAxMGUifQ==</vt:lpwstr>
  </property>
  <property fmtid="{D5CDD505-2E9C-101B-9397-08002B2CF9AE}" pid="5" name="KSOTemplateDocerSaveRecord">
    <vt:lpwstr>eyJoZGlkIjoiZWFkMTFiMDg5Mzc2ZTQ2Yjc3M2ZmMzkxZThjZTJlNDEiLCJ1c2VySWQiOiI3NjU0NTcxMDcifQ==</vt:lpwstr>
  </property>
</Properties>
</file>