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9E16E">
      <w:pPr>
        <w:rPr>
          <w:rFonts w:eastAsia="华文新魏"/>
          <w:b/>
          <w:spacing w:val="-14"/>
          <w:sz w:val="52"/>
          <w:szCs w:val="52"/>
        </w:rPr>
      </w:pPr>
      <w:bookmarkStart w:id="0" w:name="OLE_LINK1"/>
    </w:p>
    <w:p w14:paraId="194B4998">
      <w:pPr>
        <w:snapToGrid w:val="0"/>
        <w:spacing w:line="312" w:lineRule="auto"/>
        <w:jc w:val="center"/>
        <w:rPr>
          <w:rFonts w:hint="eastAsia" w:ascii="华文新魏" w:hAnsi="华文新魏" w:eastAsia="华文新魏" w:cs="华文新魏"/>
          <w:b/>
          <w:sz w:val="52"/>
          <w:szCs w:val="52"/>
          <w:lang w:eastAsia="zh-CN"/>
        </w:rPr>
      </w:pPr>
      <w:r>
        <w:rPr>
          <w:rFonts w:hint="eastAsia" w:ascii="华文新魏" w:hAnsi="华文新魏" w:eastAsia="华文新魏" w:cs="华文新魏"/>
          <w:b/>
          <w:sz w:val="52"/>
          <w:szCs w:val="52"/>
          <w:lang w:eastAsia="zh-CN"/>
        </w:rPr>
        <w:t>2025</w:t>
      </w:r>
      <w:r>
        <w:rPr>
          <w:rFonts w:hint="eastAsia" w:ascii="华文新魏" w:hAnsi="华文新魏" w:eastAsia="华文新魏" w:cs="华文新魏"/>
          <w:b/>
          <w:sz w:val="52"/>
          <w:szCs w:val="52"/>
          <w:highlight w:val="none"/>
          <w:lang w:eastAsia="zh-CN"/>
        </w:rPr>
        <w:t>年普陀区海</w:t>
      </w:r>
      <w:r>
        <w:rPr>
          <w:rFonts w:hint="eastAsia" w:ascii="华文新魏" w:hAnsi="华文新魏" w:eastAsia="华文新魏" w:cs="华文新魏"/>
          <w:b/>
          <w:sz w:val="52"/>
          <w:szCs w:val="52"/>
          <w:lang w:eastAsia="zh-CN"/>
        </w:rPr>
        <w:t>洋经济运行监测和</w:t>
      </w:r>
    </w:p>
    <w:p w14:paraId="349A4AA0">
      <w:pPr>
        <w:snapToGrid w:val="0"/>
        <w:spacing w:line="312" w:lineRule="auto"/>
        <w:jc w:val="center"/>
        <w:rPr>
          <w:rFonts w:hint="eastAsia" w:ascii="华文新魏" w:hAnsi="华文新魏" w:eastAsia="华文新魏" w:cs="华文新魏"/>
          <w:b/>
          <w:sz w:val="52"/>
          <w:szCs w:val="52"/>
          <w:lang w:eastAsia="zh-CN"/>
        </w:rPr>
      </w:pPr>
      <w:r>
        <w:rPr>
          <w:rFonts w:hint="eastAsia" w:ascii="华文新魏" w:hAnsi="华文新魏" w:eastAsia="华文新魏" w:cs="华文新魏"/>
          <w:b/>
          <w:sz w:val="52"/>
          <w:szCs w:val="52"/>
          <w:lang w:eastAsia="zh-CN"/>
        </w:rPr>
        <w:t>评估项目</w:t>
      </w:r>
    </w:p>
    <w:p w14:paraId="7060AD27">
      <w:pPr>
        <w:snapToGrid w:val="0"/>
        <w:spacing w:line="312" w:lineRule="auto"/>
        <w:jc w:val="center"/>
        <w:rPr>
          <w:rFonts w:hint="eastAsia" w:ascii="华文新魏" w:hAnsi="华文新魏" w:eastAsia="华文新魏" w:cs="华文新魏"/>
          <w:b/>
          <w:sz w:val="52"/>
        </w:rPr>
      </w:pPr>
      <w:r>
        <w:rPr>
          <w:rFonts w:hint="eastAsia" w:ascii="华文新魏" w:hAnsi="华文新魏" w:eastAsia="华文新魏" w:cs="华文新魏"/>
          <w:b/>
          <w:sz w:val="52"/>
        </w:rPr>
        <w:t>招标文件</w:t>
      </w:r>
    </w:p>
    <w:p w14:paraId="36C0526C">
      <w:pPr>
        <w:snapToGrid w:val="0"/>
        <w:spacing w:before="120" w:line="312" w:lineRule="auto"/>
        <w:rPr>
          <w:rFonts w:hint="eastAsia" w:ascii="华文新魏" w:hAnsi="华文新魏" w:eastAsia="华文新魏" w:cs="华文新魏"/>
          <w:b/>
          <w:sz w:val="32"/>
        </w:rPr>
      </w:pPr>
    </w:p>
    <w:p w14:paraId="2BBBE2FE">
      <w:pPr>
        <w:snapToGrid w:val="0"/>
        <w:spacing w:before="120" w:line="312" w:lineRule="auto"/>
        <w:ind w:left="1602" w:hanging="1602" w:hangingChars="500"/>
        <w:rPr>
          <w:rFonts w:hint="eastAsia" w:ascii="华文新魏" w:hAnsi="华文新魏" w:eastAsia="华文新魏" w:cs="华文新魏"/>
          <w:b/>
          <w:sz w:val="32"/>
        </w:rPr>
      </w:pPr>
    </w:p>
    <w:p w14:paraId="01610FFC">
      <w:pPr>
        <w:snapToGrid w:val="0"/>
        <w:spacing w:before="120" w:line="312" w:lineRule="auto"/>
        <w:ind w:left="1602" w:hanging="1802" w:hangingChars="500"/>
        <w:rPr>
          <w:rFonts w:hint="eastAsia" w:ascii="华文新魏" w:hAnsi="华文新魏" w:eastAsia="华文新魏" w:cs="华文新魏"/>
          <w:b/>
          <w:sz w:val="36"/>
          <w:szCs w:val="36"/>
          <w:lang w:eastAsia="zh-CN"/>
        </w:rPr>
      </w:pPr>
      <w:r>
        <w:rPr>
          <w:rFonts w:hint="eastAsia" w:ascii="华文新魏" w:hAnsi="华文新魏" w:eastAsia="华文新魏" w:cs="华文新魏"/>
          <w:b/>
          <w:sz w:val="36"/>
          <w:szCs w:val="36"/>
        </w:rPr>
        <w:t>项目名称</w:t>
      </w:r>
      <w:r>
        <w:rPr>
          <w:rFonts w:hint="eastAsia" w:ascii="华文新魏" w:hAnsi="华文新魏" w:eastAsia="华文新魏" w:cs="华文新魏"/>
          <w:sz w:val="36"/>
          <w:szCs w:val="36"/>
        </w:rPr>
        <w:t>：</w:t>
      </w:r>
      <w:r>
        <w:rPr>
          <w:rFonts w:hint="eastAsia" w:ascii="华文新魏" w:hAnsi="华文新魏" w:eastAsia="华文新魏" w:cs="华文新魏"/>
          <w:b/>
          <w:sz w:val="36"/>
          <w:szCs w:val="36"/>
          <w:lang w:eastAsia="zh-CN"/>
        </w:rPr>
        <w:t>2025年普陀区海洋经济运行监测和评估项目</w:t>
      </w:r>
    </w:p>
    <w:p w14:paraId="359DEBED">
      <w:pPr>
        <w:snapToGrid w:val="0"/>
        <w:spacing w:before="120" w:line="312" w:lineRule="auto"/>
        <w:rPr>
          <w:rFonts w:hint="eastAsia" w:ascii="华文新魏" w:hAnsi="华文新魏" w:eastAsia="华文新魏" w:cs="华文新魏"/>
          <w:b/>
          <w:sz w:val="36"/>
          <w:szCs w:val="36"/>
        </w:rPr>
      </w:pPr>
    </w:p>
    <w:p w14:paraId="545B9923">
      <w:pPr>
        <w:snapToGrid w:val="0"/>
        <w:spacing w:before="120" w:line="312" w:lineRule="auto"/>
        <w:rPr>
          <w:rFonts w:hint="eastAsia" w:ascii="华文新魏" w:hAnsi="华文新魏" w:eastAsia="华文新魏" w:cs="华文新魏"/>
          <w:b/>
          <w:sz w:val="36"/>
          <w:szCs w:val="36"/>
          <w:lang w:eastAsia="zh-CN"/>
        </w:rPr>
      </w:pPr>
      <w:r>
        <w:rPr>
          <w:rFonts w:hint="eastAsia" w:ascii="华文新魏" w:hAnsi="华文新魏" w:eastAsia="华文新魏" w:cs="华文新魏"/>
          <w:b/>
          <w:sz w:val="36"/>
          <w:szCs w:val="36"/>
        </w:rPr>
        <w:t>项目编号：</w:t>
      </w:r>
      <w:r>
        <w:rPr>
          <w:rFonts w:hint="eastAsia" w:ascii="华文新魏" w:hAnsi="华文新魏" w:eastAsia="华文新魏" w:cs="华文新魏"/>
          <w:b/>
          <w:sz w:val="36"/>
          <w:szCs w:val="36"/>
          <w:lang w:eastAsia="zh-CN"/>
        </w:rPr>
        <w:t>SZGXZS2025146</w:t>
      </w:r>
    </w:p>
    <w:p w14:paraId="78B49157">
      <w:pPr>
        <w:snapToGrid w:val="0"/>
        <w:spacing w:before="120" w:line="312" w:lineRule="auto"/>
        <w:rPr>
          <w:rFonts w:hint="eastAsia" w:ascii="华文新魏" w:hAnsi="华文新魏" w:eastAsia="华文新魏" w:cs="华文新魏"/>
          <w:b/>
          <w:w w:val="95"/>
          <w:sz w:val="36"/>
          <w:szCs w:val="36"/>
        </w:rPr>
      </w:pPr>
    </w:p>
    <w:p w14:paraId="60E28682">
      <w:pPr>
        <w:snapToGrid w:val="0"/>
        <w:spacing w:before="120" w:line="312" w:lineRule="auto"/>
        <w:ind w:left="1520" w:hanging="1712" w:hangingChars="500"/>
        <w:rPr>
          <w:rFonts w:hint="eastAsia" w:ascii="华文新魏" w:hAnsi="华文新魏" w:eastAsia="华文新魏" w:cs="华文新魏"/>
          <w:color w:val="FF0000"/>
          <w:sz w:val="36"/>
          <w:szCs w:val="36"/>
          <w:lang w:eastAsia="zh-CN"/>
        </w:rPr>
      </w:pPr>
      <w:r>
        <w:rPr>
          <w:rFonts w:hint="eastAsia" w:ascii="华文新魏" w:hAnsi="华文新魏" w:eastAsia="华文新魏" w:cs="华文新魏"/>
          <w:b/>
          <w:w w:val="95"/>
          <w:sz w:val="36"/>
          <w:szCs w:val="36"/>
        </w:rPr>
        <w:t>采购单位：</w:t>
      </w:r>
      <w:r>
        <w:rPr>
          <w:rFonts w:hint="eastAsia" w:ascii="华文新魏" w:hAnsi="华文新魏" w:eastAsia="华文新魏" w:cs="华文新魏"/>
          <w:b/>
          <w:sz w:val="36"/>
          <w:szCs w:val="36"/>
          <w:lang w:eastAsia="zh-CN"/>
        </w:rPr>
        <w:t>舟山市普陀区海洋经济发展局</w:t>
      </w:r>
    </w:p>
    <w:p w14:paraId="32638D20">
      <w:pPr>
        <w:snapToGrid w:val="0"/>
        <w:spacing w:before="120" w:line="312" w:lineRule="auto"/>
        <w:rPr>
          <w:rFonts w:hint="eastAsia" w:ascii="华文新魏" w:hAnsi="华文新魏" w:eastAsia="华文新魏" w:cs="华文新魏"/>
          <w:b/>
          <w:w w:val="95"/>
          <w:sz w:val="36"/>
          <w:szCs w:val="36"/>
        </w:rPr>
      </w:pPr>
    </w:p>
    <w:p w14:paraId="6ED50CD8">
      <w:pPr>
        <w:snapToGrid w:val="0"/>
        <w:spacing w:before="120" w:line="312" w:lineRule="auto"/>
        <w:rPr>
          <w:rFonts w:hint="eastAsia" w:ascii="华文新魏" w:hAnsi="华文新魏" w:eastAsia="华文新魏" w:cs="华文新魏"/>
          <w:b/>
          <w:w w:val="95"/>
          <w:sz w:val="36"/>
          <w:szCs w:val="36"/>
        </w:rPr>
      </w:pPr>
      <w:r>
        <w:rPr>
          <w:rFonts w:hint="eastAsia" w:ascii="华文新魏" w:hAnsi="华文新魏" w:eastAsia="华文新魏" w:cs="华文新魏"/>
          <w:b/>
          <w:w w:val="95"/>
          <w:sz w:val="36"/>
          <w:szCs w:val="36"/>
        </w:rPr>
        <w:t>代理机构：深圳市国信招标有限公司</w:t>
      </w:r>
    </w:p>
    <w:p w14:paraId="2B25C4D6">
      <w:pPr>
        <w:snapToGrid w:val="0"/>
        <w:spacing w:before="120" w:line="312" w:lineRule="auto"/>
        <w:ind w:left="5961" w:hanging="6714" w:hangingChars="1961"/>
        <w:rPr>
          <w:rFonts w:hint="eastAsia" w:ascii="华文新魏" w:hAnsi="华文新魏" w:eastAsia="华文新魏" w:cs="华文新魏"/>
          <w:b/>
          <w:w w:val="95"/>
          <w:sz w:val="36"/>
          <w:szCs w:val="36"/>
        </w:rPr>
      </w:pPr>
    </w:p>
    <w:p w14:paraId="6DE05734">
      <w:pPr>
        <w:snapToGrid w:val="0"/>
        <w:spacing w:before="120" w:line="312" w:lineRule="auto"/>
        <w:rPr>
          <w:rFonts w:hint="eastAsia" w:ascii="华文新魏" w:hAnsi="华文新魏" w:eastAsia="华文新魏" w:cs="华文新魏"/>
          <w:b/>
          <w:w w:val="95"/>
          <w:sz w:val="36"/>
          <w:szCs w:val="36"/>
        </w:rPr>
      </w:pPr>
    </w:p>
    <w:p w14:paraId="2683F0EE">
      <w:pPr>
        <w:snapToGrid w:val="0"/>
        <w:spacing w:before="120" w:line="312" w:lineRule="auto"/>
        <w:jc w:val="center"/>
        <w:rPr>
          <w:rFonts w:hint="eastAsia" w:ascii="华文新魏" w:hAnsi="华文新魏" w:eastAsia="华文新魏" w:cs="华文新魏"/>
          <w:b/>
          <w:w w:val="95"/>
          <w:sz w:val="36"/>
          <w:szCs w:val="36"/>
        </w:rPr>
      </w:pPr>
      <w:r>
        <w:rPr>
          <w:rFonts w:hint="eastAsia" w:ascii="华文新魏" w:hAnsi="华文新魏" w:eastAsia="华文新魏" w:cs="华文新魏"/>
          <w:b/>
          <w:w w:val="95"/>
          <w:sz w:val="36"/>
          <w:szCs w:val="36"/>
          <w:lang w:val="en-US" w:eastAsia="zh-CN"/>
        </w:rPr>
        <w:t xml:space="preserve">                    </w:t>
      </w:r>
      <w:r>
        <w:rPr>
          <w:rFonts w:hint="eastAsia" w:ascii="华文新魏" w:hAnsi="华文新魏" w:eastAsia="华文新魏" w:cs="华文新魏"/>
          <w:b/>
          <w:w w:val="95"/>
          <w:sz w:val="36"/>
          <w:szCs w:val="36"/>
        </w:rPr>
        <w:t>202</w:t>
      </w:r>
      <w:r>
        <w:rPr>
          <w:rFonts w:hint="eastAsia" w:ascii="华文新魏" w:hAnsi="华文新魏" w:eastAsia="华文新魏" w:cs="华文新魏"/>
          <w:b/>
          <w:w w:val="95"/>
          <w:sz w:val="36"/>
          <w:szCs w:val="36"/>
          <w:lang w:val="en-US" w:eastAsia="zh-CN"/>
        </w:rPr>
        <w:t>5</w:t>
      </w:r>
      <w:r>
        <w:rPr>
          <w:rFonts w:hint="eastAsia" w:ascii="华文新魏" w:hAnsi="华文新魏" w:eastAsia="华文新魏" w:cs="华文新魏"/>
          <w:b/>
          <w:w w:val="95"/>
          <w:sz w:val="36"/>
          <w:szCs w:val="36"/>
        </w:rPr>
        <w:t>年</w:t>
      </w:r>
      <w:r>
        <w:rPr>
          <w:rFonts w:hint="eastAsia" w:ascii="华文新魏" w:hAnsi="华文新魏" w:eastAsia="华文新魏" w:cs="华文新魏"/>
          <w:b/>
          <w:w w:val="95"/>
          <w:sz w:val="36"/>
          <w:szCs w:val="36"/>
          <w:lang w:val="en-US" w:eastAsia="zh-CN"/>
        </w:rPr>
        <w:t>07</w:t>
      </w:r>
      <w:r>
        <w:rPr>
          <w:rFonts w:hint="eastAsia" w:ascii="华文新魏" w:hAnsi="华文新魏" w:eastAsia="华文新魏" w:cs="华文新魏"/>
          <w:b/>
          <w:w w:val="95"/>
          <w:sz w:val="36"/>
          <w:szCs w:val="36"/>
        </w:rPr>
        <w:t>月</w:t>
      </w:r>
      <w:r>
        <w:rPr>
          <w:rFonts w:hint="eastAsia" w:ascii="华文新魏" w:hAnsi="华文新魏" w:eastAsia="华文新魏" w:cs="华文新魏"/>
          <w:b/>
          <w:w w:val="95"/>
          <w:sz w:val="36"/>
          <w:szCs w:val="36"/>
          <w:lang w:val="en-US" w:eastAsia="zh-CN"/>
        </w:rPr>
        <w:t>17</w:t>
      </w:r>
      <w:r>
        <w:rPr>
          <w:rFonts w:hint="eastAsia" w:ascii="华文新魏" w:hAnsi="华文新魏" w:eastAsia="华文新魏" w:cs="华文新魏"/>
          <w:b/>
          <w:w w:val="95"/>
          <w:sz w:val="36"/>
          <w:szCs w:val="36"/>
        </w:rPr>
        <w:t>日</w:t>
      </w:r>
    </w:p>
    <w:p w14:paraId="1986F817">
      <w:pPr>
        <w:widowControl/>
        <w:spacing w:line="312" w:lineRule="auto"/>
        <w:jc w:val="left"/>
        <w:rPr>
          <w:rFonts w:hint="eastAsia" w:ascii="华文新魏" w:hAnsi="华文新魏" w:eastAsia="华文新魏" w:cs="华文新魏"/>
          <w:kern w:val="0"/>
          <w:sz w:val="36"/>
          <w:szCs w:val="36"/>
        </w:rPr>
        <w:sectPr>
          <w:headerReference r:id="rId5" w:type="default"/>
          <w:footerReference r:id="rId6" w:type="default"/>
          <w:pgSz w:w="11906" w:h="16838"/>
          <w:pgMar w:top="1304" w:right="1106" w:bottom="1304" w:left="1531" w:header="1304" w:footer="1304" w:gutter="0"/>
          <w:cols w:space="720" w:num="1"/>
        </w:sectPr>
      </w:pPr>
    </w:p>
    <w:p w14:paraId="1F43E6F1">
      <w:pPr>
        <w:snapToGrid w:val="0"/>
        <w:spacing w:before="120" w:line="312" w:lineRule="auto"/>
        <w:rPr>
          <w:rFonts w:eastAsia="创艺简标宋"/>
          <w:sz w:val="44"/>
        </w:rPr>
      </w:pPr>
    </w:p>
    <w:p w14:paraId="49E1C4F5">
      <w:pPr>
        <w:snapToGrid w:val="0"/>
        <w:spacing w:before="120" w:line="312" w:lineRule="auto"/>
        <w:jc w:val="center"/>
        <w:rPr>
          <w:b/>
          <w:sz w:val="44"/>
        </w:rPr>
      </w:pPr>
      <w:r>
        <w:rPr>
          <w:rFonts w:hint="eastAsia"/>
          <w:b/>
          <w:sz w:val="44"/>
        </w:rPr>
        <w:t>目录</w:t>
      </w:r>
    </w:p>
    <w:p w14:paraId="69A75E56">
      <w:pPr>
        <w:spacing w:after="120"/>
        <w:ind w:firstLine="210" w:firstLineChars="100"/>
        <w:rPr>
          <w:kern w:val="0"/>
        </w:rPr>
      </w:pPr>
    </w:p>
    <w:p w14:paraId="3732CA0F">
      <w:pPr>
        <w:widowControl/>
        <w:numPr>
          <w:ilvl w:val="0"/>
          <w:numId w:val="6"/>
        </w:numPr>
        <w:overflowPunct w:val="0"/>
        <w:autoSpaceDE w:val="0"/>
        <w:autoSpaceDN w:val="0"/>
        <w:adjustRightInd w:val="0"/>
        <w:snapToGrid w:val="0"/>
        <w:spacing w:line="360" w:lineRule="auto"/>
        <w:rPr>
          <w:sz w:val="24"/>
        </w:rPr>
      </w:pPr>
      <w:r>
        <w:rPr>
          <w:rFonts w:hint="eastAsia"/>
          <w:sz w:val="24"/>
        </w:rPr>
        <w:t>采购公告</w:t>
      </w:r>
    </w:p>
    <w:p w14:paraId="3AA0A542">
      <w:pPr>
        <w:widowControl/>
        <w:numPr>
          <w:ilvl w:val="0"/>
          <w:numId w:val="6"/>
        </w:numPr>
        <w:overflowPunct w:val="0"/>
        <w:autoSpaceDE w:val="0"/>
        <w:autoSpaceDN w:val="0"/>
        <w:adjustRightInd w:val="0"/>
        <w:snapToGrid w:val="0"/>
        <w:spacing w:line="360" w:lineRule="auto"/>
        <w:rPr>
          <w:sz w:val="24"/>
        </w:rPr>
      </w:pPr>
      <w:r>
        <w:rPr>
          <w:rFonts w:hint="eastAsia"/>
          <w:sz w:val="24"/>
        </w:rPr>
        <w:t>招标需求</w:t>
      </w:r>
    </w:p>
    <w:p w14:paraId="30FA5694">
      <w:pPr>
        <w:widowControl/>
        <w:numPr>
          <w:ilvl w:val="0"/>
          <w:numId w:val="6"/>
        </w:numPr>
        <w:overflowPunct w:val="0"/>
        <w:autoSpaceDE w:val="0"/>
        <w:autoSpaceDN w:val="0"/>
        <w:adjustRightInd w:val="0"/>
        <w:snapToGrid w:val="0"/>
        <w:spacing w:line="360" w:lineRule="auto"/>
        <w:rPr>
          <w:sz w:val="24"/>
        </w:rPr>
      </w:pPr>
      <w:r>
        <w:rPr>
          <w:rFonts w:hint="eastAsia"/>
          <w:sz w:val="24"/>
        </w:rPr>
        <w:t>投标人须知</w:t>
      </w:r>
    </w:p>
    <w:p w14:paraId="729DDDBD">
      <w:pPr>
        <w:snapToGrid w:val="0"/>
        <w:spacing w:line="360" w:lineRule="auto"/>
        <w:ind w:left="1440"/>
        <w:rPr>
          <w:sz w:val="24"/>
        </w:rPr>
      </w:pPr>
      <w:r>
        <w:rPr>
          <w:rFonts w:hint="eastAsia"/>
          <w:sz w:val="24"/>
        </w:rPr>
        <w:t>前附表</w:t>
      </w:r>
    </w:p>
    <w:p w14:paraId="7AF6BD5D">
      <w:pPr>
        <w:widowControl/>
        <w:numPr>
          <w:ilvl w:val="1"/>
          <w:numId w:val="6"/>
        </w:numPr>
        <w:overflowPunct w:val="0"/>
        <w:autoSpaceDE w:val="0"/>
        <w:autoSpaceDN w:val="0"/>
        <w:adjustRightInd w:val="0"/>
        <w:snapToGrid w:val="0"/>
        <w:spacing w:line="360" w:lineRule="auto"/>
        <w:rPr>
          <w:sz w:val="24"/>
        </w:rPr>
      </w:pPr>
      <w:r>
        <w:rPr>
          <w:rFonts w:hint="eastAsia"/>
          <w:sz w:val="24"/>
        </w:rPr>
        <w:t>总则</w:t>
      </w:r>
    </w:p>
    <w:p w14:paraId="347735CC">
      <w:pPr>
        <w:widowControl/>
        <w:numPr>
          <w:ilvl w:val="1"/>
          <w:numId w:val="6"/>
        </w:numPr>
        <w:overflowPunct w:val="0"/>
        <w:autoSpaceDE w:val="0"/>
        <w:autoSpaceDN w:val="0"/>
        <w:adjustRightInd w:val="0"/>
        <w:snapToGrid w:val="0"/>
        <w:spacing w:line="360" w:lineRule="auto"/>
        <w:rPr>
          <w:sz w:val="24"/>
        </w:rPr>
      </w:pPr>
      <w:r>
        <w:rPr>
          <w:rFonts w:hint="eastAsia"/>
          <w:sz w:val="24"/>
        </w:rPr>
        <w:t>招标文件</w:t>
      </w:r>
    </w:p>
    <w:p w14:paraId="086042D9">
      <w:pPr>
        <w:widowControl/>
        <w:numPr>
          <w:ilvl w:val="1"/>
          <w:numId w:val="6"/>
        </w:numPr>
        <w:overflowPunct w:val="0"/>
        <w:autoSpaceDE w:val="0"/>
        <w:autoSpaceDN w:val="0"/>
        <w:adjustRightInd w:val="0"/>
        <w:snapToGrid w:val="0"/>
        <w:spacing w:line="360" w:lineRule="auto"/>
        <w:rPr>
          <w:sz w:val="24"/>
        </w:rPr>
      </w:pPr>
      <w:r>
        <w:rPr>
          <w:rFonts w:hint="eastAsia"/>
          <w:sz w:val="24"/>
        </w:rPr>
        <w:t>投标文件编制</w:t>
      </w:r>
    </w:p>
    <w:p w14:paraId="1B547B3D">
      <w:pPr>
        <w:widowControl/>
        <w:numPr>
          <w:ilvl w:val="1"/>
          <w:numId w:val="6"/>
        </w:numPr>
        <w:overflowPunct w:val="0"/>
        <w:autoSpaceDE w:val="0"/>
        <w:autoSpaceDN w:val="0"/>
        <w:adjustRightInd w:val="0"/>
        <w:snapToGrid w:val="0"/>
        <w:spacing w:line="360" w:lineRule="auto"/>
        <w:rPr>
          <w:sz w:val="24"/>
        </w:rPr>
      </w:pPr>
      <w:r>
        <w:rPr>
          <w:rFonts w:hint="eastAsia"/>
          <w:sz w:val="24"/>
        </w:rPr>
        <w:t>开标</w:t>
      </w:r>
    </w:p>
    <w:p w14:paraId="09B86A25">
      <w:pPr>
        <w:widowControl/>
        <w:numPr>
          <w:ilvl w:val="1"/>
          <w:numId w:val="6"/>
        </w:numPr>
        <w:overflowPunct w:val="0"/>
        <w:autoSpaceDE w:val="0"/>
        <w:autoSpaceDN w:val="0"/>
        <w:adjustRightInd w:val="0"/>
        <w:snapToGrid w:val="0"/>
        <w:spacing w:line="360" w:lineRule="auto"/>
        <w:rPr>
          <w:sz w:val="24"/>
        </w:rPr>
      </w:pPr>
      <w:r>
        <w:rPr>
          <w:rFonts w:hint="eastAsia"/>
          <w:sz w:val="24"/>
        </w:rPr>
        <w:t>评标</w:t>
      </w:r>
    </w:p>
    <w:p w14:paraId="63369A64">
      <w:pPr>
        <w:widowControl/>
        <w:numPr>
          <w:ilvl w:val="1"/>
          <w:numId w:val="6"/>
        </w:numPr>
        <w:overflowPunct w:val="0"/>
        <w:autoSpaceDE w:val="0"/>
        <w:autoSpaceDN w:val="0"/>
        <w:adjustRightInd w:val="0"/>
        <w:snapToGrid w:val="0"/>
        <w:spacing w:line="360" w:lineRule="auto"/>
        <w:rPr>
          <w:sz w:val="24"/>
        </w:rPr>
      </w:pPr>
      <w:r>
        <w:rPr>
          <w:rFonts w:hint="eastAsia"/>
          <w:sz w:val="24"/>
        </w:rPr>
        <w:t>定标</w:t>
      </w:r>
    </w:p>
    <w:p w14:paraId="36F55010">
      <w:pPr>
        <w:widowControl/>
        <w:numPr>
          <w:ilvl w:val="1"/>
          <w:numId w:val="6"/>
        </w:numPr>
        <w:overflowPunct w:val="0"/>
        <w:autoSpaceDE w:val="0"/>
        <w:autoSpaceDN w:val="0"/>
        <w:adjustRightInd w:val="0"/>
        <w:snapToGrid w:val="0"/>
        <w:spacing w:line="360" w:lineRule="auto"/>
        <w:rPr>
          <w:sz w:val="24"/>
        </w:rPr>
      </w:pPr>
      <w:r>
        <w:rPr>
          <w:rFonts w:hint="eastAsia"/>
          <w:sz w:val="24"/>
        </w:rPr>
        <w:t>合同授予</w:t>
      </w:r>
    </w:p>
    <w:p w14:paraId="38CC95DD">
      <w:pPr>
        <w:widowControl/>
        <w:overflowPunct w:val="0"/>
        <w:autoSpaceDE w:val="0"/>
        <w:autoSpaceDN w:val="0"/>
        <w:adjustRightInd w:val="0"/>
        <w:snapToGrid w:val="0"/>
        <w:spacing w:line="360" w:lineRule="auto"/>
        <w:ind w:left="165"/>
        <w:rPr>
          <w:sz w:val="24"/>
        </w:rPr>
      </w:pPr>
      <w:r>
        <w:rPr>
          <w:rFonts w:hint="eastAsia"/>
          <w:sz w:val="24"/>
        </w:rPr>
        <w:t xml:space="preserve">第四章 </w:t>
      </w:r>
      <w:r>
        <w:rPr>
          <w:rFonts w:hint="eastAsia"/>
          <w:sz w:val="24"/>
          <w:lang w:val="en-US" w:eastAsia="zh-CN"/>
        </w:rPr>
        <w:t xml:space="preserve">   </w:t>
      </w:r>
      <w:r>
        <w:rPr>
          <w:rFonts w:hint="eastAsia"/>
          <w:sz w:val="24"/>
          <w:lang w:eastAsia="zh-CN"/>
        </w:rPr>
        <w:t>评标方法</w:t>
      </w:r>
      <w:r>
        <w:rPr>
          <w:rFonts w:hint="eastAsia"/>
          <w:sz w:val="24"/>
        </w:rPr>
        <w:t>及评分标准</w:t>
      </w:r>
    </w:p>
    <w:p w14:paraId="3BBD8C5C">
      <w:pPr>
        <w:widowControl/>
        <w:overflowPunct w:val="0"/>
        <w:autoSpaceDE w:val="0"/>
        <w:autoSpaceDN w:val="0"/>
        <w:adjustRightInd w:val="0"/>
        <w:snapToGrid w:val="0"/>
        <w:spacing w:line="360" w:lineRule="auto"/>
        <w:ind w:left="165"/>
        <w:rPr>
          <w:sz w:val="24"/>
        </w:rPr>
      </w:pPr>
      <w:r>
        <w:rPr>
          <w:rFonts w:hint="eastAsia"/>
          <w:sz w:val="24"/>
        </w:rPr>
        <w:t xml:space="preserve">第五章 </w:t>
      </w:r>
      <w:r>
        <w:rPr>
          <w:rFonts w:hint="eastAsia"/>
          <w:sz w:val="24"/>
          <w:lang w:val="en-US" w:eastAsia="zh-CN"/>
        </w:rPr>
        <w:t xml:space="preserve">   </w:t>
      </w:r>
      <w:r>
        <w:rPr>
          <w:rFonts w:hint="eastAsia"/>
          <w:sz w:val="24"/>
        </w:rPr>
        <w:t>政府采购合同主要条款</w:t>
      </w:r>
    </w:p>
    <w:p w14:paraId="2ADF01DF">
      <w:pPr>
        <w:widowControl/>
        <w:overflowPunct w:val="0"/>
        <w:autoSpaceDE w:val="0"/>
        <w:autoSpaceDN w:val="0"/>
        <w:adjustRightInd w:val="0"/>
        <w:snapToGrid w:val="0"/>
        <w:spacing w:line="360" w:lineRule="auto"/>
        <w:ind w:left="165"/>
        <w:rPr>
          <w:sz w:val="24"/>
        </w:rPr>
      </w:pPr>
      <w:r>
        <w:rPr>
          <w:rFonts w:hint="eastAsia"/>
          <w:sz w:val="24"/>
        </w:rPr>
        <w:t xml:space="preserve">第六章 </w:t>
      </w:r>
      <w:r>
        <w:rPr>
          <w:rFonts w:hint="eastAsia"/>
          <w:sz w:val="24"/>
          <w:lang w:val="en-US" w:eastAsia="zh-CN"/>
        </w:rPr>
        <w:t xml:space="preserve">   </w:t>
      </w:r>
      <w:r>
        <w:rPr>
          <w:rFonts w:hint="eastAsia"/>
          <w:sz w:val="24"/>
        </w:rPr>
        <w:t>投标文件相关格式</w:t>
      </w:r>
    </w:p>
    <w:p w14:paraId="02D57A99">
      <w:pPr>
        <w:snapToGrid w:val="0"/>
        <w:spacing w:before="120" w:line="312" w:lineRule="auto"/>
        <w:outlineLvl w:val="0"/>
      </w:pPr>
    </w:p>
    <w:p w14:paraId="2ED6BEF7">
      <w:pPr>
        <w:snapToGrid w:val="0"/>
        <w:spacing w:before="120" w:line="312" w:lineRule="auto"/>
        <w:outlineLvl w:val="0"/>
      </w:pPr>
    </w:p>
    <w:p w14:paraId="1A61D83D">
      <w:pPr>
        <w:snapToGrid w:val="0"/>
        <w:spacing w:before="120" w:line="312" w:lineRule="auto"/>
        <w:outlineLvl w:val="0"/>
      </w:pPr>
    </w:p>
    <w:p w14:paraId="1552AFF7">
      <w:pPr>
        <w:snapToGrid w:val="0"/>
        <w:spacing w:before="120" w:line="312" w:lineRule="auto"/>
        <w:outlineLvl w:val="0"/>
      </w:pPr>
    </w:p>
    <w:p w14:paraId="24390085">
      <w:pPr>
        <w:snapToGrid w:val="0"/>
        <w:spacing w:before="120" w:line="312" w:lineRule="auto"/>
        <w:outlineLvl w:val="0"/>
      </w:pPr>
    </w:p>
    <w:p w14:paraId="10F1558F">
      <w:pPr>
        <w:snapToGrid w:val="0"/>
        <w:spacing w:before="120" w:line="312" w:lineRule="auto"/>
        <w:outlineLvl w:val="0"/>
      </w:pPr>
    </w:p>
    <w:p w14:paraId="107F739C">
      <w:pPr>
        <w:snapToGrid w:val="0"/>
        <w:spacing w:before="120" w:line="312" w:lineRule="auto"/>
        <w:outlineLvl w:val="0"/>
      </w:pPr>
    </w:p>
    <w:p w14:paraId="19ACBD61">
      <w:pPr>
        <w:widowControl/>
        <w:spacing w:line="312" w:lineRule="auto"/>
        <w:jc w:val="left"/>
        <w:rPr>
          <w:kern w:val="0"/>
        </w:rPr>
        <w:sectPr>
          <w:pgSz w:w="11906" w:h="16838"/>
          <w:pgMar w:top="1304" w:right="1106" w:bottom="1304" w:left="1531" w:header="1304" w:footer="1304" w:gutter="0"/>
          <w:cols w:space="720" w:num="1"/>
        </w:sectPr>
      </w:pPr>
    </w:p>
    <w:p w14:paraId="6321C825">
      <w:pPr>
        <w:snapToGrid w:val="0"/>
        <w:spacing w:before="120" w:line="312" w:lineRule="auto"/>
        <w:jc w:val="center"/>
        <w:outlineLvl w:val="0"/>
        <w:rPr>
          <w:rFonts w:eastAsia="黑体"/>
          <w:sz w:val="30"/>
        </w:rPr>
      </w:pPr>
      <w:r>
        <w:rPr>
          <w:rFonts w:hint="eastAsia" w:eastAsia="黑体"/>
          <w:sz w:val="30"/>
        </w:rPr>
        <w:t>第一章 公开招标采购公告</w:t>
      </w:r>
    </w:p>
    <w:p w14:paraId="1531DE9E">
      <w:pPr>
        <w:spacing w:line="312" w:lineRule="auto"/>
      </w:pPr>
    </w:p>
    <w:p w14:paraId="14C240F6">
      <w:pPr>
        <w:spacing w:line="360" w:lineRule="auto"/>
        <w:ind w:firstLine="420" w:firstLineChars="200"/>
        <w:rPr>
          <w:szCs w:val="21"/>
        </w:rPr>
      </w:pPr>
      <w:r>
        <w:rPr>
          <w:rFonts w:hint="eastAsia"/>
        </w:rPr>
        <w:t>根据《中华人民</w:t>
      </w:r>
      <w:r>
        <w:rPr>
          <w:rFonts w:hint="eastAsia"/>
          <w:szCs w:val="21"/>
        </w:rPr>
        <w:t>共和国政府采购法》等规定，受</w:t>
      </w:r>
      <w:r>
        <w:rPr>
          <w:rFonts w:hint="eastAsia"/>
          <w:szCs w:val="21"/>
          <w:lang w:eastAsia="zh-CN"/>
        </w:rPr>
        <w:t>舟山市普陀区海洋经济发展局</w:t>
      </w:r>
      <w:r>
        <w:rPr>
          <w:rFonts w:hint="eastAsia"/>
          <w:szCs w:val="21"/>
        </w:rPr>
        <w:t>委托，现就</w:t>
      </w:r>
      <w:r>
        <w:rPr>
          <w:rFonts w:hint="eastAsia"/>
          <w:szCs w:val="21"/>
          <w:lang w:eastAsia="zh-CN"/>
        </w:rPr>
        <w:t>2025年普陀区海洋经济运行监测和评估项目</w:t>
      </w:r>
      <w:r>
        <w:rPr>
          <w:rFonts w:hint="eastAsia"/>
          <w:szCs w:val="21"/>
        </w:rPr>
        <w:t>进行公开招标，欢迎符合资质要求并能提供相关服务的供应商参加投标。</w:t>
      </w:r>
    </w:p>
    <w:p w14:paraId="35CF91CE">
      <w:pPr>
        <w:widowControl/>
        <w:spacing w:line="360" w:lineRule="auto"/>
        <w:ind w:firstLine="422" w:firstLineChars="200"/>
        <w:jc w:val="left"/>
        <w:rPr>
          <w:rFonts w:hint="eastAsia" w:eastAsia="宋体"/>
          <w:b/>
          <w:bCs/>
          <w:szCs w:val="21"/>
          <w:lang w:eastAsia="zh-CN"/>
        </w:rPr>
      </w:pPr>
      <w:r>
        <w:rPr>
          <w:rFonts w:hint="eastAsia"/>
          <w:b/>
          <w:bCs/>
          <w:szCs w:val="21"/>
        </w:rPr>
        <w:t>一、项目名称：</w:t>
      </w:r>
      <w:r>
        <w:rPr>
          <w:rFonts w:hint="eastAsia"/>
          <w:szCs w:val="21"/>
          <w:lang w:eastAsia="zh-CN"/>
        </w:rPr>
        <w:t>2025年普陀区海洋经济运行监测和评估项目</w:t>
      </w:r>
    </w:p>
    <w:p w14:paraId="6F41AB14">
      <w:pPr>
        <w:widowControl/>
        <w:spacing w:line="360" w:lineRule="auto"/>
        <w:ind w:firstLine="422" w:firstLineChars="200"/>
        <w:jc w:val="left"/>
        <w:rPr>
          <w:rFonts w:hint="eastAsia" w:eastAsia="宋体"/>
          <w:b/>
          <w:bCs/>
          <w:sz w:val="28"/>
          <w:szCs w:val="28"/>
          <w:lang w:eastAsia="zh-CN"/>
        </w:rPr>
      </w:pPr>
      <w:r>
        <w:rPr>
          <w:rFonts w:hint="eastAsia"/>
          <w:b/>
          <w:bCs/>
          <w:szCs w:val="21"/>
        </w:rPr>
        <w:t>二、项目编号：</w:t>
      </w:r>
      <w:r>
        <w:rPr>
          <w:rFonts w:hint="eastAsia"/>
          <w:kern w:val="0"/>
          <w:szCs w:val="21"/>
          <w:shd w:val="clear" w:color="auto" w:fill="FFFFFF"/>
          <w:lang w:eastAsia="zh-CN"/>
        </w:rPr>
        <w:t>SZGXZS2025146</w:t>
      </w:r>
    </w:p>
    <w:p w14:paraId="5173FD71">
      <w:pPr>
        <w:widowControl/>
        <w:spacing w:line="360" w:lineRule="auto"/>
        <w:ind w:firstLine="422" w:firstLineChars="200"/>
        <w:rPr>
          <w:kern w:val="0"/>
          <w:szCs w:val="21"/>
          <w:shd w:val="clear" w:color="auto" w:fill="FFFFFF"/>
        </w:rPr>
      </w:pPr>
      <w:r>
        <w:rPr>
          <w:rFonts w:hint="eastAsia"/>
          <w:b/>
          <w:bCs/>
          <w:kern w:val="0"/>
          <w:szCs w:val="21"/>
        </w:rPr>
        <w:t>三、采购组织类型：</w:t>
      </w:r>
      <w:r>
        <w:rPr>
          <w:rFonts w:hint="eastAsia"/>
          <w:kern w:val="0"/>
          <w:szCs w:val="21"/>
          <w:shd w:val="clear" w:color="auto" w:fill="FFFFFF"/>
        </w:rPr>
        <w:t>分散采购委托代理</w:t>
      </w:r>
    </w:p>
    <w:p w14:paraId="4841849D">
      <w:pPr>
        <w:widowControl/>
        <w:spacing w:line="360" w:lineRule="auto"/>
        <w:ind w:firstLine="420" w:firstLineChars="200"/>
        <w:rPr>
          <w:rFonts w:hint="eastAsia" w:ascii="等线" w:hAnsi="等线"/>
        </w:rPr>
      </w:pPr>
      <w:bookmarkStart w:id="1" w:name="_Hlk169071784"/>
      <w:r>
        <w:rPr>
          <w:rFonts w:hint="eastAsia"/>
          <w:kern w:val="0"/>
          <w:szCs w:val="21"/>
          <w:shd w:val="clear" w:color="auto" w:fill="FFFFFF"/>
        </w:rPr>
        <w:t>四、</w:t>
      </w:r>
      <w:r>
        <w:rPr>
          <w:rFonts w:hint="eastAsia"/>
          <w:b/>
          <w:bCs/>
          <w:kern w:val="0"/>
          <w:szCs w:val="21"/>
        </w:rPr>
        <w:t>招标项目概况（内容、用途、数量、简要技术要求等）</w:t>
      </w:r>
      <w:r>
        <w:rPr>
          <w:b/>
          <w:bCs/>
          <w:kern w:val="0"/>
          <w:szCs w:val="21"/>
        </w:rPr>
        <w:t>:</w:t>
      </w:r>
    </w:p>
    <w:tbl>
      <w:tblPr>
        <w:tblStyle w:val="61"/>
        <w:tblpPr w:leftFromText="180" w:rightFromText="180" w:vertAnchor="text" w:horzAnchor="page" w:tblpXSpec="center" w:tblpY="207"/>
        <w:tblOverlap w:val="never"/>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4454"/>
        <w:gridCol w:w="1884"/>
        <w:gridCol w:w="1741"/>
      </w:tblGrid>
      <w:tr w14:paraId="1677D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tcBorders>
              <w:top w:val="single" w:color="000000" w:sz="4" w:space="0"/>
              <w:left w:val="single" w:color="000000" w:sz="4" w:space="0"/>
              <w:bottom w:val="single" w:color="000000" w:sz="4" w:space="0"/>
              <w:right w:val="single" w:color="000000" w:sz="4" w:space="0"/>
            </w:tcBorders>
            <w:vAlign w:val="center"/>
          </w:tcPr>
          <w:p w14:paraId="0DECB67E">
            <w:pPr>
              <w:widowControl/>
              <w:spacing w:line="360" w:lineRule="auto"/>
              <w:jc w:val="left"/>
              <w:rPr>
                <w:kern w:val="0"/>
                <w:szCs w:val="21"/>
              </w:rPr>
            </w:pPr>
            <w:r>
              <w:rPr>
                <w:rFonts w:hint="eastAsia"/>
                <w:kern w:val="0"/>
                <w:szCs w:val="21"/>
              </w:rPr>
              <w:t>序号</w:t>
            </w:r>
          </w:p>
          <w:bookmarkEnd w:id="1"/>
        </w:tc>
        <w:tc>
          <w:tcPr>
            <w:tcW w:w="4454" w:type="dxa"/>
            <w:tcBorders>
              <w:top w:val="single" w:color="000000" w:sz="4" w:space="0"/>
              <w:left w:val="single" w:color="000000" w:sz="4" w:space="0"/>
              <w:bottom w:val="single" w:color="000000" w:sz="4" w:space="0"/>
              <w:right w:val="single" w:color="000000" w:sz="4" w:space="0"/>
            </w:tcBorders>
            <w:vAlign w:val="center"/>
          </w:tcPr>
          <w:p w14:paraId="708A5AED">
            <w:pPr>
              <w:widowControl/>
              <w:spacing w:line="360" w:lineRule="auto"/>
              <w:ind w:firstLine="630" w:firstLineChars="300"/>
              <w:jc w:val="both"/>
              <w:rPr>
                <w:kern w:val="0"/>
                <w:szCs w:val="21"/>
              </w:rPr>
            </w:pPr>
            <w:r>
              <w:rPr>
                <w:rFonts w:hint="eastAsia"/>
                <w:kern w:val="0"/>
                <w:szCs w:val="21"/>
              </w:rPr>
              <w:t>项目名称及内容</w:t>
            </w:r>
          </w:p>
        </w:tc>
        <w:tc>
          <w:tcPr>
            <w:tcW w:w="1884" w:type="dxa"/>
            <w:tcBorders>
              <w:top w:val="single" w:color="000000" w:sz="4" w:space="0"/>
              <w:left w:val="single" w:color="000000" w:sz="4" w:space="0"/>
              <w:bottom w:val="single" w:color="000000" w:sz="4" w:space="0"/>
              <w:right w:val="single" w:color="000000" w:sz="4" w:space="0"/>
            </w:tcBorders>
            <w:vAlign w:val="center"/>
          </w:tcPr>
          <w:p w14:paraId="626C617A">
            <w:pPr>
              <w:widowControl/>
              <w:spacing w:line="360" w:lineRule="auto"/>
              <w:jc w:val="center"/>
              <w:rPr>
                <w:rFonts w:hint="eastAsia" w:eastAsia="宋体"/>
                <w:kern w:val="0"/>
                <w:szCs w:val="21"/>
                <w:lang w:eastAsia="zh-CN"/>
              </w:rPr>
            </w:pPr>
            <w:r>
              <w:rPr>
                <w:rFonts w:hint="eastAsia"/>
                <w:kern w:val="0"/>
                <w:szCs w:val="21"/>
              </w:rPr>
              <w:t>预算金额</w:t>
            </w:r>
            <w:r>
              <w:rPr>
                <w:rFonts w:hint="eastAsia"/>
                <w:kern w:val="0"/>
                <w:szCs w:val="21"/>
                <w:lang w:eastAsia="zh-CN"/>
              </w:rPr>
              <w:t>（</w:t>
            </w:r>
            <w:r>
              <w:rPr>
                <w:rFonts w:hint="eastAsia"/>
                <w:kern w:val="0"/>
                <w:szCs w:val="21"/>
                <w:lang w:val="en-US" w:eastAsia="zh-CN"/>
              </w:rPr>
              <w:t>万元</w:t>
            </w:r>
            <w:r>
              <w:rPr>
                <w:rFonts w:hint="eastAsia"/>
                <w:kern w:val="0"/>
                <w:szCs w:val="21"/>
                <w:lang w:eastAsia="zh-CN"/>
              </w:rPr>
              <w:t>）</w:t>
            </w:r>
          </w:p>
        </w:tc>
        <w:tc>
          <w:tcPr>
            <w:tcW w:w="1741" w:type="dxa"/>
            <w:tcBorders>
              <w:top w:val="single" w:color="000000" w:sz="4" w:space="0"/>
              <w:left w:val="single" w:color="000000" w:sz="4" w:space="0"/>
              <w:bottom w:val="single" w:color="000000" w:sz="4" w:space="0"/>
              <w:right w:val="single" w:color="000000" w:sz="4" w:space="0"/>
            </w:tcBorders>
            <w:vAlign w:val="center"/>
          </w:tcPr>
          <w:p w14:paraId="1895250A">
            <w:pPr>
              <w:widowControl/>
              <w:spacing w:line="360" w:lineRule="auto"/>
              <w:ind w:firstLine="420" w:firstLineChars="200"/>
              <w:jc w:val="left"/>
              <w:rPr>
                <w:rFonts w:hint="eastAsia" w:eastAsia="宋体"/>
                <w:kern w:val="0"/>
                <w:szCs w:val="21"/>
                <w:lang w:eastAsia="zh-CN"/>
              </w:rPr>
            </w:pPr>
            <w:r>
              <w:rPr>
                <w:rFonts w:hint="eastAsia"/>
                <w:kern w:val="0"/>
                <w:szCs w:val="21"/>
                <w:lang w:val="en-US" w:eastAsia="zh-CN"/>
              </w:rPr>
              <w:t>备注</w:t>
            </w:r>
          </w:p>
        </w:tc>
      </w:tr>
      <w:tr w14:paraId="5C529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672" w:type="dxa"/>
            <w:tcBorders>
              <w:top w:val="single" w:color="000000" w:sz="4" w:space="0"/>
              <w:left w:val="single" w:color="000000" w:sz="4" w:space="0"/>
              <w:bottom w:val="single" w:color="000000" w:sz="4" w:space="0"/>
              <w:right w:val="single" w:color="000000" w:sz="4" w:space="0"/>
            </w:tcBorders>
            <w:vAlign w:val="center"/>
          </w:tcPr>
          <w:p w14:paraId="492A4B46">
            <w:pPr>
              <w:widowControl/>
              <w:spacing w:line="360" w:lineRule="auto"/>
              <w:jc w:val="center"/>
              <w:rPr>
                <w:kern w:val="0"/>
                <w:szCs w:val="21"/>
              </w:rPr>
            </w:pPr>
            <w:r>
              <w:rPr>
                <w:rFonts w:hint="eastAsia"/>
                <w:kern w:val="0"/>
                <w:szCs w:val="21"/>
              </w:rPr>
              <w:t>1</w:t>
            </w:r>
          </w:p>
        </w:tc>
        <w:tc>
          <w:tcPr>
            <w:tcW w:w="4454" w:type="dxa"/>
            <w:tcBorders>
              <w:top w:val="single" w:color="000000" w:sz="4" w:space="0"/>
              <w:left w:val="single" w:color="000000" w:sz="4" w:space="0"/>
              <w:bottom w:val="single" w:color="000000" w:sz="4" w:space="0"/>
              <w:right w:val="single" w:color="000000" w:sz="4" w:space="0"/>
            </w:tcBorders>
            <w:vAlign w:val="center"/>
          </w:tcPr>
          <w:p w14:paraId="1E53CFC8">
            <w:pPr>
              <w:widowControl/>
              <w:spacing w:line="360" w:lineRule="auto"/>
              <w:jc w:val="center"/>
              <w:rPr>
                <w:rFonts w:hint="eastAsia" w:eastAsia="宋体"/>
                <w:color w:val="auto"/>
                <w:kern w:val="0"/>
                <w:szCs w:val="21"/>
                <w:lang w:eastAsia="zh-CN"/>
              </w:rPr>
            </w:pPr>
            <w:r>
              <w:rPr>
                <w:rFonts w:hint="eastAsia"/>
                <w:color w:val="auto"/>
                <w:kern w:val="0"/>
                <w:szCs w:val="21"/>
                <w:lang w:eastAsia="zh-CN"/>
              </w:rPr>
              <w:t>2025年普陀区海洋经济运行监测和评估项目</w:t>
            </w:r>
          </w:p>
        </w:tc>
        <w:tc>
          <w:tcPr>
            <w:tcW w:w="1884" w:type="dxa"/>
            <w:tcBorders>
              <w:top w:val="single" w:color="000000" w:sz="4" w:space="0"/>
              <w:left w:val="single" w:color="000000" w:sz="4" w:space="0"/>
              <w:bottom w:val="single" w:color="000000" w:sz="4" w:space="0"/>
              <w:right w:val="single" w:color="000000" w:sz="4" w:space="0"/>
            </w:tcBorders>
            <w:vAlign w:val="center"/>
          </w:tcPr>
          <w:p w14:paraId="6256DC18">
            <w:pPr>
              <w:widowControl/>
              <w:spacing w:line="360" w:lineRule="auto"/>
              <w:jc w:val="center"/>
              <w:rPr>
                <w:rFonts w:hint="default" w:eastAsia="宋体"/>
                <w:color w:val="auto"/>
                <w:kern w:val="0"/>
                <w:szCs w:val="21"/>
                <w:lang w:val="en-US" w:eastAsia="zh-CN"/>
              </w:rPr>
            </w:pPr>
            <w:r>
              <w:rPr>
                <w:rFonts w:hint="eastAsia"/>
                <w:color w:val="auto"/>
                <w:kern w:val="0"/>
                <w:szCs w:val="21"/>
                <w:lang w:val="en-US" w:eastAsia="zh-CN"/>
              </w:rPr>
              <w:t>126</w:t>
            </w:r>
          </w:p>
        </w:tc>
        <w:tc>
          <w:tcPr>
            <w:tcW w:w="1741" w:type="dxa"/>
            <w:tcBorders>
              <w:top w:val="single" w:color="000000" w:sz="4" w:space="0"/>
              <w:left w:val="single" w:color="000000" w:sz="4" w:space="0"/>
              <w:bottom w:val="single" w:color="000000" w:sz="4" w:space="0"/>
              <w:right w:val="single" w:color="000000" w:sz="4" w:space="0"/>
            </w:tcBorders>
            <w:vAlign w:val="center"/>
          </w:tcPr>
          <w:p w14:paraId="03B19C46">
            <w:pPr>
              <w:widowControl/>
              <w:spacing w:line="360" w:lineRule="auto"/>
              <w:jc w:val="center"/>
              <w:rPr>
                <w:rFonts w:hint="eastAsia" w:eastAsia="宋体"/>
                <w:color w:val="auto"/>
                <w:kern w:val="0"/>
                <w:szCs w:val="21"/>
                <w:lang w:eastAsia="zh-CN"/>
              </w:rPr>
            </w:pPr>
          </w:p>
        </w:tc>
      </w:tr>
    </w:tbl>
    <w:p w14:paraId="1B39A848">
      <w:pPr>
        <w:widowControl/>
        <w:spacing w:line="360" w:lineRule="auto"/>
        <w:rPr>
          <w:b/>
          <w:bCs/>
          <w:kern w:val="0"/>
          <w:szCs w:val="21"/>
        </w:rPr>
      </w:pPr>
    </w:p>
    <w:p w14:paraId="099A9B52">
      <w:pPr>
        <w:widowControl/>
        <w:spacing w:line="360" w:lineRule="auto"/>
        <w:ind w:firstLine="422" w:firstLineChars="200"/>
        <w:rPr>
          <w:kern w:val="0"/>
          <w:szCs w:val="21"/>
        </w:rPr>
      </w:pPr>
      <w:r>
        <w:rPr>
          <w:rFonts w:hint="eastAsia"/>
          <w:b/>
          <w:bCs/>
          <w:kern w:val="0"/>
          <w:szCs w:val="21"/>
        </w:rPr>
        <w:t>五、投标供应商资格要求</w:t>
      </w:r>
      <w:r>
        <w:rPr>
          <w:b/>
          <w:bCs/>
          <w:kern w:val="0"/>
          <w:szCs w:val="21"/>
        </w:rPr>
        <w:t>:</w:t>
      </w:r>
    </w:p>
    <w:p w14:paraId="2EAAD870">
      <w:pPr>
        <w:widowControl/>
        <w:shd w:val="clear" w:color="auto" w:fill="FFFFFF"/>
        <w:spacing w:line="360" w:lineRule="auto"/>
        <w:ind w:firstLine="420" w:firstLineChars="200"/>
        <w:jc w:val="left"/>
        <w:rPr>
          <w:kern w:val="0"/>
          <w:szCs w:val="21"/>
        </w:rPr>
      </w:pPr>
      <w:r>
        <w:rPr>
          <w:kern w:val="0"/>
          <w:szCs w:val="21"/>
        </w:rPr>
        <w:t>1.</w:t>
      </w:r>
      <w:r>
        <w:rPr>
          <w:rFonts w:hint="eastAsia" w:ascii="宋体" w:hAnsi="宋体" w:cs="宋体"/>
          <w:kern w:val="0"/>
          <w:szCs w:val="21"/>
        </w:rPr>
        <w:t>①</w:t>
      </w:r>
      <w:r>
        <w:rPr>
          <w:rFonts w:hint="eastAsia"/>
          <w:kern w:val="0"/>
          <w:szCs w:val="21"/>
        </w:rPr>
        <w:t>具有独立承担民事责任的能力；</w:t>
      </w:r>
      <w:r>
        <w:rPr>
          <w:rFonts w:hint="eastAsia" w:ascii="宋体" w:hAnsi="宋体" w:cs="宋体"/>
          <w:kern w:val="0"/>
          <w:szCs w:val="21"/>
        </w:rPr>
        <w:t>②</w:t>
      </w:r>
      <w:r>
        <w:rPr>
          <w:rFonts w:hint="eastAsia"/>
          <w:kern w:val="0"/>
          <w:szCs w:val="21"/>
        </w:rPr>
        <w:t>具有良好的商业信誉和健全的财务会计制度；</w:t>
      </w:r>
      <w:r>
        <w:rPr>
          <w:rFonts w:hint="eastAsia" w:ascii="宋体" w:hAnsi="宋体" w:cs="宋体"/>
          <w:kern w:val="0"/>
          <w:szCs w:val="21"/>
        </w:rPr>
        <w:t>③</w:t>
      </w:r>
      <w:r>
        <w:rPr>
          <w:rFonts w:hint="eastAsia"/>
          <w:kern w:val="0"/>
          <w:szCs w:val="21"/>
        </w:rPr>
        <w:t>具有履行合同所必需的设备和专业技术能力；</w:t>
      </w:r>
      <w:r>
        <w:rPr>
          <w:rFonts w:hint="eastAsia" w:ascii="宋体" w:hAnsi="宋体" w:cs="宋体"/>
          <w:kern w:val="0"/>
          <w:szCs w:val="21"/>
        </w:rPr>
        <w:t>④</w:t>
      </w:r>
      <w:r>
        <w:rPr>
          <w:rFonts w:hint="eastAsia"/>
          <w:kern w:val="0"/>
          <w:szCs w:val="21"/>
        </w:rPr>
        <w:t>参加政府采购活动前三年内，无依法缴纳税收和社会保障资金的不良记录；</w:t>
      </w:r>
      <w:r>
        <w:rPr>
          <w:rFonts w:hint="eastAsia" w:ascii="宋体" w:hAnsi="宋体" w:cs="宋体"/>
          <w:kern w:val="0"/>
          <w:szCs w:val="21"/>
        </w:rPr>
        <w:t>⑤</w:t>
      </w:r>
      <w:r>
        <w:rPr>
          <w:rFonts w:hint="eastAsia"/>
          <w:kern w:val="0"/>
          <w:szCs w:val="21"/>
        </w:rPr>
        <w:t>参加政府采购活动前三年内，在经营活动中没有重大违法记录；</w:t>
      </w:r>
      <w:r>
        <w:rPr>
          <w:rFonts w:hint="eastAsia" w:ascii="宋体" w:hAnsi="宋体" w:cs="宋体"/>
          <w:kern w:val="0"/>
          <w:szCs w:val="21"/>
        </w:rPr>
        <w:t>⑥</w:t>
      </w:r>
      <w:r>
        <w:rPr>
          <w:rFonts w:hint="eastAsia"/>
          <w:kern w:val="0"/>
          <w:szCs w:val="21"/>
        </w:rPr>
        <w:t>法律、行政法规规定的其他条件。</w:t>
      </w:r>
    </w:p>
    <w:p w14:paraId="7E723913">
      <w:pPr>
        <w:widowControl/>
        <w:shd w:val="clear" w:color="auto" w:fill="FFFFFF"/>
        <w:spacing w:line="360" w:lineRule="auto"/>
        <w:ind w:firstLine="420" w:firstLineChars="200"/>
        <w:jc w:val="left"/>
        <w:rPr>
          <w:kern w:val="0"/>
          <w:szCs w:val="21"/>
        </w:rPr>
      </w:pPr>
      <w:r>
        <w:rPr>
          <w:kern w:val="0"/>
          <w:szCs w:val="21"/>
        </w:rPr>
        <w:t>2.</w:t>
      </w:r>
      <w:r>
        <w:rPr>
          <w:rFonts w:hint="eastAsia"/>
          <w:kern w:val="0"/>
          <w:szCs w:val="21"/>
        </w:rPr>
        <w:t>未被</w:t>
      </w:r>
      <w:r>
        <w:rPr>
          <w:kern w:val="0"/>
          <w:szCs w:val="21"/>
        </w:rPr>
        <w:t>“</w:t>
      </w:r>
      <w:r>
        <w:rPr>
          <w:rFonts w:hint="eastAsia"/>
          <w:kern w:val="0"/>
          <w:szCs w:val="21"/>
        </w:rPr>
        <w:t>信用中国</w:t>
      </w:r>
      <w:r>
        <w:rPr>
          <w:kern w:val="0"/>
          <w:szCs w:val="21"/>
        </w:rPr>
        <w:t>”</w:t>
      </w:r>
      <w:r>
        <w:rPr>
          <w:rFonts w:hint="eastAsia"/>
          <w:kern w:val="0"/>
          <w:szCs w:val="21"/>
        </w:rPr>
        <w:t>（</w:t>
      </w:r>
      <w:r>
        <w:rPr>
          <w:kern w:val="0"/>
          <w:szCs w:val="21"/>
        </w:rPr>
        <w:t>www.creditchina.gov.cn</w:t>
      </w:r>
      <w:r>
        <w:rPr>
          <w:rFonts w:hint="eastAsia"/>
          <w:kern w:val="0"/>
          <w:szCs w:val="21"/>
        </w:rPr>
        <w:t>）、中国政府采购网（</w:t>
      </w:r>
      <w:r>
        <w:rPr>
          <w:kern w:val="0"/>
          <w:szCs w:val="21"/>
        </w:rPr>
        <w:t>www.ccgp.gov.cn</w:t>
      </w:r>
      <w:r>
        <w:rPr>
          <w:rFonts w:hint="eastAsia"/>
          <w:kern w:val="0"/>
          <w:szCs w:val="21"/>
        </w:rPr>
        <w:t>）列入失信被执行人、重大税收违法案件当事人名单、政府采购严重违法失信行为记录名单。</w:t>
      </w:r>
    </w:p>
    <w:p w14:paraId="57EB231E">
      <w:pPr>
        <w:widowControl/>
        <w:shd w:val="clear" w:color="auto" w:fill="FFFFFF"/>
        <w:spacing w:line="360" w:lineRule="auto"/>
        <w:ind w:firstLine="420" w:firstLineChars="200"/>
        <w:jc w:val="left"/>
        <w:rPr>
          <w:b/>
          <w:bCs/>
          <w:kern w:val="0"/>
          <w:szCs w:val="21"/>
        </w:rPr>
      </w:pPr>
      <w:r>
        <w:rPr>
          <w:rFonts w:hint="eastAsia"/>
          <w:kern w:val="0"/>
          <w:szCs w:val="21"/>
        </w:rPr>
        <w:t>3.本项目不专门面向中小企业。本项目对应的中小企业划分标准所属行业：</w:t>
      </w:r>
      <w:r>
        <w:rPr>
          <w:rFonts w:hint="eastAsia"/>
          <w:b/>
          <w:bCs/>
          <w:kern w:val="0"/>
          <w:szCs w:val="21"/>
          <w:lang w:eastAsia="zh-CN"/>
        </w:rPr>
        <w:t>其他未列明行业</w:t>
      </w:r>
      <w:r>
        <w:rPr>
          <w:rFonts w:hint="eastAsia"/>
          <w:b/>
          <w:bCs/>
          <w:kern w:val="0"/>
          <w:szCs w:val="21"/>
        </w:rPr>
        <w:t>。</w:t>
      </w:r>
    </w:p>
    <w:p w14:paraId="44332912">
      <w:pPr>
        <w:widowControl/>
        <w:shd w:val="clear" w:color="auto" w:fill="FFFFFF"/>
        <w:spacing w:line="360" w:lineRule="auto"/>
        <w:ind w:firstLine="422" w:firstLineChars="200"/>
        <w:jc w:val="left"/>
        <w:rPr>
          <w:kern w:val="0"/>
          <w:szCs w:val="21"/>
        </w:rPr>
      </w:pPr>
      <w:r>
        <w:rPr>
          <w:rFonts w:hint="eastAsia"/>
          <w:b/>
          <w:bCs/>
          <w:kern w:val="0"/>
          <w:szCs w:val="21"/>
        </w:rPr>
        <w:t>六、</w:t>
      </w:r>
      <w:r>
        <w:rPr>
          <w:rFonts w:hint="eastAsia"/>
          <w:b/>
          <w:kern w:val="0"/>
          <w:szCs w:val="21"/>
        </w:rPr>
        <w:t>公告期限：</w:t>
      </w:r>
      <w:r>
        <w:rPr>
          <w:rFonts w:hint="eastAsia"/>
          <w:b/>
          <w:kern w:val="0"/>
          <w:szCs w:val="21"/>
          <w:u w:val="single"/>
        </w:rPr>
        <w:t>自公告发布之日起</w:t>
      </w:r>
      <w:r>
        <w:rPr>
          <w:b/>
          <w:kern w:val="0"/>
          <w:szCs w:val="21"/>
          <w:u w:val="single"/>
        </w:rPr>
        <w:t>5</w:t>
      </w:r>
      <w:r>
        <w:rPr>
          <w:rFonts w:hint="eastAsia"/>
          <w:b/>
          <w:kern w:val="0"/>
          <w:szCs w:val="21"/>
          <w:u w:val="single"/>
        </w:rPr>
        <w:t>个工作日</w:t>
      </w:r>
    </w:p>
    <w:p w14:paraId="6604DBB2">
      <w:pPr>
        <w:snapToGrid w:val="0"/>
        <w:spacing w:line="360" w:lineRule="auto"/>
        <w:ind w:firstLine="422" w:firstLineChars="200"/>
        <w:rPr>
          <w:szCs w:val="21"/>
        </w:rPr>
      </w:pPr>
      <w:r>
        <w:rPr>
          <w:rFonts w:hint="eastAsia"/>
          <w:b/>
          <w:bCs/>
          <w:szCs w:val="21"/>
        </w:rPr>
        <w:t>七、注册及采购文件的获取</w:t>
      </w:r>
      <w:r>
        <w:rPr>
          <w:rFonts w:hint="eastAsia"/>
          <w:szCs w:val="21"/>
        </w:rPr>
        <w:t>：</w:t>
      </w:r>
    </w:p>
    <w:p w14:paraId="386912E4">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1.</w:t>
      </w:r>
      <w:r>
        <w:rPr>
          <w:rFonts w:hint="eastAsia"/>
          <w:b/>
          <w:bCs/>
          <w:kern w:val="0"/>
          <w:szCs w:val="21"/>
          <w:shd w:val="clear" w:color="auto" w:fill="FFFFFF"/>
        </w:rPr>
        <w:t>本项目只实行网上获取采购文件。</w:t>
      </w:r>
    </w:p>
    <w:p w14:paraId="51E0018C">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2.</w:t>
      </w:r>
      <w:r>
        <w:rPr>
          <w:rFonts w:hint="eastAsia"/>
          <w:b/>
          <w:bCs/>
          <w:kern w:val="0"/>
          <w:szCs w:val="21"/>
          <w:shd w:val="clear" w:color="auto" w:fill="FFFFFF"/>
        </w:rPr>
        <w:t>获取采购文件网址</w:t>
      </w:r>
      <w:r>
        <w:rPr>
          <w:rFonts w:hint="eastAsia"/>
          <w:kern w:val="0"/>
          <w:szCs w:val="21"/>
          <w:shd w:val="clear" w:color="auto" w:fill="FFFFFF"/>
        </w:rPr>
        <w:t>：浙江政府采购网</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（用</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注册账号、密码登录系统后获取采购文件）</w:t>
      </w:r>
    </w:p>
    <w:p w14:paraId="0EDC344B">
      <w:pPr>
        <w:widowControl/>
        <w:shd w:val="clear" w:color="auto" w:fill="FFFFFF"/>
        <w:spacing w:line="360" w:lineRule="auto"/>
        <w:ind w:left="416" w:leftChars="198"/>
        <w:jc w:val="left"/>
        <w:rPr>
          <w:b/>
          <w:bCs/>
          <w:kern w:val="0"/>
          <w:szCs w:val="21"/>
          <w:shd w:val="clear" w:color="auto" w:fill="FFFFFF"/>
        </w:rPr>
      </w:pPr>
      <w:r>
        <w:rPr>
          <w:b/>
          <w:bCs/>
          <w:kern w:val="0"/>
          <w:szCs w:val="21"/>
          <w:shd w:val="clear" w:color="auto" w:fill="FFFFFF"/>
        </w:rPr>
        <w:t>3.</w:t>
      </w:r>
      <w:r>
        <w:rPr>
          <w:rFonts w:hint="eastAsia"/>
          <w:b/>
          <w:bCs/>
          <w:kern w:val="0"/>
          <w:szCs w:val="21"/>
          <w:shd w:val="clear" w:color="auto" w:fill="FFFFFF"/>
        </w:rPr>
        <w:t>免费注册网址：浙江政府采购网（供应商注册页面）：</w:t>
      </w:r>
    </w:p>
    <w:p w14:paraId="328936C6">
      <w:pPr>
        <w:widowControl/>
        <w:shd w:val="clear" w:color="auto" w:fill="FFFFFF"/>
        <w:spacing w:line="360" w:lineRule="auto"/>
        <w:jc w:val="left"/>
        <w:rPr>
          <w:kern w:val="0"/>
          <w:szCs w:val="21"/>
          <w:shd w:val="clear" w:color="auto" w:fill="FFFFFF"/>
        </w:rPr>
      </w:pPr>
      <w:r>
        <w:rPr>
          <w:kern w:val="0"/>
          <w:szCs w:val="21"/>
          <w:u w:val="single"/>
          <w:shd w:val="clear" w:color="auto" w:fill="FFFFFF"/>
        </w:rPr>
        <w:t>https://middle.zcygov.cn/settle-front/#/registry</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，咨询电话：95763。已经注册成功的供应商无需重复注册。</w:t>
      </w:r>
    </w:p>
    <w:p w14:paraId="0DE565B9">
      <w:pPr>
        <w:widowControl/>
        <w:shd w:val="clear" w:color="auto" w:fill="FFFFFF"/>
        <w:spacing w:line="360" w:lineRule="auto"/>
        <w:ind w:firstLine="422" w:firstLineChars="200"/>
        <w:jc w:val="left"/>
        <w:rPr>
          <w:rFonts w:hint="eastAsia"/>
          <w:b/>
          <w:bCs/>
          <w:szCs w:val="21"/>
        </w:rPr>
      </w:pPr>
      <w:r>
        <w:rPr>
          <w:rFonts w:hint="eastAsia"/>
          <w:b/>
          <w:bCs/>
          <w:kern w:val="0"/>
          <w:szCs w:val="21"/>
          <w:shd w:val="clear" w:color="auto" w:fill="FFFFFF"/>
        </w:rPr>
        <w:t>4.获取采购文件时间：</w:t>
      </w:r>
      <w:r>
        <w:rPr>
          <w:rFonts w:hint="eastAsia"/>
          <w:kern w:val="0"/>
          <w:szCs w:val="21"/>
          <w:shd w:val="clear" w:color="auto" w:fill="FFFFFF"/>
        </w:rPr>
        <w:t>公告发布之日至投标截止时间</w:t>
      </w:r>
    </w:p>
    <w:p w14:paraId="0CBF92CA">
      <w:pPr>
        <w:widowControl/>
        <w:shd w:val="clear" w:color="auto" w:fill="FFFFFF"/>
        <w:spacing w:line="360" w:lineRule="auto"/>
        <w:ind w:firstLine="422" w:firstLineChars="200"/>
        <w:jc w:val="left"/>
        <w:rPr>
          <w:b/>
          <w:bCs/>
          <w:szCs w:val="21"/>
        </w:rPr>
      </w:pPr>
      <w:r>
        <w:rPr>
          <w:rFonts w:hint="eastAsia"/>
          <w:b/>
          <w:bCs/>
          <w:szCs w:val="21"/>
        </w:rPr>
        <w:t>八、投标文件的制作及递交：</w:t>
      </w:r>
    </w:p>
    <w:p w14:paraId="7C04AB80">
      <w:pPr>
        <w:widowControl/>
        <w:shd w:val="clear" w:color="auto" w:fill="FFFFFF"/>
        <w:spacing w:line="360" w:lineRule="auto"/>
        <w:ind w:firstLine="420" w:firstLineChars="200"/>
        <w:jc w:val="left"/>
        <w:rPr>
          <w:kern w:val="0"/>
          <w:szCs w:val="21"/>
          <w:shd w:val="clear" w:color="auto" w:fill="FFFFFF"/>
        </w:rPr>
      </w:pPr>
      <w:r>
        <w:rPr>
          <w:kern w:val="0"/>
          <w:szCs w:val="21"/>
          <w:shd w:val="clear" w:color="auto" w:fill="FFFFFF"/>
        </w:rPr>
        <w:t>1.</w:t>
      </w:r>
      <w:r>
        <w:rPr>
          <w:rFonts w:hint="eastAsia"/>
          <w:kern w:val="0"/>
          <w:szCs w:val="21"/>
          <w:shd w:val="clear" w:color="auto" w:fill="FFFFFF"/>
        </w:rPr>
        <w:t>供应商须</w:t>
      </w:r>
      <w:r>
        <w:rPr>
          <w:rFonts w:hint="eastAsia"/>
          <w:b/>
          <w:bCs/>
          <w:kern w:val="0"/>
          <w:szCs w:val="21"/>
          <w:shd w:val="clear" w:color="auto" w:fill="FFFFFF"/>
        </w:rPr>
        <w:t>在线获取</w:t>
      </w:r>
      <w:r>
        <w:rPr>
          <w:b/>
          <w:bCs/>
          <w:kern w:val="0"/>
          <w:szCs w:val="21"/>
          <w:shd w:val="clear" w:color="auto" w:fill="FFFFFF"/>
        </w:rPr>
        <w:t>CA</w:t>
      </w:r>
      <w:r>
        <w:rPr>
          <w:rFonts w:hint="eastAsia"/>
          <w:b/>
          <w:bCs/>
          <w:kern w:val="0"/>
          <w:szCs w:val="21"/>
          <w:shd w:val="clear" w:color="auto" w:fill="FFFFFF"/>
        </w:rPr>
        <w:t>数字证书</w:t>
      </w:r>
      <w:r>
        <w:rPr>
          <w:rFonts w:hint="eastAsia"/>
          <w:kern w:val="0"/>
          <w:szCs w:val="21"/>
          <w:shd w:val="clear" w:color="auto" w:fill="FFFFFF"/>
        </w:rPr>
        <w:t>（完成</w:t>
      </w:r>
      <w:r>
        <w:rPr>
          <w:kern w:val="0"/>
          <w:szCs w:val="21"/>
          <w:shd w:val="clear" w:color="auto" w:fill="FFFFFF"/>
        </w:rPr>
        <w:t>CA</w:t>
      </w:r>
      <w:r>
        <w:rPr>
          <w:rFonts w:hint="eastAsia"/>
          <w:kern w:val="0"/>
          <w:szCs w:val="21"/>
          <w:shd w:val="clear" w:color="auto" w:fill="FFFFFF"/>
        </w:rPr>
        <w:t>数字证书办理预计一周左右，建议各投标人自行把握时间）</w:t>
      </w:r>
      <w:r>
        <w:rPr>
          <w:rFonts w:hint="eastAsia"/>
          <w:b/>
          <w:bCs/>
          <w:kern w:val="0"/>
          <w:szCs w:val="21"/>
          <w:shd w:val="clear" w:color="auto" w:fill="FFFFFF"/>
        </w:rPr>
        <w:t>，</w:t>
      </w:r>
      <w:r>
        <w:rPr>
          <w:rFonts w:hint="eastAsia"/>
          <w:kern w:val="0"/>
          <w:szCs w:val="21"/>
          <w:shd w:val="clear" w:color="auto" w:fill="FFFFFF"/>
        </w:rPr>
        <w:t>并登录</w:t>
      </w:r>
      <w:r>
        <w:rPr>
          <w:kern w:val="0"/>
          <w:szCs w:val="21"/>
          <w:shd w:val="clear" w:color="auto" w:fill="FFFFFF"/>
        </w:rPr>
        <w:t>“</w:t>
      </w:r>
      <w:r>
        <w:rPr>
          <w:rFonts w:hint="eastAsia"/>
          <w:kern w:val="0"/>
          <w:szCs w:val="21"/>
          <w:shd w:val="clear" w:color="auto" w:fill="FFFFFF"/>
        </w:rPr>
        <w:t>浙江政府采购网</w:t>
      </w:r>
      <w:r>
        <w:rPr>
          <w:kern w:val="0"/>
          <w:szCs w:val="21"/>
          <w:shd w:val="clear" w:color="auto" w:fill="FFFFFF"/>
        </w:rPr>
        <w:t>”</w:t>
      </w:r>
      <w:r>
        <w:rPr>
          <w:rFonts w:hint="eastAsia"/>
          <w:kern w:val="0"/>
          <w:szCs w:val="21"/>
          <w:shd w:val="clear" w:color="auto" w:fill="FFFFFF"/>
        </w:rPr>
        <w:t>（</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），进入</w:t>
      </w:r>
      <w:r>
        <w:rPr>
          <w:kern w:val="0"/>
          <w:szCs w:val="21"/>
          <w:shd w:val="clear" w:color="auto" w:fill="FFFFFF"/>
        </w:rPr>
        <w:t>“</w:t>
      </w:r>
      <w:r>
        <w:rPr>
          <w:rFonts w:hint="eastAsia"/>
          <w:kern w:val="0"/>
          <w:szCs w:val="21"/>
          <w:shd w:val="clear" w:color="auto" w:fill="FFFFFF"/>
        </w:rPr>
        <w:t>下载专区</w:t>
      </w:r>
      <w:r>
        <w:rPr>
          <w:kern w:val="0"/>
          <w:szCs w:val="21"/>
          <w:shd w:val="clear" w:color="auto" w:fill="FFFFFF"/>
        </w:rPr>
        <w:t>”</w:t>
      </w:r>
      <w:r>
        <w:rPr>
          <w:rFonts w:hint="eastAsia"/>
          <w:kern w:val="0"/>
          <w:szCs w:val="21"/>
          <w:shd w:val="clear" w:color="auto" w:fill="FFFFFF"/>
        </w:rPr>
        <w:t>下载</w:t>
      </w:r>
      <w:r>
        <w:rPr>
          <w:kern w:val="0"/>
          <w:szCs w:val="21"/>
          <w:shd w:val="clear" w:color="auto" w:fill="FFFFFF"/>
        </w:rPr>
        <w:t>“</w:t>
      </w:r>
      <w:r>
        <w:rPr>
          <w:rFonts w:hint="eastAsia"/>
          <w:kern w:val="0"/>
          <w:szCs w:val="21"/>
          <w:shd w:val="clear" w:color="auto" w:fill="FFFFFF"/>
        </w:rPr>
        <w:t>电子交易客户端</w:t>
      </w:r>
      <w:r>
        <w:rPr>
          <w:kern w:val="0"/>
          <w:szCs w:val="21"/>
          <w:shd w:val="clear" w:color="auto" w:fill="FFFFFF"/>
        </w:rPr>
        <w:t>”</w:t>
      </w:r>
      <w:r>
        <w:rPr>
          <w:rFonts w:hint="eastAsia"/>
          <w:kern w:val="0"/>
          <w:szCs w:val="21"/>
          <w:shd w:val="clear" w:color="auto" w:fill="FFFFFF"/>
        </w:rPr>
        <w:t>，制作投标文件。</w:t>
      </w:r>
    </w:p>
    <w:p w14:paraId="6E98D1B6">
      <w:pPr>
        <w:widowControl/>
        <w:spacing w:line="360" w:lineRule="auto"/>
        <w:ind w:firstLine="420" w:firstLineChars="200"/>
        <w:rPr>
          <w:kern w:val="0"/>
          <w:szCs w:val="21"/>
          <w:shd w:val="clear" w:color="auto" w:fill="FFFFFF"/>
        </w:rPr>
      </w:pPr>
      <w:r>
        <w:rPr>
          <w:kern w:val="0"/>
          <w:szCs w:val="21"/>
          <w:shd w:val="clear" w:color="auto" w:fill="FFFFFF"/>
        </w:rPr>
        <w:t>2.</w:t>
      </w:r>
      <w:r>
        <w:rPr>
          <w:rFonts w:hint="eastAsia"/>
          <w:kern w:val="0"/>
          <w:szCs w:val="21"/>
          <w:shd w:val="clear" w:color="auto" w:fill="FFFFFF"/>
        </w:rPr>
        <w:t>投标人将加密的电子版投标文件于投标截止时间前上传到政采云系统中。</w:t>
      </w:r>
    </w:p>
    <w:p w14:paraId="055464A3">
      <w:pPr>
        <w:widowControl/>
        <w:shd w:val="clear" w:color="auto" w:fill="FFFFFF"/>
        <w:spacing w:line="360" w:lineRule="auto"/>
        <w:ind w:left="420" w:leftChars="200"/>
        <w:jc w:val="left"/>
        <w:rPr>
          <w:kern w:val="0"/>
          <w:szCs w:val="21"/>
          <w:u w:val="single"/>
          <w:shd w:val="clear" w:color="auto" w:fill="FFFFFF"/>
        </w:rPr>
      </w:pPr>
      <w:r>
        <w:rPr>
          <w:kern w:val="0"/>
          <w:szCs w:val="21"/>
          <w:shd w:val="clear" w:color="auto" w:fill="FFFFFF"/>
        </w:rPr>
        <w:t>3.</w:t>
      </w:r>
      <w:r>
        <w:rPr>
          <w:rFonts w:hint="eastAsia"/>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kern w:val="0"/>
          <w:szCs w:val="21"/>
          <w:u w:val="single"/>
          <w:shd w:val="clear" w:color="auto" w:fill="FFFFFF"/>
        </w:rPr>
        <w:t>https://edu.zcygov.cn/luban/e-biding?utm=a0004.2ef5001f.0001.0109.da8b35e0da8611e98d8937b7ef8a3544</w:t>
      </w:r>
      <w:r>
        <w:rPr>
          <w:kern w:val="0"/>
          <w:szCs w:val="21"/>
          <w:u w:val="single"/>
          <w:shd w:val="clear" w:color="auto" w:fill="FFFFFF"/>
        </w:rPr>
        <w:fldChar w:fldCharType="end"/>
      </w:r>
    </w:p>
    <w:p w14:paraId="66025890">
      <w:pPr>
        <w:widowControl/>
        <w:spacing w:line="360" w:lineRule="auto"/>
        <w:ind w:firstLine="422" w:firstLineChars="200"/>
        <w:rPr>
          <w:kern w:val="0"/>
          <w:szCs w:val="21"/>
        </w:rPr>
      </w:pPr>
      <w:r>
        <w:rPr>
          <w:rFonts w:hint="eastAsia"/>
          <w:b/>
          <w:bCs/>
          <w:kern w:val="0"/>
          <w:szCs w:val="21"/>
        </w:rPr>
        <w:t>九、投标保证金：无。</w:t>
      </w:r>
    </w:p>
    <w:p w14:paraId="105ECFD6">
      <w:pPr>
        <w:widowControl/>
        <w:spacing w:line="360" w:lineRule="auto"/>
        <w:ind w:firstLine="422" w:firstLineChars="200"/>
        <w:rPr>
          <w:b/>
          <w:bCs/>
          <w:kern w:val="0"/>
          <w:szCs w:val="21"/>
        </w:rPr>
      </w:pPr>
      <w:r>
        <w:rPr>
          <w:rFonts w:hint="eastAsia"/>
          <w:b/>
          <w:bCs/>
          <w:kern w:val="0"/>
          <w:szCs w:val="21"/>
        </w:rPr>
        <w:t>十、投标截止时间和地址：</w:t>
      </w:r>
    </w:p>
    <w:p w14:paraId="761EC240">
      <w:pPr>
        <w:spacing w:line="360" w:lineRule="auto"/>
        <w:ind w:firstLine="422" w:firstLineChars="200"/>
        <w:rPr>
          <w:b/>
          <w:szCs w:val="21"/>
        </w:rPr>
      </w:pPr>
      <w:r>
        <w:rPr>
          <w:b/>
          <w:szCs w:val="21"/>
        </w:rPr>
        <w:t>1.</w:t>
      </w:r>
      <w:r>
        <w:rPr>
          <w:rFonts w:hint="eastAsia"/>
          <w:b/>
          <w:szCs w:val="21"/>
        </w:rPr>
        <w:t>本项目实行电子投标。</w:t>
      </w:r>
    </w:p>
    <w:p w14:paraId="40AAE9E5">
      <w:pPr>
        <w:spacing w:line="360" w:lineRule="auto"/>
        <w:ind w:firstLine="420" w:firstLineChars="200"/>
        <w:rPr>
          <w:szCs w:val="21"/>
        </w:rPr>
      </w:pPr>
      <w:r>
        <w:rPr>
          <w:rFonts w:hint="eastAsia"/>
          <w:szCs w:val="21"/>
        </w:rPr>
        <w:t>投标人应准备电子投标文件、以介质存储的数据电文形式的备份投标文件：</w:t>
      </w:r>
    </w:p>
    <w:p w14:paraId="6655295F">
      <w:pPr>
        <w:spacing w:line="360" w:lineRule="auto"/>
        <w:ind w:firstLine="420" w:firstLineChars="200"/>
        <w:rPr>
          <w:szCs w:val="21"/>
        </w:rPr>
      </w:pPr>
      <w:bookmarkStart w:id="2" w:name="_Hlk100345522"/>
      <w:bookmarkEnd w:id="2"/>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r>
        <w:rPr>
          <w:rFonts w:hint="eastAsia"/>
          <w:szCs w:val="21"/>
          <w:shd w:val="clear" w:color="auto" w:fill="FFFFFF"/>
        </w:rPr>
        <w:t>投标人应于202</w:t>
      </w:r>
      <w:r>
        <w:rPr>
          <w:rFonts w:hint="eastAsia"/>
          <w:szCs w:val="21"/>
          <w:shd w:val="clear" w:color="auto" w:fill="FFFFFF"/>
          <w:lang w:val="en-US" w:eastAsia="zh-CN"/>
        </w:rPr>
        <w:t>5</w:t>
      </w:r>
      <w:r>
        <w:rPr>
          <w:rFonts w:hint="eastAsia"/>
          <w:szCs w:val="21"/>
          <w:shd w:val="clear" w:color="auto" w:fill="FFFFFF"/>
        </w:rPr>
        <w:t>年</w:t>
      </w:r>
      <w:r>
        <w:rPr>
          <w:rFonts w:hint="eastAsia"/>
          <w:szCs w:val="21"/>
          <w:shd w:val="clear" w:color="auto" w:fill="FFFFFF"/>
          <w:lang w:val="en-US" w:eastAsia="zh-CN"/>
        </w:rPr>
        <w:t>08</w:t>
      </w:r>
      <w:r>
        <w:rPr>
          <w:rFonts w:hint="eastAsia"/>
          <w:szCs w:val="21"/>
          <w:shd w:val="clear" w:color="auto" w:fill="FFFFFF"/>
        </w:rPr>
        <w:t>月</w:t>
      </w:r>
      <w:r>
        <w:rPr>
          <w:rFonts w:hint="eastAsia"/>
          <w:szCs w:val="21"/>
          <w:shd w:val="clear" w:color="auto" w:fill="FFFFFF"/>
          <w:lang w:val="en-US" w:eastAsia="zh-CN"/>
        </w:rPr>
        <w:t>08</w:t>
      </w:r>
      <w:r>
        <w:rPr>
          <w:rFonts w:hint="eastAsia"/>
          <w:szCs w:val="21"/>
          <w:shd w:val="clear" w:color="auto" w:fill="FFFFFF"/>
        </w:rPr>
        <w:t>日</w:t>
      </w:r>
      <w:r>
        <w:rPr>
          <w:rFonts w:hint="eastAsia"/>
          <w:szCs w:val="21"/>
          <w:shd w:val="clear" w:color="auto" w:fill="FFFFFF"/>
          <w:lang w:val="en-US" w:eastAsia="zh-CN"/>
        </w:rPr>
        <w:t>14</w:t>
      </w:r>
      <w:r>
        <w:rPr>
          <w:rFonts w:hint="eastAsia"/>
          <w:szCs w:val="21"/>
          <w:shd w:val="clear" w:color="auto" w:fill="FFFFFF"/>
        </w:rPr>
        <w:t>：</w:t>
      </w:r>
      <w:r>
        <w:rPr>
          <w:rFonts w:hint="eastAsia"/>
          <w:szCs w:val="21"/>
          <w:shd w:val="clear" w:color="auto" w:fill="FFFFFF"/>
          <w:lang w:val="en-US" w:eastAsia="zh-CN"/>
        </w:rPr>
        <w:t>4</w:t>
      </w:r>
      <w:r>
        <w:rPr>
          <w:szCs w:val="21"/>
          <w:shd w:val="clear" w:color="auto" w:fill="FFFFFF"/>
        </w:rPr>
        <w:t>5</w:t>
      </w:r>
      <w:r>
        <w:rPr>
          <w:rFonts w:hint="eastAsia"/>
          <w:szCs w:val="21"/>
          <w:shd w:val="clear" w:color="auto" w:fill="FFFFFF"/>
        </w:rPr>
        <w:t>前将加密的电子版投标文件上传到政采云系统中（不准时上传视为无效标）。</w:t>
      </w:r>
      <w:r>
        <w:rPr>
          <w:b/>
          <w:szCs w:val="21"/>
          <w:shd w:val="clear" w:color="auto" w:fill="FFFFFF"/>
        </w:rPr>
        <w:t>CA</w:t>
      </w:r>
      <w:r>
        <w:rPr>
          <w:rFonts w:hint="eastAsia"/>
          <w:b/>
          <w:szCs w:val="21"/>
          <w:shd w:val="clear" w:color="auto" w:fill="FFFFFF"/>
        </w:rPr>
        <w:t>数字证书随身携带或准时解码。</w:t>
      </w:r>
    </w:p>
    <w:p w14:paraId="57D61156">
      <w:pPr>
        <w:spacing w:line="360" w:lineRule="auto"/>
        <w:ind w:firstLine="420" w:firstLineChars="200"/>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211F537B">
      <w:pPr>
        <w:widowControl/>
        <w:shd w:val="clear" w:color="auto" w:fill="FFFFFF"/>
        <w:spacing w:line="360" w:lineRule="auto"/>
        <w:ind w:firstLine="519" w:firstLineChars="246"/>
        <w:jc w:val="left"/>
        <w:rPr>
          <w:b/>
          <w:bCs/>
          <w:kern w:val="0"/>
          <w:szCs w:val="21"/>
        </w:rPr>
      </w:pPr>
      <w:r>
        <w:rPr>
          <w:rFonts w:hint="eastAsia" w:ascii="Times New Roman" w:hAnsi="Times New Roman" w:eastAsia="宋体" w:cs="Times New Roman"/>
          <w:b/>
          <w:bCs/>
          <w:color w:val="auto"/>
          <w:kern w:val="2"/>
          <w:sz w:val="21"/>
          <w:szCs w:val="21"/>
          <w:lang w:val="en-US" w:eastAsia="zh-CN" w:bidi="ar-SA"/>
        </w:rPr>
        <w:t>投标人应于2025年</w:t>
      </w:r>
      <w:r>
        <w:rPr>
          <w:rFonts w:hint="eastAsia" w:cs="Times New Roman"/>
          <w:b/>
          <w:bCs/>
          <w:color w:val="auto"/>
          <w:kern w:val="2"/>
          <w:sz w:val="21"/>
          <w:szCs w:val="21"/>
          <w:lang w:val="en-US" w:eastAsia="zh-CN" w:bidi="ar-SA"/>
        </w:rPr>
        <w:t>08</w:t>
      </w:r>
      <w:r>
        <w:rPr>
          <w:rFonts w:hint="eastAsia" w:ascii="Times New Roman" w:hAnsi="Times New Roman" w:eastAsia="宋体" w:cs="Times New Roman"/>
          <w:b/>
          <w:bCs/>
          <w:color w:val="auto"/>
          <w:kern w:val="2"/>
          <w:sz w:val="21"/>
          <w:szCs w:val="21"/>
          <w:lang w:val="en-US" w:eastAsia="zh-CN" w:bidi="ar-SA"/>
        </w:rPr>
        <w:t>月</w:t>
      </w:r>
      <w:r>
        <w:rPr>
          <w:rFonts w:hint="eastAsia" w:cs="Times New Roman"/>
          <w:b/>
          <w:bCs/>
          <w:color w:val="auto"/>
          <w:kern w:val="2"/>
          <w:sz w:val="21"/>
          <w:szCs w:val="21"/>
          <w:lang w:val="en-US" w:eastAsia="zh-CN" w:bidi="ar-SA"/>
        </w:rPr>
        <w:t>07</w:t>
      </w:r>
      <w:r>
        <w:rPr>
          <w:rFonts w:hint="eastAsia" w:ascii="Times New Roman" w:hAnsi="Times New Roman" w:eastAsia="宋体" w:cs="Times New Roman"/>
          <w:b/>
          <w:bCs/>
          <w:color w:val="auto"/>
          <w:kern w:val="2"/>
          <w:sz w:val="21"/>
          <w:szCs w:val="21"/>
          <w:lang w:val="en-US" w:eastAsia="zh-CN" w:bidi="ar-SA"/>
        </w:rPr>
        <w:t>日11：30（北京时间）前将备份的投标文件寄于采购代理公司，地址：舟山市定海区昌国路232号中楼202深圳市国信招标有限公司舟山分公司(收件人：任女士，联系电话：13567673203），寄错地址或未按时寄到的自行承担风险。也可开标会现场递交，递交截</w:t>
      </w:r>
      <w:r>
        <w:rPr>
          <w:rFonts w:hint="eastAsia" w:ascii="Times New Roman" w:hAnsi="Times New Roman" w:eastAsia="宋体" w:cs="Times New Roman"/>
          <w:b/>
          <w:bCs/>
          <w:color w:val="auto"/>
          <w:kern w:val="2"/>
          <w:sz w:val="21"/>
          <w:szCs w:val="21"/>
          <w:lang w:val="en-US" w:eastAsia="zh-CN" w:bidi="ar-SA"/>
        </w:rPr>
        <w:t>止时间</w:t>
      </w:r>
      <w:r>
        <w:rPr>
          <w:rFonts w:hint="eastAsia"/>
          <w:b/>
          <w:bCs/>
          <w:szCs w:val="21"/>
          <w:shd w:val="clear" w:color="auto" w:fill="FFFFFF"/>
        </w:rPr>
        <w:t>202</w:t>
      </w:r>
      <w:r>
        <w:rPr>
          <w:rFonts w:hint="eastAsia"/>
          <w:b/>
          <w:bCs/>
          <w:szCs w:val="21"/>
          <w:shd w:val="clear" w:color="auto" w:fill="FFFFFF"/>
          <w:lang w:val="en-US" w:eastAsia="zh-CN"/>
        </w:rPr>
        <w:t>5</w:t>
      </w:r>
      <w:r>
        <w:rPr>
          <w:rFonts w:hint="eastAsia"/>
          <w:b/>
          <w:bCs/>
          <w:szCs w:val="21"/>
          <w:shd w:val="clear" w:color="auto" w:fill="FFFFFF"/>
        </w:rPr>
        <w:t>年</w:t>
      </w:r>
      <w:r>
        <w:rPr>
          <w:rFonts w:hint="eastAsia"/>
          <w:b/>
          <w:bCs/>
          <w:szCs w:val="21"/>
          <w:shd w:val="clear" w:color="auto" w:fill="FFFFFF"/>
          <w:lang w:val="en-US" w:eastAsia="zh-CN"/>
        </w:rPr>
        <w:t>08</w:t>
      </w:r>
      <w:r>
        <w:rPr>
          <w:rFonts w:hint="eastAsia"/>
          <w:b/>
          <w:bCs/>
          <w:szCs w:val="21"/>
          <w:shd w:val="clear" w:color="auto" w:fill="FFFFFF"/>
        </w:rPr>
        <w:t>月</w:t>
      </w:r>
      <w:r>
        <w:rPr>
          <w:rFonts w:hint="eastAsia"/>
          <w:b/>
          <w:bCs/>
          <w:szCs w:val="21"/>
          <w:shd w:val="clear" w:color="auto" w:fill="FFFFFF"/>
          <w:lang w:val="en-US" w:eastAsia="zh-CN"/>
        </w:rPr>
        <w:t>08</w:t>
      </w:r>
      <w:r>
        <w:rPr>
          <w:rFonts w:hint="eastAsia"/>
          <w:b/>
          <w:bCs/>
          <w:szCs w:val="21"/>
          <w:shd w:val="clear" w:color="auto" w:fill="FFFFFF"/>
        </w:rPr>
        <w:t>日</w:t>
      </w:r>
      <w:r>
        <w:rPr>
          <w:rFonts w:hint="eastAsia"/>
          <w:b/>
          <w:bCs/>
          <w:szCs w:val="21"/>
          <w:shd w:val="clear" w:color="auto" w:fill="FFFFFF"/>
          <w:lang w:val="en-US" w:eastAsia="zh-CN"/>
        </w:rPr>
        <w:t>14</w:t>
      </w:r>
      <w:r>
        <w:rPr>
          <w:rFonts w:hint="eastAsia"/>
          <w:b/>
          <w:bCs/>
          <w:szCs w:val="21"/>
          <w:shd w:val="clear" w:color="auto" w:fill="FFFFFF"/>
        </w:rPr>
        <w:t>：</w:t>
      </w:r>
      <w:r>
        <w:rPr>
          <w:rFonts w:hint="eastAsia"/>
          <w:b/>
          <w:bCs/>
          <w:szCs w:val="21"/>
          <w:shd w:val="clear" w:color="auto" w:fill="FFFFFF"/>
          <w:lang w:val="en-US" w:eastAsia="zh-CN"/>
        </w:rPr>
        <w:t>4</w:t>
      </w:r>
      <w:r>
        <w:rPr>
          <w:b/>
          <w:bCs/>
          <w:szCs w:val="21"/>
          <w:shd w:val="clear" w:color="auto" w:fill="FFFFFF"/>
        </w:rPr>
        <w:t>5</w:t>
      </w:r>
    </w:p>
    <w:p w14:paraId="2E9769B2">
      <w:pPr>
        <w:widowControl/>
        <w:shd w:val="clear" w:color="auto" w:fill="FFFFFF"/>
        <w:spacing w:line="360" w:lineRule="auto"/>
        <w:ind w:firstLine="519" w:firstLineChars="246"/>
        <w:jc w:val="left"/>
        <w:rPr>
          <w:b/>
          <w:kern w:val="0"/>
          <w:szCs w:val="21"/>
        </w:rPr>
      </w:pPr>
      <w:r>
        <w:rPr>
          <w:rFonts w:hint="eastAsia"/>
          <w:b/>
          <w:kern w:val="0"/>
          <w:szCs w:val="21"/>
        </w:rPr>
        <w:t>投标人可以不提供备份投标文件，造成项目开评标活动无法进行下去的，投标无效，相关风险由投标人自行承担。</w:t>
      </w:r>
    </w:p>
    <w:p w14:paraId="36C73F44">
      <w:pPr>
        <w:widowControl/>
        <w:shd w:val="clear" w:color="auto" w:fill="FFFFFF"/>
        <w:spacing w:line="360" w:lineRule="auto"/>
        <w:ind w:firstLine="413" w:firstLineChars="196"/>
        <w:jc w:val="left"/>
        <w:rPr>
          <w:bCs/>
          <w:kern w:val="0"/>
          <w:szCs w:val="21"/>
        </w:rPr>
      </w:pPr>
      <w:r>
        <w:rPr>
          <w:b/>
          <w:bCs/>
          <w:szCs w:val="21"/>
        </w:rPr>
        <w:t>2.</w:t>
      </w:r>
      <w:r>
        <w:rPr>
          <w:rFonts w:hint="eastAsia"/>
          <w:b/>
          <w:bCs/>
          <w:szCs w:val="21"/>
        </w:rPr>
        <w:t>开标时间：</w:t>
      </w:r>
      <w:r>
        <w:rPr>
          <w:rFonts w:hint="eastAsia"/>
          <w:szCs w:val="21"/>
          <w:shd w:val="clear" w:color="auto" w:fill="FFFFFF"/>
        </w:rPr>
        <w:t>202</w:t>
      </w:r>
      <w:r>
        <w:rPr>
          <w:rFonts w:hint="eastAsia"/>
          <w:szCs w:val="21"/>
          <w:shd w:val="clear" w:color="auto" w:fill="FFFFFF"/>
          <w:lang w:val="en-US" w:eastAsia="zh-CN"/>
        </w:rPr>
        <w:t>5</w:t>
      </w:r>
      <w:r>
        <w:rPr>
          <w:rFonts w:hint="eastAsia"/>
          <w:szCs w:val="21"/>
          <w:shd w:val="clear" w:color="auto" w:fill="FFFFFF"/>
        </w:rPr>
        <w:t>年</w:t>
      </w:r>
      <w:r>
        <w:rPr>
          <w:rFonts w:hint="eastAsia"/>
          <w:szCs w:val="21"/>
          <w:shd w:val="clear" w:color="auto" w:fill="FFFFFF"/>
          <w:lang w:val="en-US" w:eastAsia="zh-CN"/>
        </w:rPr>
        <w:t>08</w:t>
      </w:r>
      <w:r>
        <w:rPr>
          <w:rFonts w:hint="eastAsia"/>
          <w:szCs w:val="21"/>
          <w:shd w:val="clear" w:color="auto" w:fill="FFFFFF"/>
        </w:rPr>
        <w:t>月</w:t>
      </w:r>
      <w:r>
        <w:rPr>
          <w:rFonts w:hint="eastAsia"/>
          <w:szCs w:val="21"/>
          <w:shd w:val="clear" w:color="auto" w:fill="FFFFFF"/>
          <w:lang w:val="en-US" w:eastAsia="zh-CN"/>
        </w:rPr>
        <w:t>08</w:t>
      </w:r>
      <w:r>
        <w:rPr>
          <w:rFonts w:hint="eastAsia"/>
          <w:szCs w:val="21"/>
          <w:shd w:val="clear" w:color="auto" w:fill="FFFFFF"/>
        </w:rPr>
        <w:t>日</w:t>
      </w:r>
      <w:r>
        <w:rPr>
          <w:rFonts w:hint="eastAsia"/>
          <w:szCs w:val="21"/>
          <w:shd w:val="clear" w:color="auto" w:fill="FFFFFF"/>
          <w:lang w:val="en-US" w:eastAsia="zh-CN"/>
        </w:rPr>
        <w:t>14</w:t>
      </w:r>
      <w:r>
        <w:rPr>
          <w:rFonts w:hint="eastAsia"/>
          <w:szCs w:val="21"/>
          <w:shd w:val="clear" w:color="auto" w:fill="FFFFFF"/>
        </w:rPr>
        <w:t>：</w:t>
      </w:r>
      <w:r>
        <w:rPr>
          <w:rFonts w:hint="eastAsia"/>
          <w:szCs w:val="21"/>
          <w:shd w:val="clear" w:color="auto" w:fill="FFFFFF"/>
          <w:lang w:val="en-US" w:eastAsia="zh-CN"/>
        </w:rPr>
        <w:t>4</w:t>
      </w:r>
      <w:r>
        <w:rPr>
          <w:szCs w:val="21"/>
          <w:shd w:val="clear" w:color="auto" w:fill="FFFFFF"/>
        </w:rPr>
        <w:t>5</w:t>
      </w:r>
    </w:p>
    <w:p w14:paraId="6A2FFB56">
      <w:pPr>
        <w:widowControl/>
        <w:shd w:val="clear" w:color="auto" w:fill="FFFFFF"/>
        <w:spacing w:line="360" w:lineRule="auto"/>
        <w:ind w:firstLine="410"/>
        <w:jc w:val="left"/>
        <w:rPr>
          <w:color w:val="auto"/>
          <w:kern w:val="0"/>
          <w:szCs w:val="21"/>
        </w:rPr>
      </w:pPr>
      <w:r>
        <w:rPr>
          <w:b/>
          <w:bCs/>
          <w:szCs w:val="21"/>
        </w:rPr>
        <w:t>3.</w:t>
      </w:r>
      <w:r>
        <w:rPr>
          <w:rFonts w:hint="eastAsia"/>
          <w:b/>
          <w:bCs/>
          <w:szCs w:val="21"/>
        </w:rPr>
        <w:t>开标地点：</w:t>
      </w:r>
      <w:r>
        <w:rPr>
          <w:rFonts w:hint="eastAsia"/>
          <w:color w:val="auto"/>
          <w:kern w:val="0"/>
          <w:szCs w:val="21"/>
        </w:rPr>
        <w:t>普陀区东港昌正街</w:t>
      </w:r>
      <w:r>
        <w:rPr>
          <w:color w:val="auto"/>
          <w:kern w:val="0"/>
          <w:szCs w:val="21"/>
        </w:rPr>
        <w:t>169号商务中心6号楼四楼开标室</w:t>
      </w:r>
    </w:p>
    <w:p w14:paraId="259E1704">
      <w:pPr>
        <w:widowControl/>
        <w:shd w:val="clear" w:color="auto" w:fill="FFFFFF"/>
        <w:spacing w:line="360" w:lineRule="auto"/>
        <w:ind w:firstLine="422" w:firstLineChars="200"/>
        <w:jc w:val="left"/>
        <w:rPr>
          <w:kern w:val="0"/>
          <w:szCs w:val="21"/>
        </w:rPr>
      </w:pPr>
      <w:r>
        <w:rPr>
          <w:rFonts w:hint="eastAsia"/>
          <w:b/>
          <w:bCs/>
          <w:kern w:val="0"/>
          <w:szCs w:val="21"/>
        </w:rPr>
        <w:t>十一、其他事项：</w:t>
      </w:r>
    </w:p>
    <w:p w14:paraId="771D0AE1">
      <w:pPr>
        <w:spacing w:line="360" w:lineRule="auto"/>
        <w:ind w:firstLine="420" w:firstLineChars="200"/>
      </w:pPr>
      <w:r>
        <w:rPr>
          <w:szCs w:val="21"/>
        </w:rPr>
        <w:t>1.</w:t>
      </w:r>
      <w:r>
        <w:rPr>
          <w:rFonts w:hint="eastAsia"/>
        </w:rPr>
        <w:t>本项目公告期限为</w:t>
      </w:r>
      <w:r>
        <w:t>5</w:t>
      </w:r>
      <w:r>
        <w:rPr>
          <w:rFonts w:hint="eastAsia"/>
        </w:rPr>
        <w:t>个工作日，供应商认为采购文件使自己的权益受到损害的，可以自获取采购文件之日或者采购文件公告期限届满之日（公告期限届满后获取采购文件的，以公告期限届满之日为准）起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35D624">
      <w:pPr>
        <w:spacing w:line="360" w:lineRule="auto"/>
        <w:ind w:firstLine="420" w:firstLineChars="200"/>
        <w:rPr>
          <w:rFonts w:hint="eastAsia"/>
          <w:b/>
          <w:bCs/>
          <w:kern w:val="0"/>
          <w:szCs w:val="21"/>
        </w:rPr>
      </w:pPr>
      <w:r>
        <w:rPr>
          <w:szCs w:val="21"/>
        </w:rPr>
        <w:t>2.</w:t>
      </w:r>
      <w:r>
        <w:rPr>
          <w:rFonts w:hint="eastAsia"/>
          <w:szCs w:val="21"/>
        </w:rPr>
        <w:t>投标人应在合同签订前成为浙江政府采购网正式注册供应商。</w:t>
      </w:r>
    </w:p>
    <w:p w14:paraId="2A88AA32">
      <w:pPr>
        <w:widowControl/>
        <w:spacing w:line="360" w:lineRule="auto"/>
        <w:ind w:firstLine="422" w:firstLineChars="200"/>
        <w:rPr>
          <w:kern w:val="0"/>
          <w:szCs w:val="21"/>
        </w:rPr>
      </w:pPr>
      <w:r>
        <w:rPr>
          <w:rFonts w:hint="eastAsia"/>
          <w:b/>
          <w:bCs/>
          <w:kern w:val="0"/>
          <w:szCs w:val="21"/>
        </w:rPr>
        <w:t>十二、联系方式：</w:t>
      </w:r>
    </w:p>
    <w:p w14:paraId="32C1613D">
      <w:pPr>
        <w:widowControl/>
        <w:spacing w:line="360" w:lineRule="auto"/>
        <w:ind w:firstLine="420"/>
        <w:rPr>
          <w:kern w:val="0"/>
          <w:szCs w:val="21"/>
          <w:shd w:val="clear" w:color="auto" w:fill="FFFFFF"/>
        </w:rPr>
      </w:pPr>
      <w:r>
        <w:rPr>
          <w:kern w:val="0"/>
          <w:szCs w:val="21"/>
          <w:shd w:val="clear" w:color="auto" w:fill="FFFFFF"/>
        </w:rPr>
        <w:t>1.</w:t>
      </w:r>
      <w:r>
        <w:rPr>
          <w:rFonts w:hint="eastAsia"/>
          <w:kern w:val="0"/>
          <w:szCs w:val="21"/>
          <w:shd w:val="clear" w:color="auto" w:fill="FFFFFF"/>
        </w:rPr>
        <w:t>采购代理机构名称：深圳市国信招标有限公司舟山分公司</w:t>
      </w:r>
    </w:p>
    <w:p w14:paraId="10592B8E">
      <w:pPr>
        <w:widowControl/>
        <w:spacing w:line="360" w:lineRule="auto"/>
        <w:ind w:firstLine="420"/>
        <w:rPr>
          <w:kern w:val="0"/>
          <w:szCs w:val="21"/>
          <w:shd w:val="clear" w:color="auto" w:fill="FFFFFF"/>
        </w:rPr>
      </w:pPr>
      <w:r>
        <w:rPr>
          <w:rFonts w:hint="eastAsia"/>
          <w:kern w:val="0"/>
          <w:szCs w:val="21"/>
          <w:shd w:val="clear" w:color="auto" w:fill="FFFFFF"/>
        </w:rPr>
        <w:t>联系人：朱女士</w:t>
      </w:r>
    </w:p>
    <w:p w14:paraId="4B04FFF9">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13857236444</w:t>
      </w:r>
    </w:p>
    <w:p w14:paraId="14EBECA2">
      <w:pPr>
        <w:widowControl/>
        <w:spacing w:line="360" w:lineRule="auto"/>
        <w:ind w:firstLine="420"/>
        <w:rPr>
          <w:kern w:val="0"/>
          <w:szCs w:val="21"/>
          <w:shd w:val="clear" w:color="auto" w:fill="FFFFFF"/>
        </w:rPr>
      </w:pPr>
      <w:r>
        <w:rPr>
          <w:rFonts w:hint="eastAsia"/>
          <w:kern w:val="0"/>
          <w:szCs w:val="21"/>
          <w:shd w:val="clear" w:color="auto" w:fill="FFFFFF"/>
        </w:rPr>
        <w:t>质疑答复联系人：王女士</w:t>
      </w:r>
    </w:p>
    <w:p w14:paraId="016DBF2E">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13587045176</w:t>
      </w:r>
    </w:p>
    <w:p w14:paraId="3C242637">
      <w:pPr>
        <w:widowControl/>
        <w:spacing w:line="360" w:lineRule="auto"/>
        <w:ind w:firstLine="420"/>
        <w:rPr>
          <w:kern w:val="0"/>
          <w:szCs w:val="21"/>
          <w:shd w:val="clear" w:color="auto" w:fill="FFFFFF"/>
        </w:rPr>
      </w:pPr>
      <w:r>
        <w:rPr>
          <w:rFonts w:hint="eastAsia"/>
          <w:kern w:val="0"/>
          <w:szCs w:val="21"/>
          <w:shd w:val="clear" w:color="auto" w:fill="FFFFFF"/>
        </w:rPr>
        <w:t>传真：</w:t>
      </w:r>
      <w:r>
        <w:rPr>
          <w:kern w:val="0"/>
          <w:szCs w:val="21"/>
          <w:shd w:val="clear" w:color="auto" w:fill="FFFFFF"/>
        </w:rPr>
        <w:t>0580-2054476</w:t>
      </w:r>
    </w:p>
    <w:p w14:paraId="6E226D59">
      <w:pPr>
        <w:widowControl/>
        <w:spacing w:line="360" w:lineRule="auto"/>
        <w:ind w:firstLine="420"/>
        <w:rPr>
          <w:color w:val="auto"/>
          <w:kern w:val="0"/>
          <w:szCs w:val="21"/>
          <w:shd w:val="clear" w:color="auto" w:fill="FFFFFF"/>
        </w:rPr>
      </w:pPr>
      <w:r>
        <w:rPr>
          <w:rFonts w:hint="eastAsia"/>
          <w:color w:val="auto"/>
          <w:kern w:val="0"/>
          <w:szCs w:val="21"/>
          <w:shd w:val="clear" w:color="auto" w:fill="FFFFFF"/>
        </w:rPr>
        <w:t>地址：舟山市定海区昌国路</w:t>
      </w:r>
      <w:r>
        <w:rPr>
          <w:color w:val="auto"/>
          <w:kern w:val="0"/>
          <w:szCs w:val="21"/>
          <w:shd w:val="clear" w:color="auto" w:fill="FFFFFF"/>
        </w:rPr>
        <w:t>232</w:t>
      </w:r>
      <w:r>
        <w:rPr>
          <w:rFonts w:hint="eastAsia"/>
          <w:color w:val="auto"/>
          <w:kern w:val="0"/>
          <w:szCs w:val="21"/>
          <w:shd w:val="clear" w:color="auto" w:fill="FFFFFF"/>
        </w:rPr>
        <w:t>号中楼</w:t>
      </w:r>
      <w:r>
        <w:rPr>
          <w:color w:val="auto"/>
          <w:kern w:val="0"/>
          <w:szCs w:val="21"/>
          <w:shd w:val="clear" w:color="auto" w:fill="FFFFFF"/>
        </w:rPr>
        <w:t>202</w:t>
      </w:r>
    </w:p>
    <w:p w14:paraId="228212C3">
      <w:pPr>
        <w:widowControl/>
        <w:spacing w:line="360" w:lineRule="auto"/>
        <w:ind w:firstLine="420"/>
        <w:rPr>
          <w:rFonts w:hint="eastAsia" w:eastAsia="宋体"/>
          <w:color w:val="auto"/>
          <w:kern w:val="0"/>
          <w:szCs w:val="21"/>
          <w:shd w:val="clear" w:color="auto" w:fill="FFFFFF"/>
          <w:lang w:eastAsia="zh-CN"/>
        </w:rPr>
      </w:pPr>
      <w:r>
        <w:rPr>
          <w:rFonts w:hint="eastAsia" w:ascii="宋体" w:hAnsi="宋体"/>
          <w:color w:val="auto"/>
          <w:szCs w:val="21"/>
          <w:shd w:val="clear" w:color="auto" w:fill="FFFFFF"/>
        </w:rPr>
        <w:t>2</w:t>
      </w:r>
      <w:r>
        <w:rPr>
          <w:rFonts w:hint="eastAsia"/>
          <w:color w:val="auto"/>
          <w:kern w:val="0"/>
          <w:szCs w:val="21"/>
          <w:shd w:val="clear" w:color="auto" w:fill="FFFFFF"/>
        </w:rPr>
        <w:t>.采购人：</w:t>
      </w:r>
      <w:r>
        <w:rPr>
          <w:rFonts w:hint="eastAsia"/>
          <w:color w:val="auto"/>
          <w:kern w:val="0"/>
          <w:szCs w:val="21"/>
          <w:shd w:val="clear" w:color="auto" w:fill="FFFFFF"/>
          <w:lang w:eastAsia="zh-CN"/>
        </w:rPr>
        <w:t>舟山市普陀区海洋经济发展局</w:t>
      </w:r>
    </w:p>
    <w:p w14:paraId="40998AD0">
      <w:pPr>
        <w:spacing w:line="360" w:lineRule="auto"/>
        <w:ind w:firstLine="472" w:firstLineChars="225"/>
        <w:rPr>
          <w:rFonts w:hint="eastAsia" w:ascii="宋体" w:hAnsi="宋体" w:eastAsia="宋体" w:cs="Times New Roman"/>
          <w:color w:val="auto"/>
          <w:szCs w:val="21"/>
          <w:lang w:eastAsia="zh-CN"/>
        </w:rPr>
      </w:pPr>
      <w:r>
        <w:rPr>
          <w:rFonts w:hint="eastAsia" w:ascii="宋体" w:hAnsi="宋体" w:eastAsia="宋体" w:cs="Times New Roman"/>
          <w:color w:val="auto"/>
          <w:szCs w:val="21"/>
        </w:rPr>
        <w:t>联系人：</w:t>
      </w:r>
      <w:r>
        <w:rPr>
          <w:rFonts w:hint="eastAsia" w:ascii="宋体" w:hAnsi="宋体" w:cs="Times New Roman"/>
          <w:color w:val="auto"/>
          <w:szCs w:val="21"/>
          <w:lang w:eastAsia="zh-CN"/>
        </w:rPr>
        <w:t>刘女士</w:t>
      </w:r>
    </w:p>
    <w:p w14:paraId="67C92B54">
      <w:pPr>
        <w:spacing w:line="360" w:lineRule="auto"/>
        <w:ind w:firstLine="472" w:firstLineChars="225"/>
        <w:rPr>
          <w:rFonts w:hint="default" w:ascii="宋体" w:hAnsi="宋体" w:eastAsia="宋体" w:cs="宋体"/>
          <w:color w:val="auto"/>
          <w:szCs w:val="21"/>
          <w:lang w:val="en-US" w:eastAsia="zh-CN"/>
        </w:rPr>
      </w:pPr>
      <w:r>
        <w:rPr>
          <w:rFonts w:hint="eastAsia" w:ascii="宋体" w:hAnsi="宋体" w:eastAsia="宋体" w:cs="Times New Roman"/>
          <w:color w:val="auto"/>
          <w:szCs w:val="21"/>
        </w:rPr>
        <w:t>联系电话：</w:t>
      </w:r>
      <w:r>
        <w:rPr>
          <w:rFonts w:hint="eastAsia" w:ascii="宋体" w:hAnsi="宋体" w:cs="Times New Roman"/>
          <w:color w:val="auto"/>
          <w:szCs w:val="21"/>
          <w:lang w:val="en-US" w:eastAsia="zh-CN"/>
        </w:rPr>
        <w:t>0580-</w:t>
      </w:r>
      <w:r>
        <w:rPr>
          <w:rFonts w:hint="eastAsia" w:ascii="宋体" w:hAnsi="宋体" w:cs="宋体"/>
          <w:color w:val="auto"/>
          <w:kern w:val="0"/>
          <w:szCs w:val="21"/>
          <w:lang w:val="en-US" w:eastAsia="zh-CN"/>
        </w:rPr>
        <w:t>3013200</w:t>
      </w:r>
    </w:p>
    <w:p w14:paraId="0603463B">
      <w:pPr>
        <w:spacing w:line="360" w:lineRule="auto"/>
        <w:ind w:firstLine="472" w:firstLineChars="225"/>
        <w:rPr>
          <w:rFonts w:hint="eastAsia" w:ascii="宋体" w:hAnsi="宋体" w:cs="Times New Roman"/>
          <w:color w:val="auto"/>
          <w:szCs w:val="21"/>
          <w:lang w:eastAsia="zh-CN"/>
        </w:rPr>
      </w:pPr>
      <w:r>
        <w:rPr>
          <w:rFonts w:hint="eastAsia" w:ascii="宋体" w:hAnsi="宋体" w:eastAsia="宋体" w:cs="Times New Roman"/>
          <w:color w:val="auto"/>
          <w:szCs w:val="21"/>
        </w:rPr>
        <w:t xml:space="preserve">质疑答复联系人： </w:t>
      </w:r>
      <w:r>
        <w:rPr>
          <w:rFonts w:hint="eastAsia" w:ascii="宋体" w:hAnsi="宋体" w:cs="Times New Roman"/>
          <w:color w:val="auto"/>
          <w:szCs w:val="21"/>
          <w:lang w:eastAsia="zh-CN"/>
        </w:rPr>
        <w:t>丁女士</w:t>
      </w:r>
    </w:p>
    <w:p w14:paraId="0AD13FA4">
      <w:pPr>
        <w:spacing w:line="360" w:lineRule="auto"/>
        <w:ind w:firstLine="472" w:firstLineChars="225"/>
        <w:rPr>
          <w:rFonts w:hint="eastAsia" w:ascii="宋体" w:hAnsi="宋体" w:eastAsia="宋体" w:cs="Times New Roman"/>
          <w:color w:val="auto"/>
          <w:szCs w:val="21"/>
        </w:rPr>
      </w:pPr>
      <w:r>
        <w:rPr>
          <w:rFonts w:hint="eastAsia" w:ascii="宋体" w:hAnsi="宋体" w:eastAsia="宋体" w:cs="Times New Roman"/>
          <w:color w:val="auto"/>
          <w:szCs w:val="21"/>
        </w:rPr>
        <w:t>联系电话：</w:t>
      </w:r>
      <w:r>
        <w:rPr>
          <w:rFonts w:hint="eastAsia" w:ascii="宋体" w:hAnsi="宋体" w:cs="Times New Roman"/>
          <w:color w:val="auto"/>
          <w:szCs w:val="21"/>
          <w:lang w:val="en-US" w:eastAsia="zh-CN"/>
        </w:rPr>
        <w:t>0580-</w:t>
      </w:r>
      <w:r>
        <w:rPr>
          <w:rFonts w:hint="eastAsia" w:ascii="宋体" w:hAnsi="宋体" w:cs="宋体"/>
          <w:color w:val="auto"/>
          <w:kern w:val="0"/>
          <w:szCs w:val="21"/>
          <w:lang w:val="en-US" w:eastAsia="zh-CN"/>
        </w:rPr>
        <w:t>3013200</w:t>
      </w:r>
    </w:p>
    <w:p w14:paraId="1153BD77">
      <w:pPr>
        <w:spacing w:line="360" w:lineRule="auto"/>
        <w:ind w:firstLine="472" w:firstLineChars="225"/>
        <w:rPr>
          <w:rFonts w:hint="default" w:ascii="Times New Roman" w:hAnsi="Times New Roman" w:eastAsia="宋体" w:cs="Times New Roman"/>
          <w:color w:val="auto"/>
          <w:kern w:val="0"/>
          <w:szCs w:val="21"/>
          <w:shd w:val="clear" w:color="auto" w:fill="FFFFFF"/>
          <w:lang w:val="en"/>
        </w:rPr>
      </w:pPr>
      <w:r>
        <w:rPr>
          <w:rFonts w:hint="eastAsia"/>
          <w:color w:val="auto"/>
          <w:kern w:val="0"/>
          <w:szCs w:val="21"/>
          <w:shd w:val="clear" w:color="auto" w:fill="FFFFFF"/>
        </w:rPr>
        <w:t>地址：舟山市普陀区东海西路9号</w:t>
      </w:r>
    </w:p>
    <w:p w14:paraId="31291ED1">
      <w:pPr>
        <w:spacing w:line="360" w:lineRule="auto"/>
        <w:ind w:firstLine="472" w:firstLineChars="225"/>
        <w:rPr>
          <w:rFonts w:ascii="宋体" w:hAnsi="宋体" w:eastAsia="宋体"/>
          <w:color w:val="auto"/>
          <w:szCs w:val="21"/>
        </w:rPr>
      </w:pPr>
      <w:r>
        <w:rPr>
          <w:rFonts w:hint="eastAsia" w:ascii="宋体" w:hAnsi="宋体"/>
          <w:color w:val="auto"/>
          <w:szCs w:val="21"/>
        </w:rPr>
        <w:t>3.</w:t>
      </w:r>
      <w:r>
        <w:rPr>
          <w:rFonts w:ascii="宋体" w:hAnsi="宋体" w:eastAsia="宋体"/>
          <w:color w:val="auto"/>
          <w:szCs w:val="21"/>
        </w:rPr>
        <w:t>同级政府采购监督管理部门名称：普陀区财政局</w:t>
      </w:r>
    </w:p>
    <w:p w14:paraId="01D6E831">
      <w:pPr>
        <w:spacing w:line="360" w:lineRule="auto"/>
        <w:ind w:firstLine="472" w:firstLineChars="225"/>
        <w:rPr>
          <w:rFonts w:ascii="宋体" w:hAnsi="宋体" w:eastAsia="宋体"/>
          <w:color w:val="auto"/>
          <w:szCs w:val="21"/>
        </w:rPr>
      </w:pPr>
      <w:r>
        <w:rPr>
          <w:rFonts w:hint="eastAsia" w:ascii="宋体" w:hAnsi="宋体" w:eastAsia="宋体"/>
          <w:color w:val="auto"/>
          <w:szCs w:val="21"/>
        </w:rPr>
        <w:t>监督投拆电话：</w:t>
      </w:r>
      <w:r>
        <w:rPr>
          <w:rFonts w:ascii="宋体" w:hAnsi="宋体" w:eastAsia="宋体"/>
          <w:color w:val="auto"/>
          <w:szCs w:val="21"/>
        </w:rPr>
        <w:t>0580-3062899</w:t>
      </w:r>
    </w:p>
    <w:p w14:paraId="36962AEE">
      <w:pPr>
        <w:spacing w:line="360" w:lineRule="auto"/>
        <w:ind w:firstLine="472" w:firstLineChars="225"/>
        <w:rPr>
          <w:rFonts w:hint="eastAsia" w:ascii="宋体" w:hAnsi="宋体" w:eastAsia="宋体"/>
          <w:color w:val="auto"/>
          <w:szCs w:val="21"/>
          <w:lang w:val="en-US" w:eastAsia="zh-CN"/>
        </w:rPr>
      </w:pPr>
      <w:r>
        <w:rPr>
          <w:rFonts w:hint="eastAsia" w:ascii="宋体" w:hAnsi="宋体"/>
          <w:color w:val="auto"/>
          <w:szCs w:val="21"/>
          <w:lang w:val="en-US" w:eastAsia="zh-CN"/>
        </w:rPr>
        <w:t>地址：舟山市普陀区东港街道昌正街169号东港商务中心3号楼东314室</w:t>
      </w:r>
    </w:p>
    <w:p w14:paraId="0A61133E">
      <w:pPr>
        <w:spacing w:line="360" w:lineRule="auto"/>
        <w:ind w:firstLine="678" w:firstLineChars="225"/>
        <w:rPr>
          <w:rFonts w:hint="eastAsia" w:ascii="宋体" w:hAnsi="宋体"/>
          <w:b/>
          <w:sz w:val="30"/>
        </w:rPr>
      </w:pPr>
    </w:p>
    <w:p w14:paraId="685769FD">
      <w:pPr>
        <w:spacing w:line="360" w:lineRule="auto"/>
        <w:ind w:firstLine="678" w:firstLineChars="225"/>
        <w:rPr>
          <w:rFonts w:hint="eastAsia" w:ascii="宋体" w:hAnsi="宋体"/>
          <w:b/>
          <w:sz w:val="30"/>
        </w:rPr>
      </w:pPr>
    </w:p>
    <w:p w14:paraId="326F60ED">
      <w:pPr>
        <w:rPr>
          <w:b/>
          <w:kern w:val="0"/>
          <w:sz w:val="30"/>
        </w:rPr>
      </w:pPr>
      <w:r>
        <w:rPr>
          <w:b/>
          <w:kern w:val="0"/>
          <w:sz w:val="30"/>
        </w:rPr>
        <w:br w:type="page"/>
      </w:r>
    </w:p>
    <w:p w14:paraId="64927B9C">
      <w:pPr>
        <w:numPr>
          <w:ilvl w:val="0"/>
          <w:numId w:val="7"/>
        </w:numPr>
        <w:snapToGrid w:val="0"/>
        <w:spacing w:line="360" w:lineRule="auto"/>
        <w:jc w:val="center"/>
        <w:rPr>
          <w:b/>
          <w:sz w:val="30"/>
        </w:rPr>
      </w:pPr>
      <w:r>
        <w:rPr>
          <w:rFonts w:hint="eastAsia"/>
          <w:b/>
          <w:sz w:val="30"/>
        </w:rPr>
        <w:t>招标需求</w:t>
      </w:r>
    </w:p>
    <w:p w14:paraId="7C47A1A5">
      <w:pPr>
        <w:keepNext w:val="0"/>
        <w:keepLines w:val="0"/>
        <w:pageBreakBefore w:val="0"/>
        <w:widowControl w:val="0"/>
        <w:kinsoku/>
        <w:wordWrap/>
        <w:overflowPunct/>
        <w:topLinePunct w:val="0"/>
        <w:autoSpaceDE/>
        <w:autoSpaceDN/>
        <w:bidi w:val="0"/>
        <w:adjustRightInd/>
        <w:spacing w:after="0" w:line="336" w:lineRule="auto"/>
        <w:ind w:firstLine="482" w:firstLineChars="200"/>
        <w:textAlignment w:val="auto"/>
        <w:rPr>
          <w:b/>
          <w:sz w:val="24"/>
          <w:szCs w:val="24"/>
        </w:rPr>
      </w:pPr>
    </w:p>
    <w:p w14:paraId="210E37AC">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背景意义</w:t>
      </w:r>
    </w:p>
    <w:p w14:paraId="2D44B30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根据</w:t>
      </w:r>
      <w:r>
        <w:rPr>
          <w:rFonts w:hint="eastAsia"/>
          <w:lang w:val="en-US" w:eastAsia="zh-CN"/>
        </w:rPr>
        <w:t>根据</w:t>
      </w:r>
      <w:r>
        <w:rPr>
          <w:rFonts w:hint="default"/>
        </w:rPr>
        <w:t>《自然资源部办公厅关于印发202</w:t>
      </w:r>
      <w:r>
        <w:rPr>
          <w:rFonts w:hint="eastAsia"/>
          <w:lang w:val="en-US" w:eastAsia="zh-CN"/>
        </w:rPr>
        <w:t>5</w:t>
      </w:r>
      <w:r>
        <w:rPr>
          <w:rFonts w:hint="default"/>
        </w:rPr>
        <w:t>年海洋经济运行监测与评估工作要点的通知》（自然资办函〔202</w:t>
      </w:r>
      <w:r>
        <w:rPr>
          <w:rFonts w:hint="eastAsia"/>
          <w:lang w:val="en-US" w:eastAsia="zh-CN"/>
        </w:rPr>
        <w:t>5</w:t>
      </w:r>
      <w:r>
        <w:rPr>
          <w:rFonts w:hint="default"/>
        </w:rPr>
        <w:t>〕</w:t>
      </w:r>
      <w:r>
        <w:rPr>
          <w:rFonts w:hint="eastAsia"/>
          <w:lang w:val="en-US" w:eastAsia="zh-CN"/>
        </w:rPr>
        <w:t>13</w:t>
      </w:r>
      <w:r>
        <w:rPr>
          <w:rFonts w:hint="default"/>
        </w:rPr>
        <w:t>号）</w:t>
      </w:r>
      <w:r>
        <w:rPr>
          <w:rFonts w:hint="eastAsia"/>
          <w:lang w:eastAsia="zh-CN"/>
        </w:rPr>
        <w:t>、</w:t>
      </w:r>
      <w:r>
        <w:rPr>
          <w:rFonts w:hint="eastAsia" w:ascii="宋体" w:hAnsi="宋体" w:eastAsia="宋体" w:cs="宋体"/>
          <w:color w:val="auto"/>
          <w:sz w:val="21"/>
          <w:szCs w:val="21"/>
          <w:highlight w:val="none"/>
          <w:lang w:val="en-US" w:eastAsia="zh-CN"/>
        </w:rPr>
        <w:t>《浙江省海洋经济发展厅 关于下达2025年度省海洋经济发展资金配套任务的通知》（浙海经规发〔2025〕2 号）、《</w:t>
      </w:r>
      <w:r>
        <w:rPr>
          <w:rFonts w:hint="eastAsia" w:ascii="宋体" w:hAnsi="宋体" w:eastAsia="宋体" w:cs="宋体"/>
          <w:color w:val="auto"/>
          <w:sz w:val="21"/>
          <w:szCs w:val="21"/>
          <w:highlight w:val="none"/>
        </w:rPr>
        <w:t>浙江省财政厅</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浙江省海洋经济发展厅</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关于下达2025年度省海洋经济发展资金的通知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（浙财建〔2025〕17号）</w:t>
      </w:r>
      <w:r>
        <w:rPr>
          <w:rFonts w:hint="eastAsia" w:ascii="宋体" w:hAnsi="宋体" w:cs="宋体"/>
          <w:color w:val="auto"/>
          <w:sz w:val="21"/>
          <w:szCs w:val="21"/>
          <w:highlight w:val="none"/>
          <w:lang w:eastAsia="zh-CN"/>
        </w:rPr>
        <w:t>文件精神，</w:t>
      </w:r>
      <w:r>
        <w:rPr>
          <w:rFonts w:hint="eastAsia" w:ascii="宋体" w:hAnsi="宋体" w:eastAsia="宋体" w:cs="宋体"/>
          <w:color w:val="auto"/>
          <w:sz w:val="21"/>
          <w:szCs w:val="21"/>
          <w:highlight w:val="none"/>
        </w:rPr>
        <w:t>明确</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各地开展</w:t>
      </w:r>
      <w:r>
        <w:rPr>
          <w:rFonts w:hint="eastAsia" w:ascii="宋体" w:hAnsi="宋体" w:cs="宋体"/>
          <w:color w:val="auto"/>
          <w:sz w:val="21"/>
          <w:szCs w:val="21"/>
          <w:highlight w:val="none"/>
          <w:lang w:eastAsia="zh-CN"/>
        </w:rPr>
        <w:t>海洋经济运行监测与评估工作</w:t>
      </w:r>
      <w:r>
        <w:rPr>
          <w:rFonts w:hint="eastAsia" w:ascii="宋体" w:hAnsi="宋体" w:cs="宋体"/>
          <w:color w:val="auto"/>
          <w:sz w:val="21"/>
          <w:szCs w:val="21"/>
          <w:highlight w:val="none"/>
          <w:lang w:val="en-US" w:eastAsia="zh-CN"/>
        </w:rPr>
        <w:t>，</w:t>
      </w:r>
      <w:r>
        <w:rPr>
          <w:rFonts w:hint="eastAsia"/>
          <w:lang w:val="en-US" w:eastAsia="zh-CN"/>
        </w:rPr>
        <w:t>深化</w:t>
      </w:r>
      <w:r>
        <w:rPr>
          <w:rFonts w:hint="default"/>
          <w:lang w:val="en-US" w:eastAsia="zh-CN"/>
        </w:rPr>
        <w:t>海洋经济统计核算</w:t>
      </w:r>
      <w:r>
        <w:rPr>
          <w:rFonts w:hint="eastAsia"/>
          <w:lang w:val="en-US" w:eastAsia="zh-CN"/>
        </w:rPr>
        <w:t>，</w:t>
      </w:r>
      <w:r>
        <w:rPr>
          <w:rFonts w:hint="default"/>
          <w:lang w:val="en-US" w:eastAsia="zh-CN"/>
        </w:rPr>
        <w:t>建立涉海部门数据共享和业务协同机制</w:t>
      </w:r>
      <w:r>
        <w:rPr>
          <w:rFonts w:hint="eastAsia"/>
          <w:lang w:val="en-US" w:eastAsia="zh-CN"/>
        </w:rPr>
        <w:t>，</w:t>
      </w:r>
      <w:r>
        <w:rPr>
          <w:rFonts w:hint="eastAsia" w:ascii="宋体" w:hAnsi="宋体" w:eastAsia="宋体" w:cs="宋体"/>
          <w:color w:val="auto"/>
          <w:sz w:val="21"/>
          <w:szCs w:val="21"/>
          <w:highlight w:val="none"/>
          <w:lang w:val="en-US" w:eastAsia="zh-CN"/>
        </w:rPr>
        <w:t>完善海洋经济运行分析评估，</w:t>
      </w:r>
      <w:r>
        <w:rPr>
          <w:rFonts w:hint="eastAsia" w:ascii="宋体" w:hAnsi="宋体" w:cs="宋体"/>
          <w:color w:val="auto"/>
          <w:sz w:val="21"/>
          <w:szCs w:val="21"/>
          <w:highlight w:val="none"/>
          <w:lang w:eastAsia="zh-CN"/>
        </w:rPr>
        <w:t>实现海洋经济高质量发展</w:t>
      </w:r>
      <w:r>
        <w:rPr>
          <w:rFonts w:hint="eastAsia" w:ascii="宋体" w:hAnsi="宋体" w:eastAsia="宋体" w:cs="宋体"/>
          <w:color w:val="auto"/>
          <w:sz w:val="21"/>
          <w:szCs w:val="21"/>
          <w:highlight w:val="none"/>
        </w:rPr>
        <w:t>。</w:t>
      </w:r>
    </w:p>
    <w:p w14:paraId="5336789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海洋经济运行监测与评估是反映海洋经济发展成效，分析海洋产业发展趋势，支撑海洋经济宏观调控的基础性工作，有利于引导海洋产业发展，推动海洋经济转型升级</w:t>
      </w:r>
      <w:r>
        <w:rPr>
          <w:rFonts w:hint="eastAsia" w:ascii="宋体" w:hAnsi="宋体" w:cs="宋体"/>
          <w:color w:val="auto"/>
          <w:sz w:val="21"/>
          <w:szCs w:val="21"/>
          <w:highlight w:val="none"/>
          <w:lang w:eastAsia="zh-CN"/>
        </w:rPr>
        <w:t>，为</w:t>
      </w:r>
      <w:r>
        <w:rPr>
          <w:rFonts w:hint="eastAsia" w:ascii="宋体" w:hAnsi="宋体" w:eastAsia="宋体" w:cs="宋体"/>
          <w:color w:val="auto"/>
          <w:sz w:val="21"/>
          <w:szCs w:val="21"/>
          <w:highlight w:val="none"/>
        </w:rPr>
        <w:t>海洋强省建设提供强有力的决策支持</w:t>
      </w:r>
      <w:r>
        <w:rPr>
          <w:rFonts w:hint="eastAsia" w:ascii="宋体" w:hAnsi="宋体" w:cs="宋体"/>
          <w:color w:val="auto"/>
          <w:sz w:val="21"/>
          <w:szCs w:val="21"/>
          <w:highlight w:val="none"/>
          <w:lang w:eastAsia="zh-CN"/>
        </w:rPr>
        <w:t>。同时，开展海洋经济运行监测和评估工作，对提高海洋经济数据的准确性和时效性，</w:t>
      </w:r>
      <w:r>
        <w:rPr>
          <w:rFonts w:hint="eastAsia" w:ascii="宋体" w:hAnsi="宋体" w:eastAsia="宋体" w:cs="宋体"/>
          <w:color w:val="auto"/>
          <w:sz w:val="21"/>
          <w:szCs w:val="21"/>
          <w:highlight w:val="none"/>
        </w:rPr>
        <w:t>增强海洋经济运行分析评估能力和宏观指导服务水平</w:t>
      </w:r>
      <w:r>
        <w:rPr>
          <w:rFonts w:hint="eastAsia" w:ascii="宋体" w:hAnsi="宋体" w:cs="宋体"/>
          <w:color w:val="auto"/>
          <w:sz w:val="21"/>
          <w:szCs w:val="21"/>
          <w:highlight w:val="none"/>
          <w:lang w:eastAsia="zh-CN"/>
        </w:rPr>
        <w:t>，促进海洋经济高质量发展起到了重要支撑作用</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为此，</w:t>
      </w:r>
      <w:r>
        <w:rPr>
          <w:rFonts w:hint="eastAsia" w:ascii="宋体" w:hAnsi="宋体" w:eastAsia="宋体" w:cs="宋体"/>
          <w:color w:val="auto"/>
          <w:sz w:val="21"/>
          <w:szCs w:val="21"/>
          <w:highlight w:val="none"/>
        </w:rPr>
        <w:t>各沿海市常态化开展海洋经济运行</w:t>
      </w:r>
      <w:r>
        <w:rPr>
          <w:rFonts w:hint="eastAsia" w:ascii="宋体" w:hAnsi="宋体" w:cs="宋体"/>
          <w:color w:val="auto"/>
          <w:sz w:val="21"/>
          <w:szCs w:val="21"/>
          <w:highlight w:val="none"/>
          <w:lang w:eastAsia="zh-CN"/>
        </w:rPr>
        <w:t>监测与评估工作</w:t>
      </w:r>
      <w:r>
        <w:rPr>
          <w:rFonts w:hint="eastAsia" w:ascii="宋体" w:hAnsi="宋体" w:eastAsia="宋体" w:cs="宋体"/>
          <w:color w:val="auto"/>
          <w:sz w:val="21"/>
          <w:szCs w:val="21"/>
          <w:highlight w:val="none"/>
        </w:rPr>
        <w:t>,编制</w:t>
      </w:r>
      <w:r>
        <w:rPr>
          <w:rFonts w:hint="eastAsia" w:ascii="宋体" w:hAnsi="宋体" w:eastAsia="宋体" w:cs="宋体"/>
          <w:color w:val="auto"/>
          <w:sz w:val="21"/>
          <w:szCs w:val="21"/>
          <w:highlight w:val="none"/>
          <w:lang w:eastAsia="zh-CN"/>
        </w:rPr>
        <w:t>季度</w:t>
      </w:r>
      <w:r>
        <w:rPr>
          <w:rFonts w:hint="eastAsia" w:ascii="宋体" w:hAnsi="宋体" w:eastAsia="宋体" w:cs="宋体"/>
          <w:color w:val="auto"/>
          <w:sz w:val="21"/>
          <w:szCs w:val="21"/>
          <w:highlight w:val="none"/>
        </w:rPr>
        <w:t>分析报告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w:t>
      </w:r>
      <w:r>
        <w:rPr>
          <w:rFonts w:hint="eastAsia" w:ascii="宋体" w:hAnsi="宋体" w:cs="宋体"/>
          <w:color w:val="auto"/>
          <w:sz w:val="21"/>
          <w:szCs w:val="21"/>
          <w:highlight w:val="none"/>
          <w:lang w:eastAsia="zh-CN"/>
        </w:rPr>
        <w:t>十分</w:t>
      </w:r>
      <w:r>
        <w:rPr>
          <w:rFonts w:hint="eastAsia" w:ascii="宋体" w:hAnsi="宋体" w:eastAsia="宋体" w:cs="宋体"/>
          <w:color w:val="auto"/>
          <w:sz w:val="21"/>
          <w:szCs w:val="21"/>
          <w:highlight w:val="none"/>
        </w:rPr>
        <w:t>必要且紧迫的。</w:t>
      </w:r>
    </w:p>
    <w:p w14:paraId="369A8E5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rPr>
          <w:rFonts w:hint="eastAsia"/>
          <w:b/>
          <w:color w:val="auto"/>
          <w:sz w:val="21"/>
          <w:szCs w:val="21"/>
          <w:lang w:val="en-US" w:eastAsia="zh-CN"/>
        </w:rPr>
      </w:pPr>
    </w:p>
    <w:p w14:paraId="0F6EE03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b/>
          <w:color w:val="auto"/>
          <w:sz w:val="24"/>
          <w:szCs w:val="24"/>
          <w:lang w:val="en-US" w:eastAsia="zh-CN"/>
        </w:rPr>
      </w:pPr>
      <w:r>
        <w:rPr>
          <w:rFonts w:hint="eastAsia"/>
          <w:b/>
          <w:color w:val="auto"/>
          <w:sz w:val="24"/>
          <w:szCs w:val="24"/>
          <w:lang w:val="en-US" w:eastAsia="zh-CN"/>
        </w:rPr>
        <w:t>二、主要工作内容</w:t>
      </w:r>
    </w:p>
    <w:p w14:paraId="123BC4E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涉海企业直报工作。</w:t>
      </w:r>
      <w:r>
        <w:rPr>
          <w:rFonts w:hint="eastAsia" w:ascii="宋体" w:hAnsi="宋体" w:eastAsia="宋体" w:cs="宋体"/>
          <w:color w:val="auto"/>
          <w:sz w:val="21"/>
          <w:szCs w:val="21"/>
          <w:highlight w:val="none"/>
        </w:rPr>
        <w:t>对涉海企业样本进行常态化运行监测，</w:t>
      </w:r>
      <w:r>
        <w:rPr>
          <w:rFonts w:hint="eastAsia" w:ascii="宋体" w:hAnsi="宋体" w:cs="宋体"/>
          <w:color w:val="auto"/>
          <w:sz w:val="21"/>
          <w:szCs w:val="21"/>
          <w:highlight w:val="none"/>
          <w:lang w:eastAsia="zh-CN"/>
        </w:rPr>
        <w:t>做好涉海企业直报样本库维护更新，</w:t>
      </w:r>
      <w:r>
        <w:rPr>
          <w:rFonts w:hint="eastAsia" w:ascii="宋体" w:hAnsi="宋体" w:eastAsia="宋体" w:cs="宋体"/>
          <w:color w:val="auto"/>
          <w:sz w:val="21"/>
          <w:szCs w:val="21"/>
          <w:highlight w:val="none"/>
        </w:rPr>
        <w:t>每年完成12次月度企业数据监测，4次季度企业数据监测，1次年度企业数据监测，包括数据采集、催报、审核、咨询等工作</w:t>
      </w:r>
      <w:r>
        <w:rPr>
          <w:rFonts w:hint="eastAsia" w:ascii="宋体" w:hAnsi="宋体" w:cs="宋体"/>
          <w:color w:val="auto"/>
          <w:sz w:val="21"/>
          <w:szCs w:val="21"/>
          <w:highlight w:val="none"/>
          <w:lang w:eastAsia="zh-CN"/>
        </w:rPr>
        <w:t>，并形成季度分析报告。</w:t>
      </w:r>
    </w:p>
    <w:p w14:paraId="531CCBBE">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eastAsia" w:ascii="宋体" w:hAnsi="宋体" w:eastAsia="宋体" w:cs="Times New Roman"/>
          <w:color w:val="auto"/>
          <w:sz w:val="21"/>
          <w:szCs w:val="21"/>
          <w:highlight w:val="none"/>
          <w:lang w:eastAsia="zh-CN"/>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二</w:t>
      </w:r>
      <w:r>
        <w:rPr>
          <w:rFonts w:hint="eastAsia" w:ascii="宋体" w:hAnsi="宋体" w:eastAsia="宋体"/>
          <w:color w:val="auto"/>
          <w:sz w:val="21"/>
          <w:szCs w:val="21"/>
          <w:highlight w:val="none"/>
        </w:rPr>
        <w:t>）</w:t>
      </w:r>
      <w:r>
        <w:rPr>
          <w:rFonts w:hint="eastAsia" w:ascii="宋体" w:hAnsi="宋体"/>
          <w:color w:val="auto"/>
          <w:sz w:val="21"/>
          <w:szCs w:val="21"/>
          <w:highlight w:val="none"/>
          <w:lang w:eastAsia="zh-CN"/>
        </w:rPr>
        <w:t>海洋经济统计核算工作。</w:t>
      </w:r>
      <w:r>
        <w:rPr>
          <w:rFonts w:hint="eastAsia"/>
          <w:lang w:val="en-US" w:eastAsia="zh-CN"/>
        </w:rPr>
        <w:t>协助完成2024年度海洋生产总值核算。开展海洋行业剥离系数调查与系数测算，选取</w:t>
      </w:r>
      <w:r>
        <w:rPr>
          <w:rFonts w:hint="eastAsia"/>
          <w:highlight w:val="none"/>
          <w:lang w:val="en-US" w:eastAsia="zh-CN"/>
        </w:rPr>
        <w:t>一定数量</w:t>
      </w:r>
      <w:r>
        <w:rPr>
          <w:rFonts w:hint="eastAsia"/>
          <w:lang w:val="en-US" w:eastAsia="zh-CN"/>
        </w:rPr>
        <w:t>的海洋及相关产业的企业法人样本，对其主要经济指标进行调查，根据调查结果测算普陀区海洋及相关产业剥离系数</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形成海洋行业剥离系数、工作报告和技术报告；开展旅游业专题研究，构建海洋旅</w:t>
      </w:r>
      <w:r>
        <w:rPr>
          <w:rFonts w:hint="eastAsia" w:ascii="宋体" w:hAnsi="宋体" w:eastAsia="宋体" w:cs="Times New Roman"/>
          <w:color w:val="auto"/>
          <w:sz w:val="21"/>
          <w:szCs w:val="21"/>
          <w:highlight w:val="none"/>
          <w:lang w:val="en-US" w:eastAsia="zh-CN"/>
        </w:rPr>
        <w:t>游业企业名录库，分析产业发展现状，研究核算路径，形成数据成果及研究报告。</w:t>
      </w:r>
    </w:p>
    <w:p w14:paraId="157E54BF">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三</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海洋经济活动单位更新。</w:t>
      </w:r>
      <w:r>
        <w:rPr>
          <w:rFonts w:hint="eastAsia"/>
          <w:lang w:val="en-US" w:eastAsia="zh-CN"/>
        </w:rPr>
        <w:t>根据下发的海洋经济活动单位名录底册，开展初筛认定、名录核实、名录编制</w:t>
      </w:r>
      <w:r>
        <w:rPr>
          <w:rFonts w:hint="eastAsia" w:ascii="宋体" w:hAnsi="宋体" w:eastAsia="宋体" w:cs="Times New Roman"/>
          <w:color w:val="auto"/>
          <w:sz w:val="21"/>
          <w:szCs w:val="21"/>
          <w:highlight w:val="none"/>
          <w:lang w:val="en-US" w:eastAsia="zh-CN"/>
        </w:rPr>
        <w:t>等工作，更新海洋经济活动单位名录。</w:t>
      </w:r>
    </w:p>
    <w:p w14:paraId="573327B4">
      <w:pPr>
        <w:keepNext w:val="0"/>
        <w:keepLines w:val="0"/>
        <w:pageBreakBefore w:val="0"/>
        <w:widowControl w:val="0"/>
        <w:kinsoku/>
        <w:wordWrap/>
        <w:overflowPunct/>
        <w:topLinePunct w:val="0"/>
        <w:autoSpaceDE/>
        <w:autoSpaceDN/>
        <w:bidi w:val="0"/>
        <w:spacing w:line="360" w:lineRule="auto"/>
        <w:ind w:firstLine="422" w:firstLineChars="200"/>
        <w:textAlignment w:val="auto"/>
        <w:outlineLvl w:val="0"/>
        <w:rPr>
          <w:rFonts w:hint="eastAsia" w:ascii="宋体" w:hAnsi="宋体" w:eastAsia="宋体" w:cs="Times New Roman"/>
          <w:b/>
          <w:bCs/>
          <w:color w:val="auto"/>
          <w:sz w:val="21"/>
          <w:szCs w:val="21"/>
          <w:highlight w:val="none"/>
          <w:lang w:eastAsia="zh-CN"/>
        </w:rPr>
      </w:pPr>
    </w:p>
    <w:p w14:paraId="243FBA70">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Times New Roman"/>
          <w:b/>
          <w:bCs/>
          <w:color w:val="auto"/>
          <w:sz w:val="24"/>
          <w:szCs w:val="24"/>
          <w:highlight w:val="none"/>
          <w:lang w:eastAsia="zh-CN"/>
        </w:rPr>
      </w:pPr>
      <w:r>
        <w:rPr>
          <w:rFonts w:hint="eastAsia" w:ascii="宋体" w:hAnsi="宋体" w:eastAsia="宋体" w:cs="Times New Roman"/>
          <w:b/>
          <w:bCs/>
          <w:color w:val="auto"/>
          <w:sz w:val="24"/>
          <w:szCs w:val="24"/>
          <w:highlight w:val="none"/>
          <w:lang w:eastAsia="zh-CN"/>
        </w:rPr>
        <w:t>三、工作思路</w:t>
      </w:r>
    </w:p>
    <w:p w14:paraId="794D1041">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一</w:t>
      </w:r>
      <w:r>
        <w:rPr>
          <w:rFonts w:hint="eastAsia" w:ascii="宋体" w:hAnsi="宋体" w:eastAsia="宋体" w:cs="Times New Roman"/>
          <w:color w:val="auto"/>
          <w:sz w:val="21"/>
          <w:szCs w:val="21"/>
          <w:highlight w:val="none"/>
          <w:lang w:eastAsia="zh-CN"/>
        </w:rPr>
        <w:t>）涉海企业直报工作</w:t>
      </w:r>
    </w:p>
    <w:p w14:paraId="5A014D2F">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ascii="宋体" w:hAnsi="宋体" w:eastAsia="宋体" w:cs="宋体"/>
          <w:bCs/>
          <w:color w:val="auto"/>
          <w:sz w:val="21"/>
          <w:szCs w:val="21"/>
        </w:rPr>
      </w:pPr>
      <w:r>
        <w:rPr>
          <w:rFonts w:hint="eastAsia" w:ascii="宋体" w:hAnsi="宋体" w:cs="Times New Roman"/>
          <w:color w:val="auto"/>
          <w:sz w:val="21"/>
          <w:szCs w:val="21"/>
          <w:highlight w:val="none"/>
          <w:lang w:val="en-US" w:eastAsia="zh-CN"/>
        </w:rPr>
        <w:t>1.</w:t>
      </w:r>
      <w:r>
        <w:rPr>
          <w:rFonts w:hint="eastAsia" w:ascii="宋体" w:hAnsi="宋体" w:cs="Times New Roman"/>
          <w:color w:val="auto"/>
          <w:sz w:val="21"/>
          <w:szCs w:val="21"/>
          <w:highlight w:val="none"/>
          <w:lang w:eastAsia="zh-CN"/>
        </w:rPr>
        <w:t>数据催报。按照《海洋经济统计调查制度》的要求，根据填报时间的规定，按月度、季度、年度做好数据填报提醒服务</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通过电话、短信等方式通知</w:t>
      </w:r>
      <w:r>
        <w:rPr>
          <w:rFonts w:hint="eastAsia" w:ascii="宋体" w:hAnsi="宋体" w:cs="宋体"/>
          <w:bCs/>
          <w:color w:val="auto"/>
          <w:sz w:val="21"/>
          <w:szCs w:val="21"/>
          <w:lang w:eastAsia="zh-CN"/>
        </w:rPr>
        <w:t>直报系统中</w:t>
      </w:r>
      <w:r>
        <w:rPr>
          <w:rFonts w:hint="eastAsia" w:ascii="宋体" w:hAnsi="宋体" w:eastAsia="宋体" w:cs="宋体"/>
          <w:bCs/>
          <w:color w:val="auto"/>
          <w:sz w:val="21"/>
          <w:szCs w:val="21"/>
        </w:rPr>
        <w:t>涉海企业填报开始时间以及截止时间</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同时下发报表</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监督企业在季度结束后20个工作日内完成填报。对于未按时间填报数据的涉海企业进行催报，催报时间不得超过规定填报时间2个工作日，原则上为7天*24小时，催报人员主要通过电话、短信的方式向系统中涉海企业催报</w:t>
      </w:r>
      <w:r>
        <w:rPr>
          <w:rFonts w:hint="eastAsia" w:ascii="宋体" w:hAnsi="宋体" w:cs="宋体"/>
          <w:bCs/>
          <w:color w:val="auto"/>
          <w:sz w:val="21"/>
          <w:szCs w:val="21"/>
          <w:lang w:eastAsia="zh-CN"/>
        </w:rPr>
        <w:t>，并</w:t>
      </w:r>
      <w:r>
        <w:rPr>
          <w:rFonts w:hint="eastAsia" w:ascii="宋体" w:hAnsi="宋体" w:eastAsia="宋体" w:cs="宋体"/>
          <w:bCs/>
          <w:color w:val="auto"/>
          <w:sz w:val="21"/>
          <w:szCs w:val="21"/>
        </w:rPr>
        <w:t>落实服务人员，及时了解涉海企业在系统使用、填报报表等过程中存在的问题，并给予及时解答。</w:t>
      </w:r>
    </w:p>
    <w:p w14:paraId="0F222C83">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ascii="宋体" w:hAnsi="宋体" w:eastAsia="宋体" w:cs="宋体"/>
          <w:bCs/>
          <w:color w:val="auto"/>
          <w:sz w:val="21"/>
          <w:szCs w:val="21"/>
        </w:rPr>
      </w:pPr>
      <w:r>
        <w:rPr>
          <w:rFonts w:hint="eastAsia" w:ascii="宋体" w:hAnsi="宋体" w:cs="宋体"/>
          <w:b w:val="0"/>
          <w:bCs/>
          <w:color w:val="auto"/>
          <w:sz w:val="21"/>
          <w:szCs w:val="21"/>
          <w:lang w:val="en-US" w:eastAsia="zh-CN"/>
        </w:rPr>
        <w:t>2.</w:t>
      </w:r>
      <w:r>
        <w:rPr>
          <w:rFonts w:hint="eastAsia" w:ascii="宋体" w:hAnsi="宋体" w:eastAsia="宋体" w:cs="宋体"/>
          <w:b w:val="0"/>
          <w:bCs/>
          <w:color w:val="auto"/>
          <w:sz w:val="21"/>
          <w:szCs w:val="21"/>
        </w:rPr>
        <w:t>数据审核</w:t>
      </w:r>
      <w:r>
        <w:rPr>
          <w:rFonts w:hint="eastAsia" w:ascii="宋体" w:hAnsi="宋体" w:cs="宋体"/>
          <w:b w:val="0"/>
          <w:bCs/>
          <w:color w:val="auto"/>
          <w:sz w:val="21"/>
          <w:szCs w:val="21"/>
          <w:lang w:eastAsia="zh-CN"/>
        </w:rPr>
        <w:t>。</w:t>
      </w:r>
      <w:r>
        <w:rPr>
          <w:rFonts w:hint="eastAsia" w:ascii="宋体" w:hAnsi="宋体" w:eastAsia="宋体" w:cs="宋体"/>
          <w:bCs/>
          <w:color w:val="auto"/>
          <w:sz w:val="21"/>
          <w:szCs w:val="21"/>
        </w:rPr>
        <w:t>按月度、季度、年度做好202</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rPr>
        <w:t>年涉海企业直报系统内企业的数据审核。每月度后30日内完成月报数据审核，每季度后30日完成季报数据审核，次年7月底前完成年报数据审核。审核的主要方式人机同审，数据逻辑性、合理性、准确性审核。数据</w:t>
      </w:r>
      <w:r>
        <w:rPr>
          <w:rFonts w:hint="eastAsia" w:ascii="宋体" w:hAnsi="宋体" w:cs="宋体"/>
          <w:bCs/>
          <w:color w:val="auto"/>
          <w:sz w:val="21"/>
          <w:szCs w:val="21"/>
          <w:lang w:eastAsia="zh-CN"/>
        </w:rPr>
        <w:t>主要审核以下三</w:t>
      </w:r>
      <w:r>
        <w:rPr>
          <w:rFonts w:hint="eastAsia" w:ascii="宋体" w:hAnsi="宋体" w:eastAsia="宋体" w:cs="宋体"/>
          <w:bCs/>
          <w:color w:val="auto"/>
          <w:sz w:val="21"/>
          <w:szCs w:val="21"/>
        </w:rPr>
        <w:t>点</w:t>
      </w:r>
      <w:r>
        <w:rPr>
          <w:rFonts w:hint="eastAsia" w:ascii="宋体" w:hAnsi="宋体" w:eastAsia="宋体" w:cs="宋体"/>
          <w:bCs/>
          <w:color w:val="0000FF"/>
          <w:sz w:val="21"/>
          <w:szCs w:val="21"/>
        </w:rPr>
        <w:t>：</w:t>
      </w:r>
      <w:r>
        <w:rPr>
          <w:rFonts w:hint="eastAsia" w:ascii="宋体" w:hAnsi="宋体" w:cs="宋体"/>
          <w:bCs/>
          <w:color w:val="auto"/>
          <w:sz w:val="21"/>
          <w:szCs w:val="21"/>
          <w:lang w:eastAsia="zh-CN"/>
        </w:rPr>
        <w:t>一是</w:t>
      </w:r>
      <w:r>
        <w:rPr>
          <w:rFonts w:hint="eastAsia" w:ascii="宋体" w:hAnsi="宋体" w:eastAsia="宋体" w:cs="宋体"/>
          <w:bCs/>
          <w:color w:val="auto"/>
          <w:sz w:val="21"/>
          <w:szCs w:val="21"/>
        </w:rPr>
        <w:t>准确性审核：主要是从企业上报数据的真实性与精确性检查资料，</w:t>
      </w:r>
      <w:r>
        <w:rPr>
          <w:rFonts w:hint="eastAsia" w:ascii="宋体" w:hAnsi="宋体" w:cs="宋体"/>
          <w:bCs/>
          <w:color w:val="auto"/>
          <w:sz w:val="21"/>
          <w:szCs w:val="21"/>
          <w:lang w:eastAsia="zh-CN"/>
        </w:rPr>
        <w:t>审核的重点</w:t>
      </w:r>
      <w:r>
        <w:rPr>
          <w:rFonts w:hint="eastAsia" w:ascii="宋体" w:hAnsi="宋体" w:eastAsia="宋体" w:cs="宋体"/>
          <w:bCs/>
          <w:color w:val="auto"/>
          <w:sz w:val="21"/>
          <w:szCs w:val="21"/>
        </w:rPr>
        <w:t>是数据上报过程中是否发生误差</w:t>
      </w:r>
      <w:r>
        <w:rPr>
          <w:rFonts w:hint="eastAsia" w:ascii="宋体" w:hAnsi="宋体" w:cs="宋体"/>
          <w:bCs/>
          <w:color w:val="auto"/>
          <w:sz w:val="21"/>
          <w:szCs w:val="21"/>
          <w:lang w:eastAsia="zh-CN"/>
        </w:rPr>
        <w:t>；二是</w:t>
      </w:r>
      <w:r>
        <w:rPr>
          <w:rFonts w:hint="eastAsia" w:ascii="宋体" w:hAnsi="宋体" w:eastAsia="宋体" w:cs="宋体"/>
          <w:bCs/>
          <w:color w:val="auto"/>
          <w:sz w:val="21"/>
          <w:szCs w:val="21"/>
        </w:rPr>
        <w:t>及时性审核：主要是检查数据是否按照规定时间报送，如未按规定时间报送，就需要检查未及时报送的原因</w:t>
      </w:r>
      <w:r>
        <w:rPr>
          <w:rFonts w:hint="eastAsia" w:ascii="宋体" w:hAnsi="宋体" w:cs="宋体"/>
          <w:bCs/>
          <w:color w:val="auto"/>
          <w:sz w:val="21"/>
          <w:szCs w:val="21"/>
          <w:lang w:eastAsia="zh-CN"/>
        </w:rPr>
        <w:t>；三是</w:t>
      </w:r>
      <w:r>
        <w:rPr>
          <w:rFonts w:hint="eastAsia" w:ascii="宋体" w:hAnsi="宋体" w:eastAsia="宋体" w:cs="宋体"/>
          <w:bCs/>
          <w:color w:val="auto"/>
          <w:sz w:val="21"/>
          <w:szCs w:val="21"/>
        </w:rPr>
        <w:t>一致性审核：主要是检查数据是否具有可比性，包括年度间数据的可比性，月、季度间数据的连续性。对于上级审核驳回的数据，在12小时内跟企业沟通了解情况，在24小时内组织企业重新上报数据并再次提交。</w:t>
      </w:r>
    </w:p>
    <w:p w14:paraId="2F39DDBA">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outlineLvl w:val="0"/>
        <w:rPr>
          <w:rFonts w:hint="eastAsia" w:ascii="宋体" w:hAnsi="宋体" w:cs="宋体"/>
          <w:bCs/>
          <w:color w:val="auto"/>
          <w:sz w:val="21"/>
          <w:szCs w:val="21"/>
          <w:highlight w:val="none"/>
          <w:lang w:val="en-US" w:eastAsia="zh-CN"/>
        </w:rPr>
      </w:pP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rPr>
        <w:t>报告编制</w:t>
      </w:r>
      <w:r>
        <w:rPr>
          <w:rFonts w:hint="eastAsia" w:ascii="宋体" w:hAnsi="宋体" w:cs="宋体"/>
          <w:b w:val="0"/>
          <w:bCs/>
          <w:color w:val="auto"/>
          <w:sz w:val="21"/>
          <w:szCs w:val="21"/>
          <w:lang w:eastAsia="zh-CN"/>
        </w:rPr>
        <w:t>。</w:t>
      </w:r>
      <w:r>
        <w:rPr>
          <w:rFonts w:hint="eastAsia" w:ascii="宋体" w:hAnsi="宋体" w:eastAsia="宋体" w:cs="宋体"/>
          <w:bCs/>
          <w:color w:val="auto"/>
          <w:sz w:val="21"/>
          <w:szCs w:val="21"/>
          <w:highlight w:val="none"/>
        </w:rPr>
        <w:t>按</w:t>
      </w:r>
      <w:r>
        <w:rPr>
          <w:rFonts w:hint="eastAsia" w:ascii="宋体" w:hAnsi="宋体" w:cs="宋体"/>
          <w:bCs/>
          <w:color w:val="auto"/>
          <w:sz w:val="21"/>
          <w:szCs w:val="21"/>
          <w:highlight w:val="none"/>
          <w:lang w:eastAsia="zh-CN"/>
        </w:rPr>
        <w:t>要求编制</w:t>
      </w:r>
      <w:r>
        <w:rPr>
          <w:rFonts w:hint="eastAsia" w:ascii="宋体" w:hAnsi="宋体" w:eastAsia="宋体" w:cs="宋体"/>
          <w:bCs/>
          <w:color w:val="auto"/>
          <w:sz w:val="21"/>
          <w:szCs w:val="21"/>
          <w:highlight w:val="none"/>
        </w:rPr>
        <w:t>涉海企业直报</w:t>
      </w:r>
      <w:r>
        <w:rPr>
          <w:rFonts w:hint="eastAsia" w:ascii="宋体" w:hAnsi="宋体" w:cs="宋体"/>
          <w:bCs/>
          <w:color w:val="auto"/>
          <w:sz w:val="21"/>
          <w:szCs w:val="21"/>
          <w:highlight w:val="none"/>
          <w:lang w:eastAsia="zh-CN"/>
        </w:rPr>
        <w:t>季度</w:t>
      </w:r>
      <w:r>
        <w:rPr>
          <w:rFonts w:hint="eastAsia" w:ascii="宋体" w:hAnsi="宋体" w:eastAsia="宋体" w:cs="宋体"/>
          <w:bCs/>
          <w:color w:val="auto"/>
          <w:sz w:val="21"/>
          <w:szCs w:val="21"/>
          <w:highlight w:val="none"/>
        </w:rPr>
        <w:t>分析报告。根据各季度涉海企业直报系统汇总数据，对样本企业经济运行情况进行总结</w:t>
      </w:r>
      <w:r>
        <w:rPr>
          <w:rFonts w:hint="eastAsia" w:ascii="宋体" w:hAnsi="宋体" w:cs="宋体"/>
          <w:bCs/>
          <w:color w:val="auto"/>
          <w:sz w:val="21"/>
          <w:szCs w:val="21"/>
          <w:highlight w:val="none"/>
          <w:lang w:eastAsia="zh-CN"/>
        </w:rPr>
        <w:t>与分析，并结合</w:t>
      </w:r>
      <w:r>
        <w:rPr>
          <w:rFonts w:hint="eastAsia" w:ascii="宋体" w:hAnsi="宋体" w:eastAsia="宋体" w:cs="宋体"/>
          <w:bCs/>
          <w:color w:val="auto"/>
          <w:sz w:val="21"/>
          <w:szCs w:val="21"/>
          <w:highlight w:val="none"/>
        </w:rPr>
        <w:t>全域整体经济和相产业运行</w:t>
      </w:r>
      <w:r>
        <w:rPr>
          <w:rFonts w:hint="eastAsia" w:ascii="宋体" w:hAnsi="宋体" w:cs="宋体"/>
          <w:bCs/>
          <w:color w:val="auto"/>
          <w:sz w:val="21"/>
          <w:szCs w:val="21"/>
          <w:highlight w:val="none"/>
          <w:lang w:eastAsia="zh-CN"/>
        </w:rPr>
        <w:t>情况，特别是重点产业、重点行业发展中面临的主要问题，</w:t>
      </w:r>
      <w:r>
        <w:rPr>
          <w:rFonts w:hint="eastAsia" w:ascii="宋体" w:hAnsi="宋体" w:eastAsia="宋体" w:cs="宋体"/>
          <w:bCs/>
          <w:color w:val="auto"/>
          <w:sz w:val="21"/>
          <w:szCs w:val="21"/>
          <w:highlight w:val="none"/>
        </w:rPr>
        <w:t>提出具有针对性的对策措施。</w:t>
      </w:r>
      <w:r>
        <w:rPr>
          <w:rFonts w:hint="eastAsia" w:ascii="宋体" w:hAnsi="宋体" w:cs="宋体"/>
          <w:bCs/>
          <w:color w:val="auto"/>
          <w:sz w:val="21"/>
          <w:szCs w:val="21"/>
          <w:highlight w:val="none"/>
          <w:lang w:val="en-US" w:eastAsia="zh-CN"/>
        </w:rPr>
        <w:t xml:space="preserve"> </w:t>
      </w:r>
    </w:p>
    <w:p w14:paraId="5AF0638F">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eastAsia" w:ascii="宋体" w:hAnsi="宋体"/>
          <w:color w:val="auto"/>
          <w:sz w:val="21"/>
          <w:szCs w:val="21"/>
          <w:lang w:eastAsia="zh-CN"/>
        </w:rPr>
      </w:pPr>
      <w:r>
        <w:rPr>
          <w:rFonts w:hint="eastAsia" w:ascii="宋体" w:hAnsi="宋体" w:cs="宋体"/>
          <w:bCs/>
          <w:color w:val="auto"/>
          <w:sz w:val="21"/>
          <w:szCs w:val="21"/>
          <w:highlight w:val="none"/>
          <w:lang w:val="en-US" w:eastAsia="zh-CN"/>
        </w:rPr>
        <w:t>（二）</w:t>
      </w:r>
      <w:r>
        <w:rPr>
          <w:rFonts w:hint="eastAsia" w:ascii="宋体" w:hAnsi="宋体"/>
          <w:color w:val="auto"/>
          <w:sz w:val="21"/>
          <w:szCs w:val="21"/>
          <w:lang w:eastAsia="zh-CN"/>
        </w:rPr>
        <w:t>海洋经济统计核算</w:t>
      </w:r>
    </w:p>
    <w:p w14:paraId="3A4E8E73">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w:t>
      </w:r>
      <w:r>
        <w:rPr>
          <w:rFonts w:hint="eastAsia" w:ascii="宋体" w:hAnsi="宋体"/>
          <w:color w:val="auto"/>
          <w:sz w:val="21"/>
          <w:szCs w:val="21"/>
          <w:lang w:val="en-US" w:eastAsia="zh-CN"/>
        </w:rPr>
        <w:t>协助完成2024年度海洋生产总值核算。全面调研海洋经济活动和行政区划调整情况，确定核算范围；多渠道采集基础数据包括海洋产业名录、实物量数据、行业总产出及增加值等；对基础数据审核、补充完整后，开展海洋及相关产业增加值核算，明确三产结构及增速，并结合国民经济数据校验结果，确保数据准确性。</w:t>
      </w:r>
    </w:p>
    <w:p w14:paraId="796BFA8D">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default" w:ascii="宋体" w:hAnsi="宋体"/>
          <w:color w:val="auto"/>
          <w:sz w:val="21"/>
          <w:szCs w:val="21"/>
          <w:lang w:val="en-US" w:eastAsia="zh-CN"/>
        </w:rPr>
      </w:pPr>
      <w:r>
        <w:rPr>
          <w:rFonts w:hint="eastAsia" w:ascii="宋体" w:hAnsi="宋体"/>
          <w:color w:val="auto"/>
          <w:sz w:val="21"/>
          <w:szCs w:val="21"/>
          <w:lang w:val="en-US" w:eastAsia="zh-CN"/>
        </w:rPr>
        <w:t>2.海洋行业剥离系数调查。建立涉海名录库，以海洋经济活动单位名录为基础，建立海洋行业统计调查单位库；海洋行业系数测算，选取一定数量的海洋及相关产业企业法人样本，采用线上线下相结合的方式，对其主要经济指标进行调查，测算海洋及相关产业剥离系数，形成剥离系数初步方案；剥离系数核验，结合2024年度海洋生产总值核算情况，校正调整行业剥离系数，确保测算数据的科学性、逻辑性和完整性，并形成海洋及相关产业剥离系数测算技术报告。</w:t>
      </w:r>
    </w:p>
    <w:p w14:paraId="0EA8DAD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lang w:val="en-US" w:eastAsia="zh-CN"/>
        </w:rPr>
        <w:t>海洋经济活动单位更新</w:t>
      </w:r>
    </w:p>
    <w:p w14:paraId="68E2A28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海洋经济活动单位名录更新工作要求</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充分利用网络和有关行业部门资料信息，采用涉海部门核实、电话核实、专家咨询及入户走访等方法，通过自查和上级抽查等手段，保障海洋经济活动单位名录全面、准确、科学、规范，</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编制</w:t>
      </w:r>
      <w:r>
        <w:rPr>
          <w:rFonts w:hint="eastAsia" w:ascii="宋体" w:hAnsi="宋体" w:cs="宋体"/>
          <w:color w:val="auto"/>
          <w:sz w:val="21"/>
          <w:szCs w:val="21"/>
          <w:highlight w:val="none"/>
          <w:lang w:val="en-US" w:eastAsia="zh-CN"/>
        </w:rPr>
        <w:t>形成2025年</w:t>
      </w:r>
      <w:r>
        <w:rPr>
          <w:rFonts w:hint="eastAsia" w:ascii="宋体" w:hAnsi="宋体" w:eastAsia="宋体" w:cs="宋体"/>
          <w:color w:val="auto"/>
          <w:sz w:val="21"/>
          <w:szCs w:val="21"/>
          <w:highlight w:val="none"/>
          <w:lang w:val="en-US" w:eastAsia="zh-CN"/>
        </w:rPr>
        <w:t>海洋经济活动单位名录</w:t>
      </w:r>
      <w:r>
        <w:rPr>
          <w:rFonts w:hint="eastAsia" w:ascii="宋体" w:hAnsi="宋体" w:cs="宋体"/>
          <w:color w:val="auto"/>
          <w:sz w:val="21"/>
          <w:szCs w:val="21"/>
          <w:highlight w:val="none"/>
          <w:lang w:val="en-US" w:eastAsia="zh-CN"/>
        </w:rPr>
        <w:t>。</w:t>
      </w:r>
    </w:p>
    <w:p w14:paraId="4AC03095">
      <w:pPr>
        <w:keepNext w:val="0"/>
        <w:keepLines w:val="0"/>
        <w:pageBreakBefore w:val="0"/>
        <w:widowControl w:val="0"/>
        <w:kinsoku/>
        <w:wordWrap/>
        <w:overflowPunct/>
        <w:topLinePunct w:val="0"/>
        <w:autoSpaceDE/>
        <w:autoSpaceDN/>
        <w:bidi w:val="0"/>
        <w:spacing w:line="360" w:lineRule="auto"/>
        <w:ind w:firstLine="422" w:firstLineChars="200"/>
        <w:textAlignment w:val="auto"/>
        <w:outlineLvl w:val="0"/>
        <w:rPr>
          <w:rFonts w:hint="eastAsia" w:ascii="Times New Roman" w:hAnsi="Times New Roman" w:eastAsia="宋体" w:cs="Times New Roman"/>
          <w:b/>
          <w:color w:val="auto"/>
          <w:sz w:val="21"/>
          <w:szCs w:val="21"/>
        </w:rPr>
      </w:pPr>
    </w:p>
    <w:p w14:paraId="0AEC367F">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rPr>
        <w:t>四、绩效目标</w:t>
      </w:r>
      <w:r>
        <w:rPr>
          <w:rFonts w:hint="eastAsia" w:cs="Times New Roman"/>
          <w:b/>
          <w:color w:val="auto"/>
          <w:sz w:val="24"/>
          <w:szCs w:val="24"/>
          <w:lang w:eastAsia="zh-CN"/>
        </w:rPr>
        <w:t>要求</w:t>
      </w:r>
    </w:p>
    <w:p w14:paraId="4264DAF4">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一</w:t>
      </w:r>
      <w:r>
        <w:rPr>
          <w:rFonts w:hint="eastAsia" w:ascii="宋体" w:hAnsi="宋体" w:eastAsia="宋体"/>
          <w:color w:val="auto"/>
          <w:sz w:val="21"/>
          <w:szCs w:val="21"/>
          <w:lang w:eastAsia="zh-CN"/>
        </w:rPr>
        <w:t>）</w:t>
      </w:r>
      <w:r>
        <w:rPr>
          <w:rFonts w:hint="eastAsia" w:ascii="宋体" w:hAnsi="宋体" w:eastAsia="宋体"/>
          <w:color w:val="auto"/>
          <w:sz w:val="21"/>
          <w:szCs w:val="21"/>
        </w:rPr>
        <w:t>涉海企业直报</w:t>
      </w:r>
    </w:p>
    <w:p w14:paraId="46721EB3">
      <w:pPr>
        <w:keepNext w:val="0"/>
        <w:keepLines w:val="0"/>
        <w:pageBreakBefore w:val="0"/>
        <w:widowControl w:val="0"/>
        <w:kinsoku/>
        <w:wordWrap/>
        <w:overflowPunct/>
        <w:topLinePunct w:val="0"/>
        <w:autoSpaceDE/>
        <w:autoSpaceDN/>
        <w:bidi w:val="0"/>
        <w:spacing w:line="360" w:lineRule="auto"/>
        <w:ind w:firstLine="630" w:firstLineChars="300"/>
        <w:textAlignment w:val="auto"/>
        <w:outlineLvl w:val="0"/>
        <w:rPr>
          <w:rFonts w:hint="eastAsia" w:ascii="宋体" w:hAnsi="宋体" w:eastAsia="宋体"/>
          <w:color w:val="auto"/>
          <w:sz w:val="21"/>
          <w:szCs w:val="21"/>
          <w:lang w:eastAsia="zh-CN"/>
        </w:rPr>
      </w:pPr>
      <w:r>
        <w:rPr>
          <w:rFonts w:hint="eastAsia" w:ascii="宋体" w:hAnsi="宋体" w:eastAsia="宋体"/>
          <w:color w:val="auto"/>
          <w:sz w:val="21"/>
          <w:szCs w:val="21"/>
        </w:rPr>
        <w:t>1.完成12次月度、4次季度、1次年度企业数据监测，包括数据采集、催报、审核、咨询等工作，填报率不低于90%</w:t>
      </w:r>
      <w:r>
        <w:rPr>
          <w:rFonts w:hint="eastAsia" w:ascii="宋体" w:hAnsi="宋体"/>
          <w:color w:val="auto"/>
          <w:sz w:val="21"/>
          <w:szCs w:val="21"/>
          <w:lang w:eastAsia="zh-CN"/>
        </w:rPr>
        <w:t>；</w:t>
      </w:r>
    </w:p>
    <w:p w14:paraId="786ECFEA">
      <w:pPr>
        <w:keepNext w:val="0"/>
        <w:keepLines w:val="0"/>
        <w:pageBreakBefore w:val="0"/>
        <w:widowControl w:val="0"/>
        <w:kinsoku/>
        <w:wordWrap/>
        <w:overflowPunct/>
        <w:topLinePunct w:val="0"/>
        <w:autoSpaceDE/>
        <w:autoSpaceDN/>
        <w:bidi w:val="0"/>
        <w:spacing w:line="360" w:lineRule="auto"/>
        <w:ind w:firstLine="630" w:firstLineChars="300"/>
        <w:textAlignment w:val="auto"/>
        <w:outlineLvl w:val="0"/>
        <w:rPr>
          <w:rFonts w:hint="eastAsia" w:ascii="宋体" w:hAnsi="宋体" w:eastAsia="宋体"/>
          <w:color w:val="auto"/>
          <w:sz w:val="21"/>
          <w:szCs w:val="21"/>
          <w:lang w:val="en-US" w:eastAsia="zh-CN"/>
        </w:rPr>
      </w:pPr>
      <w:r>
        <w:rPr>
          <w:rFonts w:hint="eastAsia" w:ascii="宋体" w:hAnsi="宋体" w:eastAsia="宋体"/>
          <w:color w:val="auto"/>
          <w:sz w:val="21"/>
          <w:szCs w:val="21"/>
        </w:rPr>
        <w:t>2.编写涉海企业直报季度分析报告4份</w:t>
      </w:r>
      <w:r>
        <w:rPr>
          <w:rFonts w:hint="eastAsia" w:ascii="宋体" w:hAnsi="宋体"/>
          <w:color w:val="auto"/>
          <w:sz w:val="21"/>
          <w:szCs w:val="21"/>
          <w:lang w:eastAsia="zh-CN"/>
        </w:rPr>
        <w:t>，并通过专家验收。</w:t>
      </w:r>
    </w:p>
    <w:p w14:paraId="5AAE4B17">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eastAsia" w:ascii="宋体" w:hAnsi="宋体" w:eastAsia="宋体" w:cs="宋体"/>
          <w:color w:val="auto"/>
          <w:kern w:val="0"/>
          <w:sz w:val="21"/>
          <w:szCs w:val="21"/>
          <w:highlight w:val="none"/>
          <w:lang w:val="en-US"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二</w:t>
      </w:r>
      <w:r>
        <w:rPr>
          <w:rFonts w:hint="eastAsia" w:ascii="宋体" w:hAnsi="宋体" w:eastAsia="宋体"/>
          <w:color w:val="auto"/>
          <w:sz w:val="21"/>
          <w:szCs w:val="21"/>
          <w:highlight w:val="none"/>
          <w:lang w:eastAsia="zh-CN"/>
        </w:rPr>
        <w:t>）</w:t>
      </w:r>
      <w:r>
        <w:rPr>
          <w:rFonts w:hint="eastAsia" w:ascii="宋体" w:hAnsi="宋体"/>
          <w:color w:val="auto"/>
          <w:sz w:val="21"/>
          <w:szCs w:val="21"/>
          <w:highlight w:val="none"/>
          <w:lang w:eastAsia="zh-CN"/>
        </w:rPr>
        <w:t>海洋经济统计核算工作</w:t>
      </w:r>
    </w:p>
    <w:p w14:paraId="3103F464">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both"/>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r>
        <w:rPr>
          <w:rFonts w:hint="eastAsia" w:ascii="宋体" w:hAnsi="宋体"/>
          <w:color w:val="auto"/>
          <w:sz w:val="21"/>
          <w:szCs w:val="21"/>
          <w:lang w:val="en-US" w:eastAsia="zh-CN"/>
        </w:rPr>
        <w:t>协助完成2024年度海洋生产总值核算，确保数据科学性、准确性和完整性；</w:t>
      </w:r>
    </w:p>
    <w:p w14:paraId="3A31F75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开展海洋行业剥离系数调查，</w:t>
      </w:r>
      <w:r>
        <w:rPr>
          <w:rFonts w:hint="eastAsia" w:ascii="宋体" w:hAnsi="宋体" w:cs="宋体"/>
          <w:color w:val="auto"/>
          <w:kern w:val="0"/>
          <w:sz w:val="21"/>
          <w:szCs w:val="21"/>
          <w:highlight w:val="none"/>
          <w:lang w:val="en-US" w:eastAsia="zh-CN"/>
        </w:rPr>
        <w:t>完成剥离系数测算，形成</w:t>
      </w:r>
      <w:r>
        <w:rPr>
          <w:rFonts w:hint="eastAsia" w:ascii="宋体" w:hAnsi="宋体" w:eastAsia="宋体" w:cs="宋体"/>
          <w:color w:val="auto"/>
          <w:kern w:val="0"/>
          <w:sz w:val="21"/>
          <w:szCs w:val="21"/>
          <w:highlight w:val="none"/>
          <w:lang w:val="en-US" w:eastAsia="zh-CN"/>
        </w:rPr>
        <w:t>工作报告和技术报告</w:t>
      </w:r>
      <w:r>
        <w:rPr>
          <w:rFonts w:hint="eastAsia" w:ascii="宋体" w:hAnsi="宋体" w:cs="宋体"/>
          <w:color w:val="auto"/>
          <w:kern w:val="0"/>
          <w:sz w:val="21"/>
          <w:szCs w:val="21"/>
          <w:highlight w:val="none"/>
          <w:lang w:val="en-US" w:eastAsia="zh-CN"/>
        </w:rPr>
        <w:t>各1份，并通过专家验收；</w:t>
      </w:r>
    </w:p>
    <w:p w14:paraId="0ED6783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开展旅游业专题研究，构建海洋旅游业企业名录库，分析产业发展现状，研究核算路径，形成数据成果及研究报告</w:t>
      </w:r>
      <w:r>
        <w:rPr>
          <w:rFonts w:hint="eastAsia" w:ascii="宋体" w:hAnsi="宋体" w:cs="宋体"/>
          <w:color w:val="auto"/>
          <w:kern w:val="0"/>
          <w:sz w:val="21"/>
          <w:szCs w:val="21"/>
          <w:highlight w:val="none"/>
          <w:lang w:val="en-US" w:eastAsia="zh-CN"/>
        </w:rPr>
        <w:t>，并通过专家验收。</w:t>
      </w:r>
    </w:p>
    <w:p w14:paraId="42C98296">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eastAsia" w:ascii="宋体" w:hAnsi="宋体"/>
          <w:color w:val="auto"/>
          <w:sz w:val="21"/>
          <w:szCs w:val="21"/>
          <w:highlight w:val="none"/>
          <w:lang w:val="en-US"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三</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海洋经济活动单位更新</w:t>
      </w:r>
    </w:p>
    <w:p w14:paraId="3FF265B3">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1.开展企业名录核实；</w:t>
      </w:r>
    </w:p>
    <w:p w14:paraId="1ECD01CD">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default" w:ascii="宋体" w:hAnsi="宋体" w:eastAsia="宋体" w:cs="宋体"/>
          <w:color w:val="auto"/>
          <w:kern w:val="0"/>
          <w:sz w:val="21"/>
          <w:szCs w:val="21"/>
          <w:highlight w:val="none"/>
          <w:lang w:val="en-US" w:eastAsia="zh-CN"/>
        </w:rPr>
      </w:pPr>
      <w:r>
        <w:rPr>
          <w:rFonts w:hint="eastAsia" w:ascii="宋体" w:hAnsi="宋体"/>
          <w:color w:val="auto"/>
          <w:sz w:val="21"/>
          <w:szCs w:val="21"/>
          <w:highlight w:val="none"/>
          <w:lang w:val="en-US" w:eastAsia="zh-CN"/>
        </w:rPr>
        <w:t>2.更新海洋经济活动单位名录，并符合上级部门工作要求。</w:t>
      </w:r>
    </w:p>
    <w:p w14:paraId="7E2A42BB">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宋体" w:hAnsi="宋体" w:cs="宋体"/>
          <w:b/>
          <w:bCs/>
          <w:color w:val="auto"/>
          <w:sz w:val="21"/>
          <w:szCs w:val="21"/>
          <w:lang w:val="en-US" w:eastAsia="zh-CN"/>
        </w:rPr>
      </w:pPr>
    </w:p>
    <w:p w14:paraId="2C098560">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宋体" w:hAnsi="宋体" w:cs="宋体"/>
          <w:b/>
          <w:bCs/>
          <w:color w:val="auto"/>
          <w:sz w:val="24"/>
          <w:szCs w:val="24"/>
          <w:lang w:eastAsia="zh-CN"/>
        </w:rPr>
      </w:pPr>
      <w:r>
        <w:rPr>
          <w:rFonts w:hint="eastAsia" w:ascii="宋体" w:hAnsi="宋体" w:cs="宋体"/>
          <w:b/>
          <w:bCs/>
          <w:color w:val="auto"/>
          <w:sz w:val="24"/>
          <w:szCs w:val="24"/>
          <w:lang w:val="en-US" w:eastAsia="zh-CN"/>
        </w:rPr>
        <w:t>五</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时间要求</w:t>
      </w:r>
    </w:p>
    <w:p w14:paraId="171D1914">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自合同签订之日起一年内完成。</w:t>
      </w:r>
    </w:p>
    <w:p w14:paraId="13F378F1">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宋体" w:hAnsi="宋体" w:cs="宋体"/>
          <w:b/>
          <w:bCs/>
          <w:color w:val="auto"/>
          <w:sz w:val="21"/>
          <w:szCs w:val="21"/>
          <w:lang w:val="en-US" w:eastAsia="zh-CN"/>
        </w:rPr>
      </w:pPr>
    </w:p>
    <w:p w14:paraId="38ED6806">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宋体" w:hAnsi="宋体" w:cs="宋体"/>
          <w:b/>
          <w:bCs/>
          <w:color w:val="auto"/>
          <w:sz w:val="24"/>
          <w:szCs w:val="24"/>
        </w:rPr>
      </w:pPr>
      <w:r>
        <w:rPr>
          <w:rFonts w:hint="eastAsia" w:ascii="宋体" w:hAnsi="宋体" w:cs="宋体"/>
          <w:b/>
          <w:bCs/>
          <w:color w:val="auto"/>
          <w:sz w:val="24"/>
          <w:szCs w:val="24"/>
          <w:lang w:val="en-US" w:eastAsia="zh-CN"/>
        </w:rPr>
        <w:t>六</w:t>
      </w:r>
      <w:r>
        <w:rPr>
          <w:rFonts w:hint="eastAsia" w:ascii="宋体" w:hAnsi="宋体" w:cs="宋体"/>
          <w:b/>
          <w:bCs/>
          <w:color w:val="auto"/>
          <w:sz w:val="24"/>
          <w:szCs w:val="24"/>
        </w:rPr>
        <w:t>、付款方式</w:t>
      </w:r>
    </w:p>
    <w:p w14:paraId="38582BE9">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eastAsia" w:ascii="宋体" w:hAnsi="宋体" w:cs="宋体"/>
          <w:color w:val="auto"/>
          <w:sz w:val="21"/>
          <w:szCs w:val="21"/>
          <w:lang w:val="en-US" w:eastAsia="zh-CN"/>
        </w:rPr>
      </w:pPr>
      <w:r>
        <w:rPr>
          <w:rFonts w:hint="eastAsia" w:ascii="宋体" w:hAnsi="宋体" w:cs="宋体"/>
          <w:color w:val="auto"/>
          <w:sz w:val="21"/>
          <w:szCs w:val="21"/>
        </w:rPr>
        <w:t>合同生效以及具备实施条件</w:t>
      </w:r>
      <w:r>
        <w:rPr>
          <w:rFonts w:hint="eastAsia" w:ascii="宋体" w:hAnsi="宋体" w:cs="宋体"/>
          <w:color w:val="auto"/>
          <w:sz w:val="21"/>
          <w:szCs w:val="21"/>
          <w:lang w:eastAsia="zh-CN"/>
        </w:rPr>
        <w:t>，</w:t>
      </w:r>
      <w:r>
        <w:rPr>
          <w:rFonts w:hint="eastAsia" w:ascii="宋体" w:hAnsi="宋体" w:cs="宋体"/>
          <w:color w:val="auto"/>
          <w:sz w:val="21"/>
          <w:szCs w:val="21"/>
        </w:rPr>
        <w:t>自收到发票后7个工作日内，支付合同金额的</w:t>
      </w:r>
      <w:r>
        <w:rPr>
          <w:rFonts w:hint="eastAsia" w:ascii="宋体" w:hAnsi="宋体" w:cs="宋体"/>
          <w:color w:val="auto"/>
          <w:sz w:val="21"/>
          <w:szCs w:val="21"/>
          <w:lang w:val="en-US" w:eastAsia="zh-CN"/>
        </w:rPr>
        <w:t>4</w:t>
      </w:r>
      <w:r>
        <w:rPr>
          <w:rFonts w:hint="eastAsia" w:ascii="宋体" w:hAnsi="宋体" w:cs="宋体"/>
          <w:color w:val="auto"/>
          <w:sz w:val="21"/>
          <w:szCs w:val="21"/>
        </w:rPr>
        <w:t>0%</w:t>
      </w:r>
      <w:r>
        <w:rPr>
          <w:rFonts w:hint="eastAsia" w:ascii="宋体" w:hAnsi="宋体" w:cs="宋体"/>
          <w:color w:val="auto"/>
          <w:sz w:val="21"/>
          <w:szCs w:val="21"/>
          <w:lang w:val="en-US" w:eastAsia="zh-CN"/>
        </w:rPr>
        <w:t>作</w:t>
      </w:r>
      <w:r>
        <w:rPr>
          <w:rFonts w:hint="eastAsia" w:ascii="宋体" w:hAnsi="宋体" w:cs="宋体"/>
          <w:color w:val="auto"/>
          <w:sz w:val="21"/>
          <w:szCs w:val="21"/>
        </w:rPr>
        <w:t>为预付款，项目完成并通过验收合格后，自收到发票后7个工作日内，支付剩余款项。</w:t>
      </w:r>
    </w:p>
    <w:p w14:paraId="4AE08DE9">
      <w:pPr>
        <w:keepNext w:val="0"/>
        <w:keepLines w:val="0"/>
        <w:pageBreakBefore w:val="0"/>
        <w:widowControl w:val="0"/>
        <w:kinsoku/>
        <w:wordWrap/>
        <w:overflowPunct/>
        <w:topLinePunct w:val="0"/>
        <w:autoSpaceDE/>
        <w:autoSpaceDN/>
        <w:bidi w:val="0"/>
        <w:spacing w:line="360" w:lineRule="auto"/>
        <w:ind w:firstLine="422" w:firstLineChars="200"/>
        <w:textAlignment w:val="auto"/>
        <w:outlineLvl w:val="0"/>
        <w:rPr>
          <w:rFonts w:hint="eastAsia" w:ascii="宋体" w:hAnsi="宋体" w:cs="宋体"/>
          <w:b/>
          <w:bCs/>
          <w:color w:val="auto"/>
          <w:sz w:val="21"/>
          <w:szCs w:val="21"/>
          <w:lang w:val="en-US" w:eastAsia="zh-CN"/>
        </w:rPr>
      </w:pPr>
    </w:p>
    <w:p w14:paraId="78D71C4F">
      <w:pPr>
        <w:keepNext w:val="0"/>
        <w:keepLines w:val="0"/>
        <w:pageBreakBefore w:val="0"/>
        <w:widowControl w:val="0"/>
        <w:kinsoku/>
        <w:wordWrap/>
        <w:overflowPunct/>
        <w:topLinePunct w:val="0"/>
        <w:autoSpaceDE/>
        <w:autoSpaceDN/>
        <w:bidi w:val="0"/>
        <w:spacing w:line="360" w:lineRule="auto"/>
        <w:textAlignment w:val="auto"/>
        <w:outlineLvl w:val="0"/>
        <w:rPr>
          <w:rFonts w:hint="eastAsia" w:ascii="宋体" w:hAnsi="宋体" w:cs="宋体"/>
          <w:b/>
          <w:bCs/>
          <w:color w:val="auto"/>
          <w:sz w:val="24"/>
          <w:szCs w:val="24"/>
        </w:rPr>
      </w:pPr>
      <w:r>
        <w:rPr>
          <w:rFonts w:hint="eastAsia" w:ascii="宋体" w:hAnsi="宋体" w:cs="宋体"/>
          <w:b/>
          <w:bCs/>
          <w:color w:val="auto"/>
          <w:sz w:val="24"/>
          <w:szCs w:val="24"/>
          <w:lang w:val="en-US" w:eastAsia="zh-CN"/>
        </w:rPr>
        <w:t>七</w:t>
      </w:r>
      <w:r>
        <w:rPr>
          <w:rFonts w:hint="eastAsia" w:ascii="宋体" w:hAnsi="宋体" w:cs="宋体"/>
          <w:b/>
          <w:bCs/>
          <w:color w:val="auto"/>
          <w:sz w:val="24"/>
          <w:szCs w:val="24"/>
        </w:rPr>
        <w:t>、报价要求</w:t>
      </w:r>
    </w:p>
    <w:p w14:paraId="7506D30B">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0"/>
        <w:rPr>
          <w:rFonts w:hint="eastAsia" w:ascii="宋体" w:hAnsi="宋体"/>
          <w:color w:val="auto"/>
          <w:sz w:val="21"/>
          <w:szCs w:val="21"/>
        </w:rPr>
      </w:pPr>
      <w:r>
        <w:rPr>
          <w:rFonts w:hint="eastAsia" w:ascii="宋体" w:hAnsi="宋体" w:cs="宋体"/>
          <w:color w:val="auto"/>
          <w:sz w:val="21"/>
          <w:szCs w:val="21"/>
        </w:rPr>
        <w:t>1.投标人应根据招标文件进</w:t>
      </w:r>
      <w:r>
        <w:rPr>
          <w:rFonts w:hint="eastAsia" w:ascii="宋体" w:hAnsi="宋体"/>
          <w:color w:val="auto"/>
          <w:sz w:val="21"/>
          <w:szCs w:val="21"/>
        </w:rPr>
        <w:t>行报价。投标报价一旦核实确认，不得再做更改。对投标人漏报致使项目未能达到需求的功能和效果，其费用和后果由投标人自行负责。</w:t>
      </w:r>
    </w:p>
    <w:p w14:paraId="7DAF93A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b/>
          <w:bCs/>
          <w:color w:val="auto"/>
          <w:sz w:val="21"/>
          <w:szCs w:val="21"/>
        </w:rPr>
      </w:pPr>
      <w:r>
        <w:rPr>
          <w:rFonts w:hint="eastAsia" w:ascii="宋体" w:hAnsi="宋体"/>
          <w:color w:val="auto"/>
          <w:sz w:val="21"/>
          <w:szCs w:val="21"/>
        </w:rPr>
        <w:t>2.所有报价均应已包含国家规定的所有税费。</w:t>
      </w:r>
    </w:p>
    <w:p w14:paraId="67D8A59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3.投标总报价应包含完成项目的所有报价，不能在投标报价之外还有其他费用出现。</w:t>
      </w:r>
    </w:p>
    <w:p w14:paraId="33A0228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bCs/>
          <w:color w:val="auto"/>
          <w:sz w:val="21"/>
          <w:szCs w:val="21"/>
        </w:rPr>
      </w:pPr>
      <w:r>
        <w:rPr>
          <w:rFonts w:hint="eastAsia" w:ascii="宋体" w:hAnsi="宋体"/>
          <w:color w:val="auto"/>
          <w:sz w:val="21"/>
          <w:szCs w:val="21"/>
        </w:rPr>
        <w:t>4.</w:t>
      </w:r>
      <w:r>
        <w:rPr>
          <w:rFonts w:hint="eastAsia" w:ascii="宋体" w:hAnsi="宋体"/>
          <w:bCs/>
          <w:color w:val="auto"/>
          <w:sz w:val="21"/>
          <w:szCs w:val="21"/>
        </w:rPr>
        <w:t>扶持政策说明：</w:t>
      </w:r>
    </w:p>
    <w:p w14:paraId="781EBE9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b/>
          <w:bCs/>
          <w:color w:val="auto"/>
          <w:sz w:val="21"/>
          <w:szCs w:val="21"/>
        </w:rPr>
      </w:pPr>
      <w:r>
        <w:rPr>
          <w:rFonts w:hint="eastAsia" w:ascii="宋体" w:hAnsi="宋体"/>
          <w:color w:val="auto"/>
          <w:sz w:val="21"/>
          <w:szCs w:val="21"/>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b/>
          <w:bCs/>
          <w:color w:val="auto"/>
          <w:sz w:val="21"/>
          <w:szCs w:val="21"/>
        </w:rPr>
        <w:t>本项目不专门面向中小企业，本项目对应的中小企业划分标准所属行业：</w:t>
      </w:r>
      <w:r>
        <w:rPr>
          <w:rFonts w:hint="eastAsia" w:ascii="宋体" w:hAnsi="宋体"/>
          <w:b/>
          <w:bCs/>
          <w:color w:val="auto"/>
          <w:sz w:val="21"/>
          <w:szCs w:val="21"/>
          <w:lang w:eastAsia="zh-CN"/>
        </w:rPr>
        <w:t>其他未列明行业</w:t>
      </w:r>
      <w:r>
        <w:rPr>
          <w:rFonts w:hint="eastAsia" w:ascii="宋体" w:hAnsi="宋体"/>
          <w:b/>
          <w:bCs/>
          <w:color w:val="auto"/>
          <w:sz w:val="21"/>
          <w:szCs w:val="21"/>
        </w:rPr>
        <w:t>。</w:t>
      </w:r>
    </w:p>
    <w:p w14:paraId="41B894A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未提供完整证明材料的，投标报价不予扣减。</w:t>
      </w:r>
    </w:p>
    <w:p w14:paraId="22B9289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（2）根据《关于政府采购支持监狱企业发展有关问题的通知》（财库[2014]68号）的规定，供应商如为监狱企业且所投产品为小型或微型企业生产的，其投标报价扣除10%后参与评审。</w:t>
      </w:r>
    </w:p>
    <w:p w14:paraId="2CE90C7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14:paraId="4A63A64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1C7C083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投标文件中须提供：《残疾人福利性单位声明函》，未提供完整证明材料的，投标报价不予扣减。</w:t>
      </w:r>
    </w:p>
    <w:p w14:paraId="5E0CD8F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上述1，2，3政策不重复计算。</w:t>
      </w:r>
    </w:p>
    <w:p w14:paraId="6288A55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rPr>
      </w:pPr>
      <w:r>
        <w:rPr>
          <w:rFonts w:hint="eastAsia" w:ascii="宋体" w:hAnsi="宋体"/>
          <w:color w:val="auto"/>
        </w:rPr>
        <w:t>此项由评标委员会集体核实后统一打分。</w:t>
      </w:r>
    </w:p>
    <w:p w14:paraId="3652E0E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b w:val="0"/>
          <w:bCs w:val="0"/>
          <w:color w:val="auto"/>
          <w:szCs w:val="21"/>
        </w:rPr>
      </w:pPr>
      <w:r>
        <w:rPr>
          <w:rFonts w:hint="eastAsia" w:ascii="宋体" w:hAnsi="宋体"/>
          <w:b w:val="0"/>
          <w:bCs w:val="0"/>
          <w:color w:val="auto"/>
          <w:szCs w:val="21"/>
        </w:rPr>
        <w:t>5.本次项目的预算金额为</w:t>
      </w:r>
      <w:r>
        <w:rPr>
          <w:rFonts w:hint="eastAsia" w:ascii="宋体" w:hAnsi="宋体"/>
          <w:b w:val="0"/>
          <w:bCs w:val="0"/>
          <w:color w:val="auto"/>
        </w:rPr>
        <w:t>：</w:t>
      </w:r>
      <w:r>
        <w:rPr>
          <w:rFonts w:hint="eastAsia" w:ascii="宋体" w:hAnsi="宋体"/>
          <w:b w:val="0"/>
          <w:bCs w:val="0"/>
          <w:color w:val="auto"/>
          <w:szCs w:val="21"/>
          <w:lang w:eastAsia="zh-CN"/>
        </w:rPr>
        <w:t>人民币壹佰贰拾陆万元整（1,260,000.00元）</w:t>
      </w:r>
    </w:p>
    <w:p w14:paraId="75B0BE90">
      <w:pPr>
        <w:pageBreakBefore/>
        <w:snapToGrid w:val="0"/>
        <w:jc w:val="center"/>
        <w:rPr>
          <w:color w:val="auto"/>
          <w:sz w:val="28"/>
        </w:rPr>
      </w:pPr>
      <w:r>
        <w:rPr>
          <w:rFonts w:hint="eastAsia"/>
          <w:b/>
          <w:color w:val="auto"/>
          <w:sz w:val="32"/>
        </w:rPr>
        <w:t>第三章投标人须知</w:t>
      </w:r>
    </w:p>
    <w:p w14:paraId="202A52E8">
      <w:pPr>
        <w:snapToGrid w:val="0"/>
        <w:jc w:val="center"/>
        <w:rPr>
          <w:color w:val="auto"/>
          <w:sz w:val="28"/>
        </w:rPr>
      </w:pPr>
      <w:r>
        <w:rPr>
          <w:rFonts w:hint="eastAsia"/>
          <w:color w:val="auto"/>
          <w:sz w:val="28"/>
        </w:rPr>
        <w:t>前附表</w:t>
      </w:r>
    </w:p>
    <w:tbl>
      <w:tblPr>
        <w:tblStyle w:val="60"/>
        <w:tblW w:w="1063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29"/>
        <w:gridCol w:w="5254"/>
        <w:gridCol w:w="1098"/>
        <w:gridCol w:w="2644"/>
      </w:tblGrid>
      <w:tr w14:paraId="2B0C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ED4969">
            <w:pPr>
              <w:snapToGrid w:val="0"/>
              <w:spacing w:line="240" w:lineRule="exact"/>
              <w:jc w:val="center"/>
              <w:rPr>
                <w:b/>
                <w:color w:val="auto"/>
              </w:rPr>
            </w:pPr>
            <w:r>
              <w:rPr>
                <w:rFonts w:hint="eastAsia"/>
                <w:b/>
                <w:color w:val="auto"/>
              </w:rPr>
              <w:t>序号</w:t>
            </w:r>
          </w:p>
        </w:tc>
        <w:tc>
          <w:tcPr>
            <w:tcW w:w="1010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30F98B">
            <w:pPr>
              <w:snapToGrid w:val="0"/>
              <w:spacing w:line="240" w:lineRule="exact"/>
              <w:jc w:val="center"/>
              <w:rPr>
                <w:b/>
                <w:color w:val="auto"/>
              </w:rPr>
            </w:pPr>
            <w:r>
              <w:rPr>
                <w:rFonts w:hint="eastAsia"/>
                <w:b/>
                <w:color w:val="auto"/>
              </w:rPr>
              <w:t>内容说明及要求</w:t>
            </w:r>
          </w:p>
        </w:tc>
      </w:tr>
      <w:tr w14:paraId="7976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DBB340">
            <w:pPr>
              <w:snapToGrid w:val="0"/>
              <w:spacing w:line="240" w:lineRule="exact"/>
              <w:jc w:val="center"/>
              <w:rPr>
                <w:b/>
                <w:color w:val="auto"/>
              </w:rPr>
            </w:pPr>
            <w:r>
              <w:rPr>
                <w:b/>
                <w:color w:val="auto"/>
              </w:rPr>
              <w:t>1</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3D3247">
            <w:pPr>
              <w:spacing w:line="240" w:lineRule="exact"/>
              <w:jc w:val="center"/>
              <w:rPr>
                <w:b/>
                <w:color w:val="auto"/>
              </w:rPr>
            </w:pPr>
            <w:r>
              <w:rPr>
                <w:rFonts w:hint="eastAsia"/>
                <w:b/>
                <w:color w:val="auto"/>
              </w:rPr>
              <w:t>项目名称</w:t>
            </w:r>
          </w:p>
        </w:tc>
        <w:tc>
          <w:tcPr>
            <w:tcW w:w="52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6E508A">
            <w:pPr>
              <w:spacing w:line="240" w:lineRule="exact"/>
              <w:rPr>
                <w:rFonts w:hint="eastAsia" w:eastAsia="宋体"/>
                <w:bCs/>
                <w:color w:val="auto"/>
                <w:lang w:val="zh-CN" w:eastAsia="zh-CN"/>
              </w:rPr>
            </w:pPr>
            <w:r>
              <w:rPr>
                <w:rFonts w:hint="eastAsia"/>
                <w:color w:val="auto"/>
                <w:lang w:eastAsia="zh-CN"/>
              </w:rPr>
              <w:t>2025年普陀区海洋经济运行监测和评估项目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45CAE8">
            <w:pPr>
              <w:spacing w:line="240" w:lineRule="exact"/>
              <w:jc w:val="center"/>
              <w:rPr>
                <w:bCs/>
                <w:color w:val="auto"/>
              </w:rPr>
            </w:pPr>
            <w:r>
              <w:rPr>
                <w:rFonts w:hint="eastAsia"/>
                <w:b/>
                <w:color w:val="auto"/>
              </w:rPr>
              <w:t>项目编号</w:t>
            </w:r>
          </w:p>
        </w:tc>
        <w:tc>
          <w:tcPr>
            <w:tcW w:w="262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545F07">
            <w:pPr>
              <w:spacing w:line="240" w:lineRule="exact"/>
              <w:rPr>
                <w:rFonts w:hint="eastAsia" w:eastAsia="宋体"/>
                <w:bCs/>
                <w:color w:val="auto"/>
                <w:lang w:eastAsia="zh-CN"/>
              </w:rPr>
            </w:pPr>
            <w:r>
              <w:rPr>
                <w:rFonts w:hint="eastAsia"/>
                <w:color w:val="auto"/>
                <w:lang w:eastAsia="zh-CN"/>
              </w:rPr>
              <w:t>SZGXZS2025146</w:t>
            </w:r>
          </w:p>
        </w:tc>
      </w:tr>
      <w:tr w14:paraId="4943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02B6B7">
            <w:pPr>
              <w:snapToGrid w:val="0"/>
              <w:spacing w:line="240" w:lineRule="exact"/>
              <w:jc w:val="center"/>
              <w:rPr>
                <w:b/>
                <w:color w:val="auto"/>
              </w:rPr>
            </w:pPr>
            <w:r>
              <w:rPr>
                <w:b/>
                <w:color w:val="auto"/>
              </w:rPr>
              <w:t>2</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8A49F0">
            <w:pPr>
              <w:spacing w:line="240" w:lineRule="exact"/>
              <w:jc w:val="center"/>
              <w:rPr>
                <w:rFonts w:hint="eastAsia"/>
                <w:b/>
                <w:color w:val="auto"/>
              </w:rPr>
            </w:pPr>
            <w:r>
              <w:rPr>
                <w:rFonts w:hint="eastAsia"/>
                <w:b/>
                <w:color w:val="auto"/>
              </w:rPr>
              <w:t>采购单位</w:t>
            </w:r>
          </w:p>
          <w:p w14:paraId="56E0ACDD">
            <w:pPr>
              <w:spacing w:line="240" w:lineRule="exact"/>
              <w:jc w:val="center"/>
              <w:rPr>
                <w:b/>
                <w:color w:val="auto"/>
              </w:rPr>
            </w:pPr>
            <w:r>
              <w:rPr>
                <w:rFonts w:hint="eastAsia"/>
                <w:b/>
                <w:color w:val="auto"/>
              </w:rPr>
              <w:t>名称</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FF5BF3">
            <w:pPr>
              <w:spacing w:line="240" w:lineRule="exact"/>
              <w:rPr>
                <w:rFonts w:hint="eastAsia" w:eastAsia="宋体"/>
                <w:bCs/>
                <w:color w:val="auto"/>
                <w:lang w:eastAsia="zh-CN"/>
              </w:rPr>
            </w:pPr>
            <w:r>
              <w:rPr>
                <w:rFonts w:hint="eastAsia"/>
                <w:color w:val="auto"/>
                <w:lang w:eastAsia="zh-CN"/>
              </w:rPr>
              <w:t>舟山市普陀区海洋经济发展局</w:t>
            </w:r>
          </w:p>
        </w:tc>
      </w:tr>
      <w:tr w14:paraId="010D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92E91D">
            <w:pPr>
              <w:snapToGrid w:val="0"/>
              <w:spacing w:line="240" w:lineRule="exact"/>
              <w:jc w:val="center"/>
              <w:rPr>
                <w:b/>
                <w:color w:val="auto"/>
              </w:rPr>
            </w:pPr>
            <w:r>
              <w:rPr>
                <w:b/>
                <w:color w:val="auto"/>
              </w:rPr>
              <w:t>3</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E1351F">
            <w:pPr>
              <w:spacing w:line="240" w:lineRule="exact"/>
              <w:jc w:val="center"/>
              <w:rPr>
                <w:b/>
                <w:color w:val="auto"/>
              </w:rPr>
            </w:pPr>
            <w:r>
              <w:rPr>
                <w:rFonts w:hint="eastAsia"/>
                <w:b/>
                <w:color w:val="auto"/>
              </w:rPr>
              <w:t>采购内容</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1"/>
              <w:tblpPr w:leftFromText="180" w:rightFromText="180" w:vertAnchor="text" w:horzAnchor="page" w:tblpX="166" w:tblpY="-1327"/>
              <w:tblOverlap w:val="never"/>
              <w:tblW w:w="8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4414"/>
              <w:gridCol w:w="1825"/>
              <w:gridCol w:w="1206"/>
            </w:tblGrid>
            <w:tr w14:paraId="43D2F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14:paraId="0623468D">
                  <w:pPr>
                    <w:widowControl/>
                    <w:spacing w:line="240" w:lineRule="auto"/>
                    <w:jc w:val="center"/>
                    <w:rPr>
                      <w:color w:val="auto"/>
                      <w:kern w:val="0"/>
                      <w:szCs w:val="21"/>
                    </w:rPr>
                  </w:pPr>
                  <w:r>
                    <w:rPr>
                      <w:rFonts w:hint="eastAsia"/>
                      <w:color w:val="auto"/>
                      <w:kern w:val="0"/>
                      <w:szCs w:val="21"/>
                    </w:rPr>
                    <w:t>序号</w:t>
                  </w:r>
                </w:p>
              </w:tc>
              <w:tc>
                <w:tcPr>
                  <w:tcW w:w="4414" w:type="dxa"/>
                  <w:tcBorders>
                    <w:top w:val="single" w:color="000000" w:sz="4" w:space="0"/>
                    <w:left w:val="single" w:color="000000" w:sz="4" w:space="0"/>
                    <w:bottom w:val="single" w:color="000000" w:sz="4" w:space="0"/>
                    <w:right w:val="single" w:color="000000" w:sz="4" w:space="0"/>
                  </w:tcBorders>
                  <w:vAlign w:val="center"/>
                </w:tcPr>
                <w:p w14:paraId="12D99E80">
                  <w:pPr>
                    <w:widowControl/>
                    <w:spacing w:line="240" w:lineRule="auto"/>
                    <w:ind w:firstLine="630" w:firstLineChars="300"/>
                    <w:jc w:val="both"/>
                    <w:rPr>
                      <w:color w:val="auto"/>
                      <w:kern w:val="0"/>
                      <w:szCs w:val="21"/>
                    </w:rPr>
                  </w:pPr>
                  <w:r>
                    <w:rPr>
                      <w:rFonts w:hint="eastAsia"/>
                      <w:color w:val="auto"/>
                      <w:kern w:val="0"/>
                      <w:szCs w:val="21"/>
                    </w:rPr>
                    <w:t>项目名称及内容</w:t>
                  </w:r>
                </w:p>
              </w:tc>
              <w:tc>
                <w:tcPr>
                  <w:tcW w:w="1825" w:type="dxa"/>
                  <w:tcBorders>
                    <w:top w:val="single" w:color="000000" w:sz="4" w:space="0"/>
                    <w:left w:val="single" w:color="000000" w:sz="4" w:space="0"/>
                    <w:bottom w:val="single" w:color="000000" w:sz="4" w:space="0"/>
                    <w:right w:val="single" w:color="000000" w:sz="4" w:space="0"/>
                  </w:tcBorders>
                  <w:vAlign w:val="center"/>
                </w:tcPr>
                <w:p w14:paraId="231A89EE">
                  <w:pPr>
                    <w:widowControl/>
                    <w:spacing w:line="240" w:lineRule="auto"/>
                    <w:jc w:val="center"/>
                    <w:rPr>
                      <w:rFonts w:hint="eastAsia" w:eastAsia="宋体"/>
                      <w:color w:val="auto"/>
                      <w:kern w:val="0"/>
                      <w:szCs w:val="21"/>
                      <w:lang w:eastAsia="zh-CN"/>
                    </w:rPr>
                  </w:pPr>
                  <w:r>
                    <w:rPr>
                      <w:rFonts w:hint="eastAsia"/>
                      <w:color w:val="auto"/>
                      <w:kern w:val="0"/>
                      <w:szCs w:val="21"/>
                    </w:rPr>
                    <w:t>预算金额</w:t>
                  </w:r>
                  <w:r>
                    <w:rPr>
                      <w:rFonts w:hint="eastAsia"/>
                      <w:color w:val="auto"/>
                      <w:kern w:val="0"/>
                      <w:szCs w:val="21"/>
                      <w:lang w:eastAsia="zh-CN"/>
                    </w:rPr>
                    <w:t>（</w:t>
                  </w:r>
                  <w:r>
                    <w:rPr>
                      <w:rFonts w:hint="eastAsia"/>
                      <w:color w:val="auto"/>
                      <w:kern w:val="0"/>
                      <w:szCs w:val="21"/>
                      <w:lang w:val="en-US" w:eastAsia="zh-CN"/>
                    </w:rPr>
                    <w:t>万元</w:t>
                  </w:r>
                  <w:r>
                    <w:rPr>
                      <w:rFonts w:hint="eastAsia"/>
                      <w:color w:val="auto"/>
                      <w:kern w:val="0"/>
                      <w:szCs w:val="21"/>
                      <w:lang w:eastAsia="zh-CN"/>
                    </w:rPr>
                    <w:t>）</w:t>
                  </w:r>
                </w:p>
              </w:tc>
              <w:tc>
                <w:tcPr>
                  <w:tcW w:w="1206" w:type="dxa"/>
                  <w:tcBorders>
                    <w:top w:val="single" w:color="000000" w:sz="4" w:space="0"/>
                    <w:left w:val="single" w:color="000000" w:sz="4" w:space="0"/>
                    <w:bottom w:val="single" w:color="000000" w:sz="4" w:space="0"/>
                    <w:right w:val="single" w:color="000000" w:sz="4" w:space="0"/>
                  </w:tcBorders>
                  <w:vAlign w:val="center"/>
                </w:tcPr>
                <w:p w14:paraId="3551AFA5">
                  <w:pPr>
                    <w:widowControl/>
                    <w:spacing w:line="240" w:lineRule="auto"/>
                    <w:ind w:firstLine="210" w:firstLineChars="100"/>
                    <w:jc w:val="left"/>
                    <w:rPr>
                      <w:rFonts w:hint="default" w:eastAsia="宋体"/>
                      <w:color w:val="auto"/>
                      <w:kern w:val="0"/>
                      <w:szCs w:val="21"/>
                      <w:lang w:val="en-US" w:eastAsia="zh-CN"/>
                    </w:rPr>
                  </w:pPr>
                  <w:r>
                    <w:rPr>
                      <w:rFonts w:hint="eastAsia"/>
                      <w:color w:val="auto"/>
                      <w:kern w:val="0"/>
                      <w:szCs w:val="21"/>
                      <w:lang w:val="en-US" w:eastAsia="zh-CN"/>
                    </w:rPr>
                    <w:t>备注</w:t>
                  </w:r>
                </w:p>
              </w:tc>
            </w:tr>
            <w:tr w14:paraId="36A56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883" w:type="dxa"/>
                  <w:tcBorders>
                    <w:top w:val="single" w:color="000000" w:sz="4" w:space="0"/>
                    <w:left w:val="single" w:color="000000" w:sz="4" w:space="0"/>
                    <w:bottom w:val="single" w:color="000000" w:sz="4" w:space="0"/>
                    <w:right w:val="single" w:color="000000" w:sz="4" w:space="0"/>
                  </w:tcBorders>
                  <w:vAlign w:val="center"/>
                </w:tcPr>
                <w:p w14:paraId="52F74CFD">
                  <w:pPr>
                    <w:widowControl/>
                    <w:spacing w:line="240" w:lineRule="auto"/>
                    <w:jc w:val="center"/>
                    <w:rPr>
                      <w:color w:val="auto"/>
                      <w:kern w:val="0"/>
                      <w:szCs w:val="21"/>
                    </w:rPr>
                  </w:pPr>
                  <w:r>
                    <w:rPr>
                      <w:rFonts w:hint="eastAsia"/>
                      <w:color w:val="auto"/>
                      <w:kern w:val="0"/>
                      <w:szCs w:val="21"/>
                    </w:rPr>
                    <w:t>1</w:t>
                  </w:r>
                </w:p>
              </w:tc>
              <w:tc>
                <w:tcPr>
                  <w:tcW w:w="4414" w:type="dxa"/>
                  <w:tcBorders>
                    <w:top w:val="single" w:color="000000" w:sz="4" w:space="0"/>
                    <w:left w:val="single" w:color="000000" w:sz="4" w:space="0"/>
                    <w:bottom w:val="single" w:color="000000" w:sz="4" w:space="0"/>
                    <w:right w:val="single" w:color="000000" w:sz="4" w:space="0"/>
                  </w:tcBorders>
                  <w:vAlign w:val="center"/>
                </w:tcPr>
                <w:p w14:paraId="524AD088">
                  <w:pPr>
                    <w:widowControl/>
                    <w:spacing w:line="240" w:lineRule="auto"/>
                    <w:jc w:val="center"/>
                    <w:rPr>
                      <w:rFonts w:hint="eastAsia" w:eastAsia="宋体"/>
                      <w:color w:val="auto"/>
                      <w:kern w:val="0"/>
                      <w:szCs w:val="21"/>
                      <w:lang w:eastAsia="zh-CN"/>
                    </w:rPr>
                  </w:pPr>
                  <w:r>
                    <w:rPr>
                      <w:rFonts w:hint="eastAsia"/>
                      <w:color w:val="auto"/>
                      <w:kern w:val="0"/>
                      <w:szCs w:val="21"/>
                      <w:lang w:eastAsia="zh-CN"/>
                    </w:rPr>
                    <w:t>2025年普陀区海洋经济运行监测和评估项目</w:t>
                  </w:r>
                </w:p>
              </w:tc>
              <w:tc>
                <w:tcPr>
                  <w:tcW w:w="1825" w:type="dxa"/>
                  <w:tcBorders>
                    <w:top w:val="single" w:color="000000" w:sz="4" w:space="0"/>
                    <w:left w:val="single" w:color="000000" w:sz="4" w:space="0"/>
                    <w:bottom w:val="single" w:color="000000" w:sz="4" w:space="0"/>
                    <w:right w:val="single" w:color="000000" w:sz="4" w:space="0"/>
                  </w:tcBorders>
                  <w:vAlign w:val="center"/>
                </w:tcPr>
                <w:p w14:paraId="00F73BA6">
                  <w:pPr>
                    <w:widowControl/>
                    <w:spacing w:line="240" w:lineRule="auto"/>
                    <w:jc w:val="center"/>
                    <w:rPr>
                      <w:rFonts w:hint="eastAsia"/>
                      <w:color w:val="auto"/>
                      <w:kern w:val="0"/>
                      <w:szCs w:val="21"/>
                      <w:lang w:val="en-US" w:eastAsia="zh-CN"/>
                    </w:rPr>
                  </w:pPr>
                  <w:r>
                    <w:rPr>
                      <w:rFonts w:hint="eastAsia"/>
                      <w:color w:val="auto"/>
                      <w:kern w:val="0"/>
                      <w:szCs w:val="21"/>
                      <w:lang w:val="en-US" w:eastAsia="zh-CN"/>
                    </w:rPr>
                    <w:t>126</w:t>
                  </w:r>
                </w:p>
                <w:p w14:paraId="4D0F4DD8">
                  <w:pPr>
                    <w:widowControl/>
                    <w:spacing w:line="240" w:lineRule="auto"/>
                    <w:jc w:val="center"/>
                    <w:rPr>
                      <w:rFonts w:hint="default" w:eastAsia="宋体"/>
                      <w:color w:val="auto"/>
                      <w:kern w:val="0"/>
                      <w:szCs w:val="21"/>
                      <w:lang w:val="en-US" w:eastAsia="zh-CN"/>
                    </w:rPr>
                  </w:pPr>
                </w:p>
              </w:tc>
              <w:tc>
                <w:tcPr>
                  <w:tcW w:w="1206" w:type="dxa"/>
                  <w:tcBorders>
                    <w:top w:val="single" w:color="000000" w:sz="4" w:space="0"/>
                    <w:left w:val="single" w:color="000000" w:sz="4" w:space="0"/>
                    <w:bottom w:val="single" w:color="000000" w:sz="4" w:space="0"/>
                    <w:right w:val="single" w:color="000000" w:sz="4" w:space="0"/>
                  </w:tcBorders>
                  <w:vAlign w:val="center"/>
                </w:tcPr>
                <w:p w14:paraId="13E1EC30">
                  <w:pPr>
                    <w:widowControl/>
                    <w:spacing w:line="240" w:lineRule="auto"/>
                    <w:jc w:val="left"/>
                    <w:rPr>
                      <w:rFonts w:hint="eastAsia" w:eastAsia="宋体"/>
                      <w:color w:val="auto"/>
                      <w:kern w:val="0"/>
                      <w:szCs w:val="21"/>
                      <w:lang w:eastAsia="zh-CN"/>
                    </w:rPr>
                  </w:pPr>
                </w:p>
              </w:tc>
            </w:tr>
          </w:tbl>
          <w:p w14:paraId="505F37FB">
            <w:pPr>
              <w:spacing w:after="120"/>
              <w:rPr>
                <w:color w:val="auto"/>
                <w:kern w:val="0"/>
              </w:rPr>
            </w:pPr>
          </w:p>
        </w:tc>
      </w:tr>
      <w:tr w14:paraId="567A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FBA47E">
            <w:pPr>
              <w:snapToGrid w:val="0"/>
              <w:spacing w:line="240" w:lineRule="exact"/>
              <w:jc w:val="center"/>
              <w:rPr>
                <w:b/>
                <w:color w:val="auto"/>
              </w:rPr>
            </w:pPr>
            <w:r>
              <w:rPr>
                <w:b/>
                <w:color w:val="auto"/>
              </w:rPr>
              <w:t>4</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5A6CBB">
            <w:pPr>
              <w:jc w:val="center"/>
              <w:rPr>
                <w:b/>
                <w:color w:val="auto"/>
              </w:rPr>
            </w:pPr>
            <w:r>
              <w:rPr>
                <w:rFonts w:hint="eastAsia"/>
                <w:b/>
                <w:color w:val="auto"/>
              </w:rPr>
              <w:t>本项目预算</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F90B39">
            <w:pPr>
              <w:rPr>
                <w:rFonts w:hint="eastAsia" w:eastAsia="宋体"/>
                <w:bCs/>
                <w:color w:val="auto"/>
                <w:szCs w:val="21"/>
                <w:lang w:eastAsia="zh-CN"/>
              </w:rPr>
            </w:pPr>
            <w:r>
              <w:rPr>
                <w:rFonts w:hint="eastAsia" w:ascii="宋体" w:hAnsi="宋体"/>
                <w:b/>
                <w:color w:val="auto"/>
                <w:szCs w:val="21"/>
                <w:lang w:eastAsia="zh-CN"/>
              </w:rPr>
              <w:t>人民币壹佰贰拾陆万元整（1,260,000.00元）</w:t>
            </w:r>
          </w:p>
        </w:tc>
      </w:tr>
      <w:tr w14:paraId="5702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B7BE38">
            <w:pPr>
              <w:snapToGrid w:val="0"/>
              <w:spacing w:line="240" w:lineRule="exact"/>
              <w:jc w:val="center"/>
              <w:rPr>
                <w:b/>
                <w:color w:val="auto"/>
              </w:rPr>
            </w:pPr>
            <w:r>
              <w:rPr>
                <w:b/>
                <w:color w:val="auto"/>
              </w:rPr>
              <w:t>5</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25E6FA">
            <w:pPr>
              <w:spacing w:line="240" w:lineRule="exact"/>
              <w:jc w:val="center"/>
              <w:rPr>
                <w:rFonts w:hint="eastAsia" w:ascii="宋体" w:hAnsi="宋体" w:eastAsia="宋体"/>
                <w:b/>
                <w:color w:val="auto"/>
                <w:lang w:val="en-US" w:eastAsia="zh-CN"/>
              </w:rPr>
            </w:pPr>
            <w:r>
              <w:rPr>
                <w:rFonts w:hint="eastAsia" w:ascii="宋体" w:hAnsi="宋体"/>
                <w:b/>
                <w:color w:val="auto"/>
              </w:rPr>
              <w:t>时间</w:t>
            </w:r>
            <w:r>
              <w:rPr>
                <w:rFonts w:hint="eastAsia" w:ascii="宋体" w:hAnsi="宋体"/>
                <w:b/>
                <w:color w:val="auto"/>
                <w:lang w:val="en-US" w:eastAsia="zh-CN"/>
              </w:rPr>
              <w:t>要求</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191CF2">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olor w:val="auto"/>
                <w:szCs w:val="21"/>
                <w:lang w:eastAsia="zh-CN"/>
              </w:rPr>
            </w:pPr>
            <w:r>
              <w:rPr>
                <w:rFonts w:hint="eastAsia" w:ascii="宋体" w:hAnsi="宋体" w:eastAsia="宋体"/>
                <w:color w:val="auto"/>
                <w:szCs w:val="21"/>
                <w:lang w:eastAsia="zh-CN"/>
              </w:rPr>
              <w:t>合同签订后一年内完成。</w:t>
            </w:r>
          </w:p>
        </w:tc>
      </w:tr>
      <w:tr w14:paraId="6013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BEFEDC">
            <w:pPr>
              <w:snapToGrid w:val="0"/>
              <w:spacing w:line="240" w:lineRule="exact"/>
              <w:jc w:val="center"/>
              <w:rPr>
                <w:b/>
                <w:color w:val="auto"/>
              </w:rPr>
            </w:pPr>
            <w:r>
              <w:rPr>
                <w:b/>
                <w:color w:val="auto"/>
              </w:rPr>
              <w:t>6</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07F79F">
            <w:pPr>
              <w:spacing w:line="240" w:lineRule="exact"/>
              <w:jc w:val="center"/>
              <w:rPr>
                <w:b/>
                <w:color w:val="auto"/>
                <w:szCs w:val="21"/>
              </w:rPr>
            </w:pPr>
            <w:r>
              <w:rPr>
                <w:rFonts w:hint="eastAsia"/>
                <w:b/>
                <w:color w:val="auto"/>
                <w:szCs w:val="21"/>
              </w:rPr>
              <w:t>投标有效期</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E03CA2">
            <w:pPr>
              <w:spacing w:line="240" w:lineRule="exact"/>
              <w:rPr>
                <w:color w:val="auto"/>
                <w:szCs w:val="21"/>
              </w:rPr>
            </w:pPr>
            <w:r>
              <w:rPr>
                <w:color w:val="auto"/>
                <w:szCs w:val="21"/>
                <w:u w:val="single"/>
              </w:rPr>
              <w:t>90</w:t>
            </w:r>
            <w:r>
              <w:rPr>
                <w:rFonts w:hint="eastAsia"/>
                <w:color w:val="auto"/>
                <w:szCs w:val="21"/>
                <w:u w:val="single"/>
              </w:rPr>
              <w:t>日</w:t>
            </w:r>
            <w:r>
              <w:rPr>
                <w:rFonts w:hint="eastAsia"/>
                <w:color w:val="auto"/>
                <w:szCs w:val="21"/>
              </w:rPr>
              <w:t>历天。（从投标截止之日算起）</w:t>
            </w:r>
          </w:p>
        </w:tc>
      </w:tr>
      <w:tr w14:paraId="6486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CC3A03">
            <w:pPr>
              <w:snapToGrid w:val="0"/>
              <w:spacing w:line="240" w:lineRule="exact"/>
              <w:jc w:val="center"/>
              <w:rPr>
                <w:b/>
                <w:color w:val="auto"/>
              </w:rPr>
            </w:pPr>
            <w:r>
              <w:rPr>
                <w:b/>
                <w:color w:val="auto"/>
              </w:rPr>
              <w:t>7</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A5E304">
            <w:pPr>
              <w:spacing w:line="240" w:lineRule="exact"/>
              <w:jc w:val="center"/>
              <w:rPr>
                <w:rFonts w:hint="eastAsia" w:eastAsia="宋体"/>
                <w:b/>
                <w:color w:val="auto"/>
                <w:szCs w:val="21"/>
                <w:lang w:eastAsia="zh-CN"/>
              </w:rPr>
            </w:pPr>
            <w:r>
              <w:rPr>
                <w:rFonts w:hint="eastAsia"/>
                <w:b/>
                <w:color w:val="auto"/>
                <w:szCs w:val="21"/>
                <w:lang w:eastAsia="zh-CN"/>
              </w:rPr>
              <w:t>评标方法</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E2020F">
            <w:pPr>
              <w:spacing w:line="240" w:lineRule="exact"/>
              <w:rPr>
                <w:color w:val="auto"/>
                <w:szCs w:val="21"/>
              </w:rPr>
            </w:pPr>
            <w:r>
              <w:rPr>
                <w:rFonts w:hint="eastAsia"/>
                <w:color w:val="auto"/>
                <w:szCs w:val="21"/>
              </w:rPr>
              <w:t>综合评分法</w:t>
            </w:r>
          </w:p>
        </w:tc>
      </w:tr>
      <w:tr w14:paraId="1C1C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66B64B">
            <w:pPr>
              <w:snapToGrid w:val="0"/>
              <w:spacing w:line="240" w:lineRule="exact"/>
              <w:jc w:val="center"/>
              <w:rPr>
                <w:b/>
                <w:color w:val="auto"/>
              </w:rPr>
            </w:pPr>
            <w:r>
              <w:rPr>
                <w:b/>
                <w:color w:val="auto"/>
              </w:rPr>
              <w:t>8</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483BEF">
            <w:pPr>
              <w:spacing w:line="240" w:lineRule="exact"/>
              <w:jc w:val="center"/>
              <w:rPr>
                <w:b/>
                <w:color w:val="auto"/>
                <w:szCs w:val="21"/>
              </w:rPr>
            </w:pPr>
            <w:r>
              <w:rPr>
                <w:rFonts w:hint="eastAsia"/>
                <w:b/>
                <w:color w:val="auto"/>
                <w:szCs w:val="21"/>
              </w:rPr>
              <w:t>签订合同</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733EFF">
            <w:pPr>
              <w:spacing w:line="240" w:lineRule="exact"/>
              <w:rPr>
                <w:color w:val="auto"/>
                <w:szCs w:val="21"/>
              </w:rPr>
            </w:pPr>
            <w:r>
              <w:rPr>
                <w:rFonts w:hint="eastAsia"/>
                <w:color w:val="auto"/>
                <w:szCs w:val="21"/>
              </w:rPr>
              <w:t>中标通知书发出后</w:t>
            </w:r>
            <w:r>
              <w:rPr>
                <w:color w:val="auto"/>
                <w:szCs w:val="21"/>
                <w:u w:val="single"/>
              </w:rPr>
              <w:t>30</w:t>
            </w:r>
            <w:r>
              <w:rPr>
                <w:rFonts w:hint="eastAsia"/>
                <w:color w:val="auto"/>
                <w:szCs w:val="21"/>
              </w:rPr>
              <w:t>天内。</w:t>
            </w:r>
          </w:p>
        </w:tc>
      </w:tr>
      <w:tr w14:paraId="422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67D484">
            <w:pPr>
              <w:snapToGrid w:val="0"/>
              <w:spacing w:line="240" w:lineRule="exact"/>
              <w:jc w:val="center"/>
              <w:rPr>
                <w:b/>
                <w:color w:val="auto"/>
              </w:rPr>
            </w:pPr>
            <w:r>
              <w:rPr>
                <w:b/>
                <w:color w:val="auto"/>
              </w:rPr>
              <w:t>9</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84C485">
            <w:pPr>
              <w:spacing w:line="240" w:lineRule="exact"/>
              <w:jc w:val="center"/>
              <w:rPr>
                <w:rFonts w:hint="eastAsia" w:ascii="宋体" w:hAnsi="宋体"/>
                <w:bCs/>
                <w:color w:val="auto"/>
                <w:szCs w:val="21"/>
              </w:rPr>
            </w:pPr>
            <w:r>
              <w:rPr>
                <w:rFonts w:hint="eastAsia"/>
                <w:b/>
                <w:color w:val="auto"/>
                <w:szCs w:val="21"/>
              </w:rPr>
              <w:t>资金结算</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A42748">
            <w:pPr>
              <w:snapToGrid w:val="0"/>
              <w:rPr>
                <w:rFonts w:hint="eastAsia" w:ascii="宋体" w:hAnsi="宋体"/>
                <w:color w:val="auto"/>
                <w:szCs w:val="21"/>
              </w:rPr>
            </w:pPr>
            <w:r>
              <w:rPr>
                <w:rFonts w:hint="eastAsia" w:ascii="宋体" w:hAnsi="宋体"/>
                <w:color w:val="auto"/>
                <w:szCs w:val="21"/>
              </w:rPr>
              <w:t>合同生效以及具备实施条件</w:t>
            </w:r>
            <w:r>
              <w:rPr>
                <w:rFonts w:hint="eastAsia" w:ascii="宋体" w:hAnsi="宋体"/>
                <w:color w:val="auto"/>
                <w:szCs w:val="21"/>
                <w:lang w:eastAsia="zh-CN"/>
              </w:rPr>
              <w:t>，</w:t>
            </w:r>
            <w:r>
              <w:rPr>
                <w:rFonts w:hint="eastAsia" w:ascii="宋体" w:hAnsi="宋体"/>
                <w:color w:val="auto"/>
                <w:szCs w:val="21"/>
              </w:rPr>
              <w:t>自收到发票后7个工作日内，支付合同金额的</w:t>
            </w:r>
            <w:r>
              <w:rPr>
                <w:rFonts w:hint="eastAsia" w:ascii="宋体" w:hAnsi="宋体"/>
                <w:color w:val="auto"/>
                <w:szCs w:val="21"/>
                <w:lang w:val="en-US" w:eastAsia="zh-CN"/>
              </w:rPr>
              <w:t>4</w:t>
            </w:r>
            <w:r>
              <w:rPr>
                <w:rFonts w:hint="eastAsia" w:ascii="宋体" w:hAnsi="宋体"/>
                <w:color w:val="auto"/>
                <w:szCs w:val="21"/>
              </w:rPr>
              <w:t>0%</w:t>
            </w:r>
            <w:r>
              <w:rPr>
                <w:rFonts w:hint="eastAsia" w:ascii="宋体" w:hAnsi="宋体"/>
                <w:color w:val="auto"/>
                <w:szCs w:val="21"/>
                <w:lang w:val="en-US" w:eastAsia="zh-CN"/>
              </w:rPr>
              <w:t>作</w:t>
            </w:r>
            <w:r>
              <w:rPr>
                <w:rFonts w:hint="eastAsia" w:ascii="宋体" w:hAnsi="宋体"/>
                <w:color w:val="auto"/>
                <w:szCs w:val="21"/>
              </w:rPr>
              <w:t>为预付款，项目完成并通过验收合格后，自收到发票后7个工作日内，支付剩余款项。</w:t>
            </w:r>
          </w:p>
        </w:tc>
      </w:tr>
      <w:tr w14:paraId="3749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67235A">
            <w:pPr>
              <w:snapToGrid w:val="0"/>
              <w:spacing w:line="240" w:lineRule="exact"/>
              <w:jc w:val="center"/>
              <w:rPr>
                <w:b/>
              </w:rPr>
            </w:pPr>
            <w:r>
              <w:rPr>
                <w:b/>
              </w:rPr>
              <w:t>10</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9DF71D">
            <w:pPr>
              <w:spacing w:line="240" w:lineRule="exact"/>
              <w:jc w:val="center"/>
              <w:rPr>
                <w:b/>
                <w:szCs w:val="21"/>
              </w:rPr>
            </w:pPr>
            <w:r>
              <w:rPr>
                <w:rFonts w:hint="eastAsia"/>
                <w:b/>
                <w:szCs w:val="21"/>
              </w:rPr>
              <w:t>投标报价</w:t>
            </w:r>
          </w:p>
          <w:p w14:paraId="6D7603C9">
            <w:pPr>
              <w:spacing w:line="240" w:lineRule="exact"/>
              <w:jc w:val="center"/>
              <w:rPr>
                <w:b/>
                <w:szCs w:val="21"/>
              </w:rPr>
            </w:pPr>
            <w:r>
              <w:rPr>
                <w:rFonts w:hint="eastAsia"/>
                <w:b/>
                <w:szCs w:val="21"/>
              </w:rPr>
              <w:t>与费用</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5BAA3F">
            <w:pPr>
              <w:rPr>
                <w:b w:val="0"/>
                <w:bCs w:val="0"/>
                <w:color w:val="auto"/>
                <w:szCs w:val="21"/>
              </w:rPr>
            </w:pPr>
            <w:r>
              <w:rPr>
                <w:szCs w:val="21"/>
              </w:rPr>
              <w:t>1.</w:t>
            </w:r>
            <w:r>
              <w:rPr>
                <w:rFonts w:hint="eastAsia"/>
                <w:szCs w:val="21"/>
              </w:rPr>
              <w:t>本项目的</w:t>
            </w:r>
            <w:r>
              <w:rPr>
                <w:rFonts w:hint="eastAsia"/>
                <w:b w:val="0"/>
                <w:bCs w:val="0"/>
                <w:color w:val="auto"/>
                <w:szCs w:val="21"/>
              </w:rPr>
              <w:t>投标应以人民币报价，投标报价应包括所有费用。</w:t>
            </w:r>
          </w:p>
          <w:p w14:paraId="546088D4">
            <w:pPr>
              <w:rPr>
                <w:b w:val="0"/>
                <w:bCs w:val="0"/>
                <w:color w:val="auto"/>
                <w:szCs w:val="21"/>
              </w:rPr>
            </w:pPr>
            <w:r>
              <w:rPr>
                <w:b w:val="0"/>
                <w:bCs w:val="0"/>
                <w:color w:val="auto"/>
                <w:szCs w:val="21"/>
              </w:rPr>
              <w:t>2.</w:t>
            </w:r>
            <w:r>
              <w:rPr>
                <w:rFonts w:hint="eastAsia"/>
                <w:b w:val="0"/>
                <w:bCs w:val="0"/>
                <w:color w:val="auto"/>
                <w:szCs w:val="21"/>
              </w:rPr>
              <w:t xml:space="preserve">投标人应承担其参加本招标活动自身所发生的费用。 </w:t>
            </w:r>
          </w:p>
          <w:p w14:paraId="145BCF03">
            <w:pPr>
              <w:spacing w:line="240" w:lineRule="exact"/>
              <w:rPr>
                <w:b w:val="0"/>
                <w:bCs w:val="0"/>
                <w:color w:val="auto"/>
                <w:szCs w:val="21"/>
              </w:rPr>
            </w:pPr>
            <w:r>
              <w:rPr>
                <w:b w:val="0"/>
                <w:bCs w:val="0"/>
                <w:color w:val="auto"/>
                <w:szCs w:val="21"/>
              </w:rPr>
              <w:t>3.</w:t>
            </w:r>
            <w:r>
              <w:rPr>
                <w:rFonts w:hint="eastAsia"/>
                <w:b w:val="0"/>
                <w:bCs w:val="0"/>
                <w:color w:val="auto"/>
                <w:szCs w:val="21"/>
              </w:rPr>
              <w:t>中标人须缴纳招标代理费，收费金额为：人民币</w:t>
            </w:r>
            <w:r>
              <w:rPr>
                <w:rFonts w:hint="eastAsia"/>
                <w:b w:val="0"/>
                <w:bCs w:val="0"/>
                <w:color w:val="auto"/>
                <w:szCs w:val="21"/>
                <w:lang w:val="en-US" w:eastAsia="zh-CN"/>
              </w:rPr>
              <w:t>壹万叁仟</w:t>
            </w:r>
            <w:r>
              <w:rPr>
                <w:rFonts w:hint="eastAsia"/>
                <w:b w:val="0"/>
                <w:bCs w:val="0"/>
                <w:color w:val="auto"/>
                <w:szCs w:val="21"/>
              </w:rPr>
              <w:t>元整（</w:t>
            </w:r>
            <w:r>
              <w:rPr>
                <w:rFonts w:hint="eastAsia"/>
                <w:b w:val="0"/>
                <w:bCs w:val="0"/>
                <w:color w:val="auto"/>
                <w:szCs w:val="21"/>
                <w:lang w:val="en-US" w:eastAsia="zh-CN"/>
              </w:rPr>
              <w:t>13</w:t>
            </w:r>
            <w:r>
              <w:rPr>
                <w:rFonts w:hint="eastAsia"/>
                <w:b w:val="0"/>
                <w:bCs w:val="0"/>
                <w:color w:val="auto"/>
                <w:szCs w:val="21"/>
              </w:rPr>
              <w:t>,</w:t>
            </w:r>
            <w:r>
              <w:rPr>
                <w:rFonts w:hint="eastAsia"/>
                <w:b w:val="0"/>
                <w:bCs w:val="0"/>
                <w:color w:val="auto"/>
                <w:szCs w:val="21"/>
                <w:lang w:val="en-US" w:eastAsia="zh-CN"/>
              </w:rPr>
              <w:t>0</w:t>
            </w:r>
            <w:r>
              <w:rPr>
                <w:rFonts w:hint="eastAsia"/>
                <w:b w:val="0"/>
                <w:bCs w:val="0"/>
                <w:color w:val="auto"/>
                <w:szCs w:val="21"/>
              </w:rPr>
              <w:t>00.00元）</w:t>
            </w:r>
          </w:p>
          <w:p w14:paraId="382EB5FB">
            <w:pPr>
              <w:rPr>
                <w:szCs w:val="21"/>
              </w:rPr>
            </w:pPr>
            <w:r>
              <w:rPr>
                <w:b w:val="0"/>
                <w:bCs w:val="0"/>
                <w:color w:val="auto"/>
              </w:rPr>
              <w:t>4.</w:t>
            </w:r>
            <w:r>
              <w:rPr>
                <w:rFonts w:hint="eastAsia"/>
                <w:b w:val="0"/>
                <w:bCs w:val="0"/>
                <w:color w:val="auto"/>
              </w:rPr>
              <w:t>中标通知书发出的同时，中标人应及时支付招标代理费，收到服务费后提供全额发票。中</w:t>
            </w:r>
            <w:r>
              <w:rPr>
                <w:rFonts w:hint="eastAsia"/>
              </w:rPr>
              <w:t>标结果确认后，因中标单位自身原因退出中标，招标代理费不予退回。</w:t>
            </w:r>
          </w:p>
        </w:tc>
      </w:tr>
      <w:tr w14:paraId="6A50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CA2109">
            <w:pPr>
              <w:snapToGrid w:val="0"/>
              <w:spacing w:line="240" w:lineRule="exact"/>
              <w:jc w:val="center"/>
              <w:rPr>
                <w:b/>
              </w:rPr>
            </w:pPr>
            <w:r>
              <w:rPr>
                <w:b/>
              </w:rPr>
              <w:t>11</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697A57">
            <w:pPr>
              <w:spacing w:line="240" w:lineRule="exact"/>
              <w:jc w:val="center"/>
              <w:rPr>
                <w:b/>
                <w:szCs w:val="21"/>
              </w:rPr>
            </w:pPr>
            <w:r>
              <w:rPr>
                <w:rFonts w:hint="eastAsia"/>
                <w:b/>
                <w:szCs w:val="21"/>
              </w:rPr>
              <w:t>银行账号</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9491D4">
            <w:pPr>
              <w:rPr>
                <w:szCs w:val="21"/>
              </w:rPr>
            </w:pPr>
            <w:r>
              <w:rPr>
                <w:rFonts w:hint="eastAsia"/>
                <w:szCs w:val="21"/>
              </w:rPr>
              <w:t>收款单位：深圳市国信招标有限公司舟山分公司</w:t>
            </w:r>
          </w:p>
          <w:p w14:paraId="0C9DD8F5">
            <w:pPr>
              <w:rPr>
                <w:szCs w:val="21"/>
              </w:rPr>
            </w:pPr>
            <w:r>
              <w:rPr>
                <w:rFonts w:hint="eastAsia"/>
                <w:szCs w:val="21"/>
              </w:rPr>
              <w:t>开户银行：中国工商银行舟山市定海区支行</w:t>
            </w:r>
          </w:p>
          <w:p w14:paraId="316F4720">
            <w:pPr>
              <w:rPr>
                <w:szCs w:val="21"/>
              </w:rPr>
            </w:pPr>
            <w:r>
              <w:rPr>
                <w:rFonts w:hint="eastAsia"/>
                <w:szCs w:val="21"/>
              </w:rPr>
              <w:t>银行账号：</w:t>
            </w:r>
            <w:r>
              <w:rPr>
                <w:szCs w:val="21"/>
              </w:rPr>
              <w:t>1206020209200081758</w:t>
            </w:r>
          </w:p>
        </w:tc>
      </w:tr>
      <w:tr w14:paraId="764E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73B350">
            <w:pPr>
              <w:snapToGrid w:val="0"/>
              <w:spacing w:line="240" w:lineRule="exact"/>
              <w:jc w:val="center"/>
              <w:rPr>
                <w:b/>
              </w:rPr>
            </w:pPr>
            <w:r>
              <w:rPr>
                <w:b/>
              </w:rPr>
              <w:t>12</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EC56E4">
            <w:pPr>
              <w:spacing w:line="240" w:lineRule="exact"/>
              <w:jc w:val="center"/>
              <w:rPr>
                <w:b/>
                <w:szCs w:val="21"/>
              </w:rPr>
            </w:pPr>
            <w:r>
              <w:rPr>
                <w:rFonts w:hint="eastAsia" w:ascii="宋体" w:hAnsi="宋体" w:cs="宋体"/>
                <w:b/>
                <w:szCs w:val="21"/>
              </w:rPr>
              <w:t>建设成果</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0111DF">
            <w:pPr>
              <w:rPr>
                <w:szCs w:val="21"/>
              </w:rPr>
            </w:pPr>
            <w:r>
              <w:rPr>
                <w:rFonts w:hint="eastAsia" w:ascii="宋体" w:hAnsi="宋体"/>
              </w:rPr>
              <w:t>合同约定，经验收合格。</w:t>
            </w:r>
          </w:p>
        </w:tc>
      </w:tr>
      <w:tr w14:paraId="6862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22180B">
            <w:pPr>
              <w:snapToGrid w:val="0"/>
              <w:spacing w:line="240" w:lineRule="exact"/>
              <w:jc w:val="center"/>
              <w:rPr>
                <w:b/>
              </w:rPr>
            </w:pPr>
            <w:r>
              <w:rPr>
                <w:rFonts w:hint="eastAsia"/>
                <w:b/>
              </w:rPr>
              <w:t>13</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F497BC">
            <w:pPr>
              <w:spacing w:line="240" w:lineRule="exact"/>
              <w:jc w:val="center"/>
              <w:rPr>
                <w:b/>
                <w:szCs w:val="21"/>
              </w:rPr>
            </w:pPr>
            <w:r>
              <w:rPr>
                <w:rFonts w:hint="eastAsia"/>
                <w:b/>
                <w:szCs w:val="21"/>
              </w:rPr>
              <w:t>履约保证金</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E0FC03">
            <w:pPr>
              <w:rPr>
                <w:rFonts w:hint="eastAsia" w:ascii="宋体" w:hAnsi="宋体"/>
              </w:rPr>
            </w:pPr>
            <w:r>
              <w:rPr>
                <w:rFonts w:hint="eastAsia" w:ascii="宋体" w:hAnsi="宋体"/>
              </w:rPr>
              <w:t>无</w:t>
            </w:r>
          </w:p>
        </w:tc>
      </w:tr>
      <w:tr w14:paraId="2684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1C8150">
            <w:pPr>
              <w:snapToGrid w:val="0"/>
              <w:spacing w:line="240" w:lineRule="exact"/>
              <w:jc w:val="center"/>
              <w:rPr>
                <w:b/>
              </w:rPr>
            </w:pPr>
            <w:r>
              <w:rPr>
                <w:b/>
              </w:rPr>
              <w:t>14</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700189">
            <w:pPr>
              <w:snapToGrid w:val="0"/>
              <w:jc w:val="center"/>
              <w:rPr>
                <w:b/>
              </w:rPr>
            </w:pPr>
            <w:r>
              <w:rPr>
                <w:rFonts w:hint="eastAsia"/>
                <w:b/>
              </w:rPr>
              <w:t>投标文件的</w:t>
            </w:r>
          </w:p>
          <w:p w14:paraId="3F1A7F4E">
            <w:pPr>
              <w:snapToGrid w:val="0"/>
              <w:jc w:val="center"/>
              <w:rPr>
                <w:b/>
              </w:rPr>
            </w:pPr>
            <w:r>
              <w:rPr>
                <w:rFonts w:hint="eastAsia"/>
                <w:b/>
              </w:rPr>
              <w:t>组成</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3B5F44">
            <w:pPr>
              <w:snapToGrid w:val="0"/>
              <w:rPr>
                <w:szCs w:val="21"/>
              </w:rPr>
            </w:pPr>
            <w:r>
              <w:rPr>
                <w:rFonts w:hint="eastAsia"/>
                <w:szCs w:val="21"/>
              </w:rPr>
              <w:t>投标文件由资格响应文件、商务及技术响应文件、报价文件组成。</w:t>
            </w:r>
          </w:p>
        </w:tc>
      </w:tr>
      <w:tr w14:paraId="731A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1F0075">
            <w:pPr>
              <w:snapToGrid w:val="0"/>
              <w:spacing w:line="240" w:lineRule="exact"/>
              <w:jc w:val="center"/>
              <w:rPr>
                <w:b/>
              </w:rPr>
            </w:pPr>
            <w:r>
              <w:rPr>
                <w:b/>
              </w:rPr>
              <w:t>15</w:t>
            </w:r>
          </w:p>
        </w:tc>
        <w:tc>
          <w:tcPr>
            <w:tcW w:w="1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744A153F">
            <w:pPr>
              <w:snapToGrid w:val="0"/>
              <w:spacing w:line="240" w:lineRule="exact"/>
              <w:jc w:val="center"/>
              <w:rPr>
                <w:b/>
              </w:rPr>
            </w:pPr>
            <w:r>
              <w:rPr>
                <w:rFonts w:hint="eastAsia"/>
                <w:b/>
              </w:rPr>
              <w:t>投标文件的</w:t>
            </w:r>
          </w:p>
          <w:p w14:paraId="227946F4">
            <w:pPr>
              <w:spacing w:line="360" w:lineRule="auto"/>
              <w:ind w:firstLine="517" w:firstLineChars="245"/>
              <w:rPr>
                <w:b/>
                <w:szCs w:val="21"/>
                <w:shd w:val="pct10" w:color="auto" w:fill="FFFFFF"/>
              </w:rPr>
            </w:pPr>
            <w:r>
              <w:rPr>
                <w:rFonts w:hint="eastAsia"/>
                <w:b/>
              </w:rPr>
              <w:t>制作</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FD84A3">
            <w:pPr>
              <w:rPr>
                <w:szCs w:val="21"/>
              </w:rPr>
            </w:pPr>
            <w:r>
              <w:rPr>
                <w:rFonts w:hint="eastAsia"/>
                <w:szCs w:val="21"/>
              </w:rPr>
              <w:t>本项目实行电子投标。</w:t>
            </w:r>
          </w:p>
          <w:p w14:paraId="0432E46E">
            <w:pPr>
              <w:rPr>
                <w:szCs w:val="21"/>
              </w:rPr>
            </w:pPr>
            <w:r>
              <w:rPr>
                <w:rFonts w:hint="eastAsia"/>
                <w:szCs w:val="21"/>
              </w:rPr>
              <w:t>投标人应准备电子投标文件、以介质存储的数据电文形式的备份投标文件：</w:t>
            </w:r>
          </w:p>
          <w:p w14:paraId="5006A61F">
            <w:pPr>
              <w:rPr>
                <w:szCs w:val="21"/>
              </w:rPr>
            </w:pPr>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p>
          <w:p w14:paraId="5988A0EF">
            <w:pPr>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6FC4C649">
            <w:pPr>
              <w:rPr>
                <w:szCs w:val="21"/>
              </w:rPr>
            </w:pPr>
            <w:r>
              <w:rPr>
                <w:rFonts w:hint="eastAsia"/>
                <w:szCs w:val="21"/>
              </w:rPr>
              <w:t>投标文件均由资格响应文件、商务及技术响应文件、报价文件组成。</w:t>
            </w:r>
          </w:p>
          <w:p w14:paraId="38DF4C35">
            <w:pPr>
              <w:rPr>
                <w:sz w:val="22"/>
              </w:rPr>
            </w:pPr>
            <w:r>
              <w:rPr>
                <w:rFonts w:hint="eastAsia"/>
                <w:b/>
                <w:szCs w:val="21"/>
              </w:rPr>
              <w:t>投标人可以不提供备份投标文件，造成项目开评标活动无法进行下去的，投标无效，相关风险由投标人自行承担</w:t>
            </w:r>
          </w:p>
        </w:tc>
      </w:tr>
      <w:tr w14:paraId="6E2D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C97499">
            <w:pPr>
              <w:snapToGrid w:val="0"/>
              <w:spacing w:line="240" w:lineRule="exact"/>
              <w:jc w:val="center"/>
              <w:rPr>
                <w:b/>
              </w:rPr>
            </w:pPr>
            <w:r>
              <w:rPr>
                <w:b/>
              </w:rPr>
              <w:t>16</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2E9491">
            <w:pPr>
              <w:snapToGrid w:val="0"/>
              <w:spacing w:line="240" w:lineRule="exact"/>
              <w:jc w:val="center"/>
              <w:rPr>
                <w:b/>
              </w:rPr>
            </w:pPr>
            <w:r>
              <w:rPr>
                <w:rFonts w:hint="eastAsia"/>
                <w:b/>
              </w:rPr>
              <w:t>投标文件的</w:t>
            </w:r>
          </w:p>
          <w:p w14:paraId="15E7F7EA">
            <w:pPr>
              <w:spacing w:line="300" w:lineRule="auto"/>
              <w:jc w:val="center"/>
              <w:rPr>
                <w:b/>
                <w:sz w:val="22"/>
                <w:shd w:val="pct10" w:color="auto" w:fill="FFFFFF"/>
              </w:rPr>
            </w:pPr>
            <w:r>
              <w:rPr>
                <w:rFonts w:hint="eastAsia"/>
                <w:b/>
              </w:rPr>
              <w:t>组成</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115721">
            <w:pPr>
              <w:rPr>
                <w:sz w:val="22"/>
              </w:rPr>
            </w:pPr>
            <w:r>
              <w:rPr>
                <w:rFonts w:hint="eastAsia"/>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A1A7559">
            <w:pPr>
              <w:rPr>
                <w:sz w:val="22"/>
              </w:rPr>
            </w:pPr>
            <w:r>
              <w:rPr>
                <w:rFonts w:hint="eastAsia"/>
                <w:sz w:val="22"/>
              </w:rPr>
              <w:t>投标人应当在规定时间前将以介质存储的数据电文形式的备份投标文件寄到或送达采购代理公司：舟山市定海区昌国路</w:t>
            </w:r>
            <w:r>
              <w:rPr>
                <w:sz w:val="22"/>
              </w:rPr>
              <w:t>232</w:t>
            </w:r>
            <w:r>
              <w:rPr>
                <w:rFonts w:hint="eastAsia"/>
                <w:sz w:val="22"/>
              </w:rPr>
              <w:t>号中楼</w:t>
            </w:r>
            <w:r>
              <w:rPr>
                <w:sz w:val="22"/>
              </w:rPr>
              <w:t>202</w:t>
            </w:r>
            <w:r>
              <w:rPr>
                <w:rFonts w:hint="eastAsia"/>
                <w:sz w:val="22"/>
              </w:rPr>
              <w:t>。逾期送达或未密封将被拒收。也可现场递交。</w:t>
            </w:r>
          </w:p>
          <w:p w14:paraId="10524BB6">
            <w:pPr>
              <w:rPr>
                <w:sz w:val="22"/>
              </w:rPr>
            </w:pPr>
            <w:r>
              <w:rPr>
                <w:rFonts w:hint="eastAsia"/>
                <w:sz w:val="22"/>
              </w:rPr>
              <w:t>投标人递交以介质存储的数据电文形式的备份投标文件时，如出现下列情况之一的，将被拒收：</w:t>
            </w:r>
          </w:p>
          <w:p w14:paraId="2C6BF172">
            <w:pPr>
              <w:rPr>
                <w:sz w:val="22"/>
              </w:rPr>
            </w:pPr>
            <w:r>
              <w:rPr>
                <w:sz w:val="22"/>
              </w:rPr>
              <w:t>1.</w:t>
            </w:r>
            <w:r>
              <w:rPr>
                <w:rFonts w:hint="eastAsia"/>
                <w:sz w:val="22"/>
              </w:rPr>
              <w:t>未按规定密封或标记的投标文件；</w:t>
            </w:r>
          </w:p>
          <w:p w14:paraId="12F00140">
            <w:pPr>
              <w:rPr>
                <w:sz w:val="22"/>
              </w:rPr>
            </w:pPr>
            <w:r>
              <w:rPr>
                <w:sz w:val="22"/>
              </w:rPr>
              <w:t>2.</w:t>
            </w:r>
            <w:r>
              <w:rPr>
                <w:rFonts w:hint="eastAsia"/>
                <w:sz w:val="22"/>
              </w:rPr>
              <w:t>由于包装不妥，在送交途中严重破损或失散的；</w:t>
            </w:r>
          </w:p>
          <w:p w14:paraId="10EC3F63">
            <w:pPr>
              <w:rPr>
                <w:sz w:val="22"/>
              </w:rPr>
            </w:pPr>
            <w:r>
              <w:rPr>
                <w:sz w:val="22"/>
              </w:rPr>
              <w:t>3.</w:t>
            </w:r>
            <w:r>
              <w:rPr>
                <w:rFonts w:hint="eastAsia"/>
                <w:sz w:val="22"/>
              </w:rPr>
              <w:t>未成功办理投标人报名手续的；</w:t>
            </w:r>
          </w:p>
          <w:p w14:paraId="1D02FD0A">
            <w:pPr>
              <w:rPr>
                <w:sz w:val="22"/>
              </w:rPr>
            </w:pPr>
            <w:r>
              <w:rPr>
                <w:sz w:val="22"/>
              </w:rPr>
              <w:t>4.</w:t>
            </w:r>
            <w:r>
              <w:rPr>
                <w:rFonts w:hint="eastAsia"/>
                <w:sz w:val="22"/>
              </w:rPr>
              <w:t>超过截止时间送达的；</w:t>
            </w:r>
          </w:p>
          <w:p w14:paraId="4A8E6C57">
            <w:pPr>
              <w:rPr>
                <w:sz w:val="22"/>
              </w:rPr>
            </w:pPr>
            <w:r>
              <w:rPr>
                <w:rFonts w:hint="eastAsia"/>
                <w:sz w:val="22"/>
              </w:rPr>
              <w:t>仅提供备份投标文件的，投标无效。</w:t>
            </w:r>
          </w:p>
        </w:tc>
      </w:tr>
      <w:tr w14:paraId="7DE3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10AA28">
            <w:pPr>
              <w:snapToGrid w:val="0"/>
              <w:jc w:val="center"/>
              <w:rPr>
                <w:b/>
              </w:rPr>
            </w:pPr>
            <w:r>
              <w:rPr>
                <w:b/>
              </w:rPr>
              <w:t>17</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562D23">
            <w:pPr>
              <w:jc w:val="center"/>
              <w:rPr>
                <w:b/>
                <w:szCs w:val="21"/>
              </w:rPr>
            </w:pPr>
            <w:r>
              <w:rPr>
                <w:rFonts w:hint="eastAsia"/>
                <w:b/>
                <w:szCs w:val="21"/>
              </w:rPr>
              <w:t>投标人注册</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524EC5">
            <w:pPr>
              <w:spacing w:before="24" w:beforeLines="10"/>
              <w:jc w:val="left"/>
              <w:rPr>
                <w:bCs/>
                <w:kern w:val="0"/>
              </w:rPr>
            </w:pPr>
            <w:r>
              <w:rPr>
                <w:rFonts w:hint="eastAsia"/>
                <w:bCs/>
                <w:kern w:val="0"/>
              </w:rPr>
              <w:t>各投标人须在投标截止时间前根据浙江省财政厅《关于开展政府采购投标人网上注册登记和诚信管理工作的通知》（浙财采监【</w:t>
            </w:r>
            <w:r>
              <w:rPr>
                <w:bCs/>
                <w:kern w:val="0"/>
              </w:rPr>
              <w:t>2010</w:t>
            </w:r>
            <w:r>
              <w:rPr>
                <w:rFonts w:hint="eastAsia"/>
                <w:bCs/>
                <w:kern w:val="0"/>
              </w:rPr>
              <w:t>】</w:t>
            </w:r>
            <w:r>
              <w:rPr>
                <w:bCs/>
                <w:kern w:val="0"/>
              </w:rPr>
              <w:t>8</w:t>
            </w:r>
            <w:r>
              <w:rPr>
                <w:rFonts w:hint="eastAsia"/>
                <w:bCs/>
                <w:kern w:val="0"/>
              </w:rPr>
              <w:t>号文）的要求，通过浙江政府采购网申请注册加入政府采购投标人库。以免影响享受相关政策优惠及成交后的款项支付。</w:t>
            </w:r>
          </w:p>
          <w:p w14:paraId="70CB4A40">
            <w:pPr>
              <w:spacing w:before="24" w:beforeLines="10"/>
              <w:jc w:val="left"/>
              <w:rPr>
                <w:szCs w:val="21"/>
              </w:rPr>
            </w:pPr>
            <w:r>
              <w:rPr>
                <w:rFonts w:hint="eastAsia"/>
                <w:bCs/>
                <w:kern w:val="0"/>
              </w:rPr>
              <w:t>投标人在申请注册前，请认真阅读，学习《中华人民共和国政府采购法》和《浙江省政府采购投标人注册及诚信管理暂行办法》等相关法规规定。</w:t>
            </w:r>
          </w:p>
        </w:tc>
      </w:tr>
      <w:tr w14:paraId="72AC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BD59DF">
            <w:pPr>
              <w:snapToGrid w:val="0"/>
              <w:spacing w:line="240" w:lineRule="exact"/>
              <w:jc w:val="center"/>
              <w:rPr>
                <w:b/>
              </w:rPr>
            </w:pPr>
            <w:r>
              <w:rPr>
                <w:b/>
              </w:rPr>
              <w:t>18</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3A1700">
            <w:pPr>
              <w:jc w:val="center"/>
              <w:rPr>
                <w:b/>
                <w:szCs w:val="21"/>
              </w:rPr>
            </w:pPr>
            <w:r>
              <w:rPr>
                <w:rFonts w:hint="eastAsia"/>
                <w:b/>
                <w:szCs w:val="21"/>
              </w:rPr>
              <w:t>不良信用记录查询</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D03BEF">
            <w:pPr>
              <w:rPr>
                <w:szCs w:val="21"/>
              </w:rPr>
            </w:pPr>
            <w:r>
              <w:rPr>
                <w:rFonts w:hint="eastAsia"/>
                <w:szCs w:val="21"/>
              </w:rPr>
              <w:t>根据财库</w:t>
            </w:r>
            <w:r>
              <w:rPr>
                <w:szCs w:val="21"/>
              </w:rPr>
              <w:t>[2016]125</w:t>
            </w:r>
            <w:r>
              <w:rPr>
                <w:rFonts w:hint="eastAsia"/>
                <w:szCs w:val="21"/>
              </w:rPr>
              <w:t>号文件：</w:t>
            </w:r>
          </w:p>
          <w:p w14:paraId="2EAD45F9">
            <w:pPr>
              <w:rPr>
                <w:szCs w:val="21"/>
              </w:rPr>
            </w:pPr>
            <w:r>
              <w:rPr>
                <w:szCs w:val="21"/>
              </w:rPr>
              <w:t>1.</w:t>
            </w:r>
            <w:r>
              <w:rPr>
                <w:rFonts w:hint="eastAsia"/>
                <w:szCs w:val="21"/>
              </w:rPr>
              <w:t>至本项目投标截止前未被列入</w:t>
            </w:r>
            <w:r>
              <w:rPr>
                <w:szCs w:val="21"/>
              </w:rPr>
              <w:t>“</w:t>
            </w:r>
            <w:r>
              <w:rPr>
                <w:rFonts w:hint="eastAsia"/>
                <w:szCs w:val="21"/>
              </w:rPr>
              <w:t>信用中国</w:t>
            </w:r>
            <w:r>
              <w:rPr>
                <w:szCs w:val="21"/>
              </w:rPr>
              <w:t>”</w:t>
            </w:r>
            <w:r>
              <w:rPr>
                <w:rFonts w:hint="eastAsia"/>
                <w:szCs w:val="21"/>
              </w:rPr>
              <w:t>网站</w:t>
            </w:r>
            <w:r>
              <w:rPr>
                <w:szCs w:val="21"/>
              </w:rPr>
              <w:t>(www.creditchina.gov.cn)“</w:t>
            </w:r>
            <w:r>
              <w:rPr>
                <w:rFonts w:hint="eastAsia"/>
                <w:szCs w:val="21"/>
              </w:rPr>
              <w:t>记录失信被执行人或重大税收违法案件当事人名单</w:t>
            </w:r>
            <w:r>
              <w:rPr>
                <w:szCs w:val="21"/>
              </w:rPr>
              <w:t>”</w:t>
            </w:r>
            <w:r>
              <w:rPr>
                <w:rFonts w:hint="eastAsia"/>
                <w:szCs w:val="21"/>
              </w:rPr>
              <w:t>记录名单。</w:t>
            </w:r>
          </w:p>
          <w:p w14:paraId="34133092">
            <w:pPr>
              <w:rPr>
                <w:szCs w:val="21"/>
              </w:rPr>
            </w:pPr>
            <w:r>
              <w:rPr>
                <w:szCs w:val="21"/>
              </w:rPr>
              <w:t>2.</w:t>
            </w:r>
            <w:r>
              <w:rPr>
                <w:rFonts w:hint="eastAsia"/>
                <w:szCs w:val="21"/>
              </w:rPr>
              <w:t>至本项目投标截止前不处于中国政府采购网</w:t>
            </w:r>
            <w:r>
              <w:rPr>
                <w:szCs w:val="21"/>
              </w:rPr>
              <w:t>(www.ccgp.gov.cn)“</w:t>
            </w:r>
            <w:r>
              <w:rPr>
                <w:rFonts w:hint="eastAsia"/>
                <w:szCs w:val="21"/>
              </w:rPr>
              <w:t>政府采购严重违法失信行为信息记录</w:t>
            </w:r>
            <w:r>
              <w:rPr>
                <w:szCs w:val="21"/>
              </w:rPr>
              <w:t>”</w:t>
            </w:r>
            <w:r>
              <w:rPr>
                <w:rFonts w:hint="eastAsia"/>
                <w:szCs w:val="21"/>
              </w:rPr>
              <w:t>中的禁止参加政府采购活动期间。</w:t>
            </w:r>
          </w:p>
          <w:p w14:paraId="7BB6F56C">
            <w:r>
              <w:rPr>
                <w:rFonts w:hint="eastAsia"/>
                <w:szCs w:val="21"/>
              </w:rPr>
              <w:t>提供</w:t>
            </w:r>
            <w:r>
              <w:rPr>
                <w:rFonts w:hint="eastAsia"/>
                <w:b/>
              </w:rPr>
              <w:t>查询截图，（截图查询网站时间须在开标截止前二个星期内）。</w:t>
            </w:r>
            <w:r>
              <w:rPr>
                <w:rFonts w:hint="eastAsia"/>
                <w:szCs w:val="21"/>
              </w:rPr>
              <w:t>对列入失信被执行人、重大税收违法案件当事人名单、政府采购严重违法失信行为记录名单的供应商，</w:t>
            </w:r>
            <w:r>
              <w:rPr>
                <w:rFonts w:hint="eastAsia"/>
                <w:b/>
                <w:szCs w:val="21"/>
              </w:rPr>
              <w:t>其投标将作无效标处理</w:t>
            </w:r>
            <w:r>
              <w:rPr>
                <w:rFonts w:hint="eastAsia"/>
                <w:szCs w:val="21"/>
              </w:rPr>
              <w:t>。</w:t>
            </w:r>
          </w:p>
        </w:tc>
      </w:tr>
      <w:tr w14:paraId="1C35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FA2815">
            <w:pPr>
              <w:snapToGrid w:val="0"/>
              <w:spacing w:line="240" w:lineRule="exact"/>
              <w:jc w:val="center"/>
              <w:rPr>
                <w:b/>
              </w:rPr>
            </w:pPr>
            <w:r>
              <w:rPr>
                <w:b/>
              </w:rPr>
              <w:t>19</w:t>
            </w:r>
          </w:p>
        </w:tc>
        <w:tc>
          <w:tcPr>
            <w:tcW w:w="111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278D07">
            <w:pPr>
              <w:jc w:val="center"/>
              <w:rPr>
                <w:b/>
                <w:szCs w:val="21"/>
              </w:rPr>
            </w:pPr>
            <w:r>
              <w:rPr>
                <w:rFonts w:hint="eastAsia"/>
                <w:b/>
                <w:szCs w:val="21"/>
              </w:rPr>
              <w:t>中小企业有关政策</w:t>
            </w:r>
          </w:p>
        </w:tc>
        <w:tc>
          <w:tcPr>
            <w:tcW w:w="8975"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24B63D">
            <w:pPr>
              <w:rPr>
                <w:rFonts w:hint="eastAsia" w:ascii="宋体" w:hAnsi="宋体"/>
                <w:b/>
                <w:bCs/>
              </w:rPr>
            </w:pPr>
            <w:r>
              <w:rPr>
                <w:rFonts w:hint="eastAsia" w:ascii="宋体" w:hAnsi="宋体"/>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b/>
                <w:bCs/>
              </w:rPr>
              <w:t>本项目不专门面向中小企业，本项目对应的中小企业划分标准所属行业：</w:t>
            </w:r>
            <w:r>
              <w:rPr>
                <w:rFonts w:hint="eastAsia" w:ascii="宋体" w:hAnsi="宋体"/>
                <w:b/>
                <w:bCs/>
                <w:lang w:eastAsia="zh-CN"/>
              </w:rPr>
              <w:t>其他未列明行业</w:t>
            </w:r>
            <w:r>
              <w:rPr>
                <w:rFonts w:hint="eastAsia" w:ascii="宋体" w:hAnsi="宋体"/>
                <w:b/>
                <w:bCs/>
              </w:rPr>
              <w:t>。</w:t>
            </w:r>
          </w:p>
          <w:p w14:paraId="053346B9">
            <w:pPr>
              <w:rPr>
                <w:rFonts w:hint="eastAsia" w:ascii="宋体" w:hAnsi="宋体"/>
              </w:rPr>
            </w:pPr>
            <w:r>
              <w:rPr>
                <w:rFonts w:hint="eastAsia" w:ascii="宋体" w:hAnsi="宋体"/>
              </w:rPr>
              <w:t>未提供完整证明材料的，投标报价不予扣减。</w:t>
            </w:r>
          </w:p>
          <w:p w14:paraId="3D4E69F9">
            <w:pPr>
              <w:rPr>
                <w:rFonts w:hint="eastAsia" w:ascii="宋体" w:hAnsi="宋体"/>
              </w:rPr>
            </w:pPr>
            <w:r>
              <w:rPr>
                <w:rFonts w:hint="eastAsia" w:ascii="宋体" w:hAnsi="宋体"/>
              </w:rPr>
              <w:t>（2）根据《关于政府采购支持监狱企业发展有关问题的通知》（财库[2014]68号）的规定，供应商如为监狱企业且所投产品为小型或微型企业生产的，其投标报价扣除10%后参与评审。</w:t>
            </w:r>
          </w:p>
          <w:p w14:paraId="2F0586C7">
            <w:pPr>
              <w:rPr>
                <w:rFonts w:hint="eastAsia" w:ascii="宋体" w:hAnsi="宋体"/>
              </w:rPr>
            </w:pPr>
            <w:r>
              <w:rPr>
                <w:rFonts w:hint="eastAsia" w:ascii="宋体" w:hAnsi="宋体"/>
              </w:rPr>
              <w:t>投标文件中须同时提供：供应商的省级以上监狱管理局、戒毒管理局（含新疆生产建设兵团）出具的属于监狱企业的证明文件，投标产品制造商的小微企业证明，未提供完整证明材料的，投标报价不予扣减。</w:t>
            </w:r>
          </w:p>
          <w:p w14:paraId="2662842F">
            <w:pPr>
              <w:rPr>
                <w:rFonts w:hint="eastAsia" w:ascii="宋体" w:hAnsi="宋体"/>
              </w:rPr>
            </w:pPr>
            <w:r>
              <w:rPr>
                <w:rFonts w:hint="eastAsia" w:ascii="宋体" w:hAnsi="宋体"/>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4528BDA3">
            <w:pPr>
              <w:rPr>
                <w:rFonts w:hint="eastAsia" w:ascii="宋体" w:hAnsi="宋体"/>
              </w:rPr>
            </w:pPr>
            <w:r>
              <w:rPr>
                <w:rFonts w:hint="eastAsia" w:ascii="宋体" w:hAnsi="宋体"/>
              </w:rPr>
              <w:t>投标文件中须提供：《残疾人福利性单位声明函》，未提供完整证明材料的，投标报价不予扣减。</w:t>
            </w:r>
          </w:p>
          <w:p w14:paraId="5736CBEA">
            <w:pPr>
              <w:rPr>
                <w:rFonts w:hint="eastAsia" w:ascii="宋体" w:hAnsi="宋体"/>
              </w:rPr>
            </w:pPr>
            <w:r>
              <w:rPr>
                <w:rFonts w:hint="eastAsia" w:ascii="宋体" w:hAnsi="宋体"/>
              </w:rPr>
              <w:t>上述1，2，3政策不重复计算。</w:t>
            </w:r>
          </w:p>
          <w:p w14:paraId="0018F3DB">
            <w:pPr>
              <w:snapToGrid w:val="0"/>
              <w:jc w:val="left"/>
              <w:rPr>
                <w:szCs w:val="21"/>
              </w:rPr>
            </w:pPr>
            <w:r>
              <w:rPr>
                <w:rFonts w:hint="eastAsia" w:ascii="宋体" w:hAnsi="宋体"/>
              </w:rPr>
              <w:t>此项由评标委员会集体核实后统一打分。</w:t>
            </w:r>
          </w:p>
        </w:tc>
      </w:tr>
    </w:tbl>
    <w:p w14:paraId="7D12DDC9">
      <w:pPr>
        <w:snapToGrid w:val="0"/>
        <w:spacing w:before="120" w:line="312" w:lineRule="auto"/>
        <w:jc w:val="center"/>
        <w:rPr>
          <w:rFonts w:hint="eastAsia"/>
          <w:b/>
          <w:sz w:val="28"/>
        </w:rPr>
      </w:pPr>
    </w:p>
    <w:p w14:paraId="2D6C8808">
      <w:pPr>
        <w:snapToGrid w:val="0"/>
        <w:spacing w:before="120" w:line="312" w:lineRule="auto"/>
        <w:jc w:val="center"/>
        <w:rPr>
          <w:rFonts w:hint="eastAsia"/>
          <w:b/>
          <w:sz w:val="28"/>
        </w:rPr>
      </w:pPr>
    </w:p>
    <w:p w14:paraId="08ED1B35">
      <w:pPr>
        <w:snapToGrid w:val="0"/>
        <w:spacing w:before="120" w:line="312" w:lineRule="auto"/>
        <w:jc w:val="center"/>
        <w:rPr>
          <w:rFonts w:hint="eastAsia"/>
          <w:b/>
          <w:sz w:val="28"/>
        </w:rPr>
      </w:pPr>
    </w:p>
    <w:p w14:paraId="3197AFEB">
      <w:pPr>
        <w:snapToGrid w:val="0"/>
        <w:spacing w:before="120" w:line="312" w:lineRule="auto"/>
        <w:jc w:val="center"/>
        <w:rPr>
          <w:b/>
        </w:rPr>
      </w:pPr>
      <w:r>
        <w:rPr>
          <w:rFonts w:hint="eastAsia"/>
          <w:b/>
          <w:sz w:val="28"/>
        </w:rPr>
        <w:t>一、总  则</w:t>
      </w:r>
    </w:p>
    <w:p w14:paraId="08A07624">
      <w:pPr>
        <w:snapToGrid w:val="0"/>
        <w:spacing w:before="120" w:line="360" w:lineRule="auto"/>
        <w:ind w:right="55" w:rightChars="26" w:firstLine="422" w:firstLineChars="200"/>
        <w:rPr>
          <w:b/>
          <w:sz w:val="28"/>
        </w:rPr>
      </w:pPr>
      <w:r>
        <w:rPr>
          <w:rFonts w:hint="eastAsia"/>
          <w:b/>
        </w:rPr>
        <w:t>（一）适用范围</w:t>
      </w:r>
    </w:p>
    <w:p w14:paraId="345875F6">
      <w:pPr>
        <w:snapToGrid w:val="0"/>
        <w:spacing w:line="360" w:lineRule="auto"/>
        <w:ind w:right="55" w:rightChars="26" w:firstLine="420" w:firstLineChars="200"/>
        <w:jc w:val="left"/>
      </w:pPr>
      <w:r>
        <w:rPr>
          <w:rFonts w:hint="eastAsia"/>
        </w:rPr>
        <w:t>本招标文件适用于</w:t>
      </w:r>
      <w:r>
        <w:rPr>
          <w:rFonts w:hint="eastAsia"/>
          <w:bCs/>
          <w:lang w:eastAsia="zh-CN"/>
        </w:rPr>
        <w:t>2025年普陀区海洋经济运行监测和评估项目</w:t>
      </w:r>
      <w:r>
        <w:rPr>
          <w:rFonts w:hint="eastAsia"/>
        </w:rPr>
        <w:t>的招标、投标、评标、定标、验收、合同履约、付款等行为（法律、法规另有规定的，从其规定）。</w:t>
      </w:r>
    </w:p>
    <w:p w14:paraId="51E6C3AB">
      <w:pPr>
        <w:snapToGrid w:val="0"/>
        <w:spacing w:before="120" w:line="360" w:lineRule="auto"/>
        <w:ind w:right="55" w:rightChars="26" w:firstLine="422" w:firstLineChars="200"/>
        <w:rPr>
          <w:rFonts w:hint="eastAsia"/>
          <w:b/>
        </w:rPr>
      </w:pPr>
      <w:r>
        <w:rPr>
          <w:rFonts w:hint="eastAsia"/>
          <w:b/>
        </w:rPr>
        <w:t>（二）定义</w:t>
      </w:r>
    </w:p>
    <w:p w14:paraId="639B37F1">
      <w:pPr>
        <w:snapToGrid w:val="0"/>
        <w:spacing w:line="360" w:lineRule="auto"/>
        <w:ind w:right="55" w:rightChars="26" w:firstLine="420" w:firstLineChars="200"/>
        <w:jc w:val="left"/>
      </w:pPr>
      <w:r>
        <w:t>1.</w:t>
      </w:r>
      <w:r>
        <w:rPr>
          <w:rFonts w:hint="eastAsia"/>
        </w:rPr>
        <w:t>“采购人”系指</w:t>
      </w:r>
      <w:r>
        <w:rPr>
          <w:rFonts w:hint="eastAsia"/>
          <w:bCs/>
          <w:lang w:eastAsia="zh-CN"/>
        </w:rPr>
        <w:t>舟山市普陀区海洋经济发展局</w:t>
      </w:r>
      <w:r>
        <w:rPr>
          <w:rFonts w:hint="eastAsia"/>
        </w:rPr>
        <w:t>。</w:t>
      </w:r>
    </w:p>
    <w:p w14:paraId="6A90770B">
      <w:pPr>
        <w:spacing w:after="120"/>
        <w:ind w:firstLine="420" w:firstLineChars="200"/>
        <w:rPr>
          <w:rFonts w:hAnsi="Calibri"/>
          <w:kern w:val="0"/>
          <w:sz w:val="21"/>
          <w:szCs w:val="21"/>
        </w:rPr>
      </w:pPr>
      <w:r>
        <w:rPr>
          <w:rFonts w:hAnsi="Calibri"/>
          <w:kern w:val="0"/>
          <w:sz w:val="21"/>
          <w:szCs w:val="21"/>
        </w:rPr>
        <w:t>2.</w:t>
      </w:r>
      <w:r>
        <w:rPr>
          <w:rFonts w:hint="eastAsia" w:hAnsi="Calibri"/>
          <w:kern w:val="0"/>
          <w:sz w:val="21"/>
          <w:szCs w:val="21"/>
        </w:rPr>
        <w:t>“采购代理机构”系指组织本次招标的深圳市国信招标有限公司。</w:t>
      </w:r>
    </w:p>
    <w:p w14:paraId="627444C2">
      <w:pPr>
        <w:snapToGrid w:val="0"/>
        <w:spacing w:line="360" w:lineRule="auto"/>
        <w:ind w:right="55" w:rightChars="26" w:firstLine="420" w:firstLineChars="200"/>
        <w:jc w:val="left"/>
        <w:rPr>
          <w:sz w:val="21"/>
          <w:szCs w:val="21"/>
        </w:rPr>
      </w:pPr>
      <w:r>
        <w:rPr>
          <w:sz w:val="21"/>
          <w:szCs w:val="21"/>
        </w:rPr>
        <w:t>3.</w:t>
      </w:r>
      <w:r>
        <w:rPr>
          <w:rFonts w:hint="eastAsia"/>
          <w:sz w:val="21"/>
          <w:szCs w:val="21"/>
        </w:rPr>
        <w:t>“投标人”系指向采购人提交投标文件的单位或个人。</w:t>
      </w:r>
    </w:p>
    <w:p w14:paraId="5C142E2D">
      <w:pPr>
        <w:snapToGrid w:val="0"/>
        <w:spacing w:line="360" w:lineRule="auto"/>
        <w:ind w:right="-506" w:rightChars="-241" w:firstLine="420" w:firstLineChars="200"/>
        <w:jc w:val="left"/>
        <w:rPr>
          <w:sz w:val="21"/>
          <w:szCs w:val="21"/>
        </w:rPr>
      </w:pPr>
      <w:r>
        <w:rPr>
          <w:sz w:val="21"/>
          <w:szCs w:val="21"/>
        </w:rPr>
        <w:t>4.</w:t>
      </w:r>
      <w:r>
        <w:rPr>
          <w:rFonts w:hint="eastAsia"/>
          <w:sz w:val="21"/>
          <w:szCs w:val="21"/>
        </w:rPr>
        <w:t>“产品”系指投标人按招标文件规定，须向采购人提供的一切设备、保险、税金、备品备件、工具、手册及其它有关技术资料和材料。</w:t>
      </w:r>
    </w:p>
    <w:p w14:paraId="0429E773">
      <w:pPr>
        <w:snapToGrid w:val="0"/>
        <w:spacing w:line="360" w:lineRule="auto"/>
        <w:ind w:right="-506" w:rightChars="-241" w:firstLine="420" w:firstLineChars="200"/>
        <w:jc w:val="left"/>
        <w:rPr>
          <w:sz w:val="21"/>
          <w:szCs w:val="21"/>
        </w:rPr>
      </w:pPr>
      <w:r>
        <w:rPr>
          <w:sz w:val="21"/>
          <w:szCs w:val="21"/>
        </w:rPr>
        <w:t>5.</w:t>
      </w:r>
      <w:r>
        <w:rPr>
          <w:rFonts w:hint="eastAsia"/>
          <w:sz w:val="21"/>
          <w:szCs w:val="21"/>
        </w:rPr>
        <w:t>“服务”系指招标文件规定投标人须承担的安装、调试、技术协助、校准、培训、技术指导以及其他类似的义务。</w:t>
      </w:r>
    </w:p>
    <w:p w14:paraId="07AEB396">
      <w:pPr>
        <w:snapToGrid w:val="0"/>
        <w:spacing w:line="360" w:lineRule="auto"/>
        <w:ind w:firstLine="420" w:firstLineChars="200"/>
        <w:jc w:val="left"/>
        <w:rPr>
          <w:sz w:val="21"/>
          <w:szCs w:val="21"/>
        </w:rPr>
      </w:pPr>
      <w:r>
        <w:rPr>
          <w:sz w:val="21"/>
          <w:szCs w:val="21"/>
        </w:rPr>
        <w:t>6.</w:t>
      </w:r>
      <w:r>
        <w:rPr>
          <w:rFonts w:hint="eastAsia"/>
          <w:sz w:val="21"/>
          <w:szCs w:val="21"/>
        </w:rPr>
        <w:t>“项目”系指投标人按招标文件规定向采购人提供的产品和服务。</w:t>
      </w:r>
    </w:p>
    <w:p w14:paraId="6255B3AD">
      <w:pPr>
        <w:snapToGrid w:val="0"/>
        <w:spacing w:line="360" w:lineRule="auto"/>
        <w:ind w:firstLine="420" w:firstLineChars="200"/>
        <w:jc w:val="left"/>
        <w:rPr>
          <w:sz w:val="21"/>
          <w:szCs w:val="21"/>
        </w:rPr>
      </w:pPr>
      <w:r>
        <w:rPr>
          <w:sz w:val="21"/>
          <w:szCs w:val="21"/>
        </w:rPr>
        <w:t>7.</w:t>
      </w:r>
      <w:r>
        <w:rPr>
          <w:rFonts w:hint="eastAsia"/>
          <w:sz w:val="21"/>
          <w:szCs w:val="21"/>
        </w:rPr>
        <w:t>“书面形式”包括信函、传真、邮件、电子文档等。</w:t>
      </w:r>
    </w:p>
    <w:p w14:paraId="737F6278">
      <w:pPr>
        <w:snapToGrid w:val="0"/>
        <w:spacing w:line="360" w:lineRule="auto"/>
        <w:ind w:firstLine="420" w:firstLineChars="200"/>
        <w:jc w:val="left"/>
        <w:rPr>
          <w:sz w:val="21"/>
          <w:szCs w:val="21"/>
        </w:rPr>
      </w:pPr>
      <w:r>
        <w:rPr>
          <w:sz w:val="21"/>
          <w:szCs w:val="21"/>
        </w:rPr>
        <w:t>8.</w:t>
      </w:r>
      <w:r>
        <w:rPr>
          <w:rFonts w:hint="eastAsia"/>
          <w:sz w:val="21"/>
          <w:szCs w:val="21"/>
        </w:rPr>
        <w:t>“★”系指实质性要求条款，未响应的作无效标处理。</w:t>
      </w:r>
    </w:p>
    <w:p w14:paraId="0A9EBFA4">
      <w:pPr>
        <w:snapToGrid w:val="0"/>
        <w:spacing w:line="312" w:lineRule="auto"/>
        <w:ind w:firstLine="422" w:firstLineChars="200"/>
        <w:jc w:val="left"/>
        <w:outlineLvl w:val="1"/>
        <w:rPr>
          <w:b/>
          <w:sz w:val="21"/>
          <w:szCs w:val="21"/>
        </w:rPr>
      </w:pPr>
      <w:r>
        <w:rPr>
          <w:rFonts w:hint="eastAsia"/>
          <w:b/>
          <w:sz w:val="21"/>
          <w:szCs w:val="21"/>
        </w:rPr>
        <w:t>（三）招标方式</w:t>
      </w:r>
    </w:p>
    <w:p w14:paraId="6AAE8F6F">
      <w:pPr>
        <w:snapToGrid w:val="0"/>
        <w:spacing w:line="312" w:lineRule="auto"/>
        <w:ind w:firstLine="420" w:firstLineChars="200"/>
        <w:jc w:val="left"/>
        <w:rPr>
          <w:sz w:val="21"/>
          <w:szCs w:val="21"/>
        </w:rPr>
      </w:pPr>
      <w:r>
        <w:rPr>
          <w:rFonts w:hint="eastAsia"/>
          <w:sz w:val="21"/>
          <w:szCs w:val="21"/>
        </w:rPr>
        <w:t>本次招标采用公开招标。</w:t>
      </w:r>
    </w:p>
    <w:p w14:paraId="27E1F34D">
      <w:pPr>
        <w:snapToGrid w:val="0"/>
        <w:spacing w:line="312" w:lineRule="auto"/>
        <w:ind w:right="55" w:rightChars="26" w:firstLine="422" w:firstLineChars="200"/>
        <w:jc w:val="left"/>
        <w:outlineLvl w:val="1"/>
        <w:rPr>
          <w:b/>
          <w:sz w:val="21"/>
          <w:szCs w:val="21"/>
        </w:rPr>
      </w:pPr>
      <w:r>
        <w:rPr>
          <w:rFonts w:hint="eastAsia"/>
          <w:b/>
          <w:sz w:val="21"/>
          <w:szCs w:val="21"/>
        </w:rPr>
        <w:t>（四）投标费用</w:t>
      </w:r>
    </w:p>
    <w:p w14:paraId="0D4513B7">
      <w:pPr>
        <w:snapToGrid w:val="0"/>
        <w:spacing w:line="312" w:lineRule="auto"/>
        <w:ind w:right="55" w:rightChars="26" w:firstLine="420" w:firstLineChars="200"/>
        <w:jc w:val="left"/>
        <w:rPr>
          <w:color w:val="auto"/>
          <w:sz w:val="21"/>
          <w:szCs w:val="21"/>
        </w:rPr>
      </w:pPr>
      <w:r>
        <w:rPr>
          <w:rFonts w:hint="eastAsia"/>
          <w:sz w:val="21"/>
          <w:szCs w:val="21"/>
        </w:rPr>
        <w:t>不论投标结果如何，投标人均应自行承担所有与投标有关的全部费用（招标文件另有规定除外）。</w:t>
      </w:r>
    </w:p>
    <w:p w14:paraId="05AC0F9D">
      <w:pPr>
        <w:snapToGrid w:val="0"/>
        <w:spacing w:line="312" w:lineRule="auto"/>
        <w:ind w:right="55" w:rightChars="26" w:firstLine="422" w:firstLineChars="200"/>
        <w:rPr>
          <w:rFonts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 xml:space="preserve">（五）关于联合体 </w:t>
      </w:r>
    </w:p>
    <w:p w14:paraId="0BE9F064">
      <w:pPr>
        <w:snapToGrid w:val="0"/>
        <w:spacing w:line="312" w:lineRule="auto"/>
        <w:ind w:right="55" w:rightChars="26" w:firstLine="422" w:firstLineChars="200"/>
        <w:rPr>
          <w:rFonts w:ascii="Times New Roman" w:hAnsi="Times New Roman" w:eastAsia="宋体"/>
          <w:b/>
          <w:color w:val="auto"/>
          <w:sz w:val="21"/>
          <w:szCs w:val="21"/>
        </w:rPr>
      </w:pPr>
      <w:r>
        <w:rPr>
          <w:rFonts w:hint="eastAsia" w:ascii="Times New Roman" w:hAnsi="Times New Roman" w:eastAsia="宋体"/>
          <w:b/>
          <w:color w:val="auto"/>
          <w:sz w:val="21"/>
          <w:szCs w:val="21"/>
        </w:rPr>
        <w:t>本项目接受联合体（联合体投标的，提供联合体协议书）</w:t>
      </w:r>
    </w:p>
    <w:p w14:paraId="59730F2D">
      <w:pPr>
        <w:snapToGrid w:val="0"/>
        <w:spacing w:line="312" w:lineRule="auto"/>
        <w:ind w:right="55" w:rightChars="26" w:firstLine="422" w:firstLineChars="200"/>
        <w:rPr>
          <w:rFonts w:ascii="Times New Roman" w:hAnsi="Times New Roman" w:eastAsia="宋体"/>
          <w:b/>
          <w:color w:val="auto"/>
          <w:sz w:val="21"/>
          <w:szCs w:val="21"/>
        </w:rPr>
      </w:pPr>
      <w:r>
        <w:rPr>
          <w:rFonts w:hint="eastAsia" w:ascii="Times New Roman" w:hAnsi="Times New Roman" w:eastAsia="宋体"/>
          <w:b/>
          <w:color w:val="auto"/>
          <w:sz w:val="21"/>
          <w:szCs w:val="21"/>
        </w:rPr>
        <w:t>（六）关于分包和转包</w:t>
      </w:r>
    </w:p>
    <w:p w14:paraId="53331616">
      <w:pPr>
        <w:snapToGrid w:val="0"/>
        <w:spacing w:line="312" w:lineRule="auto"/>
        <w:ind w:right="55" w:rightChars="26" w:firstLine="422" w:firstLineChars="200"/>
        <w:rPr>
          <w:rFonts w:ascii="Times New Roman" w:hAnsi="Times New Roman" w:eastAsia="宋体"/>
          <w:b/>
          <w:bCs/>
          <w:color w:val="auto"/>
          <w:sz w:val="21"/>
          <w:szCs w:val="21"/>
        </w:rPr>
      </w:pPr>
      <w:r>
        <w:rPr>
          <w:rFonts w:hint="eastAsia" w:ascii="Times New Roman" w:hAnsi="Times New Roman" w:eastAsia="宋体"/>
          <w:b/>
          <w:bCs/>
          <w:color w:val="auto"/>
          <w:sz w:val="21"/>
          <w:szCs w:val="21"/>
        </w:rPr>
        <w:t>本项目允许分包（要求合同分包的，提供分包意向协议和中小企业声明函）</w:t>
      </w:r>
    </w:p>
    <w:p w14:paraId="77ACC5EB">
      <w:pPr>
        <w:snapToGrid w:val="0"/>
        <w:spacing w:line="312" w:lineRule="auto"/>
        <w:ind w:right="55" w:rightChars="26" w:firstLine="422" w:firstLineChars="200"/>
        <w:rPr>
          <w:color w:val="auto"/>
          <w:sz w:val="21"/>
          <w:szCs w:val="21"/>
        </w:rPr>
      </w:pPr>
      <w:r>
        <w:rPr>
          <w:rFonts w:hint="eastAsia" w:ascii="Times New Roman" w:hAnsi="Times New Roman" w:eastAsia="宋体" w:cs="Times New Roman"/>
          <w:b/>
          <w:bCs/>
          <w:color w:val="auto"/>
          <w:sz w:val="21"/>
          <w:szCs w:val="21"/>
        </w:rPr>
        <w:t>本项目不允许转包。</w:t>
      </w:r>
    </w:p>
    <w:p w14:paraId="1406786F">
      <w:pPr>
        <w:keepNext w:val="0"/>
        <w:keepLines w:val="0"/>
        <w:pageBreakBefore w:val="0"/>
        <w:widowControl w:val="0"/>
        <w:kinsoku/>
        <w:wordWrap/>
        <w:overflowPunct/>
        <w:topLinePunct w:val="0"/>
        <w:autoSpaceDE/>
        <w:autoSpaceDN/>
        <w:bidi w:val="0"/>
        <w:adjustRightInd/>
        <w:snapToGrid w:val="0"/>
        <w:spacing w:line="360" w:lineRule="auto"/>
        <w:ind w:right="0" w:rightChars="0" w:firstLine="406" w:firstLineChars="200"/>
        <w:textAlignment w:val="auto"/>
        <w:rPr>
          <w:b/>
          <w:spacing w:val="-4"/>
          <w:kern w:val="0"/>
          <w:sz w:val="21"/>
          <w:szCs w:val="21"/>
        </w:rPr>
      </w:pPr>
      <w:r>
        <w:rPr>
          <w:rFonts w:hint="eastAsia"/>
          <w:b/>
          <w:spacing w:val="-4"/>
          <w:kern w:val="0"/>
          <w:sz w:val="21"/>
          <w:szCs w:val="21"/>
        </w:rPr>
        <w:t>（七）特别说明：</w:t>
      </w:r>
    </w:p>
    <w:p w14:paraId="579C4D4A">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hAnsi="宋体" w:eastAsia="宋体" w:cs="Times New Roman"/>
        </w:rPr>
      </w:pPr>
      <w:r>
        <w:rPr>
          <w:rFonts w:hint="eastAsia" w:ascii="Times New Roman" w:hAnsi="Times New Roman" w:eastAsia="宋体" w:cs="Times New Roman"/>
          <w:bCs/>
        </w:rPr>
        <w:t>1.</w:t>
      </w:r>
      <w:r>
        <w:rPr>
          <w:rFonts w:hint="eastAsia" w:ascii="宋体" w:hAnsi="宋体" w:eastAsia="宋体" w:cs="Times New Roman"/>
        </w:rPr>
        <w:t>单位负责人为同一人或者存在直接控股、管理关系的不同供应商，不得同时参加同一合同项下的投标。</w:t>
      </w:r>
    </w:p>
    <w:p w14:paraId="125B94BB">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1BAD8DA9">
      <w:pPr>
        <w:keepNext w:val="0"/>
        <w:keepLines w:val="0"/>
        <w:pageBreakBefore w:val="0"/>
        <w:widowControl w:val="0"/>
        <w:kinsoku/>
        <w:wordWrap/>
        <w:overflowPunct/>
        <w:topLinePunct w:val="0"/>
        <w:autoSpaceDE/>
        <w:autoSpaceDN/>
        <w:bidi w:val="0"/>
        <w:adjustRightInd/>
        <w:snapToGrid w:val="0"/>
        <w:spacing w:line="360" w:lineRule="auto"/>
        <w:ind w:right="0" w:rightChars="0" w:firstLine="401" w:firstLineChars="199"/>
        <w:textAlignment w:val="auto"/>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2.投标人投标所使用的资格、信誉、荣誉、业绩与企业认证必须为本法人所拥有。投标人投标所使用的采购项目实施人员必须为本法人员工。</w:t>
      </w:r>
    </w:p>
    <w:p w14:paraId="3D41CBD4">
      <w:pPr>
        <w:keepNext w:val="0"/>
        <w:keepLines w:val="0"/>
        <w:pageBreakBefore w:val="0"/>
        <w:widowControl w:val="0"/>
        <w:kinsoku/>
        <w:wordWrap/>
        <w:overflowPunct/>
        <w:topLinePunct w:val="0"/>
        <w:autoSpaceDE/>
        <w:autoSpaceDN/>
        <w:bidi w:val="0"/>
        <w:adjustRightInd/>
        <w:snapToGrid w:val="0"/>
        <w:spacing w:line="360" w:lineRule="auto"/>
        <w:ind w:right="0" w:rightChars="0" w:firstLine="404" w:firstLineChars="200"/>
        <w:textAlignment w:val="auto"/>
        <w:rPr>
          <w:rFonts w:hint="eastAsia"/>
          <w:bCs/>
        </w:rPr>
      </w:pPr>
      <w:r>
        <w:rPr>
          <w:rFonts w:hint="eastAsia" w:ascii="Times New Roman" w:hAnsi="Times New Roman" w:eastAsia="宋体" w:cs="Times New Roman"/>
          <w:bCs/>
          <w:spacing w:val="-4"/>
          <w:kern w:val="0"/>
        </w:rPr>
        <w:t>3.投标人应仔细阅读招标文件的所有内容，按照招标文件的要求提交投标文件，并对所提供的全部资料的真实性承担法律责任</w:t>
      </w:r>
      <w:r>
        <w:rPr>
          <w:rFonts w:hint="eastAsia"/>
          <w:bCs/>
        </w:rPr>
        <w:t>。</w:t>
      </w:r>
    </w:p>
    <w:p w14:paraId="78318286">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outlineLvl w:val="1"/>
        <w:rPr>
          <w:b/>
          <w:sz w:val="21"/>
          <w:szCs w:val="21"/>
        </w:rPr>
      </w:pPr>
      <w:r>
        <w:rPr>
          <w:rFonts w:hint="eastAsia"/>
          <w:b/>
          <w:sz w:val="21"/>
          <w:szCs w:val="21"/>
        </w:rPr>
        <w:t>（八）质疑</w:t>
      </w:r>
    </w:p>
    <w:p w14:paraId="4202FD5B">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 w:val="21"/>
          <w:szCs w:val="21"/>
        </w:rPr>
      </w:pPr>
      <w:r>
        <w:rPr>
          <w:rFonts w:hint="eastAsia"/>
          <w:bCs/>
          <w:sz w:val="21"/>
          <w:szCs w:val="21"/>
        </w:rPr>
        <w:t>投标人应当自知道或者应当知道其合法权益受到损害之日起七个工作日内提出质疑。</w:t>
      </w:r>
    </w:p>
    <w:p w14:paraId="3BC12D8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 w:val="21"/>
          <w:szCs w:val="21"/>
        </w:rPr>
      </w:pPr>
      <w:r>
        <w:rPr>
          <w:bCs/>
          <w:sz w:val="21"/>
          <w:szCs w:val="21"/>
        </w:rPr>
        <w:t>1.</w:t>
      </w:r>
      <w:r>
        <w:rPr>
          <w:rFonts w:hint="eastAsia"/>
          <w:bCs/>
          <w:sz w:val="21"/>
          <w:szCs w:val="21"/>
        </w:rPr>
        <w:t>对可以质疑的采购文件提出质疑的，为收到采购文件之日或者采购文件公告期限届满之日；</w:t>
      </w:r>
    </w:p>
    <w:p w14:paraId="71FFDA5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 w:val="21"/>
          <w:szCs w:val="21"/>
        </w:rPr>
        <w:t>2.</w:t>
      </w:r>
      <w:r>
        <w:rPr>
          <w:rFonts w:hint="eastAsia"/>
          <w:bCs/>
          <w:sz w:val="21"/>
          <w:szCs w:val="21"/>
        </w:rPr>
        <w:t>对采购过程提出质疑的</w:t>
      </w:r>
      <w:r>
        <w:rPr>
          <w:rFonts w:hint="eastAsia"/>
          <w:bCs/>
          <w:szCs w:val="21"/>
        </w:rPr>
        <w:t>，为各采购程序环节结束之日；</w:t>
      </w:r>
    </w:p>
    <w:p w14:paraId="0E9059B5">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3.</w:t>
      </w:r>
      <w:r>
        <w:rPr>
          <w:rFonts w:hint="eastAsia"/>
          <w:bCs/>
          <w:szCs w:val="21"/>
        </w:rPr>
        <w:t>对中标或者成交结果提出质疑的，为中标或者成交结果公告期限届满之日。</w:t>
      </w:r>
    </w:p>
    <w:p w14:paraId="6D53F39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bCs/>
          <w:szCs w:val="21"/>
        </w:rPr>
        <w:t>4.</w:t>
      </w:r>
      <w:r>
        <w:rPr>
          <w:rFonts w:hint="eastAsia"/>
          <w:bCs/>
          <w:szCs w:val="21"/>
        </w:rPr>
        <w:t>质疑书应包括下列主要内容：</w:t>
      </w:r>
    </w:p>
    <w:p w14:paraId="367F2D8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①</w:t>
      </w:r>
      <w:r>
        <w:rPr>
          <w:rFonts w:hint="eastAsia"/>
          <w:bCs/>
          <w:szCs w:val="21"/>
        </w:rPr>
        <w:t>质疑人的名称、地址、邮政编码、联系人、联系电话，以及被质疑人名称及联系方式；</w:t>
      </w:r>
    </w:p>
    <w:p w14:paraId="16C932C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②</w:t>
      </w:r>
      <w:r>
        <w:rPr>
          <w:rFonts w:hint="eastAsia"/>
          <w:bCs/>
          <w:szCs w:val="21"/>
        </w:rPr>
        <w:t>被质疑采购项目名称、编号及采购内容；</w:t>
      </w:r>
    </w:p>
    <w:p w14:paraId="385DB1D6">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③</w:t>
      </w:r>
      <w:r>
        <w:rPr>
          <w:rFonts w:hint="eastAsia"/>
          <w:bCs/>
          <w:szCs w:val="21"/>
        </w:rPr>
        <w:t>具体的质疑事项及事实依据；</w:t>
      </w:r>
    </w:p>
    <w:p w14:paraId="52562F81">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④</w:t>
      </w:r>
      <w:r>
        <w:rPr>
          <w:rFonts w:hint="eastAsia"/>
          <w:bCs/>
          <w:szCs w:val="21"/>
        </w:rPr>
        <w:t>认为自己合法权益受到损害或可能受到损害的相关证据材料；</w:t>
      </w:r>
    </w:p>
    <w:p w14:paraId="5E3CC71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ascii="宋体" w:hAnsi="宋体" w:cs="宋体"/>
          <w:bCs/>
          <w:szCs w:val="21"/>
        </w:rPr>
        <w:t>⑤</w:t>
      </w:r>
      <w:r>
        <w:rPr>
          <w:rFonts w:hint="eastAsia"/>
          <w:bCs/>
          <w:szCs w:val="21"/>
        </w:rPr>
        <w:t>提出质疑的日期。</w:t>
      </w:r>
    </w:p>
    <w:p w14:paraId="0985534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bCs/>
          <w:szCs w:val="21"/>
        </w:rPr>
        <w:t>供应商为自然人的，应当由本人签字：供应商为法人或者其他组织的，应当由法定代表人、主要负责人，或者其授权代表签字或者盖章，并加盖公章。</w:t>
      </w:r>
    </w:p>
    <w:p w14:paraId="779C51BF">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szCs w:val="21"/>
        </w:rPr>
      </w:pPr>
      <w:r>
        <w:rPr>
          <w:rFonts w:hint="eastAsia"/>
          <w:bCs/>
          <w:szCs w:val="21"/>
        </w:rPr>
        <w:t>供应商在法定质疑期内一次性提出针对同一采购程序环节的质疑。</w:t>
      </w:r>
    </w:p>
    <w:p w14:paraId="47FAB7BB">
      <w:pPr>
        <w:spacing w:after="120"/>
        <w:jc w:val="center"/>
        <w:rPr>
          <w:rFonts w:ascii="宋体" w:hAnsi="Calibri"/>
          <w:b/>
          <w:bCs/>
          <w:kern w:val="0"/>
          <w:sz w:val="28"/>
          <w:szCs w:val="28"/>
        </w:rPr>
      </w:pPr>
    </w:p>
    <w:p w14:paraId="641E68B8">
      <w:pPr>
        <w:widowControl/>
        <w:spacing w:line="360" w:lineRule="auto"/>
        <w:ind w:firstLine="3935" w:firstLineChars="1400"/>
        <w:jc w:val="left"/>
        <w:rPr>
          <w:b/>
          <w:sz w:val="28"/>
        </w:rPr>
      </w:pPr>
      <w:r>
        <w:rPr>
          <w:rFonts w:hint="eastAsia"/>
          <w:b/>
          <w:sz w:val="28"/>
        </w:rPr>
        <w:t>二、招标文件</w:t>
      </w:r>
    </w:p>
    <w:p w14:paraId="2EFCFC29">
      <w:pPr>
        <w:snapToGrid w:val="0"/>
        <w:spacing w:line="360" w:lineRule="auto"/>
        <w:ind w:right="-341" w:firstLine="442" w:firstLineChars="200"/>
        <w:jc w:val="left"/>
        <w:rPr>
          <w:b/>
          <w:sz w:val="24"/>
        </w:rPr>
      </w:pPr>
      <w:r>
        <w:rPr>
          <w:rFonts w:hint="eastAsia"/>
          <w:b/>
          <w:sz w:val="22"/>
          <w:szCs w:val="21"/>
        </w:rPr>
        <w:t>（一）招标文件的构成。本招标文件由以下部份组成：</w:t>
      </w:r>
    </w:p>
    <w:p w14:paraId="32CC7962">
      <w:pPr>
        <w:snapToGrid w:val="0"/>
        <w:spacing w:line="360" w:lineRule="auto"/>
        <w:ind w:right="-341" w:firstLine="420" w:firstLineChars="200"/>
        <w:jc w:val="left"/>
      </w:pPr>
      <w:r>
        <w:t>1.</w:t>
      </w:r>
      <w:r>
        <w:rPr>
          <w:rFonts w:hint="eastAsia"/>
        </w:rPr>
        <w:t>招标公告</w:t>
      </w:r>
    </w:p>
    <w:p w14:paraId="2625ABC2">
      <w:pPr>
        <w:snapToGrid w:val="0"/>
        <w:spacing w:line="360" w:lineRule="auto"/>
        <w:ind w:right="-341" w:firstLine="420" w:firstLineChars="200"/>
        <w:jc w:val="left"/>
      </w:pPr>
      <w:r>
        <w:t>2.</w:t>
      </w:r>
      <w:r>
        <w:rPr>
          <w:rFonts w:hint="eastAsia"/>
        </w:rPr>
        <w:t>招标需求</w:t>
      </w:r>
    </w:p>
    <w:p w14:paraId="38EF6819">
      <w:pPr>
        <w:snapToGrid w:val="0"/>
        <w:spacing w:line="360" w:lineRule="auto"/>
        <w:ind w:right="-341" w:firstLine="420" w:firstLineChars="200"/>
        <w:jc w:val="left"/>
      </w:pPr>
      <w:r>
        <w:t>3.</w:t>
      </w:r>
      <w:r>
        <w:rPr>
          <w:rFonts w:hint="eastAsia"/>
        </w:rPr>
        <w:t>投标人须知</w:t>
      </w:r>
    </w:p>
    <w:p w14:paraId="477F2A97">
      <w:pPr>
        <w:snapToGrid w:val="0"/>
        <w:spacing w:line="360" w:lineRule="auto"/>
        <w:ind w:right="-341" w:firstLine="420" w:firstLineChars="200"/>
        <w:jc w:val="left"/>
      </w:pPr>
      <w:r>
        <w:t>4.</w:t>
      </w:r>
      <w:r>
        <w:rPr>
          <w:rFonts w:hint="eastAsia"/>
          <w:lang w:eastAsia="zh-CN"/>
        </w:rPr>
        <w:t>评标方法</w:t>
      </w:r>
      <w:r>
        <w:rPr>
          <w:rFonts w:hint="eastAsia"/>
        </w:rPr>
        <w:t>及标准</w:t>
      </w:r>
    </w:p>
    <w:p w14:paraId="767D28FA">
      <w:pPr>
        <w:snapToGrid w:val="0"/>
        <w:spacing w:line="360" w:lineRule="auto"/>
        <w:ind w:right="-341" w:firstLine="420" w:firstLineChars="200"/>
        <w:jc w:val="left"/>
      </w:pPr>
      <w:r>
        <w:t>5.</w:t>
      </w:r>
      <w:r>
        <w:rPr>
          <w:rFonts w:hint="eastAsia"/>
        </w:rPr>
        <w:t>合同主要条款</w:t>
      </w:r>
    </w:p>
    <w:p w14:paraId="37F31608">
      <w:pPr>
        <w:snapToGrid w:val="0"/>
        <w:spacing w:line="360" w:lineRule="auto"/>
        <w:ind w:right="-341" w:firstLine="420" w:firstLineChars="200"/>
        <w:jc w:val="left"/>
      </w:pPr>
      <w:r>
        <w:t>6.</w:t>
      </w:r>
      <w:r>
        <w:rPr>
          <w:rFonts w:hint="eastAsia"/>
        </w:rPr>
        <w:t>投标文件格式</w:t>
      </w:r>
    </w:p>
    <w:p w14:paraId="3BF6DE21">
      <w:pPr>
        <w:snapToGrid w:val="0"/>
        <w:spacing w:line="360" w:lineRule="auto"/>
        <w:ind w:right="-341" w:firstLine="420" w:firstLineChars="200"/>
        <w:jc w:val="left"/>
      </w:pPr>
      <w:r>
        <w:t>7.</w:t>
      </w:r>
      <w:r>
        <w:rPr>
          <w:rFonts w:hint="eastAsia"/>
        </w:rPr>
        <w:t>本项目招标文件的澄清、答复、修改、补充的内容</w:t>
      </w:r>
    </w:p>
    <w:p w14:paraId="32926C0F">
      <w:pPr>
        <w:keepNext w:val="0"/>
        <w:keepLines w:val="0"/>
        <w:pageBreakBefore w:val="0"/>
        <w:kinsoku/>
        <w:wordWrap/>
        <w:overflowPunct/>
        <w:topLinePunct w:val="0"/>
        <w:autoSpaceDE/>
        <w:autoSpaceDN/>
        <w:bidi w:val="0"/>
        <w:adjustRightInd/>
        <w:snapToGrid w:val="0"/>
        <w:spacing w:line="360" w:lineRule="auto"/>
        <w:ind w:left="0" w:right="0" w:rightChars="0" w:firstLine="422" w:firstLineChars="200"/>
        <w:jc w:val="left"/>
        <w:textAlignment w:val="auto"/>
        <w:rPr>
          <w:b/>
          <w:sz w:val="21"/>
          <w:szCs w:val="21"/>
        </w:rPr>
      </w:pPr>
      <w:r>
        <w:rPr>
          <w:rFonts w:hint="eastAsia"/>
          <w:b/>
          <w:sz w:val="21"/>
          <w:szCs w:val="21"/>
        </w:rPr>
        <w:t>（二）投标人的风险</w:t>
      </w:r>
    </w:p>
    <w:p w14:paraId="75553A69">
      <w:pPr>
        <w:keepNext w:val="0"/>
        <w:keepLines w:val="0"/>
        <w:pageBreakBefore w:val="0"/>
        <w:kinsoku/>
        <w:wordWrap/>
        <w:overflowPunct/>
        <w:topLinePunct w:val="0"/>
        <w:autoSpaceDE/>
        <w:autoSpaceDN/>
        <w:bidi w:val="0"/>
        <w:adjustRightInd/>
        <w:spacing w:line="360" w:lineRule="auto"/>
        <w:ind w:left="0" w:right="0" w:rightChars="0" w:firstLine="420"/>
        <w:textAlignment w:val="auto"/>
      </w:pPr>
      <w:r>
        <w:rPr>
          <w:rFonts w:hint="eastAsia"/>
        </w:rPr>
        <w:t>投标人没有按照招标文件要求提供全部资料，或者投标人没有对招标文件在各方面作出实质性响应是投标人的风险，并可能导致其投标被拒绝。</w:t>
      </w:r>
    </w:p>
    <w:p w14:paraId="48A544EC">
      <w:pPr>
        <w:keepNext w:val="0"/>
        <w:keepLines w:val="0"/>
        <w:pageBreakBefore w:val="0"/>
        <w:kinsoku/>
        <w:wordWrap/>
        <w:overflowPunct/>
        <w:topLinePunct w:val="0"/>
        <w:autoSpaceDE/>
        <w:autoSpaceDN/>
        <w:bidi w:val="0"/>
        <w:adjustRightInd/>
        <w:snapToGrid w:val="0"/>
        <w:spacing w:line="360" w:lineRule="auto"/>
        <w:ind w:left="0" w:right="0" w:rightChars="0" w:firstLine="422" w:firstLineChars="200"/>
        <w:jc w:val="left"/>
        <w:textAlignment w:val="auto"/>
        <w:rPr>
          <w:rFonts w:hint="eastAsia"/>
          <w:b/>
          <w:sz w:val="21"/>
          <w:szCs w:val="20"/>
        </w:rPr>
      </w:pPr>
      <w:r>
        <w:rPr>
          <w:rFonts w:hint="eastAsia"/>
          <w:b/>
          <w:sz w:val="21"/>
          <w:szCs w:val="20"/>
        </w:rPr>
        <w:t>（三）招标文件的澄清与修改</w:t>
      </w:r>
    </w:p>
    <w:p w14:paraId="476D1672">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szCs w:val="21"/>
        </w:rPr>
      </w:pPr>
      <w:r>
        <w:rPr>
          <w:szCs w:val="21"/>
        </w:rPr>
        <w:t>1.</w:t>
      </w:r>
      <w:r>
        <w:rPr>
          <w:rFonts w:hint="eastAsia"/>
          <w:szCs w:val="21"/>
        </w:rPr>
        <w:t>投标人应认真阅读本招标文件，发现其中有误或有要求不合理的，投标人必须在投标截止前</w:t>
      </w:r>
      <w:r>
        <w:rPr>
          <w:szCs w:val="21"/>
        </w:rPr>
        <w:t>15</w:t>
      </w:r>
      <w:r>
        <w:rPr>
          <w:rFonts w:hint="eastAsia"/>
          <w:szCs w:val="21"/>
        </w:rPr>
        <w:t>天内以书面形式要求招标采购单位澄清。招标采购单位对已发出的招标文件进行必要澄清、答复、修改或补充的，应当在招标文件要求提交投标文件截止时间</w:t>
      </w:r>
      <w:r>
        <w:rPr>
          <w:szCs w:val="21"/>
        </w:rPr>
        <w:t>15</w:t>
      </w:r>
      <w:r>
        <w:rPr>
          <w:rFonts w:hint="eastAsia"/>
          <w:szCs w:val="21"/>
        </w:rPr>
        <w:t>天前，在财政部门指定的政府采购信息发布媒体上发布更正公告，并通知所有已报名的潜在投标人。</w:t>
      </w:r>
    </w:p>
    <w:p w14:paraId="55D9F1B4">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szCs w:val="21"/>
        </w:rPr>
      </w:pPr>
      <w:r>
        <w:rPr>
          <w:szCs w:val="21"/>
        </w:rPr>
        <w:t>2.</w:t>
      </w:r>
      <w:r>
        <w:rPr>
          <w:rFonts w:hint="eastAsia"/>
          <w:szCs w:val="21"/>
        </w:rPr>
        <w:t>招标文件的答复、澄清、修改、补充通知实质上改变采购需求相关内容，且自招标文件的答复、澄清、修改、补充通知发出之日起至投标截止时间止不足</w:t>
      </w:r>
      <w:r>
        <w:rPr>
          <w:szCs w:val="21"/>
        </w:rPr>
        <w:t>15</w:t>
      </w:r>
      <w:r>
        <w:rPr>
          <w:rFonts w:hint="eastAsia"/>
          <w:szCs w:val="21"/>
        </w:rPr>
        <w:t>天的，招标采购单位可视情况推迟投标截止时间和开标时间，按规定在财政部门指定的政府采购信息发布媒体上发布变更公告，并将变更后的时间通知所有已报名的潜在投标人。</w:t>
      </w:r>
    </w:p>
    <w:p w14:paraId="1C84EACF">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szCs w:val="21"/>
        </w:rPr>
      </w:pPr>
      <w:r>
        <w:rPr>
          <w:szCs w:val="21"/>
        </w:rPr>
        <w:t>3.</w:t>
      </w:r>
      <w:r>
        <w:rPr>
          <w:rFonts w:hint="eastAsia"/>
          <w:szCs w:val="21"/>
        </w:rPr>
        <w:t>招标文件澄清、答复、修改、补充的内容为采购文件的组成部分。当招标文件与招标文件的答复、澄清、修改、补充通知就同一内容的表述不一致时，以最后发出的变更公告为准。</w:t>
      </w:r>
    </w:p>
    <w:p w14:paraId="2A5F6919">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szCs w:val="21"/>
        </w:rPr>
      </w:pPr>
      <w:r>
        <w:rPr>
          <w:szCs w:val="21"/>
        </w:rPr>
        <w:t>4.</w:t>
      </w:r>
      <w:r>
        <w:rPr>
          <w:rFonts w:hint="eastAsia"/>
          <w:szCs w:val="21"/>
        </w:rPr>
        <w:t>招标文件的澄清、答复、修改或补充都应该通过本代理机构以法定形式发布。</w:t>
      </w:r>
    </w:p>
    <w:p w14:paraId="051CFFB1">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szCs w:val="21"/>
        </w:rPr>
      </w:pPr>
    </w:p>
    <w:p w14:paraId="5974E0FC">
      <w:pPr>
        <w:spacing w:after="120"/>
        <w:jc w:val="center"/>
        <w:rPr>
          <w:rFonts w:ascii="宋体" w:hAnsi="Calibri"/>
          <w:b/>
          <w:bCs/>
          <w:kern w:val="0"/>
          <w:sz w:val="28"/>
          <w:szCs w:val="28"/>
        </w:rPr>
      </w:pPr>
      <w:r>
        <w:rPr>
          <w:rFonts w:hint="eastAsia" w:ascii="宋体" w:hAnsi="Calibri"/>
          <w:b/>
          <w:bCs/>
          <w:kern w:val="0"/>
          <w:sz w:val="28"/>
          <w:szCs w:val="28"/>
        </w:rPr>
        <w:t>三、投标文件的编制</w:t>
      </w:r>
    </w:p>
    <w:p w14:paraId="2350EDE2">
      <w:pPr>
        <w:spacing w:line="336" w:lineRule="auto"/>
        <w:ind w:firstLine="422" w:firstLineChars="200"/>
        <w:rPr>
          <w:b/>
          <w:szCs w:val="21"/>
        </w:rPr>
      </w:pPr>
      <w:r>
        <w:rPr>
          <w:rFonts w:hint="eastAsia"/>
          <w:b/>
          <w:szCs w:val="21"/>
        </w:rPr>
        <w:t>（一）投标文件的签署</w:t>
      </w:r>
    </w:p>
    <w:p w14:paraId="5C4A9A59">
      <w:pPr>
        <w:spacing w:line="336" w:lineRule="auto"/>
        <w:ind w:firstLine="420"/>
        <w:rPr>
          <w:b/>
          <w:bCs/>
          <w:szCs w:val="21"/>
        </w:rPr>
      </w:pPr>
      <w:r>
        <w:rPr>
          <w:b/>
          <w:bCs/>
          <w:szCs w:val="21"/>
        </w:rPr>
        <w:t>1.</w:t>
      </w:r>
      <w:r>
        <w:rPr>
          <w:rFonts w:hint="eastAsia"/>
          <w:b/>
          <w:bCs/>
          <w:szCs w:val="21"/>
        </w:rPr>
        <w:t>电子投标文件部分：</w:t>
      </w:r>
    </w:p>
    <w:p w14:paraId="70554B0A">
      <w:pPr>
        <w:spacing w:line="336" w:lineRule="auto"/>
        <w:ind w:firstLine="420"/>
        <w:rPr>
          <w:szCs w:val="21"/>
        </w:rPr>
      </w:pPr>
      <w:r>
        <w:rPr>
          <w:rFonts w:hint="eastAsia"/>
          <w:szCs w:val="21"/>
        </w:rPr>
        <w:t>投标人应根据</w:t>
      </w:r>
      <w:r>
        <w:rPr>
          <w:szCs w:val="21"/>
        </w:rPr>
        <w:t>“</w:t>
      </w:r>
      <w:r>
        <w:rPr>
          <w:rFonts w:hint="eastAsia"/>
          <w:szCs w:val="21"/>
        </w:rPr>
        <w:t>政采云供应商项目采购</w:t>
      </w:r>
      <w:r>
        <w:rPr>
          <w:szCs w:val="21"/>
        </w:rPr>
        <w:t>-</w:t>
      </w:r>
      <w:r>
        <w:rPr>
          <w:rFonts w:hint="eastAsia"/>
          <w:szCs w:val="21"/>
        </w:rPr>
        <w:t>电子交易操作指南</w:t>
      </w:r>
      <w:r>
        <w:rPr>
          <w:szCs w:val="21"/>
        </w:rPr>
        <w:t>”</w:t>
      </w:r>
      <w:r>
        <w:rPr>
          <w:rFonts w:hint="eastAsia"/>
          <w:szCs w:val="21"/>
        </w:rPr>
        <w:t>及本招标文件规定的格式和顺序编制电子投标文件并进行关联定位。</w:t>
      </w:r>
    </w:p>
    <w:p w14:paraId="3DB8211F">
      <w:pPr>
        <w:keepNext w:val="0"/>
        <w:keepLines w:val="0"/>
        <w:pageBreakBefore w:val="0"/>
        <w:widowControl w:val="0"/>
        <w:kinsoku/>
        <w:wordWrap/>
        <w:overflowPunct/>
        <w:topLinePunct w:val="0"/>
        <w:autoSpaceDE/>
        <w:autoSpaceDN/>
        <w:bidi w:val="0"/>
        <w:adjustRightInd/>
        <w:spacing w:after="0" w:line="336" w:lineRule="auto"/>
        <w:ind w:left="0" w:right="0" w:rightChars="0" w:firstLine="420"/>
        <w:textAlignment w:val="auto"/>
        <w:rPr>
          <w:b/>
          <w:bCs/>
          <w:szCs w:val="21"/>
        </w:rPr>
      </w:pPr>
      <w:r>
        <w:rPr>
          <w:b/>
          <w:bCs/>
          <w:szCs w:val="21"/>
        </w:rPr>
        <w:t>2.</w:t>
      </w:r>
      <w:r>
        <w:rPr>
          <w:rFonts w:hint="eastAsia"/>
          <w:b/>
          <w:bCs/>
          <w:szCs w:val="21"/>
        </w:rPr>
        <w:t>备份投标文件部分：</w:t>
      </w:r>
    </w:p>
    <w:p w14:paraId="7BFC71AC">
      <w:pPr>
        <w:keepNext w:val="0"/>
        <w:keepLines w:val="0"/>
        <w:pageBreakBefore w:val="0"/>
        <w:widowControl w:val="0"/>
        <w:kinsoku/>
        <w:wordWrap/>
        <w:overflowPunct/>
        <w:topLinePunct w:val="0"/>
        <w:autoSpaceDE/>
        <w:autoSpaceDN/>
        <w:bidi w:val="0"/>
        <w:adjustRightInd/>
        <w:snapToGrid w:val="0"/>
        <w:spacing w:after="0" w:line="336" w:lineRule="auto"/>
        <w:ind w:left="0" w:right="0" w:rightChars="0" w:firstLine="420" w:firstLineChars="200"/>
        <w:textAlignment w:val="auto"/>
        <w:rPr>
          <w:rFonts w:hint="eastAsia"/>
          <w:szCs w:val="21"/>
        </w:rPr>
      </w:pP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052ED2CC">
      <w:pPr>
        <w:keepNext w:val="0"/>
        <w:keepLines w:val="0"/>
        <w:pageBreakBefore w:val="0"/>
        <w:widowControl w:val="0"/>
        <w:kinsoku/>
        <w:wordWrap/>
        <w:overflowPunct/>
        <w:topLinePunct w:val="0"/>
        <w:autoSpaceDE/>
        <w:autoSpaceDN/>
        <w:bidi w:val="0"/>
        <w:adjustRightInd/>
        <w:snapToGrid w:val="0"/>
        <w:spacing w:after="0" w:line="336" w:lineRule="auto"/>
        <w:ind w:left="0" w:right="0" w:rightChars="0" w:firstLine="422" w:firstLineChars="200"/>
        <w:textAlignment w:val="auto"/>
        <w:rPr>
          <w:b/>
          <w:szCs w:val="21"/>
        </w:rPr>
      </w:pPr>
      <w:r>
        <w:rPr>
          <w:rFonts w:hint="eastAsia"/>
          <w:b/>
          <w:szCs w:val="21"/>
        </w:rPr>
        <w:t>（二）投标文件的组成</w:t>
      </w:r>
    </w:p>
    <w:p w14:paraId="7DB15D1F">
      <w:pPr>
        <w:keepNext w:val="0"/>
        <w:keepLines w:val="0"/>
        <w:pageBreakBefore w:val="0"/>
        <w:widowControl w:val="0"/>
        <w:kinsoku/>
        <w:wordWrap/>
        <w:overflowPunct/>
        <w:topLinePunct w:val="0"/>
        <w:autoSpaceDE/>
        <w:autoSpaceDN/>
        <w:bidi w:val="0"/>
        <w:adjustRightInd/>
        <w:spacing w:after="0" w:line="360" w:lineRule="auto"/>
        <w:ind w:left="0" w:right="0" w:rightChars="0" w:firstLine="413" w:firstLineChars="196"/>
        <w:textAlignment w:val="auto"/>
        <w:rPr>
          <w:rFonts w:ascii="宋体" w:hAnsi="Courier New"/>
          <w:szCs w:val="21"/>
        </w:rPr>
      </w:pPr>
      <w:r>
        <w:rPr>
          <w:rFonts w:hint="eastAsia" w:ascii="宋体" w:hAnsi="Courier New"/>
          <w:b/>
          <w:bCs/>
          <w:szCs w:val="21"/>
        </w:rPr>
        <w:t>投标文件由资格响应文件、商务及技术响应文件、报价文件三部份组成。</w:t>
      </w:r>
      <w:r>
        <w:rPr>
          <w:rFonts w:hint="eastAsia" w:ascii="宋体" w:hAnsi="Courier New"/>
          <w:szCs w:val="21"/>
        </w:rPr>
        <w:t>电子投标文件中所须加盖公章部分均采用CA签章。（以下投标文件的部分格式详见本招标文件第六章，如本招标文件没有提供相应的格式，投标人可自行制表填写）</w:t>
      </w:r>
    </w:p>
    <w:p w14:paraId="6BD032D4">
      <w:pPr>
        <w:keepNext w:val="0"/>
        <w:keepLines w:val="0"/>
        <w:pageBreakBefore w:val="0"/>
        <w:widowControl w:val="0"/>
        <w:kinsoku/>
        <w:wordWrap/>
        <w:overflowPunct/>
        <w:topLinePunct w:val="0"/>
        <w:autoSpaceDE/>
        <w:autoSpaceDN/>
        <w:bidi w:val="0"/>
        <w:adjustRightInd/>
        <w:spacing w:after="0" w:line="360" w:lineRule="auto"/>
        <w:ind w:left="0" w:right="0" w:rightChars="0" w:firstLine="422" w:firstLineChars="200"/>
        <w:textAlignment w:val="auto"/>
        <w:rPr>
          <w:b/>
          <w:szCs w:val="21"/>
        </w:rPr>
      </w:pPr>
      <w:r>
        <w:rPr>
          <w:rFonts w:hint="eastAsia"/>
          <w:b/>
          <w:szCs w:val="21"/>
          <w:lang w:val="en-US" w:eastAsia="zh-CN"/>
        </w:rPr>
        <w:t>1.</w:t>
      </w:r>
      <w:r>
        <w:rPr>
          <w:rFonts w:hint="eastAsia"/>
          <w:b/>
          <w:szCs w:val="21"/>
        </w:rPr>
        <w:t>资格响应部份：</w:t>
      </w:r>
    </w:p>
    <w:p w14:paraId="5EEECC8D">
      <w:pPr>
        <w:keepNext w:val="0"/>
        <w:keepLines w:val="0"/>
        <w:pageBreakBefore w:val="0"/>
        <w:widowControl w:val="0"/>
        <w:kinsoku/>
        <w:wordWrap/>
        <w:overflowPunct/>
        <w:topLinePunct w:val="0"/>
        <w:autoSpaceDE/>
        <w:autoSpaceDN/>
        <w:bidi w:val="0"/>
        <w:adjustRightInd/>
        <w:spacing w:after="0" w:line="360" w:lineRule="auto"/>
        <w:ind w:left="0" w:right="0" w:rightChars="0" w:firstLine="420" w:firstLineChars="200"/>
        <w:textAlignment w:val="auto"/>
      </w:pPr>
      <w:r>
        <w:rPr>
          <w:rFonts w:hint="eastAsia"/>
        </w:rPr>
        <w:t>基本资格条件：符合《中华人民共和国政府采购法》第二十二条的规定；</w:t>
      </w:r>
    </w:p>
    <w:p w14:paraId="3BD561C4">
      <w:pPr>
        <w:keepNext w:val="0"/>
        <w:keepLines w:val="0"/>
        <w:pageBreakBefore w:val="0"/>
        <w:widowControl w:val="0"/>
        <w:kinsoku/>
        <w:wordWrap/>
        <w:overflowPunct/>
        <w:topLinePunct w:val="0"/>
        <w:autoSpaceDE/>
        <w:autoSpaceDN/>
        <w:bidi w:val="0"/>
        <w:adjustRightInd/>
        <w:spacing w:after="0" w:line="360" w:lineRule="auto"/>
        <w:ind w:left="0" w:right="0" w:rightChars="0" w:firstLine="420" w:firstLineChars="200"/>
        <w:textAlignment w:val="auto"/>
      </w:pPr>
      <w:r>
        <w:rPr>
          <w:rFonts w:hint="eastAsia"/>
        </w:rPr>
        <w:t>（以下</w:t>
      </w:r>
      <w:r>
        <w:t>A~E</w:t>
      </w:r>
      <w:r>
        <w:rPr>
          <w:rFonts w:hint="eastAsia"/>
        </w:rPr>
        <w:t>项是第二十二条要求及对应证明材料的具体内容，各投标人须在投标文件中出具对应证明材料）</w:t>
      </w:r>
    </w:p>
    <w:p w14:paraId="7A5CE96C">
      <w:pPr>
        <w:keepNext w:val="0"/>
        <w:keepLines w:val="0"/>
        <w:pageBreakBefore w:val="0"/>
        <w:widowControl w:val="0"/>
        <w:kinsoku/>
        <w:wordWrap/>
        <w:overflowPunct/>
        <w:topLinePunct w:val="0"/>
        <w:autoSpaceDE/>
        <w:autoSpaceDN/>
        <w:bidi w:val="0"/>
        <w:adjustRightInd/>
        <w:spacing w:after="0" w:line="360" w:lineRule="auto"/>
        <w:ind w:left="0" w:right="0" w:rightChars="0" w:firstLine="482" w:firstLineChars="200"/>
        <w:textAlignment w:val="auto"/>
        <w:rPr>
          <w:b/>
          <w:bCs/>
        </w:rPr>
      </w:pPr>
      <w:r>
        <w:rPr>
          <w:b/>
          <w:bCs/>
          <w:sz w:val="24"/>
        </w:rPr>
        <w:t>A.</w:t>
      </w:r>
      <w:r>
        <w:rPr>
          <w:rFonts w:hint="eastAsia"/>
          <w:b/>
          <w:bCs/>
        </w:rPr>
        <w:t>具有独立承担民事责任的能力：</w:t>
      </w:r>
    </w:p>
    <w:p w14:paraId="6F23812D">
      <w:pPr>
        <w:keepNext w:val="0"/>
        <w:keepLines w:val="0"/>
        <w:pageBreakBefore w:val="0"/>
        <w:widowControl w:val="0"/>
        <w:kinsoku/>
        <w:wordWrap/>
        <w:overflowPunct/>
        <w:topLinePunct w:val="0"/>
        <w:autoSpaceDE/>
        <w:autoSpaceDN/>
        <w:bidi w:val="0"/>
        <w:adjustRightInd/>
        <w:spacing w:after="0" w:line="360" w:lineRule="auto"/>
        <w:ind w:left="0" w:right="0" w:rightChars="0" w:firstLine="420" w:firstLineChars="200"/>
        <w:textAlignment w:val="auto"/>
        <w:rPr>
          <w:b/>
          <w:bCs/>
        </w:rPr>
      </w:pPr>
      <w:r>
        <w:rPr>
          <w:rFonts w:hint="eastAsia"/>
        </w:rPr>
        <w:t>投标人须在投标文件中出具符合以下情况的证明材料复印件</w:t>
      </w:r>
      <w:r>
        <w:rPr>
          <w:rFonts w:hint="eastAsia"/>
          <w:b/>
          <w:bCs/>
        </w:rPr>
        <w:t>（五选一）：</w:t>
      </w:r>
    </w:p>
    <w:p w14:paraId="31AECC59">
      <w:pPr>
        <w:keepNext w:val="0"/>
        <w:keepLines w:val="0"/>
        <w:pageBreakBefore w:val="0"/>
        <w:widowControl w:val="0"/>
        <w:kinsoku/>
        <w:wordWrap/>
        <w:overflowPunct/>
        <w:topLinePunct w:val="0"/>
        <w:autoSpaceDE/>
        <w:autoSpaceDN/>
        <w:bidi w:val="0"/>
        <w:adjustRightInd/>
        <w:spacing w:after="0" w:line="360" w:lineRule="auto"/>
        <w:ind w:left="0" w:right="0" w:rightChars="0" w:firstLine="420" w:firstLineChars="200"/>
        <w:textAlignment w:val="auto"/>
      </w:pPr>
      <w:r>
        <w:rPr>
          <w:rFonts w:hint="eastAsia"/>
        </w:rPr>
        <w:t>①如投标人是企业（包括合伙企业），提供在工商部门注册的有效</w:t>
      </w:r>
      <w:r>
        <w:t>“</w:t>
      </w:r>
      <w:r>
        <w:rPr>
          <w:rFonts w:hint="eastAsia"/>
        </w:rPr>
        <w:t>企业法人营业执照</w:t>
      </w:r>
      <w:r>
        <w:t>”</w:t>
      </w:r>
      <w:r>
        <w:rPr>
          <w:rFonts w:hint="eastAsia"/>
        </w:rPr>
        <w:t>或</w:t>
      </w:r>
      <w:r>
        <w:t>“</w:t>
      </w:r>
      <w:r>
        <w:rPr>
          <w:rFonts w:hint="eastAsia"/>
        </w:rPr>
        <w:t>营业执照</w:t>
      </w:r>
      <w:r>
        <w:t>”</w:t>
      </w:r>
      <w:r>
        <w:rPr>
          <w:rFonts w:hint="eastAsia"/>
        </w:rPr>
        <w:t>；</w:t>
      </w:r>
    </w:p>
    <w:p w14:paraId="277540C0">
      <w:pPr>
        <w:spacing w:line="360" w:lineRule="auto"/>
        <w:ind w:firstLine="420" w:firstLineChars="200"/>
      </w:pPr>
      <w:r>
        <w:rPr>
          <w:rFonts w:hint="eastAsia"/>
        </w:rPr>
        <w:t>②如投标人是事业单位，提供有效的</w:t>
      </w:r>
      <w:r>
        <w:t>“</w:t>
      </w:r>
      <w:r>
        <w:rPr>
          <w:rFonts w:hint="eastAsia"/>
        </w:rPr>
        <w:t>事业单位法人证书</w:t>
      </w:r>
      <w:r>
        <w:t>”</w:t>
      </w:r>
      <w:r>
        <w:rPr>
          <w:rFonts w:hint="eastAsia"/>
        </w:rPr>
        <w:t>；</w:t>
      </w:r>
    </w:p>
    <w:p w14:paraId="4E0D857C">
      <w:pPr>
        <w:spacing w:line="360" w:lineRule="auto"/>
        <w:ind w:firstLine="420" w:firstLineChars="200"/>
      </w:pPr>
      <w:r>
        <w:rPr>
          <w:rFonts w:hint="eastAsia"/>
        </w:rPr>
        <w:t>③如投标人是非企业专业服务机构的，提供执业许可证等证明文件；</w:t>
      </w:r>
    </w:p>
    <w:p w14:paraId="435EDCF5">
      <w:pPr>
        <w:spacing w:line="360" w:lineRule="auto"/>
        <w:ind w:firstLine="420" w:firstLineChars="200"/>
      </w:pPr>
      <w:r>
        <w:rPr>
          <w:rFonts w:hint="eastAsia"/>
        </w:rPr>
        <w:t>④如投标人是个体工商户，提供有效的</w:t>
      </w:r>
      <w:r>
        <w:t>“</w:t>
      </w:r>
      <w:r>
        <w:rPr>
          <w:rFonts w:hint="eastAsia"/>
        </w:rPr>
        <w:t>个体工商户营业执照</w:t>
      </w:r>
      <w:r>
        <w:t>”</w:t>
      </w:r>
      <w:r>
        <w:rPr>
          <w:rFonts w:hint="eastAsia"/>
        </w:rPr>
        <w:t>；</w:t>
      </w:r>
    </w:p>
    <w:p w14:paraId="2C3C460D">
      <w:pPr>
        <w:spacing w:line="360" w:lineRule="auto"/>
        <w:ind w:firstLine="420" w:firstLineChars="200"/>
      </w:pPr>
      <w:r>
        <w:rPr>
          <w:rFonts w:hint="eastAsia"/>
        </w:rPr>
        <w:t>⑤如投标人是自然人，提供有效的自然人身份证明（居民身份证正反面或公安机关出具的临时居民身份证正反面或港澳台胞证或证照）。</w:t>
      </w:r>
    </w:p>
    <w:p w14:paraId="1EFADF7F">
      <w:pPr>
        <w:spacing w:line="360" w:lineRule="auto"/>
        <w:ind w:firstLine="422" w:firstLineChars="200"/>
        <w:rPr>
          <w:b/>
          <w:bCs/>
        </w:rPr>
      </w:pPr>
      <w:r>
        <w:rPr>
          <w:b/>
          <w:bCs/>
          <w:szCs w:val="21"/>
        </w:rPr>
        <w:t>B.</w:t>
      </w:r>
      <w:r>
        <w:rPr>
          <w:rFonts w:hint="eastAsia"/>
          <w:b/>
          <w:bCs/>
        </w:rPr>
        <w:t>具有良好的商业信誉和健全的财务会计制度：</w:t>
      </w:r>
    </w:p>
    <w:p w14:paraId="309CF409">
      <w:pPr>
        <w:spacing w:line="360" w:lineRule="auto"/>
        <w:ind w:firstLine="420" w:firstLineChars="200"/>
      </w:pPr>
      <w:r>
        <w:rPr>
          <w:rFonts w:hint="eastAsia"/>
        </w:rPr>
        <w:t>①良好的商业信誉：</w:t>
      </w:r>
    </w:p>
    <w:p w14:paraId="225FA561">
      <w:pPr>
        <w:spacing w:line="360" w:lineRule="auto"/>
        <w:ind w:firstLine="420" w:firstLineChars="200"/>
      </w:pPr>
      <w:r>
        <w:rPr>
          <w:rFonts w:hint="eastAsia"/>
        </w:rPr>
        <w:t>至本项目投标截止时间止未被</w:t>
      </w:r>
      <w:r>
        <w:t>“</w:t>
      </w:r>
      <w:r>
        <w:rPr>
          <w:rFonts w:hint="eastAsia"/>
        </w:rPr>
        <w:t>信用中国</w:t>
      </w:r>
      <w:r>
        <w:t>”</w:t>
      </w:r>
      <w:r>
        <w:rPr>
          <w:rFonts w:hint="eastAsia"/>
        </w:rPr>
        <w:t>（</w:t>
      </w:r>
      <w:r>
        <w:t>www.creditchina.gov.cn</w:t>
      </w:r>
      <w:r>
        <w:rPr>
          <w:rFonts w:hint="eastAsia"/>
        </w:rPr>
        <w:t>）、中国政府采购网（</w:t>
      </w:r>
      <w:r>
        <w:t>www.ccgp.gov.cn</w:t>
      </w:r>
      <w:r>
        <w:rPr>
          <w:rFonts w:hint="eastAsia"/>
        </w:rPr>
        <w:t>）列入失信被执行人、重大税收违法案件当事人名单、政府采购严重违法失信行为记录名单网页查询记录截图。</w:t>
      </w:r>
    </w:p>
    <w:p w14:paraId="72E6300D">
      <w:pPr>
        <w:spacing w:line="360" w:lineRule="auto"/>
        <w:ind w:firstLine="420" w:firstLineChars="200"/>
      </w:pPr>
      <w:r>
        <w:rPr>
          <w:rFonts w:hint="eastAsia"/>
          <w:szCs w:val="21"/>
        </w:rPr>
        <w:t>提供</w:t>
      </w:r>
      <w:r>
        <w:rPr>
          <w:rFonts w:hint="eastAsia"/>
        </w:rPr>
        <w:t>查询截图，（截图查询网站时间须在开标截止前二个星期内）</w:t>
      </w:r>
    </w:p>
    <w:p w14:paraId="54F51046">
      <w:pPr>
        <w:spacing w:line="360" w:lineRule="auto"/>
        <w:ind w:firstLine="420" w:firstLineChars="200"/>
      </w:pPr>
      <w:r>
        <w:rPr>
          <w:rFonts w:hint="eastAsia"/>
          <w:szCs w:val="21"/>
        </w:rPr>
        <w:t>对</w:t>
      </w:r>
      <w:r>
        <w:rPr>
          <w:rFonts w:hint="eastAsia"/>
        </w:rPr>
        <w:t>列入失信被执行人、重大税收违法案件当事人名单、政府采购严重违法失信行为记录名单的投标人，其投标将作无效标处理。</w:t>
      </w:r>
    </w:p>
    <w:p w14:paraId="5E39289B">
      <w:pPr>
        <w:spacing w:line="360" w:lineRule="auto"/>
        <w:ind w:firstLine="420" w:firstLineChars="200"/>
      </w:pPr>
      <w:r>
        <w:rPr>
          <w:rFonts w:hint="eastAsia" w:ascii="宋体" w:hAnsi="宋体" w:cs="宋体"/>
        </w:rPr>
        <w:t>②</w:t>
      </w:r>
      <w:r>
        <w:rPr>
          <w:rFonts w:hint="eastAsia"/>
        </w:rPr>
        <w:t>健全的财务会计制度：</w:t>
      </w:r>
    </w:p>
    <w:p w14:paraId="4A26111D">
      <w:pPr>
        <w:spacing w:line="360" w:lineRule="auto"/>
        <w:ind w:firstLine="420" w:firstLineChars="200"/>
      </w:pPr>
      <w:r>
        <w:rPr>
          <w:rFonts w:hint="eastAsia"/>
        </w:rPr>
        <w:t>投标人须在投标文件中出具符合以下情况的证明材料复印件</w:t>
      </w:r>
      <w:r>
        <w:rPr>
          <w:rFonts w:hint="eastAsia"/>
          <w:b/>
          <w:bCs/>
        </w:rPr>
        <w:t>（三选一）</w:t>
      </w:r>
      <w:r>
        <w:rPr>
          <w:rFonts w:hint="eastAsia"/>
        </w:rPr>
        <w:t>：</w:t>
      </w:r>
    </w:p>
    <w:p w14:paraId="16ACFF62">
      <w:pPr>
        <w:tabs>
          <w:tab w:val="left" w:pos="735"/>
        </w:tabs>
        <w:spacing w:line="360" w:lineRule="auto"/>
        <w:ind w:firstLine="420" w:firstLineChars="200"/>
      </w:pPr>
      <w:r>
        <w:rPr>
          <w:rFonts w:hint="eastAsia"/>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12FA5D54">
      <w:pPr>
        <w:numPr>
          <w:ilvl w:val="0"/>
          <w:numId w:val="8"/>
        </w:numPr>
        <w:tabs>
          <w:tab w:val="left" w:pos="735"/>
        </w:tabs>
        <w:spacing w:line="360" w:lineRule="auto"/>
      </w:pPr>
      <w:r>
        <w:rPr>
          <w:rFonts w:hint="eastAsia"/>
        </w:rPr>
        <w:t>其他组织和自然人如没有经审计的财务报告的，可以提供资产负债表、利润表、现金</w:t>
      </w:r>
    </w:p>
    <w:p w14:paraId="5CE5EB57">
      <w:pPr>
        <w:tabs>
          <w:tab w:val="left" w:pos="735"/>
        </w:tabs>
        <w:spacing w:line="360" w:lineRule="auto"/>
      </w:pPr>
      <w:r>
        <w:rPr>
          <w:rFonts w:hint="eastAsia"/>
        </w:rPr>
        <w:t>流量表。</w:t>
      </w:r>
    </w:p>
    <w:p w14:paraId="3339B21A">
      <w:pPr>
        <w:numPr>
          <w:ilvl w:val="0"/>
          <w:numId w:val="8"/>
        </w:numPr>
        <w:tabs>
          <w:tab w:val="left" w:pos="735"/>
        </w:tabs>
        <w:spacing w:line="360" w:lineRule="auto"/>
      </w:pPr>
      <w:r>
        <w:rPr>
          <w:rFonts w:hint="eastAsia"/>
        </w:rPr>
        <w:t>新成立不足一年的公司须出具情况说明。</w:t>
      </w:r>
    </w:p>
    <w:p w14:paraId="60CD7AB6">
      <w:pPr>
        <w:spacing w:line="360" w:lineRule="auto"/>
        <w:ind w:firstLine="413" w:firstLineChars="196"/>
        <w:rPr>
          <w:b/>
          <w:bCs/>
          <w:szCs w:val="21"/>
        </w:rPr>
      </w:pPr>
      <w:r>
        <w:rPr>
          <w:b/>
          <w:bCs/>
          <w:szCs w:val="21"/>
        </w:rPr>
        <w:t>C.</w:t>
      </w:r>
      <w:r>
        <w:rPr>
          <w:rFonts w:hint="eastAsia"/>
          <w:b/>
          <w:bCs/>
          <w:szCs w:val="21"/>
        </w:rPr>
        <w:t>具有履行合同所必需的设备和专业技术能力：</w:t>
      </w:r>
    </w:p>
    <w:p w14:paraId="560778EB">
      <w:pPr>
        <w:spacing w:line="360" w:lineRule="auto"/>
        <w:ind w:left="420"/>
        <w:rPr>
          <w:kern w:val="0"/>
          <w:szCs w:val="21"/>
        </w:rPr>
      </w:pPr>
      <w:r>
        <w:rPr>
          <w:rFonts w:hint="eastAsia"/>
          <w:kern w:val="0"/>
          <w:szCs w:val="21"/>
        </w:rPr>
        <w:t>投标人须在投标文件中出具具有履行合同所必需的设备和专业技术能力的《投标函》。</w:t>
      </w:r>
    </w:p>
    <w:p w14:paraId="5AA04F2B">
      <w:pPr>
        <w:spacing w:line="360" w:lineRule="auto"/>
        <w:ind w:firstLine="413" w:firstLineChars="196"/>
        <w:rPr>
          <w:b/>
          <w:bCs/>
          <w:szCs w:val="21"/>
        </w:rPr>
      </w:pPr>
      <w:r>
        <w:rPr>
          <w:b/>
          <w:bCs/>
          <w:szCs w:val="21"/>
        </w:rPr>
        <w:t>D.</w:t>
      </w:r>
      <w:r>
        <w:rPr>
          <w:rFonts w:hint="eastAsia"/>
          <w:b/>
          <w:bCs/>
          <w:szCs w:val="21"/>
        </w:rPr>
        <w:t>有依法缴纳税收和社会保障资金的良好记录：（如有）</w:t>
      </w:r>
    </w:p>
    <w:p w14:paraId="4C28AC9A">
      <w:pPr>
        <w:spacing w:line="360" w:lineRule="auto"/>
        <w:ind w:firstLine="420" w:firstLineChars="200"/>
      </w:pPr>
      <w:r>
        <w:t>1.</w:t>
      </w:r>
      <w:r>
        <w:rPr>
          <w:rFonts w:hint="eastAsia"/>
        </w:rPr>
        <w:t>投标人须在投标文件中同时出具满足以下要求的证明材料复印件：</w:t>
      </w:r>
    </w:p>
    <w:p w14:paraId="4C6C6330">
      <w:pPr>
        <w:spacing w:line="360" w:lineRule="auto"/>
        <w:ind w:firstLine="420" w:firstLineChars="200"/>
      </w:pPr>
      <w:r>
        <w:rPr>
          <w:rFonts w:hint="eastAsia"/>
        </w:rPr>
        <w:t>①投标人须提供由税务部门出具的最近一季度缴纳增值税和企业所得税的纳税证明。</w:t>
      </w:r>
    </w:p>
    <w:p w14:paraId="48165994">
      <w:pPr>
        <w:spacing w:line="360" w:lineRule="auto"/>
        <w:ind w:firstLine="420" w:firstLineChars="200"/>
      </w:pPr>
      <w:r>
        <w:rPr>
          <w:rFonts w:hint="eastAsia" w:ascii="宋体" w:hAnsi="宋体" w:cs="宋体"/>
        </w:rPr>
        <w:t>②</w:t>
      </w:r>
      <w:r>
        <w:rPr>
          <w:rFonts w:hint="eastAsia"/>
        </w:rPr>
        <w:t>投标人须提供最近三个月内缴纳社会保险的凭据（缴税付款凭证或社会保险缴纳证明）</w:t>
      </w:r>
    </w:p>
    <w:p w14:paraId="4D23BD2D">
      <w:pPr>
        <w:spacing w:line="360" w:lineRule="auto"/>
        <w:ind w:firstLine="420" w:firstLineChars="200"/>
      </w:pPr>
      <w:r>
        <w:rPr>
          <w:rFonts w:hint="eastAsia"/>
        </w:rPr>
        <w:t>依法免税或不需要缴纳社会保障资金的投标人，应提供相应文件证明其依法免税或不需要缴纳社会保障资金。</w:t>
      </w:r>
    </w:p>
    <w:p w14:paraId="7A6386E7">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b/>
          <w:bCs/>
        </w:rPr>
      </w:pPr>
      <w:r>
        <w:rPr>
          <w:b/>
          <w:bCs/>
        </w:rPr>
        <w:t>E.</w:t>
      </w:r>
      <w:r>
        <w:rPr>
          <w:rFonts w:hint="eastAsia"/>
          <w:b/>
          <w:bCs/>
        </w:rPr>
        <w:t>参加政府采购活动前三年内，在经营活动中没有重大违法记录：</w:t>
      </w:r>
    </w:p>
    <w:p w14:paraId="3A723EB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pPr>
      <w:r>
        <w:rPr>
          <w:rFonts w:hint="eastAsia"/>
        </w:rPr>
        <w:t>投标人须在投标文件中出具《声明函》、廉政承诺书。（格式见附件）</w:t>
      </w:r>
    </w:p>
    <w:p w14:paraId="71ABA345">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hint="eastAsia" w:ascii="宋体" w:hAnsi="宋体"/>
          <w:b/>
          <w:szCs w:val="21"/>
        </w:rPr>
      </w:pPr>
      <w:r>
        <w:rPr>
          <w:rFonts w:hint="eastAsia"/>
          <w:szCs w:val="21"/>
        </w:rPr>
        <w:t>注：证明材料均需加盖签章。</w:t>
      </w:r>
    </w:p>
    <w:p w14:paraId="7D0F890C">
      <w:pPr>
        <w:keepNext w:val="0"/>
        <w:keepLines w:val="0"/>
        <w:pageBreakBefore w:val="0"/>
        <w:widowControl w:val="0"/>
        <w:kinsoku/>
        <w:wordWrap/>
        <w:overflowPunct/>
        <w:topLinePunct w:val="0"/>
        <w:autoSpaceDE/>
        <w:autoSpaceDN/>
        <w:bidi w:val="0"/>
        <w:adjustRightInd/>
        <w:snapToGrid w:val="0"/>
        <w:spacing w:after="0" w:line="336" w:lineRule="auto"/>
        <w:ind w:left="0" w:right="0" w:rightChars="0" w:firstLine="422" w:firstLineChars="200"/>
        <w:textAlignment w:val="auto"/>
        <w:rPr>
          <w:rFonts w:hint="eastAsia" w:ascii="宋体" w:hAnsi="宋体"/>
          <w:b/>
          <w:szCs w:val="21"/>
        </w:rPr>
      </w:pPr>
      <w:r>
        <w:rPr>
          <w:rFonts w:hint="eastAsia" w:ascii="宋体" w:hAnsi="宋体"/>
          <w:b/>
          <w:szCs w:val="21"/>
        </w:rPr>
        <w:t>2.商务及技术部分：</w:t>
      </w:r>
    </w:p>
    <w:p w14:paraId="65132BF4">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2.1投标人基本情况表（如有）；</w:t>
      </w:r>
    </w:p>
    <w:p w14:paraId="452E960A">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2.2成功案例及业绩；</w:t>
      </w:r>
    </w:p>
    <w:p w14:paraId="6F558788">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2.3 项目负责人简历表（须附相关证明材料）；项目实施人员一览表（须附职称证书复印件）；</w:t>
      </w:r>
    </w:p>
    <w:p w14:paraId="74A2CB24">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2.4商务响应表；</w:t>
      </w:r>
    </w:p>
    <w:p w14:paraId="0B47F7A3">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2.5 对本项目总体要求的理解；</w:t>
      </w:r>
    </w:p>
    <w:p w14:paraId="2C2C66BC">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2.6 项目</w:t>
      </w:r>
      <w:r>
        <w:rPr>
          <w:rFonts w:hint="eastAsia" w:ascii="宋体" w:hAnsi="宋体"/>
          <w:bCs/>
          <w:szCs w:val="21"/>
          <w:lang w:val="en-US" w:eastAsia="zh-CN"/>
        </w:rPr>
        <w:t>实施</w:t>
      </w:r>
      <w:r>
        <w:rPr>
          <w:rFonts w:hint="eastAsia" w:ascii="宋体" w:hAnsi="宋体" w:eastAsia="宋体"/>
          <w:bCs/>
          <w:szCs w:val="21"/>
        </w:rPr>
        <w:t>方案</w:t>
      </w:r>
    </w:p>
    <w:p w14:paraId="669801D6">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 xml:space="preserve">2.7 保证项目质量的技术力量及技术措施； </w:t>
      </w:r>
    </w:p>
    <w:p w14:paraId="67D66A35">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w:t>
      </w:r>
      <w:r>
        <w:rPr>
          <w:rFonts w:hint="eastAsia" w:ascii="宋体" w:hAnsi="宋体"/>
          <w:bCs/>
          <w:szCs w:val="21"/>
          <w:lang w:val="en-US" w:eastAsia="zh-CN"/>
        </w:rPr>
        <w:t>8</w:t>
      </w:r>
      <w:r>
        <w:rPr>
          <w:rFonts w:hint="eastAsia" w:ascii="宋体" w:hAnsi="宋体" w:eastAsia="宋体"/>
          <w:bCs/>
          <w:szCs w:val="21"/>
        </w:rPr>
        <w:t xml:space="preserve"> 工作计划表和进度表；</w:t>
      </w:r>
    </w:p>
    <w:p w14:paraId="2ADE484C">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w:t>
      </w:r>
      <w:r>
        <w:rPr>
          <w:rFonts w:hint="eastAsia" w:ascii="宋体" w:hAnsi="宋体"/>
          <w:bCs/>
          <w:szCs w:val="21"/>
          <w:lang w:val="en-US" w:eastAsia="zh-CN"/>
        </w:rPr>
        <w:t>9</w:t>
      </w:r>
      <w:r>
        <w:rPr>
          <w:rFonts w:hint="eastAsia" w:ascii="宋体" w:hAnsi="宋体" w:eastAsia="宋体"/>
          <w:bCs/>
          <w:szCs w:val="21"/>
        </w:rPr>
        <w:t xml:space="preserve"> 技术服务、服务点的情况介绍以及服务承诺和保障措施；</w:t>
      </w:r>
    </w:p>
    <w:p w14:paraId="4DD322CB">
      <w:pPr>
        <w:snapToGrid w:val="0"/>
        <w:spacing w:line="360" w:lineRule="auto"/>
        <w:ind w:firstLine="411" w:firstLineChars="196"/>
        <w:jc w:val="left"/>
        <w:rPr>
          <w:rFonts w:hint="eastAsia" w:ascii="宋体" w:hAnsi="宋体" w:eastAsia="宋体"/>
          <w:bCs/>
          <w:szCs w:val="21"/>
          <w:lang w:eastAsia="zh-CN"/>
        </w:rPr>
      </w:pPr>
      <w:r>
        <w:rPr>
          <w:rFonts w:hint="eastAsia" w:ascii="宋体" w:hAnsi="宋体" w:eastAsia="宋体"/>
          <w:bCs/>
          <w:szCs w:val="21"/>
        </w:rPr>
        <w:t>2.1</w:t>
      </w:r>
      <w:r>
        <w:rPr>
          <w:rFonts w:hint="eastAsia" w:ascii="宋体" w:hAnsi="宋体"/>
          <w:bCs/>
          <w:szCs w:val="21"/>
          <w:lang w:val="en-US" w:eastAsia="zh-CN"/>
        </w:rPr>
        <w:t>0</w:t>
      </w:r>
      <w:r>
        <w:rPr>
          <w:rFonts w:hint="eastAsia" w:ascii="宋体" w:hAnsi="宋体" w:eastAsia="宋体"/>
          <w:bCs/>
          <w:szCs w:val="21"/>
        </w:rPr>
        <w:t xml:space="preserve"> 技术响应表</w:t>
      </w:r>
      <w:r>
        <w:rPr>
          <w:rFonts w:hint="eastAsia" w:ascii="宋体" w:hAnsi="宋体"/>
          <w:bCs/>
          <w:szCs w:val="21"/>
          <w:lang w:eastAsia="zh-CN"/>
        </w:rPr>
        <w:t>；</w:t>
      </w:r>
    </w:p>
    <w:p w14:paraId="205B4A76">
      <w:pPr>
        <w:snapToGrid w:val="0"/>
        <w:spacing w:line="360" w:lineRule="auto"/>
        <w:ind w:firstLine="411" w:firstLineChars="196"/>
        <w:jc w:val="left"/>
        <w:rPr>
          <w:rFonts w:hint="eastAsia" w:ascii="宋体" w:eastAsia="宋体"/>
          <w:lang w:eastAsia="zh-CN"/>
        </w:rPr>
      </w:pPr>
      <w:r>
        <w:rPr>
          <w:rFonts w:hint="eastAsia" w:ascii="宋体" w:hAnsi="宋体" w:eastAsia="宋体"/>
          <w:bCs/>
          <w:szCs w:val="21"/>
        </w:rPr>
        <w:t>2.1</w:t>
      </w:r>
      <w:r>
        <w:rPr>
          <w:rFonts w:hint="eastAsia" w:ascii="宋体" w:hAnsi="宋体"/>
          <w:bCs/>
          <w:szCs w:val="21"/>
          <w:lang w:val="en-US" w:eastAsia="zh-CN"/>
        </w:rPr>
        <w:t>1</w:t>
      </w:r>
      <w:r>
        <w:rPr>
          <w:rFonts w:hint="eastAsia" w:ascii="宋体" w:hAnsi="宋体" w:eastAsia="宋体"/>
          <w:bCs/>
          <w:szCs w:val="21"/>
        </w:rPr>
        <w:t xml:space="preserve"> 投标人对本项目的合理化建议和改进措施</w:t>
      </w:r>
      <w:r>
        <w:rPr>
          <w:rFonts w:hint="eastAsia" w:ascii="宋体" w:hAnsi="宋体"/>
          <w:bCs/>
          <w:szCs w:val="21"/>
          <w:lang w:eastAsia="zh-CN"/>
        </w:rPr>
        <w:t>；</w:t>
      </w:r>
    </w:p>
    <w:p w14:paraId="078254C1">
      <w:pPr>
        <w:keepNext w:val="0"/>
        <w:keepLines w:val="0"/>
        <w:pageBreakBefore w:val="0"/>
        <w:widowControl w:val="0"/>
        <w:kinsoku/>
        <w:wordWrap/>
        <w:overflowPunct/>
        <w:topLinePunct w:val="0"/>
        <w:autoSpaceDE/>
        <w:autoSpaceDN/>
        <w:bidi w:val="0"/>
        <w:adjustRightInd/>
        <w:snapToGrid w:val="0"/>
        <w:spacing w:after="0" w:line="360" w:lineRule="auto"/>
        <w:ind w:left="0" w:right="0" w:rightChars="0" w:firstLine="411" w:firstLineChars="196"/>
        <w:jc w:val="left"/>
        <w:textAlignment w:val="auto"/>
        <w:rPr>
          <w:rFonts w:hint="eastAsia" w:ascii="宋体" w:hAnsi="宋体"/>
          <w:bCs/>
          <w:color w:val="auto"/>
          <w:szCs w:val="21"/>
        </w:rPr>
      </w:pPr>
      <w:r>
        <w:rPr>
          <w:rFonts w:hint="eastAsia" w:ascii="宋体" w:hAnsi="宋体"/>
          <w:color w:val="auto"/>
          <w:szCs w:val="21"/>
        </w:rPr>
        <w:t>2.1</w:t>
      </w:r>
      <w:r>
        <w:rPr>
          <w:rFonts w:hint="eastAsia" w:ascii="宋体" w:hAnsi="宋体"/>
          <w:color w:val="auto"/>
          <w:szCs w:val="21"/>
          <w:lang w:val="en-US" w:eastAsia="zh-CN"/>
        </w:rPr>
        <w:t>2</w:t>
      </w:r>
      <w:r>
        <w:rPr>
          <w:rFonts w:hint="eastAsia" w:ascii="宋体" w:hAnsi="宋体"/>
          <w:color w:val="auto"/>
          <w:szCs w:val="21"/>
        </w:rPr>
        <w:t>评分规则中涉及的所需提交的材料（如有），投标人需要说明的其他文件和说明（如有）</w:t>
      </w:r>
      <w:r>
        <w:rPr>
          <w:rFonts w:hint="eastAsia" w:ascii="宋体" w:hAnsi="宋体"/>
          <w:bCs/>
          <w:color w:val="auto"/>
          <w:szCs w:val="21"/>
        </w:rPr>
        <w:t>；</w:t>
      </w:r>
    </w:p>
    <w:p w14:paraId="4B8DF2C8">
      <w:pPr>
        <w:snapToGrid w:val="0"/>
        <w:spacing w:line="360" w:lineRule="auto"/>
        <w:ind w:firstLine="411" w:firstLineChars="196"/>
        <w:jc w:val="left"/>
        <w:rPr>
          <w:rFonts w:ascii="宋体" w:hAnsi="宋体" w:eastAsia="宋体" w:cs="Times New Roman"/>
          <w:bCs/>
          <w:color w:val="auto"/>
          <w:szCs w:val="21"/>
        </w:rPr>
      </w:pPr>
      <w:r>
        <w:rPr>
          <w:rFonts w:hint="eastAsia" w:ascii="宋体" w:hAnsi="宋体" w:eastAsia="宋体" w:cs="Times New Roman"/>
          <w:bCs/>
          <w:color w:val="auto"/>
          <w:szCs w:val="21"/>
        </w:rPr>
        <w:t>2.1</w:t>
      </w:r>
      <w:r>
        <w:rPr>
          <w:rFonts w:hint="eastAsia" w:ascii="宋体" w:hAnsi="宋体" w:eastAsia="宋体" w:cs="Times New Roman"/>
          <w:bCs/>
          <w:color w:val="auto"/>
          <w:szCs w:val="21"/>
          <w:lang w:val="en-US" w:eastAsia="zh-CN"/>
        </w:rPr>
        <w:t>3</w:t>
      </w:r>
      <w:r>
        <w:rPr>
          <w:rFonts w:hint="eastAsia" w:ascii="宋体" w:hAnsi="宋体" w:eastAsia="宋体" w:cs="Times New Roman"/>
          <w:bCs/>
          <w:color w:val="auto"/>
          <w:szCs w:val="21"/>
        </w:rPr>
        <w:t>联合体参与的，必须提供《联合体协议书》。</w:t>
      </w:r>
    </w:p>
    <w:p w14:paraId="0F4DD93C">
      <w:pPr>
        <w:snapToGrid w:val="0"/>
        <w:spacing w:line="360" w:lineRule="auto"/>
        <w:ind w:firstLine="411" w:firstLineChars="196"/>
        <w:jc w:val="left"/>
        <w:rPr>
          <w:rFonts w:hint="default" w:ascii="宋体" w:hAnsi="宋体" w:eastAsia="宋体"/>
          <w:bCs/>
          <w:color w:val="auto"/>
          <w:szCs w:val="21"/>
          <w:lang w:val="en-US" w:eastAsia="zh-CN"/>
        </w:rPr>
      </w:pPr>
      <w:r>
        <w:rPr>
          <w:rFonts w:hint="eastAsia" w:ascii="宋体" w:hAnsi="宋体" w:eastAsia="宋体" w:cs="Times New Roman"/>
          <w:bCs/>
          <w:color w:val="auto"/>
          <w:szCs w:val="21"/>
        </w:rPr>
        <w:t>2.1</w:t>
      </w:r>
      <w:r>
        <w:rPr>
          <w:rFonts w:hint="eastAsia" w:ascii="宋体" w:hAnsi="宋体" w:eastAsia="宋体" w:cs="Times New Roman"/>
          <w:bCs/>
          <w:color w:val="auto"/>
          <w:szCs w:val="21"/>
          <w:lang w:val="en-US" w:eastAsia="zh-CN"/>
        </w:rPr>
        <w:t>4</w:t>
      </w:r>
      <w:r>
        <w:rPr>
          <w:rFonts w:hint="eastAsia" w:ascii="宋体" w:hAnsi="宋体" w:eastAsia="宋体" w:cs="Times New Roman"/>
          <w:bCs/>
          <w:color w:val="auto"/>
          <w:szCs w:val="21"/>
        </w:rPr>
        <w:t>有分包的，提供分包意向协议</w:t>
      </w:r>
      <w:r>
        <w:rPr>
          <w:rFonts w:hint="eastAsia" w:ascii="宋体" w:hAnsi="宋体" w:eastAsia="宋体" w:cs="Times New Roman"/>
          <w:bCs/>
          <w:color w:val="auto"/>
          <w:szCs w:val="21"/>
          <w:lang w:val="en-US" w:eastAsia="zh-CN"/>
        </w:rPr>
        <w:t>和中小企业声明函</w:t>
      </w:r>
    </w:p>
    <w:p w14:paraId="4837EF46">
      <w:pPr>
        <w:keepNext w:val="0"/>
        <w:keepLines w:val="0"/>
        <w:pageBreakBefore w:val="0"/>
        <w:widowControl w:val="0"/>
        <w:kinsoku/>
        <w:wordWrap/>
        <w:overflowPunct/>
        <w:topLinePunct w:val="0"/>
        <w:autoSpaceDE/>
        <w:autoSpaceDN/>
        <w:bidi w:val="0"/>
        <w:adjustRightInd/>
        <w:snapToGrid w:val="0"/>
        <w:spacing w:after="0" w:line="360" w:lineRule="auto"/>
        <w:ind w:right="0" w:firstLine="413" w:firstLineChars="196"/>
        <w:jc w:val="left"/>
        <w:textAlignment w:val="auto"/>
        <w:rPr>
          <w:rFonts w:hint="eastAsia" w:ascii="宋体" w:hAnsi="宋体"/>
          <w:b/>
          <w:szCs w:val="21"/>
        </w:rPr>
      </w:pPr>
      <w:r>
        <w:rPr>
          <w:rFonts w:hint="eastAsia" w:ascii="宋体" w:hAnsi="宋体"/>
          <w:b/>
          <w:szCs w:val="21"/>
        </w:rPr>
        <w:t>3.报价部分：</w:t>
      </w:r>
    </w:p>
    <w:p w14:paraId="200694E2">
      <w:pPr>
        <w:keepNext w:val="0"/>
        <w:keepLines w:val="0"/>
        <w:pageBreakBefore w:val="0"/>
        <w:widowControl w:val="0"/>
        <w:kinsoku/>
        <w:wordWrap/>
        <w:overflowPunct/>
        <w:topLinePunct w:val="0"/>
        <w:autoSpaceDE/>
        <w:autoSpaceDN/>
        <w:bidi w:val="0"/>
        <w:adjustRightInd/>
        <w:snapToGrid w:val="0"/>
        <w:spacing w:after="0" w:line="336" w:lineRule="auto"/>
        <w:ind w:right="0" w:firstLine="420" w:firstLineChars="200"/>
        <w:jc w:val="left"/>
        <w:textAlignment w:val="auto"/>
        <w:rPr>
          <w:rFonts w:hint="eastAsia" w:ascii="宋体" w:hAnsi="宋体"/>
          <w:szCs w:val="21"/>
        </w:rPr>
      </w:pPr>
      <w:r>
        <w:rPr>
          <w:rFonts w:hint="eastAsia" w:ascii="宋体" w:hAnsi="宋体"/>
          <w:szCs w:val="21"/>
        </w:rPr>
        <w:t>3.1投标报价一览表；</w:t>
      </w:r>
    </w:p>
    <w:p w14:paraId="62FFD57F">
      <w:pPr>
        <w:keepNext w:val="0"/>
        <w:keepLines w:val="0"/>
        <w:pageBreakBefore w:val="0"/>
        <w:widowControl w:val="0"/>
        <w:tabs>
          <w:tab w:val="left" w:pos="3870"/>
          <w:tab w:val="left" w:pos="4085"/>
        </w:tabs>
        <w:kinsoku/>
        <w:wordWrap/>
        <w:overflowPunct/>
        <w:topLinePunct w:val="0"/>
        <w:autoSpaceDE/>
        <w:autoSpaceDN/>
        <w:bidi w:val="0"/>
        <w:adjustRightInd/>
        <w:snapToGrid w:val="0"/>
        <w:spacing w:after="0" w:line="336" w:lineRule="auto"/>
        <w:ind w:right="0" w:firstLine="420" w:firstLineChars="200"/>
        <w:jc w:val="left"/>
        <w:textAlignment w:val="auto"/>
        <w:rPr>
          <w:rFonts w:hint="eastAsia" w:ascii="宋体" w:hAnsi="宋体"/>
          <w:szCs w:val="21"/>
        </w:rPr>
      </w:pPr>
      <w:r>
        <w:rPr>
          <w:rFonts w:hint="eastAsia" w:ascii="宋体" w:hAnsi="宋体"/>
          <w:szCs w:val="21"/>
        </w:rPr>
        <w:t>3.2报价明细表；</w:t>
      </w:r>
    </w:p>
    <w:p w14:paraId="294231EC">
      <w:pPr>
        <w:keepNext w:val="0"/>
        <w:keepLines w:val="0"/>
        <w:pageBreakBefore w:val="0"/>
        <w:widowControl w:val="0"/>
        <w:kinsoku/>
        <w:wordWrap/>
        <w:overflowPunct/>
        <w:topLinePunct w:val="0"/>
        <w:autoSpaceDE/>
        <w:autoSpaceDN/>
        <w:bidi w:val="0"/>
        <w:adjustRightInd/>
        <w:snapToGrid w:val="0"/>
        <w:spacing w:after="0" w:line="336" w:lineRule="auto"/>
        <w:ind w:right="0" w:firstLine="420" w:firstLineChars="200"/>
        <w:jc w:val="left"/>
        <w:textAlignment w:val="auto"/>
        <w:rPr>
          <w:rFonts w:hint="eastAsia" w:ascii="宋体" w:hAnsi="宋体"/>
          <w:szCs w:val="21"/>
        </w:rPr>
      </w:pPr>
      <w:r>
        <w:rPr>
          <w:rFonts w:hint="eastAsia" w:ascii="宋体" w:hAnsi="宋体"/>
          <w:szCs w:val="21"/>
        </w:rPr>
        <w:t>3.3投标人针对报价需要说明的其他文件和说明。</w:t>
      </w:r>
    </w:p>
    <w:p w14:paraId="51676B83">
      <w:pPr>
        <w:keepNext w:val="0"/>
        <w:keepLines w:val="0"/>
        <w:pageBreakBefore w:val="0"/>
        <w:widowControl w:val="0"/>
        <w:kinsoku/>
        <w:wordWrap/>
        <w:overflowPunct/>
        <w:topLinePunct w:val="0"/>
        <w:autoSpaceDE/>
        <w:autoSpaceDN/>
        <w:bidi w:val="0"/>
        <w:adjustRightInd/>
        <w:spacing w:after="0" w:line="360" w:lineRule="auto"/>
        <w:ind w:right="0" w:firstLine="422" w:firstLineChars="200"/>
        <w:textAlignment w:val="auto"/>
        <w:rPr>
          <w:rFonts w:hint="eastAsia" w:ascii="宋体" w:hAnsi="宋体"/>
          <w:b/>
          <w:bCs/>
        </w:rPr>
      </w:pPr>
      <w:r>
        <w:rPr>
          <w:rFonts w:hint="eastAsia" w:ascii="宋体" w:hAnsi="宋体"/>
          <w:b/>
          <w:bCs/>
        </w:rPr>
        <w:t>中小企业声明函（如是）；</w:t>
      </w:r>
    </w:p>
    <w:p w14:paraId="378AA172">
      <w:pPr>
        <w:keepNext w:val="0"/>
        <w:keepLines w:val="0"/>
        <w:pageBreakBefore w:val="0"/>
        <w:widowControl w:val="0"/>
        <w:kinsoku/>
        <w:wordWrap/>
        <w:overflowPunct/>
        <w:topLinePunct w:val="0"/>
        <w:autoSpaceDE/>
        <w:autoSpaceDN/>
        <w:bidi w:val="0"/>
        <w:adjustRightInd/>
        <w:spacing w:after="0" w:line="360" w:lineRule="auto"/>
        <w:ind w:right="0" w:firstLine="422" w:firstLineChars="200"/>
        <w:textAlignment w:val="auto"/>
        <w:rPr>
          <w:rFonts w:hint="eastAsia" w:ascii="宋体" w:hAnsi="宋体"/>
          <w:b/>
          <w:bCs/>
        </w:rPr>
      </w:pPr>
      <w:r>
        <w:rPr>
          <w:rFonts w:hint="eastAsia" w:ascii="宋体" w:hAnsi="宋体"/>
          <w:b/>
          <w:bCs/>
        </w:rPr>
        <w:t>监狱企业声明函（如是）；</w:t>
      </w:r>
    </w:p>
    <w:p w14:paraId="40BF748E">
      <w:pPr>
        <w:keepNext w:val="0"/>
        <w:keepLines w:val="0"/>
        <w:pageBreakBefore w:val="0"/>
        <w:widowControl w:val="0"/>
        <w:kinsoku/>
        <w:wordWrap/>
        <w:overflowPunct/>
        <w:topLinePunct w:val="0"/>
        <w:autoSpaceDE/>
        <w:autoSpaceDN/>
        <w:bidi w:val="0"/>
        <w:adjustRightInd/>
        <w:spacing w:after="0" w:line="360" w:lineRule="auto"/>
        <w:ind w:right="0" w:firstLine="422" w:firstLineChars="200"/>
        <w:textAlignment w:val="auto"/>
        <w:rPr>
          <w:rFonts w:hint="eastAsia" w:ascii="宋体" w:hAnsi="宋体"/>
          <w:b/>
          <w:bCs/>
        </w:rPr>
      </w:pPr>
      <w:r>
        <w:rPr>
          <w:rFonts w:hint="eastAsia" w:ascii="宋体" w:hAnsi="宋体"/>
          <w:b/>
          <w:bCs/>
        </w:rPr>
        <w:t>残疾人福利性单位声明函（如是）；</w:t>
      </w:r>
    </w:p>
    <w:p w14:paraId="2AE59BAA">
      <w:pPr>
        <w:keepNext w:val="0"/>
        <w:keepLines w:val="0"/>
        <w:pageBreakBefore w:val="0"/>
        <w:widowControl w:val="0"/>
        <w:kinsoku/>
        <w:wordWrap/>
        <w:overflowPunct/>
        <w:topLinePunct w:val="0"/>
        <w:autoSpaceDE/>
        <w:autoSpaceDN/>
        <w:bidi w:val="0"/>
        <w:adjustRightInd/>
        <w:spacing w:after="0" w:line="360" w:lineRule="auto"/>
        <w:ind w:right="0" w:firstLine="422" w:firstLineChars="200"/>
        <w:textAlignment w:val="auto"/>
        <w:rPr>
          <w:b/>
          <w:sz w:val="24"/>
        </w:rPr>
      </w:pPr>
      <w:r>
        <w:rPr>
          <w:rFonts w:hint="eastAsia"/>
          <w:b/>
          <w:szCs w:val="21"/>
        </w:rPr>
        <w:t>（</w:t>
      </w:r>
      <w:r>
        <w:rPr>
          <w:rFonts w:hint="eastAsia"/>
          <w:b/>
          <w:szCs w:val="21"/>
          <w:lang w:val="en-US" w:eastAsia="zh-CN"/>
        </w:rPr>
        <w:t>三</w:t>
      </w:r>
      <w:r>
        <w:rPr>
          <w:rFonts w:hint="eastAsia"/>
          <w:b/>
          <w:szCs w:val="21"/>
        </w:rPr>
        <w:t>）投标文件的语言及计量</w:t>
      </w:r>
    </w:p>
    <w:p w14:paraId="2D504DB6">
      <w:pPr>
        <w:keepNext w:val="0"/>
        <w:keepLines w:val="0"/>
        <w:pageBreakBefore w:val="0"/>
        <w:widowControl w:val="0"/>
        <w:kinsoku/>
        <w:wordWrap/>
        <w:overflowPunct/>
        <w:topLinePunct w:val="0"/>
        <w:autoSpaceDE/>
        <w:autoSpaceDN/>
        <w:bidi w:val="0"/>
        <w:adjustRightInd/>
        <w:snapToGrid w:val="0"/>
        <w:spacing w:after="0" w:line="360" w:lineRule="auto"/>
        <w:ind w:right="0" w:firstLine="420" w:firstLineChars="200"/>
        <w:jc w:val="left"/>
        <w:textAlignment w:val="auto"/>
        <w:rPr>
          <w:szCs w:val="21"/>
        </w:rPr>
      </w:pPr>
      <w:r>
        <w:rPr>
          <w:szCs w:val="21"/>
        </w:rPr>
        <w:t>1.</w:t>
      </w:r>
      <w:r>
        <w:rPr>
          <w:rFonts w:hint="eastAsia"/>
          <w:szCs w:val="21"/>
        </w:rPr>
        <w:t>投标文件以及投标人与采购人就有关投标事宜的所有来往函电，均应以中文汉语书写。除签名、盖章、专用名称等特殊情形外，以中文汉语以外的文字表述的投标文件视同未提供。</w:t>
      </w:r>
    </w:p>
    <w:p w14:paraId="7085EC37">
      <w:pPr>
        <w:snapToGrid w:val="0"/>
        <w:spacing w:line="360" w:lineRule="auto"/>
        <w:ind w:firstLine="420" w:firstLineChars="200"/>
        <w:jc w:val="left"/>
        <w:rPr>
          <w:szCs w:val="21"/>
        </w:rPr>
      </w:pPr>
      <w:r>
        <w:rPr>
          <w:szCs w:val="21"/>
        </w:rPr>
        <w:t>2.</w:t>
      </w:r>
      <w:r>
        <w:rPr>
          <w:rFonts w:hint="eastAsia"/>
          <w:szCs w:val="21"/>
        </w:rPr>
        <w:t>投标计量单位，采购文件已有明确规定的，使用采购文件规定的计量单位；采购文件没有规定的，应采用中华人民共和国法定计量单位（货币单位：人民币元），否则视同未响应。</w:t>
      </w:r>
    </w:p>
    <w:p w14:paraId="2197E463">
      <w:pPr>
        <w:tabs>
          <w:tab w:val="left" w:pos="0"/>
        </w:tabs>
        <w:spacing w:line="360" w:lineRule="auto"/>
        <w:ind w:firstLine="422" w:firstLineChars="200"/>
        <w:rPr>
          <w:b/>
          <w:szCs w:val="21"/>
        </w:rPr>
      </w:pPr>
      <w:r>
        <w:rPr>
          <w:rFonts w:hint="eastAsia"/>
          <w:b/>
          <w:szCs w:val="21"/>
        </w:rPr>
        <w:t>（</w:t>
      </w:r>
      <w:r>
        <w:rPr>
          <w:rFonts w:hint="eastAsia"/>
          <w:b/>
          <w:szCs w:val="21"/>
          <w:lang w:val="en-US" w:eastAsia="zh-CN"/>
        </w:rPr>
        <w:t>四</w:t>
      </w:r>
      <w:r>
        <w:rPr>
          <w:rFonts w:hint="eastAsia"/>
          <w:b/>
          <w:szCs w:val="21"/>
        </w:rPr>
        <w:t>）响应报价</w:t>
      </w:r>
    </w:p>
    <w:p w14:paraId="000CBD9B">
      <w:pPr>
        <w:snapToGrid w:val="0"/>
        <w:spacing w:line="360" w:lineRule="auto"/>
        <w:ind w:firstLine="422" w:firstLineChars="200"/>
        <w:rPr>
          <w:b/>
          <w:bCs/>
          <w:szCs w:val="21"/>
        </w:rPr>
      </w:pPr>
      <w:r>
        <w:rPr>
          <w:b/>
          <w:bCs/>
          <w:szCs w:val="21"/>
        </w:rPr>
        <w:t>1.</w:t>
      </w:r>
      <w:r>
        <w:rPr>
          <w:rFonts w:hint="eastAsia"/>
          <w:b/>
          <w:bCs/>
          <w:szCs w:val="21"/>
        </w:rPr>
        <w:t>投标报价应以人民币报价，投标人报价应是包括为完成本项目服务、设备供应可能发生的全部费用及中标人的利润和应交纳的税金等一切费用。</w:t>
      </w:r>
    </w:p>
    <w:p w14:paraId="082D5CB0">
      <w:pPr>
        <w:spacing w:line="360" w:lineRule="auto"/>
        <w:ind w:firstLine="420"/>
      </w:pPr>
      <w:r>
        <w:rPr>
          <w:b/>
          <w:bCs/>
          <w:szCs w:val="21"/>
        </w:rPr>
        <w:t>2.</w:t>
      </w:r>
      <w:r>
        <w:rPr>
          <w:rFonts w:hint="eastAsia"/>
          <w:b/>
          <w:bCs/>
          <w:szCs w:val="21"/>
        </w:rPr>
        <w:t>投标文件针对同一内容只允许有一个报价，有选择的或有条件的报价将不予接受。</w:t>
      </w:r>
    </w:p>
    <w:p w14:paraId="0179C3A3">
      <w:pPr>
        <w:snapToGrid w:val="0"/>
        <w:spacing w:line="360" w:lineRule="auto"/>
        <w:ind w:firstLine="422" w:firstLineChars="200"/>
        <w:jc w:val="left"/>
        <w:outlineLvl w:val="0"/>
        <w:rPr>
          <w:b/>
          <w:szCs w:val="21"/>
        </w:rPr>
      </w:pPr>
      <w:r>
        <w:rPr>
          <w:rFonts w:hint="eastAsia"/>
          <w:b/>
          <w:szCs w:val="21"/>
        </w:rPr>
        <w:t>（</w:t>
      </w:r>
      <w:r>
        <w:rPr>
          <w:rFonts w:hint="eastAsia"/>
          <w:b/>
          <w:szCs w:val="21"/>
          <w:lang w:val="en-US" w:eastAsia="zh-CN"/>
        </w:rPr>
        <w:t>五</w:t>
      </w:r>
      <w:r>
        <w:rPr>
          <w:rFonts w:hint="eastAsia"/>
          <w:b/>
          <w:szCs w:val="21"/>
        </w:rPr>
        <w:t>）投标文件的有效期</w:t>
      </w:r>
    </w:p>
    <w:p w14:paraId="666BDEAC">
      <w:pPr>
        <w:tabs>
          <w:tab w:val="left" w:pos="360"/>
          <w:tab w:val="left" w:pos="454"/>
          <w:tab w:val="left" w:pos="720"/>
          <w:tab w:val="left" w:pos="900"/>
        </w:tabs>
        <w:snapToGrid w:val="0"/>
        <w:spacing w:line="360" w:lineRule="auto"/>
        <w:ind w:right="-506" w:rightChars="-241" w:firstLine="420" w:firstLineChars="200"/>
      </w:pPr>
      <w:r>
        <w:t>1.</w:t>
      </w:r>
      <w:r>
        <w:rPr>
          <w:rFonts w:hint="eastAsia"/>
        </w:rPr>
        <w:t>自投标截止日起</w:t>
      </w:r>
      <w:r>
        <w:rPr>
          <w:b/>
          <w:u w:val="single"/>
        </w:rPr>
        <w:t>90</w:t>
      </w:r>
      <w:r>
        <w:rPr>
          <w:rFonts w:hint="eastAsia"/>
          <w:b/>
        </w:rPr>
        <w:t>天</w:t>
      </w:r>
      <w:r>
        <w:rPr>
          <w:rFonts w:hint="eastAsia"/>
        </w:rPr>
        <w:t>投标文件应保持有效。有效期不足的投标文件将被拒绝。</w:t>
      </w:r>
    </w:p>
    <w:p w14:paraId="2869F6A9">
      <w:pPr>
        <w:snapToGrid w:val="0"/>
        <w:spacing w:line="360" w:lineRule="auto"/>
        <w:ind w:right="-86" w:rightChars="-41" w:firstLine="420" w:firstLineChars="200"/>
        <w:jc w:val="left"/>
        <w:outlineLvl w:val="0"/>
      </w:pPr>
      <w:r>
        <w:t>2.</w:t>
      </w:r>
      <w:r>
        <w:rPr>
          <w:rFonts w:hint="eastAsia"/>
        </w:rPr>
        <w:t>在特殊情况下，采购人可与投标人协商延长投标书的有效期，这种要求和答复均以书面形式进行。</w:t>
      </w:r>
    </w:p>
    <w:p w14:paraId="71FBA81D">
      <w:pPr>
        <w:snapToGrid w:val="0"/>
        <w:spacing w:line="360" w:lineRule="auto"/>
        <w:ind w:right="55" w:firstLine="420" w:firstLineChars="200"/>
        <w:jc w:val="left"/>
        <w:outlineLvl w:val="0"/>
      </w:pPr>
      <w:r>
        <w:t>3.</w:t>
      </w:r>
      <w:r>
        <w:rPr>
          <w:rFonts w:hint="eastAsia"/>
        </w:rPr>
        <w:t>中标人的投标文件自开标之日起至合同履行完毕止均应保持有效。</w:t>
      </w:r>
    </w:p>
    <w:p w14:paraId="7022B222">
      <w:pPr>
        <w:snapToGrid w:val="0"/>
        <w:spacing w:line="360" w:lineRule="auto"/>
        <w:ind w:firstLine="422" w:firstLineChars="200"/>
        <w:jc w:val="left"/>
        <w:rPr>
          <w:b/>
          <w:szCs w:val="21"/>
        </w:rPr>
      </w:pPr>
      <w:r>
        <w:rPr>
          <w:rFonts w:hint="eastAsia"/>
          <w:b/>
          <w:szCs w:val="21"/>
        </w:rPr>
        <w:t>（</w:t>
      </w:r>
      <w:r>
        <w:rPr>
          <w:rFonts w:hint="eastAsia"/>
          <w:b/>
          <w:szCs w:val="21"/>
          <w:lang w:val="en-US" w:eastAsia="zh-CN"/>
        </w:rPr>
        <w:t>六</w:t>
      </w:r>
      <w:r>
        <w:rPr>
          <w:rFonts w:hint="eastAsia"/>
          <w:b/>
          <w:szCs w:val="21"/>
        </w:rPr>
        <w:t>）投标文件的包装、递交、修改和撤回</w:t>
      </w:r>
    </w:p>
    <w:p w14:paraId="4D4D1C49">
      <w:pPr>
        <w:snapToGrid w:val="0"/>
        <w:spacing w:line="360" w:lineRule="auto"/>
        <w:ind w:right="-86" w:rightChars="-41" w:firstLine="420" w:firstLineChars="200"/>
        <w:jc w:val="left"/>
      </w:pPr>
      <w:r>
        <w:t>1.</w:t>
      </w: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A455EC9">
      <w:pPr>
        <w:snapToGrid w:val="0"/>
        <w:spacing w:line="360" w:lineRule="auto"/>
        <w:ind w:right="-86" w:rightChars="-41" w:firstLine="420" w:firstLineChars="200"/>
        <w:jc w:val="left"/>
      </w:pPr>
      <w:r>
        <w:t>2.</w:t>
      </w:r>
      <w:r>
        <w:rPr>
          <w:rFonts w:hint="eastAsia"/>
        </w:rPr>
        <w:t>投标人应当在投标截止时间前将以介质存储的数据电文形式的备份投标文件</w:t>
      </w:r>
      <w:r>
        <w:rPr>
          <w:rFonts w:hint="eastAsia"/>
          <w:szCs w:val="21"/>
        </w:rPr>
        <w:t>寄到或送达采购代理公司。地址：舟山市定海区昌国路</w:t>
      </w:r>
      <w:r>
        <w:rPr>
          <w:szCs w:val="21"/>
        </w:rPr>
        <w:t>232</w:t>
      </w:r>
      <w:r>
        <w:rPr>
          <w:rFonts w:hint="eastAsia"/>
          <w:szCs w:val="21"/>
        </w:rPr>
        <w:t>号中楼</w:t>
      </w:r>
      <w:r>
        <w:rPr>
          <w:szCs w:val="21"/>
        </w:rPr>
        <w:t>202</w:t>
      </w:r>
      <w:r>
        <w:rPr>
          <w:rFonts w:hint="eastAsia"/>
          <w:szCs w:val="21"/>
        </w:rPr>
        <w:t>深圳市国信招标有限公司舟山分公司。也可现场递交。</w:t>
      </w:r>
      <w:r>
        <w:rPr>
          <w:rFonts w:hint="eastAsia"/>
        </w:rPr>
        <w:t>逾期送达或未密封将被拒收。</w:t>
      </w:r>
    </w:p>
    <w:p w14:paraId="08F295AF">
      <w:pPr>
        <w:snapToGrid w:val="0"/>
        <w:spacing w:line="360" w:lineRule="auto"/>
        <w:ind w:right="-86" w:rightChars="-41" w:firstLine="422" w:firstLineChars="200"/>
        <w:jc w:val="left"/>
      </w:pPr>
      <w:r>
        <w:rPr>
          <w:rFonts w:hint="eastAsia"/>
          <w:b/>
          <w:szCs w:val="21"/>
        </w:rPr>
        <w:t>投标人可以不提供备份投标文件，造成项目开评标活动无法进行下去的，投标无效，相关风险由投标人自行承担</w:t>
      </w:r>
    </w:p>
    <w:p w14:paraId="679BE901">
      <w:pPr>
        <w:snapToGrid w:val="0"/>
        <w:spacing w:line="360" w:lineRule="auto"/>
        <w:ind w:right="-86" w:rightChars="-41" w:firstLine="420" w:firstLineChars="200"/>
        <w:jc w:val="left"/>
      </w:pPr>
      <w:r>
        <w:rPr>
          <w:rFonts w:hint="eastAsia"/>
        </w:rPr>
        <w:t>投标人递交以介质存储的数据电文形式的备份投标文件时，如出现下列情况之一的，将被拒收：</w:t>
      </w:r>
    </w:p>
    <w:p w14:paraId="1754534C">
      <w:pPr>
        <w:snapToGrid w:val="0"/>
        <w:spacing w:line="360" w:lineRule="auto"/>
        <w:ind w:right="-86" w:rightChars="-41" w:firstLine="420" w:firstLineChars="200"/>
        <w:jc w:val="left"/>
      </w:pPr>
      <w:r>
        <w:rPr>
          <w:rFonts w:hint="eastAsia"/>
        </w:rPr>
        <w:t>（</w:t>
      </w:r>
      <w:r>
        <w:t>1</w:t>
      </w:r>
      <w:r>
        <w:rPr>
          <w:rFonts w:hint="eastAsia"/>
        </w:rPr>
        <w:t>）未按规定密封或标记的投标文件；</w:t>
      </w:r>
    </w:p>
    <w:p w14:paraId="53D066FC">
      <w:pPr>
        <w:snapToGrid w:val="0"/>
        <w:spacing w:line="360" w:lineRule="auto"/>
        <w:ind w:right="-86" w:rightChars="-41" w:firstLine="420" w:firstLineChars="200"/>
        <w:jc w:val="left"/>
      </w:pPr>
      <w:r>
        <w:rPr>
          <w:rFonts w:hint="eastAsia"/>
        </w:rPr>
        <w:t>（</w:t>
      </w:r>
      <w:r>
        <w:t>2</w:t>
      </w:r>
      <w:r>
        <w:rPr>
          <w:rFonts w:hint="eastAsia"/>
        </w:rPr>
        <w:t>）由于包装不妥，在送交途中严重破损或失散的；</w:t>
      </w:r>
    </w:p>
    <w:p w14:paraId="5C097A0B">
      <w:pPr>
        <w:snapToGrid w:val="0"/>
        <w:spacing w:line="360" w:lineRule="auto"/>
        <w:ind w:right="-86" w:rightChars="-41" w:firstLine="420" w:firstLineChars="200"/>
        <w:jc w:val="left"/>
      </w:pPr>
      <w:r>
        <w:rPr>
          <w:rFonts w:hint="eastAsia"/>
        </w:rPr>
        <w:t>（</w:t>
      </w:r>
      <w:r>
        <w:t>3</w:t>
      </w:r>
      <w:r>
        <w:rPr>
          <w:rFonts w:hint="eastAsia"/>
        </w:rPr>
        <w:t>）未成功办理投标人报名手续的；</w:t>
      </w:r>
    </w:p>
    <w:p w14:paraId="2929D597">
      <w:pPr>
        <w:snapToGrid w:val="0"/>
        <w:spacing w:line="360" w:lineRule="auto"/>
        <w:ind w:right="-86" w:rightChars="-41" w:firstLine="420" w:firstLineChars="200"/>
        <w:jc w:val="left"/>
      </w:pPr>
      <w:r>
        <w:rPr>
          <w:rFonts w:hint="eastAsia"/>
        </w:rPr>
        <w:t>（</w:t>
      </w:r>
      <w:r>
        <w:t>4</w:t>
      </w:r>
      <w:r>
        <w:rPr>
          <w:rFonts w:hint="eastAsia"/>
        </w:rPr>
        <w:t>）超过投标截止时间送达的；</w:t>
      </w:r>
    </w:p>
    <w:p w14:paraId="176EF602">
      <w:pPr>
        <w:snapToGrid w:val="0"/>
        <w:spacing w:line="360" w:lineRule="auto"/>
        <w:ind w:right="-86" w:rightChars="-41" w:firstLine="420" w:firstLineChars="200"/>
        <w:jc w:val="left"/>
      </w:pPr>
      <w:r>
        <w:rPr>
          <w:rFonts w:hint="eastAsia"/>
        </w:rPr>
        <w:t>仅提供备份投标文件的，投标无效。</w:t>
      </w:r>
    </w:p>
    <w:p w14:paraId="316B09B7">
      <w:pPr>
        <w:snapToGrid w:val="0"/>
        <w:spacing w:line="360" w:lineRule="auto"/>
        <w:ind w:right="-86" w:rightChars="-41" w:firstLine="420" w:firstLineChars="200"/>
        <w:jc w:val="left"/>
      </w:pPr>
      <w:r>
        <w:t>3.</w:t>
      </w:r>
      <w:r>
        <w:rPr>
          <w:rFonts w:hint="eastAsia"/>
        </w:rPr>
        <w:t>投标、响应文件未按时解密，供应商提供了备份投标、响应文件的，以备份投标、响应文件作为依据，否则视为投标、响应文件撤回。投标、响应文件已按时解密的，备份投标、响应文件自动失效。</w:t>
      </w:r>
    </w:p>
    <w:p w14:paraId="48D01948">
      <w:pPr>
        <w:snapToGrid w:val="0"/>
        <w:spacing w:line="360" w:lineRule="auto"/>
        <w:ind w:right="-86" w:rightChars="-41" w:firstLine="420" w:firstLineChars="200"/>
        <w:jc w:val="left"/>
      </w:pPr>
      <w:r>
        <w:t>4.</w:t>
      </w:r>
      <w:r>
        <w:rPr>
          <w:rFonts w:hint="eastAsia"/>
        </w:rPr>
        <w:t>备份投标文件须密封封装。包装封面上应注明投标人名称，封口处加盖投标人公章。</w:t>
      </w:r>
    </w:p>
    <w:p w14:paraId="62A56B8F">
      <w:pPr>
        <w:keepNext w:val="0"/>
        <w:keepLines w:val="0"/>
        <w:pageBreakBefore w:val="0"/>
        <w:widowControl w:val="0"/>
        <w:kinsoku/>
        <w:wordWrap/>
        <w:overflowPunct/>
        <w:topLinePunct w:val="0"/>
        <w:autoSpaceDE/>
        <w:autoSpaceDN/>
        <w:bidi w:val="0"/>
        <w:adjustRightInd/>
        <w:spacing w:after="0" w:line="360" w:lineRule="auto"/>
        <w:ind w:right="0" w:rightChars="0" w:firstLine="422" w:firstLineChars="200"/>
        <w:textAlignment w:val="auto"/>
      </w:pPr>
      <w:r>
        <w:rPr>
          <w:rFonts w:hint="eastAsia"/>
          <w:b/>
          <w:szCs w:val="21"/>
        </w:rPr>
        <w:t>（</w:t>
      </w:r>
      <w:r>
        <w:rPr>
          <w:rFonts w:hint="eastAsia"/>
          <w:b/>
          <w:szCs w:val="21"/>
          <w:lang w:val="en-US" w:eastAsia="zh-CN"/>
        </w:rPr>
        <w:t>七</w:t>
      </w:r>
      <w:r>
        <w:rPr>
          <w:rFonts w:hint="eastAsia"/>
          <w:b/>
          <w:szCs w:val="21"/>
        </w:rPr>
        <w:t>）投标无效的情形</w:t>
      </w:r>
    </w:p>
    <w:p w14:paraId="44505931">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15" w:firstLineChars="198"/>
        <w:textAlignment w:val="auto"/>
        <w:rPr>
          <w:szCs w:val="21"/>
        </w:rPr>
      </w:pPr>
      <w:r>
        <w:rPr>
          <w:rFonts w:hint="eastAsia"/>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6049C69B">
      <w:pPr>
        <w:snapToGrid w:val="0"/>
        <w:spacing w:line="360" w:lineRule="auto"/>
        <w:ind w:firstLine="417" w:firstLineChars="198"/>
        <w:rPr>
          <w:szCs w:val="21"/>
        </w:rPr>
      </w:pPr>
      <w:r>
        <w:rPr>
          <w:b/>
          <w:bCs/>
          <w:szCs w:val="21"/>
        </w:rPr>
        <w:t>1.</w:t>
      </w:r>
      <w:r>
        <w:rPr>
          <w:rFonts w:hint="eastAsia" w:ascii="宋体" w:hAnsi="宋体" w:eastAsia="宋体"/>
          <w:b/>
          <w:bCs/>
          <w:szCs w:val="21"/>
        </w:rPr>
        <w:t>在符合性审查和商务评审时，如发现下列情形之一且无法作出合理解释的，投标文件将被视为无效投标：</w:t>
      </w:r>
    </w:p>
    <w:p w14:paraId="22DC0E9C">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15" w:firstLineChars="198"/>
        <w:textAlignment w:val="auto"/>
        <w:rPr>
          <w:bCs/>
          <w:szCs w:val="21"/>
        </w:rPr>
      </w:pPr>
      <w:r>
        <w:rPr>
          <w:bCs/>
          <w:szCs w:val="21"/>
        </w:rPr>
        <w:t>1.1</w:t>
      </w:r>
      <w:r>
        <w:rPr>
          <w:rFonts w:hint="eastAsia"/>
          <w:szCs w:val="21"/>
        </w:rPr>
        <w:t>资格证明文件不全的，或者不符合采购文件标明的资格要求的</w:t>
      </w:r>
      <w:r>
        <w:rPr>
          <w:rFonts w:hint="eastAsia"/>
          <w:bCs/>
          <w:szCs w:val="21"/>
        </w:rPr>
        <w:t>；</w:t>
      </w:r>
    </w:p>
    <w:p w14:paraId="6AB4FF72">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15" w:firstLineChars="198"/>
        <w:textAlignment w:val="auto"/>
        <w:rPr>
          <w:bCs/>
          <w:szCs w:val="21"/>
        </w:rPr>
      </w:pPr>
      <w:r>
        <w:rPr>
          <w:bCs/>
          <w:szCs w:val="21"/>
        </w:rPr>
        <w:t>1.</w:t>
      </w:r>
      <w:r>
        <w:rPr>
          <w:szCs w:val="21"/>
        </w:rPr>
        <w:t>2</w:t>
      </w:r>
      <w:r>
        <w:rPr>
          <w:rFonts w:hint="eastAsia"/>
          <w:szCs w:val="21"/>
        </w:rPr>
        <w:t>投标文件组成不全的；</w:t>
      </w:r>
    </w:p>
    <w:p w14:paraId="155504D9">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1.3</w:t>
      </w:r>
      <w:r>
        <w:rPr>
          <w:rFonts w:hint="eastAsia"/>
          <w:bCs/>
          <w:szCs w:val="21"/>
        </w:rPr>
        <w:t>投标文件的实质性内容未使用中文表述、意思表述不明确、前后矛盾或者使用计量单位不符合采购文件要求的；（</w:t>
      </w:r>
      <w:r>
        <w:rPr>
          <w:rFonts w:hint="eastAsia"/>
          <w:szCs w:val="21"/>
        </w:rPr>
        <w:t>经评审小组认定允许其在线更正的笔误除外</w:t>
      </w:r>
      <w:r>
        <w:rPr>
          <w:rFonts w:hint="eastAsia"/>
          <w:bCs/>
          <w:szCs w:val="21"/>
        </w:rPr>
        <w:t>）</w:t>
      </w:r>
    </w:p>
    <w:p w14:paraId="57C27D9A">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1.4</w:t>
      </w:r>
      <w:r>
        <w:rPr>
          <w:rFonts w:hint="eastAsia"/>
          <w:bCs/>
          <w:szCs w:val="21"/>
        </w:rPr>
        <w:t>投标文件的关键内容字迹模糊、无法辨认的，或者投标文件中经修正的内容字迹模糊难以辩认或者修改处未按规定签名盖章的；</w:t>
      </w:r>
    </w:p>
    <w:p w14:paraId="3BA109E4">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1.5</w:t>
      </w:r>
      <w:r>
        <w:rPr>
          <w:rFonts w:hint="eastAsia"/>
          <w:bCs/>
          <w:szCs w:val="21"/>
        </w:rPr>
        <w:t>投标有效期、交货时间、质保期等商务条款不能满足采购文件要求的；</w:t>
      </w:r>
    </w:p>
    <w:p w14:paraId="7904DD54">
      <w:pPr>
        <w:keepNext w:val="0"/>
        <w:keepLines w:val="0"/>
        <w:pageBreakBefore w:val="0"/>
        <w:widowControl w:val="0"/>
        <w:kinsoku/>
        <w:wordWrap/>
        <w:overflowPunct/>
        <w:topLinePunct w:val="0"/>
        <w:autoSpaceDE/>
        <w:autoSpaceDN/>
        <w:bidi w:val="0"/>
        <w:adjustRightInd/>
        <w:snapToGrid w:val="0"/>
        <w:spacing w:after="0" w:line="336" w:lineRule="auto"/>
        <w:ind w:right="0" w:rightChars="0" w:firstLine="415" w:firstLineChars="198"/>
        <w:textAlignment w:val="auto"/>
        <w:rPr>
          <w:bCs/>
          <w:szCs w:val="21"/>
        </w:rPr>
      </w:pPr>
      <w:r>
        <w:rPr>
          <w:bCs/>
          <w:szCs w:val="21"/>
        </w:rPr>
        <w:t>1.6</w:t>
      </w:r>
      <w:r>
        <w:rPr>
          <w:rFonts w:hint="eastAsia"/>
          <w:bCs/>
          <w:szCs w:val="21"/>
        </w:rPr>
        <w:t>未响应采购文件实质性要求或者投标文件有采购人不能接受的附加条件的；</w:t>
      </w:r>
    </w:p>
    <w:p w14:paraId="2B5BB594">
      <w:pPr>
        <w:keepNext w:val="0"/>
        <w:keepLines w:val="0"/>
        <w:pageBreakBefore w:val="0"/>
        <w:widowControl w:val="0"/>
        <w:kinsoku/>
        <w:wordWrap/>
        <w:overflowPunct/>
        <w:topLinePunct w:val="0"/>
        <w:autoSpaceDE/>
        <w:autoSpaceDN/>
        <w:bidi w:val="0"/>
        <w:adjustRightInd/>
        <w:snapToGrid w:val="0"/>
        <w:spacing w:after="0" w:line="360" w:lineRule="auto"/>
        <w:ind w:right="0" w:rightChars="0" w:firstLine="438" w:firstLineChars="209"/>
        <w:textAlignment w:val="auto"/>
        <w:rPr>
          <w:bCs/>
          <w:szCs w:val="21"/>
        </w:rPr>
      </w:pPr>
      <w:r>
        <w:rPr>
          <w:bCs/>
          <w:szCs w:val="21"/>
        </w:rPr>
        <w:t>1.7</w:t>
      </w:r>
      <w:r>
        <w:rPr>
          <w:rFonts w:hint="eastAsia"/>
          <w:bCs/>
          <w:szCs w:val="21"/>
        </w:rPr>
        <w:t>投标文件没有按采购文件要求响应有标</w:t>
      </w:r>
      <w:r>
        <w:rPr>
          <w:bCs/>
          <w:szCs w:val="21"/>
        </w:rPr>
        <w:t>“</w:t>
      </w:r>
      <w:r>
        <w:rPr>
          <w:rFonts w:hint="eastAsia"/>
          <w:bCs/>
          <w:szCs w:val="21"/>
        </w:rPr>
        <w:t>★</w:t>
      </w:r>
      <w:r>
        <w:rPr>
          <w:bCs/>
          <w:szCs w:val="21"/>
        </w:rPr>
        <w:t>”</w:t>
      </w:r>
      <w:r>
        <w:rPr>
          <w:rFonts w:hint="eastAsia"/>
          <w:bCs/>
          <w:szCs w:val="21"/>
        </w:rPr>
        <w:t>的条款的资料和材料的；</w:t>
      </w:r>
    </w:p>
    <w:p w14:paraId="00C79E55">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1B32A5DE">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1.9上传的电子投标（响应）文件若出现使用本项目其他投标（响应）供应商的数字证书加密的，或者加盖本项目其他投标（响应）供应商的电子印章的；</w:t>
      </w:r>
    </w:p>
    <w:p w14:paraId="67351604">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hint="eastAsia" w:ascii="Times New Roman" w:hAnsi="Times New Roman" w:eastAsia="宋体" w:cs="Times New Roman"/>
          <w:b w:val="0"/>
          <w:bCs/>
          <w:szCs w:val="21"/>
        </w:rPr>
      </w:pPr>
      <w:r>
        <w:rPr>
          <w:rFonts w:hint="eastAsia" w:ascii="Times New Roman" w:hAnsi="Times New Roman" w:eastAsia="宋体" w:cs="Times New Roman"/>
          <w:b w:val="0"/>
          <w:bCs/>
          <w:szCs w:val="21"/>
        </w:rPr>
        <w:t>1.10不同供应商的投标（响应）文件的内容存在三处（含）以上错误一致的；</w:t>
      </w:r>
    </w:p>
    <w:p w14:paraId="1DEF1534">
      <w:pPr>
        <w:spacing w:line="336" w:lineRule="auto"/>
        <w:ind w:firstLine="420"/>
        <w:rPr>
          <w:rFonts w:ascii="宋体" w:hAnsi="宋体" w:eastAsia="宋体" w:cs="Times New Roman"/>
          <w:b w:val="0"/>
          <w:bCs/>
          <w:szCs w:val="20"/>
        </w:rPr>
      </w:pPr>
      <w:r>
        <w:rPr>
          <w:rFonts w:hint="eastAsia" w:ascii="Times New Roman" w:hAnsi="Times New Roman" w:eastAsia="宋体" w:cs="Times New Roman"/>
          <w:b w:val="0"/>
          <w:bCs/>
          <w:szCs w:val="21"/>
        </w:rPr>
        <w:t>1.11不同供应商联系人为同一人或不同联系人的联系电话一致的</w:t>
      </w:r>
      <w:r>
        <w:rPr>
          <w:rFonts w:ascii="宋体" w:hAnsi="宋体" w:eastAsia="宋体" w:cs="Times New Roman"/>
          <w:b w:val="0"/>
          <w:bCs/>
          <w:szCs w:val="20"/>
        </w:rPr>
        <w:t>。</w:t>
      </w:r>
    </w:p>
    <w:p w14:paraId="05B6C061">
      <w:pPr>
        <w:spacing w:line="336" w:lineRule="auto"/>
        <w:ind w:firstLine="420"/>
        <w:rPr>
          <w:szCs w:val="21"/>
        </w:rPr>
      </w:pPr>
      <w:r>
        <w:rPr>
          <w:b/>
          <w:bCs/>
        </w:rPr>
        <w:t>2.</w:t>
      </w:r>
      <w:r>
        <w:rPr>
          <w:rFonts w:hint="eastAsia"/>
          <w:b/>
          <w:bCs/>
        </w:rPr>
        <w:t>在技术评审时，如发现下列情形之一的，投标文件将被视为无效响应：</w:t>
      </w:r>
    </w:p>
    <w:p w14:paraId="584C1A1E">
      <w:pPr>
        <w:spacing w:line="336" w:lineRule="auto"/>
        <w:ind w:firstLine="420"/>
        <w:rPr>
          <w:szCs w:val="21"/>
        </w:rPr>
      </w:pPr>
      <w:r>
        <w:rPr>
          <w:szCs w:val="21"/>
        </w:rPr>
        <w:t>2.1</w:t>
      </w:r>
      <w:r>
        <w:rPr>
          <w:rFonts w:hint="eastAsia"/>
          <w:szCs w:val="21"/>
        </w:rPr>
        <w:t>投标文件标明的响应或偏离与事实不符或虚假投标的；</w:t>
      </w:r>
    </w:p>
    <w:p w14:paraId="04FD4340">
      <w:pPr>
        <w:spacing w:line="336" w:lineRule="auto"/>
        <w:ind w:firstLine="420" w:firstLineChars="200"/>
        <w:rPr>
          <w:szCs w:val="21"/>
        </w:rPr>
      </w:pPr>
      <w:r>
        <w:rPr>
          <w:bCs/>
          <w:szCs w:val="21"/>
        </w:rPr>
        <w:t>2.2</w:t>
      </w:r>
      <w:r>
        <w:rPr>
          <w:rFonts w:hint="eastAsia"/>
          <w:bCs/>
          <w:szCs w:val="21"/>
        </w:rPr>
        <w:t>明显不符合采购文件标明的质量标准，或者采购文件中标</w:t>
      </w:r>
      <w:r>
        <w:rPr>
          <w:bCs/>
          <w:szCs w:val="21"/>
        </w:rPr>
        <w:t>“</w:t>
      </w:r>
      <w:r>
        <w:rPr>
          <w:rFonts w:hint="eastAsia"/>
          <w:b/>
        </w:rPr>
        <w:t>★</w:t>
      </w:r>
      <w:r>
        <w:rPr>
          <w:bCs/>
          <w:szCs w:val="21"/>
        </w:rPr>
        <w:t>”</w:t>
      </w:r>
      <w:r>
        <w:rPr>
          <w:rFonts w:hint="eastAsia"/>
          <w:bCs/>
          <w:szCs w:val="21"/>
        </w:rPr>
        <w:t>的技术参数、条款（如有）发生实质性偏离的；</w:t>
      </w:r>
    </w:p>
    <w:p w14:paraId="1025CF58">
      <w:pPr>
        <w:spacing w:line="336" w:lineRule="auto"/>
        <w:ind w:firstLine="420"/>
      </w:pPr>
      <w:r>
        <w:rPr>
          <w:szCs w:val="21"/>
        </w:rPr>
        <w:t>2.3</w:t>
      </w:r>
      <w:r>
        <w:rPr>
          <w:rFonts w:hint="eastAsia"/>
          <w:szCs w:val="21"/>
        </w:rPr>
        <w:t>投标技术方案不明确，存在一个或一个以上备选（替代）投标方案的；</w:t>
      </w:r>
    </w:p>
    <w:p w14:paraId="69E8D132">
      <w:pPr>
        <w:spacing w:line="336" w:lineRule="auto"/>
        <w:ind w:firstLine="420"/>
        <w:rPr>
          <w:szCs w:val="21"/>
        </w:rPr>
      </w:pPr>
      <w:r>
        <w:rPr>
          <w:b/>
          <w:bCs/>
        </w:rPr>
        <w:t>3.</w:t>
      </w:r>
      <w:r>
        <w:rPr>
          <w:rFonts w:hint="eastAsia"/>
          <w:b/>
          <w:szCs w:val="21"/>
        </w:rPr>
        <w:t>在投标报价文件评审时</w:t>
      </w:r>
      <w:r>
        <w:rPr>
          <w:rFonts w:hint="eastAsia"/>
          <w:b/>
          <w:bCs/>
        </w:rPr>
        <w:t>，如发现下列情形之一的，投标文件将被视为无效响应：</w:t>
      </w:r>
    </w:p>
    <w:p w14:paraId="228213A7">
      <w:pPr>
        <w:snapToGrid w:val="0"/>
        <w:spacing w:line="336" w:lineRule="auto"/>
        <w:ind w:right="-86" w:rightChars="-41" w:firstLine="438" w:firstLineChars="209"/>
        <w:rPr>
          <w:szCs w:val="20"/>
        </w:rPr>
      </w:pPr>
      <w:r>
        <w:rPr>
          <w:szCs w:val="20"/>
        </w:rPr>
        <w:t>3.1</w:t>
      </w:r>
      <w:r>
        <w:rPr>
          <w:rFonts w:hint="eastAsia"/>
          <w:szCs w:val="20"/>
        </w:rPr>
        <w:t>未采用人民币报价或者未按照采购文件标明的币种报价的；</w:t>
      </w:r>
    </w:p>
    <w:p w14:paraId="1AF02988">
      <w:pPr>
        <w:snapToGrid w:val="0"/>
        <w:spacing w:line="336" w:lineRule="auto"/>
        <w:ind w:right="-86" w:rightChars="-41" w:firstLine="438" w:firstLineChars="209"/>
        <w:rPr>
          <w:szCs w:val="20"/>
        </w:rPr>
      </w:pPr>
      <w:r>
        <w:rPr>
          <w:szCs w:val="20"/>
        </w:rPr>
        <w:t>3.2</w:t>
      </w:r>
      <w:r>
        <w:rPr>
          <w:rFonts w:hint="eastAsia"/>
          <w:szCs w:val="20"/>
        </w:rPr>
        <w:t>报价超出最高限价，或者超出采购预算金额，采购人不能支付的；</w:t>
      </w:r>
    </w:p>
    <w:p w14:paraId="063104FD">
      <w:pPr>
        <w:snapToGrid w:val="0"/>
        <w:spacing w:line="336" w:lineRule="auto"/>
        <w:ind w:right="-86" w:rightChars="-41" w:firstLine="438" w:firstLineChars="209"/>
        <w:rPr>
          <w:szCs w:val="20"/>
        </w:rPr>
      </w:pPr>
      <w:r>
        <w:rPr>
          <w:szCs w:val="20"/>
        </w:rPr>
        <w:t>3.3</w:t>
      </w:r>
      <w:r>
        <w:rPr>
          <w:rFonts w:hint="eastAsia"/>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7E969CD">
      <w:pPr>
        <w:snapToGrid w:val="0"/>
        <w:spacing w:line="336" w:lineRule="auto"/>
        <w:ind w:right="-86" w:rightChars="-41" w:firstLine="438" w:firstLineChars="209"/>
        <w:rPr>
          <w:szCs w:val="20"/>
        </w:rPr>
      </w:pPr>
      <w:r>
        <w:rPr>
          <w:szCs w:val="20"/>
        </w:rPr>
        <w:t>3.4</w:t>
      </w:r>
      <w:r>
        <w:rPr>
          <w:rFonts w:hint="eastAsia"/>
          <w:szCs w:val="20"/>
        </w:rPr>
        <w:t>投标报价具有选择性，或者开标价格与投标文件承诺的优惠（折扣）价格不一致的；</w:t>
      </w:r>
    </w:p>
    <w:p w14:paraId="38231FB3">
      <w:pPr>
        <w:snapToGrid w:val="0"/>
        <w:spacing w:line="360" w:lineRule="auto"/>
        <w:ind w:right="-86" w:rightChars="-41" w:firstLine="441" w:firstLineChars="209"/>
        <w:rPr>
          <w:rFonts w:hint="eastAsia" w:ascii="宋体" w:hAnsi="宋体"/>
          <w:b/>
          <w:bCs/>
          <w:szCs w:val="20"/>
        </w:rPr>
      </w:pPr>
      <w:r>
        <w:rPr>
          <w:rFonts w:hint="eastAsia" w:ascii="宋体" w:hAnsi="宋体"/>
          <w:b/>
          <w:bCs/>
          <w:szCs w:val="20"/>
        </w:rPr>
        <w:t>4.法律、法规和采购文件规定的其他无效情形。</w:t>
      </w:r>
    </w:p>
    <w:p w14:paraId="6FDC4E7A">
      <w:pPr>
        <w:snapToGrid w:val="0"/>
        <w:spacing w:line="336" w:lineRule="auto"/>
        <w:ind w:right="-86" w:rightChars="-41" w:firstLine="422" w:firstLineChars="200"/>
        <w:rPr>
          <w:szCs w:val="20"/>
        </w:rPr>
      </w:pPr>
      <w:r>
        <w:rPr>
          <w:rFonts w:hint="eastAsia"/>
          <w:b/>
          <w:szCs w:val="21"/>
        </w:rPr>
        <w:t>（</w:t>
      </w:r>
      <w:r>
        <w:rPr>
          <w:rFonts w:hint="eastAsia"/>
          <w:b/>
          <w:szCs w:val="21"/>
          <w:lang w:val="en-US" w:eastAsia="zh-CN"/>
        </w:rPr>
        <w:t>八</w:t>
      </w:r>
      <w:r>
        <w:rPr>
          <w:rFonts w:hint="eastAsia"/>
          <w:b/>
          <w:szCs w:val="21"/>
        </w:rPr>
        <w:t>）</w:t>
      </w:r>
      <w:r>
        <w:rPr>
          <w:rFonts w:hint="eastAsia"/>
          <w:b/>
          <w:szCs w:val="20"/>
        </w:rPr>
        <w:t>出现以下情形，导致电子交易平台无法正常运行，或者无法保证电子交易的公平、公正和安全时，中止电子交易活动：</w:t>
      </w:r>
    </w:p>
    <w:p w14:paraId="63F8A325">
      <w:pPr>
        <w:snapToGrid w:val="0"/>
        <w:spacing w:line="336" w:lineRule="auto"/>
        <w:ind w:right="-86" w:rightChars="-41" w:firstLine="438" w:firstLineChars="209"/>
        <w:rPr>
          <w:szCs w:val="20"/>
        </w:rPr>
      </w:pPr>
      <w:r>
        <w:rPr>
          <w:rFonts w:hint="eastAsia"/>
          <w:color w:val="auto"/>
          <w:szCs w:val="20"/>
        </w:rPr>
        <w:t>（一）</w:t>
      </w:r>
      <w:r>
        <w:rPr>
          <w:rFonts w:hint="eastAsia"/>
          <w:szCs w:val="20"/>
        </w:rPr>
        <w:t>电子交易平台发生故障而无法登录访问的；</w:t>
      </w:r>
    </w:p>
    <w:p w14:paraId="43CB3AB4">
      <w:pPr>
        <w:snapToGrid w:val="0"/>
        <w:spacing w:line="336" w:lineRule="auto"/>
        <w:ind w:right="-86" w:rightChars="-41" w:firstLine="438" w:firstLineChars="209"/>
        <w:rPr>
          <w:szCs w:val="20"/>
        </w:rPr>
      </w:pPr>
      <w:r>
        <w:rPr>
          <w:rFonts w:hint="eastAsia"/>
          <w:szCs w:val="20"/>
        </w:rPr>
        <w:t>（二）电子交易平台应用或数据库出现错误，不能进行正常操作的；</w:t>
      </w:r>
    </w:p>
    <w:p w14:paraId="732EC64C">
      <w:pPr>
        <w:snapToGrid w:val="0"/>
        <w:spacing w:line="336" w:lineRule="auto"/>
        <w:ind w:right="-86" w:rightChars="-41" w:firstLine="438" w:firstLineChars="209"/>
        <w:rPr>
          <w:szCs w:val="20"/>
        </w:rPr>
      </w:pPr>
      <w:r>
        <w:rPr>
          <w:rFonts w:hint="eastAsia"/>
          <w:szCs w:val="20"/>
        </w:rPr>
        <w:t>（三）电子交易平台发现严重安全漏洞，有潜在泄密危险的；</w:t>
      </w:r>
    </w:p>
    <w:p w14:paraId="13C8D870">
      <w:pPr>
        <w:snapToGrid w:val="0"/>
        <w:spacing w:line="336" w:lineRule="auto"/>
        <w:ind w:right="-86" w:rightChars="-41" w:firstLine="438" w:firstLineChars="209"/>
        <w:rPr>
          <w:szCs w:val="20"/>
        </w:rPr>
      </w:pPr>
      <w:r>
        <w:rPr>
          <w:rFonts w:hint="eastAsia"/>
          <w:szCs w:val="20"/>
        </w:rPr>
        <w:t>（四）病毒发作导致不能进行正常操作的；</w:t>
      </w:r>
    </w:p>
    <w:p w14:paraId="3530FE42">
      <w:pPr>
        <w:snapToGrid w:val="0"/>
        <w:spacing w:line="336" w:lineRule="auto"/>
        <w:ind w:right="-86" w:rightChars="-41" w:firstLine="438" w:firstLineChars="209"/>
        <w:rPr>
          <w:szCs w:val="20"/>
        </w:rPr>
      </w:pPr>
      <w:r>
        <w:rPr>
          <w:rFonts w:hint="eastAsia"/>
          <w:szCs w:val="20"/>
        </w:rPr>
        <w:t>（五）其他无法保证电子交易的公平、公正和安全的情况。</w:t>
      </w:r>
    </w:p>
    <w:p w14:paraId="32F4D2FD">
      <w:pPr>
        <w:snapToGrid w:val="0"/>
        <w:spacing w:line="336" w:lineRule="auto"/>
        <w:ind w:right="-86" w:rightChars="-41" w:firstLine="438" w:firstLineChars="209"/>
        <w:rPr>
          <w:szCs w:val="20"/>
        </w:rPr>
      </w:pPr>
      <w:r>
        <w:rPr>
          <w:rFonts w:hint="eastAsia"/>
          <w:szCs w:val="20"/>
        </w:rPr>
        <w:t>出现前款规定情形，不影响采购公平、公正性的，代理机构可以待上述情形消除后继续组织电子交易活动，也可以决定某些环节以纸质形式进行；影响或可能影响采购公平、公正性的，重新采购。</w:t>
      </w:r>
    </w:p>
    <w:p w14:paraId="734258F0">
      <w:pPr>
        <w:widowControl/>
        <w:snapToGrid w:val="0"/>
        <w:spacing w:line="336" w:lineRule="auto"/>
        <w:ind w:right="55" w:firstLine="406" w:firstLineChars="200"/>
        <w:rPr>
          <w:b/>
          <w:bCs/>
          <w:spacing w:val="-4"/>
          <w:kern w:val="0"/>
          <w:szCs w:val="21"/>
        </w:rPr>
      </w:pPr>
      <w:r>
        <w:rPr>
          <w:rFonts w:hint="eastAsia"/>
          <w:b/>
          <w:bCs/>
          <w:spacing w:val="-4"/>
          <w:kern w:val="0"/>
          <w:szCs w:val="21"/>
        </w:rPr>
        <w:t>（</w:t>
      </w:r>
      <w:r>
        <w:rPr>
          <w:rFonts w:hint="eastAsia"/>
          <w:b/>
          <w:bCs/>
          <w:spacing w:val="-4"/>
          <w:kern w:val="0"/>
          <w:szCs w:val="21"/>
          <w:lang w:val="en-US" w:eastAsia="zh-CN"/>
        </w:rPr>
        <w:t>九</w:t>
      </w:r>
      <w:r>
        <w:rPr>
          <w:rFonts w:hint="eastAsia"/>
          <w:b/>
          <w:bCs/>
          <w:spacing w:val="-4"/>
          <w:kern w:val="0"/>
          <w:szCs w:val="21"/>
        </w:rPr>
        <w:t>）报名不足三家的处理方式</w:t>
      </w:r>
    </w:p>
    <w:p w14:paraId="5C061ADA">
      <w:pPr>
        <w:widowControl/>
        <w:snapToGrid w:val="0"/>
        <w:spacing w:line="336" w:lineRule="auto"/>
        <w:ind w:right="55" w:firstLine="470"/>
        <w:rPr>
          <w:bCs/>
          <w:spacing w:val="-4"/>
          <w:kern w:val="0"/>
          <w:szCs w:val="21"/>
        </w:rPr>
      </w:pPr>
      <w:r>
        <w:rPr>
          <w:rFonts w:hint="eastAsia"/>
          <w:bCs/>
          <w:spacing w:val="-4"/>
          <w:kern w:val="0"/>
          <w:szCs w:val="21"/>
        </w:rPr>
        <w:t>报名时间截止后，在开标时间前获取招标文件的潜在投标人不足三家的，采购代理机构可以顺延提供期限，并予公告。</w:t>
      </w:r>
    </w:p>
    <w:p w14:paraId="7396483D">
      <w:pPr>
        <w:widowControl/>
        <w:snapToGrid w:val="0"/>
        <w:spacing w:line="336" w:lineRule="auto"/>
        <w:ind w:right="55" w:firstLine="406" w:firstLineChars="200"/>
        <w:jc w:val="left"/>
        <w:rPr>
          <w:rFonts w:ascii="宋体" w:hAnsi="Calibri"/>
          <w:b/>
          <w:bCs/>
          <w:kern w:val="0"/>
          <w:sz w:val="28"/>
          <w:szCs w:val="28"/>
        </w:rPr>
      </w:pPr>
      <w:r>
        <w:rPr>
          <w:rFonts w:hint="eastAsia"/>
          <w:b/>
          <w:spacing w:val="-4"/>
          <w:kern w:val="0"/>
          <w:szCs w:val="21"/>
        </w:rPr>
        <w:t>（</w:t>
      </w:r>
      <w:r>
        <w:rPr>
          <w:rFonts w:hint="eastAsia"/>
          <w:b/>
          <w:spacing w:val="-4"/>
          <w:kern w:val="0"/>
          <w:szCs w:val="21"/>
          <w:lang w:val="en-US" w:eastAsia="zh-CN"/>
        </w:rPr>
        <w:t>十</w:t>
      </w:r>
      <w:r>
        <w:rPr>
          <w:rFonts w:hint="eastAsia"/>
          <w:b/>
          <w:spacing w:val="-4"/>
          <w:kern w:val="0"/>
          <w:szCs w:val="21"/>
        </w:rPr>
        <w:t>）被拒绝的投标文件为无效。</w:t>
      </w:r>
    </w:p>
    <w:p w14:paraId="0C6E34F3">
      <w:pPr>
        <w:spacing w:after="120"/>
        <w:jc w:val="center"/>
        <w:rPr>
          <w:rFonts w:hint="eastAsia" w:ascii="宋体" w:hAnsi="Calibri"/>
          <w:b/>
          <w:bCs/>
          <w:kern w:val="0"/>
          <w:sz w:val="28"/>
          <w:szCs w:val="28"/>
        </w:rPr>
      </w:pPr>
    </w:p>
    <w:p w14:paraId="6A7550E6">
      <w:pPr>
        <w:spacing w:after="120"/>
        <w:jc w:val="center"/>
        <w:rPr>
          <w:rFonts w:ascii="宋体" w:hAnsi="Calibri"/>
          <w:b/>
          <w:bCs/>
          <w:kern w:val="0"/>
          <w:sz w:val="28"/>
          <w:szCs w:val="28"/>
        </w:rPr>
      </w:pPr>
      <w:r>
        <w:rPr>
          <w:rFonts w:hint="eastAsia" w:ascii="宋体" w:hAnsi="Calibri"/>
          <w:b/>
          <w:bCs/>
          <w:kern w:val="0"/>
          <w:sz w:val="28"/>
          <w:szCs w:val="28"/>
        </w:rPr>
        <w:t>四、开标</w:t>
      </w:r>
    </w:p>
    <w:p w14:paraId="73E5D6E2">
      <w:pPr>
        <w:keepNext w:val="0"/>
        <w:keepLines w:val="0"/>
        <w:pageBreakBefore w:val="0"/>
        <w:widowControl w:val="0"/>
        <w:kinsoku/>
        <w:wordWrap/>
        <w:overflowPunct/>
        <w:topLinePunct w:val="0"/>
        <w:autoSpaceDE/>
        <w:autoSpaceDN/>
        <w:bidi w:val="0"/>
        <w:spacing w:after="0" w:line="360" w:lineRule="auto"/>
        <w:ind w:firstLine="422" w:firstLineChars="200"/>
        <w:jc w:val="left"/>
        <w:textAlignment w:val="auto"/>
        <w:rPr>
          <w:b/>
          <w:szCs w:val="21"/>
        </w:rPr>
      </w:pPr>
      <w:r>
        <w:rPr>
          <w:rFonts w:hint="eastAsia"/>
          <w:b/>
          <w:szCs w:val="21"/>
        </w:rPr>
        <w:t>电子招投标开标及评审程序</w:t>
      </w:r>
    </w:p>
    <w:p w14:paraId="3759833C">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1.</w:t>
      </w:r>
      <w:r>
        <w:rPr>
          <w:rFonts w:hint="eastAsia"/>
          <w:szCs w:val="21"/>
        </w:rPr>
        <w:t>采购组织机构按照规定的时间通过政采云系统组织开标、开启响应文件，所有投标人均应当准时在线参加。</w:t>
      </w:r>
    </w:p>
    <w:p w14:paraId="181A5885">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2.</w:t>
      </w:r>
      <w:r>
        <w:rPr>
          <w:rFonts w:hint="eastAsia"/>
          <w:szCs w:val="21"/>
        </w:rPr>
        <w:t>投标截止时间后，投标人登录政采云平台，用</w:t>
      </w:r>
      <w:r>
        <w:rPr>
          <w:szCs w:val="21"/>
        </w:rPr>
        <w:t>“</w:t>
      </w:r>
      <w:r>
        <w:rPr>
          <w:rFonts w:hint="eastAsia"/>
          <w:szCs w:val="21"/>
        </w:rPr>
        <w:t>项目采购</w:t>
      </w:r>
      <w:r>
        <w:rPr>
          <w:szCs w:val="21"/>
        </w:rPr>
        <w:t>-</w:t>
      </w:r>
      <w:r>
        <w:rPr>
          <w:rFonts w:hint="eastAsia"/>
          <w:szCs w:val="21"/>
        </w:rPr>
        <w:t>开标评标</w:t>
      </w:r>
      <w:r>
        <w:rPr>
          <w:szCs w:val="21"/>
        </w:rPr>
        <w:t>”</w:t>
      </w:r>
      <w:r>
        <w:rPr>
          <w:rFonts w:hint="eastAsia"/>
          <w:szCs w:val="21"/>
        </w:rPr>
        <w:t>功能对电子投标文件进行</w:t>
      </w:r>
      <w:r>
        <w:rPr>
          <w:rFonts w:hint="eastAsia"/>
          <w:b/>
          <w:bCs/>
          <w:szCs w:val="21"/>
        </w:rPr>
        <w:t>在线解密。</w:t>
      </w:r>
      <w:r>
        <w:rPr>
          <w:rFonts w:hint="eastAsia"/>
          <w:szCs w:val="21"/>
        </w:rPr>
        <w:t>在线解密电子投标文件时间</w:t>
      </w:r>
      <w:r>
        <w:rPr>
          <w:rFonts w:hint="eastAsia"/>
          <w:b/>
          <w:bCs/>
          <w:szCs w:val="21"/>
        </w:rPr>
        <w:t>为开标时间起半个小时内；</w:t>
      </w:r>
    </w:p>
    <w:p w14:paraId="598411A1">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3.</w:t>
      </w:r>
      <w:r>
        <w:rPr>
          <w:rFonts w:hint="eastAsia"/>
          <w:szCs w:val="21"/>
        </w:rPr>
        <w:t>采购人或代理机构对资格文件进行评审，评标委员会对商务技术响应文件进行评审。</w:t>
      </w:r>
    </w:p>
    <w:p w14:paraId="333A5877">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4.</w:t>
      </w:r>
      <w:r>
        <w:rPr>
          <w:rFonts w:hint="eastAsia"/>
          <w:szCs w:val="21"/>
        </w:rPr>
        <w:t>在系统上公开资格和商务技术评审结果；</w:t>
      </w:r>
    </w:p>
    <w:p w14:paraId="5CA2EFFA">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5.</w:t>
      </w:r>
      <w:r>
        <w:rPr>
          <w:rFonts w:hint="eastAsia"/>
          <w:szCs w:val="21"/>
        </w:rPr>
        <w:t>在系统上公开报价开标情况；</w:t>
      </w:r>
    </w:p>
    <w:p w14:paraId="76522735">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6.</w:t>
      </w:r>
      <w:r>
        <w:rPr>
          <w:rFonts w:hint="eastAsia"/>
          <w:szCs w:val="21"/>
        </w:rPr>
        <w:t>评标委员会对报价情况进行评审；</w:t>
      </w:r>
    </w:p>
    <w:p w14:paraId="3ECB2C22">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1"/>
        </w:rPr>
      </w:pPr>
      <w:r>
        <w:rPr>
          <w:szCs w:val="21"/>
        </w:rPr>
        <w:t>7.</w:t>
      </w:r>
      <w:r>
        <w:rPr>
          <w:rFonts w:hint="eastAsia"/>
          <w:szCs w:val="21"/>
        </w:rPr>
        <w:t>在系统上公布评审结果。</w:t>
      </w:r>
    </w:p>
    <w:p w14:paraId="631C353B">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textAlignment w:val="auto"/>
        <w:rPr>
          <w:szCs w:val="20"/>
        </w:rPr>
      </w:pPr>
      <w:r>
        <w:rPr>
          <w:rFonts w:hint="eastAsia"/>
          <w:szCs w:val="21"/>
        </w:rPr>
        <w:t>特别说明：政采云公司如对电子化开标及评审程序有调整的，按调整后的程序操作。</w:t>
      </w:r>
    </w:p>
    <w:p w14:paraId="5428F7F7">
      <w:pPr>
        <w:snapToGrid w:val="0"/>
        <w:spacing w:before="120" w:line="360" w:lineRule="auto"/>
        <w:ind w:right="-87" w:firstLine="3654" w:firstLineChars="1300"/>
        <w:outlineLvl w:val="1"/>
        <w:rPr>
          <w:rFonts w:hint="eastAsia"/>
          <w:b/>
          <w:sz w:val="28"/>
        </w:rPr>
      </w:pPr>
    </w:p>
    <w:p w14:paraId="4E47B151">
      <w:pPr>
        <w:snapToGrid w:val="0"/>
        <w:spacing w:before="120" w:line="360" w:lineRule="auto"/>
        <w:ind w:right="-87" w:firstLine="3654" w:firstLineChars="1300"/>
        <w:outlineLvl w:val="1"/>
        <w:rPr>
          <w:b/>
          <w:sz w:val="28"/>
        </w:rPr>
      </w:pPr>
      <w:r>
        <w:rPr>
          <w:rFonts w:hint="eastAsia"/>
          <w:b/>
          <w:sz w:val="28"/>
        </w:rPr>
        <w:t>五、评标</w:t>
      </w:r>
    </w:p>
    <w:p w14:paraId="05FDD235">
      <w:pPr>
        <w:snapToGrid w:val="0"/>
        <w:spacing w:before="120" w:line="360" w:lineRule="auto"/>
        <w:ind w:right="-87" w:firstLine="422" w:firstLineChars="200"/>
        <w:rPr>
          <w:b/>
        </w:rPr>
      </w:pPr>
      <w:r>
        <w:rPr>
          <w:rFonts w:hint="eastAsia"/>
          <w:b/>
        </w:rPr>
        <w:t>（一）组建评标委员会</w:t>
      </w:r>
    </w:p>
    <w:p w14:paraId="11E5EEB4">
      <w:pPr>
        <w:snapToGrid w:val="0"/>
        <w:spacing w:before="120" w:line="360" w:lineRule="auto"/>
        <w:ind w:right="-87" w:firstLine="420" w:firstLineChars="200"/>
      </w:pPr>
      <w:r>
        <w:rPr>
          <w:rFonts w:hint="eastAsia"/>
        </w:rPr>
        <w:t>评标委员会由采购人代表和评审专家组成，成员人数为5人（含）以上单数，其中评审专家不得少于成员总数的三分之二。</w:t>
      </w:r>
    </w:p>
    <w:p w14:paraId="31253A10">
      <w:pPr>
        <w:snapToGrid w:val="0"/>
        <w:spacing w:before="120" w:line="360" w:lineRule="auto"/>
        <w:ind w:right="-87" w:firstLine="422" w:firstLineChars="200"/>
        <w:rPr>
          <w:b/>
        </w:rPr>
      </w:pPr>
      <w:r>
        <w:rPr>
          <w:rFonts w:hint="eastAsia"/>
          <w:b/>
        </w:rPr>
        <w:t>（二）评标程序</w:t>
      </w:r>
    </w:p>
    <w:p w14:paraId="5B3F660F">
      <w:pPr>
        <w:snapToGrid w:val="0"/>
        <w:spacing w:line="360" w:lineRule="auto"/>
        <w:ind w:right="-87" w:firstLine="422" w:firstLineChars="200"/>
        <w:rPr>
          <w:szCs w:val="21"/>
        </w:rPr>
      </w:pPr>
      <w:r>
        <w:rPr>
          <w:b/>
          <w:szCs w:val="21"/>
        </w:rPr>
        <w:t>1.</w:t>
      </w:r>
      <w:r>
        <w:rPr>
          <w:rFonts w:hint="eastAsia"/>
          <w:b/>
          <w:szCs w:val="21"/>
        </w:rPr>
        <w:t>投标文件初审</w:t>
      </w:r>
    </w:p>
    <w:p w14:paraId="54099FD2">
      <w:pPr>
        <w:snapToGrid w:val="0"/>
        <w:spacing w:line="360" w:lineRule="auto"/>
        <w:ind w:right="-87" w:firstLine="420" w:firstLineChars="200"/>
        <w:rPr>
          <w:b/>
          <w:szCs w:val="21"/>
        </w:rPr>
      </w:pPr>
      <w:r>
        <w:rPr>
          <w:rFonts w:hint="eastAsia"/>
          <w:szCs w:val="21"/>
        </w:rPr>
        <w:t>初审分为资格性检查和符合性检查。</w:t>
      </w:r>
    </w:p>
    <w:p w14:paraId="45850D0D">
      <w:pPr>
        <w:adjustRightInd w:val="0"/>
        <w:snapToGrid w:val="0"/>
        <w:spacing w:line="360" w:lineRule="auto"/>
        <w:ind w:firstLine="420" w:firstLineChars="200"/>
        <w:jc w:val="left"/>
        <w:rPr>
          <w:szCs w:val="21"/>
        </w:rPr>
      </w:pPr>
      <w:r>
        <w:rPr>
          <w:szCs w:val="21"/>
        </w:rPr>
        <w:t>1.1</w:t>
      </w:r>
      <w:r>
        <w:rPr>
          <w:rFonts w:hint="eastAsia"/>
          <w:szCs w:val="21"/>
        </w:rPr>
        <w:t>资格性检查。依据法律法规和采购文件的规定，对投标文件中的资格证明等进行审查，以确定投标投标人是否具备投标资格。</w:t>
      </w:r>
    </w:p>
    <w:p w14:paraId="45E46F65">
      <w:pPr>
        <w:adjustRightInd w:val="0"/>
        <w:snapToGrid w:val="0"/>
        <w:spacing w:line="360" w:lineRule="auto"/>
        <w:ind w:firstLine="420" w:firstLineChars="200"/>
        <w:jc w:val="left"/>
        <w:rPr>
          <w:szCs w:val="21"/>
        </w:rPr>
      </w:pPr>
      <w:r>
        <w:rPr>
          <w:szCs w:val="21"/>
        </w:rPr>
        <w:t>1.2</w:t>
      </w:r>
      <w:r>
        <w:rPr>
          <w:rFonts w:hint="eastAsia"/>
          <w:szCs w:val="21"/>
        </w:rPr>
        <w:t>符合性检查。依据采购文件的规定，从投标文件的有效性、完整性和对采购文件的响应程度进行审查，以确定是否对采购文件的实质性要求作出响应。</w:t>
      </w:r>
    </w:p>
    <w:p w14:paraId="13AA4964">
      <w:pPr>
        <w:snapToGrid w:val="0"/>
        <w:spacing w:line="360" w:lineRule="auto"/>
        <w:ind w:right="-87" w:firstLine="482" w:firstLineChars="200"/>
        <w:rPr>
          <w:b/>
          <w:sz w:val="24"/>
        </w:rPr>
      </w:pPr>
      <w:r>
        <w:rPr>
          <w:b/>
          <w:sz w:val="24"/>
        </w:rPr>
        <w:t>2.</w:t>
      </w:r>
      <w:r>
        <w:rPr>
          <w:rFonts w:hint="eastAsia"/>
          <w:b/>
          <w:szCs w:val="21"/>
        </w:rPr>
        <w:t>实质审查</w:t>
      </w:r>
    </w:p>
    <w:p w14:paraId="2B9529EE">
      <w:pPr>
        <w:spacing w:line="360" w:lineRule="auto"/>
        <w:ind w:firstLine="420" w:firstLineChars="200"/>
        <w:rPr>
          <w:kern w:val="0"/>
          <w:szCs w:val="21"/>
        </w:rPr>
      </w:pPr>
      <w:r>
        <w:rPr>
          <w:rFonts w:hint="eastAsia"/>
          <w:kern w:val="0"/>
          <w:szCs w:val="21"/>
        </w:rPr>
        <w:t>（</w:t>
      </w:r>
      <w:r>
        <w:rPr>
          <w:kern w:val="0"/>
          <w:szCs w:val="21"/>
        </w:rPr>
        <w:t>1</w:t>
      </w:r>
      <w:r>
        <w:rPr>
          <w:rFonts w:hint="eastAsia"/>
          <w:kern w:val="0"/>
          <w:szCs w:val="21"/>
        </w:rPr>
        <w:t>）评标委员会审查投标文件的实质性内容是否符合采购文件的实质性要求。</w:t>
      </w:r>
    </w:p>
    <w:p w14:paraId="449158CE">
      <w:pPr>
        <w:spacing w:line="360" w:lineRule="auto"/>
        <w:ind w:firstLine="420" w:firstLineChars="200"/>
        <w:rPr>
          <w:kern w:val="0"/>
          <w:szCs w:val="21"/>
        </w:rPr>
      </w:pPr>
      <w:r>
        <w:rPr>
          <w:rFonts w:hint="eastAsia"/>
          <w:kern w:val="0"/>
          <w:szCs w:val="21"/>
        </w:rPr>
        <w:t>（</w:t>
      </w:r>
      <w:r>
        <w:rPr>
          <w:kern w:val="0"/>
          <w:szCs w:val="21"/>
        </w:rPr>
        <w:t>2</w:t>
      </w:r>
      <w:r>
        <w:rPr>
          <w:rFonts w:hint="eastAsia"/>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928F4A4">
      <w:pPr>
        <w:spacing w:line="360" w:lineRule="auto"/>
        <w:ind w:firstLine="420" w:firstLineChars="200"/>
        <w:rPr>
          <w:kern w:val="0"/>
          <w:szCs w:val="21"/>
        </w:rPr>
      </w:pPr>
      <w:r>
        <w:rPr>
          <w:rFonts w:hint="eastAsia"/>
          <w:kern w:val="0"/>
          <w:szCs w:val="21"/>
        </w:rPr>
        <w:t>（</w:t>
      </w:r>
      <w:r>
        <w:rPr>
          <w:kern w:val="0"/>
          <w:szCs w:val="21"/>
        </w:rPr>
        <w:t>3</w:t>
      </w:r>
      <w:r>
        <w:rPr>
          <w:rFonts w:hint="eastAsia"/>
          <w:kern w:val="0"/>
          <w:szCs w:val="21"/>
        </w:rPr>
        <w:t>）评审小组商务、技术方案响应性评定；</w:t>
      </w:r>
    </w:p>
    <w:p w14:paraId="7BAE2C8A">
      <w:pPr>
        <w:spacing w:line="360" w:lineRule="auto"/>
        <w:ind w:firstLine="420" w:firstLineChars="200"/>
        <w:rPr>
          <w:kern w:val="0"/>
          <w:szCs w:val="21"/>
        </w:rPr>
      </w:pPr>
      <w:r>
        <w:rPr>
          <w:rFonts w:hint="eastAsia"/>
          <w:kern w:val="0"/>
          <w:szCs w:val="21"/>
        </w:rPr>
        <w:t>（</w:t>
      </w:r>
      <w:r>
        <w:rPr>
          <w:kern w:val="0"/>
          <w:szCs w:val="21"/>
        </w:rPr>
        <w:t>4</w:t>
      </w:r>
      <w:r>
        <w:rPr>
          <w:rFonts w:hint="eastAsia"/>
          <w:kern w:val="0"/>
          <w:szCs w:val="21"/>
        </w:rPr>
        <w:t>）各投标人的技术得分为所有评委的有效评分的算术平均数，由指定专人进行计算复核。</w:t>
      </w:r>
    </w:p>
    <w:p w14:paraId="4935B703">
      <w:pPr>
        <w:spacing w:line="360" w:lineRule="auto"/>
        <w:ind w:firstLine="420" w:firstLineChars="200"/>
        <w:rPr>
          <w:rFonts w:hint="eastAsia"/>
          <w:kern w:val="0"/>
          <w:szCs w:val="21"/>
        </w:rPr>
      </w:pPr>
      <w:r>
        <w:rPr>
          <w:rFonts w:hint="eastAsia"/>
          <w:kern w:val="0"/>
          <w:szCs w:val="21"/>
        </w:rPr>
        <w:t>（</w:t>
      </w:r>
      <w:r>
        <w:rPr>
          <w:kern w:val="0"/>
          <w:szCs w:val="21"/>
        </w:rPr>
        <w:t>5</w:t>
      </w:r>
      <w:r>
        <w:rPr>
          <w:rFonts w:hint="eastAsia"/>
          <w:kern w:val="0"/>
          <w:szCs w:val="21"/>
        </w:rPr>
        <w:t>）评标委员会完成评标后，评委对各部分得分汇总，计算出本项目</w:t>
      </w:r>
      <w:r>
        <w:rPr>
          <w:rFonts w:hint="eastAsia"/>
          <w:kern w:val="0"/>
          <w:szCs w:val="21"/>
          <w:lang w:eastAsia="zh-CN"/>
        </w:rPr>
        <w:t>综合得分</w:t>
      </w:r>
      <w:r>
        <w:rPr>
          <w:rFonts w:hint="eastAsia"/>
          <w:kern w:val="0"/>
          <w:szCs w:val="21"/>
        </w:rPr>
        <w:t>。评标委员会按评标原则通过电子系统向采购人及采购代理机构提交评审报告。</w:t>
      </w:r>
    </w:p>
    <w:p w14:paraId="349DC348">
      <w:pPr>
        <w:spacing w:line="360" w:lineRule="auto"/>
        <w:ind w:firstLine="422" w:firstLineChars="200"/>
        <w:rPr>
          <w:b/>
          <w:szCs w:val="21"/>
        </w:rPr>
      </w:pPr>
      <w:r>
        <w:rPr>
          <w:rFonts w:hint="eastAsia"/>
          <w:b/>
          <w:szCs w:val="21"/>
        </w:rPr>
        <w:t>（三）澄清问题的形式</w:t>
      </w:r>
    </w:p>
    <w:p w14:paraId="3A2B35EE">
      <w:pPr>
        <w:snapToGrid w:val="0"/>
        <w:spacing w:line="360" w:lineRule="auto"/>
        <w:ind w:right="-87" w:firstLine="420" w:firstLineChars="200"/>
        <w:rPr>
          <w:rFonts w:hint="eastAsia"/>
        </w:rPr>
      </w:pPr>
      <w:r>
        <w:rPr>
          <w:rFonts w:hint="eastAsia"/>
        </w:rPr>
        <w:t>对投标文件中含义不明确、同类问题表述不一致或者有明显文字和计算错误的内容，评标委员会可要求投标人作出必要的澄清、说明或者纠正。投标人与评审小组</w:t>
      </w:r>
      <w:r>
        <w:rPr>
          <w:rFonts w:hint="eastAsia"/>
          <w:szCs w:val="21"/>
        </w:rPr>
        <w:t>通过电子交易平台交换数据电文的形式进行</w:t>
      </w:r>
      <w:r>
        <w:rPr>
          <w:rFonts w:hint="eastAsia"/>
        </w:rPr>
        <w:t>，给予投标人提交澄清说明或补正的时间不少于半个小时，投标人已经明确表示澄清说明或补正完毕的除外。不得超出投标文件的范围或者改变投标文件的实质性内容。</w:t>
      </w:r>
    </w:p>
    <w:p w14:paraId="13C9B365">
      <w:pPr>
        <w:snapToGrid w:val="0"/>
        <w:spacing w:line="360" w:lineRule="auto"/>
        <w:ind w:right="-87" w:firstLine="422" w:firstLineChars="200"/>
        <w:rPr>
          <w:rFonts w:hint="eastAsia"/>
          <w:b/>
          <w:szCs w:val="21"/>
        </w:rPr>
      </w:pPr>
      <w:r>
        <w:rPr>
          <w:rFonts w:hint="eastAsia"/>
          <w:b/>
          <w:szCs w:val="21"/>
        </w:rPr>
        <w:t>（四）错误修正</w:t>
      </w:r>
    </w:p>
    <w:p w14:paraId="1E4620DE">
      <w:pPr>
        <w:snapToGrid w:val="0"/>
        <w:spacing w:line="360" w:lineRule="auto"/>
        <w:ind w:right="-87" w:firstLine="420" w:firstLineChars="200"/>
        <w:rPr>
          <w:szCs w:val="21"/>
        </w:rPr>
      </w:pPr>
      <w:r>
        <w:rPr>
          <w:szCs w:val="21"/>
        </w:rPr>
        <w:t>投标文件如果出现计算或表达上的错误，修正错误的原则如下：</w:t>
      </w:r>
    </w:p>
    <w:p w14:paraId="3EAA18E2">
      <w:pPr>
        <w:snapToGrid w:val="0"/>
        <w:spacing w:line="360" w:lineRule="auto"/>
        <w:ind w:right="-87" w:firstLine="420" w:firstLineChars="200"/>
        <w:rPr>
          <w:szCs w:val="21"/>
        </w:rPr>
      </w:pPr>
      <w:r>
        <w:rPr>
          <w:rFonts w:hint="eastAsia"/>
          <w:szCs w:val="21"/>
        </w:rPr>
        <w:t>1.投标文件中开标一览表（报价表）内容与投标文件中相应内容不一致的，以开标一览表（报价表）为准；</w:t>
      </w:r>
    </w:p>
    <w:p w14:paraId="7F3D6BDE">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1"/>
        </w:rPr>
      </w:pPr>
      <w:r>
        <w:rPr>
          <w:rFonts w:hint="eastAsia"/>
          <w:szCs w:val="21"/>
        </w:rPr>
        <w:t>2.大写金额和小写金额不一致的，以大写金额为准；</w:t>
      </w:r>
    </w:p>
    <w:p w14:paraId="1DBC18E1">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1"/>
        </w:rPr>
      </w:pPr>
      <w:r>
        <w:rPr>
          <w:rFonts w:hint="eastAsia"/>
          <w:szCs w:val="21"/>
        </w:rPr>
        <w:t>3.单价金额小数点或者百分比有明显错位的，以开标一览表的总价为准，并修改单价；</w:t>
      </w:r>
    </w:p>
    <w:p w14:paraId="175E43ED">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1"/>
        </w:rPr>
      </w:pPr>
      <w:r>
        <w:rPr>
          <w:rFonts w:hint="eastAsia"/>
          <w:szCs w:val="21"/>
        </w:rPr>
        <w:t>4.总价金额与按单价汇总金额不一致的，以单价金额计算结果为准。</w:t>
      </w:r>
    </w:p>
    <w:p w14:paraId="0CA74539">
      <w:pPr>
        <w:keepNext w:val="0"/>
        <w:keepLines w:val="0"/>
        <w:pageBreakBefore w:val="0"/>
        <w:kinsoku/>
        <w:wordWrap/>
        <w:overflowPunct/>
        <w:topLinePunct w:val="0"/>
        <w:autoSpaceDE/>
        <w:autoSpaceDN/>
        <w:bidi w:val="0"/>
        <w:adjustRightInd/>
        <w:snapToGrid w:val="0"/>
        <w:spacing w:after="0" w:line="360" w:lineRule="auto"/>
        <w:ind w:right="0"/>
        <w:textAlignment w:val="auto"/>
        <w:rPr>
          <w:b/>
          <w:bCs/>
          <w:szCs w:val="21"/>
        </w:rPr>
      </w:pPr>
      <w:r>
        <w:rPr>
          <w:rFonts w:hint="eastAsia"/>
          <w:b/>
          <w:bCs/>
          <w:szCs w:val="21"/>
        </w:rPr>
        <w:t>同时出现两种以上不一致的，按照前款规定的顺序修正。</w:t>
      </w:r>
    </w:p>
    <w:p w14:paraId="41FF779E">
      <w:pPr>
        <w:keepNext w:val="0"/>
        <w:keepLines w:val="0"/>
        <w:pageBreakBefore w:val="0"/>
        <w:kinsoku/>
        <w:wordWrap/>
        <w:overflowPunct/>
        <w:topLinePunct w:val="0"/>
        <w:autoSpaceDE/>
        <w:autoSpaceDN/>
        <w:bidi w:val="0"/>
        <w:adjustRightInd/>
        <w:snapToGrid w:val="0"/>
        <w:spacing w:after="0" w:line="360" w:lineRule="auto"/>
        <w:ind w:right="0" w:firstLine="417" w:firstLineChars="198"/>
        <w:textAlignment w:val="auto"/>
        <w:rPr>
          <w:szCs w:val="21"/>
        </w:rPr>
      </w:pPr>
      <w:r>
        <w:rPr>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43109AB">
      <w:pPr>
        <w:keepNext w:val="0"/>
        <w:keepLines w:val="0"/>
        <w:pageBreakBefore w:val="0"/>
        <w:kinsoku/>
        <w:wordWrap/>
        <w:overflowPunct/>
        <w:topLinePunct w:val="0"/>
        <w:autoSpaceDE/>
        <w:autoSpaceDN/>
        <w:bidi w:val="0"/>
        <w:adjustRightInd/>
        <w:snapToGrid w:val="0"/>
        <w:spacing w:after="0" w:line="360" w:lineRule="auto"/>
        <w:ind w:right="0" w:firstLine="422" w:firstLineChars="200"/>
        <w:jc w:val="left"/>
        <w:textAlignment w:val="auto"/>
        <w:rPr>
          <w:rFonts w:hint="eastAsia" w:eastAsia="宋体"/>
          <w:b/>
          <w:szCs w:val="21"/>
          <w:lang w:eastAsia="zh-CN"/>
        </w:rPr>
      </w:pPr>
      <w:r>
        <w:rPr>
          <w:rFonts w:hint="eastAsia"/>
          <w:b/>
          <w:szCs w:val="21"/>
        </w:rPr>
        <w:t>（五）评标原则和</w:t>
      </w:r>
      <w:r>
        <w:rPr>
          <w:rFonts w:hint="eastAsia"/>
          <w:b/>
          <w:szCs w:val="21"/>
          <w:lang w:eastAsia="zh-CN"/>
        </w:rPr>
        <w:t>评标方法</w:t>
      </w:r>
    </w:p>
    <w:p w14:paraId="6503A683">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1"/>
        </w:rPr>
      </w:pPr>
      <w:r>
        <w:rPr>
          <w:szCs w:val="21"/>
        </w:rPr>
        <w:t>1.</w:t>
      </w:r>
      <w:r>
        <w:rPr>
          <w:rFonts w:hint="eastAsia"/>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751B34DF">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rFonts w:hint="eastAsia"/>
          <w:szCs w:val="21"/>
        </w:rPr>
      </w:pPr>
      <w:r>
        <w:rPr>
          <w:szCs w:val="21"/>
        </w:rPr>
        <w:t>2.</w:t>
      </w:r>
      <w:r>
        <w:rPr>
          <w:rFonts w:hint="eastAsia"/>
          <w:szCs w:val="21"/>
          <w:lang w:eastAsia="zh-CN"/>
        </w:rPr>
        <w:t>评标方法</w:t>
      </w:r>
      <w:r>
        <w:rPr>
          <w:rFonts w:hint="eastAsia"/>
          <w:szCs w:val="21"/>
        </w:rPr>
        <w:t>。本项目</w:t>
      </w:r>
      <w:r>
        <w:rPr>
          <w:rFonts w:hint="eastAsia"/>
          <w:szCs w:val="21"/>
          <w:lang w:eastAsia="zh-CN"/>
        </w:rPr>
        <w:t>评标方法</w:t>
      </w:r>
      <w:r>
        <w:rPr>
          <w:rFonts w:hint="eastAsia"/>
          <w:szCs w:val="21"/>
        </w:rPr>
        <w:t>是</w:t>
      </w:r>
      <w:r>
        <w:rPr>
          <w:rFonts w:hint="eastAsia"/>
          <w:szCs w:val="21"/>
          <w:u w:val="single"/>
        </w:rPr>
        <w:t>综合评分法</w:t>
      </w:r>
      <w:r>
        <w:rPr>
          <w:rFonts w:hint="eastAsia"/>
          <w:szCs w:val="21"/>
        </w:rPr>
        <w:t>，具体评标内容及评分标准等详见《第四章：</w:t>
      </w:r>
      <w:r>
        <w:rPr>
          <w:rFonts w:hint="eastAsia"/>
          <w:szCs w:val="21"/>
          <w:lang w:eastAsia="zh-CN"/>
        </w:rPr>
        <w:t>评标方法</w:t>
      </w:r>
      <w:r>
        <w:rPr>
          <w:rFonts w:hint="eastAsia"/>
          <w:szCs w:val="21"/>
        </w:rPr>
        <w:t>及评分标准》。</w:t>
      </w:r>
    </w:p>
    <w:p w14:paraId="2E2682C6">
      <w:pPr>
        <w:keepNext w:val="0"/>
        <w:keepLines w:val="0"/>
        <w:pageBreakBefore w:val="0"/>
        <w:kinsoku/>
        <w:wordWrap/>
        <w:overflowPunct/>
        <w:topLinePunct w:val="0"/>
        <w:autoSpaceDE/>
        <w:autoSpaceDN/>
        <w:bidi w:val="0"/>
        <w:adjustRightInd/>
        <w:snapToGrid w:val="0"/>
        <w:spacing w:after="0" w:line="360" w:lineRule="auto"/>
        <w:ind w:right="0" w:firstLine="422" w:firstLineChars="200"/>
        <w:textAlignment w:val="auto"/>
        <w:rPr>
          <w:b/>
          <w:szCs w:val="21"/>
        </w:rPr>
      </w:pPr>
      <w:r>
        <w:rPr>
          <w:rFonts w:hint="eastAsia"/>
          <w:b/>
          <w:szCs w:val="21"/>
        </w:rPr>
        <w:t>（六）评标过程的监控</w:t>
      </w:r>
    </w:p>
    <w:p w14:paraId="75863E97">
      <w:pPr>
        <w:keepNext w:val="0"/>
        <w:keepLines w:val="0"/>
        <w:pageBreakBefore w:val="0"/>
        <w:kinsoku/>
        <w:wordWrap/>
        <w:overflowPunct/>
        <w:topLinePunct w:val="0"/>
        <w:autoSpaceDE/>
        <w:autoSpaceDN/>
        <w:bidi w:val="0"/>
        <w:adjustRightInd/>
        <w:snapToGrid w:val="0"/>
        <w:spacing w:after="0" w:line="360" w:lineRule="auto"/>
        <w:ind w:right="0" w:firstLine="420" w:firstLineChars="200"/>
        <w:textAlignment w:val="auto"/>
        <w:rPr>
          <w:szCs w:val="24"/>
        </w:rPr>
      </w:pPr>
      <w:r>
        <w:rPr>
          <w:rFonts w:hint="eastAsia"/>
          <w:szCs w:val="24"/>
        </w:rPr>
        <w:t>本项目评标过程实行全程录音、录像监控。</w:t>
      </w:r>
    </w:p>
    <w:p w14:paraId="7DBA0E96">
      <w:pPr>
        <w:widowControl/>
        <w:jc w:val="both"/>
        <w:rPr>
          <w:rFonts w:hint="eastAsia"/>
          <w:b/>
          <w:sz w:val="28"/>
        </w:rPr>
      </w:pPr>
    </w:p>
    <w:p w14:paraId="577E267C">
      <w:pPr>
        <w:widowControl/>
        <w:jc w:val="center"/>
        <w:rPr>
          <w:szCs w:val="20"/>
        </w:rPr>
      </w:pPr>
      <w:r>
        <w:rPr>
          <w:rFonts w:hint="eastAsia"/>
          <w:b/>
          <w:sz w:val="28"/>
        </w:rPr>
        <w:t>六、定标</w:t>
      </w:r>
    </w:p>
    <w:p w14:paraId="4A66AF47">
      <w:pPr>
        <w:snapToGrid w:val="0"/>
        <w:spacing w:before="120" w:beforeLines="50" w:line="360" w:lineRule="auto"/>
        <w:ind w:firstLine="422" w:firstLineChars="200"/>
        <w:rPr>
          <w:b/>
          <w:szCs w:val="21"/>
        </w:rPr>
      </w:pPr>
      <w:r>
        <w:rPr>
          <w:rFonts w:hint="eastAsia"/>
          <w:b/>
          <w:szCs w:val="21"/>
        </w:rPr>
        <w:t>确定中标人</w:t>
      </w:r>
    </w:p>
    <w:p w14:paraId="2F9ECF93">
      <w:pPr>
        <w:snapToGrid w:val="0"/>
        <w:spacing w:before="120" w:beforeLines="50" w:line="360" w:lineRule="auto"/>
        <w:ind w:firstLine="415" w:firstLineChars="198"/>
        <w:rPr>
          <w:b/>
          <w:szCs w:val="21"/>
        </w:rPr>
      </w:pPr>
      <w:r>
        <w:rPr>
          <w:rFonts w:hint="eastAsia"/>
          <w:szCs w:val="21"/>
        </w:rPr>
        <w:t>本项目由采购人事先授权评审小组确定候选中标人</w:t>
      </w:r>
      <w:r>
        <w:rPr>
          <w:szCs w:val="21"/>
        </w:rPr>
        <w:t>1</w:t>
      </w:r>
      <w:r>
        <w:rPr>
          <w:rFonts w:hint="eastAsia"/>
          <w:szCs w:val="21"/>
        </w:rPr>
        <w:t>名。经采购人确认后，确定项目中标人，同时发布采购结果公告</w:t>
      </w:r>
      <w:r>
        <w:rPr>
          <w:rFonts w:hint="eastAsia"/>
          <w:b/>
          <w:szCs w:val="21"/>
        </w:rPr>
        <w:t>（中标人通过政采云系统领取中标通知书）。</w:t>
      </w:r>
    </w:p>
    <w:p w14:paraId="2B2EFB9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szCs w:val="21"/>
        </w:rPr>
      </w:pPr>
      <w:r>
        <w:rPr>
          <w:szCs w:val="21"/>
        </w:rPr>
        <w:t>1.</w:t>
      </w:r>
      <w:r>
        <w:rPr>
          <w:rFonts w:hint="eastAsia"/>
          <w:szCs w:val="21"/>
        </w:rPr>
        <w:t>采购代理机构在评标结束后在</w:t>
      </w:r>
      <w:r>
        <w:rPr>
          <w:szCs w:val="21"/>
        </w:rPr>
        <w:t>2</w:t>
      </w:r>
      <w:r>
        <w:rPr>
          <w:rFonts w:hint="eastAsia"/>
          <w:szCs w:val="21"/>
        </w:rPr>
        <w:t>个工作日内将评审报告交采购人确认。</w:t>
      </w:r>
    </w:p>
    <w:p w14:paraId="71EC5D49">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szCs w:val="21"/>
        </w:rPr>
      </w:pPr>
      <w:r>
        <w:rPr>
          <w:szCs w:val="21"/>
        </w:rPr>
        <w:t>2.</w:t>
      </w:r>
      <w:r>
        <w:rPr>
          <w:rFonts w:hint="eastAsia"/>
          <w:szCs w:val="21"/>
        </w:rPr>
        <w:t>投标人对评审结果无异议的，采购人应在收到评审报告后</w:t>
      </w:r>
      <w:r>
        <w:rPr>
          <w:szCs w:val="21"/>
        </w:rPr>
        <w:t>5</w:t>
      </w:r>
      <w:r>
        <w:rPr>
          <w:rFonts w:hint="eastAsia"/>
          <w:szCs w:val="21"/>
        </w:rPr>
        <w:t>个工作日内对评审结果进行确认。如有投标人对评审结果提出质疑的，采购人可在质疑处理完毕后确定中标人。</w:t>
      </w:r>
    </w:p>
    <w:p w14:paraId="5A388F9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szCs w:val="21"/>
        </w:rPr>
      </w:pPr>
      <w:r>
        <w:rPr>
          <w:szCs w:val="21"/>
        </w:rPr>
        <w:t>3.</w:t>
      </w:r>
      <w:r>
        <w:rPr>
          <w:rFonts w:hint="eastAsia"/>
          <w:szCs w:val="21"/>
        </w:rPr>
        <w:t>采购人依法确定中标人后</w:t>
      </w:r>
      <w:r>
        <w:rPr>
          <w:szCs w:val="21"/>
        </w:rPr>
        <w:t>2</w:t>
      </w:r>
      <w:r>
        <w:rPr>
          <w:rFonts w:hint="eastAsia"/>
          <w:szCs w:val="21"/>
        </w:rPr>
        <w:t>个工作日内，采购代理机构发出《中标通知书》</w:t>
      </w:r>
      <w:r>
        <w:rPr>
          <w:szCs w:val="21"/>
        </w:rPr>
        <w:t>,</w:t>
      </w:r>
      <w:r>
        <w:rPr>
          <w:rFonts w:hint="eastAsia"/>
          <w:szCs w:val="21"/>
        </w:rPr>
        <w:t>并同时在相关网站上发布中标公告。</w:t>
      </w:r>
    </w:p>
    <w:p w14:paraId="12CDEB53">
      <w:pPr>
        <w:ind w:firstLine="420" w:firstLineChars="200"/>
        <w:rPr>
          <w:szCs w:val="20"/>
        </w:rPr>
      </w:pPr>
    </w:p>
    <w:p w14:paraId="44C41644">
      <w:pPr>
        <w:snapToGrid w:val="0"/>
        <w:spacing w:before="120" w:line="360" w:lineRule="auto"/>
        <w:ind w:right="-87" w:firstLine="3345" w:firstLineChars="1190"/>
        <w:outlineLvl w:val="1"/>
        <w:rPr>
          <w:b/>
          <w:sz w:val="28"/>
        </w:rPr>
      </w:pPr>
      <w:r>
        <w:rPr>
          <w:rFonts w:hint="eastAsia"/>
          <w:b/>
          <w:sz w:val="28"/>
        </w:rPr>
        <w:t>七、合同授予</w:t>
      </w:r>
    </w:p>
    <w:p w14:paraId="0169E99A">
      <w:pPr>
        <w:widowControl/>
        <w:numPr>
          <w:ilvl w:val="0"/>
          <w:numId w:val="0"/>
        </w:numPr>
        <w:overflowPunct w:val="0"/>
        <w:autoSpaceDE w:val="0"/>
        <w:autoSpaceDN w:val="0"/>
        <w:adjustRightInd w:val="0"/>
        <w:snapToGrid w:val="0"/>
        <w:spacing w:line="336" w:lineRule="auto"/>
        <w:ind w:right="-87" w:rightChars="0" w:firstLine="482" w:firstLineChars="200"/>
        <w:jc w:val="left"/>
        <w:rPr>
          <w:b/>
          <w:sz w:val="24"/>
        </w:rPr>
      </w:pPr>
      <w:r>
        <w:rPr>
          <w:rFonts w:hint="eastAsia"/>
          <w:b/>
          <w:sz w:val="24"/>
          <w:lang w:val="en-US" w:eastAsia="zh-CN"/>
        </w:rPr>
        <w:t>（一）</w:t>
      </w:r>
      <w:r>
        <w:rPr>
          <w:rFonts w:hint="eastAsia"/>
          <w:b/>
          <w:sz w:val="24"/>
        </w:rPr>
        <w:t>签订合同</w:t>
      </w:r>
    </w:p>
    <w:p w14:paraId="146AB182">
      <w:pPr>
        <w:keepNext w:val="0"/>
        <w:keepLines w:val="0"/>
        <w:pageBreakBefore w:val="0"/>
        <w:widowControl w:val="0"/>
        <w:kinsoku/>
        <w:wordWrap/>
        <w:overflowPunct/>
        <w:topLinePunct w:val="0"/>
        <w:autoSpaceDE/>
        <w:autoSpaceDN/>
        <w:bidi w:val="0"/>
        <w:adjustRightInd/>
        <w:snapToGrid w:val="0"/>
        <w:spacing w:line="336" w:lineRule="auto"/>
        <w:ind w:right="0" w:firstLine="424" w:firstLineChars="202"/>
        <w:textAlignment w:val="auto"/>
      </w:pPr>
      <w:r>
        <w:t>1.</w:t>
      </w:r>
      <w:r>
        <w:rPr>
          <w:rFonts w:hint="eastAsia"/>
        </w:rPr>
        <w:t>采购人与中标人应当在《中标通知书》发出之日起</w:t>
      </w:r>
      <w:r>
        <w:t>30</w:t>
      </w:r>
      <w:r>
        <w:rPr>
          <w:rFonts w:hint="eastAsia"/>
        </w:rPr>
        <w:t>日内签订政府采购合同。同时，采购代理机构对合同内容进行审查，如发现与采购结果和投标承诺内容不一致的，应予以纠正。</w:t>
      </w:r>
    </w:p>
    <w:p w14:paraId="1FCD2748">
      <w:pPr>
        <w:keepNext w:val="0"/>
        <w:keepLines w:val="0"/>
        <w:pageBreakBefore w:val="0"/>
        <w:widowControl w:val="0"/>
        <w:kinsoku/>
        <w:wordWrap/>
        <w:overflowPunct/>
        <w:topLinePunct w:val="0"/>
        <w:autoSpaceDE/>
        <w:autoSpaceDN/>
        <w:bidi w:val="0"/>
        <w:adjustRightInd/>
        <w:snapToGrid w:val="0"/>
        <w:spacing w:line="336" w:lineRule="auto"/>
        <w:ind w:right="0" w:firstLine="415" w:firstLineChars="198"/>
        <w:textAlignment w:val="auto"/>
        <w:rPr>
          <w:szCs w:val="21"/>
        </w:rPr>
      </w:pPr>
      <w:r>
        <w:rPr>
          <w:szCs w:val="21"/>
        </w:rPr>
        <w:t>2.</w:t>
      </w:r>
      <w:r>
        <w:rPr>
          <w:rFonts w:hint="eastAsia"/>
          <w:szCs w:val="21"/>
        </w:rPr>
        <w:t>中标人拖延、拒签合同的，将上报监管部门并取消中标资格。</w:t>
      </w:r>
    </w:p>
    <w:p w14:paraId="2EA9F1FD">
      <w:pPr>
        <w:keepNext w:val="0"/>
        <w:keepLines w:val="0"/>
        <w:pageBreakBefore w:val="0"/>
        <w:widowControl w:val="0"/>
        <w:kinsoku/>
        <w:wordWrap/>
        <w:overflowPunct/>
        <w:topLinePunct w:val="0"/>
        <w:autoSpaceDE/>
        <w:autoSpaceDN/>
        <w:bidi w:val="0"/>
        <w:adjustRightInd/>
        <w:snapToGrid w:val="0"/>
        <w:spacing w:line="336" w:lineRule="auto"/>
        <w:ind w:right="0" w:firstLine="415" w:firstLineChars="198"/>
        <w:textAlignment w:val="auto"/>
        <w:rPr>
          <w:szCs w:val="21"/>
        </w:rPr>
      </w:pPr>
      <w:r>
        <w:rPr>
          <w:szCs w:val="21"/>
        </w:rPr>
        <w:t>3.</w:t>
      </w:r>
      <w:r>
        <w:rPr>
          <w:rFonts w:hint="eastAsia"/>
          <w:szCs w:val="21"/>
        </w:rPr>
        <w:t>中标人和采购人签订合同，按合同规定的供货时间供货并安装调试完毕。</w:t>
      </w:r>
    </w:p>
    <w:p w14:paraId="34ABBEE1">
      <w:pPr>
        <w:keepNext w:val="0"/>
        <w:keepLines w:val="0"/>
        <w:pageBreakBefore w:val="0"/>
        <w:widowControl w:val="0"/>
        <w:kinsoku/>
        <w:wordWrap/>
        <w:overflowPunct/>
        <w:topLinePunct w:val="0"/>
        <w:autoSpaceDE/>
        <w:autoSpaceDN/>
        <w:bidi w:val="0"/>
        <w:adjustRightInd/>
        <w:snapToGrid w:val="0"/>
        <w:spacing w:line="336" w:lineRule="auto"/>
        <w:ind w:right="0" w:firstLine="415" w:firstLineChars="198"/>
        <w:textAlignment w:val="auto"/>
        <w:rPr>
          <w:szCs w:val="21"/>
        </w:rPr>
      </w:pPr>
      <w:r>
        <w:rPr>
          <w:szCs w:val="21"/>
        </w:rPr>
        <w:t>4.</w:t>
      </w:r>
      <w:r>
        <w:rPr>
          <w:rFonts w:hint="eastAsia"/>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287FB328">
      <w:pPr>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rPr>
          <w:b/>
          <w:bCs/>
          <w:sz w:val="24"/>
          <w:szCs w:val="24"/>
        </w:rPr>
      </w:pPr>
      <w:r>
        <w:rPr>
          <w:rFonts w:hint="eastAsia"/>
          <w:b/>
          <w:bCs/>
          <w:sz w:val="24"/>
          <w:szCs w:val="24"/>
        </w:rPr>
        <w:t>（二）合同公告</w:t>
      </w:r>
    </w:p>
    <w:p w14:paraId="263189E8">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pPr>
      <w:r>
        <w:rPr>
          <w:rFonts w:hint="eastAsia"/>
          <w:szCs w:val="21"/>
        </w:rPr>
        <w:t>采购人应当自政府采购合同签订之日起</w:t>
      </w:r>
      <w:r>
        <w:rPr>
          <w:szCs w:val="21"/>
        </w:rPr>
        <w:t>2</w:t>
      </w:r>
      <w:r>
        <w:rPr>
          <w:rFonts w:hint="eastAsia"/>
          <w:szCs w:val="21"/>
        </w:rPr>
        <w:t>个工作日内，将政府采购合同在省级以上人民政府财政部门指定的媒体上公告，但政府采购合同中涉及国家秘密、商业秘密的内容除外。</w:t>
      </w:r>
    </w:p>
    <w:p w14:paraId="585475AF">
      <w:pPr>
        <w:widowControl/>
        <w:jc w:val="left"/>
        <w:rPr>
          <w:rFonts w:eastAsia="黑体"/>
          <w:sz w:val="30"/>
        </w:rPr>
      </w:pPr>
      <w:r>
        <w:rPr>
          <w:rFonts w:eastAsia="黑体"/>
          <w:sz w:val="30"/>
        </w:rPr>
        <w:br w:type="page"/>
      </w:r>
    </w:p>
    <w:p w14:paraId="1DB7E3F3">
      <w:pPr>
        <w:snapToGrid w:val="0"/>
        <w:spacing w:before="120" w:line="360" w:lineRule="auto"/>
        <w:ind w:right="-87"/>
        <w:jc w:val="center"/>
        <w:rPr>
          <w:rFonts w:eastAsia="黑体"/>
          <w:sz w:val="30"/>
        </w:rPr>
      </w:pPr>
      <w:r>
        <w:rPr>
          <w:rFonts w:hint="eastAsia" w:eastAsia="黑体"/>
          <w:sz w:val="30"/>
        </w:rPr>
        <w:t xml:space="preserve">第四章 </w:t>
      </w:r>
      <w:r>
        <w:rPr>
          <w:rFonts w:hint="eastAsia" w:eastAsia="黑体"/>
          <w:sz w:val="30"/>
          <w:lang w:eastAsia="zh-CN"/>
        </w:rPr>
        <w:t>评标方法</w:t>
      </w:r>
      <w:r>
        <w:rPr>
          <w:rFonts w:hint="eastAsia" w:eastAsia="黑体"/>
          <w:sz w:val="30"/>
        </w:rPr>
        <w:t>及评分标准</w:t>
      </w:r>
    </w:p>
    <w:p w14:paraId="61398F13">
      <w:pPr>
        <w:snapToGrid w:val="0"/>
        <w:spacing w:before="120" w:line="336" w:lineRule="auto"/>
        <w:ind w:right="-87" w:firstLine="525" w:firstLineChars="249"/>
        <w:outlineLvl w:val="0"/>
        <w:rPr>
          <w:rFonts w:hint="eastAsia" w:hAnsi="宋体"/>
        </w:rPr>
      </w:pPr>
      <w:r>
        <w:rPr>
          <w:rFonts w:hint="eastAsia" w:hAnsi="宋体"/>
          <w:b/>
        </w:rPr>
        <w:t>综合评分法</w:t>
      </w:r>
    </w:p>
    <w:p w14:paraId="71C28CD3">
      <w:pPr>
        <w:snapToGrid w:val="0"/>
        <w:spacing w:line="336" w:lineRule="auto"/>
        <w:ind w:right="-87"/>
        <w:jc w:val="center"/>
        <w:rPr>
          <w:rFonts w:hint="eastAsia" w:ascii="宋体" w:hAnsi="宋体" w:eastAsia="宋体"/>
          <w:b/>
          <w:sz w:val="24"/>
          <w:szCs w:val="24"/>
          <w:lang w:eastAsia="zh-CN"/>
        </w:rPr>
      </w:pPr>
      <w:r>
        <w:rPr>
          <w:rFonts w:hint="eastAsia" w:ascii="宋体"/>
          <w:b/>
          <w:sz w:val="24"/>
          <w:szCs w:val="24"/>
          <w:lang w:val="en-US" w:eastAsia="zh-CN"/>
        </w:rPr>
        <w:t xml:space="preserve"> </w:t>
      </w:r>
      <w:r>
        <w:rPr>
          <w:rFonts w:hint="eastAsia" w:ascii="宋体"/>
          <w:b/>
          <w:sz w:val="24"/>
          <w:szCs w:val="24"/>
          <w:lang w:eastAsia="zh-CN"/>
        </w:rPr>
        <w:t>2025年普陀区海洋经济运行监测和评估项目</w:t>
      </w:r>
      <w:r>
        <w:rPr>
          <w:rFonts w:hint="eastAsia"/>
          <w:b/>
          <w:sz w:val="24"/>
          <w:szCs w:val="24"/>
          <w:lang w:eastAsia="zh-CN"/>
        </w:rPr>
        <w:t>评标方法</w:t>
      </w:r>
    </w:p>
    <w:p w14:paraId="4D19D21B">
      <w:pPr>
        <w:snapToGrid w:val="0"/>
        <w:spacing w:line="336" w:lineRule="auto"/>
        <w:ind w:right="-87" w:firstLine="420"/>
        <w:rPr>
          <w:rFonts w:hint="eastAsia" w:ascii="宋体" w:hAnsi="宋体"/>
        </w:rPr>
      </w:pPr>
      <w:r>
        <w:rPr>
          <w:rFonts w:hint="eastAsia" w:ascii="宋体" w:hAnsi="宋体"/>
        </w:rPr>
        <w:t>为公正、公平、科学地选择中标人，根据《中华人民共和国政府采购法》等有关法律法规的规定，并结合本项目的实际，制定本办法。</w:t>
      </w:r>
    </w:p>
    <w:p w14:paraId="45E1DF50">
      <w:pPr>
        <w:snapToGrid w:val="0"/>
        <w:spacing w:line="336" w:lineRule="auto"/>
        <w:ind w:right="-87" w:firstLine="420"/>
        <w:rPr>
          <w:rFonts w:hint="eastAsia" w:ascii="宋体" w:hAnsi="宋体"/>
        </w:rPr>
      </w:pPr>
      <w:r>
        <w:rPr>
          <w:rFonts w:hint="eastAsia" w:ascii="宋体" w:hAnsi="宋体"/>
          <w:szCs w:val="21"/>
        </w:rPr>
        <w:t>本办法适用于</w:t>
      </w:r>
      <w:r>
        <w:rPr>
          <w:rFonts w:hint="eastAsia"/>
          <w:szCs w:val="21"/>
          <w:lang w:eastAsia="zh-CN"/>
        </w:rPr>
        <w:t>2025年普陀区海洋经济运行监测和评估项目</w:t>
      </w:r>
      <w:r>
        <w:rPr>
          <w:rFonts w:hint="eastAsia" w:ascii="宋体" w:hAnsi="宋体"/>
          <w:szCs w:val="21"/>
        </w:rPr>
        <w:t>的评标。</w:t>
      </w:r>
    </w:p>
    <w:p w14:paraId="16545F7F">
      <w:pPr>
        <w:snapToGrid w:val="0"/>
        <w:spacing w:line="336" w:lineRule="auto"/>
        <w:ind w:left="753" w:leftChars="213" w:right="-87" w:hanging="306" w:hangingChars="145"/>
        <w:rPr>
          <w:rFonts w:hint="eastAsia" w:ascii="宋体" w:hAnsi="宋体"/>
        </w:rPr>
      </w:pPr>
      <w:r>
        <w:rPr>
          <w:rFonts w:hint="eastAsia" w:ascii="宋体" w:hAnsi="宋体"/>
          <w:b/>
        </w:rPr>
        <w:t>中标依据：</w:t>
      </w:r>
      <w:r>
        <w:rPr>
          <w:rFonts w:hint="eastAsia" w:ascii="宋体" w:hAnsi="宋体"/>
        </w:rPr>
        <w:t>在不高于</w:t>
      </w:r>
      <w:r>
        <w:rPr>
          <w:rFonts w:hint="eastAsia" w:ascii="宋体" w:hAnsi="宋体"/>
          <w:u w:val="single"/>
        </w:rPr>
        <w:t>最高限价</w:t>
      </w:r>
      <w:r>
        <w:rPr>
          <w:rFonts w:hint="eastAsia" w:ascii="宋体" w:hAnsi="宋体"/>
        </w:rPr>
        <w:t>的前提下，</w:t>
      </w:r>
      <w:r>
        <w:rPr>
          <w:rFonts w:hint="eastAsia" w:ascii="宋体" w:hAnsi="宋体"/>
          <w:u w:val="single"/>
          <w:lang w:eastAsia="zh-CN"/>
        </w:rPr>
        <w:t>综合得分</w:t>
      </w:r>
      <w:r>
        <w:rPr>
          <w:rFonts w:hint="eastAsia" w:ascii="宋体" w:hAnsi="宋体"/>
        </w:rPr>
        <w:t xml:space="preserve">最高者为中标候选人。   </w:t>
      </w:r>
    </w:p>
    <w:p w14:paraId="1A4E6D3F">
      <w:pPr>
        <w:snapToGrid w:val="0"/>
        <w:spacing w:line="336" w:lineRule="auto"/>
        <w:ind w:left="756" w:leftChars="114" w:right="-87" w:hanging="517" w:hangingChars="245"/>
        <w:rPr>
          <w:rFonts w:hint="eastAsia" w:ascii="宋体" w:hAnsi="宋体"/>
          <w:b/>
          <w:u w:val="single"/>
        </w:rPr>
      </w:pPr>
      <w:r>
        <w:rPr>
          <w:rFonts w:hint="eastAsia" w:ascii="宋体" w:hAnsi="宋体"/>
          <w:b/>
          <w:u w:val="single"/>
        </w:rPr>
        <w:t xml:space="preserve">  最高限价：指预算金额。</w:t>
      </w:r>
    </w:p>
    <w:p w14:paraId="3683A304">
      <w:pPr>
        <w:snapToGrid w:val="0"/>
        <w:spacing w:line="336" w:lineRule="auto"/>
        <w:ind w:right="-87" w:firstLine="422" w:firstLineChars="200"/>
        <w:rPr>
          <w:rFonts w:hint="eastAsia" w:ascii="宋体" w:hAnsi="宋体"/>
          <w:b/>
        </w:rPr>
      </w:pPr>
      <w:r>
        <w:rPr>
          <w:rFonts w:hint="eastAsia" w:ascii="宋体" w:hAnsi="宋体"/>
          <w:b/>
        </w:rPr>
        <w:t>报价的计分方法：</w:t>
      </w:r>
    </w:p>
    <w:p w14:paraId="05D24D0C">
      <w:pPr>
        <w:autoSpaceDE w:val="0"/>
        <w:autoSpaceDN w:val="0"/>
        <w:adjustRightInd w:val="0"/>
        <w:snapToGrid w:val="0"/>
        <w:spacing w:line="336" w:lineRule="auto"/>
        <w:ind w:right="-87" w:firstLine="411" w:firstLineChars="196"/>
        <w:rPr>
          <w:rFonts w:hint="eastAsia" w:ascii="宋体" w:hAnsi="宋体"/>
          <w:lang w:val="zh-CN"/>
        </w:rPr>
      </w:pPr>
      <w:r>
        <w:rPr>
          <w:rFonts w:hint="eastAsia" w:ascii="宋体" w:hAnsi="宋体"/>
          <w:lang w:val="zh-CN"/>
        </w:rPr>
        <w:t>满足招标文件要求且投标价格最低的投标报价为评标基准价，其价格分为满分，其他投标人的价格分按下列公式计算：</w:t>
      </w:r>
    </w:p>
    <w:p w14:paraId="1F7C90DA">
      <w:pPr>
        <w:autoSpaceDE w:val="0"/>
        <w:autoSpaceDN w:val="0"/>
        <w:adjustRightInd w:val="0"/>
        <w:snapToGrid w:val="0"/>
        <w:spacing w:line="336" w:lineRule="auto"/>
        <w:ind w:right="-87" w:firstLine="550" w:firstLineChars="262"/>
        <w:rPr>
          <w:rFonts w:hint="eastAsia" w:ascii="宋体" w:hAnsi="宋体"/>
          <w:lang w:val="zh-CN"/>
        </w:rPr>
      </w:pPr>
      <w:r>
        <w:rPr>
          <w:rFonts w:hint="eastAsia" w:ascii="宋体" w:hAnsi="宋体"/>
          <w:lang w:val="zh-CN"/>
        </w:rPr>
        <w:t>价格得分＝（评标基准价/投标报价）×价格权重×100。</w:t>
      </w:r>
    </w:p>
    <w:tbl>
      <w:tblPr>
        <w:tblStyle w:val="60"/>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6C04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040" w:type="dxa"/>
            <w:tcBorders>
              <w:top w:val="single" w:color="auto" w:sz="4" w:space="0"/>
              <w:left w:val="single" w:color="auto" w:sz="4" w:space="0"/>
              <w:bottom w:val="single" w:color="auto" w:sz="4" w:space="0"/>
              <w:right w:val="single" w:color="auto" w:sz="4" w:space="0"/>
            </w:tcBorders>
            <w:vAlign w:val="center"/>
          </w:tcPr>
          <w:p w14:paraId="77DCE808">
            <w:pPr>
              <w:spacing w:line="336" w:lineRule="auto"/>
              <w:ind w:right="-341"/>
              <w:jc w:val="center"/>
              <w:rPr>
                <w:rFonts w:hint="eastAsia" w:ascii="宋体" w:hAnsi="宋体"/>
              </w:rPr>
            </w:pPr>
            <w:r>
              <w:rPr>
                <w:rFonts w:hint="eastAsia" w:ascii="宋体" w:hAnsi="宋体"/>
                <w:lang w:val="zh-CN"/>
              </w:rPr>
              <w:t>评价指标和各评价权重指标：</w:t>
            </w:r>
            <w:r>
              <w:rPr>
                <w:rFonts w:hint="eastAsia" w:ascii="宋体" w:hAnsi="宋体"/>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27A51F33">
            <w:pPr>
              <w:spacing w:line="336" w:lineRule="auto"/>
              <w:ind w:right="-341"/>
              <w:jc w:val="center"/>
              <w:rPr>
                <w:rFonts w:hint="eastAsia" w:ascii="宋体" w:hAnsi="宋体"/>
              </w:rPr>
            </w:pPr>
            <w:r>
              <w:rPr>
                <w:rFonts w:hint="eastAsia" w:ascii="宋体" w:hAnsi="宋体"/>
              </w:rPr>
              <w:t>权重（％）</w:t>
            </w:r>
          </w:p>
        </w:tc>
      </w:tr>
      <w:tr w14:paraId="76D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6A6EBDF4">
            <w:pPr>
              <w:spacing w:line="336" w:lineRule="auto"/>
              <w:ind w:right="-341"/>
              <w:jc w:val="center"/>
              <w:rPr>
                <w:rFonts w:hint="eastAsia" w:ascii="宋体" w:hAnsi="宋体"/>
              </w:rPr>
            </w:pPr>
            <w:r>
              <w:rPr>
                <w:rFonts w:hint="eastAsia" w:ascii="宋体" w:hAnsi="宋体"/>
              </w:rPr>
              <w:t>商务、技术部分</w:t>
            </w:r>
          </w:p>
        </w:tc>
        <w:tc>
          <w:tcPr>
            <w:tcW w:w="2700" w:type="dxa"/>
            <w:tcBorders>
              <w:top w:val="single" w:color="auto" w:sz="4" w:space="0"/>
              <w:left w:val="single" w:color="auto" w:sz="4" w:space="0"/>
              <w:right w:val="single" w:color="auto" w:sz="4" w:space="0"/>
            </w:tcBorders>
            <w:vAlign w:val="center"/>
          </w:tcPr>
          <w:p w14:paraId="1E2C4036">
            <w:pPr>
              <w:spacing w:line="336" w:lineRule="auto"/>
              <w:ind w:right="-341"/>
              <w:jc w:val="center"/>
              <w:rPr>
                <w:rFonts w:hint="default" w:ascii="宋体" w:hAnsi="宋体" w:eastAsia="宋体"/>
                <w:lang w:val="en-US" w:eastAsia="zh-CN"/>
              </w:rPr>
            </w:pPr>
            <w:r>
              <w:rPr>
                <w:rFonts w:hint="eastAsia" w:ascii="宋体" w:hAnsi="宋体"/>
                <w:lang w:val="en-US" w:eastAsia="zh-CN"/>
              </w:rPr>
              <w:t>90</w:t>
            </w:r>
          </w:p>
        </w:tc>
      </w:tr>
      <w:tr w14:paraId="358D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2BB611FD">
            <w:pPr>
              <w:spacing w:line="336" w:lineRule="auto"/>
              <w:ind w:right="-341"/>
              <w:jc w:val="center"/>
              <w:rPr>
                <w:rFonts w:hint="eastAsia" w:ascii="宋体" w:hAnsi="宋体"/>
              </w:rPr>
            </w:pPr>
            <w:r>
              <w:rPr>
                <w:rFonts w:hint="eastAsia" w:ascii="宋体" w:hAnsi="宋体"/>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043106E7">
            <w:pPr>
              <w:spacing w:line="336" w:lineRule="auto"/>
              <w:ind w:right="-341"/>
              <w:jc w:val="center"/>
              <w:rPr>
                <w:rFonts w:hint="default" w:ascii="宋体" w:hAnsi="宋体"/>
                <w:lang w:val="en-US"/>
              </w:rPr>
            </w:pPr>
            <w:r>
              <w:rPr>
                <w:rFonts w:hint="eastAsia" w:ascii="宋体" w:hAnsi="宋体"/>
                <w:lang w:val="en-US" w:eastAsia="zh-CN"/>
              </w:rPr>
              <w:t>10</w:t>
            </w:r>
          </w:p>
        </w:tc>
      </w:tr>
      <w:tr w14:paraId="5DDF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4BFBDBC6">
            <w:pPr>
              <w:spacing w:line="336" w:lineRule="auto"/>
              <w:ind w:right="-341"/>
              <w:jc w:val="center"/>
              <w:rPr>
                <w:rFonts w:hint="eastAsia" w:ascii="宋体" w:hAnsi="宋体"/>
              </w:rPr>
            </w:pPr>
            <w:r>
              <w:rPr>
                <w:rFonts w:hint="eastAsia" w:ascii="宋体" w:hAnsi="宋体"/>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759B8ACE">
            <w:pPr>
              <w:spacing w:line="336" w:lineRule="auto"/>
              <w:ind w:right="-341"/>
              <w:jc w:val="center"/>
              <w:rPr>
                <w:rFonts w:hint="eastAsia" w:ascii="宋体" w:hAnsi="宋体"/>
              </w:rPr>
            </w:pPr>
            <w:r>
              <w:rPr>
                <w:rFonts w:hint="eastAsia" w:ascii="宋体" w:hAnsi="宋体"/>
              </w:rPr>
              <w:t>100</w:t>
            </w:r>
          </w:p>
        </w:tc>
      </w:tr>
    </w:tbl>
    <w:p w14:paraId="3F9CEB4A">
      <w:pPr>
        <w:autoSpaceDE w:val="0"/>
        <w:autoSpaceDN w:val="0"/>
        <w:adjustRightInd w:val="0"/>
        <w:spacing w:line="336" w:lineRule="auto"/>
        <w:ind w:right="-341" w:firstLine="424" w:firstLineChars="202"/>
        <w:rPr>
          <w:rFonts w:hint="eastAsia" w:ascii="宋体" w:hAnsi="宋体"/>
        </w:rPr>
      </w:pPr>
      <w:r>
        <w:rPr>
          <w:rFonts w:hint="eastAsia" w:ascii="宋体" w:hAnsi="宋体"/>
          <w:lang w:eastAsia="zh-CN"/>
        </w:rPr>
        <w:t>综合得分</w:t>
      </w:r>
      <w:r>
        <w:rPr>
          <w:rFonts w:hint="eastAsia" w:ascii="宋体" w:hAnsi="宋体"/>
        </w:rPr>
        <w:t>=商务技术得分＋价格得分(评分过程中采用四舍五入法，并保留小数2位)</w:t>
      </w:r>
    </w:p>
    <w:p w14:paraId="6526491F">
      <w:pPr>
        <w:autoSpaceDE w:val="0"/>
        <w:autoSpaceDN w:val="0"/>
        <w:adjustRightInd w:val="0"/>
        <w:spacing w:line="336" w:lineRule="auto"/>
        <w:ind w:right="-341" w:firstLine="424" w:firstLineChars="202"/>
        <w:rPr>
          <w:rFonts w:hint="eastAsia" w:ascii="宋体" w:hAnsi="宋体"/>
        </w:rPr>
      </w:pPr>
      <w:r>
        <w:rPr>
          <w:rFonts w:hint="eastAsia" w:ascii="宋体" w:hAnsi="宋体"/>
        </w:rPr>
        <w:t>将</w:t>
      </w:r>
      <w:r>
        <w:rPr>
          <w:rFonts w:hint="eastAsia" w:ascii="宋体" w:hAnsi="宋体"/>
          <w:lang w:eastAsia="zh-CN"/>
        </w:rPr>
        <w:t>综合得分</w:t>
      </w:r>
      <w:r>
        <w:rPr>
          <w:rFonts w:hint="eastAsia" w:ascii="宋体" w:hAnsi="宋体"/>
        </w:rPr>
        <w:t>从高到低排序，得出投标人名次。得分相同时，按投标报价由低到高顺序排列，得分且投标报价相同的，按技术指标优劣顺序排列</w:t>
      </w:r>
    </w:p>
    <w:p w14:paraId="68015F3D">
      <w:pPr>
        <w:tabs>
          <w:tab w:val="left" w:pos="1620"/>
        </w:tabs>
        <w:spacing w:line="336" w:lineRule="auto"/>
        <w:ind w:right="-341" w:firstLine="422" w:firstLineChars="200"/>
        <w:rPr>
          <w:rFonts w:hint="eastAsia" w:ascii="宋体" w:hAnsi="宋体"/>
          <w:b/>
        </w:rPr>
      </w:pPr>
      <w:r>
        <w:rPr>
          <w:rFonts w:hint="eastAsia" w:ascii="宋体" w:hAnsi="宋体"/>
          <w:b/>
        </w:rPr>
        <w:t>候选中标商的选取</w:t>
      </w:r>
    </w:p>
    <w:p w14:paraId="6A1B17B1">
      <w:pPr>
        <w:ind w:firstLine="420" w:firstLineChars="200"/>
        <w:rPr>
          <w:b/>
          <w:sz w:val="24"/>
          <w:szCs w:val="24"/>
        </w:rPr>
      </w:pPr>
      <w:r>
        <w:rPr>
          <w:rFonts w:hint="eastAsia" w:ascii="宋体" w:hAnsi="宋体"/>
        </w:rPr>
        <w:t>按照</w:t>
      </w:r>
      <w:r>
        <w:rPr>
          <w:rFonts w:hint="eastAsia" w:ascii="宋体" w:hAnsi="宋体"/>
          <w:lang w:eastAsia="zh-CN"/>
        </w:rPr>
        <w:t>综合得分</w:t>
      </w:r>
      <w:r>
        <w:rPr>
          <w:rFonts w:hint="eastAsia" w:ascii="宋体" w:hAnsi="宋体"/>
        </w:rPr>
        <w:t>名次推荐候选中标人1名。</w:t>
      </w:r>
    </w:p>
    <w:p w14:paraId="49FE1612">
      <w:pPr>
        <w:spacing w:line="200" w:lineRule="exact"/>
        <w:ind w:firstLine="301"/>
        <w:rPr>
          <w:rFonts w:ascii="宋体" w:hAnsi="Courier New"/>
          <w:spacing w:val="-4"/>
          <w:kern w:val="0"/>
          <w:sz w:val="18"/>
        </w:rPr>
      </w:pPr>
    </w:p>
    <w:p w14:paraId="090769F3">
      <w:pPr>
        <w:rPr>
          <w:rFonts w:hint="eastAsia" w:ascii="等线" w:hAnsi="等线" w:eastAsia="等线"/>
        </w:rPr>
      </w:pPr>
    </w:p>
    <w:p w14:paraId="3EBA7E65">
      <w:pPr>
        <w:spacing w:line="200" w:lineRule="exact"/>
        <w:ind w:firstLine="301"/>
        <w:rPr>
          <w:rFonts w:ascii="宋体" w:hAnsi="Courier New"/>
          <w:spacing w:val="-4"/>
          <w:kern w:val="0"/>
          <w:sz w:val="18"/>
        </w:rPr>
      </w:pPr>
    </w:p>
    <w:p w14:paraId="66771C62">
      <w:pPr>
        <w:rPr>
          <w:rFonts w:hint="eastAsia" w:ascii="等线" w:hAnsi="等线" w:eastAsia="等线"/>
        </w:rPr>
      </w:pPr>
    </w:p>
    <w:p w14:paraId="5DB2352A">
      <w:pPr>
        <w:spacing w:line="200" w:lineRule="exact"/>
        <w:ind w:firstLine="301"/>
        <w:rPr>
          <w:rFonts w:ascii="宋体" w:hAnsi="Courier New"/>
          <w:spacing w:val="-4"/>
          <w:kern w:val="0"/>
          <w:sz w:val="18"/>
        </w:rPr>
      </w:pPr>
    </w:p>
    <w:p w14:paraId="6AD484C0">
      <w:pPr>
        <w:rPr>
          <w:rFonts w:hint="eastAsia" w:ascii="等线" w:hAnsi="等线" w:eastAsia="等线"/>
        </w:rPr>
      </w:pPr>
    </w:p>
    <w:p w14:paraId="293E09DD">
      <w:pPr>
        <w:spacing w:line="200" w:lineRule="exact"/>
        <w:ind w:firstLine="301"/>
        <w:rPr>
          <w:rFonts w:ascii="宋体" w:hAnsi="Courier New"/>
          <w:spacing w:val="-4"/>
          <w:kern w:val="0"/>
          <w:sz w:val="18"/>
        </w:rPr>
      </w:pPr>
    </w:p>
    <w:p w14:paraId="14201910">
      <w:pPr>
        <w:rPr>
          <w:rFonts w:hint="eastAsia" w:ascii="等线" w:hAnsi="等线" w:eastAsia="等线"/>
        </w:rPr>
      </w:pPr>
    </w:p>
    <w:p w14:paraId="271A9910">
      <w:pPr>
        <w:widowControl/>
        <w:jc w:val="left"/>
        <w:rPr>
          <w:rFonts w:ascii="宋体" w:hAnsi="Courier New"/>
          <w:spacing w:val="-4"/>
          <w:kern w:val="0"/>
          <w:sz w:val="18"/>
        </w:rPr>
      </w:pPr>
      <w:r>
        <w:rPr>
          <w:rFonts w:ascii="等线" w:hAnsi="等线" w:eastAsia="等线"/>
        </w:rPr>
        <w:br w:type="page"/>
      </w:r>
    </w:p>
    <w:p w14:paraId="69480917">
      <w:pPr>
        <w:spacing w:line="288" w:lineRule="auto"/>
        <w:ind w:right="-341"/>
        <w:jc w:val="center"/>
        <w:rPr>
          <w:szCs w:val="21"/>
        </w:rPr>
      </w:pPr>
      <w:r>
        <w:rPr>
          <w:rFonts w:hint="eastAsia"/>
          <w:b/>
          <w:sz w:val="24"/>
          <w:szCs w:val="24"/>
          <w:lang w:eastAsia="zh-CN"/>
        </w:rPr>
        <w:t>2025年普陀区海洋经济运行监测和评估项目</w:t>
      </w:r>
      <w:r>
        <w:rPr>
          <w:rFonts w:hint="eastAsia"/>
          <w:b/>
          <w:sz w:val="24"/>
          <w:szCs w:val="24"/>
        </w:rPr>
        <w:t>评分表</w:t>
      </w:r>
    </w:p>
    <w:p w14:paraId="40E18136">
      <w:pPr>
        <w:spacing w:line="288" w:lineRule="auto"/>
        <w:ind w:right="-341"/>
        <w:jc w:val="left"/>
        <w:rPr>
          <w:b/>
          <w:szCs w:val="21"/>
        </w:rPr>
      </w:pPr>
    </w:p>
    <w:tbl>
      <w:tblPr>
        <w:tblStyle w:val="60"/>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51"/>
        <w:gridCol w:w="6169"/>
        <w:gridCol w:w="675"/>
      </w:tblGrid>
      <w:tr w14:paraId="45D4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1158" w:type="dxa"/>
            <w:vAlign w:val="center"/>
          </w:tcPr>
          <w:p w14:paraId="4E19202D">
            <w:pPr>
              <w:jc w:val="center"/>
              <w:rPr>
                <w:rFonts w:ascii="宋体" w:hAnsi="宋体" w:eastAsia="宋体" w:cs="Times New Roman"/>
                <w:highlight w:val="none"/>
              </w:rPr>
            </w:pPr>
            <w:r>
              <w:rPr>
                <w:rFonts w:hint="eastAsia" w:ascii="宋体" w:hAnsi="宋体" w:eastAsia="宋体" w:cs="Times New Roman"/>
                <w:highlight w:val="none"/>
              </w:rPr>
              <w:t>评审内容</w:t>
            </w:r>
          </w:p>
        </w:tc>
        <w:tc>
          <w:tcPr>
            <w:tcW w:w="7620" w:type="dxa"/>
            <w:gridSpan w:val="2"/>
            <w:vAlign w:val="center"/>
          </w:tcPr>
          <w:p w14:paraId="05D8F066">
            <w:pPr>
              <w:jc w:val="center"/>
              <w:rPr>
                <w:rFonts w:ascii="宋体" w:hAnsi="宋体" w:eastAsia="宋体" w:cs="Times New Roman"/>
                <w:highlight w:val="none"/>
              </w:rPr>
            </w:pPr>
            <w:r>
              <w:rPr>
                <w:rFonts w:hint="eastAsia" w:ascii="宋体" w:hAnsi="宋体" w:eastAsia="宋体" w:cs="Times New Roman"/>
                <w:highlight w:val="none"/>
              </w:rPr>
              <w:t xml:space="preserve">评分标准 </w:t>
            </w:r>
          </w:p>
        </w:tc>
        <w:tc>
          <w:tcPr>
            <w:tcW w:w="675" w:type="dxa"/>
            <w:vAlign w:val="center"/>
          </w:tcPr>
          <w:p w14:paraId="0AD40661">
            <w:pPr>
              <w:jc w:val="center"/>
              <w:rPr>
                <w:rFonts w:ascii="宋体" w:hAnsi="宋体" w:eastAsia="宋体" w:cs="Times New Roman"/>
                <w:highlight w:val="none"/>
              </w:rPr>
            </w:pPr>
            <w:r>
              <w:rPr>
                <w:rFonts w:hint="eastAsia" w:ascii="宋体" w:hAnsi="宋体" w:eastAsia="宋体" w:cs="Times New Roman"/>
                <w:highlight w:val="none"/>
              </w:rPr>
              <w:t>得分</w:t>
            </w:r>
          </w:p>
        </w:tc>
      </w:tr>
      <w:tr w14:paraId="021E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1158" w:type="dxa"/>
            <w:vMerge w:val="restart"/>
            <w:shd w:val="clear" w:color="auto" w:fill="auto"/>
            <w:vAlign w:val="center"/>
          </w:tcPr>
          <w:p w14:paraId="6B415065">
            <w:pPr>
              <w:jc w:val="center"/>
              <w:rPr>
                <w:rFonts w:ascii="宋体" w:hAnsi="宋体" w:eastAsia="宋体" w:cs="Times New Roman"/>
                <w:color w:val="auto"/>
                <w:highlight w:val="none"/>
              </w:rPr>
            </w:pPr>
            <w:r>
              <w:rPr>
                <w:rFonts w:hint="eastAsia" w:ascii="宋体" w:hAnsi="宋体" w:eastAsia="宋体" w:cs="Times New Roman"/>
                <w:color w:val="auto"/>
                <w:highlight w:val="none"/>
              </w:rPr>
              <w:t>商务技术得分</w:t>
            </w:r>
          </w:p>
          <w:p w14:paraId="1DB0085F">
            <w:pPr>
              <w:jc w:val="center"/>
              <w:rPr>
                <w:rFonts w:ascii="宋体" w:hAnsi="宋体" w:eastAsia="宋体" w:cs="Times New Roman"/>
                <w:color w:val="auto"/>
                <w:kern w:val="21"/>
                <w:szCs w:val="21"/>
                <w:highlight w:val="none"/>
              </w:rPr>
            </w:pPr>
            <w:r>
              <w:rPr>
                <w:rFonts w:hint="eastAsia" w:ascii="宋体" w:hAnsi="宋体" w:eastAsia="宋体" w:cs="Times New Roman"/>
                <w:color w:val="auto"/>
                <w:kern w:val="21"/>
                <w:szCs w:val="21"/>
                <w:highlight w:val="none"/>
              </w:rPr>
              <w:t>（</w:t>
            </w:r>
            <w:r>
              <w:rPr>
                <w:rFonts w:hint="eastAsia" w:ascii="宋体" w:hAnsi="宋体" w:cs="Times New Roman"/>
                <w:color w:val="auto"/>
                <w:kern w:val="21"/>
                <w:szCs w:val="21"/>
                <w:highlight w:val="none"/>
                <w:lang w:val="en-US" w:eastAsia="zh-CN"/>
              </w:rPr>
              <w:t>90</w:t>
            </w:r>
            <w:r>
              <w:rPr>
                <w:rFonts w:hint="eastAsia" w:ascii="宋体" w:hAnsi="宋体" w:eastAsia="宋体" w:cs="Times New Roman"/>
                <w:color w:val="auto"/>
                <w:kern w:val="21"/>
                <w:szCs w:val="21"/>
                <w:highlight w:val="none"/>
              </w:rPr>
              <w:t>分）</w:t>
            </w:r>
          </w:p>
        </w:tc>
        <w:tc>
          <w:tcPr>
            <w:tcW w:w="1451" w:type="dxa"/>
            <w:shd w:val="clear" w:color="auto" w:fill="FFFFFF"/>
            <w:vAlign w:val="center"/>
          </w:tcPr>
          <w:p w14:paraId="7DA56F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类似项目</w:t>
            </w:r>
          </w:p>
          <w:p w14:paraId="3CAF643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业绩</w:t>
            </w:r>
          </w:p>
          <w:p w14:paraId="4BE54C7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（1分）</w:t>
            </w:r>
          </w:p>
        </w:tc>
        <w:tc>
          <w:tcPr>
            <w:tcW w:w="6169" w:type="dxa"/>
            <w:shd w:val="clear" w:color="auto" w:fill="FFFFFF"/>
            <w:vAlign w:val="center"/>
          </w:tcPr>
          <w:p w14:paraId="27191829">
            <w:pPr>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投标人自 202</w:t>
            </w:r>
            <w:r>
              <w:rPr>
                <w:rFonts w:hint="eastAsia" w:ascii="Times New Roman" w:hAnsi="Times New Roman" w:eastAsia="宋体" w:cs="Times New Roman"/>
                <w:color w:val="auto"/>
                <w:kern w:val="0"/>
                <w:highlight w:val="none"/>
                <w:lang w:val="en-US" w:eastAsia="zh-CN"/>
              </w:rPr>
              <w:t>2</w:t>
            </w:r>
            <w:r>
              <w:rPr>
                <w:rFonts w:ascii="Times New Roman" w:hAnsi="Times New Roman" w:eastAsia="宋体" w:cs="Times New Roman"/>
                <w:color w:val="auto"/>
                <w:kern w:val="0"/>
                <w:highlight w:val="none"/>
              </w:rPr>
              <w:t>年1月1日至本项目截标时间止（日期以合同签订时间为准）同类项目案例，每提供1个合同得 0.5分，最高1分。</w:t>
            </w:r>
          </w:p>
          <w:p w14:paraId="3B969A01">
            <w:pPr>
              <w:adjustRightInd w:val="0"/>
              <w:snapToGrid w:val="0"/>
              <w:rPr>
                <w:rFonts w:ascii="宋体" w:hAnsi="宋体" w:eastAsia="宋体" w:cs="Times New Roman"/>
                <w:color w:val="auto"/>
                <w:szCs w:val="21"/>
                <w:highlight w:val="none"/>
              </w:rPr>
            </w:pPr>
            <w:r>
              <w:rPr>
                <w:rFonts w:ascii="Times New Roman" w:hAnsi="Times New Roman" w:eastAsia="宋体" w:cs="Times New Roman"/>
                <w:b/>
                <w:bCs/>
                <w:color w:val="auto"/>
                <w:kern w:val="0"/>
                <w:highlight w:val="none"/>
              </w:rPr>
              <w:t>（</w:t>
            </w:r>
            <w:r>
              <w:rPr>
                <w:rFonts w:hint="eastAsia" w:ascii="Times New Roman" w:hAnsi="Times New Roman" w:eastAsia="宋体" w:cs="Times New Roman"/>
                <w:b/>
                <w:bCs/>
                <w:color w:val="auto"/>
                <w:kern w:val="0"/>
                <w:highlight w:val="none"/>
              </w:rPr>
              <w:t>提供中标通知书（如有）、合同协议书及投标人认为需要提交的其他证明材料证实，复印件加盖公章，须提供重要页面，能够体现项目内容。</w:t>
            </w:r>
            <w:r>
              <w:rPr>
                <w:rFonts w:ascii="Times New Roman" w:hAnsi="Times New Roman" w:eastAsia="宋体" w:cs="Times New Roman"/>
                <w:b/>
                <w:bCs/>
                <w:color w:val="auto"/>
                <w:kern w:val="0"/>
                <w:highlight w:val="none"/>
              </w:rPr>
              <w:t>）</w:t>
            </w:r>
          </w:p>
        </w:tc>
        <w:tc>
          <w:tcPr>
            <w:tcW w:w="675" w:type="dxa"/>
            <w:vAlign w:val="center"/>
          </w:tcPr>
          <w:p w14:paraId="23D10D44">
            <w:pPr>
              <w:jc w:val="center"/>
              <w:rPr>
                <w:rFonts w:hint="eastAsia" w:ascii="宋体" w:hAnsi="宋体" w:eastAsia="宋体" w:cs="Times New Roman"/>
                <w:szCs w:val="21"/>
                <w:highlight w:val="none"/>
                <w:lang w:val="en-US" w:eastAsia="zh-CN"/>
              </w:rPr>
            </w:pPr>
            <w:bookmarkStart w:id="3" w:name="_GoBack"/>
            <w:bookmarkEnd w:id="3"/>
          </w:p>
        </w:tc>
      </w:tr>
      <w:tr w14:paraId="7AEA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158" w:type="dxa"/>
            <w:vMerge w:val="continue"/>
            <w:shd w:val="clear" w:color="auto" w:fill="auto"/>
            <w:vAlign w:val="center"/>
          </w:tcPr>
          <w:p w14:paraId="5BE6248E">
            <w:pPr>
              <w:jc w:val="center"/>
              <w:rPr>
                <w:rFonts w:ascii="宋体" w:hAnsi="宋体" w:eastAsia="宋体" w:cs="Times New Roman"/>
                <w:color w:val="auto"/>
                <w:kern w:val="21"/>
                <w:szCs w:val="21"/>
                <w:highlight w:val="none"/>
              </w:rPr>
            </w:pPr>
          </w:p>
        </w:tc>
        <w:tc>
          <w:tcPr>
            <w:tcW w:w="1451" w:type="dxa"/>
            <w:shd w:val="clear" w:color="auto" w:fill="FFFFFF"/>
            <w:vAlign w:val="center"/>
          </w:tcPr>
          <w:p w14:paraId="508AC4D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相关软件著作权</w:t>
            </w:r>
          </w:p>
          <w:p w14:paraId="0194AE8B">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（3分）</w:t>
            </w:r>
          </w:p>
        </w:tc>
        <w:tc>
          <w:tcPr>
            <w:tcW w:w="6169" w:type="dxa"/>
            <w:shd w:val="clear" w:color="auto" w:fill="FFFFFF"/>
            <w:vAlign w:val="center"/>
          </w:tcPr>
          <w:p w14:paraId="4BFB5093">
            <w:pPr>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宋体"/>
                <w:bCs/>
                <w:color w:val="auto"/>
                <w:szCs w:val="21"/>
                <w:highlight w:val="none"/>
              </w:rPr>
              <w:t>拥有海洋经济运行监测与评估、涉海企业相关管理软件等相关计算机软件著作权，每提供一个软件著作权证书得1分，本项最高得</w:t>
            </w:r>
            <w:r>
              <w:rPr>
                <w:rFonts w:hint="eastAsia" w:ascii="宋体" w:hAnsi="宋体" w:eastAsia="宋体" w:cs="宋体"/>
                <w:b/>
                <w:bCs w:val="0"/>
                <w:color w:val="auto"/>
                <w:szCs w:val="21"/>
                <w:highlight w:val="none"/>
              </w:rPr>
              <w:t>3</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val="en-US" w:eastAsia="zh-CN"/>
              </w:rPr>
              <w:t>(</w:t>
            </w:r>
            <w:r>
              <w:rPr>
                <w:rFonts w:hint="eastAsia" w:ascii="宋体" w:hAnsi="宋体" w:eastAsia="宋体" w:cs="宋体"/>
                <w:b/>
                <w:color w:val="auto"/>
                <w:szCs w:val="21"/>
                <w:highlight w:val="none"/>
              </w:rPr>
              <w:t>提供软件著作权证书复印件</w:t>
            </w:r>
            <w:r>
              <w:rPr>
                <w:rFonts w:hint="eastAsia" w:ascii="宋体" w:hAnsi="宋体" w:cs="宋体"/>
                <w:b/>
                <w:color w:val="auto"/>
                <w:szCs w:val="21"/>
                <w:highlight w:val="none"/>
                <w:lang w:val="en-US" w:eastAsia="zh-CN"/>
              </w:rPr>
              <w:t>加盖公章</w:t>
            </w:r>
            <w:r>
              <w:rPr>
                <w:rFonts w:hint="eastAsia" w:ascii="宋体" w:hAnsi="宋体" w:eastAsia="宋体" w:cs="宋体"/>
                <w:b/>
                <w:color w:val="auto"/>
                <w:szCs w:val="21"/>
                <w:highlight w:val="none"/>
              </w:rPr>
              <w:t>，否则不得分。</w:t>
            </w:r>
            <w:r>
              <w:rPr>
                <w:rFonts w:hint="eastAsia" w:ascii="宋体" w:hAnsi="宋体" w:cs="宋体"/>
                <w:b/>
                <w:color w:val="auto"/>
                <w:szCs w:val="21"/>
                <w:highlight w:val="none"/>
                <w:lang w:val="en-US" w:eastAsia="zh-CN"/>
              </w:rPr>
              <w:t>)</w:t>
            </w:r>
          </w:p>
        </w:tc>
        <w:tc>
          <w:tcPr>
            <w:tcW w:w="675" w:type="dxa"/>
            <w:vAlign w:val="center"/>
          </w:tcPr>
          <w:p w14:paraId="1FA36D1F">
            <w:pPr>
              <w:jc w:val="center"/>
              <w:rPr>
                <w:rFonts w:ascii="宋体" w:hAnsi="宋体" w:eastAsia="宋体" w:cs="Times New Roman"/>
                <w:szCs w:val="21"/>
                <w:highlight w:val="none"/>
              </w:rPr>
            </w:pPr>
          </w:p>
        </w:tc>
      </w:tr>
      <w:tr w14:paraId="680C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158" w:type="dxa"/>
            <w:vMerge w:val="continue"/>
            <w:shd w:val="clear" w:color="auto" w:fill="auto"/>
            <w:vAlign w:val="center"/>
          </w:tcPr>
          <w:p w14:paraId="2B708F5B">
            <w:pPr>
              <w:jc w:val="center"/>
              <w:rPr>
                <w:rFonts w:ascii="宋体" w:hAnsi="宋体" w:eastAsia="宋体" w:cs="Times New Roman"/>
                <w:color w:val="auto"/>
                <w:highlight w:val="none"/>
              </w:rPr>
            </w:pPr>
          </w:p>
        </w:tc>
        <w:tc>
          <w:tcPr>
            <w:tcW w:w="1451" w:type="dxa"/>
            <w:vMerge w:val="restart"/>
            <w:shd w:val="clear" w:color="auto" w:fill="FFFFFF"/>
            <w:vAlign w:val="center"/>
          </w:tcPr>
          <w:p w14:paraId="798A49C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项目人员</w:t>
            </w:r>
          </w:p>
          <w:p w14:paraId="15704ED9">
            <w:pPr>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分）</w:t>
            </w:r>
          </w:p>
        </w:tc>
        <w:tc>
          <w:tcPr>
            <w:tcW w:w="6169" w:type="dxa"/>
            <w:shd w:val="clear" w:color="auto" w:fill="FFFFFF"/>
            <w:vAlign w:val="center"/>
          </w:tcPr>
          <w:p w14:paraId="2FD64D9A">
            <w:pPr>
              <w:spacing w:line="240" w:lineRule="auto"/>
              <w:textAlignment w:val="center"/>
              <w:rPr>
                <w:rFonts w:ascii="宋体" w:hAnsi="宋体" w:eastAsia="宋体" w:cs="Times New Roman"/>
                <w:color w:val="auto"/>
                <w:szCs w:val="21"/>
                <w:highlight w:val="none"/>
              </w:rPr>
            </w:pPr>
            <w:r>
              <w:rPr>
                <w:rFonts w:ascii="宋体" w:hAnsi="宋体" w:eastAsia="宋体" w:cs="Times New Roman"/>
                <w:color w:val="auto"/>
                <w:szCs w:val="21"/>
                <w:highlight w:val="none"/>
              </w:rPr>
              <w:t>项目负责人</w:t>
            </w:r>
            <w:r>
              <w:rPr>
                <w:rFonts w:hint="eastAsia" w:ascii="宋体" w:hAnsi="宋体" w:eastAsia="宋体" w:cs="Times New Roman"/>
                <w:color w:val="auto"/>
                <w:szCs w:val="21"/>
                <w:highlight w:val="none"/>
              </w:rPr>
              <w:t>具有海洋类相关专业高级职称</w:t>
            </w:r>
            <w:r>
              <w:rPr>
                <w:rFonts w:hint="eastAsia" w:ascii="宋体" w:hAnsi="宋体" w:cs="宋体"/>
                <w:i w:val="0"/>
                <w:iCs w:val="0"/>
                <w:color w:val="auto"/>
                <w:kern w:val="0"/>
                <w:sz w:val="21"/>
                <w:szCs w:val="21"/>
                <w:highlight w:val="none"/>
                <w:u w:val="non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，得</w:t>
            </w:r>
            <w:r>
              <w:rPr>
                <w:rFonts w:hint="eastAsia" w:ascii="宋体" w:hAnsi="宋体" w:cs="宋体"/>
                <w:b/>
                <w:bCs/>
                <w:i w:val="0"/>
                <w:iCs w:val="0"/>
                <w:color w:val="auto"/>
                <w:kern w:val="0"/>
                <w:sz w:val="21"/>
                <w:szCs w:val="21"/>
                <w:highlight w:val="none"/>
                <w:u w:val="none"/>
                <w:lang w:val="en-US" w:eastAsia="zh-CN" w:bidi="ar"/>
              </w:rPr>
              <w:t>5</w:t>
            </w:r>
            <w:r>
              <w:rPr>
                <w:rFonts w:ascii="宋体" w:hAnsi="宋体" w:eastAsia="宋体" w:cs="Times New Roman"/>
                <w:color w:val="auto"/>
                <w:szCs w:val="21"/>
                <w:highlight w:val="none"/>
              </w:rPr>
              <w:t>分</w:t>
            </w:r>
            <w:r>
              <w:rPr>
                <w:rFonts w:hint="eastAsia" w:ascii="宋体" w:hAnsi="宋体" w:eastAsia="宋体" w:cs="Times New Roman"/>
                <w:color w:val="auto"/>
                <w:szCs w:val="21"/>
                <w:highlight w:val="none"/>
              </w:rPr>
              <w:t>。</w:t>
            </w:r>
          </w:p>
          <w:p w14:paraId="3AFC1EFD">
            <w:pPr>
              <w:spacing w:line="240" w:lineRule="auto"/>
              <w:textAlignment w:val="center"/>
              <w:rPr>
                <w:rFonts w:ascii="宋体" w:hAnsi="宋体" w:eastAsia="宋体" w:cs="Times New Roman"/>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（提供相关证书及</w:t>
            </w:r>
            <w:r>
              <w:rPr>
                <w:rFonts w:hint="eastAsia" w:ascii="宋体" w:hAnsi="宋体" w:cs="宋体"/>
                <w:b/>
                <w:bCs/>
                <w:i w:val="0"/>
                <w:iCs w:val="0"/>
                <w:color w:val="auto"/>
                <w:kern w:val="0"/>
                <w:sz w:val="21"/>
                <w:szCs w:val="21"/>
                <w:highlight w:val="none"/>
                <w:u w:val="none"/>
                <w:lang w:val="en-US" w:eastAsia="zh-CN" w:bidi="ar"/>
              </w:rPr>
              <w:t>20</w:t>
            </w:r>
            <w:r>
              <w:rPr>
                <w:rFonts w:hint="eastAsia" w:ascii="宋体" w:hAnsi="宋体" w:eastAsia="宋体" w:cs="宋体"/>
                <w:b/>
                <w:bCs/>
                <w:i w:val="0"/>
                <w:iCs w:val="0"/>
                <w:color w:val="auto"/>
                <w:kern w:val="0"/>
                <w:sz w:val="21"/>
                <w:szCs w:val="21"/>
                <w:highlight w:val="none"/>
                <w:u w:val="none"/>
                <w:lang w:val="en-US" w:eastAsia="zh-CN" w:bidi="ar"/>
              </w:rPr>
              <w:t>25年</w:t>
            </w:r>
            <w:r>
              <w:rPr>
                <w:rFonts w:hint="eastAsia" w:ascii="宋体" w:hAnsi="宋体" w:cs="宋体"/>
                <w:b/>
                <w:bCs/>
                <w:i w:val="0"/>
                <w:iCs w:val="0"/>
                <w:color w:val="auto"/>
                <w:kern w:val="0"/>
                <w:sz w:val="21"/>
                <w:szCs w:val="21"/>
                <w:highlight w:val="none"/>
                <w:u w:val="none"/>
                <w:lang w:val="en-US" w:eastAsia="zh-CN" w:bidi="ar"/>
              </w:rPr>
              <w:t>5</w:t>
            </w:r>
            <w:r>
              <w:rPr>
                <w:rFonts w:hint="eastAsia" w:ascii="宋体" w:hAnsi="宋体" w:eastAsia="宋体" w:cs="宋体"/>
                <w:b/>
                <w:bCs/>
                <w:i w:val="0"/>
                <w:iCs w:val="0"/>
                <w:color w:val="auto"/>
                <w:kern w:val="0"/>
                <w:sz w:val="21"/>
                <w:szCs w:val="21"/>
                <w:highlight w:val="none"/>
                <w:u w:val="none"/>
                <w:lang w:val="en-US" w:eastAsia="zh-CN" w:bidi="ar"/>
              </w:rPr>
              <w:t>月、</w:t>
            </w:r>
            <w:r>
              <w:rPr>
                <w:rFonts w:hint="eastAsia" w:ascii="宋体" w:hAnsi="宋体" w:cs="宋体"/>
                <w:b/>
                <w:bCs/>
                <w:i w:val="0"/>
                <w:iCs w:val="0"/>
                <w:color w:val="auto"/>
                <w:kern w:val="0"/>
                <w:sz w:val="21"/>
                <w:szCs w:val="21"/>
                <w:highlight w:val="none"/>
                <w:u w:val="none"/>
                <w:lang w:val="en-US" w:eastAsia="zh-CN" w:bidi="ar"/>
              </w:rPr>
              <w:t>6</w:t>
            </w:r>
            <w:r>
              <w:rPr>
                <w:rFonts w:hint="eastAsia" w:ascii="宋体" w:hAnsi="宋体" w:eastAsia="宋体" w:cs="宋体"/>
                <w:b/>
                <w:bCs/>
                <w:i w:val="0"/>
                <w:iCs w:val="0"/>
                <w:color w:val="auto"/>
                <w:kern w:val="0"/>
                <w:sz w:val="21"/>
                <w:szCs w:val="21"/>
                <w:highlight w:val="none"/>
                <w:u w:val="none"/>
                <w:lang w:val="en-US" w:eastAsia="zh-CN" w:bidi="ar"/>
              </w:rPr>
              <w:t>月、</w:t>
            </w:r>
            <w:r>
              <w:rPr>
                <w:rFonts w:hint="eastAsia" w:ascii="宋体" w:hAnsi="宋体" w:cs="宋体"/>
                <w:b/>
                <w:bCs/>
                <w:i w:val="0"/>
                <w:iCs w:val="0"/>
                <w:color w:val="auto"/>
                <w:kern w:val="0"/>
                <w:sz w:val="21"/>
                <w:szCs w:val="21"/>
                <w:highlight w:val="none"/>
                <w:u w:val="none"/>
                <w:lang w:val="en-US" w:eastAsia="zh-CN" w:bidi="ar"/>
              </w:rPr>
              <w:t>7</w:t>
            </w:r>
            <w:r>
              <w:rPr>
                <w:rFonts w:hint="eastAsia" w:ascii="宋体" w:hAnsi="宋体" w:eastAsia="宋体" w:cs="宋体"/>
                <w:b/>
                <w:bCs/>
                <w:i w:val="0"/>
                <w:iCs w:val="0"/>
                <w:color w:val="auto"/>
                <w:kern w:val="0"/>
                <w:sz w:val="21"/>
                <w:szCs w:val="21"/>
                <w:highlight w:val="none"/>
                <w:u w:val="none"/>
                <w:lang w:val="en-US" w:eastAsia="zh-CN" w:bidi="ar"/>
              </w:rPr>
              <w:t>月任意一个月的社保证明复印件加盖公章）</w:t>
            </w:r>
          </w:p>
        </w:tc>
        <w:tc>
          <w:tcPr>
            <w:tcW w:w="675" w:type="dxa"/>
            <w:vAlign w:val="center"/>
          </w:tcPr>
          <w:p w14:paraId="4C16D7CA">
            <w:pPr>
              <w:jc w:val="center"/>
              <w:rPr>
                <w:rFonts w:ascii="宋体" w:hAnsi="宋体" w:eastAsia="宋体" w:cs="Times New Roman"/>
                <w:szCs w:val="21"/>
                <w:highlight w:val="none"/>
              </w:rPr>
            </w:pPr>
          </w:p>
        </w:tc>
      </w:tr>
      <w:tr w14:paraId="1902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158" w:type="dxa"/>
            <w:vMerge w:val="continue"/>
            <w:shd w:val="clear" w:color="auto" w:fill="auto"/>
            <w:vAlign w:val="center"/>
          </w:tcPr>
          <w:p w14:paraId="20C2185E">
            <w:pPr>
              <w:rPr>
                <w:rFonts w:ascii="宋体" w:hAnsi="宋体" w:eastAsia="宋体" w:cs="Times New Roman"/>
                <w:color w:val="auto"/>
                <w:highlight w:val="none"/>
              </w:rPr>
            </w:pPr>
          </w:p>
        </w:tc>
        <w:tc>
          <w:tcPr>
            <w:tcW w:w="1451" w:type="dxa"/>
            <w:vMerge w:val="continue"/>
            <w:shd w:val="clear" w:color="auto" w:fill="FFFFFF"/>
            <w:vAlign w:val="center"/>
          </w:tcPr>
          <w:p w14:paraId="33DA5527">
            <w:pPr>
              <w:jc w:val="center"/>
              <w:rPr>
                <w:rFonts w:ascii="宋体" w:hAnsi="宋体" w:eastAsia="宋体" w:cs="Times New Roman"/>
                <w:color w:val="auto"/>
                <w:szCs w:val="21"/>
                <w:highlight w:val="none"/>
              </w:rPr>
            </w:pPr>
          </w:p>
        </w:tc>
        <w:tc>
          <w:tcPr>
            <w:tcW w:w="6169" w:type="dxa"/>
            <w:shd w:val="clear" w:color="auto" w:fill="FFFFFF"/>
            <w:vAlign w:val="center"/>
          </w:tcPr>
          <w:p w14:paraId="40B30CA5">
            <w:pPr>
              <w:rPr>
                <w:rFonts w:ascii="宋体" w:hAnsi="宋体" w:eastAsia="宋体" w:cs="Times New Roman"/>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项目</w:t>
            </w:r>
            <w:r>
              <w:rPr>
                <w:rFonts w:hint="eastAsia" w:ascii="宋体" w:hAnsi="宋体" w:cs="宋体"/>
                <w:i w:val="0"/>
                <w:iCs w:val="0"/>
                <w:color w:val="auto"/>
                <w:kern w:val="0"/>
                <w:sz w:val="21"/>
                <w:szCs w:val="21"/>
                <w:highlight w:val="none"/>
                <w:u w:val="none"/>
                <w:lang w:val="en-US" w:eastAsia="zh-CN" w:bidi="ar"/>
              </w:rPr>
              <w:t>技术</w:t>
            </w:r>
            <w:r>
              <w:rPr>
                <w:rFonts w:hint="eastAsia" w:ascii="宋体" w:hAnsi="宋体" w:eastAsia="宋体" w:cs="宋体"/>
                <w:i w:val="0"/>
                <w:iCs w:val="0"/>
                <w:color w:val="auto"/>
                <w:kern w:val="0"/>
                <w:sz w:val="21"/>
                <w:szCs w:val="21"/>
                <w:highlight w:val="none"/>
                <w:u w:val="none"/>
                <w:lang w:val="en-US" w:eastAsia="zh-CN" w:bidi="ar"/>
              </w:rPr>
              <w:t>负责人（与项目负责人不同人）具有</w:t>
            </w:r>
            <w:r>
              <w:rPr>
                <w:rFonts w:hint="eastAsia" w:ascii="宋体" w:hAnsi="宋体" w:cs="宋体"/>
                <w:i w:val="0"/>
                <w:iCs w:val="0"/>
                <w:color w:val="auto"/>
                <w:kern w:val="0"/>
                <w:sz w:val="21"/>
                <w:szCs w:val="21"/>
                <w:highlight w:val="none"/>
                <w:u w:val="none"/>
                <w:lang w:val="en-US" w:eastAsia="zh-CN" w:bidi="ar"/>
              </w:rPr>
              <w:t>海洋类相关</w:t>
            </w:r>
            <w:r>
              <w:rPr>
                <w:rFonts w:hint="eastAsia" w:ascii="宋体" w:hAnsi="宋体" w:eastAsia="宋体" w:cs="宋体"/>
                <w:i w:val="0"/>
                <w:iCs w:val="0"/>
                <w:color w:val="auto"/>
                <w:kern w:val="0"/>
                <w:sz w:val="21"/>
                <w:szCs w:val="21"/>
                <w:highlight w:val="none"/>
                <w:u w:val="none"/>
                <w:lang w:val="en-US" w:eastAsia="zh-CN" w:bidi="ar"/>
              </w:rPr>
              <w:t>高级统计师职称得</w:t>
            </w:r>
            <w:r>
              <w:rPr>
                <w:rFonts w:hint="eastAsia" w:ascii="宋体" w:hAnsi="宋体" w:cs="宋体"/>
                <w:b/>
                <w:bCs/>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b/>
                <w:bCs/>
                <w:i w:val="0"/>
                <w:iCs w:val="0"/>
                <w:color w:val="auto"/>
                <w:kern w:val="0"/>
                <w:sz w:val="21"/>
                <w:szCs w:val="21"/>
                <w:highlight w:val="none"/>
                <w:u w:val="none"/>
                <w:lang w:val="en-US" w:eastAsia="zh-CN" w:bidi="ar"/>
              </w:rPr>
              <w:t>（提供相关证书及</w:t>
            </w:r>
            <w:r>
              <w:rPr>
                <w:rFonts w:hint="eastAsia" w:ascii="宋体" w:hAnsi="宋体" w:cs="宋体"/>
                <w:b/>
                <w:bCs/>
                <w:i w:val="0"/>
                <w:iCs w:val="0"/>
                <w:color w:val="auto"/>
                <w:kern w:val="0"/>
                <w:sz w:val="21"/>
                <w:szCs w:val="21"/>
                <w:highlight w:val="none"/>
                <w:u w:val="none"/>
                <w:lang w:val="en-US" w:eastAsia="zh-CN" w:bidi="ar"/>
              </w:rPr>
              <w:t>20</w:t>
            </w:r>
            <w:r>
              <w:rPr>
                <w:rFonts w:hint="eastAsia" w:ascii="宋体" w:hAnsi="宋体" w:eastAsia="宋体" w:cs="宋体"/>
                <w:b/>
                <w:bCs/>
                <w:i w:val="0"/>
                <w:iCs w:val="0"/>
                <w:color w:val="auto"/>
                <w:kern w:val="0"/>
                <w:sz w:val="21"/>
                <w:szCs w:val="21"/>
                <w:highlight w:val="none"/>
                <w:u w:val="none"/>
                <w:lang w:val="en-US" w:eastAsia="zh-CN" w:bidi="ar"/>
              </w:rPr>
              <w:t>25年</w:t>
            </w:r>
            <w:r>
              <w:rPr>
                <w:rFonts w:hint="eastAsia" w:ascii="宋体" w:hAnsi="宋体" w:cs="宋体"/>
                <w:b/>
                <w:bCs/>
                <w:i w:val="0"/>
                <w:iCs w:val="0"/>
                <w:color w:val="auto"/>
                <w:kern w:val="0"/>
                <w:sz w:val="21"/>
                <w:szCs w:val="21"/>
                <w:highlight w:val="none"/>
                <w:u w:val="none"/>
                <w:lang w:val="en-US" w:eastAsia="zh-CN" w:bidi="ar"/>
              </w:rPr>
              <w:t>5</w:t>
            </w:r>
            <w:r>
              <w:rPr>
                <w:rFonts w:hint="eastAsia" w:ascii="宋体" w:hAnsi="宋体" w:eastAsia="宋体" w:cs="宋体"/>
                <w:b/>
                <w:bCs/>
                <w:i w:val="0"/>
                <w:iCs w:val="0"/>
                <w:color w:val="auto"/>
                <w:kern w:val="0"/>
                <w:sz w:val="21"/>
                <w:szCs w:val="21"/>
                <w:highlight w:val="none"/>
                <w:u w:val="none"/>
                <w:lang w:val="en-US" w:eastAsia="zh-CN" w:bidi="ar"/>
              </w:rPr>
              <w:t>月、</w:t>
            </w:r>
            <w:r>
              <w:rPr>
                <w:rFonts w:hint="eastAsia" w:ascii="宋体" w:hAnsi="宋体" w:cs="宋体"/>
                <w:b/>
                <w:bCs/>
                <w:i w:val="0"/>
                <w:iCs w:val="0"/>
                <w:color w:val="auto"/>
                <w:kern w:val="0"/>
                <w:sz w:val="21"/>
                <w:szCs w:val="21"/>
                <w:highlight w:val="none"/>
                <w:u w:val="none"/>
                <w:lang w:val="en-US" w:eastAsia="zh-CN" w:bidi="ar"/>
              </w:rPr>
              <w:t>6</w:t>
            </w:r>
            <w:r>
              <w:rPr>
                <w:rFonts w:hint="eastAsia" w:ascii="宋体" w:hAnsi="宋体" w:eastAsia="宋体" w:cs="宋体"/>
                <w:b/>
                <w:bCs/>
                <w:i w:val="0"/>
                <w:iCs w:val="0"/>
                <w:color w:val="auto"/>
                <w:kern w:val="0"/>
                <w:sz w:val="21"/>
                <w:szCs w:val="21"/>
                <w:highlight w:val="none"/>
                <w:u w:val="none"/>
                <w:lang w:val="en-US" w:eastAsia="zh-CN" w:bidi="ar"/>
              </w:rPr>
              <w:t>月、</w:t>
            </w:r>
            <w:r>
              <w:rPr>
                <w:rFonts w:hint="eastAsia" w:ascii="宋体" w:hAnsi="宋体" w:cs="宋体"/>
                <w:b/>
                <w:bCs/>
                <w:i w:val="0"/>
                <w:iCs w:val="0"/>
                <w:color w:val="auto"/>
                <w:kern w:val="0"/>
                <w:sz w:val="21"/>
                <w:szCs w:val="21"/>
                <w:highlight w:val="none"/>
                <w:u w:val="none"/>
                <w:lang w:val="en-US" w:eastAsia="zh-CN" w:bidi="ar"/>
              </w:rPr>
              <w:t>7</w:t>
            </w:r>
            <w:r>
              <w:rPr>
                <w:rFonts w:hint="eastAsia" w:ascii="宋体" w:hAnsi="宋体" w:eastAsia="宋体" w:cs="宋体"/>
                <w:b/>
                <w:bCs/>
                <w:i w:val="0"/>
                <w:iCs w:val="0"/>
                <w:color w:val="auto"/>
                <w:kern w:val="0"/>
                <w:sz w:val="21"/>
                <w:szCs w:val="21"/>
                <w:highlight w:val="none"/>
                <w:u w:val="none"/>
                <w:lang w:val="en-US" w:eastAsia="zh-CN" w:bidi="ar"/>
              </w:rPr>
              <w:t>月任意一个月的社保证明复印件加盖公章）</w:t>
            </w:r>
          </w:p>
        </w:tc>
        <w:tc>
          <w:tcPr>
            <w:tcW w:w="675" w:type="dxa"/>
            <w:vAlign w:val="center"/>
          </w:tcPr>
          <w:p w14:paraId="34150F2C">
            <w:pPr>
              <w:jc w:val="center"/>
              <w:rPr>
                <w:rFonts w:ascii="宋体" w:hAnsi="宋体" w:eastAsia="宋体" w:cs="Times New Roman"/>
                <w:szCs w:val="21"/>
                <w:highlight w:val="none"/>
              </w:rPr>
            </w:pPr>
          </w:p>
        </w:tc>
      </w:tr>
      <w:tr w14:paraId="5FCF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1158" w:type="dxa"/>
            <w:vMerge w:val="continue"/>
            <w:shd w:val="clear" w:color="auto" w:fill="auto"/>
            <w:vAlign w:val="center"/>
          </w:tcPr>
          <w:p w14:paraId="2F2AEB46">
            <w:pPr>
              <w:rPr>
                <w:rFonts w:ascii="宋体" w:hAnsi="宋体" w:eastAsia="宋体" w:cs="Times New Roman"/>
                <w:color w:val="auto"/>
                <w:highlight w:val="none"/>
              </w:rPr>
            </w:pPr>
          </w:p>
        </w:tc>
        <w:tc>
          <w:tcPr>
            <w:tcW w:w="1451" w:type="dxa"/>
            <w:vMerge w:val="continue"/>
            <w:shd w:val="clear" w:color="auto" w:fill="FFFFFF"/>
            <w:vAlign w:val="center"/>
          </w:tcPr>
          <w:p w14:paraId="6B376644">
            <w:pPr>
              <w:jc w:val="center"/>
              <w:rPr>
                <w:rFonts w:ascii="宋体" w:hAnsi="宋体" w:eastAsia="宋体" w:cs="Times New Roman"/>
                <w:color w:val="auto"/>
                <w:szCs w:val="21"/>
                <w:highlight w:val="none"/>
              </w:rPr>
            </w:pPr>
          </w:p>
        </w:tc>
        <w:tc>
          <w:tcPr>
            <w:tcW w:w="6169" w:type="dxa"/>
            <w:shd w:val="clear" w:color="auto" w:fill="FFFFFF"/>
            <w:vAlign w:val="center"/>
          </w:tcPr>
          <w:p w14:paraId="658C2334">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项目组成员（项目负责人</w:t>
            </w:r>
            <w:r>
              <w:rPr>
                <w:rFonts w:hint="eastAsia" w:ascii="宋体" w:hAnsi="宋体" w:eastAsia="宋体" w:cs="Times New Roman"/>
                <w:color w:val="auto"/>
                <w:szCs w:val="21"/>
                <w:highlight w:val="none"/>
                <w:lang w:eastAsia="zh-CN"/>
              </w:rPr>
              <w:t>、项目质量负责人除外</w:t>
            </w:r>
            <w:r>
              <w:rPr>
                <w:rFonts w:hint="eastAsia" w:ascii="宋体" w:hAnsi="宋体" w:eastAsia="宋体" w:cs="Times New Roman"/>
                <w:color w:val="auto"/>
                <w:szCs w:val="21"/>
                <w:highlight w:val="none"/>
              </w:rPr>
              <w:t>）具有</w:t>
            </w:r>
            <w:r>
              <w:rPr>
                <w:rFonts w:ascii="宋体" w:hAnsi="宋体" w:eastAsia="宋体" w:cs="Times New Roman"/>
                <w:color w:val="auto"/>
                <w:szCs w:val="21"/>
                <w:highlight w:val="none"/>
              </w:rPr>
              <w:t>经济</w:t>
            </w:r>
            <w:r>
              <w:rPr>
                <w:rFonts w:hint="eastAsia" w:ascii="宋体" w:hAnsi="宋体" w:eastAsia="宋体" w:cs="Times New Roman"/>
                <w:color w:val="auto"/>
                <w:szCs w:val="21"/>
                <w:highlight w:val="none"/>
              </w:rPr>
              <w:t>学</w:t>
            </w:r>
            <w:r>
              <w:rPr>
                <w:rFonts w:ascii="宋体" w:hAnsi="宋体" w:eastAsia="宋体" w:cs="Times New Roman"/>
                <w:color w:val="auto"/>
                <w:szCs w:val="21"/>
                <w:highlight w:val="none"/>
              </w:rPr>
              <w:t>、统计学、海洋工程与技术、海洋调查与测绘</w:t>
            </w:r>
            <w:r>
              <w:rPr>
                <w:rFonts w:hint="eastAsia" w:ascii="宋体" w:hAnsi="宋体" w:eastAsia="宋体" w:cs="Times New Roman"/>
                <w:color w:val="auto"/>
                <w:szCs w:val="21"/>
                <w:highlight w:val="none"/>
              </w:rPr>
              <w:t>专业</w:t>
            </w:r>
            <w:r>
              <w:rPr>
                <w:rFonts w:ascii="宋体" w:hAnsi="宋体" w:eastAsia="宋体" w:cs="Times New Roman"/>
                <w:color w:val="auto"/>
                <w:szCs w:val="21"/>
                <w:highlight w:val="none"/>
              </w:rPr>
              <w:t>、</w:t>
            </w:r>
            <w:r>
              <w:rPr>
                <w:rFonts w:hint="eastAsia" w:ascii="Times New Roman" w:hAnsi="Times New Roman" w:eastAsia="宋体" w:cs="Times New Roman"/>
                <w:color w:val="auto"/>
                <w:szCs w:val="21"/>
                <w:highlight w:val="none"/>
              </w:rPr>
              <w:t>海洋资源利用与保护，每个专业有中级及以上职称</w:t>
            </w:r>
            <w:r>
              <w:rPr>
                <w:rFonts w:hint="eastAsia" w:ascii="宋体" w:hAnsi="宋体" w:eastAsia="宋体" w:cs="Times New Roman"/>
                <w:color w:val="auto"/>
                <w:szCs w:val="21"/>
                <w:highlight w:val="none"/>
              </w:rPr>
              <w:t>的</w:t>
            </w:r>
            <w:r>
              <w:rPr>
                <w:rFonts w:hint="eastAsia" w:ascii="宋体" w:hAnsi="宋体" w:cs="Times New Roman"/>
                <w:color w:val="auto"/>
                <w:szCs w:val="21"/>
                <w:highlight w:val="none"/>
                <w:lang w:eastAsia="zh-CN"/>
              </w:rPr>
              <w:t>，</w:t>
            </w:r>
            <w:r>
              <w:rPr>
                <w:rFonts w:ascii="宋体" w:hAnsi="宋体" w:eastAsia="宋体" w:cs="Times New Roman"/>
                <w:color w:val="auto"/>
                <w:szCs w:val="21"/>
                <w:highlight w:val="none"/>
              </w:rPr>
              <w:t>得</w:t>
            </w:r>
            <w:r>
              <w:rPr>
                <w:rFonts w:hint="eastAsia" w:ascii="宋体" w:hAnsi="宋体" w:eastAsia="宋体" w:cs="Times New Roman"/>
                <w:b/>
                <w:bCs/>
                <w:color w:val="auto"/>
                <w:szCs w:val="21"/>
                <w:highlight w:val="none"/>
              </w:rPr>
              <w:t>2</w:t>
            </w:r>
            <w:r>
              <w:rPr>
                <w:rFonts w:ascii="宋体" w:hAnsi="宋体" w:eastAsia="宋体" w:cs="Times New Roman"/>
                <w:color w:val="auto"/>
                <w:szCs w:val="21"/>
                <w:highlight w:val="none"/>
              </w:rPr>
              <w:t>分</w:t>
            </w:r>
          </w:p>
          <w:p w14:paraId="49961EF1">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注：</w:t>
            </w:r>
            <w:r>
              <w:rPr>
                <w:rFonts w:hint="eastAsia" w:ascii="宋体" w:hAnsi="宋体" w:eastAsia="宋体" w:cs="Times New Roman"/>
                <w:color w:val="auto"/>
                <w:szCs w:val="21"/>
                <w:highlight w:val="none"/>
              </w:rPr>
              <w:t>1人多证和多人一证不重复计分，本项</w:t>
            </w:r>
            <w:r>
              <w:rPr>
                <w:rFonts w:ascii="宋体" w:hAnsi="宋体" w:eastAsia="宋体" w:cs="Times New Roman"/>
                <w:color w:val="auto"/>
                <w:szCs w:val="21"/>
                <w:highlight w:val="none"/>
              </w:rPr>
              <w:t>最高得</w:t>
            </w:r>
            <w:r>
              <w:rPr>
                <w:rFonts w:hint="eastAsia" w:ascii="宋体" w:hAnsi="宋体" w:cs="Times New Roman"/>
                <w:b/>
                <w:bCs/>
                <w:color w:val="auto"/>
                <w:szCs w:val="21"/>
                <w:highlight w:val="none"/>
                <w:lang w:val="en-US" w:eastAsia="zh-CN"/>
              </w:rPr>
              <w:t>10</w:t>
            </w:r>
            <w:r>
              <w:rPr>
                <w:rFonts w:ascii="宋体" w:hAnsi="宋体" w:eastAsia="宋体" w:cs="Times New Roman"/>
                <w:color w:val="auto"/>
                <w:szCs w:val="21"/>
                <w:highlight w:val="none"/>
              </w:rPr>
              <w:t>分。</w:t>
            </w:r>
          </w:p>
          <w:p w14:paraId="5934B45D">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（提供相关证书及</w:t>
            </w:r>
            <w:r>
              <w:rPr>
                <w:rFonts w:hint="eastAsia" w:ascii="宋体" w:hAnsi="宋体" w:cs="宋体"/>
                <w:b/>
                <w:bCs/>
                <w:i w:val="0"/>
                <w:iCs w:val="0"/>
                <w:color w:val="auto"/>
                <w:kern w:val="0"/>
                <w:sz w:val="21"/>
                <w:szCs w:val="21"/>
                <w:highlight w:val="none"/>
                <w:u w:val="none"/>
                <w:lang w:val="en-US" w:eastAsia="zh-CN" w:bidi="ar"/>
              </w:rPr>
              <w:t>20</w:t>
            </w:r>
            <w:r>
              <w:rPr>
                <w:rFonts w:hint="eastAsia" w:ascii="宋体" w:hAnsi="宋体" w:eastAsia="宋体" w:cs="宋体"/>
                <w:b/>
                <w:bCs/>
                <w:i w:val="0"/>
                <w:iCs w:val="0"/>
                <w:color w:val="auto"/>
                <w:kern w:val="0"/>
                <w:sz w:val="21"/>
                <w:szCs w:val="21"/>
                <w:highlight w:val="none"/>
                <w:u w:val="none"/>
                <w:lang w:val="en-US" w:eastAsia="zh-CN" w:bidi="ar"/>
              </w:rPr>
              <w:t>25年</w:t>
            </w:r>
            <w:r>
              <w:rPr>
                <w:rFonts w:hint="eastAsia" w:ascii="宋体" w:hAnsi="宋体" w:cs="宋体"/>
                <w:b/>
                <w:bCs/>
                <w:i w:val="0"/>
                <w:iCs w:val="0"/>
                <w:color w:val="auto"/>
                <w:kern w:val="0"/>
                <w:sz w:val="21"/>
                <w:szCs w:val="21"/>
                <w:highlight w:val="none"/>
                <w:u w:val="none"/>
                <w:lang w:val="en-US" w:eastAsia="zh-CN" w:bidi="ar"/>
              </w:rPr>
              <w:t>5</w:t>
            </w:r>
            <w:r>
              <w:rPr>
                <w:rFonts w:hint="eastAsia" w:ascii="宋体" w:hAnsi="宋体" w:eastAsia="宋体" w:cs="宋体"/>
                <w:b/>
                <w:bCs/>
                <w:i w:val="0"/>
                <w:iCs w:val="0"/>
                <w:color w:val="auto"/>
                <w:kern w:val="0"/>
                <w:sz w:val="21"/>
                <w:szCs w:val="21"/>
                <w:highlight w:val="none"/>
                <w:u w:val="none"/>
                <w:lang w:val="en-US" w:eastAsia="zh-CN" w:bidi="ar"/>
              </w:rPr>
              <w:t>月、</w:t>
            </w:r>
            <w:r>
              <w:rPr>
                <w:rFonts w:hint="eastAsia" w:ascii="宋体" w:hAnsi="宋体" w:cs="宋体"/>
                <w:b/>
                <w:bCs/>
                <w:i w:val="0"/>
                <w:iCs w:val="0"/>
                <w:color w:val="auto"/>
                <w:kern w:val="0"/>
                <w:sz w:val="21"/>
                <w:szCs w:val="21"/>
                <w:highlight w:val="none"/>
                <w:u w:val="none"/>
                <w:lang w:val="en-US" w:eastAsia="zh-CN" w:bidi="ar"/>
              </w:rPr>
              <w:t>6</w:t>
            </w:r>
            <w:r>
              <w:rPr>
                <w:rFonts w:hint="eastAsia" w:ascii="宋体" w:hAnsi="宋体" w:eastAsia="宋体" w:cs="宋体"/>
                <w:b/>
                <w:bCs/>
                <w:i w:val="0"/>
                <w:iCs w:val="0"/>
                <w:color w:val="auto"/>
                <w:kern w:val="0"/>
                <w:sz w:val="21"/>
                <w:szCs w:val="21"/>
                <w:highlight w:val="none"/>
                <w:u w:val="none"/>
                <w:lang w:val="en-US" w:eastAsia="zh-CN" w:bidi="ar"/>
              </w:rPr>
              <w:t>月、</w:t>
            </w:r>
            <w:r>
              <w:rPr>
                <w:rFonts w:hint="eastAsia" w:ascii="宋体" w:hAnsi="宋体" w:cs="宋体"/>
                <w:b/>
                <w:bCs/>
                <w:i w:val="0"/>
                <w:iCs w:val="0"/>
                <w:color w:val="auto"/>
                <w:kern w:val="0"/>
                <w:sz w:val="21"/>
                <w:szCs w:val="21"/>
                <w:highlight w:val="none"/>
                <w:u w:val="none"/>
                <w:lang w:val="en-US" w:eastAsia="zh-CN" w:bidi="ar"/>
              </w:rPr>
              <w:t>7</w:t>
            </w:r>
            <w:r>
              <w:rPr>
                <w:rFonts w:hint="eastAsia" w:ascii="宋体" w:hAnsi="宋体" w:eastAsia="宋体" w:cs="宋体"/>
                <w:b/>
                <w:bCs/>
                <w:i w:val="0"/>
                <w:iCs w:val="0"/>
                <w:color w:val="auto"/>
                <w:kern w:val="0"/>
                <w:sz w:val="21"/>
                <w:szCs w:val="21"/>
                <w:highlight w:val="none"/>
                <w:u w:val="none"/>
                <w:lang w:val="en-US" w:eastAsia="zh-CN" w:bidi="ar"/>
              </w:rPr>
              <w:t>月任意一个月的社保证明复印件加盖公章）</w:t>
            </w:r>
          </w:p>
        </w:tc>
        <w:tc>
          <w:tcPr>
            <w:tcW w:w="675" w:type="dxa"/>
            <w:vAlign w:val="center"/>
          </w:tcPr>
          <w:p w14:paraId="211CEFBB">
            <w:pPr>
              <w:jc w:val="center"/>
              <w:rPr>
                <w:rFonts w:ascii="宋体" w:hAnsi="宋体" w:eastAsia="宋体" w:cs="Times New Roman"/>
                <w:szCs w:val="21"/>
                <w:highlight w:val="none"/>
              </w:rPr>
            </w:pPr>
          </w:p>
        </w:tc>
      </w:tr>
      <w:tr w14:paraId="1486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1158" w:type="dxa"/>
            <w:vMerge w:val="continue"/>
            <w:shd w:val="clear" w:color="auto" w:fill="auto"/>
            <w:vAlign w:val="center"/>
          </w:tcPr>
          <w:p w14:paraId="3A0D4EE0">
            <w:pPr>
              <w:rPr>
                <w:rFonts w:ascii="宋体" w:hAnsi="宋体" w:eastAsia="宋体" w:cs="Times New Roman"/>
                <w:color w:val="auto"/>
                <w:highlight w:val="none"/>
              </w:rPr>
            </w:pPr>
          </w:p>
        </w:tc>
        <w:tc>
          <w:tcPr>
            <w:tcW w:w="1451" w:type="dxa"/>
            <w:shd w:val="clear" w:color="auto" w:fill="FFFFFF"/>
            <w:vAlign w:val="center"/>
          </w:tcPr>
          <w:p w14:paraId="0D9B6866">
            <w:pPr>
              <w:jc w:val="center"/>
              <w:rPr>
                <w:rFonts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项目理解</w:t>
            </w:r>
          </w:p>
          <w:p w14:paraId="26575866">
            <w:pPr>
              <w:jc w:val="center"/>
              <w:rPr>
                <w:rFonts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val="en-US" w:eastAsia="zh-CN"/>
              </w:rPr>
              <w:t>8</w:t>
            </w:r>
            <w:r>
              <w:rPr>
                <w:rFonts w:hint="eastAsia" w:ascii="宋体" w:hAnsi="宋体" w:eastAsia="宋体" w:cs="宋体"/>
                <w:b w:val="0"/>
                <w:bCs w:val="0"/>
                <w:color w:val="auto"/>
                <w:szCs w:val="21"/>
                <w:highlight w:val="none"/>
              </w:rPr>
              <w:t>分）</w:t>
            </w:r>
          </w:p>
        </w:tc>
        <w:tc>
          <w:tcPr>
            <w:tcW w:w="6169" w:type="dxa"/>
            <w:shd w:val="clear" w:color="auto" w:fill="FFFFFF"/>
            <w:vAlign w:val="center"/>
          </w:tcPr>
          <w:p w14:paraId="446D974A">
            <w:pPr>
              <w:snapToGrid w:val="0"/>
              <w:rPr>
                <w:rFonts w:ascii="Times New Roman" w:hAnsi="Times New Roman" w:eastAsia="宋体" w:cs="Times New Roman"/>
                <w:b w:val="0"/>
                <w:bCs w:val="0"/>
                <w:color w:val="auto"/>
                <w:szCs w:val="21"/>
                <w:highlight w:val="none"/>
              </w:rPr>
            </w:pPr>
            <w:r>
              <w:rPr>
                <w:rFonts w:hint="eastAsia" w:ascii="Times New Roman" w:hAnsi="Times New Roman" w:eastAsia="宋体" w:cs="Times New Roman"/>
                <w:b w:val="0"/>
                <w:bCs w:val="0"/>
                <w:color w:val="auto"/>
                <w:szCs w:val="21"/>
                <w:highlight w:val="none"/>
              </w:rPr>
              <w:t>对项目背景及需求的理解全面、准确，并对整体工作区域、内容和技术要求的分析情况：</w:t>
            </w:r>
          </w:p>
          <w:p w14:paraId="3D3660B9">
            <w:pPr>
              <w:snapToGrid w:val="0"/>
              <w:rPr>
                <w:rFonts w:ascii="Times New Roman" w:hAnsi="Times New Roman" w:eastAsia="宋体" w:cs="Times New Roman"/>
                <w:b w:val="0"/>
                <w:bCs w:val="0"/>
                <w:color w:val="auto"/>
                <w:szCs w:val="21"/>
                <w:highlight w:val="none"/>
              </w:rPr>
            </w:pPr>
            <w:r>
              <w:rPr>
                <w:rFonts w:hint="eastAsia" w:ascii="Times New Roman" w:hAnsi="Times New Roman" w:eastAsia="宋体" w:cs="Times New Roman"/>
                <w:b w:val="0"/>
                <w:bCs w:val="0"/>
                <w:color w:val="auto"/>
                <w:szCs w:val="21"/>
                <w:highlight w:val="none"/>
              </w:rPr>
              <w:t>了解分析全面的，得</w:t>
            </w:r>
            <w:r>
              <w:rPr>
                <w:rFonts w:hint="eastAsia" w:cs="Times New Roman"/>
                <w:b w:val="0"/>
                <w:bCs w:val="0"/>
                <w:color w:val="auto"/>
                <w:szCs w:val="21"/>
                <w:highlight w:val="none"/>
                <w:lang w:val="en-US" w:eastAsia="zh-CN"/>
              </w:rPr>
              <w:t>8</w:t>
            </w:r>
            <w:r>
              <w:rPr>
                <w:rFonts w:hint="eastAsia" w:ascii="Times New Roman" w:hAnsi="Times New Roman" w:eastAsia="宋体" w:cs="Times New Roman"/>
                <w:b w:val="0"/>
                <w:bCs w:val="0"/>
                <w:color w:val="auto"/>
                <w:szCs w:val="21"/>
                <w:highlight w:val="none"/>
              </w:rPr>
              <w:t>分，</w:t>
            </w:r>
          </w:p>
          <w:p w14:paraId="603027D8">
            <w:pPr>
              <w:snapToGrid w:val="0"/>
              <w:rPr>
                <w:rFonts w:ascii="Times New Roman" w:hAnsi="Times New Roman" w:eastAsia="宋体" w:cs="Times New Roman"/>
                <w:b w:val="0"/>
                <w:bCs w:val="0"/>
                <w:color w:val="auto"/>
                <w:szCs w:val="21"/>
                <w:highlight w:val="none"/>
              </w:rPr>
            </w:pPr>
            <w:r>
              <w:rPr>
                <w:rFonts w:hint="eastAsia" w:ascii="Times New Roman" w:hAnsi="Times New Roman" w:eastAsia="宋体" w:cs="Times New Roman"/>
                <w:b w:val="0"/>
                <w:bCs w:val="0"/>
                <w:color w:val="auto"/>
                <w:szCs w:val="21"/>
                <w:highlight w:val="none"/>
              </w:rPr>
              <w:t>了解分析基本全面的，得</w:t>
            </w:r>
            <w:r>
              <w:rPr>
                <w:rFonts w:hint="eastAsia" w:cs="Times New Roman"/>
                <w:b w:val="0"/>
                <w:bCs w:val="0"/>
                <w:color w:val="auto"/>
                <w:szCs w:val="21"/>
                <w:highlight w:val="none"/>
                <w:lang w:val="en-US" w:eastAsia="zh-CN"/>
              </w:rPr>
              <w:t>5</w:t>
            </w:r>
            <w:r>
              <w:rPr>
                <w:rFonts w:hint="eastAsia" w:ascii="Times New Roman" w:hAnsi="Times New Roman" w:eastAsia="宋体" w:cs="Times New Roman"/>
                <w:b w:val="0"/>
                <w:bCs w:val="0"/>
                <w:color w:val="auto"/>
                <w:szCs w:val="21"/>
                <w:highlight w:val="none"/>
              </w:rPr>
              <w:t>分，</w:t>
            </w:r>
          </w:p>
          <w:p w14:paraId="40330678">
            <w:pPr>
              <w:snapToGrid w:val="0"/>
              <w:rPr>
                <w:rFonts w:ascii="Times New Roman" w:hAnsi="Times New Roman" w:eastAsia="宋体" w:cs="Times New Roman"/>
                <w:b w:val="0"/>
                <w:bCs w:val="0"/>
                <w:color w:val="auto"/>
                <w:szCs w:val="21"/>
                <w:highlight w:val="none"/>
              </w:rPr>
            </w:pPr>
            <w:r>
              <w:rPr>
                <w:rFonts w:hint="eastAsia" w:ascii="Times New Roman" w:hAnsi="Times New Roman" w:eastAsia="宋体" w:cs="Times New Roman"/>
                <w:b w:val="0"/>
                <w:bCs w:val="0"/>
                <w:color w:val="auto"/>
                <w:szCs w:val="21"/>
                <w:highlight w:val="none"/>
              </w:rPr>
              <w:t>了解不全面的，得2分；</w:t>
            </w:r>
          </w:p>
          <w:p w14:paraId="7BE81E57">
            <w:pPr>
              <w:snapToGrid w:val="0"/>
              <w:rPr>
                <w:rFonts w:ascii="Times New Roman" w:hAnsi="Times New Roman" w:eastAsia="宋体" w:cs="Times New Roman"/>
                <w:b w:val="0"/>
                <w:bCs w:val="0"/>
                <w:color w:val="auto"/>
                <w:szCs w:val="21"/>
                <w:highlight w:val="none"/>
              </w:rPr>
            </w:pPr>
            <w:r>
              <w:rPr>
                <w:rFonts w:hint="eastAsia" w:ascii="Times New Roman" w:hAnsi="Times New Roman" w:eastAsia="宋体" w:cs="Times New Roman"/>
                <w:b w:val="0"/>
                <w:bCs w:val="0"/>
                <w:color w:val="auto"/>
                <w:szCs w:val="21"/>
                <w:highlight w:val="none"/>
              </w:rPr>
              <w:t>未提及此项不得分。</w:t>
            </w:r>
          </w:p>
        </w:tc>
        <w:tc>
          <w:tcPr>
            <w:tcW w:w="675" w:type="dxa"/>
            <w:vAlign w:val="center"/>
          </w:tcPr>
          <w:p w14:paraId="1104335E">
            <w:pPr>
              <w:jc w:val="center"/>
              <w:rPr>
                <w:rFonts w:ascii="宋体" w:hAnsi="宋体" w:eastAsia="宋体" w:cs="Times New Roman"/>
                <w:szCs w:val="21"/>
                <w:highlight w:val="none"/>
              </w:rPr>
            </w:pPr>
          </w:p>
        </w:tc>
      </w:tr>
      <w:tr w14:paraId="40AC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jc w:val="center"/>
        </w:trPr>
        <w:tc>
          <w:tcPr>
            <w:tcW w:w="1158" w:type="dxa"/>
            <w:vMerge w:val="continue"/>
            <w:shd w:val="clear" w:color="auto" w:fill="auto"/>
            <w:vAlign w:val="center"/>
          </w:tcPr>
          <w:p w14:paraId="4C3A1419">
            <w:pPr>
              <w:rPr>
                <w:rFonts w:ascii="宋体" w:hAnsi="宋体" w:eastAsia="宋体" w:cs="Times New Roman"/>
                <w:highlight w:val="none"/>
              </w:rPr>
            </w:pPr>
          </w:p>
        </w:tc>
        <w:tc>
          <w:tcPr>
            <w:tcW w:w="1451" w:type="dxa"/>
            <w:shd w:val="clear" w:color="auto" w:fill="FFFFFF"/>
            <w:vAlign w:val="center"/>
          </w:tcPr>
          <w:p w14:paraId="0C642A59">
            <w:pPr>
              <w:jc w:val="center"/>
              <w:rPr>
                <w:rFonts w:ascii="宋体" w:hAnsi="宋体" w:eastAsia="宋体" w:cs="宋体"/>
                <w:b w:val="0"/>
                <w:bCs w:val="0"/>
                <w:szCs w:val="21"/>
                <w:highlight w:val="none"/>
              </w:rPr>
            </w:pPr>
            <w:r>
              <w:rPr>
                <w:rFonts w:hint="eastAsia" w:ascii="宋体" w:hAnsi="宋体" w:eastAsia="宋体" w:cs="宋体"/>
                <w:b w:val="0"/>
                <w:bCs w:val="0"/>
                <w:szCs w:val="21"/>
                <w:highlight w:val="none"/>
              </w:rPr>
              <w:t>项目工作思路及方案</w:t>
            </w:r>
          </w:p>
          <w:p w14:paraId="420828C7">
            <w:pPr>
              <w:jc w:val="center"/>
              <w:rPr>
                <w:rFonts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cs="宋体"/>
                <w:b w:val="0"/>
                <w:bCs w:val="0"/>
                <w:szCs w:val="21"/>
                <w:highlight w:val="none"/>
                <w:lang w:val="en-US" w:eastAsia="zh-CN"/>
              </w:rPr>
              <w:t>10</w:t>
            </w:r>
            <w:r>
              <w:rPr>
                <w:rFonts w:hint="eastAsia" w:ascii="宋体" w:hAnsi="宋体" w:eastAsia="宋体" w:cs="宋体"/>
                <w:b w:val="0"/>
                <w:bCs w:val="0"/>
                <w:szCs w:val="21"/>
                <w:highlight w:val="none"/>
              </w:rPr>
              <w:t>分）</w:t>
            </w:r>
          </w:p>
        </w:tc>
        <w:tc>
          <w:tcPr>
            <w:tcW w:w="6169" w:type="dxa"/>
            <w:shd w:val="clear" w:color="auto" w:fill="FFFFFF"/>
            <w:vAlign w:val="center"/>
          </w:tcPr>
          <w:p w14:paraId="16DE5F6C">
            <w:pPr>
              <w:rPr>
                <w:rFonts w:ascii="宋体" w:hAnsi="宋体" w:eastAsia="宋体" w:cs="宋体"/>
                <w:b w:val="0"/>
                <w:bCs w:val="0"/>
                <w:szCs w:val="21"/>
                <w:highlight w:val="none"/>
              </w:rPr>
            </w:pPr>
            <w:r>
              <w:rPr>
                <w:rFonts w:hint="eastAsia" w:ascii="宋体" w:hAnsi="宋体" w:eastAsia="宋体" w:cs="宋体"/>
                <w:b w:val="0"/>
                <w:bCs w:val="0"/>
                <w:szCs w:val="21"/>
                <w:highlight w:val="none"/>
              </w:rPr>
              <w:t>对本项目任务的总体工作思路和技术路线，提出的整体实施方案与需求吻合，具体全面等:</w:t>
            </w:r>
          </w:p>
          <w:p w14:paraId="3C44CB1F">
            <w:pPr>
              <w:rPr>
                <w:rFonts w:ascii="宋体" w:hAnsi="宋体" w:eastAsia="宋体" w:cs="宋体"/>
                <w:b w:val="0"/>
                <w:bCs w:val="0"/>
                <w:szCs w:val="21"/>
                <w:highlight w:val="none"/>
              </w:rPr>
            </w:pPr>
            <w:r>
              <w:rPr>
                <w:rFonts w:hint="eastAsia" w:ascii="宋体" w:hAnsi="宋体" w:eastAsia="宋体" w:cs="宋体"/>
                <w:b w:val="0"/>
                <w:bCs w:val="0"/>
                <w:szCs w:val="21"/>
                <w:highlight w:val="none"/>
              </w:rPr>
              <w:t>思路理念新颖全面，技术路线清晰、研究方法准确的，得</w:t>
            </w:r>
            <w:r>
              <w:rPr>
                <w:rFonts w:hint="eastAsia" w:ascii="宋体" w:hAnsi="宋体" w:cs="宋体"/>
                <w:b w:val="0"/>
                <w:bCs w:val="0"/>
                <w:szCs w:val="21"/>
                <w:highlight w:val="none"/>
                <w:lang w:val="en-US" w:eastAsia="zh-CN"/>
              </w:rPr>
              <w:t>10</w:t>
            </w:r>
            <w:r>
              <w:rPr>
                <w:rFonts w:hint="eastAsia" w:ascii="宋体" w:hAnsi="宋体" w:eastAsia="宋体" w:cs="宋体"/>
                <w:b w:val="0"/>
                <w:bCs w:val="0"/>
                <w:szCs w:val="21"/>
                <w:highlight w:val="none"/>
              </w:rPr>
              <w:t>分；</w:t>
            </w:r>
          </w:p>
          <w:p w14:paraId="1978799C">
            <w:pPr>
              <w:rPr>
                <w:rFonts w:ascii="宋体" w:hAnsi="宋体" w:eastAsia="宋体" w:cs="宋体"/>
                <w:b w:val="0"/>
                <w:bCs w:val="0"/>
                <w:szCs w:val="21"/>
                <w:highlight w:val="none"/>
              </w:rPr>
            </w:pPr>
            <w:r>
              <w:rPr>
                <w:rFonts w:hint="eastAsia" w:ascii="宋体" w:hAnsi="宋体" w:eastAsia="宋体" w:cs="宋体"/>
                <w:b w:val="0"/>
                <w:bCs w:val="0"/>
                <w:szCs w:val="21"/>
                <w:highlight w:val="none"/>
              </w:rPr>
              <w:t>思路理念基本全面的，得</w:t>
            </w:r>
            <w:r>
              <w:rPr>
                <w:rFonts w:hint="eastAsia" w:ascii="宋体" w:hAnsi="宋体" w:cs="宋体"/>
                <w:b w:val="0"/>
                <w:bCs w:val="0"/>
                <w:szCs w:val="21"/>
                <w:highlight w:val="none"/>
                <w:lang w:val="en-US" w:eastAsia="zh-CN"/>
              </w:rPr>
              <w:t>6</w:t>
            </w:r>
            <w:r>
              <w:rPr>
                <w:rFonts w:hint="eastAsia" w:ascii="宋体" w:hAnsi="宋体" w:eastAsia="宋体" w:cs="宋体"/>
                <w:b w:val="0"/>
                <w:bCs w:val="0"/>
                <w:szCs w:val="21"/>
                <w:highlight w:val="none"/>
              </w:rPr>
              <w:t>分；</w:t>
            </w:r>
          </w:p>
          <w:p w14:paraId="2E401A64">
            <w:pPr>
              <w:rPr>
                <w:rFonts w:ascii="宋体" w:hAnsi="宋体" w:eastAsia="宋体" w:cs="宋体"/>
                <w:b w:val="0"/>
                <w:bCs w:val="0"/>
                <w:szCs w:val="21"/>
                <w:highlight w:val="none"/>
              </w:rPr>
            </w:pPr>
            <w:r>
              <w:rPr>
                <w:rFonts w:hint="eastAsia" w:ascii="宋体" w:hAnsi="宋体" w:eastAsia="宋体" w:cs="宋体"/>
                <w:b w:val="0"/>
                <w:bCs w:val="0"/>
                <w:szCs w:val="21"/>
                <w:highlight w:val="none"/>
              </w:rPr>
              <w:t>思路理念简单的，得2分；</w:t>
            </w:r>
          </w:p>
          <w:p w14:paraId="0979A3C6">
            <w:pPr>
              <w:spacing w:after="120"/>
              <w:rPr>
                <w:rFonts w:ascii="宋体" w:hAnsi="宋体" w:eastAsia="宋体" w:cs="Times New Roman"/>
                <w:b w:val="0"/>
                <w:bCs w:val="0"/>
                <w:kern w:val="0"/>
                <w:sz w:val="28"/>
                <w:szCs w:val="21"/>
                <w:highlight w:val="none"/>
                <w:lang w:val="zh-CN"/>
              </w:rPr>
            </w:pPr>
            <w:r>
              <w:rPr>
                <w:rFonts w:hint="eastAsia" w:ascii="宋体" w:hAnsi="宋体" w:eastAsia="宋体" w:cs="宋体"/>
                <w:b w:val="0"/>
                <w:bCs w:val="0"/>
                <w:szCs w:val="21"/>
                <w:highlight w:val="none"/>
                <w:lang w:val="zh-CN"/>
              </w:rPr>
              <w:t>未提及此项不得分。</w:t>
            </w:r>
          </w:p>
        </w:tc>
        <w:tc>
          <w:tcPr>
            <w:tcW w:w="675" w:type="dxa"/>
            <w:vAlign w:val="center"/>
          </w:tcPr>
          <w:p w14:paraId="0D4DFE43">
            <w:pPr>
              <w:jc w:val="center"/>
              <w:rPr>
                <w:rFonts w:ascii="宋体" w:hAnsi="宋体" w:eastAsia="宋体" w:cs="Times New Roman"/>
                <w:szCs w:val="21"/>
                <w:highlight w:val="none"/>
              </w:rPr>
            </w:pPr>
          </w:p>
        </w:tc>
      </w:tr>
      <w:tr w14:paraId="18E4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158" w:type="dxa"/>
            <w:vMerge w:val="continue"/>
            <w:shd w:val="clear" w:color="auto" w:fill="auto"/>
            <w:vAlign w:val="center"/>
          </w:tcPr>
          <w:p w14:paraId="376366BC">
            <w:pPr>
              <w:rPr>
                <w:rFonts w:ascii="宋体" w:hAnsi="宋体" w:eastAsia="宋体" w:cs="Times New Roman"/>
                <w:highlight w:val="none"/>
              </w:rPr>
            </w:pPr>
          </w:p>
        </w:tc>
        <w:tc>
          <w:tcPr>
            <w:tcW w:w="1451" w:type="dxa"/>
            <w:shd w:val="clear" w:color="auto" w:fill="FFFFFF"/>
            <w:vAlign w:val="center"/>
          </w:tcPr>
          <w:p w14:paraId="7D8B6BAD">
            <w:pPr>
              <w:keepNext w:val="0"/>
              <w:keepLines w:val="0"/>
              <w:widowControl/>
              <w:suppressLineNumbers w:val="0"/>
              <w:jc w:val="center"/>
              <w:textAlignment w:val="center"/>
              <w:rPr>
                <w:rFonts w:ascii="宋体" w:hAnsi="宋体" w:eastAsia="宋体" w:cs="宋体"/>
                <w:b w:val="0"/>
                <w:bCs w:val="0"/>
                <w:szCs w:val="21"/>
                <w:highlight w:val="none"/>
                <w:lang w:val="zh-CN"/>
              </w:rPr>
            </w:pPr>
            <w:r>
              <w:rPr>
                <w:rFonts w:hint="eastAsia" w:ascii="宋体" w:hAnsi="宋体" w:eastAsia="宋体" w:cs="宋体"/>
                <w:b w:val="0"/>
                <w:bCs w:val="0"/>
                <w:i w:val="0"/>
                <w:iCs w:val="0"/>
                <w:color w:val="auto"/>
                <w:kern w:val="0"/>
                <w:sz w:val="21"/>
                <w:szCs w:val="21"/>
                <w:highlight w:val="none"/>
                <w:u w:val="none"/>
                <w:lang w:val="en-US" w:eastAsia="zh-CN" w:bidi="ar"/>
              </w:rPr>
              <w:t>项目重点难点分析、应对措施及相关的合理化建议（</w:t>
            </w:r>
            <w:r>
              <w:rPr>
                <w:rFonts w:hint="eastAsia" w:ascii="宋体" w:hAnsi="宋体" w:cs="宋体"/>
                <w:b w:val="0"/>
                <w:bCs w:val="0"/>
                <w:i w:val="0"/>
                <w:iCs w:val="0"/>
                <w:color w:val="auto"/>
                <w:kern w:val="0"/>
                <w:sz w:val="21"/>
                <w:szCs w:val="21"/>
                <w:highlight w:val="none"/>
                <w:u w:val="none"/>
                <w:lang w:val="en-US" w:eastAsia="zh-CN" w:bidi="ar"/>
              </w:rPr>
              <w:t>8</w:t>
            </w:r>
            <w:r>
              <w:rPr>
                <w:rFonts w:hint="eastAsia" w:ascii="宋体" w:hAnsi="宋体" w:eastAsia="宋体" w:cs="宋体"/>
                <w:b w:val="0"/>
                <w:bCs w:val="0"/>
                <w:i w:val="0"/>
                <w:iCs w:val="0"/>
                <w:color w:val="auto"/>
                <w:kern w:val="0"/>
                <w:sz w:val="21"/>
                <w:szCs w:val="21"/>
                <w:highlight w:val="none"/>
                <w:u w:val="none"/>
                <w:lang w:val="en-US" w:eastAsia="zh-CN" w:bidi="ar"/>
              </w:rPr>
              <w:t>分）</w:t>
            </w:r>
          </w:p>
        </w:tc>
        <w:tc>
          <w:tcPr>
            <w:tcW w:w="6169" w:type="dxa"/>
            <w:shd w:val="clear" w:color="auto" w:fill="FFFFFF"/>
            <w:vAlign w:val="center"/>
          </w:tcPr>
          <w:p w14:paraId="7E2C6CE1">
            <w:pPr>
              <w:keepNext w:val="0"/>
              <w:keepLines w:val="0"/>
              <w:widowControl/>
              <w:suppressLineNumbers w:val="0"/>
              <w:jc w:val="both"/>
              <w:textAlignment w:val="center"/>
              <w:rPr>
                <w:rFonts w:ascii="宋体" w:hAnsi="宋体" w:eastAsia="宋体" w:cs="Times New Roman"/>
                <w:b w:val="0"/>
                <w:bCs w:val="0"/>
                <w:szCs w:val="21"/>
                <w:highlight w:val="none"/>
                <w:lang w:val="zh-CN"/>
              </w:rPr>
            </w:pPr>
            <w:r>
              <w:rPr>
                <w:rFonts w:hint="eastAsia" w:ascii="宋体" w:hAnsi="宋体" w:eastAsia="宋体" w:cs="宋体"/>
                <w:b w:val="0"/>
                <w:bCs w:val="0"/>
                <w:i w:val="0"/>
                <w:iCs w:val="0"/>
                <w:color w:val="auto"/>
                <w:kern w:val="0"/>
                <w:sz w:val="21"/>
                <w:szCs w:val="21"/>
                <w:highlight w:val="none"/>
                <w:u w:val="none"/>
                <w:lang w:val="en-US" w:eastAsia="zh-CN" w:bidi="ar"/>
              </w:rPr>
              <w:t>对本项目重点、难点的准确把握及分析，提出的解决方案及合理化建议等:</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项目重点难点分析与应对措施全面，建议合理的，得</w:t>
            </w:r>
            <w:r>
              <w:rPr>
                <w:rFonts w:hint="eastAsia" w:ascii="宋体" w:hAnsi="宋体" w:cs="宋体"/>
                <w:b w:val="0"/>
                <w:bCs w:val="0"/>
                <w:i w:val="0"/>
                <w:iCs w:val="0"/>
                <w:color w:val="auto"/>
                <w:kern w:val="0"/>
                <w:sz w:val="21"/>
                <w:szCs w:val="21"/>
                <w:highlight w:val="none"/>
                <w:u w:val="none"/>
                <w:lang w:val="en-US" w:eastAsia="zh-CN" w:bidi="ar"/>
              </w:rPr>
              <w:t>8</w:t>
            </w:r>
            <w:r>
              <w:rPr>
                <w:rFonts w:hint="eastAsia" w:ascii="宋体" w:hAnsi="宋体" w:eastAsia="宋体" w:cs="宋体"/>
                <w:b w:val="0"/>
                <w:bCs w:val="0"/>
                <w:i w:val="0"/>
                <w:iCs w:val="0"/>
                <w:color w:val="auto"/>
                <w:kern w:val="0"/>
                <w:sz w:val="21"/>
                <w:szCs w:val="21"/>
                <w:highlight w:val="none"/>
                <w:u w:val="none"/>
                <w:lang w:val="en-US" w:eastAsia="zh-CN" w:bidi="ar"/>
              </w:rPr>
              <w:t>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项目重点难点分析与应对措施较全面，建议基本合理的，得</w:t>
            </w:r>
            <w:r>
              <w:rPr>
                <w:rFonts w:hint="eastAsia" w:ascii="宋体" w:hAnsi="宋体" w:cs="宋体"/>
                <w:b w:val="0"/>
                <w:bCs w:val="0"/>
                <w:i w:val="0"/>
                <w:iCs w:val="0"/>
                <w:color w:val="auto"/>
                <w:kern w:val="0"/>
                <w:sz w:val="21"/>
                <w:szCs w:val="21"/>
                <w:highlight w:val="none"/>
                <w:u w:val="none"/>
                <w:lang w:val="en-US" w:eastAsia="zh-CN" w:bidi="ar"/>
              </w:rPr>
              <w:t>5</w:t>
            </w:r>
            <w:r>
              <w:rPr>
                <w:rFonts w:hint="eastAsia" w:ascii="宋体" w:hAnsi="宋体" w:eastAsia="宋体" w:cs="宋体"/>
                <w:b w:val="0"/>
                <w:bCs w:val="0"/>
                <w:i w:val="0"/>
                <w:iCs w:val="0"/>
                <w:color w:val="auto"/>
                <w:kern w:val="0"/>
                <w:sz w:val="21"/>
                <w:szCs w:val="21"/>
                <w:highlight w:val="none"/>
                <w:u w:val="none"/>
                <w:lang w:val="en-US" w:eastAsia="zh-CN" w:bidi="ar"/>
              </w:rPr>
              <w:t>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项目重点难点分析与应对措施</w:t>
            </w:r>
            <w:r>
              <w:rPr>
                <w:rFonts w:hint="eastAsia" w:ascii="宋体" w:hAnsi="宋体" w:cs="宋体"/>
                <w:b w:val="0"/>
                <w:bCs w:val="0"/>
                <w:i w:val="0"/>
                <w:iCs w:val="0"/>
                <w:color w:val="auto"/>
                <w:kern w:val="0"/>
                <w:sz w:val="21"/>
                <w:szCs w:val="21"/>
                <w:highlight w:val="none"/>
                <w:u w:val="none"/>
                <w:lang w:val="en-US" w:eastAsia="zh-CN" w:bidi="ar"/>
              </w:rPr>
              <w:t>不全</w:t>
            </w:r>
            <w:r>
              <w:rPr>
                <w:rFonts w:hint="eastAsia" w:ascii="宋体" w:hAnsi="宋体" w:eastAsia="宋体" w:cs="宋体"/>
                <w:b w:val="0"/>
                <w:bCs w:val="0"/>
                <w:i w:val="0"/>
                <w:iCs w:val="0"/>
                <w:color w:val="auto"/>
                <w:kern w:val="0"/>
                <w:sz w:val="21"/>
                <w:szCs w:val="21"/>
                <w:highlight w:val="none"/>
                <w:u w:val="none"/>
                <w:lang w:val="en-US" w:eastAsia="zh-CN" w:bidi="ar"/>
              </w:rPr>
              <w:t>，建议</w:t>
            </w:r>
            <w:r>
              <w:rPr>
                <w:rFonts w:hint="eastAsia" w:ascii="宋体" w:hAnsi="宋体" w:cs="宋体"/>
                <w:b w:val="0"/>
                <w:bCs w:val="0"/>
                <w:i w:val="0"/>
                <w:iCs w:val="0"/>
                <w:color w:val="auto"/>
                <w:kern w:val="0"/>
                <w:sz w:val="21"/>
                <w:szCs w:val="21"/>
                <w:highlight w:val="none"/>
                <w:u w:val="none"/>
                <w:lang w:val="en-US" w:eastAsia="zh-CN" w:bidi="ar"/>
              </w:rPr>
              <w:t>不够</w:t>
            </w:r>
            <w:r>
              <w:rPr>
                <w:rFonts w:hint="eastAsia" w:ascii="宋体" w:hAnsi="宋体" w:eastAsia="宋体" w:cs="宋体"/>
                <w:b w:val="0"/>
                <w:bCs w:val="0"/>
                <w:i w:val="0"/>
                <w:iCs w:val="0"/>
                <w:color w:val="auto"/>
                <w:kern w:val="0"/>
                <w:sz w:val="21"/>
                <w:szCs w:val="21"/>
                <w:highlight w:val="none"/>
                <w:u w:val="none"/>
                <w:lang w:val="en-US" w:eastAsia="zh-CN" w:bidi="ar"/>
              </w:rPr>
              <w:t>合理的，得2分；没有不得分。</w:t>
            </w:r>
          </w:p>
        </w:tc>
        <w:tc>
          <w:tcPr>
            <w:tcW w:w="675" w:type="dxa"/>
            <w:vAlign w:val="center"/>
          </w:tcPr>
          <w:p w14:paraId="3D19D78A">
            <w:pPr>
              <w:jc w:val="center"/>
              <w:rPr>
                <w:rFonts w:ascii="宋体" w:hAnsi="宋体" w:eastAsia="宋体" w:cs="Times New Roman"/>
                <w:szCs w:val="21"/>
                <w:highlight w:val="none"/>
              </w:rPr>
            </w:pPr>
          </w:p>
        </w:tc>
      </w:tr>
      <w:tr w14:paraId="07DA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158" w:type="dxa"/>
            <w:vMerge w:val="continue"/>
            <w:shd w:val="clear" w:color="auto" w:fill="auto"/>
            <w:vAlign w:val="center"/>
          </w:tcPr>
          <w:p w14:paraId="15D71E43">
            <w:pPr>
              <w:rPr>
                <w:rFonts w:ascii="宋体" w:hAnsi="宋体" w:eastAsia="宋体" w:cs="Times New Roman"/>
                <w:highlight w:val="none"/>
              </w:rPr>
            </w:pPr>
          </w:p>
        </w:tc>
        <w:tc>
          <w:tcPr>
            <w:tcW w:w="1451" w:type="dxa"/>
            <w:shd w:val="clear" w:color="auto" w:fill="FFFFFF"/>
            <w:vAlign w:val="center"/>
          </w:tcPr>
          <w:p w14:paraId="5D14A4E0">
            <w:pPr>
              <w:jc w:val="center"/>
              <w:rPr>
                <w:rFonts w:ascii="宋体" w:hAnsi="宋体" w:eastAsia="宋体" w:cs="宋体"/>
                <w:b w:val="0"/>
                <w:bCs w:val="0"/>
                <w:szCs w:val="21"/>
                <w:highlight w:val="none"/>
                <w:lang w:val="zh-CN"/>
              </w:rPr>
            </w:pPr>
            <w:r>
              <w:rPr>
                <w:rFonts w:hint="eastAsia" w:ascii="宋体" w:hAnsi="宋体" w:eastAsia="宋体" w:cs="宋体"/>
                <w:b w:val="0"/>
                <w:bCs w:val="0"/>
                <w:szCs w:val="21"/>
                <w:highlight w:val="none"/>
                <w:lang w:val="zh-CN"/>
              </w:rPr>
              <w:t>技术方案</w:t>
            </w:r>
          </w:p>
          <w:p w14:paraId="317BD5BC">
            <w:pPr>
              <w:jc w:val="center"/>
              <w:rPr>
                <w:rFonts w:ascii="宋体" w:hAnsi="宋体" w:eastAsia="宋体" w:cs="宋体"/>
                <w:b w:val="0"/>
                <w:bCs w:val="0"/>
                <w:szCs w:val="21"/>
                <w:highlight w:val="none"/>
                <w:lang w:val="zh-CN"/>
              </w:rPr>
            </w:pPr>
            <w:r>
              <w:rPr>
                <w:rFonts w:hint="eastAsia" w:ascii="宋体" w:hAnsi="宋体" w:eastAsia="宋体" w:cs="宋体"/>
                <w:b w:val="0"/>
                <w:bCs w:val="0"/>
                <w:szCs w:val="21"/>
                <w:highlight w:val="none"/>
                <w:lang w:val="zh-CN"/>
              </w:rPr>
              <w:t>（</w:t>
            </w:r>
            <w:r>
              <w:rPr>
                <w:rFonts w:hint="eastAsia" w:ascii="宋体" w:hAnsi="宋体" w:cs="宋体"/>
                <w:b w:val="0"/>
                <w:bCs w:val="0"/>
                <w:szCs w:val="21"/>
                <w:highlight w:val="none"/>
                <w:lang w:val="en-US" w:eastAsia="zh-CN"/>
              </w:rPr>
              <w:t>8</w:t>
            </w:r>
            <w:r>
              <w:rPr>
                <w:rFonts w:hint="eastAsia" w:ascii="宋体" w:hAnsi="宋体" w:eastAsia="宋体" w:cs="宋体"/>
                <w:b w:val="0"/>
                <w:bCs w:val="0"/>
                <w:szCs w:val="21"/>
                <w:highlight w:val="none"/>
              </w:rPr>
              <w:t>分</w:t>
            </w:r>
            <w:r>
              <w:rPr>
                <w:rFonts w:hint="eastAsia" w:ascii="宋体" w:hAnsi="宋体" w:eastAsia="宋体" w:cs="宋体"/>
                <w:b w:val="0"/>
                <w:bCs w:val="0"/>
                <w:szCs w:val="21"/>
                <w:highlight w:val="none"/>
                <w:lang w:val="zh-CN"/>
              </w:rPr>
              <w:t>）</w:t>
            </w:r>
          </w:p>
        </w:tc>
        <w:tc>
          <w:tcPr>
            <w:tcW w:w="6169" w:type="dxa"/>
            <w:shd w:val="clear" w:color="auto" w:fill="FFFFFF"/>
            <w:vAlign w:val="center"/>
          </w:tcPr>
          <w:p w14:paraId="52E21F1F">
            <w:pPr>
              <w:tabs>
                <w:tab w:val="left" w:pos="8789"/>
              </w:tabs>
              <w:rPr>
                <w:rFonts w:ascii="Times New Roman" w:hAnsi="Times New Roman" w:eastAsia="宋体" w:cs="Times New Roman"/>
                <w:b w:val="0"/>
                <w:bCs w:val="0"/>
                <w:szCs w:val="21"/>
                <w:highlight w:val="none"/>
              </w:rPr>
            </w:pPr>
            <w:r>
              <w:rPr>
                <w:rFonts w:hint="eastAsia" w:ascii="Times New Roman" w:hAnsi="Times New Roman" w:eastAsia="宋体" w:cs="Times New Roman"/>
                <w:b w:val="0"/>
                <w:bCs w:val="0"/>
                <w:szCs w:val="21"/>
                <w:highlight w:val="none"/>
              </w:rPr>
              <w:t>对本项目指标体系和工作需求编制的</w:t>
            </w:r>
            <w:r>
              <w:rPr>
                <w:rFonts w:ascii="Times New Roman" w:hAnsi="Times New Roman" w:eastAsia="宋体" w:cs="Times New Roman"/>
                <w:b w:val="0"/>
                <w:bCs w:val="0"/>
                <w:szCs w:val="21"/>
                <w:highlight w:val="none"/>
              </w:rPr>
              <w:t>具体</w:t>
            </w:r>
            <w:r>
              <w:rPr>
                <w:rFonts w:hint="eastAsia" w:ascii="Times New Roman" w:hAnsi="Times New Roman" w:eastAsia="宋体" w:cs="Times New Roman"/>
                <w:b w:val="0"/>
                <w:bCs w:val="0"/>
                <w:szCs w:val="21"/>
                <w:highlight w:val="none"/>
              </w:rPr>
              <w:t>技术方案：</w:t>
            </w:r>
          </w:p>
          <w:p w14:paraId="6721926A">
            <w:pPr>
              <w:tabs>
                <w:tab w:val="left" w:pos="8789"/>
              </w:tabs>
              <w:rPr>
                <w:rFonts w:ascii="宋体" w:hAnsi="宋体" w:eastAsia="宋体" w:cs="宋体"/>
                <w:b w:val="0"/>
                <w:bCs w:val="0"/>
                <w:szCs w:val="21"/>
                <w:highlight w:val="none"/>
                <w:lang w:val="zh-CN"/>
              </w:rPr>
            </w:pPr>
            <w:r>
              <w:rPr>
                <w:rFonts w:hint="eastAsia" w:ascii="宋体" w:hAnsi="宋体" w:eastAsia="宋体" w:cs="宋体"/>
                <w:b w:val="0"/>
                <w:bCs w:val="0"/>
                <w:szCs w:val="21"/>
                <w:highlight w:val="none"/>
                <w:lang w:val="zh-CN"/>
              </w:rPr>
              <w:t>技术方案清晰、完整且全面合理的，得</w:t>
            </w:r>
            <w:r>
              <w:rPr>
                <w:rFonts w:hint="eastAsia" w:ascii="宋体" w:hAnsi="宋体" w:cs="宋体"/>
                <w:b w:val="0"/>
                <w:bCs w:val="0"/>
                <w:szCs w:val="21"/>
                <w:highlight w:val="none"/>
                <w:lang w:val="en-US" w:eastAsia="zh-CN"/>
              </w:rPr>
              <w:t>8</w:t>
            </w:r>
            <w:r>
              <w:rPr>
                <w:rFonts w:hint="eastAsia" w:ascii="宋体" w:hAnsi="宋体" w:eastAsia="宋体" w:cs="宋体"/>
                <w:b w:val="0"/>
                <w:bCs w:val="0"/>
                <w:szCs w:val="21"/>
                <w:highlight w:val="none"/>
                <w:lang w:val="zh-CN"/>
              </w:rPr>
              <w:t>分；</w:t>
            </w:r>
          </w:p>
          <w:p w14:paraId="590B263A">
            <w:pPr>
              <w:tabs>
                <w:tab w:val="left" w:pos="8789"/>
              </w:tabs>
              <w:rPr>
                <w:rFonts w:ascii="宋体" w:hAnsi="宋体" w:eastAsia="宋体" w:cs="宋体"/>
                <w:b w:val="0"/>
                <w:bCs w:val="0"/>
                <w:szCs w:val="21"/>
                <w:highlight w:val="none"/>
                <w:lang w:val="zh-CN"/>
              </w:rPr>
            </w:pPr>
            <w:r>
              <w:rPr>
                <w:rFonts w:hint="eastAsia" w:ascii="宋体" w:hAnsi="宋体" w:eastAsia="宋体" w:cs="宋体"/>
                <w:b w:val="0"/>
                <w:bCs w:val="0"/>
                <w:szCs w:val="21"/>
                <w:highlight w:val="none"/>
                <w:lang w:val="zh-CN"/>
              </w:rPr>
              <w:t>技术方案基本完整的，得</w:t>
            </w:r>
            <w:r>
              <w:rPr>
                <w:rFonts w:hint="eastAsia" w:ascii="宋体" w:hAnsi="宋体" w:cs="宋体"/>
                <w:b w:val="0"/>
                <w:bCs w:val="0"/>
                <w:szCs w:val="21"/>
                <w:highlight w:val="none"/>
                <w:lang w:val="en-US" w:eastAsia="zh-CN"/>
              </w:rPr>
              <w:t>5</w:t>
            </w:r>
            <w:r>
              <w:rPr>
                <w:rFonts w:hint="eastAsia" w:ascii="宋体" w:hAnsi="宋体" w:eastAsia="宋体" w:cs="宋体"/>
                <w:b w:val="0"/>
                <w:bCs w:val="0"/>
                <w:szCs w:val="21"/>
                <w:highlight w:val="none"/>
                <w:lang w:val="zh-CN"/>
              </w:rPr>
              <w:t>分；</w:t>
            </w:r>
          </w:p>
          <w:p w14:paraId="2F8D553B">
            <w:pPr>
              <w:tabs>
                <w:tab w:val="left" w:pos="8789"/>
              </w:tabs>
              <w:rPr>
                <w:rFonts w:ascii="宋体" w:hAnsi="宋体" w:eastAsia="宋体" w:cs="宋体"/>
                <w:b w:val="0"/>
                <w:bCs w:val="0"/>
                <w:szCs w:val="21"/>
                <w:highlight w:val="none"/>
                <w:lang w:val="zh-CN"/>
              </w:rPr>
            </w:pPr>
            <w:r>
              <w:rPr>
                <w:rFonts w:hint="eastAsia" w:ascii="宋体" w:hAnsi="宋体" w:eastAsia="宋体" w:cs="宋体"/>
                <w:b w:val="0"/>
                <w:bCs w:val="0"/>
                <w:szCs w:val="21"/>
                <w:highlight w:val="none"/>
                <w:lang w:val="zh-CN"/>
              </w:rPr>
              <w:t>技术方案简单</w:t>
            </w:r>
            <w:r>
              <w:rPr>
                <w:rFonts w:hint="eastAsia" w:ascii="宋体" w:hAnsi="宋体" w:eastAsia="宋体" w:cs="宋体"/>
                <w:b w:val="0"/>
                <w:bCs w:val="0"/>
                <w:szCs w:val="21"/>
                <w:highlight w:val="none"/>
              </w:rPr>
              <w:t>的</w:t>
            </w:r>
            <w:r>
              <w:rPr>
                <w:rFonts w:hint="eastAsia" w:ascii="宋体" w:hAnsi="宋体" w:eastAsia="宋体" w:cs="宋体"/>
                <w:b w:val="0"/>
                <w:bCs w:val="0"/>
                <w:szCs w:val="21"/>
                <w:highlight w:val="none"/>
                <w:lang w:val="zh-CN"/>
              </w:rPr>
              <w:t>，得2分；</w:t>
            </w:r>
          </w:p>
          <w:p w14:paraId="6A9017D9">
            <w:pPr>
              <w:tabs>
                <w:tab w:val="left" w:pos="8789"/>
              </w:tabs>
              <w:rPr>
                <w:rFonts w:ascii="宋体" w:hAnsi="宋体" w:eastAsia="宋体" w:cs="Times New Roman"/>
                <w:b w:val="0"/>
                <w:bCs w:val="0"/>
                <w:szCs w:val="21"/>
                <w:highlight w:val="none"/>
                <w:lang w:val="zh-CN"/>
              </w:rPr>
            </w:pPr>
            <w:r>
              <w:rPr>
                <w:rFonts w:hint="eastAsia" w:ascii="宋体" w:hAnsi="宋体" w:eastAsia="宋体" w:cs="宋体"/>
                <w:b w:val="0"/>
                <w:bCs w:val="0"/>
                <w:szCs w:val="21"/>
                <w:highlight w:val="none"/>
                <w:lang w:val="zh-CN"/>
              </w:rPr>
              <w:t>未提及此项不得分。</w:t>
            </w:r>
          </w:p>
        </w:tc>
        <w:tc>
          <w:tcPr>
            <w:tcW w:w="675" w:type="dxa"/>
            <w:vAlign w:val="center"/>
          </w:tcPr>
          <w:p w14:paraId="24306F25">
            <w:pPr>
              <w:jc w:val="center"/>
              <w:rPr>
                <w:rFonts w:ascii="宋体" w:hAnsi="宋体" w:eastAsia="宋体" w:cs="Times New Roman"/>
                <w:szCs w:val="21"/>
                <w:highlight w:val="none"/>
              </w:rPr>
            </w:pPr>
          </w:p>
        </w:tc>
      </w:tr>
      <w:tr w14:paraId="70D3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158" w:type="dxa"/>
            <w:vMerge w:val="continue"/>
            <w:shd w:val="clear" w:color="auto" w:fill="auto"/>
            <w:vAlign w:val="center"/>
          </w:tcPr>
          <w:p w14:paraId="42BE9B8C">
            <w:pPr>
              <w:rPr>
                <w:rFonts w:ascii="宋体" w:hAnsi="宋体" w:eastAsia="宋体" w:cs="Times New Roman"/>
                <w:highlight w:val="none"/>
              </w:rPr>
            </w:pPr>
          </w:p>
        </w:tc>
        <w:tc>
          <w:tcPr>
            <w:tcW w:w="1451" w:type="dxa"/>
            <w:shd w:val="clear" w:color="auto" w:fill="FFFFFF"/>
            <w:vAlign w:val="center"/>
          </w:tcPr>
          <w:p w14:paraId="16B4C2B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进度计划及保障措施</w:t>
            </w:r>
          </w:p>
          <w:p w14:paraId="640AEB1F">
            <w:pPr>
              <w:keepNext w:val="0"/>
              <w:keepLines w:val="0"/>
              <w:widowControl/>
              <w:suppressLineNumbers w:val="0"/>
              <w:jc w:val="center"/>
              <w:textAlignment w:val="center"/>
              <w:rPr>
                <w:rFonts w:ascii="宋体" w:hAnsi="宋体" w:eastAsia="宋体" w:cs="宋体"/>
                <w:b w:val="0"/>
                <w:bCs w:val="0"/>
                <w:szCs w:val="21"/>
                <w:highlight w:val="none"/>
                <w:lang w:val="zh-CN"/>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cs="宋体"/>
                <w:b w:val="0"/>
                <w:bCs w:val="0"/>
                <w:i w:val="0"/>
                <w:iCs w:val="0"/>
                <w:color w:val="auto"/>
                <w:kern w:val="0"/>
                <w:sz w:val="21"/>
                <w:szCs w:val="21"/>
                <w:highlight w:val="none"/>
                <w:u w:val="none"/>
                <w:lang w:val="en-US" w:eastAsia="zh-CN" w:bidi="ar"/>
              </w:rPr>
              <w:t>8</w:t>
            </w:r>
            <w:r>
              <w:rPr>
                <w:rFonts w:hint="eastAsia" w:ascii="宋体" w:hAnsi="宋体" w:eastAsia="宋体" w:cs="宋体"/>
                <w:b w:val="0"/>
                <w:bCs w:val="0"/>
                <w:i w:val="0"/>
                <w:iCs w:val="0"/>
                <w:color w:val="auto"/>
                <w:kern w:val="0"/>
                <w:sz w:val="21"/>
                <w:szCs w:val="21"/>
                <w:highlight w:val="none"/>
                <w:u w:val="none"/>
                <w:lang w:val="en-US" w:eastAsia="zh-CN" w:bidi="ar"/>
              </w:rPr>
              <w:t>分）</w:t>
            </w:r>
          </w:p>
        </w:tc>
        <w:tc>
          <w:tcPr>
            <w:tcW w:w="6169" w:type="dxa"/>
            <w:shd w:val="clear" w:color="auto" w:fill="FFFFFF"/>
            <w:vAlign w:val="center"/>
          </w:tcPr>
          <w:p w14:paraId="38C031DB">
            <w:pPr>
              <w:keepNext w:val="0"/>
              <w:keepLines w:val="0"/>
              <w:widowControl/>
              <w:suppressLineNumbers w:val="0"/>
              <w:jc w:val="both"/>
              <w:textAlignment w:val="center"/>
              <w:rPr>
                <w:rFonts w:hint="eastAsia" w:ascii="宋体" w:hAnsi="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投标人对项目的工作计划、工作进度安排的合理性，各阶段详细工作任务安排等：本项目工作计划、进度安排内容紧凑合理，工作任务清楚明确的，得</w:t>
            </w:r>
            <w:r>
              <w:rPr>
                <w:rFonts w:hint="eastAsia" w:ascii="宋体" w:hAnsi="宋体" w:cs="宋体"/>
                <w:b w:val="0"/>
                <w:bCs w:val="0"/>
                <w:i w:val="0"/>
                <w:iCs w:val="0"/>
                <w:color w:val="auto"/>
                <w:kern w:val="0"/>
                <w:sz w:val="21"/>
                <w:szCs w:val="21"/>
                <w:highlight w:val="none"/>
                <w:u w:val="none"/>
                <w:lang w:val="en-US" w:eastAsia="zh-CN" w:bidi="ar"/>
              </w:rPr>
              <w:t>8</w:t>
            </w:r>
            <w:r>
              <w:rPr>
                <w:rFonts w:hint="eastAsia" w:ascii="宋体" w:hAnsi="宋体" w:eastAsia="宋体" w:cs="宋体"/>
                <w:b w:val="0"/>
                <w:bCs w:val="0"/>
                <w:i w:val="0"/>
                <w:iCs w:val="0"/>
                <w:color w:val="auto"/>
                <w:kern w:val="0"/>
                <w:sz w:val="21"/>
                <w:szCs w:val="21"/>
                <w:highlight w:val="none"/>
                <w:u w:val="none"/>
                <w:lang w:val="en-US" w:eastAsia="zh-CN" w:bidi="ar"/>
              </w:rPr>
              <w:t>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本项目工作计划、进度安排内容基本紧凑合理，工作任务较清楚明确的得</w:t>
            </w:r>
            <w:r>
              <w:rPr>
                <w:rFonts w:hint="eastAsia" w:ascii="宋体" w:hAnsi="宋体" w:cs="宋体"/>
                <w:b w:val="0"/>
                <w:bCs w:val="0"/>
                <w:i w:val="0"/>
                <w:iCs w:val="0"/>
                <w:color w:val="auto"/>
                <w:kern w:val="0"/>
                <w:sz w:val="21"/>
                <w:szCs w:val="21"/>
                <w:highlight w:val="none"/>
                <w:u w:val="none"/>
                <w:lang w:val="en-US" w:eastAsia="zh-CN" w:bidi="ar"/>
              </w:rPr>
              <w:t>5</w:t>
            </w:r>
            <w:r>
              <w:rPr>
                <w:rFonts w:hint="eastAsia" w:ascii="宋体" w:hAnsi="宋体" w:eastAsia="宋体" w:cs="宋体"/>
                <w:b w:val="0"/>
                <w:bCs w:val="0"/>
                <w:i w:val="0"/>
                <w:iCs w:val="0"/>
                <w:color w:val="auto"/>
                <w:kern w:val="0"/>
                <w:sz w:val="21"/>
                <w:szCs w:val="21"/>
                <w:highlight w:val="none"/>
                <w:u w:val="none"/>
                <w:lang w:val="en-US" w:eastAsia="zh-CN" w:bidi="ar"/>
              </w:rPr>
              <w:t>分；</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未提供或本项目工作计划进度安排内容简单，工作任务安排不够详实的，是2分</w:t>
            </w:r>
            <w:r>
              <w:rPr>
                <w:rFonts w:hint="eastAsia" w:ascii="宋体" w:hAnsi="宋体" w:cs="宋体"/>
                <w:b w:val="0"/>
                <w:bCs w:val="0"/>
                <w:i w:val="0"/>
                <w:iCs w:val="0"/>
                <w:color w:val="auto"/>
                <w:kern w:val="0"/>
                <w:sz w:val="21"/>
                <w:szCs w:val="21"/>
                <w:highlight w:val="none"/>
                <w:u w:val="none"/>
                <w:lang w:val="en-US" w:eastAsia="zh-CN" w:bidi="ar"/>
              </w:rPr>
              <w:t>；</w:t>
            </w:r>
          </w:p>
          <w:p w14:paraId="354FFD0B">
            <w:pPr>
              <w:keepNext w:val="0"/>
              <w:keepLines w:val="0"/>
              <w:widowControl/>
              <w:suppressLineNumbers w:val="0"/>
              <w:jc w:val="both"/>
              <w:textAlignment w:val="center"/>
              <w:rPr>
                <w:rFonts w:ascii="宋体" w:hAnsi="宋体" w:eastAsia="宋体" w:cs="Times New Roman"/>
                <w:b w:val="0"/>
                <w:bCs w:val="0"/>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未提及不得分。</w:t>
            </w:r>
          </w:p>
        </w:tc>
        <w:tc>
          <w:tcPr>
            <w:tcW w:w="675" w:type="dxa"/>
            <w:vAlign w:val="center"/>
          </w:tcPr>
          <w:p w14:paraId="08FB8C5D">
            <w:pPr>
              <w:jc w:val="center"/>
              <w:rPr>
                <w:rFonts w:ascii="宋体" w:hAnsi="宋体" w:eastAsia="宋体" w:cs="Times New Roman"/>
                <w:szCs w:val="21"/>
                <w:highlight w:val="none"/>
              </w:rPr>
            </w:pPr>
          </w:p>
        </w:tc>
      </w:tr>
      <w:tr w14:paraId="642A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58" w:type="dxa"/>
            <w:vMerge w:val="continue"/>
            <w:shd w:val="clear" w:color="auto" w:fill="auto"/>
            <w:vAlign w:val="center"/>
          </w:tcPr>
          <w:p w14:paraId="5108AA41">
            <w:pPr>
              <w:rPr>
                <w:rFonts w:ascii="宋体" w:hAnsi="宋体" w:eastAsia="宋体" w:cs="Times New Roman"/>
                <w:highlight w:val="none"/>
              </w:rPr>
            </w:pPr>
          </w:p>
        </w:tc>
        <w:tc>
          <w:tcPr>
            <w:tcW w:w="1451" w:type="dxa"/>
            <w:shd w:val="clear" w:color="auto" w:fill="FFFFFF"/>
            <w:vAlign w:val="center"/>
          </w:tcPr>
          <w:p w14:paraId="0B98B567">
            <w:pPr>
              <w:jc w:val="center"/>
              <w:rPr>
                <w:rFonts w:ascii="Times New Roman" w:hAnsi="Times New Roman" w:eastAsia="宋体" w:cs="Times New Roman"/>
                <w:b w:val="0"/>
                <w:bCs w:val="0"/>
                <w:szCs w:val="21"/>
                <w:highlight w:val="none"/>
              </w:rPr>
            </w:pPr>
            <w:r>
              <w:rPr>
                <w:rFonts w:ascii="Times New Roman" w:hAnsi="Times New Roman" w:eastAsia="宋体" w:cs="Times New Roman"/>
                <w:b w:val="0"/>
                <w:bCs w:val="0"/>
                <w:szCs w:val="21"/>
                <w:highlight w:val="none"/>
              </w:rPr>
              <w:t>质量保障</w:t>
            </w:r>
            <w:r>
              <w:rPr>
                <w:rFonts w:hint="eastAsia" w:cs="Times New Roman"/>
                <w:b w:val="0"/>
                <w:bCs w:val="0"/>
                <w:szCs w:val="21"/>
                <w:highlight w:val="none"/>
                <w:lang w:eastAsia="zh-CN"/>
              </w:rPr>
              <w:t>及</w:t>
            </w:r>
            <w:r>
              <w:rPr>
                <w:rFonts w:ascii="Times New Roman" w:hAnsi="Times New Roman" w:eastAsia="宋体" w:cs="Times New Roman"/>
                <w:b w:val="0"/>
                <w:bCs w:val="0"/>
                <w:szCs w:val="21"/>
                <w:highlight w:val="none"/>
              </w:rPr>
              <w:t>措施</w:t>
            </w:r>
          </w:p>
          <w:p w14:paraId="67DB220A">
            <w:pPr>
              <w:jc w:val="center"/>
              <w:rPr>
                <w:rFonts w:ascii="宋体" w:hAnsi="宋体" w:eastAsia="宋体" w:cs="Times New Roman"/>
                <w:b w:val="0"/>
                <w:bCs w:val="0"/>
                <w:szCs w:val="21"/>
                <w:highlight w:val="none"/>
              </w:rPr>
            </w:pPr>
            <w:r>
              <w:rPr>
                <w:rFonts w:hint="eastAsia" w:ascii="Times New Roman" w:hAnsi="Times New Roman" w:eastAsia="宋体" w:cs="Times New Roman"/>
                <w:b w:val="0"/>
                <w:bCs w:val="0"/>
                <w:szCs w:val="21"/>
                <w:highlight w:val="none"/>
              </w:rPr>
              <w:t>（</w:t>
            </w:r>
            <w:r>
              <w:rPr>
                <w:rFonts w:hint="eastAsia" w:cs="Times New Roman"/>
                <w:b w:val="0"/>
                <w:bCs w:val="0"/>
                <w:szCs w:val="21"/>
                <w:highlight w:val="none"/>
                <w:lang w:val="en-US" w:eastAsia="zh-CN"/>
              </w:rPr>
              <w:t>8</w:t>
            </w:r>
            <w:r>
              <w:rPr>
                <w:rFonts w:hint="eastAsia" w:ascii="Times New Roman" w:hAnsi="Times New Roman" w:eastAsia="宋体" w:cs="Times New Roman"/>
                <w:b w:val="0"/>
                <w:bCs w:val="0"/>
                <w:szCs w:val="21"/>
                <w:highlight w:val="none"/>
              </w:rPr>
              <w:t>分）</w:t>
            </w:r>
          </w:p>
        </w:tc>
        <w:tc>
          <w:tcPr>
            <w:tcW w:w="6169" w:type="dxa"/>
            <w:shd w:val="clear" w:color="auto" w:fill="FFFFFF"/>
            <w:vAlign w:val="center"/>
          </w:tcPr>
          <w:p w14:paraId="248E035C">
            <w:pPr>
              <w:tabs>
                <w:tab w:val="left" w:pos="8789"/>
              </w:tabs>
              <w:rPr>
                <w:rFonts w:ascii="Times New Roman" w:hAnsi="Times New Roman" w:eastAsia="宋体" w:cs="Times New Roman"/>
                <w:b w:val="0"/>
                <w:bCs w:val="0"/>
                <w:szCs w:val="21"/>
                <w:highlight w:val="none"/>
              </w:rPr>
            </w:pPr>
            <w:r>
              <w:rPr>
                <w:rFonts w:hint="eastAsia" w:ascii="Times New Roman" w:hAnsi="Times New Roman" w:eastAsia="宋体" w:cs="Times New Roman"/>
                <w:b w:val="0"/>
                <w:bCs w:val="0"/>
                <w:szCs w:val="21"/>
                <w:highlight w:val="none"/>
              </w:rPr>
              <w:t>投标人提供的质量保障机制：</w:t>
            </w:r>
          </w:p>
          <w:p w14:paraId="0D1E2F00">
            <w:pPr>
              <w:tabs>
                <w:tab w:val="left" w:pos="8789"/>
              </w:tabs>
              <w:rPr>
                <w:rFonts w:ascii="Times New Roman" w:hAnsi="Times New Roman" w:eastAsia="宋体" w:cs="Times New Roman"/>
                <w:b w:val="0"/>
                <w:bCs w:val="0"/>
                <w:szCs w:val="21"/>
                <w:highlight w:val="none"/>
              </w:rPr>
            </w:pPr>
            <w:r>
              <w:rPr>
                <w:rFonts w:hint="eastAsia" w:ascii="Times New Roman" w:hAnsi="Times New Roman" w:eastAsia="宋体" w:cs="Times New Roman"/>
                <w:b w:val="0"/>
                <w:bCs w:val="0"/>
                <w:szCs w:val="21"/>
                <w:highlight w:val="none"/>
              </w:rPr>
              <w:t>各项机制条理清晰，层次分明的，得</w:t>
            </w:r>
            <w:r>
              <w:rPr>
                <w:rFonts w:hint="eastAsia" w:cs="Times New Roman"/>
                <w:b w:val="0"/>
                <w:bCs w:val="0"/>
                <w:szCs w:val="21"/>
                <w:highlight w:val="none"/>
                <w:lang w:val="en-US" w:eastAsia="zh-CN"/>
              </w:rPr>
              <w:t>8</w:t>
            </w:r>
            <w:r>
              <w:rPr>
                <w:rFonts w:hint="eastAsia" w:ascii="Times New Roman" w:hAnsi="Times New Roman" w:eastAsia="宋体" w:cs="Times New Roman"/>
                <w:b w:val="0"/>
                <w:bCs w:val="0"/>
                <w:szCs w:val="21"/>
                <w:highlight w:val="none"/>
              </w:rPr>
              <w:t>分；</w:t>
            </w:r>
          </w:p>
          <w:p w14:paraId="5FC6ECD3">
            <w:pPr>
              <w:tabs>
                <w:tab w:val="left" w:pos="8789"/>
              </w:tabs>
              <w:rPr>
                <w:rFonts w:ascii="Times New Roman" w:hAnsi="Times New Roman" w:eastAsia="宋体" w:cs="Times New Roman"/>
                <w:b w:val="0"/>
                <w:bCs w:val="0"/>
                <w:szCs w:val="21"/>
                <w:highlight w:val="none"/>
              </w:rPr>
            </w:pPr>
            <w:r>
              <w:rPr>
                <w:rFonts w:hint="eastAsia" w:ascii="Times New Roman" w:hAnsi="Times New Roman" w:eastAsia="宋体" w:cs="Times New Roman"/>
                <w:b w:val="0"/>
                <w:bCs w:val="0"/>
                <w:szCs w:val="21"/>
                <w:highlight w:val="none"/>
              </w:rPr>
              <w:t>条理基本清晰的，得</w:t>
            </w:r>
            <w:r>
              <w:rPr>
                <w:rFonts w:hint="eastAsia" w:cs="Times New Roman"/>
                <w:b w:val="0"/>
                <w:bCs w:val="0"/>
                <w:szCs w:val="21"/>
                <w:highlight w:val="none"/>
                <w:lang w:val="en-US" w:eastAsia="zh-CN"/>
              </w:rPr>
              <w:t>5</w:t>
            </w:r>
            <w:r>
              <w:rPr>
                <w:rFonts w:hint="eastAsia" w:ascii="Times New Roman" w:hAnsi="Times New Roman" w:eastAsia="宋体" w:cs="Times New Roman"/>
                <w:b w:val="0"/>
                <w:bCs w:val="0"/>
                <w:szCs w:val="21"/>
                <w:highlight w:val="none"/>
              </w:rPr>
              <w:t>分；</w:t>
            </w:r>
          </w:p>
          <w:p w14:paraId="0C84F9BA">
            <w:pPr>
              <w:tabs>
                <w:tab w:val="left" w:pos="8789"/>
              </w:tabs>
              <w:rPr>
                <w:rFonts w:ascii="Times New Roman" w:hAnsi="Times New Roman" w:eastAsia="宋体" w:cs="Times New Roman"/>
                <w:b w:val="0"/>
                <w:bCs w:val="0"/>
                <w:szCs w:val="21"/>
                <w:highlight w:val="none"/>
              </w:rPr>
            </w:pPr>
            <w:r>
              <w:rPr>
                <w:rFonts w:hint="eastAsia" w:ascii="Times New Roman" w:hAnsi="Times New Roman" w:eastAsia="宋体" w:cs="Times New Roman"/>
                <w:b w:val="0"/>
                <w:bCs w:val="0"/>
                <w:szCs w:val="21"/>
                <w:highlight w:val="none"/>
              </w:rPr>
              <w:t>保障措施简单的，得2分；</w:t>
            </w:r>
          </w:p>
          <w:p w14:paraId="368459CF">
            <w:pPr>
              <w:tabs>
                <w:tab w:val="left" w:pos="8789"/>
              </w:tabs>
              <w:rPr>
                <w:rFonts w:ascii="宋体" w:hAnsi="宋体" w:eastAsia="宋体" w:cs="Times New Roman"/>
                <w:b w:val="0"/>
                <w:bCs w:val="0"/>
                <w:szCs w:val="21"/>
                <w:highlight w:val="none"/>
              </w:rPr>
            </w:pPr>
            <w:r>
              <w:rPr>
                <w:rFonts w:hint="eastAsia" w:ascii="Times New Roman" w:hAnsi="Times New Roman" w:eastAsia="宋体" w:cs="Times New Roman"/>
                <w:b w:val="0"/>
                <w:bCs w:val="0"/>
                <w:szCs w:val="21"/>
                <w:highlight w:val="none"/>
              </w:rPr>
              <w:t>未提及此项不得分。</w:t>
            </w:r>
          </w:p>
        </w:tc>
        <w:tc>
          <w:tcPr>
            <w:tcW w:w="675" w:type="dxa"/>
            <w:vAlign w:val="center"/>
          </w:tcPr>
          <w:p w14:paraId="568DB6D1">
            <w:pPr>
              <w:jc w:val="center"/>
              <w:rPr>
                <w:rFonts w:ascii="宋体" w:hAnsi="宋体" w:eastAsia="宋体" w:cs="Times New Roman"/>
                <w:szCs w:val="21"/>
                <w:highlight w:val="none"/>
              </w:rPr>
            </w:pPr>
          </w:p>
        </w:tc>
      </w:tr>
      <w:tr w14:paraId="352A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58" w:type="dxa"/>
            <w:vMerge w:val="continue"/>
            <w:shd w:val="clear" w:color="auto" w:fill="auto"/>
            <w:vAlign w:val="center"/>
          </w:tcPr>
          <w:p w14:paraId="3CB9A132">
            <w:pPr>
              <w:rPr>
                <w:rFonts w:ascii="宋体" w:hAnsi="宋体" w:eastAsia="宋体" w:cs="Times New Roman"/>
                <w:highlight w:val="none"/>
              </w:rPr>
            </w:pPr>
          </w:p>
        </w:tc>
        <w:tc>
          <w:tcPr>
            <w:tcW w:w="1451" w:type="dxa"/>
            <w:shd w:val="clear" w:color="auto" w:fill="FFFFFF"/>
            <w:vAlign w:val="center"/>
          </w:tcPr>
          <w:p w14:paraId="5802D384">
            <w:pPr>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保密机制</w:t>
            </w:r>
          </w:p>
          <w:p w14:paraId="0BBEC769">
            <w:pPr>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cs="Times New Roman"/>
                <w:szCs w:val="21"/>
                <w:highlight w:val="none"/>
                <w:lang w:val="en-US" w:eastAsia="zh-CN"/>
              </w:rPr>
              <w:t>8</w:t>
            </w:r>
            <w:r>
              <w:rPr>
                <w:rFonts w:hint="eastAsia" w:ascii="Times New Roman" w:hAnsi="Times New Roman" w:eastAsia="宋体" w:cs="Times New Roman"/>
                <w:szCs w:val="21"/>
                <w:highlight w:val="none"/>
              </w:rPr>
              <w:t>分）</w:t>
            </w:r>
          </w:p>
        </w:tc>
        <w:tc>
          <w:tcPr>
            <w:tcW w:w="6169" w:type="dxa"/>
            <w:shd w:val="clear" w:color="auto" w:fill="FFFFFF"/>
            <w:vAlign w:val="center"/>
          </w:tcPr>
          <w:p w14:paraId="4F8EA468">
            <w:pPr>
              <w:tabs>
                <w:tab w:val="left" w:pos="8789"/>
              </w:tabs>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投标人提供的数据成果保密机制的全面性、合理性等：</w:t>
            </w:r>
          </w:p>
          <w:p w14:paraId="0BDFD7CF">
            <w:pPr>
              <w:tabs>
                <w:tab w:val="left" w:pos="8789"/>
              </w:tabs>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保密机制全面完整的，得</w:t>
            </w:r>
            <w:r>
              <w:rPr>
                <w:rFonts w:hint="eastAsia" w:cs="Times New Roman"/>
                <w:szCs w:val="21"/>
                <w:highlight w:val="none"/>
                <w:lang w:val="en-US" w:eastAsia="zh-CN"/>
              </w:rPr>
              <w:t>8</w:t>
            </w:r>
            <w:r>
              <w:rPr>
                <w:rFonts w:hint="eastAsia" w:ascii="Times New Roman" w:hAnsi="Times New Roman" w:eastAsia="宋体" w:cs="Times New Roman"/>
                <w:szCs w:val="21"/>
                <w:highlight w:val="none"/>
              </w:rPr>
              <w:t>分；</w:t>
            </w:r>
          </w:p>
          <w:p w14:paraId="137420D0">
            <w:pPr>
              <w:tabs>
                <w:tab w:val="left" w:pos="8789"/>
              </w:tabs>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保密机制</w:t>
            </w:r>
            <w:r>
              <w:rPr>
                <w:rFonts w:hint="eastAsia" w:ascii="Times New Roman" w:hAnsi="Times New Roman" w:eastAsia="宋体" w:cs="Times New Roman"/>
                <w:szCs w:val="21"/>
                <w:highlight w:val="none"/>
                <w:lang w:val="en-US" w:eastAsia="zh-CN"/>
              </w:rPr>
              <w:t>基本完整</w:t>
            </w:r>
            <w:r>
              <w:rPr>
                <w:rFonts w:hint="eastAsia" w:ascii="Times New Roman" w:hAnsi="Times New Roman" w:eastAsia="宋体" w:cs="Times New Roman"/>
                <w:szCs w:val="21"/>
                <w:highlight w:val="none"/>
              </w:rPr>
              <w:t>的，得</w:t>
            </w:r>
            <w:r>
              <w:rPr>
                <w:rFonts w:hint="eastAsia" w:cs="Times New Roman"/>
                <w:szCs w:val="21"/>
                <w:highlight w:val="none"/>
                <w:lang w:val="en-US" w:eastAsia="zh-CN"/>
              </w:rPr>
              <w:t>5</w:t>
            </w:r>
            <w:r>
              <w:rPr>
                <w:rFonts w:hint="eastAsia" w:ascii="Times New Roman" w:hAnsi="Times New Roman" w:eastAsia="宋体" w:cs="Times New Roman"/>
                <w:szCs w:val="21"/>
                <w:highlight w:val="none"/>
              </w:rPr>
              <w:t>分；</w:t>
            </w:r>
          </w:p>
          <w:p w14:paraId="685D020A">
            <w:pPr>
              <w:tabs>
                <w:tab w:val="left" w:pos="8789"/>
              </w:tabs>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保密机制简单的，得</w:t>
            </w:r>
            <w:r>
              <w:rPr>
                <w:rFonts w:hint="eastAsia" w:cs="Times New Roman"/>
                <w:szCs w:val="21"/>
                <w:highlight w:val="none"/>
                <w:lang w:val="en-US" w:eastAsia="zh-CN"/>
              </w:rPr>
              <w:t>2</w:t>
            </w:r>
            <w:r>
              <w:rPr>
                <w:rFonts w:hint="eastAsia" w:ascii="Times New Roman" w:hAnsi="Times New Roman" w:eastAsia="宋体" w:cs="Times New Roman"/>
                <w:szCs w:val="21"/>
                <w:highlight w:val="none"/>
                <w:lang w:val="en-US" w:eastAsia="zh-CN"/>
              </w:rPr>
              <w:t>分</w:t>
            </w:r>
            <w:r>
              <w:rPr>
                <w:rFonts w:hint="eastAsia" w:cs="Times New Roman"/>
                <w:szCs w:val="21"/>
                <w:highlight w:val="none"/>
                <w:lang w:val="en-US" w:eastAsia="zh-CN"/>
              </w:rPr>
              <w:t>；</w:t>
            </w:r>
            <w:r>
              <w:rPr>
                <w:rFonts w:hint="eastAsia" w:ascii="Times New Roman" w:hAnsi="Times New Roman" w:eastAsia="宋体" w:cs="Times New Roman"/>
                <w:szCs w:val="21"/>
                <w:highlight w:val="none"/>
              </w:rPr>
              <w:t>未提及此项不得分。</w:t>
            </w:r>
          </w:p>
        </w:tc>
        <w:tc>
          <w:tcPr>
            <w:tcW w:w="675" w:type="dxa"/>
            <w:vAlign w:val="center"/>
          </w:tcPr>
          <w:p w14:paraId="12EB6EAB">
            <w:pPr>
              <w:jc w:val="center"/>
              <w:rPr>
                <w:rFonts w:ascii="宋体" w:hAnsi="宋体" w:eastAsia="宋体" w:cs="Times New Roman"/>
                <w:szCs w:val="21"/>
                <w:highlight w:val="none"/>
              </w:rPr>
            </w:pPr>
          </w:p>
        </w:tc>
      </w:tr>
      <w:tr w14:paraId="7C70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58" w:type="dxa"/>
            <w:vMerge w:val="continue"/>
            <w:shd w:val="clear" w:color="auto" w:fill="auto"/>
            <w:vAlign w:val="center"/>
          </w:tcPr>
          <w:p w14:paraId="79E9A561">
            <w:pPr>
              <w:rPr>
                <w:rFonts w:ascii="宋体" w:hAnsi="宋体" w:eastAsia="宋体" w:cs="Times New Roman"/>
                <w:highlight w:val="none"/>
              </w:rPr>
            </w:pPr>
          </w:p>
        </w:tc>
        <w:tc>
          <w:tcPr>
            <w:tcW w:w="1451" w:type="dxa"/>
            <w:shd w:val="clear" w:color="auto" w:fill="FFFFFF"/>
            <w:vAlign w:val="center"/>
          </w:tcPr>
          <w:p w14:paraId="33B139A1">
            <w:pPr>
              <w:tabs>
                <w:tab w:val="left" w:pos="8789"/>
              </w:tabs>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应急方案</w:t>
            </w:r>
          </w:p>
          <w:p w14:paraId="2935E655">
            <w:pPr>
              <w:tabs>
                <w:tab w:val="left" w:pos="8789"/>
              </w:tabs>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5</w:t>
            </w:r>
            <w:r>
              <w:rPr>
                <w:rFonts w:hint="eastAsia" w:ascii="Times New Roman" w:hAnsi="Times New Roman" w:eastAsia="宋体" w:cs="Times New Roman"/>
                <w:szCs w:val="21"/>
                <w:highlight w:val="none"/>
              </w:rPr>
              <w:t>分）</w:t>
            </w:r>
          </w:p>
        </w:tc>
        <w:tc>
          <w:tcPr>
            <w:tcW w:w="6169" w:type="dxa"/>
            <w:shd w:val="clear" w:color="auto" w:fill="FFFFFF"/>
            <w:vAlign w:val="center"/>
          </w:tcPr>
          <w:p w14:paraId="2668C7E4">
            <w:pPr>
              <w:tabs>
                <w:tab w:val="left" w:pos="8789"/>
              </w:tabs>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应急方案：提出合理的应急方案，充分考虑用户实际使用需求：</w:t>
            </w:r>
          </w:p>
          <w:p w14:paraId="74A7D1CB">
            <w:pPr>
              <w:tabs>
                <w:tab w:val="left" w:pos="8789"/>
              </w:tabs>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应急方案完整、合理的，得 </w:t>
            </w:r>
            <w:r>
              <w:rPr>
                <w:rFonts w:hint="eastAsia" w:ascii="Times New Roman" w:hAnsi="Times New Roman" w:eastAsia="宋体" w:cs="Times New Roman"/>
                <w:szCs w:val="21"/>
                <w:highlight w:val="none"/>
                <w:lang w:val="en-US" w:eastAsia="zh-CN"/>
              </w:rPr>
              <w:t>5</w:t>
            </w:r>
            <w:r>
              <w:rPr>
                <w:rFonts w:hint="eastAsia" w:ascii="Times New Roman" w:hAnsi="Times New Roman" w:eastAsia="宋体" w:cs="Times New Roman"/>
                <w:szCs w:val="21"/>
                <w:highlight w:val="none"/>
              </w:rPr>
              <w:t>分；</w:t>
            </w:r>
          </w:p>
          <w:p w14:paraId="4FE20D69">
            <w:pPr>
              <w:tabs>
                <w:tab w:val="left" w:pos="8789"/>
              </w:tabs>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应急方案基本完整的，得</w:t>
            </w: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分；</w:t>
            </w:r>
          </w:p>
          <w:p w14:paraId="52F373B8">
            <w:pPr>
              <w:tabs>
                <w:tab w:val="left" w:pos="8789"/>
              </w:tabs>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未提及此项不得分。</w:t>
            </w:r>
          </w:p>
        </w:tc>
        <w:tc>
          <w:tcPr>
            <w:tcW w:w="675" w:type="dxa"/>
            <w:vAlign w:val="center"/>
          </w:tcPr>
          <w:p w14:paraId="61DC493A">
            <w:pPr>
              <w:jc w:val="center"/>
              <w:rPr>
                <w:rFonts w:ascii="宋体" w:hAnsi="宋体" w:eastAsia="宋体" w:cs="Times New Roman"/>
                <w:szCs w:val="21"/>
                <w:highlight w:val="none"/>
              </w:rPr>
            </w:pPr>
          </w:p>
        </w:tc>
      </w:tr>
      <w:tr w14:paraId="05BA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58" w:type="dxa"/>
            <w:vMerge w:val="continue"/>
            <w:shd w:val="clear" w:color="auto" w:fill="auto"/>
            <w:vAlign w:val="center"/>
          </w:tcPr>
          <w:p w14:paraId="244E580F">
            <w:pPr>
              <w:rPr>
                <w:rFonts w:ascii="宋体" w:hAnsi="宋体" w:eastAsia="宋体" w:cs="Times New Roman"/>
                <w:highlight w:val="none"/>
              </w:rPr>
            </w:pPr>
          </w:p>
        </w:tc>
        <w:tc>
          <w:tcPr>
            <w:tcW w:w="1451" w:type="dxa"/>
            <w:shd w:val="clear" w:color="auto" w:fill="FFFFFF"/>
            <w:vAlign w:val="center"/>
          </w:tcPr>
          <w:p w14:paraId="0AABF0D3">
            <w:pPr>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售后服务承诺</w:t>
            </w:r>
          </w:p>
          <w:p w14:paraId="370B2E4A">
            <w:pPr>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cs="Times New Roman"/>
                <w:szCs w:val="21"/>
                <w:highlight w:val="none"/>
                <w:lang w:val="en-US" w:eastAsia="zh-CN"/>
              </w:rPr>
              <w:t>5</w:t>
            </w:r>
            <w:r>
              <w:rPr>
                <w:rFonts w:ascii="Times New Roman" w:hAnsi="Times New Roman" w:eastAsia="宋体" w:cs="Times New Roman"/>
                <w:szCs w:val="21"/>
                <w:highlight w:val="none"/>
              </w:rPr>
              <w:t>分</w:t>
            </w:r>
            <w:r>
              <w:rPr>
                <w:rFonts w:hint="eastAsia" w:ascii="Times New Roman" w:hAnsi="Times New Roman" w:eastAsia="宋体" w:cs="Times New Roman"/>
                <w:szCs w:val="21"/>
                <w:highlight w:val="none"/>
              </w:rPr>
              <w:t>）</w:t>
            </w:r>
          </w:p>
        </w:tc>
        <w:tc>
          <w:tcPr>
            <w:tcW w:w="6169" w:type="dxa"/>
            <w:shd w:val="clear" w:color="auto" w:fill="FFFFFF"/>
            <w:vAlign w:val="center"/>
          </w:tcPr>
          <w:p w14:paraId="2BEBFAE6">
            <w:pP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售后服务方案全面，售后服务计划合理、售后服务机构健全、售后服务承诺完整全面、响应时间快速：</w:t>
            </w:r>
          </w:p>
          <w:p w14:paraId="5129C107">
            <w:pP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rPr>
              <w:t>售后服务承诺完整，保障措施全面的，得</w:t>
            </w:r>
            <w:r>
              <w:rPr>
                <w:rFonts w:hint="eastAsia" w:cs="Times New Roman"/>
                <w:szCs w:val="21"/>
                <w:highlight w:val="none"/>
                <w:lang w:val="en-US" w:eastAsia="zh-CN"/>
              </w:rPr>
              <w:t>5</w:t>
            </w:r>
            <w:r>
              <w:rPr>
                <w:rFonts w:hint="eastAsia" w:ascii="Times New Roman" w:hAnsi="Times New Roman" w:eastAsia="宋体" w:cs="Times New Roman"/>
                <w:szCs w:val="21"/>
                <w:highlight w:val="none"/>
              </w:rPr>
              <w:t>分</w:t>
            </w:r>
            <w:r>
              <w:rPr>
                <w:rFonts w:hint="eastAsia" w:cs="Times New Roman"/>
                <w:szCs w:val="21"/>
                <w:highlight w:val="none"/>
                <w:lang w:eastAsia="zh-CN"/>
              </w:rPr>
              <w:t>；</w:t>
            </w:r>
          </w:p>
          <w:p w14:paraId="2411A53F">
            <w:pP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rPr>
              <w:t>售后服务承诺基本完整的，得2分</w:t>
            </w:r>
            <w:r>
              <w:rPr>
                <w:rFonts w:hint="eastAsia" w:cs="Times New Roman"/>
                <w:szCs w:val="21"/>
                <w:highlight w:val="none"/>
                <w:lang w:eastAsia="zh-CN"/>
              </w:rPr>
              <w:t>；</w:t>
            </w:r>
          </w:p>
          <w:p w14:paraId="55CF1FD2">
            <w:pPr>
              <w:rPr>
                <w:rFonts w:ascii="宋体" w:hAnsi="宋体" w:eastAsia="宋体" w:cs="Times New Roman"/>
                <w:szCs w:val="21"/>
                <w:highlight w:val="none"/>
              </w:rPr>
            </w:pPr>
            <w:r>
              <w:rPr>
                <w:rFonts w:hint="eastAsia" w:ascii="Times New Roman" w:hAnsi="Times New Roman" w:eastAsia="宋体" w:cs="Times New Roman"/>
                <w:szCs w:val="21"/>
                <w:highlight w:val="none"/>
              </w:rPr>
              <w:t>未提及此项不得分。</w:t>
            </w:r>
          </w:p>
        </w:tc>
        <w:tc>
          <w:tcPr>
            <w:tcW w:w="675" w:type="dxa"/>
            <w:vAlign w:val="center"/>
          </w:tcPr>
          <w:p w14:paraId="54EC17AE">
            <w:pPr>
              <w:jc w:val="center"/>
              <w:rPr>
                <w:rFonts w:ascii="宋体" w:hAnsi="宋体" w:eastAsia="宋体" w:cs="Times New Roman"/>
                <w:szCs w:val="21"/>
                <w:highlight w:val="none"/>
              </w:rPr>
            </w:pPr>
          </w:p>
        </w:tc>
      </w:tr>
      <w:tr w14:paraId="3DCD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609" w:type="dxa"/>
            <w:gridSpan w:val="2"/>
            <w:shd w:val="clear" w:color="auto" w:fill="auto"/>
            <w:vAlign w:val="center"/>
          </w:tcPr>
          <w:p w14:paraId="13D52A7D">
            <w:pPr>
              <w:ind w:firstLine="840" w:firstLineChars="400"/>
              <w:jc w:val="left"/>
              <w:rPr>
                <w:rFonts w:ascii="宋体" w:hAnsi="宋体" w:eastAsia="宋体" w:cs="宋体"/>
                <w:highlight w:val="none"/>
              </w:rPr>
            </w:pPr>
            <w:r>
              <w:rPr>
                <w:rFonts w:hint="eastAsia" w:ascii="宋体" w:hAnsi="宋体" w:eastAsia="宋体" w:cs="宋体"/>
                <w:highlight w:val="none"/>
              </w:rPr>
              <w:t>投标报价</w:t>
            </w:r>
          </w:p>
          <w:p w14:paraId="2E82B6A6">
            <w:pPr>
              <w:jc w:val="center"/>
              <w:rPr>
                <w:rFonts w:ascii="宋体" w:hAnsi="宋体" w:eastAsia="宋体" w:cs="Times New Roman"/>
                <w:highlight w:val="none"/>
              </w:rPr>
            </w:pPr>
            <w:r>
              <w:rPr>
                <w:rFonts w:hint="eastAsia" w:ascii="宋体" w:hAnsi="宋体" w:eastAsia="宋体" w:cs="Times New Roman"/>
                <w:kern w:val="21"/>
                <w:szCs w:val="21"/>
                <w:highlight w:val="none"/>
              </w:rPr>
              <w:t>（</w:t>
            </w:r>
            <w:r>
              <w:rPr>
                <w:rFonts w:hint="eastAsia" w:ascii="宋体" w:hAnsi="宋体" w:cs="Times New Roman"/>
                <w:kern w:val="21"/>
                <w:szCs w:val="21"/>
                <w:highlight w:val="none"/>
                <w:lang w:val="en-US" w:eastAsia="zh-CN"/>
              </w:rPr>
              <w:t>10</w:t>
            </w:r>
            <w:r>
              <w:rPr>
                <w:rFonts w:hint="eastAsia" w:ascii="宋体" w:hAnsi="宋体" w:eastAsia="宋体" w:cs="Times New Roman"/>
                <w:kern w:val="21"/>
                <w:szCs w:val="21"/>
                <w:highlight w:val="none"/>
              </w:rPr>
              <w:t>分）</w:t>
            </w:r>
          </w:p>
        </w:tc>
        <w:tc>
          <w:tcPr>
            <w:tcW w:w="6169" w:type="dxa"/>
            <w:shd w:val="clear" w:color="auto" w:fill="FFFFFF"/>
            <w:vAlign w:val="center"/>
          </w:tcPr>
          <w:p w14:paraId="1026F27E">
            <w:pPr>
              <w:rPr>
                <w:rFonts w:ascii="宋体" w:hAnsi="宋体" w:eastAsia="宋体" w:cs="Times New Roman"/>
                <w:highlight w:val="none"/>
              </w:rPr>
            </w:pPr>
            <w:r>
              <w:rPr>
                <w:rFonts w:hint="eastAsia" w:ascii="宋体" w:hAnsi="宋体" w:eastAsia="宋体" w:cs="Times New Roman"/>
                <w:highlight w:val="none"/>
              </w:rPr>
              <w:t>满足投标文件要求且投标价格最低的投标报价为评标基准价，其价格分为满分，其他投标人的价格分按下列公式计算：</w:t>
            </w:r>
          </w:p>
          <w:p w14:paraId="0DDEBF88">
            <w:pPr>
              <w:rPr>
                <w:rFonts w:ascii="宋体" w:hAnsi="宋体" w:eastAsia="宋体" w:cs="Times New Roman"/>
                <w:highlight w:val="none"/>
              </w:rPr>
            </w:pPr>
            <w:r>
              <w:rPr>
                <w:rFonts w:hint="eastAsia" w:ascii="宋体" w:hAnsi="宋体" w:eastAsia="宋体" w:cs="Times New Roman"/>
                <w:highlight w:val="none"/>
              </w:rPr>
              <w:t>价格得分＝（评标基准价/投标报价）×价格权重×100</w:t>
            </w:r>
          </w:p>
        </w:tc>
        <w:tc>
          <w:tcPr>
            <w:tcW w:w="675" w:type="dxa"/>
            <w:vAlign w:val="center"/>
          </w:tcPr>
          <w:p w14:paraId="2C14A812">
            <w:pPr>
              <w:jc w:val="center"/>
              <w:rPr>
                <w:rFonts w:ascii="宋体" w:hAnsi="宋体" w:eastAsia="宋体" w:cs="Times New Roman"/>
                <w:szCs w:val="21"/>
                <w:highlight w:val="none"/>
              </w:rPr>
            </w:pPr>
          </w:p>
        </w:tc>
      </w:tr>
    </w:tbl>
    <w:p w14:paraId="43A8D051">
      <w:pPr>
        <w:spacing w:line="360" w:lineRule="auto"/>
        <w:ind w:right="-341"/>
        <w:jc w:val="left"/>
        <w:rPr>
          <w:rFonts w:hint="eastAsia" w:ascii="等线" w:hAnsi="等线" w:eastAsia="等线"/>
          <w:highlight w:val="none"/>
        </w:rPr>
      </w:pPr>
      <w:r>
        <w:rPr>
          <w:rFonts w:hint="eastAsia" w:ascii="宋体" w:hAnsi="宋体"/>
          <w:b/>
          <w:bCs/>
          <w:sz w:val="28"/>
          <w:szCs w:val="28"/>
          <w:highlight w:val="none"/>
        </w:rPr>
        <w:t xml:space="preserve"> </w:t>
      </w:r>
      <w:bookmarkEnd w:id="0"/>
    </w:p>
    <w:p w14:paraId="4AC6790A">
      <w:pPr>
        <w:spacing w:line="360" w:lineRule="auto"/>
        <w:ind w:right="-341"/>
        <w:jc w:val="left"/>
        <w:rPr>
          <w:rFonts w:ascii="宋体" w:hAnsi="宋体" w:eastAsia="宋体" w:cs="Times New Roman"/>
          <w:b/>
          <w:sz w:val="24"/>
          <w:szCs w:val="24"/>
        </w:rPr>
      </w:pPr>
      <w:r>
        <w:rPr>
          <w:rFonts w:hint="eastAsia" w:ascii="宋体" w:hAnsi="宋体"/>
          <w:b/>
          <w:bCs/>
          <w:sz w:val="24"/>
          <w:szCs w:val="24"/>
          <w:highlight w:val="none"/>
          <w:lang w:val="en-US" w:eastAsia="zh-CN"/>
        </w:rPr>
        <w:t xml:space="preserve"> </w:t>
      </w:r>
      <w:r>
        <w:rPr>
          <w:rFonts w:hint="eastAsia" w:ascii="宋体" w:hAnsi="宋体" w:eastAsia="宋体" w:cs="Times New Roman"/>
          <w:b/>
          <w:sz w:val="24"/>
          <w:szCs w:val="24"/>
          <w:highlight w:val="none"/>
        </w:rPr>
        <w:t>注：以联合体形式参与投标的，按牵头单位进行评审。</w:t>
      </w:r>
    </w:p>
    <w:p w14:paraId="05EC9646">
      <w:pPr>
        <w:spacing w:line="520" w:lineRule="exact"/>
        <w:rPr>
          <w:rFonts w:hint="eastAsia" w:ascii="宋体" w:hAnsi="宋体" w:eastAsia="宋体"/>
          <w:b/>
          <w:bCs/>
          <w:sz w:val="28"/>
          <w:szCs w:val="28"/>
          <w:lang w:eastAsia="zh-CN"/>
        </w:rPr>
      </w:pPr>
    </w:p>
    <w:p w14:paraId="7A19BAF0">
      <w:pPr>
        <w:spacing w:line="520" w:lineRule="exact"/>
        <w:ind w:firstLine="3092" w:firstLineChars="1100"/>
        <w:rPr>
          <w:rFonts w:hint="eastAsia" w:ascii="宋体" w:hAnsi="宋体"/>
          <w:b/>
          <w:bCs/>
          <w:sz w:val="28"/>
          <w:szCs w:val="28"/>
        </w:rPr>
      </w:pPr>
    </w:p>
    <w:p w14:paraId="5250EBA8">
      <w:pPr>
        <w:spacing w:line="520" w:lineRule="exact"/>
        <w:rPr>
          <w:rFonts w:hint="eastAsia" w:ascii="宋体" w:hAnsi="宋体"/>
          <w:b/>
          <w:bCs/>
          <w:sz w:val="28"/>
          <w:szCs w:val="28"/>
        </w:rPr>
      </w:pPr>
    </w:p>
    <w:p w14:paraId="3D954B0E">
      <w:pPr>
        <w:spacing w:line="520" w:lineRule="exact"/>
        <w:ind w:firstLine="3092" w:firstLineChars="1100"/>
        <w:rPr>
          <w:rFonts w:hint="eastAsia" w:ascii="宋体" w:hAnsi="宋体"/>
          <w:b/>
          <w:bCs/>
          <w:sz w:val="28"/>
          <w:szCs w:val="28"/>
        </w:rPr>
      </w:pPr>
    </w:p>
    <w:p w14:paraId="7363532B">
      <w:pPr>
        <w:spacing w:line="520" w:lineRule="exact"/>
        <w:ind w:firstLine="3092" w:firstLineChars="1100"/>
        <w:rPr>
          <w:rFonts w:hint="eastAsia" w:ascii="宋体" w:hAnsi="宋体"/>
          <w:b/>
          <w:bCs/>
          <w:sz w:val="28"/>
          <w:szCs w:val="28"/>
        </w:rPr>
      </w:pPr>
    </w:p>
    <w:p w14:paraId="0AF4381B">
      <w:pPr>
        <w:spacing w:line="520" w:lineRule="exact"/>
        <w:ind w:firstLine="3092" w:firstLineChars="1100"/>
        <w:rPr>
          <w:rFonts w:hint="eastAsia" w:ascii="宋体" w:hAnsi="宋体"/>
          <w:b/>
          <w:bCs/>
          <w:sz w:val="28"/>
          <w:szCs w:val="28"/>
        </w:rPr>
      </w:pPr>
    </w:p>
    <w:p w14:paraId="3740F535">
      <w:pPr>
        <w:spacing w:line="520" w:lineRule="exact"/>
        <w:ind w:firstLine="3092" w:firstLineChars="1100"/>
        <w:rPr>
          <w:rFonts w:hint="eastAsia" w:ascii="宋体" w:hAnsi="宋体"/>
          <w:b/>
          <w:bCs/>
          <w:sz w:val="28"/>
          <w:szCs w:val="28"/>
        </w:rPr>
      </w:pPr>
    </w:p>
    <w:p w14:paraId="1FB1AD26">
      <w:pPr>
        <w:spacing w:line="520" w:lineRule="exact"/>
        <w:ind w:firstLine="3092" w:firstLineChars="1100"/>
        <w:rPr>
          <w:rFonts w:hint="eastAsia" w:ascii="宋体" w:hAnsi="宋体"/>
          <w:b/>
          <w:bCs/>
          <w:sz w:val="28"/>
          <w:szCs w:val="28"/>
        </w:rPr>
      </w:pPr>
    </w:p>
    <w:p w14:paraId="5C515F9B">
      <w:pPr>
        <w:spacing w:line="520" w:lineRule="exact"/>
        <w:ind w:firstLine="3092" w:firstLineChars="1100"/>
        <w:rPr>
          <w:rFonts w:hint="eastAsia" w:ascii="宋体" w:hAnsi="宋体"/>
          <w:b/>
          <w:bCs/>
          <w:sz w:val="28"/>
          <w:szCs w:val="28"/>
        </w:rPr>
      </w:pPr>
    </w:p>
    <w:p w14:paraId="5A13BDE7">
      <w:pPr>
        <w:spacing w:line="520" w:lineRule="exact"/>
        <w:ind w:firstLine="3092" w:firstLineChars="1100"/>
        <w:rPr>
          <w:rFonts w:hint="eastAsia" w:ascii="宋体" w:hAnsi="宋体"/>
          <w:b/>
          <w:bCs/>
          <w:sz w:val="28"/>
          <w:szCs w:val="28"/>
        </w:rPr>
      </w:pPr>
    </w:p>
    <w:p w14:paraId="6688680B">
      <w:pPr>
        <w:spacing w:line="520" w:lineRule="exact"/>
        <w:ind w:firstLine="3092" w:firstLineChars="1100"/>
        <w:rPr>
          <w:rFonts w:hint="eastAsia" w:ascii="宋体" w:hAnsi="宋体"/>
          <w:b/>
          <w:bCs/>
          <w:sz w:val="24"/>
          <w:szCs w:val="24"/>
        </w:rPr>
      </w:pPr>
      <w:r>
        <w:rPr>
          <w:rFonts w:hint="eastAsia" w:ascii="宋体" w:hAnsi="宋体"/>
          <w:b/>
          <w:bCs/>
          <w:sz w:val="28"/>
          <w:szCs w:val="28"/>
        </w:rPr>
        <w:t>第五章  合同主要条款</w:t>
      </w:r>
    </w:p>
    <w:p w14:paraId="03BC1D74">
      <w:pPr>
        <w:snapToGrid w:val="0"/>
        <w:spacing w:line="520" w:lineRule="exact"/>
        <w:jc w:val="center"/>
        <w:rPr>
          <w:rFonts w:hint="eastAsia" w:ascii="宋体" w:hAnsi="宋体"/>
          <w:b/>
          <w:sz w:val="24"/>
          <w:szCs w:val="24"/>
        </w:rPr>
      </w:pPr>
      <w:r>
        <w:rPr>
          <w:rFonts w:hint="eastAsia" w:ascii="宋体" w:hAnsi="宋体"/>
          <w:b/>
          <w:sz w:val="24"/>
          <w:szCs w:val="24"/>
        </w:rPr>
        <w:t>采购合同</w:t>
      </w:r>
      <w:r>
        <w:rPr>
          <w:rFonts w:ascii="宋体" w:hAnsi="宋体"/>
          <w:b/>
          <w:sz w:val="24"/>
          <w:szCs w:val="24"/>
        </w:rPr>
        <w:t>(</w:t>
      </w:r>
      <w:r>
        <w:rPr>
          <w:rFonts w:hint="eastAsia" w:ascii="宋体" w:hAnsi="宋体"/>
          <w:b/>
          <w:sz w:val="24"/>
          <w:szCs w:val="24"/>
        </w:rPr>
        <w:t>仅供参考</w:t>
      </w:r>
      <w:r>
        <w:rPr>
          <w:rFonts w:ascii="宋体" w:hAnsi="宋体"/>
          <w:b/>
          <w:sz w:val="24"/>
          <w:szCs w:val="24"/>
        </w:rPr>
        <w:t>)</w:t>
      </w:r>
    </w:p>
    <w:p w14:paraId="4BB38808">
      <w:pPr>
        <w:spacing w:line="520" w:lineRule="exact"/>
        <w:rPr>
          <w:rFonts w:hint="eastAsia" w:ascii="宋体" w:hAnsi="宋体"/>
        </w:rPr>
      </w:pPr>
    </w:p>
    <w:p w14:paraId="42465A34">
      <w:pPr>
        <w:spacing w:line="520" w:lineRule="exact"/>
        <w:ind w:firstLine="422" w:firstLineChars="200"/>
        <w:rPr>
          <w:rFonts w:hint="eastAsia" w:ascii="宋体" w:hAnsi="宋体"/>
        </w:rPr>
      </w:pPr>
      <w:r>
        <w:rPr>
          <w:rFonts w:hint="eastAsia" w:ascii="宋体" w:hAnsi="宋体"/>
          <w:b/>
          <w:kern w:val="0"/>
        </w:rPr>
        <w:t>招标文件、中标人的投标文件及其澄清文件等，均为合同的组成部分。</w:t>
      </w:r>
      <w:r>
        <w:rPr>
          <w:rFonts w:hint="eastAsia" w:ascii="宋体" w:hAnsi="宋体"/>
        </w:rPr>
        <w:t>此合同由</w:t>
      </w:r>
      <w:r>
        <w:rPr>
          <w:rFonts w:hint="eastAsia" w:ascii="宋体" w:hAnsi="宋体"/>
          <w:b/>
          <w:lang w:eastAsia="zh-CN"/>
        </w:rPr>
        <w:t>舟山市普陀区海洋经济发展局</w:t>
      </w:r>
      <w:r>
        <w:rPr>
          <w:rFonts w:hint="eastAsia" w:ascii="宋体" w:hAnsi="宋体"/>
          <w:b/>
        </w:rPr>
        <w:t>（</w:t>
      </w:r>
      <w:r>
        <w:rPr>
          <w:rFonts w:hint="eastAsia" w:ascii="宋体" w:hAnsi="宋体"/>
        </w:rPr>
        <w:t>甲方）和中标人（乙方）签订。</w:t>
      </w:r>
    </w:p>
    <w:p w14:paraId="3C957DDE">
      <w:pPr>
        <w:spacing w:line="288" w:lineRule="auto"/>
        <w:ind w:firstLine="211" w:firstLineChars="100"/>
        <w:jc w:val="center"/>
        <w:rPr>
          <w:rFonts w:hint="eastAsia" w:ascii="宋体" w:hAnsi="宋体"/>
          <w:b/>
          <w:color w:val="auto"/>
        </w:rPr>
      </w:pPr>
    </w:p>
    <w:p w14:paraId="281CD027">
      <w:pPr>
        <w:keepNext w:val="0"/>
        <w:keepLines w:val="0"/>
        <w:pageBreakBefore w:val="0"/>
        <w:widowControl w:val="0"/>
        <w:kinsoku/>
        <w:wordWrap/>
        <w:overflowPunct/>
        <w:topLinePunct w:val="0"/>
        <w:autoSpaceDE/>
        <w:autoSpaceDN/>
        <w:bidi w:val="0"/>
        <w:adjustRightInd/>
        <w:snapToGrid/>
        <w:spacing w:line="360" w:lineRule="auto"/>
        <w:ind w:firstLine="826" w:firstLineChars="392"/>
        <w:jc w:val="center"/>
        <w:textAlignment w:val="auto"/>
        <w:rPr>
          <w:rFonts w:hint="eastAsia" w:ascii="宋体" w:hAnsi="宋体"/>
          <w:b/>
          <w:color w:val="auto"/>
        </w:rPr>
      </w:pPr>
      <w:r>
        <w:rPr>
          <w:rFonts w:hint="eastAsia" w:ascii="宋体" w:hAnsi="宋体"/>
          <w:b/>
          <w:color w:val="auto"/>
          <w:lang w:eastAsia="zh-CN"/>
        </w:rPr>
        <w:t>2025年普陀区海洋经济运行监测和评估项目</w:t>
      </w:r>
      <w:r>
        <w:rPr>
          <w:rFonts w:hint="eastAsia" w:ascii="宋体" w:hAnsi="宋体"/>
          <w:b/>
          <w:color w:val="auto"/>
        </w:rPr>
        <w:t>合同（范本）</w:t>
      </w:r>
    </w:p>
    <w:p w14:paraId="13C4B8EB">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hint="eastAsia" w:ascii="宋体" w:hAnsi="宋体" w:cs="宋体"/>
          <w:color w:val="auto"/>
          <w:szCs w:val="21"/>
        </w:rPr>
      </w:pPr>
    </w:p>
    <w:p w14:paraId="55AF4B53">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ascii="宋体" w:hAnsi="宋体" w:cs="宋体"/>
          <w:color w:val="auto"/>
          <w:szCs w:val="21"/>
          <w:u w:val="single"/>
        </w:rPr>
      </w:pPr>
      <w:r>
        <w:rPr>
          <w:rFonts w:hint="eastAsia" w:ascii="宋体" w:hAnsi="宋体" w:cs="宋体"/>
          <w:color w:val="auto"/>
          <w:szCs w:val="21"/>
        </w:rPr>
        <w:t>甲方：（全称）</w:t>
      </w:r>
    </w:p>
    <w:p w14:paraId="2FBFFF75">
      <w:pPr>
        <w:keepNext w:val="0"/>
        <w:keepLines w:val="0"/>
        <w:pageBreakBefore w:val="0"/>
        <w:widowControl w:val="0"/>
        <w:kinsoku/>
        <w:wordWrap/>
        <w:overflowPunct/>
        <w:topLinePunct w:val="0"/>
        <w:autoSpaceDE/>
        <w:autoSpaceDN/>
        <w:bidi w:val="0"/>
        <w:adjustRightInd/>
        <w:snapToGrid/>
        <w:spacing w:line="360" w:lineRule="auto"/>
        <w:ind w:firstLine="472" w:firstLineChars="225"/>
        <w:textAlignment w:val="auto"/>
        <w:rPr>
          <w:rFonts w:ascii="宋体" w:hAnsi="宋体" w:cs="宋体"/>
          <w:color w:val="auto"/>
          <w:szCs w:val="21"/>
          <w:u w:val="single"/>
        </w:rPr>
      </w:pPr>
      <w:r>
        <w:rPr>
          <w:rFonts w:hint="eastAsia" w:ascii="宋体" w:hAnsi="宋体" w:cs="宋体"/>
          <w:color w:val="auto"/>
          <w:szCs w:val="21"/>
        </w:rPr>
        <w:t>乙方：（全称）</w:t>
      </w:r>
    </w:p>
    <w:p w14:paraId="2158E6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依照《中华人民共和国民法典》及其他有关法律、行政法规，遵循平等、自愿、公平和诚实信用的原则，双方就</w:t>
      </w:r>
      <w:r>
        <w:rPr>
          <w:rFonts w:hint="eastAsia" w:ascii="宋体" w:hAnsi="宋体" w:cs="宋体"/>
          <w:color w:val="auto"/>
          <w:szCs w:val="21"/>
          <w:lang w:eastAsia="zh-CN"/>
        </w:rPr>
        <w:t>《</w:t>
      </w:r>
      <w:r>
        <w:rPr>
          <w:rFonts w:hint="eastAsia" w:ascii="宋体" w:hAnsi="宋体" w:cs="宋体"/>
          <w:color w:val="auto"/>
          <w:szCs w:val="21"/>
          <w:lang w:val="en-US" w:eastAsia="zh-CN"/>
        </w:rPr>
        <w:t>2025年普陀区海洋经济运行监测和评估项目</w:t>
      </w:r>
      <w:r>
        <w:rPr>
          <w:rFonts w:hint="eastAsia" w:ascii="宋体" w:hAnsi="宋体" w:cs="宋体"/>
          <w:color w:val="auto"/>
          <w:szCs w:val="21"/>
          <w:lang w:eastAsia="zh-CN"/>
        </w:rPr>
        <w:t>》的技术咨询</w:t>
      </w:r>
      <w:r>
        <w:rPr>
          <w:rFonts w:hint="eastAsia" w:ascii="宋体" w:hAnsi="宋体" w:cs="宋体"/>
          <w:color w:val="auto"/>
          <w:szCs w:val="21"/>
        </w:rPr>
        <w:t>协商一致，</w:t>
      </w:r>
      <w:r>
        <w:rPr>
          <w:rFonts w:hint="eastAsia" w:ascii="宋体" w:hAnsi="宋体" w:cs="宋体"/>
          <w:color w:val="auto"/>
          <w:szCs w:val="21"/>
          <w:lang w:eastAsia="zh-CN"/>
        </w:rPr>
        <w:t>签订</w:t>
      </w:r>
      <w:r>
        <w:rPr>
          <w:rFonts w:hint="eastAsia" w:ascii="宋体" w:hAnsi="宋体" w:cs="宋体"/>
          <w:color w:val="auto"/>
          <w:szCs w:val="21"/>
        </w:rPr>
        <w:t>本合同。</w:t>
      </w:r>
    </w:p>
    <w:p w14:paraId="524ABFB9">
      <w:pPr>
        <w:numPr>
          <w:ilvl w:val="0"/>
          <w:numId w:val="0"/>
        </w:numPr>
        <w:spacing w:line="360" w:lineRule="auto"/>
        <w:ind w:firstLine="422" w:firstLineChars="200"/>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一、</w:t>
      </w:r>
      <w:r>
        <w:rPr>
          <w:rFonts w:hint="eastAsia" w:ascii="宋体" w:hAnsi="宋体" w:cs="宋体"/>
          <w:b/>
          <w:bCs/>
          <w:color w:val="auto"/>
          <w:szCs w:val="21"/>
        </w:rPr>
        <w:t>项目</w:t>
      </w:r>
      <w:r>
        <w:rPr>
          <w:rFonts w:hint="eastAsia" w:ascii="宋体" w:hAnsi="宋体" w:cs="宋体"/>
          <w:b/>
          <w:bCs/>
          <w:color w:val="auto"/>
          <w:szCs w:val="21"/>
          <w:lang w:eastAsia="zh-CN"/>
        </w:rPr>
        <w:t>的内容、形式和要求</w:t>
      </w:r>
    </w:p>
    <w:p w14:paraId="162ADD4C">
      <w:pPr>
        <w:numPr>
          <w:ilvl w:val="0"/>
          <w:numId w:val="0"/>
        </w:numPr>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（一）主要工作内容</w:t>
      </w:r>
    </w:p>
    <w:p w14:paraId="07EAA8E5">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lang w:eastAsia="zh-CN"/>
        </w:rPr>
        <w:t>涉海企业直报工作。</w:t>
      </w:r>
      <w:r>
        <w:rPr>
          <w:rFonts w:hint="eastAsia" w:ascii="宋体" w:hAnsi="宋体" w:eastAsia="宋体" w:cs="宋体"/>
          <w:color w:val="auto"/>
          <w:szCs w:val="21"/>
        </w:rPr>
        <w:t>每年完成12次月度企业数据监测，4次季度企业数据监测，1次年度企业数据监测，包括数据采集、催报、审核、咨询等工作</w:t>
      </w:r>
      <w:r>
        <w:rPr>
          <w:rFonts w:hint="eastAsia" w:ascii="宋体" w:hAnsi="宋体" w:cs="宋体"/>
          <w:color w:val="auto"/>
          <w:szCs w:val="21"/>
          <w:lang w:eastAsia="zh-CN"/>
        </w:rPr>
        <w:t>，并形成季度分析报告</w:t>
      </w:r>
      <w:r>
        <w:rPr>
          <w:rFonts w:hint="eastAsia" w:ascii="宋体" w:hAnsi="宋体" w:eastAsia="宋体" w:cs="宋体"/>
          <w:color w:val="auto"/>
          <w:szCs w:val="21"/>
        </w:rPr>
        <w:t>。</w:t>
      </w:r>
    </w:p>
    <w:p w14:paraId="7CAB4C39">
      <w:pPr>
        <w:spacing w:line="360" w:lineRule="auto"/>
        <w:ind w:firstLine="420" w:firstLineChars="200"/>
        <w:rPr>
          <w:rFonts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eastAsia="zh-CN"/>
        </w:rPr>
        <w:t>海洋经济统计核算。协助完成</w:t>
      </w:r>
      <w:r>
        <w:rPr>
          <w:rFonts w:hint="eastAsia" w:ascii="宋体" w:hAnsi="宋体" w:cs="宋体"/>
          <w:color w:val="auto"/>
          <w:szCs w:val="21"/>
          <w:lang w:val="en-US" w:eastAsia="zh-CN"/>
        </w:rPr>
        <w:t>2024年度海洋生产总值核算。</w:t>
      </w:r>
      <w:r>
        <w:rPr>
          <w:rFonts w:hint="eastAsia" w:ascii="宋体" w:hAnsi="宋体" w:cs="宋体"/>
          <w:color w:val="auto"/>
          <w:szCs w:val="21"/>
          <w:lang w:eastAsia="zh-CN"/>
        </w:rPr>
        <w:t>开展重点海洋行业剥离系数调查，形成海洋行业剥离系数、工作报告和技术报告。开展海洋旅游业专题研究，构建海洋旅游业企业名录，分析产业发展现状，研究核算路径，形成数据成果及研究报告。</w:t>
      </w:r>
    </w:p>
    <w:p w14:paraId="683920E0">
      <w:pPr>
        <w:spacing w:line="360" w:lineRule="auto"/>
        <w:ind w:firstLine="420" w:firstLineChars="200"/>
        <w:outlineLvl w:val="0"/>
        <w:rPr>
          <w:rFonts w:hint="eastAsia" w:ascii="宋体" w:hAnsi="宋体" w:eastAsia="宋体"/>
          <w:color w:val="auto"/>
          <w:szCs w:val="21"/>
        </w:rPr>
      </w:pPr>
      <w:r>
        <w:rPr>
          <w:rFonts w:hint="eastAsia" w:ascii="宋体" w:hAnsi="宋体"/>
          <w:color w:val="auto"/>
          <w:szCs w:val="21"/>
          <w:lang w:val="en-US" w:eastAsia="zh-CN"/>
        </w:rPr>
        <w:t>3.</w:t>
      </w:r>
      <w:r>
        <w:rPr>
          <w:rFonts w:hint="eastAsia" w:ascii="宋体" w:hAnsi="宋体"/>
          <w:color w:val="auto"/>
          <w:szCs w:val="21"/>
          <w:lang w:eastAsia="zh-CN"/>
        </w:rPr>
        <w:t>海洋活动单位更新</w:t>
      </w:r>
      <w:r>
        <w:rPr>
          <w:rFonts w:hint="eastAsia" w:ascii="宋体" w:hAnsi="宋体" w:eastAsia="宋体"/>
          <w:color w:val="auto"/>
          <w:szCs w:val="21"/>
        </w:rPr>
        <w:t>。</w:t>
      </w:r>
      <w:r>
        <w:rPr>
          <w:rFonts w:hint="eastAsia" w:ascii="宋体" w:hAnsi="宋体"/>
          <w:color w:val="auto"/>
          <w:szCs w:val="21"/>
          <w:lang w:eastAsia="zh-CN"/>
        </w:rPr>
        <w:t>开展企业名录核实，更新海洋经济活动单位名录</w:t>
      </w:r>
      <w:r>
        <w:rPr>
          <w:rFonts w:hint="eastAsia" w:ascii="宋体" w:hAnsi="宋体" w:eastAsia="宋体"/>
          <w:color w:val="auto"/>
          <w:szCs w:val="21"/>
        </w:rPr>
        <w:t>。</w:t>
      </w:r>
    </w:p>
    <w:p w14:paraId="5A9ED57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rPr>
          <w:rFonts w:hint="eastAsia" w:ascii="宋体" w:hAnsi="宋体"/>
          <w:b/>
          <w:bCs/>
          <w:color w:val="auto"/>
          <w:szCs w:val="21"/>
          <w:lang w:eastAsia="zh-CN"/>
        </w:rPr>
      </w:pPr>
      <w:r>
        <w:rPr>
          <w:rFonts w:hint="eastAsia" w:ascii="宋体" w:hAnsi="宋体"/>
          <w:b/>
          <w:bCs/>
          <w:color w:val="auto"/>
          <w:szCs w:val="21"/>
          <w:lang w:eastAsia="zh-CN"/>
        </w:rPr>
        <w:t>（二）项目课题组成员</w:t>
      </w:r>
    </w:p>
    <w:p w14:paraId="30BDC03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Cs w:val="21"/>
          <w:lang w:eastAsia="zh-CN"/>
        </w:rPr>
      </w:pPr>
    </w:p>
    <w:p w14:paraId="3E4C498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rPr>
          <w:rFonts w:hint="eastAsia" w:ascii="宋体" w:hAnsi="宋体"/>
          <w:b/>
          <w:bCs/>
          <w:color w:val="auto"/>
          <w:szCs w:val="21"/>
          <w:lang w:eastAsia="zh-CN"/>
        </w:rPr>
      </w:pPr>
      <w:r>
        <w:rPr>
          <w:rFonts w:hint="eastAsia" w:ascii="宋体" w:hAnsi="宋体"/>
          <w:b/>
          <w:bCs/>
          <w:color w:val="auto"/>
          <w:szCs w:val="21"/>
          <w:lang w:eastAsia="zh-CN"/>
        </w:rPr>
        <w:t>（三）项目要求</w:t>
      </w:r>
    </w:p>
    <w:p w14:paraId="6C9FEA2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420" w:leftChars="0" w:firstLine="420" w:firstLineChars="200"/>
        <w:textAlignment w:val="auto"/>
        <w:rPr>
          <w:rFonts w:hint="eastAsia" w:ascii="宋体" w:hAnsi="宋体"/>
          <w:color w:val="auto"/>
          <w:szCs w:val="21"/>
          <w:lang w:eastAsia="zh-CN"/>
        </w:rPr>
      </w:pPr>
      <w:r>
        <w:rPr>
          <w:rFonts w:hint="eastAsia" w:ascii="宋体" w:hAnsi="宋体"/>
          <w:b w:val="0"/>
          <w:bCs w:val="0"/>
          <w:color w:val="auto"/>
          <w:szCs w:val="21"/>
          <w:lang w:eastAsia="zh-CN"/>
        </w:rPr>
        <w:t>乙方要加强研究和工作对接，高质量做好</w:t>
      </w:r>
      <w:r>
        <w:rPr>
          <w:rFonts w:hint="eastAsia" w:ascii="宋体" w:hAnsi="宋体"/>
          <w:b w:val="0"/>
          <w:bCs/>
          <w:color w:val="auto"/>
          <w:lang w:eastAsia="zh-CN"/>
        </w:rPr>
        <w:t>2025年普陀区海洋经济运行监测和评估工作，按期完成涉海企业直报、海洋经济统计核算和海洋活动单位更新等工作任务，并通过专家验收。</w:t>
      </w:r>
    </w:p>
    <w:p w14:paraId="344A3FB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rPr>
          <w:rFonts w:hint="eastAsia" w:ascii="宋体" w:hAnsi="宋体"/>
          <w:b/>
          <w:bCs/>
          <w:color w:val="auto"/>
          <w:szCs w:val="21"/>
          <w:lang w:eastAsia="zh-CN"/>
        </w:rPr>
      </w:pPr>
      <w:r>
        <w:rPr>
          <w:rFonts w:hint="eastAsia" w:ascii="宋体" w:hAnsi="宋体"/>
          <w:b/>
          <w:bCs/>
          <w:color w:val="auto"/>
          <w:szCs w:val="21"/>
          <w:lang w:eastAsia="zh-CN"/>
        </w:rPr>
        <w:t>（四）工作安排</w:t>
      </w:r>
    </w:p>
    <w:p w14:paraId="0B071D84">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1.</w:t>
      </w:r>
      <w:r>
        <w:rPr>
          <w:rFonts w:hint="eastAsia" w:ascii="宋体" w:hAnsi="宋体" w:cs="宋体"/>
          <w:color w:val="auto"/>
          <w:szCs w:val="21"/>
          <w:lang w:eastAsia="zh-CN"/>
        </w:rPr>
        <w:t>涉海企业直报工作：</w:t>
      </w:r>
      <w:r>
        <w:rPr>
          <w:rFonts w:hint="eastAsia" w:ascii="宋体" w:hAnsi="宋体" w:eastAsia="宋体" w:cs="宋体"/>
          <w:color w:val="auto"/>
          <w:szCs w:val="21"/>
        </w:rPr>
        <w:t>月报报送时间为</w:t>
      </w:r>
      <w:r>
        <w:rPr>
          <w:rFonts w:hint="eastAsia" w:ascii="宋体" w:hAnsi="宋体" w:cs="宋体"/>
          <w:color w:val="auto"/>
          <w:szCs w:val="21"/>
          <w:lang w:eastAsia="zh-CN"/>
        </w:rPr>
        <w:t>次月</w:t>
      </w:r>
      <w:r>
        <w:rPr>
          <w:rFonts w:hint="eastAsia" w:ascii="宋体" w:hAnsi="宋体" w:eastAsia="宋体" w:cs="宋体"/>
          <w:color w:val="auto"/>
          <w:szCs w:val="21"/>
        </w:rPr>
        <w:t>20日前,季报报送时间为季后20日前，</w:t>
      </w:r>
      <w:r>
        <w:rPr>
          <w:rFonts w:hint="eastAsia" w:ascii="宋体" w:hAnsi="宋体" w:cs="宋体"/>
          <w:color w:val="auto"/>
          <w:szCs w:val="21"/>
          <w:lang w:eastAsia="zh-CN"/>
        </w:rPr>
        <w:t>并完成涉海企业直报季度分析报告，</w:t>
      </w:r>
      <w:r>
        <w:rPr>
          <w:rFonts w:hint="eastAsia" w:ascii="宋体" w:hAnsi="宋体" w:eastAsia="宋体" w:cs="宋体"/>
          <w:color w:val="auto"/>
          <w:szCs w:val="21"/>
        </w:rPr>
        <w:t>年报报送时间为次年7月31日前</w:t>
      </w:r>
      <w:r>
        <w:rPr>
          <w:rFonts w:hint="eastAsia" w:ascii="宋体" w:hAnsi="宋体" w:cs="宋体"/>
          <w:color w:val="auto"/>
          <w:szCs w:val="21"/>
          <w:lang w:eastAsia="zh-CN"/>
        </w:rPr>
        <w:t>，并于</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月前完成项目验收。</w:t>
      </w:r>
    </w:p>
    <w:p w14:paraId="2AB0E86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color w:val="auto"/>
          <w:szCs w:val="21"/>
          <w:lang w:val="en-US" w:eastAsia="zh-CN"/>
        </w:rPr>
      </w:pPr>
      <w:r>
        <w:rPr>
          <w:rFonts w:hint="eastAsia" w:ascii="宋体" w:hAnsi="宋体"/>
          <w:color w:val="auto"/>
          <w:szCs w:val="21"/>
          <w:lang w:val="en-US" w:eastAsia="zh-CN"/>
        </w:rPr>
        <w:t>2.</w:t>
      </w:r>
      <w:r>
        <w:rPr>
          <w:rFonts w:hint="eastAsia" w:ascii="宋体" w:hAnsi="宋体" w:cs="宋体"/>
          <w:color w:val="auto"/>
          <w:szCs w:val="21"/>
          <w:lang w:eastAsia="zh-CN"/>
        </w:rPr>
        <w:t>海洋经济统计核算：</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日前完成2024年海洋生产总值核算。</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日前形成海洋行业剥离系数调查报告初稿及旅游专题研究报告初稿；</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日</w:t>
      </w:r>
      <w:r>
        <w:rPr>
          <w:rFonts w:hint="eastAsia" w:ascii="宋体" w:hAnsi="宋体" w:cs="宋体"/>
          <w:color w:val="auto"/>
          <w:szCs w:val="21"/>
          <w:lang w:val="en-US" w:eastAsia="zh-CN"/>
        </w:rPr>
        <w:t>前完成海洋行业剥离系数调查报告送审稿，</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年</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en-US" w:eastAsia="zh-CN"/>
        </w:rPr>
        <w:t>月</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日</w:t>
      </w:r>
      <w:r>
        <w:rPr>
          <w:rFonts w:hint="eastAsia" w:ascii="宋体" w:hAnsi="宋体" w:cs="宋体"/>
          <w:color w:val="auto"/>
          <w:szCs w:val="21"/>
          <w:lang w:val="en-US" w:eastAsia="zh-CN"/>
        </w:rPr>
        <w:t>前完成项目验收。</w:t>
      </w:r>
    </w:p>
    <w:p w14:paraId="4FD62EA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olor w:val="auto"/>
          <w:szCs w:val="21"/>
          <w:lang w:eastAsia="zh-CN"/>
        </w:rPr>
        <w:t>海洋活动单位更新。持续跟进海洋活动单位更新工作，并于</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年</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月</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日前提交海洋活动单位名录。</w:t>
      </w:r>
    </w:p>
    <w:p w14:paraId="79F7F0B3">
      <w:pPr>
        <w:numPr>
          <w:ilvl w:val="0"/>
          <w:numId w:val="0"/>
        </w:numPr>
        <w:spacing w:line="360" w:lineRule="auto"/>
        <w:ind w:firstLine="422" w:firstLineChars="200"/>
        <w:rPr>
          <w:rFonts w:hint="eastAsia" w:ascii="宋体" w:hAnsi="宋体" w:cs="宋体"/>
          <w:b/>
          <w:bCs/>
          <w:color w:val="auto"/>
          <w:szCs w:val="21"/>
          <w:lang w:val="zh-TW" w:eastAsia="zh-TW"/>
        </w:rPr>
      </w:pPr>
      <w:r>
        <w:rPr>
          <w:rFonts w:hint="eastAsia" w:ascii="宋体" w:hAnsi="宋体" w:cs="宋体"/>
          <w:b/>
          <w:bCs/>
          <w:color w:val="auto"/>
          <w:szCs w:val="21"/>
          <w:lang w:val="zh-TW" w:eastAsia="zh-CN"/>
        </w:rPr>
        <w:t>二、</w:t>
      </w:r>
      <w:r>
        <w:rPr>
          <w:rFonts w:hint="eastAsia" w:ascii="宋体" w:hAnsi="宋体" w:cs="宋体"/>
          <w:b/>
          <w:bCs/>
          <w:color w:val="auto"/>
          <w:szCs w:val="21"/>
          <w:lang w:val="zh-TW" w:eastAsia="zh-TW"/>
        </w:rPr>
        <w:t>费用及支付方式</w:t>
      </w:r>
    </w:p>
    <w:p w14:paraId="28FEA1A9">
      <w:pPr>
        <w:numPr>
          <w:ilvl w:val="0"/>
          <w:numId w:val="0"/>
        </w:numPr>
        <w:spacing w:line="360" w:lineRule="auto"/>
        <w:ind w:firstLine="420" w:firstLineChars="200"/>
        <w:rPr>
          <w:rFonts w:hint="eastAsia" w:ascii="宋体" w:hAnsi="宋体" w:cs="宋体"/>
          <w:b/>
          <w:bCs/>
          <w:color w:val="auto"/>
          <w:szCs w:val="21"/>
          <w:lang w:val="en-US" w:eastAsia="zh-CN"/>
        </w:rPr>
      </w:pPr>
      <w:r>
        <w:rPr>
          <w:rFonts w:hint="eastAsia" w:ascii="宋体" w:hAnsi="宋体" w:cs="宋体"/>
          <w:b w:val="0"/>
          <w:bCs w:val="0"/>
          <w:color w:val="auto"/>
          <w:szCs w:val="21"/>
          <w:lang w:val="en-US" w:eastAsia="zh-CN"/>
        </w:rPr>
        <w:t>（一）合同金额：人民币</w:t>
      </w:r>
      <w:r>
        <w:rPr>
          <w:rFonts w:hint="eastAsia" w:ascii="宋体" w:hAnsi="宋体" w:cs="宋体"/>
          <w:b w:val="0"/>
          <w:bCs w:val="0"/>
          <w:color w:val="auto"/>
          <w:szCs w:val="21"/>
          <w:u w:val="single"/>
          <w:lang w:val="en-US" w:eastAsia="zh-CN"/>
        </w:rPr>
        <w:t xml:space="preserve">    </w:t>
      </w:r>
      <w:r>
        <w:rPr>
          <w:rFonts w:hint="eastAsia" w:ascii="宋体" w:hAnsi="宋体" w:cs="宋体"/>
          <w:b w:val="0"/>
          <w:bCs w:val="0"/>
          <w:color w:val="auto"/>
          <w:szCs w:val="21"/>
          <w:lang w:val="en-US" w:eastAsia="zh-CN"/>
        </w:rPr>
        <w:t>万元（大写人民币：                  ）。合同费用包括：调研差旅费、资料费、劳务费、咨询论证费、印刷费、评审费、有关税费等项目开展调查研究中的费用支出等。</w:t>
      </w:r>
    </w:p>
    <w:p w14:paraId="3B2D3EB9">
      <w:pPr>
        <w:numPr>
          <w:ilvl w:val="0"/>
          <w:numId w:val="0"/>
        </w:numPr>
        <w:spacing w:line="360" w:lineRule="auto"/>
        <w:ind w:firstLine="420" w:firstLineChars="200"/>
        <w:rPr>
          <w:rFonts w:hint="eastAsia" w:ascii="宋体" w:hAnsi="宋体"/>
          <w:color w:val="auto"/>
          <w:szCs w:val="21"/>
          <w:lang w:val="en-US" w:eastAsia="zh-CN"/>
        </w:rPr>
      </w:pPr>
      <w:r>
        <w:rPr>
          <w:rFonts w:hint="eastAsia" w:ascii="宋体" w:hAnsi="宋体" w:cs="宋体"/>
          <w:b w:val="0"/>
          <w:bCs w:val="0"/>
          <w:color w:val="auto"/>
          <w:szCs w:val="21"/>
          <w:lang w:val="en-US" w:eastAsia="zh-CN"/>
        </w:rPr>
        <w:t>（二）支付方式：</w:t>
      </w:r>
      <w:r>
        <w:rPr>
          <w:rFonts w:hint="eastAsia" w:ascii="宋体" w:hAnsi="宋体"/>
          <w:color w:val="auto"/>
          <w:szCs w:val="21"/>
        </w:rPr>
        <w:t>合同生效以及具备实施条件</w:t>
      </w:r>
      <w:r>
        <w:rPr>
          <w:rFonts w:hint="eastAsia" w:ascii="宋体" w:hAnsi="宋体"/>
          <w:color w:val="auto"/>
          <w:szCs w:val="21"/>
          <w:lang w:eastAsia="zh-CN"/>
        </w:rPr>
        <w:t>，</w:t>
      </w:r>
      <w:r>
        <w:rPr>
          <w:rFonts w:hint="eastAsia" w:ascii="宋体" w:hAnsi="宋体"/>
          <w:color w:val="auto"/>
          <w:szCs w:val="21"/>
        </w:rPr>
        <w:t>自收到发票后7个工作日内，支付合同金额的</w:t>
      </w:r>
      <w:r>
        <w:rPr>
          <w:rFonts w:hint="eastAsia" w:ascii="宋体" w:hAnsi="宋体"/>
          <w:color w:val="auto"/>
          <w:szCs w:val="21"/>
          <w:lang w:val="en-US" w:eastAsia="zh-CN"/>
        </w:rPr>
        <w:t>4</w:t>
      </w:r>
      <w:r>
        <w:rPr>
          <w:rFonts w:hint="eastAsia" w:ascii="宋体" w:hAnsi="宋体"/>
          <w:color w:val="auto"/>
          <w:szCs w:val="21"/>
        </w:rPr>
        <w:t>0%</w:t>
      </w:r>
      <w:r>
        <w:rPr>
          <w:rFonts w:hint="eastAsia" w:ascii="宋体" w:hAnsi="宋体"/>
          <w:color w:val="auto"/>
          <w:szCs w:val="21"/>
          <w:lang w:val="en-US" w:eastAsia="zh-CN"/>
        </w:rPr>
        <w:t>作</w:t>
      </w:r>
      <w:r>
        <w:rPr>
          <w:rFonts w:hint="eastAsia" w:ascii="宋体" w:hAnsi="宋体"/>
          <w:color w:val="auto"/>
          <w:szCs w:val="21"/>
        </w:rPr>
        <w:t>为预付款，</w:t>
      </w:r>
      <w:r>
        <w:rPr>
          <w:rFonts w:hint="eastAsia" w:ascii="宋体" w:hAnsi="宋体"/>
          <w:color w:val="auto"/>
          <w:szCs w:val="21"/>
          <w:lang w:val="en-US" w:eastAsia="zh-CN"/>
        </w:rPr>
        <w:t>即人民币       元整（</w:t>
      </w:r>
      <w:r>
        <w:rPr>
          <w:rFonts w:hint="default" w:ascii="Arial" w:hAnsi="Arial" w:cs="Arial"/>
          <w:color w:val="auto"/>
          <w:szCs w:val="21"/>
          <w:lang w:val="en-US" w:eastAsia="zh-CN"/>
        </w:rPr>
        <w:t>¥</w:t>
      </w:r>
      <w:r>
        <w:rPr>
          <w:rFonts w:hint="eastAsia" w:ascii="宋体" w:hAnsi="宋体"/>
          <w:color w:val="auto"/>
          <w:szCs w:val="21"/>
          <w:lang w:val="en-US" w:eastAsia="zh-CN"/>
        </w:rPr>
        <w:t xml:space="preserve">     ）。</w:t>
      </w:r>
      <w:r>
        <w:rPr>
          <w:rFonts w:hint="eastAsia" w:ascii="宋体" w:hAnsi="宋体"/>
          <w:color w:val="auto"/>
          <w:szCs w:val="21"/>
        </w:rPr>
        <w:t>项目完成并通过验收合格后，自收到发票后7个工作日内，支付剩余款项</w:t>
      </w:r>
      <w:r>
        <w:rPr>
          <w:rFonts w:hint="eastAsia" w:ascii="宋体" w:hAnsi="宋体"/>
          <w:color w:val="auto"/>
          <w:szCs w:val="21"/>
          <w:lang w:eastAsia="zh-CN"/>
        </w:rPr>
        <w:t>，</w:t>
      </w:r>
      <w:r>
        <w:rPr>
          <w:rFonts w:hint="eastAsia" w:ascii="宋体" w:hAnsi="宋体"/>
          <w:color w:val="auto"/>
          <w:szCs w:val="21"/>
          <w:lang w:val="en-US" w:eastAsia="zh-CN"/>
        </w:rPr>
        <w:t>即人民币       元整（</w:t>
      </w:r>
      <w:r>
        <w:rPr>
          <w:rFonts w:hint="default" w:ascii="Arial" w:hAnsi="Arial" w:cs="Arial"/>
          <w:color w:val="auto"/>
          <w:szCs w:val="21"/>
          <w:lang w:val="en-US" w:eastAsia="zh-CN"/>
        </w:rPr>
        <w:t>¥</w:t>
      </w:r>
      <w:r>
        <w:rPr>
          <w:rFonts w:hint="eastAsia" w:ascii="宋体" w:hAnsi="宋体"/>
          <w:color w:val="auto"/>
          <w:szCs w:val="21"/>
          <w:lang w:val="en-US" w:eastAsia="zh-CN"/>
        </w:rPr>
        <w:t xml:space="preserve">      ）。</w:t>
      </w:r>
    </w:p>
    <w:p w14:paraId="4576C1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lang w:val="zh-TW"/>
        </w:rPr>
      </w:pPr>
      <w:r>
        <w:rPr>
          <w:rFonts w:hint="eastAsia" w:ascii="宋体" w:hAnsi="宋体"/>
          <w:color w:val="auto"/>
          <w:szCs w:val="21"/>
          <w:lang w:val="zh-TW"/>
        </w:rPr>
        <w:t>由甲方决定是否需要提供预付款担保（</w:t>
      </w:r>
      <w:r>
        <w:rPr>
          <w:rFonts w:ascii="宋体" w:hAnsi="宋体"/>
          <w:color w:val="auto"/>
          <w:szCs w:val="21"/>
          <w:lang w:val="zh-TW"/>
        </w:rPr>
        <w:t>预付款担保形式可以是银行保函、担保公司担保等</w:t>
      </w:r>
      <w:r>
        <w:rPr>
          <w:rFonts w:hint="eastAsia" w:ascii="宋体" w:hAnsi="宋体"/>
          <w:color w:val="auto"/>
          <w:szCs w:val="21"/>
          <w:lang w:val="zh-TW"/>
        </w:rPr>
        <w:t>）</w:t>
      </w:r>
      <w:r>
        <w:rPr>
          <w:rFonts w:ascii="宋体" w:hAnsi="宋体"/>
          <w:color w:val="auto"/>
          <w:szCs w:val="21"/>
          <w:lang w:val="zh-TW"/>
        </w:rPr>
        <w:t>。</w:t>
      </w:r>
    </w:p>
    <w:p w14:paraId="648BC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bCs/>
          <w:color w:val="0000FF"/>
          <w:szCs w:val="21"/>
          <w:lang w:val="zh-TW" w:eastAsia="zh-TW"/>
        </w:rPr>
      </w:pPr>
      <w:r>
        <w:rPr>
          <w:rFonts w:hint="eastAsia" w:ascii="宋体" w:hAnsi="宋体"/>
          <w:b/>
          <w:bCs/>
          <w:color w:val="auto"/>
          <w:szCs w:val="21"/>
          <w:lang w:val="zh-TW" w:eastAsia="zh-CN"/>
        </w:rPr>
        <w:t>三、</w:t>
      </w:r>
      <w:r>
        <w:rPr>
          <w:rFonts w:hint="eastAsia" w:ascii="宋体" w:hAnsi="宋体"/>
          <w:b/>
          <w:bCs/>
          <w:color w:val="auto"/>
          <w:szCs w:val="21"/>
          <w:lang w:val="zh-TW" w:eastAsia="zh-TW"/>
        </w:rPr>
        <w:t>合约履行期限</w:t>
      </w:r>
      <w:r>
        <w:rPr>
          <w:rFonts w:hint="eastAsia" w:ascii="宋体" w:hAnsi="宋体"/>
          <w:b/>
          <w:bCs/>
          <w:color w:val="auto"/>
          <w:szCs w:val="21"/>
          <w:lang w:val="zh-TW" w:eastAsia="zh-CN"/>
        </w:rPr>
        <w:t>、地点和方式</w:t>
      </w:r>
      <w:r>
        <w:rPr>
          <w:rFonts w:hint="eastAsia" w:ascii="宋体" w:hAnsi="宋体"/>
          <w:b/>
          <w:bCs/>
          <w:color w:val="0000FF"/>
          <w:szCs w:val="21"/>
          <w:lang w:val="zh-TW" w:eastAsia="zh-TW"/>
        </w:rPr>
        <w:t>：</w:t>
      </w:r>
    </w:p>
    <w:p w14:paraId="42D30A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本合同自</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lang w:val="en-US" w:eastAsia="zh-CN"/>
        </w:rPr>
        <w:t>年</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lang w:val="en-US" w:eastAsia="zh-CN"/>
        </w:rPr>
        <w:t>月</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lang w:val="en-US" w:eastAsia="zh-CN"/>
        </w:rPr>
        <w:t>日至</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lang w:val="en-US" w:eastAsia="zh-CN"/>
        </w:rPr>
        <w:t>年</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lang w:val="en-US" w:eastAsia="zh-CN"/>
        </w:rPr>
        <w:t>月</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lang w:val="en-US" w:eastAsia="zh-CN"/>
        </w:rPr>
        <w:t>日在</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lang w:val="en-US" w:eastAsia="zh-CN"/>
        </w:rPr>
        <w:t>履行。</w:t>
      </w:r>
    </w:p>
    <w:p w14:paraId="02D178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本合同履约方式：</w:t>
      </w:r>
    </w:p>
    <w:p w14:paraId="7262CE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zh-TW"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TW" w:eastAsia="zh-CN"/>
        </w:rPr>
        <w:t>乙方提交技术咨询工作成果形式：以电子版文档和书面形式提交（纸质一式</w:t>
      </w:r>
      <w:r>
        <w:rPr>
          <w:rFonts w:hint="eastAsia" w:ascii="宋体" w:hAnsi="宋体" w:cs="宋体"/>
          <w:color w:val="auto"/>
          <w:szCs w:val="21"/>
          <w:highlight w:val="none"/>
          <w:lang w:val="en-US" w:eastAsia="zh-CN"/>
        </w:rPr>
        <w:t>10份，电子版1份</w:t>
      </w:r>
      <w:r>
        <w:rPr>
          <w:rFonts w:hint="eastAsia" w:ascii="宋体" w:hAnsi="宋体" w:cs="宋体"/>
          <w:color w:val="auto"/>
          <w:szCs w:val="21"/>
          <w:highlight w:val="none"/>
          <w:lang w:val="zh-TW" w:eastAsia="zh-CN"/>
        </w:rPr>
        <w:t>）</w:t>
      </w:r>
    </w:p>
    <w:p w14:paraId="300934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zh-TW"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TW" w:eastAsia="zh-CN"/>
        </w:rPr>
        <w:t>技术咨询工作成果的验收标准和方式：项目成果符合相关技术规范要求，通过专家验收及甲方审查。</w:t>
      </w:r>
    </w:p>
    <w:p w14:paraId="5235D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TW" w:eastAsia="zh-CN"/>
        </w:rPr>
        <w:t>验收时间及其他事项：</w:t>
      </w:r>
      <w:r>
        <w:rPr>
          <w:rFonts w:hint="eastAsia" w:ascii="宋体" w:hAnsi="宋体" w:cs="宋体"/>
          <w:color w:val="auto"/>
          <w:szCs w:val="21"/>
          <w:highlight w:val="none"/>
          <w:lang w:val="en-US" w:eastAsia="zh-CN"/>
        </w:rPr>
        <w:t>合同期限范围内，具体时间和地点由甲方组织确定，项目验收相关费用由乙方承担。</w:t>
      </w:r>
    </w:p>
    <w:p w14:paraId="0F515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4.对课题成果甲方享有所有权，乙方享有著作权和署名权，未经甲方同意，乙方及研究人员不得公开发表。</w:t>
      </w:r>
    </w:p>
    <w:p w14:paraId="2E81AA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lang w:val="zh-TW" w:eastAsia="zh-TW"/>
        </w:rPr>
      </w:pPr>
      <w:r>
        <w:rPr>
          <w:rFonts w:hint="eastAsia" w:ascii="宋体" w:hAnsi="宋体" w:cs="宋体"/>
          <w:b/>
          <w:color w:val="auto"/>
          <w:szCs w:val="21"/>
          <w:lang w:val="en-US" w:eastAsia="zh-CN"/>
        </w:rPr>
        <w:t>四、</w:t>
      </w:r>
      <w:r>
        <w:rPr>
          <w:rFonts w:hint="eastAsia" w:ascii="宋体" w:hAnsi="宋体" w:cs="宋体"/>
          <w:b/>
          <w:color w:val="auto"/>
          <w:szCs w:val="21"/>
          <w:lang w:val="zh-TW" w:eastAsia="zh-TW"/>
        </w:rPr>
        <w:t>权利与义务</w:t>
      </w:r>
    </w:p>
    <w:p w14:paraId="2CD5A48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lang w:val="zh-TW" w:eastAsia="zh-TW"/>
        </w:rPr>
      </w:pPr>
      <w:r>
        <w:rPr>
          <w:rFonts w:hint="eastAsia" w:ascii="宋体" w:hAnsi="宋体" w:eastAsia="宋体" w:cs="宋体"/>
          <w:bCs/>
          <w:color w:val="auto"/>
          <w:szCs w:val="21"/>
          <w:lang w:val="zh-TW" w:eastAsia="zh-TW"/>
        </w:rPr>
        <w:t>1.</w:t>
      </w:r>
      <w:r>
        <w:rPr>
          <w:rFonts w:hint="eastAsia" w:ascii="宋体" w:hAnsi="宋体" w:eastAsia="宋体" w:cs="宋体"/>
          <w:bCs/>
          <w:color w:val="auto"/>
          <w:szCs w:val="21"/>
          <w:lang w:val="zh-TW"/>
        </w:rPr>
        <w:t>乙方应按招标文件规定向甲方提供服务。</w:t>
      </w:r>
    </w:p>
    <w:p w14:paraId="62DC645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lang w:val="zh-TW" w:eastAsia="zh-TW"/>
        </w:rPr>
      </w:pPr>
      <w:r>
        <w:rPr>
          <w:rFonts w:hint="eastAsia" w:ascii="宋体" w:hAnsi="宋体" w:eastAsia="宋体" w:cs="宋体"/>
          <w:bCs/>
          <w:color w:val="auto"/>
          <w:szCs w:val="21"/>
          <w:lang w:val="zh-TW" w:eastAsia="zh-TW"/>
        </w:rPr>
        <w:t>2.</w:t>
      </w:r>
      <w:r>
        <w:rPr>
          <w:rFonts w:hint="eastAsia" w:ascii="宋体" w:hAnsi="宋体" w:eastAsia="宋体" w:cs="宋体"/>
          <w:bCs/>
          <w:color w:val="auto"/>
          <w:szCs w:val="21"/>
          <w:lang w:val="zh-TW"/>
        </w:rPr>
        <w:t>未经甲方事先书面同意，乙方不得将与本合同及有关的任何计划、图文或物料提供给任何第三方。即使向履行本合同有关的人员提供，也应注意保密并限于履行合同的必需范围。</w:t>
      </w:r>
    </w:p>
    <w:p w14:paraId="3FBDBC1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lang w:val="zh-TW" w:eastAsia="zh-TW"/>
        </w:rPr>
      </w:pPr>
      <w:r>
        <w:rPr>
          <w:rFonts w:hint="eastAsia" w:ascii="宋体" w:hAnsi="宋体" w:eastAsia="宋体" w:cs="宋体"/>
          <w:bCs/>
          <w:color w:val="auto"/>
          <w:szCs w:val="21"/>
          <w:lang w:val="zh-TW" w:eastAsia="zh-TW"/>
        </w:rPr>
        <w:t>3.</w:t>
      </w:r>
      <w:r>
        <w:rPr>
          <w:rFonts w:hint="eastAsia" w:ascii="宋体" w:hAnsi="宋体" w:eastAsia="宋体" w:cs="宋体"/>
          <w:bCs/>
          <w:color w:val="auto"/>
          <w:szCs w:val="21"/>
          <w:lang w:val="zh-TW"/>
        </w:rPr>
        <w:t>乙方应保证提供服务过程中不会侵犯任何第三方的知识产权，否则甲方有权解除本合同，拒绝支付合同价款，并要求乙方赔偿所有损失。</w:t>
      </w:r>
    </w:p>
    <w:p w14:paraId="26E9B1C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lang w:val="zh-TW" w:eastAsia="zh-TW"/>
        </w:rPr>
      </w:pPr>
      <w:r>
        <w:rPr>
          <w:rFonts w:hint="eastAsia" w:ascii="宋体" w:hAnsi="宋体" w:eastAsia="宋体" w:cs="宋体"/>
          <w:bCs/>
          <w:color w:val="auto"/>
          <w:szCs w:val="21"/>
          <w:lang w:val="zh-TW" w:eastAsia="zh-TW"/>
        </w:rPr>
        <w:t>4.</w:t>
      </w:r>
      <w:r>
        <w:rPr>
          <w:rFonts w:hint="eastAsia" w:ascii="宋体" w:hAnsi="宋体" w:eastAsia="宋体" w:cs="宋体"/>
          <w:bCs/>
          <w:color w:val="auto"/>
          <w:szCs w:val="21"/>
          <w:lang w:val="zh-TW"/>
        </w:rPr>
        <w:t>乙方提供的服务验收不合格的，或在服务保证期内出现问题，乙方应负责免费提供后续服务，给甲方造成损失的，乙方应当赔偿。</w:t>
      </w:r>
    </w:p>
    <w:p w14:paraId="7B647BA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0000FF"/>
          <w:szCs w:val="21"/>
          <w:lang w:val="zh-TW" w:eastAsia="zh-CN"/>
        </w:rPr>
      </w:pPr>
      <w:r>
        <w:rPr>
          <w:rFonts w:hint="eastAsia" w:ascii="宋体" w:hAnsi="宋体" w:eastAsia="宋体" w:cs="宋体"/>
          <w:bCs/>
          <w:color w:val="auto"/>
          <w:szCs w:val="21"/>
          <w:lang w:val="zh-TW" w:eastAsia="zh-TW"/>
        </w:rPr>
        <w:t>5.</w:t>
      </w:r>
      <w:r>
        <w:rPr>
          <w:rFonts w:hint="eastAsia" w:ascii="宋体" w:hAnsi="宋体" w:eastAsia="宋体" w:cs="宋体"/>
          <w:bCs/>
          <w:color w:val="auto"/>
          <w:szCs w:val="21"/>
          <w:lang w:val="zh-TW"/>
        </w:rPr>
        <w:t>在服务保证期内，乙方应对出现的质量及安全问题负责处理解决并承担一切费用</w:t>
      </w:r>
      <w:r>
        <w:rPr>
          <w:rFonts w:hint="eastAsia" w:ascii="宋体" w:hAnsi="宋体" w:eastAsia="宋体" w:cs="宋体"/>
          <w:bCs/>
          <w:color w:val="auto"/>
          <w:szCs w:val="21"/>
          <w:lang w:val="zh-TW" w:eastAsia="zh-CN"/>
        </w:rPr>
        <w:t>。</w:t>
      </w:r>
    </w:p>
    <w:p w14:paraId="3AC36E3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val="0"/>
          <w:color w:val="auto"/>
          <w:szCs w:val="21"/>
          <w:lang w:val="zh-TW" w:eastAsia="zh-TW"/>
        </w:rPr>
      </w:pPr>
      <w:r>
        <w:rPr>
          <w:rFonts w:hint="eastAsia" w:ascii="宋体" w:hAnsi="宋体" w:cs="宋体"/>
          <w:b/>
          <w:bCs w:val="0"/>
          <w:color w:val="auto"/>
          <w:szCs w:val="21"/>
          <w:lang w:val="en-US" w:eastAsia="zh-CN"/>
        </w:rPr>
        <w:t>五、</w:t>
      </w:r>
      <w:r>
        <w:rPr>
          <w:rFonts w:hint="eastAsia" w:ascii="宋体" w:hAnsi="宋体" w:eastAsia="宋体" w:cs="宋体"/>
          <w:b/>
          <w:bCs w:val="0"/>
          <w:color w:val="auto"/>
          <w:szCs w:val="21"/>
          <w:lang w:val="zh-TW" w:eastAsia="zh-TW"/>
        </w:rPr>
        <w:t>违约责任</w:t>
      </w:r>
    </w:p>
    <w:p w14:paraId="2A846DA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szCs w:val="21"/>
        </w:rPr>
      </w:pPr>
      <w:r>
        <w:rPr>
          <w:rFonts w:hint="eastAsia" w:ascii="宋体" w:hAnsi="宋体" w:eastAsia="宋体" w:cs="宋体"/>
          <w:bCs/>
          <w:color w:val="auto"/>
          <w:szCs w:val="21"/>
          <w:lang w:val="zh-TW"/>
        </w:rPr>
        <w:t>1.</w:t>
      </w:r>
      <w:r>
        <w:rPr>
          <w:rFonts w:hint="eastAsia" w:ascii="宋体" w:hAnsi="宋体" w:eastAsia="宋体" w:cs="宋体"/>
          <w:bCs/>
          <w:color w:val="auto"/>
          <w:szCs w:val="21"/>
          <w:lang w:val="zh-TW" w:eastAsia="zh-TW"/>
        </w:rPr>
        <w:t>甲方无正当理由逾期</w:t>
      </w:r>
      <w:r>
        <w:rPr>
          <w:rFonts w:hint="eastAsia" w:ascii="宋体" w:hAnsi="宋体" w:cs="宋体"/>
          <w:color w:val="auto"/>
          <w:szCs w:val="21"/>
          <w:lang w:val="zh-TW" w:eastAsia="zh-TW"/>
        </w:rPr>
        <w:t>付款</w:t>
      </w:r>
      <w:r>
        <w:rPr>
          <w:rFonts w:hint="eastAsia" w:ascii="宋体" w:hAnsi="宋体" w:cs="宋体"/>
          <w:color w:val="auto"/>
          <w:szCs w:val="21"/>
        </w:rPr>
        <w:t>1</w:t>
      </w:r>
      <w:r>
        <w:rPr>
          <w:rFonts w:hint="eastAsia" w:ascii="宋体" w:hAnsi="宋体" w:cs="宋体"/>
          <w:color w:val="auto"/>
          <w:szCs w:val="21"/>
          <w:lang w:val="zh-TW" w:eastAsia="zh-TW"/>
        </w:rPr>
        <w:t>个月，乙方可终止合同。解除合同后费用的核算，以乙方完成且甲方确认的工作成果为准，多退少补。因地震、水灾、战争等不可抗力的因素或因政策、法律原因造成合同无法履行除外。</w:t>
      </w:r>
    </w:p>
    <w:p w14:paraId="756226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zh-TW"/>
        </w:rPr>
        <w:t>.</w:t>
      </w:r>
      <w:r>
        <w:rPr>
          <w:rFonts w:hint="eastAsia" w:ascii="宋体" w:hAnsi="宋体" w:cs="宋体"/>
          <w:color w:val="auto"/>
          <w:szCs w:val="21"/>
          <w:lang w:val="zh-TW" w:eastAsia="zh-TW"/>
        </w:rPr>
        <w:t>乙方无正当理由未按时提交成果超过</w:t>
      </w:r>
      <w:r>
        <w:rPr>
          <w:rFonts w:hint="eastAsia" w:ascii="宋体" w:hAnsi="宋体" w:cs="宋体"/>
          <w:color w:val="auto"/>
          <w:szCs w:val="21"/>
        </w:rPr>
        <w:t>1</w:t>
      </w:r>
      <w:r>
        <w:rPr>
          <w:rFonts w:hint="eastAsia" w:ascii="宋体" w:hAnsi="宋体" w:cs="宋体"/>
          <w:color w:val="auto"/>
          <w:szCs w:val="21"/>
          <w:lang w:val="zh-TW" w:eastAsia="zh-TW"/>
        </w:rPr>
        <w:t>个月，甲方可终止合同。解除合同后费用的核算，以乙方完成且甲方确认的工作成果为准，多退少补。因地震、水灾、战争等不可抗力的因素或因政策、法律原因造成合同无法履行除外。</w:t>
      </w:r>
    </w:p>
    <w:p w14:paraId="1C19172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lang w:val="zh-TW" w:eastAsia="zh-TW"/>
        </w:rPr>
      </w:pPr>
      <w:r>
        <w:rPr>
          <w:rFonts w:hint="eastAsia" w:ascii="宋体" w:hAnsi="宋体" w:cs="宋体"/>
          <w:b/>
          <w:color w:val="auto"/>
          <w:szCs w:val="21"/>
          <w:lang w:val="zh-TW" w:eastAsia="zh-CN"/>
        </w:rPr>
        <w:t>六、</w:t>
      </w:r>
      <w:r>
        <w:rPr>
          <w:rFonts w:hint="eastAsia" w:ascii="宋体" w:hAnsi="宋体" w:cs="宋体"/>
          <w:b/>
          <w:color w:val="auto"/>
          <w:szCs w:val="21"/>
          <w:lang w:val="zh-TW" w:eastAsia="zh-TW"/>
        </w:rPr>
        <w:t>争议的解决</w:t>
      </w:r>
    </w:p>
    <w:p w14:paraId="3BFFCF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lang w:val="zh-TW" w:eastAsia="zh-TW"/>
        </w:rPr>
      </w:pPr>
      <w:r>
        <w:rPr>
          <w:rFonts w:hint="eastAsia" w:ascii="宋体" w:hAnsi="宋体" w:cs="宋体"/>
          <w:color w:val="auto"/>
          <w:szCs w:val="21"/>
          <w:lang w:val="zh-TW" w:eastAsia="zh-TW"/>
        </w:rPr>
        <w:t>因本合同的解释或履行本合同如发生争议，甲乙双方应友好协商解决，协商不成，可以提交甲方所在地人民法院通过诉讼方式解决。</w:t>
      </w:r>
    </w:p>
    <w:p w14:paraId="79D8E8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auto"/>
          <w:szCs w:val="21"/>
          <w:lang w:val="zh-TW" w:eastAsia="zh-TW"/>
        </w:rPr>
      </w:pPr>
      <w:r>
        <w:rPr>
          <w:rFonts w:hint="eastAsia" w:ascii="宋体" w:hAnsi="宋体" w:cs="宋体"/>
          <w:b/>
          <w:bCs/>
          <w:color w:val="auto"/>
          <w:szCs w:val="21"/>
          <w:lang w:val="zh-TW" w:eastAsia="zh-CN"/>
        </w:rPr>
        <w:t>七、</w:t>
      </w:r>
      <w:r>
        <w:rPr>
          <w:rFonts w:hint="eastAsia" w:ascii="宋体" w:hAnsi="宋体" w:cs="宋体"/>
          <w:b/>
          <w:bCs/>
          <w:color w:val="auto"/>
          <w:szCs w:val="21"/>
          <w:lang w:val="zh-TW" w:eastAsia="zh-TW"/>
        </w:rPr>
        <w:t>合同未尽事宜，双方可另行协商，并达成书面补充协议。补充协议与合同具有同样法律效力。</w:t>
      </w:r>
    </w:p>
    <w:p w14:paraId="795E4791">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b/>
          <w:bCs/>
          <w:color w:val="auto"/>
        </w:rPr>
      </w:pPr>
      <w:r>
        <w:rPr>
          <w:rFonts w:hint="eastAsia" w:ascii="宋体" w:hAnsi="宋体" w:cs="宋体"/>
          <w:b/>
          <w:bCs/>
          <w:color w:val="auto"/>
          <w:szCs w:val="21"/>
          <w:lang w:val="en-US" w:eastAsia="zh-CN"/>
        </w:rPr>
        <w:t>八、</w:t>
      </w:r>
      <w:r>
        <w:rPr>
          <w:rFonts w:hint="eastAsia" w:ascii="宋体" w:hAnsi="宋体" w:cs="宋体"/>
          <w:b/>
          <w:bCs/>
          <w:color w:val="auto"/>
          <w:szCs w:val="21"/>
        </w:rPr>
        <w:t>本合同壹式叁份，甲、乙双方和代理机构各执壹份，具有同等的法律效力</w:t>
      </w:r>
      <w:r>
        <w:rPr>
          <w:rFonts w:hint="eastAsia" w:ascii="宋体" w:hAnsi="宋体"/>
          <w:b/>
          <w:bCs/>
          <w:color w:val="auto"/>
        </w:rPr>
        <w:t>。</w:t>
      </w:r>
    </w:p>
    <w:p w14:paraId="1D3514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FF"/>
        </w:rPr>
      </w:pPr>
    </w:p>
    <w:p w14:paraId="099764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rPr>
      </w:pPr>
      <w:r>
        <w:rPr>
          <w:rFonts w:hint="eastAsia" w:ascii="宋体" w:hAnsi="宋体"/>
          <w:color w:val="auto"/>
        </w:rPr>
        <w:t>甲方：                           乙方：</w:t>
      </w:r>
    </w:p>
    <w:p w14:paraId="57E270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rPr>
      </w:pPr>
      <w:r>
        <w:rPr>
          <w:rFonts w:hint="eastAsia" w:ascii="宋体" w:hAnsi="宋体"/>
          <w:color w:val="auto"/>
        </w:rPr>
        <w:t>地址：                           地址：</w:t>
      </w:r>
    </w:p>
    <w:p w14:paraId="1A7A1C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rPr>
      </w:pPr>
      <w:r>
        <w:rPr>
          <w:rFonts w:hint="eastAsia" w:ascii="宋体" w:hAnsi="宋体"/>
          <w:color w:val="auto"/>
        </w:rPr>
        <w:t>法人代表：                       法人代表：</w:t>
      </w:r>
    </w:p>
    <w:p w14:paraId="6BDF25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rPr>
      </w:pPr>
      <w:r>
        <w:rPr>
          <w:rFonts w:hint="eastAsia" w:ascii="宋体" w:hAnsi="宋体"/>
          <w:color w:val="auto"/>
        </w:rPr>
        <w:t>电话：                           电话：</w:t>
      </w:r>
    </w:p>
    <w:p w14:paraId="72702A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rPr>
      </w:pPr>
      <w:r>
        <w:rPr>
          <w:rFonts w:hint="eastAsia" w:ascii="宋体" w:hAnsi="宋体"/>
          <w:color w:val="auto"/>
        </w:rPr>
        <w:t>电传：                           电传：</w:t>
      </w:r>
    </w:p>
    <w:p w14:paraId="5EBD17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rPr>
      </w:pPr>
      <w:r>
        <w:rPr>
          <w:rFonts w:hint="eastAsia" w:ascii="宋体" w:hAnsi="宋体"/>
          <w:color w:val="auto"/>
        </w:rPr>
        <w:t>邮政编码：                       邮政编码：</w:t>
      </w:r>
    </w:p>
    <w:p w14:paraId="1A7B7D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rPr>
      </w:pPr>
      <w:r>
        <w:rPr>
          <w:rFonts w:hint="eastAsia" w:ascii="宋体" w:hAnsi="宋体"/>
          <w:color w:val="auto"/>
        </w:rPr>
        <w:t>开户银行：                       开户银行：</w:t>
      </w:r>
    </w:p>
    <w:p w14:paraId="1380A2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rPr>
      </w:pPr>
      <w:r>
        <w:rPr>
          <w:rFonts w:hint="eastAsia"/>
          <w:color w:val="auto"/>
        </w:rPr>
        <w:t>账号：                           账号：</w:t>
      </w:r>
    </w:p>
    <w:p w14:paraId="2D7D59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Cs w:val="21"/>
          <w:lang w:eastAsia="zh-CN"/>
        </w:rPr>
      </w:pPr>
      <w:r>
        <w:rPr>
          <w:rFonts w:hint="eastAsia" w:ascii="宋体" w:hAnsi="宋体"/>
          <w:color w:val="auto"/>
        </w:rPr>
        <w:t>日期：                           日期</w:t>
      </w:r>
      <w:r>
        <w:rPr>
          <w:rFonts w:hint="eastAsia" w:ascii="宋体" w:hAnsi="宋体"/>
          <w:color w:val="auto"/>
          <w:lang w:eastAsia="zh-CN"/>
        </w:rPr>
        <w:t>：</w:t>
      </w:r>
    </w:p>
    <w:p w14:paraId="451F6879">
      <w:pPr>
        <w:snapToGrid w:val="0"/>
        <w:spacing w:line="260" w:lineRule="exact"/>
        <w:rPr>
          <w:rFonts w:ascii="宋体" w:hAnsi="宋体"/>
          <w:szCs w:val="21"/>
        </w:rPr>
      </w:pPr>
    </w:p>
    <w:p w14:paraId="77CFB5A1">
      <w:pPr>
        <w:snapToGrid w:val="0"/>
        <w:spacing w:line="260" w:lineRule="exact"/>
        <w:rPr>
          <w:rFonts w:ascii="宋体" w:hAnsi="宋体"/>
          <w:szCs w:val="21"/>
        </w:rPr>
      </w:pPr>
    </w:p>
    <w:p w14:paraId="50C6B5D7">
      <w:pPr>
        <w:snapToGrid w:val="0"/>
        <w:spacing w:line="260" w:lineRule="exact"/>
        <w:rPr>
          <w:rFonts w:ascii="宋体" w:hAnsi="宋体"/>
          <w:szCs w:val="21"/>
        </w:rPr>
      </w:pPr>
    </w:p>
    <w:p w14:paraId="5BC9DBE4">
      <w:pPr>
        <w:snapToGrid w:val="0"/>
        <w:spacing w:line="260" w:lineRule="exact"/>
        <w:rPr>
          <w:rFonts w:ascii="宋体" w:hAnsi="宋体"/>
          <w:szCs w:val="21"/>
        </w:rPr>
      </w:pPr>
    </w:p>
    <w:p w14:paraId="636EF7F5">
      <w:pPr>
        <w:snapToGrid w:val="0"/>
        <w:spacing w:line="260" w:lineRule="exact"/>
        <w:rPr>
          <w:rFonts w:ascii="宋体" w:hAnsi="宋体"/>
          <w:szCs w:val="21"/>
        </w:rPr>
      </w:pPr>
    </w:p>
    <w:p w14:paraId="6FC93681">
      <w:pPr>
        <w:snapToGrid w:val="0"/>
        <w:spacing w:line="260" w:lineRule="exact"/>
        <w:rPr>
          <w:rFonts w:ascii="宋体" w:hAnsi="宋体"/>
          <w:szCs w:val="21"/>
        </w:rPr>
      </w:pPr>
    </w:p>
    <w:p w14:paraId="2190DE5E">
      <w:pPr>
        <w:snapToGrid w:val="0"/>
        <w:spacing w:line="260" w:lineRule="exact"/>
        <w:rPr>
          <w:rFonts w:ascii="宋体" w:hAnsi="宋体"/>
          <w:szCs w:val="21"/>
        </w:rPr>
      </w:pPr>
    </w:p>
    <w:p w14:paraId="6979F1B0">
      <w:pPr>
        <w:snapToGrid w:val="0"/>
        <w:spacing w:line="260" w:lineRule="exact"/>
        <w:rPr>
          <w:rFonts w:ascii="宋体" w:hAnsi="宋体"/>
          <w:szCs w:val="21"/>
        </w:rPr>
      </w:pPr>
    </w:p>
    <w:p w14:paraId="1884B9C4">
      <w:pPr>
        <w:snapToGrid w:val="0"/>
        <w:spacing w:line="260" w:lineRule="exact"/>
        <w:rPr>
          <w:rFonts w:ascii="宋体" w:hAnsi="宋体"/>
          <w:szCs w:val="21"/>
        </w:rPr>
      </w:pPr>
    </w:p>
    <w:p w14:paraId="18F8592A">
      <w:pPr>
        <w:snapToGrid w:val="0"/>
        <w:spacing w:line="260" w:lineRule="exact"/>
        <w:rPr>
          <w:rFonts w:ascii="宋体" w:hAnsi="宋体"/>
          <w:szCs w:val="21"/>
        </w:rPr>
      </w:pPr>
    </w:p>
    <w:p w14:paraId="4E9CA1EE">
      <w:pPr>
        <w:snapToGrid w:val="0"/>
        <w:spacing w:line="260" w:lineRule="exact"/>
        <w:rPr>
          <w:rFonts w:ascii="宋体" w:hAnsi="宋体"/>
          <w:szCs w:val="21"/>
        </w:rPr>
      </w:pPr>
    </w:p>
    <w:p w14:paraId="245DC3D4">
      <w:pPr>
        <w:snapToGrid w:val="0"/>
        <w:spacing w:line="260" w:lineRule="exact"/>
        <w:rPr>
          <w:rFonts w:ascii="宋体" w:hAnsi="宋体"/>
          <w:szCs w:val="21"/>
        </w:rPr>
      </w:pPr>
    </w:p>
    <w:p w14:paraId="48754BE0">
      <w:pPr>
        <w:snapToGrid w:val="0"/>
        <w:spacing w:line="260" w:lineRule="exact"/>
        <w:rPr>
          <w:rFonts w:ascii="宋体" w:hAnsi="宋体"/>
          <w:szCs w:val="21"/>
        </w:rPr>
      </w:pPr>
    </w:p>
    <w:p w14:paraId="23975E25">
      <w:pPr>
        <w:snapToGrid w:val="0"/>
        <w:spacing w:line="260" w:lineRule="exact"/>
        <w:rPr>
          <w:rFonts w:ascii="宋体" w:hAnsi="宋体"/>
          <w:szCs w:val="21"/>
        </w:rPr>
      </w:pPr>
    </w:p>
    <w:p w14:paraId="0250C4B8">
      <w:pPr>
        <w:snapToGrid w:val="0"/>
        <w:spacing w:line="260" w:lineRule="exact"/>
        <w:rPr>
          <w:rFonts w:ascii="宋体" w:hAnsi="宋体"/>
          <w:szCs w:val="21"/>
        </w:rPr>
      </w:pPr>
    </w:p>
    <w:p w14:paraId="68A4D13B">
      <w:pPr>
        <w:snapToGrid w:val="0"/>
        <w:spacing w:line="260" w:lineRule="exact"/>
        <w:rPr>
          <w:rFonts w:ascii="宋体" w:hAnsi="宋体"/>
          <w:szCs w:val="21"/>
        </w:rPr>
      </w:pPr>
    </w:p>
    <w:p w14:paraId="57F88785">
      <w:pPr>
        <w:snapToGrid w:val="0"/>
        <w:spacing w:line="260" w:lineRule="exact"/>
        <w:rPr>
          <w:rFonts w:ascii="宋体" w:hAnsi="宋体"/>
          <w:szCs w:val="21"/>
        </w:rPr>
      </w:pPr>
    </w:p>
    <w:p w14:paraId="5F4D147B">
      <w:pPr>
        <w:snapToGrid w:val="0"/>
        <w:spacing w:line="260" w:lineRule="exact"/>
        <w:rPr>
          <w:rFonts w:ascii="宋体" w:hAnsi="宋体"/>
          <w:szCs w:val="21"/>
        </w:rPr>
      </w:pPr>
    </w:p>
    <w:p w14:paraId="2CBABE41">
      <w:pPr>
        <w:snapToGrid w:val="0"/>
        <w:spacing w:line="260" w:lineRule="exact"/>
        <w:rPr>
          <w:rFonts w:ascii="宋体" w:hAnsi="宋体"/>
          <w:szCs w:val="21"/>
        </w:rPr>
      </w:pPr>
    </w:p>
    <w:p w14:paraId="12D98D5D">
      <w:pPr>
        <w:snapToGrid w:val="0"/>
        <w:spacing w:line="260" w:lineRule="exact"/>
        <w:rPr>
          <w:rFonts w:ascii="宋体" w:hAnsi="宋体"/>
          <w:szCs w:val="21"/>
        </w:rPr>
      </w:pPr>
    </w:p>
    <w:p w14:paraId="15450136">
      <w:pPr>
        <w:snapToGrid w:val="0"/>
        <w:spacing w:line="260" w:lineRule="exact"/>
        <w:rPr>
          <w:rFonts w:ascii="宋体" w:hAnsi="宋体"/>
          <w:szCs w:val="21"/>
        </w:rPr>
      </w:pPr>
    </w:p>
    <w:p w14:paraId="1B7B43C3">
      <w:pPr>
        <w:snapToGrid w:val="0"/>
        <w:spacing w:line="260" w:lineRule="exact"/>
        <w:rPr>
          <w:rFonts w:hint="eastAsia" w:ascii="宋体" w:hAnsi="宋体"/>
          <w:szCs w:val="21"/>
        </w:rPr>
      </w:pPr>
      <w:r>
        <w:rPr>
          <w:rFonts w:ascii="宋体" w:hAnsi="宋体"/>
          <w:szCs w:val="21"/>
        </w:rPr>
        <w:t>信贷政策</w:t>
      </w:r>
    </w:p>
    <w:p w14:paraId="6FF40A12">
      <w:pPr>
        <w:spacing w:line="260" w:lineRule="exact"/>
        <w:rPr>
          <w:rFonts w:hint="eastAsia" w:ascii="宋体" w:hAnsi="宋体"/>
          <w:szCs w:val="21"/>
        </w:rPr>
      </w:pPr>
      <w:r>
        <w:rPr>
          <w:rFonts w:ascii="宋体" w:hAnsi="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58C3666D">
      <w:pPr>
        <w:spacing w:line="240" w:lineRule="exact"/>
        <w:contextualSpacing/>
        <w:rPr>
          <w:rFonts w:hint="eastAsia" w:ascii="宋体" w:hAnsi="宋体"/>
          <w:sz w:val="24"/>
          <w:szCs w:val="20"/>
        </w:rPr>
      </w:pP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9A8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4FFB77C3">
            <w:pPr>
              <w:spacing w:line="240" w:lineRule="exact"/>
              <w:contextualSpacing/>
              <w:rPr>
                <w:rFonts w:hint="eastAsia" w:ascii="宋体" w:hAnsi="宋体"/>
                <w:szCs w:val="21"/>
              </w:rPr>
            </w:pPr>
            <w:r>
              <w:rPr>
                <w:rFonts w:hint="eastAsia" w:ascii="宋体" w:hAnsi="宋体"/>
                <w:szCs w:val="21"/>
              </w:rPr>
              <w:t>舟山市政府采购信用融资合作银行</w:t>
            </w:r>
          </w:p>
        </w:tc>
      </w:tr>
      <w:tr w14:paraId="4480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003AABD1">
            <w:pPr>
              <w:spacing w:line="240" w:lineRule="exact"/>
              <w:contextualSpacing/>
              <w:jc w:val="center"/>
              <w:rPr>
                <w:rFonts w:hint="eastAsia" w:ascii="宋体" w:hAnsi="宋体"/>
                <w:szCs w:val="21"/>
              </w:rPr>
            </w:pPr>
            <w:r>
              <w:rPr>
                <w:rFonts w:hint="eastAsia" w:ascii="宋体" w:hAnsi="宋体"/>
                <w:szCs w:val="21"/>
              </w:rPr>
              <w:t>银行名称</w:t>
            </w:r>
          </w:p>
        </w:tc>
        <w:tc>
          <w:tcPr>
            <w:tcW w:w="3975" w:type="dxa"/>
            <w:vAlign w:val="center"/>
          </w:tcPr>
          <w:p w14:paraId="0FA3B3A8">
            <w:pPr>
              <w:spacing w:line="240" w:lineRule="exact"/>
              <w:contextualSpacing/>
              <w:jc w:val="center"/>
              <w:rPr>
                <w:rFonts w:hint="eastAsia" w:ascii="宋体" w:hAnsi="宋体"/>
                <w:szCs w:val="21"/>
              </w:rPr>
            </w:pPr>
            <w:r>
              <w:rPr>
                <w:rFonts w:hint="eastAsia" w:ascii="宋体" w:hAnsi="宋体"/>
                <w:szCs w:val="21"/>
              </w:rPr>
              <w:t>各银行介绍的产品特点</w:t>
            </w:r>
          </w:p>
        </w:tc>
        <w:tc>
          <w:tcPr>
            <w:tcW w:w="2220" w:type="dxa"/>
            <w:vAlign w:val="center"/>
          </w:tcPr>
          <w:p w14:paraId="6CC686D2">
            <w:pPr>
              <w:spacing w:line="240" w:lineRule="exact"/>
              <w:contextualSpacing/>
              <w:jc w:val="center"/>
              <w:rPr>
                <w:rFonts w:hint="eastAsia" w:ascii="宋体" w:hAnsi="宋体"/>
                <w:szCs w:val="21"/>
              </w:rPr>
            </w:pPr>
            <w:r>
              <w:rPr>
                <w:rFonts w:hint="eastAsia" w:ascii="宋体" w:hAnsi="宋体"/>
                <w:szCs w:val="21"/>
              </w:rPr>
              <w:t>经办人</w:t>
            </w:r>
          </w:p>
        </w:tc>
        <w:tc>
          <w:tcPr>
            <w:tcW w:w="1908" w:type="dxa"/>
            <w:vAlign w:val="center"/>
          </w:tcPr>
          <w:p w14:paraId="4DC82904">
            <w:pPr>
              <w:spacing w:line="240" w:lineRule="exact"/>
              <w:contextualSpacing/>
              <w:jc w:val="center"/>
              <w:rPr>
                <w:rFonts w:hint="eastAsia" w:ascii="宋体" w:hAnsi="宋体"/>
                <w:szCs w:val="21"/>
              </w:rPr>
            </w:pPr>
            <w:r>
              <w:rPr>
                <w:rFonts w:hint="eastAsia" w:ascii="宋体" w:hAnsi="宋体"/>
                <w:szCs w:val="21"/>
              </w:rPr>
              <w:t>联系方式</w:t>
            </w:r>
          </w:p>
        </w:tc>
      </w:tr>
      <w:tr w14:paraId="7C67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61333C23">
            <w:pPr>
              <w:spacing w:line="240" w:lineRule="exact"/>
              <w:contextualSpacing/>
              <w:rPr>
                <w:rFonts w:hint="eastAsia" w:ascii="宋体" w:hAnsi="宋体"/>
                <w:szCs w:val="21"/>
              </w:rPr>
            </w:pPr>
            <w:r>
              <w:rPr>
                <w:rFonts w:hint="eastAsia" w:ascii="宋体" w:hAnsi="宋体"/>
                <w:szCs w:val="21"/>
              </w:rPr>
              <w:t>中国工商银行股份有限公司舟山分行</w:t>
            </w:r>
          </w:p>
        </w:tc>
        <w:tc>
          <w:tcPr>
            <w:tcW w:w="3975" w:type="dxa"/>
          </w:tcPr>
          <w:p w14:paraId="64096E06">
            <w:pPr>
              <w:numPr>
                <w:ilvl w:val="0"/>
                <w:numId w:val="9"/>
              </w:numPr>
              <w:spacing w:line="240" w:lineRule="exact"/>
              <w:contextualSpacing/>
              <w:rPr>
                <w:rFonts w:hint="eastAsia"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6C6AAC7C">
            <w:pPr>
              <w:spacing w:line="240" w:lineRule="exact"/>
              <w:contextualSpacing/>
              <w:rPr>
                <w:rFonts w:hint="eastAsia" w:ascii="宋体" w:hAnsi="宋体"/>
                <w:szCs w:val="21"/>
              </w:rPr>
            </w:pPr>
            <w:r>
              <w:rPr>
                <w:rFonts w:hint="eastAsia" w:ascii="宋体" w:hAnsi="宋体" w:cs="仿宋_GB2312"/>
                <w:szCs w:val="21"/>
              </w:rPr>
              <w:t>3.担保方式灵活，以政府采购合同进行融资，无需另外抵押。</w:t>
            </w:r>
          </w:p>
        </w:tc>
        <w:tc>
          <w:tcPr>
            <w:tcW w:w="2220" w:type="dxa"/>
            <w:vAlign w:val="center"/>
          </w:tcPr>
          <w:p w14:paraId="316ECFB7">
            <w:pPr>
              <w:spacing w:line="240" w:lineRule="exact"/>
              <w:contextualSpacing/>
              <w:jc w:val="center"/>
              <w:rPr>
                <w:rFonts w:hint="eastAsia" w:ascii="宋体" w:hAnsi="宋体"/>
                <w:szCs w:val="21"/>
              </w:rPr>
            </w:pPr>
            <w:r>
              <w:rPr>
                <w:rFonts w:hint="eastAsia" w:ascii="宋体" w:hAnsi="宋体"/>
                <w:szCs w:val="21"/>
              </w:rPr>
              <w:t>柳超颖</w:t>
            </w:r>
          </w:p>
        </w:tc>
        <w:tc>
          <w:tcPr>
            <w:tcW w:w="1908" w:type="dxa"/>
            <w:vAlign w:val="center"/>
          </w:tcPr>
          <w:p w14:paraId="6AF159AD">
            <w:pPr>
              <w:spacing w:line="240" w:lineRule="exact"/>
              <w:contextualSpacing/>
              <w:rPr>
                <w:rFonts w:hint="eastAsia" w:ascii="宋体" w:hAnsi="宋体"/>
                <w:szCs w:val="21"/>
              </w:rPr>
            </w:pPr>
            <w:r>
              <w:rPr>
                <w:rFonts w:hint="eastAsia" w:ascii="宋体" w:hAnsi="宋体"/>
                <w:szCs w:val="21"/>
              </w:rPr>
              <w:t>0580-2166242, 15858076468</w:t>
            </w:r>
          </w:p>
        </w:tc>
      </w:tr>
      <w:tr w14:paraId="1270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A417477">
            <w:pPr>
              <w:spacing w:line="240" w:lineRule="exact"/>
              <w:contextualSpacing/>
              <w:rPr>
                <w:rFonts w:hint="eastAsia" w:ascii="宋体" w:hAnsi="宋体"/>
                <w:szCs w:val="21"/>
              </w:rPr>
            </w:pPr>
            <w:r>
              <w:rPr>
                <w:rFonts w:hint="eastAsia" w:ascii="宋体" w:hAnsi="宋体"/>
                <w:szCs w:val="21"/>
              </w:rPr>
              <w:t>中国建设银行股份有限公司舟山分行</w:t>
            </w:r>
          </w:p>
        </w:tc>
        <w:tc>
          <w:tcPr>
            <w:tcW w:w="3975" w:type="dxa"/>
          </w:tcPr>
          <w:p w14:paraId="77794F0E">
            <w:pPr>
              <w:numPr>
                <w:ilvl w:val="0"/>
                <w:numId w:val="10"/>
              </w:numPr>
              <w:spacing w:line="240" w:lineRule="exact"/>
              <w:contextualSpacing/>
              <w:rPr>
                <w:rFonts w:hint="eastAsia" w:ascii="宋体" w:hAnsi="宋体"/>
                <w:szCs w:val="21"/>
              </w:rPr>
            </w:pPr>
            <w:r>
              <w:rPr>
                <w:rFonts w:hint="eastAsia" w:ascii="宋体" w:hAnsi="宋体"/>
                <w:szCs w:val="21"/>
              </w:rPr>
              <w:t>快速便捷：全流程线上操作，通过浙江省政府采购网数据审核信用额度，建行供应链平台快速放款。</w:t>
            </w:r>
          </w:p>
          <w:p w14:paraId="5E2F8417">
            <w:pPr>
              <w:numPr>
                <w:ilvl w:val="0"/>
                <w:numId w:val="10"/>
              </w:numPr>
              <w:spacing w:line="240" w:lineRule="exact"/>
              <w:contextualSpacing/>
              <w:rPr>
                <w:rFonts w:hint="eastAsia" w:ascii="宋体" w:hAnsi="宋体"/>
                <w:szCs w:val="21"/>
              </w:rPr>
            </w:pPr>
            <w:r>
              <w:rPr>
                <w:rFonts w:hint="eastAsia" w:ascii="宋体" w:hAnsi="宋体"/>
                <w:szCs w:val="21"/>
              </w:rPr>
              <w:t>申请额度高：单笔融资额度最高可达政府采购合同金额的90%，单户额度最高可达3000万。</w:t>
            </w:r>
          </w:p>
          <w:p w14:paraId="673A5F09">
            <w:pPr>
              <w:numPr>
                <w:ilvl w:val="0"/>
                <w:numId w:val="10"/>
              </w:numPr>
              <w:spacing w:line="240" w:lineRule="exact"/>
              <w:contextualSpacing/>
              <w:rPr>
                <w:rFonts w:hint="eastAsia" w:ascii="宋体" w:hAnsi="宋体"/>
                <w:szCs w:val="21"/>
              </w:rPr>
            </w:pPr>
            <w:r>
              <w:rPr>
                <w:rFonts w:hint="eastAsia" w:ascii="宋体" w:hAnsi="宋体"/>
                <w:szCs w:val="21"/>
              </w:rPr>
              <w:t>无需额外抵押：以浙江省政府采购网备案公示的政府采购合同进行融资，无需额外抵押担保。</w:t>
            </w:r>
          </w:p>
          <w:p w14:paraId="4DF22FEB">
            <w:pPr>
              <w:numPr>
                <w:ilvl w:val="0"/>
                <w:numId w:val="10"/>
              </w:numPr>
              <w:spacing w:line="240" w:lineRule="exact"/>
              <w:contextualSpacing/>
              <w:rPr>
                <w:rFonts w:hint="eastAsia" w:ascii="宋体" w:hAnsi="宋体"/>
                <w:szCs w:val="21"/>
              </w:rPr>
            </w:pPr>
            <w:r>
              <w:rPr>
                <w:rFonts w:hint="eastAsia" w:ascii="宋体" w:hAnsi="宋体"/>
                <w:szCs w:val="21"/>
              </w:rPr>
              <w:t>利率优惠：给予流动资金贷款最优惠利率。</w:t>
            </w:r>
          </w:p>
        </w:tc>
        <w:tc>
          <w:tcPr>
            <w:tcW w:w="2220" w:type="dxa"/>
            <w:vAlign w:val="center"/>
          </w:tcPr>
          <w:p w14:paraId="2039F8DA">
            <w:pPr>
              <w:spacing w:line="240" w:lineRule="exact"/>
              <w:contextualSpacing/>
              <w:jc w:val="center"/>
              <w:rPr>
                <w:rFonts w:hint="eastAsia" w:ascii="宋体" w:hAnsi="宋体"/>
                <w:szCs w:val="21"/>
              </w:rPr>
            </w:pPr>
            <w:r>
              <w:rPr>
                <w:rFonts w:hint="eastAsia" w:ascii="宋体" w:hAnsi="宋体"/>
                <w:szCs w:val="21"/>
              </w:rPr>
              <w:t>普陀片区：蔡妮妮</w:t>
            </w:r>
          </w:p>
          <w:p w14:paraId="5D047940">
            <w:pPr>
              <w:spacing w:line="240" w:lineRule="exact"/>
              <w:ind w:firstLine="210" w:firstLineChars="100"/>
              <w:contextualSpacing/>
              <w:jc w:val="both"/>
              <w:rPr>
                <w:rFonts w:hint="eastAsia" w:ascii="宋体" w:hAnsi="宋体"/>
                <w:szCs w:val="21"/>
              </w:rPr>
            </w:pPr>
            <w:r>
              <w:rPr>
                <w:rFonts w:hint="eastAsia" w:ascii="宋体" w:hAnsi="宋体"/>
                <w:szCs w:val="21"/>
              </w:rPr>
              <w:t>定海片区：杨莹</w:t>
            </w:r>
          </w:p>
          <w:p w14:paraId="670211B4">
            <w:pPr>
              <w:spacing w:line="240" w:lineRule="exact"/>
              <w:contextualSpacing/>
              <w:jc w:val="center"/>
              <w:rPr>
                <w:rFonts w:hint="eastAsia" w:ascii="宋体" w:hAnsi="宋体"/>
                <w:szCs w:val="21"/>
              </w:rPr>
            </w:pPr>
            <w:r>
              <w:rPr>
                <w:rFonts w:hint="eastAsia" w:ascii="宋体" w:hAnsi="宋体"/>
                <w:szCs w:val="21"/>
              </w:rPr>
              <w:t>自贸区片区：方晓</w:t>
            </w:r>
          </w:p>
        </w:tc>
        <w:tc>
          <w:tcPr>
            <w:tcW w:w="1908" w:type="dxa"/>
            <w:vAlign w:val="center"/>
          </w:tcPr>
          <w:p w14:paraId="6F59814A">
            <w:pPr>
              <w:spacing w:line="240" w:lineRule="exact"/>
              <w:contextualSpacing/>
              <w:rPr>
                <w:rFonts w:hint="eastAsia" w:ascii="宋体" w:hAnsi="宋体"/>
                <w:szCs w:val="21"/>
              </w:rPr>
            </w:pPr>
            <w:r>
              <w:rPr>
                <w:rFonts w:hint="eastAsia" w:ascii="宋体" w:hAnsi="宋体"/>
                <w:szCs w:val="21"/>
              </w:rPr>
              <w:t>普陀片区：13957201791</w:t>
            </w:r>
          </w:p>
          <w:p w14:paraId="2FEF0950">
            <w:pPr>
              <w:spacing w:line="240" w:lineRule="exact"/>
              <w:contextualSpacing/>
              <w:rPr>
                <w:rFonts w:hint="eastAsia" w:ascii="宋体" w:hAnsi="宋体"/>
                <w:szCs w:val="21"/>
              </w:rPr>
            </w:pPr>
            <w:r>
              <w:rPr>
                <w:rFonts w:hint="eastAsia" w:ascii="宋体" w:hAnsi="宋体"/>
                <w:szCs w:val="21"/>
              </w:rPr>
              <w:t>定海片区：13655803997</w:t>
            </w:r>
          </w:p>
          <w:p w14:paraId="258469C8">
            <w:pPr>
              <w:spacing w:line="240" w:lineRule="exact"/>
              <w:contextualSpacing/>
              <w:rPr>
                <w:rFonts w:hint="eastAsia" w:ascii="宋体" w:hAnsi="宋体"/>
                <w:szCs w:val="21"/>
              </w:rPr>
            </w:pPr>
            <w:r>
              <w:rPr>
                <w:rFonts w:hint="eastAsia" w:ascii="宋体" w:hAnsi="宋体"/>
                <w:szCs w:val="21"/>
              </w:rPr>
              <w:t>自贸区片区：13587086324</w:t>
            </w:r>
          </w:p>
        </w:tc>
      </w:tr>
      <w:tr w14:paraId="3D32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2F9CD13">
            <w:pPr>
              <w:spacing w:line="240" w:lineRule="exact"/>
              <w:contextualSpacing/>
              <w:rPr>
                <w:rFonts w:hint="eastAsia" w:ascii="宋体" w:hAnsi="宋体"/>
                <w:szCs w:val="21"/>
              </w:rPr>
            </w:pPr>
            <w:r>
              <w:rPr>
                <w:rFonts w:hint="eastAsia" w:ascii="宋体" w:hAnsi="宋体"/>
                <w:szCs w:val="21"/>
              </w:rPr>
              <w:t>杭州银行股份有限公司舟山市分行</w:t>
            </w:r>
          </w:p>
        </w:tc>
        <w:tc>
          <w:tcPr>
            <w:tcW w:w="3975" w:type="dxa"/>
          </w:tcPr>
          <w:p w14:paraId="6BE8CBB7">
            <w:pPr>
              <w:spacing w:line="240" w:lineRule="exact"/>
              <w:contextualSpacing/>
              <w:rPr>
                <w:rFonts w:hint="eastAsia"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19AB50F5">
            <w:pPr>
              <w:spacing w:line="240" w:lineRule="exact"/>
              <w:contextualSpacing/>
              <w:jc w:val="center"/>
              <w:rPr>
                <w:rFonts w:hint="eastAsia" w:ascii="宋体" w:hAnsi="宋体"/>
                <w:szCs w:val="21"/>
              </w:rPr>
            </w:pPr>
            <w:r>
              <w:rPr>
                <w:rFonts w:hint="eastAsia" w:ascii="宋体" w:hAnsi="宋体"/>
                <w:szCs w:val="21"/>
              </w:rPr>
              <w:t>方经理</w:t>
            </w:r>
          </w:p>
        </w:tc>
        <w:tc>
          <w:tcPr>
            <w:tcW w:w="1908" w:type="dxa"/>
            <w:vAlign w:val="center"/>
          </w:tcPr>
          <w:p w14:paraId="2351458F">
            <w:pPr>
              <w:spacing w:line="240" w:lineRule="exact"/>
              <w:contextualSpacing/>
              <w:rPr>
                <w:rFonts w:hint="eastAsia" w:ascii="宋体" w:hAnsi="宋体"/>
                <w:szCs w:val="21"/>
              </w:rPr>
            </w:pPr>
            <w:r>
              <w:rPr>
                <w:rFonts w:hint="eastAsia" w:ascii="宋体" w:hAnsi="宋体"/>
                <w:szCs w:val="21"/>
              </w:rPr>
              <w:t>0580-2185201，18205800451</w:t>
            </w:r>
          </w:p>
        </w:tc>
      </w:tr>
      <w:tr w14:paraId="3B78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3D26E28">
            <w:pPr>
              <w:spacing w:line="240" w:lineRule="exact"/>
              <w:contextualSpacing/>
              <w:rPr>
                <w:rFonts w:hint="eastAsia" w:ascii="宋体" w:hAnsi="宋体"/>
                <w:szCs w:val="21"/>
              </w:rPr>
            </w:pPr>
            <w:r>
              <w:rPr>
                <w:rFonts w:hint="eastAsia" w:ascii="宋体" w:hAnsi="宋体"/>
                <w:szCs w:val="21"/>
              </w:rPr>
              <w:t>招商银行股份有限公司浙江自贸试验区舟山分行</w:t>
            </w:r>
          </w:p>
        </w:tc>
        <w:tc>
          <w:tcPr>
            <w:tcW w:w="3975" w:type="dxa"/>
          </w:tcPr>
          <w:p w14:paraId="44078602">
            <w:pPr>
              <w:spacing w:line="240" w:lineRule="exact"/>
              <w:rPr>
                <w:rFonts w:hint="eastAsia"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01BC04C6">
            <w:pPr>
              <w:spacing w:line="240" w:lineRule="exact"/>
              <w:contextualSpacing/>
              <w:jc w:val="center"/>
              <w:rPr>
                <w:rFonts w:hint="eastAsia" w:ascii="宋体" w:hAnsi="宋体"/>
                <w:szCs w:val="21"/>
              </w:rPr>
            </w:pPr>
            <w:r>
              <w:rPr>
                <w:rFonts w:hint="eastAsia" w:ascii="宋体" w:hAnsi="宋体"/>
                <w:szCs w:val="21"/>
              </w:rPr>
              <w:t>李玲</w:t>
            </w:r>
          </w:p>
        </w:tc>
        <w:tc>
          <w:tcPr>
            <w:tcW w:w="1908" w:type="dxa"/>
            <w:vAlign w:val="center"/>
          </w:tcPr>
          <w:p w14:paraId="6F6C18BC">
            <w:pPr>
              <w:spacing w:line="240" w:lineRule="exact"/>
              <w:contextualSpacing/>
              <w:rPr>
                <w:rFonts w:hint="eastAsia" w:ascii="宋体" w:hAnsi="宋体"/>
                <w:szCs w:val="21"/>
              </w:rPr>
            </w:pPr>
            <w:r>
              <w:rPr>
                <w:rFonts w:hint="eastAsia" w:ascii="宋体" w:hAnsi="宋体"/>
                <w:szCs w:val="21"/>
              </w:rPr>
              <w:t>0580-2061710，13957227971</w:t>
            </w:r>
          </w:p>
        </w:tc>
      </w:tr>
      <w:tr w14:paraId="04F9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23C62887">
            <w:pPr>
              <w:spacing w:line="240" w:lineRule="exact"/>
              <w:contextualSpacing/>
              <w:rPr>
                <w:rFonts w:hint="eastAsia" w:ascii="宋体" w:hAnsi="宋体"/>
                <w:szCs w:val="21"/>
              </w:rPr>
            </w:pPr>
            <w:r>
              <w:rPr>
                <w:rFonts w:hint="eastAsia" w:ascii="宋体" w:hAnsi="宋体"/>
                <w:szCs w:val="21"/>
              </w:rPr>
              <w:t>温州银行股份有限公司舟山市分行</w:t>
            </w:r>
          </w:p>
        </w:tc>
        <w:tc>
          <w:tcPr>
            <w:tcW w:w="3975" w:type="dxa"/>
          </w:tcPr>
          <w:p w14:paraId="4C9CF353">
            <w:pPr>
              <w:numPr>
                <w:ilvl w:val="0"/>
                <w:numId w:val="11"/>
              </w:numPr>
              <w:spacing w:line="240" w:lineRule="exact"/>
              <w:contextualSpacing/>
              <w:rPr>
                <w:rFonts w:hint="eastAsia"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348C90AD">
            <w:pPr>
              <w:numPr>
                <w:ilvl w:val="0"/>
                <w:numId w:val="11"/>
              </w:numPr>
              <w:spacing w:line="240" w:lineRule="exact"/>
              <w:contextualSpacing/>
              <w:rPr>
                <w:rFonts w:hint="eastAsia"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0EB82933">
            <w:pPr>
              <w:numPr>
                <w:ilvl w:val="0"/>
                <w:numId w:val="11"/>
              </w:numPr>
              <w:spacing w:line="240" w:lineRule="exact"/>
              <w:contextualSpacing/>
              <w:rPr>
                <w:rFonts w:hint="eastAsia"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19669A28">
            <w:pPr>
              <w:numPr>
                <w:ilvl w:val="0"/>
                <w:numId w:val="11"/>
              </w:numPr>
              <w:spacing w:line="240" w:lineRule="exact"/>
              <w:contextualSpacing/>
              <w:rPr>
                <w:rFonts w:hint="eastAsia"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vAlign w:val="center"/>
          </w:tcPr>
          <w:p w14:paraId="062A635D">
            <w:pPr>
              <w:spacing w:line="240" w:lineRule="exact"/>
              <w:contextualSpacing/>
              <w:jc w:val="center"/>
              <w:rPr>
                <w:rFonts w:hint="eastAsia" w:ascii="宋体" w:hAnsi="宋体"/>
                <w:szCs w:val="21"/>
              </w:rPr>
            </w:pPr>
            <w:r>
              <w:rPr>
                <w:rFonts w:hint="eastAsia" w:ascii="宋体" w:hAnsi="宋体"/>
                <w:szCs w:val="21"/>
              </w:rPr>
              <w:t>郑贤栋</w:t>
            </w:r>
          </w:p>
        </w:tc>
        <w:tc>
          <w:tcPr>
            <w:tcW w:w="1908" w:type="dxa"/>
            <w:vAlign w:val="center"/>
          </w:tcPr>
          <w:p w14:paraId="0378286C">
            <w:pPr>
              <w:spacing w:line="240" w:lineRule="exact"/>
              <w:contextualSpacing/>
              <w:rPr>
                <w:rFonts w:hint="eastAsia" w:ascii="宋体" w:hAnsi="宋体"/>
                <w:szCs w:val="21"/>
              </w:rPr>
            </w:pPr>
            <w:r>
              <w:rPr>
                <w:rFonts w:hint="eastAsia" w:ascii="宋体" w:hAnsi="宋体"/>
                <w:szCs w:val="21"/>
              </w:rPr>
              <w:t>058—8866086</w:t>
            </w:r>
          </w:p>
        </w:tc>
      </w:tr>
      <w:tr w14:paraId="6417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539BE01">
            <w:pPr>
              <w:spacing w:line="240" w:lineRule="exact"/>
              <w:contextualSpacing/>
              <w:rPr>
                <w:rFonts w:hint="eastAsia" w:ascii="宋体" w:hAnsi="宋体"/>
                <w:szCs w:val="21"/>
              </w:rPr>
            </w:pPr>
            <w:r>
              <w:rPr>
                <w:rFonts w:hint="eastAsia" w:ascii="宋体" w:hAnsi="宋体"/>
                <w:szCs w:val="21"/>
              </w:rPr>
              <w:t>交通银行股份有限公司舟山分行</w:t>
            </w:r>
          </w:p>
        </w:tc>
        <w:tc>
          <w:tcPr>
            <w:tcW w:w="3975" w:type="dxa"/>
          </w:tcPr>
          <w:p w14:paraId="2982C4B6">
            <w:pPr>
              <w:spacing w:line="240" w:lineRule="exact"/>
              <w:contextualSpacing/>
              <w:rPr>
                <w:rFonts w:hint="eastAsia"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1196AA41">
            <w:pPr>
              <w:spacing w:line="240" w:lineRule="exact"/>
              <w:contextualSpacing/>
              <w:jc w:val="center"/>
              <w:rPr>
                <w:rFonts w:hint="eastAsia" w:ascii="宋体" w:hAnsi="宋体"/>
                <w:szCs w:val="21"/>
              </w:rPr>
            </w:pPr>
            <w:r>
              <w:rPr>
                <w:rFonts w:hint="eastAsia" w:ascii="宋体" w:hAnsi="宋体"/>
                <w:szCs w:val="21"/>
              </w:rPr>
              <w:t>赵争艳</w:t>
            </w:r>
          </w:p>
        </w:tc>
        <w:tc>
          <w:tcPr>
            <w:tcW w:w="1908" w:type="dxa"/>
            <w:vAlign w:val="center"/>
          </w:tcPr>
          <w:p w14:paraId="31D7DC0F">
            <w:pPr>
              <w:spacing w:line="240" w:lineRule="exact"/>
              <w:contextualSpacing/>
              <w:rPr>
                <w:rFonts w:hint="eastAsia" w:ascii="宋体" w:hAnsi="宋体"/>
                <w:szCs w:val="21"/>
              </w:rPr>
            </w:pPr>
            <w:r>
              <w:rPr>
                <w:rFonts w:hint="eastAsia" w:ascii="宋体" w:hAnsi="宋体"/>
                <w:szCs w:val="21"/>
              </w:rPr>
              <w:t>0580-2260728</w:t>
            </w:r>
          </w:p>
          <w:p w14:paraId="55015476">
            <w:pPr>
              <w:spacing w:line="240" w:lineRule="exact"/>
              <w:contextualSpacing/>
              <w:rPr>
                <w:rFonts w:hint="eastAsia" w:ascii="宋体" w:hAnsi="宋体"/>
                <w:szCs w:val="21"/>
              </w:rPr>
            </w:pPr>
            <w:r>
              <w:rPr>
                <w:rFonts w:hint="eastAsia" w:ascii="宋体" w:hAnsi="宋体"/>
                <w:szCs w:val="21"/>
              </w:rPr>
              <w:t>13758007280</w:t>
            </w:r>
          </w:p>
        </w:tc>
      </w:tr>
      <w:tr w14:paraId="102C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3FEC735">
            <w:pPr>
              <w:spacing w:line="240" w:lineRule="exact"/>
              <w:contextualSpacing/>
              <w:rPr>
                <w:rFonts w:hint="eastAsia" w:ascii="宋体" w:hAnsi="宋体"/>
                <w:szCs w:val="21"/>
              </w:rPr>
            </w:pPr>
            <w:r>
              <w:rPr>
                <w:rFonts w:hint="eastAsia" w:ascii="宋体" w:hAnsi="宋体"/>
                <w:szCs w:val="21"/>
              </w:rPr>
              <w:t>中信银行股份有限公司舟山分行</w:t>
            </w:r>
          </w:p>
        </w:tc>
        <w:tc>
          <w:tcPr>
            <w:tcW w:w="3975" w:type="dxa"/>
          </w:tcPr>
          <w:p w14:paraId="5C9B902F">
            <w:pPr>
              <w:spacing w:line="240" w:lineRule="exact"/>
              <w:contextualSpacing/>
              <w:rPr>
                <w:rFonts w:hint="eastAsia"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32698C8">
            <w:pPr>
              <w:spacing w:line="240" w:lineRule="exact"/>
              <w:contextualSpacing/>
              <w:jc w:val="center"/>
              <w:rPr>
                <w:rFonts w:hint="eastAsia" w:ascii="宋体" w:hAnsi="宋体"/>
                <w:szCs w:val="21"/>
              </w:rPr>
            </w:pPr>
            <w:r>
              <w:rPr>
                <w:rFonts w:ascii="宋体" w:hAnsi="宋体"/>
                <w:szCs w:val="21"/>
              </w:rPr>
              <w:t>黄丽</w:t>
            </w:r>
          </w:p>
        </w:tc>
        <w:tc>
          <w:tcPr>
            <w:tcW w:w="1908" w:type="dxa"/>
            <w:vAlign w:val="center"/>
          </w:tcPr>
          <w:p w14:paraId="65665B54">
            <w:pPr>
              <w:spacing w:line="240" w:lineRule="exact"/>
              <w:contextualSpacing/>
              <w:rPr>
                <w:rFonts w:hint="eastAsia" w:ascii="宋体" w:hAnsi="宋体"/>
                <w:szCs w:val="21"/>
              </w:rPr>
            </w:pPr>
            <w:r>
              <w:rPr>
                <w:rFonts w:ascii="宋体" w:hAnsi="宋体"/>
                <w:szCs w:val="21"/>
              </w:rPr>
              <w:t>13905808032</w:t>
            </w:r>
          </w:p>
        </w:tc>
      </w:tr>
      <w:tr w14:paraId="075D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E881D3B">
            <w:pPr>
              <w:spacing w:line="240" w:lineRule="exact"/>
              <w:contextualSpacing/>
              <w:rPr>
                <w:rFonts w:hint="eastAsia" w:ascii="宋体" w:hAnsi="宋体"/>
                <w:szCs w:val="21"/>
              </w:rPr>
            </w:pPr>
            <w:r>
              <w:rPr>
                <w:rFonts w:hint="eastAsia" w:ascii="宋体" w:hAnsi="宋体"/>
                <w:szCs w:val="21"/>
              </w:rPr>
              <w:t>泰隆银行舟山市分行</w:t>
            </w:r>
          </w:p>
        </w:tc>
        <w:tc>
          <w:tcPr>
            <w:tcW w:w="3975" w:type="dxa"/>
          </w:tcPr>
          <w:p w14:paraId="3374A386">
            <w:pPr>
              <w:spacing w:line="240" w:lineRule="exact"/>
              <w:contextualSpacing/>
              <w:rPr>
                <w:rFonts w:hint="eastAsia"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390AF0C5">
            <w:pPr>
              <w:spacing w:line="240" w:lineRule="exact"/>
              <w:contextualSpacing/>
              <w:jc w:val="center"/>
              <w:rPr>
                <w:rFonts w:hint="eastAsia" w:ascii="宋体" w:hAnsi="宋体"/>
                <w:szCs w:val="21"/>
              </w:rPr>
            </w:pPr>
            <w:r>
              <w:rPr>
                <w:rFonts w:hint="eastAsia" w:ascii="宋体" w:hAnsi="宋体"/>
                <w:szCs w:val="21"/>
              </w:rPr>
              <w:t>胡亢宇</w:t>
            </w:r>
          </w:p>
        </w:tc>
        <w:tc>
          <w:tcPr>
            <w:tcW w:w="1908" w:type="dxa"/>
            <w:vAlign w:val="center"/>
          </w:tcPr>
          <w:p w14:paraId="0A9F7B90">
            <w:pPr>
              <w:spacing w:line="240" w:lineRule="exact"/>
              <w:contextualSpacing/>
              <w:rPr>
                <w:rFonts w:hint="eastAsia" w:ascii="宋体" w:hAnsi="宋体"/>
                <w:szCs w:val="21"/>
              </w:rPr>
            </w:pPr>
            <w:r>
              <w:rPr>
                <w:rFonts w:hint="eastAsia" w:ascii="宋体" w:hAnsi="宋体"/>
                <w:szCs w:val="21"/>
              </w:rPr>
              <w:t>17605868703</w:t>
            </w:r>
          </w:p>
        </w:tc>
      </w:tr>
      <w:tr w14:paraId="2106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4DB2890">
            <w:pPr>
              <w:spacing w:line="240" w:lineRule="exact"/>
              <w:contextualSpacing/>
              <w:rPr>
                <w:rFonts w:hint="eastAsia" w:ascii="宋体" w:hAnsi="宋体"/>
                <w:szCs w:val="21"/>
              </w:rPr>
            </w:pPr>
            <w:r>
              <w:rPr>
                <w:rFonts w:hint="eastAsia" w:ascii="宋体" w:hAnsi="宋体"/>
                <w:szCs w:val="21"/>
              </w:rPr>
              <w:t>中国农业银行股份有限公司舟山分行</w:t>
            </w:r>
          </w:p>
        </w:tc>
        <w:tc>
          <w:tcPr>
            <w:tcW w:w="3975" w:type="dxa"/>
          </w:tcPr>
          <w:p w14:paraId="3F282331">
            <w:pPr>
              <w:spacing w:line="240" w:lineRule="exact"/>
              <w:contextualSpacing/>
              <w:rPr>
                <w:rFonts w:hint="eastAsia"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5FAA355E">
            <w:pPr>
              <w:spacing w:line="240" w:lineRule="exact"/>
              <w:contextualSpacing/>
              <w:jc w:val="center"/>
              <w:rPr>
                <w:rFonts w:hint="eastAsia" w:ascii="宋体" w:hAnsi="宋体"/>
                <w:szCs w:val="21"/>
              </w:rPr>
            </w:pPr>
            <w:r>
              <w:rPr>
                <w:rFonts w:hint="eastAsia" w:ascii="宋体" w:hAnsi="宋体"/>
                <w:szCs w:val="21"/>
              </w:rPr>
              <w:t>苏华瞻</w:t>
            </w:r>
          </w:p>
        </w:tc>
        <w:tc>
          <w:tcPr>
            <w:tcW w:w="1908" w:type="dxa"/>
            <w:vAlign w:val="center"/>
          </w:tcPr>
          <w:p w14:paraId="7CC5C7ED">
            <w:pPr>
              <w:spacing w:line="240" w:lineRule="exact"/>
              <w:contextualSpacing/>
              <w:jc w:val="center"/>
              <w:rPr>
                <w:rFonts w:hint="eastAsia" w:ascii="宋体" w:hAnsi="宋体"/>
                <w:szCs w:val="21"/>
              </w:rPr>
            </w:pPr>
            <w:r>
              <w:rPr>
                <w:rFonts w:hint="eastAsia" w:ascii="宋体" w:hAnsi="宋体"/>
                <w:szCs w:val="21"/>
              </w:rPr>
              <w:t>13967228926</w:t>
            </w:r>
          </w:p>
        </w:tc>
      </w:tr>
      <w:tr w14:paraId="2DF6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B09DB3E">
            <w:pPr>
              <w:spacing w:line="240" w:lineRule="exact"/>
              <w:contextualSpacing/>
              <w:rPr>
                <w:rFonts w:hint="eastAsia" w:ascii="宋体" w:hAnsi="宋体"/>
                <w:szCs w:val="21"/>
              </w:rPr>
            </w:pPr>
            <w:r>
              <w:rPr>
                <w:rFonts w:hint="eastAsia" w:ascii="宋体" w:hAnsi="宋体"/>
                <w:szCs w:val="21"/>
              </w:rPr>
              <w:t>中国邮政储蓄银行股份有限公司舟山市分行</w:t>
            </w:r>
          </w:p>
        </w:tc>
        <w:tc>
          <w:tcPr>
            <w:tcW w:w="3975" w:type="dxa"/>
          </w:tcPr>
          <w:p w14:paraId="55B93F57">
            <w:pPr>
              <w:tabs>
                <w:tab w:val="left" w:pos="0"/>
              </w:tabs>
              <w:spacing w:line="240" w:lineRule="exact"/>
              <w:rPr>
                <w:rFonts w:hint="eastAsia"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56E45B4A">
            <w:pPr>
              <w:spacing w:line="240" w:lineRule="exact"/>
              <w:contextualSpacing/>
              <w:jc w:val="center"/>
              <w:rPr>
                <w:rFonts w:hint="eastAsia" w:ascii="宋体" w:hAnsi="宋体"/>
                <w:szCs w:val="21"/>
              </w:rPr>
            </w:pPr>
            <w:r>
              <w:rPr>
                <w:rFonts w:hint="eastAsia" w:ascii="宋体" w:hAnsi="宋体"/>
                <w:szCs w:val="21"/>
              </w:rPr>
              <w:t>蒋志燕</w:t>
            </w:r>
          </w:p>
        </w:tc>
        <w:tc>
          <w:tcPr>
            <w:tcW w:w="1908" w:type="dxa"/>
            <w:vAlign w:val="center"/>
          </w:tcPr>
          <w:p w14:paraId="09603824">
            <w:pPr>
              <w:spacing w:line="240" w:lineRule="exact"/>
              <w:contextualSpacing/>
              <w:rPr>
                <w:rFonts w:hint="eastAsia" w:ascii="宋体" w:hAnsi="宋体"/>
                <w:szCs w:val="21"/>
              </w:rPr>
            </w:pPr>
            <w:r>
              <w:rPr>
                <w:rFonts w:hint="eastAsia" w:ascii="宋体" w:hAnsi="宋体"/>
                <w:szCs w:val="21"/>
              </w:rPr>
              <w:t>13732527321</w:t>
            </w:r>
          </w:p>
        </w:tc>
      </w:tr>
    </w:tbl>
    <w:p w14:paraId="716D853C">
      <w:pPr>
        <w:spacing w:line="260" w:lineRule="exact"/>
        <w:ind w:firstLine="555"/>
        <w:rPr>
          <w:rFonts w:hint="eastAsia" w:ascii="宋体" w:hAnsi="宋体"/>
          <w:szCs w:val="21"/>
        </w:rPr>
      </w:pPr>
      <w:r>
        <w:rPr>
          <w:rFonts w:ascii="宋体" w:hAnsi="宋体"/>
          <w:szCs w:val="21"/>
        </w:rPr>
        <w:t>2.一般步骤</w:t>
      </w:r>
    </w:p>
    <w:p w14:paraId="6853FD92">
      <w:pPr>
        <w:spacing w:line="260" w:lineRule="exact"/>
        <w:ind w:firstLine="555"/>
        <w:rPr>
          <w:rFonts w:hint="eastAsia" w:ascii="宋体" w:hAnsi="宋体"/>
          <w:szCs w:val="21"/>
        </w:rPr>
      </w:pPr>
      <w:r>
        <w:rPr>
          <w:rFonts w:ascii="宋体" w:hAnsi="宋体"/>
          <w:szCs w:val="21"/>
        </w:rPr>
        <w:t>（1）供应商先与银行对接，办理融资前期手续；</w:t>
      </w:r>
    </w:p>
    <w:p w14:paraId="6A43CEEA">
      <w:pPr>
        <w:spacing w:line="260" w:lineRule="exact"/>
        <w:ind w:firstLine="555"/>
        <w:rPr>
          <w:rFonts w:hint="eastAsia" w:ascii="宋体" w:hAnsi="宋体"/>
          <w:szCs w:val="21"/>
        </w:rPr>
      </w:pPr>
      <w:r>
        <w:rPr>
          <w:rFonts w:ascii="宋体" w:hAnsi="宋体"/>
          <w:szCs w:val="21"/>
        </w:rPr>
        <w:t>（2）供应商中标后，凭中标通知书等材料，向相关合作银行发出融资申请；</w:t>
      </w:r>
    </w:p>
    <w:p w14:paraId="46034462">
      <w:pPr>
        <w:spacing w:line="260" w:lineRule="exact"/>
        <w:ind w:firstLine="555"/>
        <w:rPr>
          <w:rFonts w:hint="eastAsia" w:ascii="宋体" w:hAnsi="宋体"/>
          <w:szCs w:val="21"/>
        </w:rPr>
      </w:pPr>
      <w:r>
        <w:rPr>
          <w:rFonts w:ascii="宋体" w:hAnsi="宋体"/>
          <w:szCs w:val="21"/>
        </w:rPr>
        <w:t>（3）银行、供应商线</w:t>
      </w:r>
      <w:r>
        <w:rPr>
          <w:rFonts w:hint="eastAsia" w:ascii="宋体" w:hAnsi="宋体"/>
          <w:szCs w:val="21"/>
        </w:rPr>
        <w:t>上</w:t>
      </w:r>
      <w:r>
        <w:rPr>
          <w:rFonts w:ascii="宋体" w:hAnsi="宋体"/>
          <w:szCs w:val="21"/>
        </w:rPr>
        <w:t>办理审批、放贷事宜。</w:t>
      </w:r>
    </w:p>
    <w:p w14:paraId="5ACE4182">
      <w:pPr>
        <w:spacing w:line="260" w:lineRule="exact"/>
        <w:ind w:firstLine="555"/>
        <w:rPr>
          <w:rFonts w:hint="eastAsia" w:ascii="宋体" w:hAnsi="宋体"/>
          <w:szCs w:val="21"/>
        </w:rPr>
      </w:pPr>
      <w:r>
        <w:rPr>
          <w:rFonts w:ascii="宋体" w:hAnsi="宋体"/>
          <w:szCs w:val="21"/>
        </w:rPr>
        <w:t>3.注意事项</w:t>
      </w:r>
    </w:p>
    <w:p w14:paraId="34DDF779">
      <w:pPr>
        <w:spacing w:line="260" w:lineRule="exact"/>
        <w:ind w:firstLine="555"/>
        <w:rPr>
          <w:rFonts w:hint="eastAsia" w:ascii="宋体" w:hAnsi="宋体"/>
          <w:szCs w:val="21"/>
        </w:rPr>
      </w:pPr>
      <w:r>
        <w:rPr>
          <w:rFonts w:ascii="宋体" w:hAnsi="宋体"/>
          <w:szCs w:val="21"/>
        </w:rPr>
        <w:t>（1）</w:t>
      </w:r>
      <w:r>
        <w:rPr>
          <w:rFonts w:hint="eastAsia" w:ascii="宋体" w:hAnsi="宋体"/>
          <w:szCs w:val="21"/>
        </w:rPr>
        <w:t>中标人</w:t>
      </w:r>
      <w:r>
        <w:rPr>
          <w:rFonts w:ascii="宋体" w:hAnsi="宋体"/>
          <w:szCs w:val="21"/>
        </w:rPr>
        <w:t>需确保政府采购合同的收款账户与融资银行开户账户一致。</w:t>
      </w:r>
    </w:p>
    <w:p w14:paraId="7BD3DD29">
      <w:pPr>
        <w:spacing w:line="260" w:lineRule="exact"/>
        <w:ind w:firstLine="555"/>
        <w:rPr>
          <w:rFonts w:hint="eastAsia" w:ascii="宋体" w:hAnsi="宋体"/>
          <w:szCs w:val="21"/>
        </w:rPr>
      </w:pPr>
      <w:r>
        <w:rPr>
          <w:rFonts w:ascii="宋体" w:hAnsi="宋体"/>
          <w:szCs w:val="21"/>
        </w:rPr>
        <w:t>（2）用于政府采购信用融资的政府采购合同，应当包含如下条款：“第条：政府采购合同贷款</w:t>
      </w:r>
    </w:p>
    <w:p w14:paraId="4923A7BA">
      <w:pPr>
        <w:spacing w:line="260" w:lineRule="exact"/>
        <w:ind w:firstLine="555"/>
        <w:rPr>
          <w:rFonts w:hint="eastAsia" w:ascii="宋体" w:hAnsi="宋体"/>
          <w:szCs w:val="21"/>
        </w:rPr>
      </w:pPr>
      <w:r>
        <w:rPr>
          <w:rFonts w:ascii="宋体" w:hAnsi="宋体"/>
          <w:szCs w:val="21"/>
        </w:rPr>
        <w:t>本合同同时用于乙方向银行（金融机构）申请政府采购信用贷款。</w:t>
      </w:r>
    </w:p>
    <w:p w14:paraId="1547C4D8">
      <w:pPr>
        <w:spacing w:line="260" w:lineRule="exact"/>
        <w:ind w:firstLine="555"/>
        <w:rPr>
          <w:rFonts w:hint="eastAsia" w:ascii="宋体" w:hAnsi="宋体"/>
          <w:szCs w:val="21"/>
        </w:rPr>
      </w:pPr>
      <w:r>
        <w:rPr>
          <w:rFonts w:ascii="宋体" w:hAnsi="宋体"/>
          <w:szCs w:val="21"/>
        </w:rPr>
        <w:t>本合同一经签订，原则上不得更改乙方收款账户信息。确须更改的，乙方应取得原合同收款账户开户银行书面同意，否则修改后的合同不予备案，采购资金不予支付。”</w:t>
      </w:r>
    </w:p>
    <w:p w14:paraId="035C40BA">
      <w:pPr>
        <w:tabs>
          <w:tab w:val="left" w:pos="2472"/>
        </w:tabs>
        <w:snapToGrid w:val="0"/>
        <w:spacing w:before="120" w:line="312" w:lineRule="auto"/>
        <w:ind w:right="-87"/>
        <w:jc w:val="both"/>
        <w:rPr>
          <w:rFonts w:eastAsia="黑体"/>
          <w:sz w:val="30"/>
        </w:rPr>
      </w:pPr>
    </w:p>
    <w:p w14:paraId="393F539A">
      <w:pPr>
        <w:tabs>
          <w:tab w:val="left" w:pos="2472"/>
        </w:tabs>
        <w:snapToGrid w:val="0"/>
        <w:spacing w:before="120" w:line="312" w:lineRule="auto"/>
        <w:ind w:right="-87"/>
        <w:jc w:val="both"/>
        <w:rPr>
          <w:rFonts w:hint="eastAsia" w:eastAsia="黑体"/>
          <w:sz w:val="30"/>
        </w:rPr>
      </w:pPr>
    </w:p>
    <w:p w14:paraId="642761ED">
      <w:pPr>
        <w:tabs>
          <w:tab w:val="left" w:pos="2472"/>
        </w:tabs>
        <w:snapToGrid w:val="0"/>
        <w:spacing w:before="120" w:line="312" w:lineRule="auto"/>
        <w:ind w:right="-87"/>
        <w:jc w:val="center"/>
        <w:rPr>
          <w:rFonts w:eastAsia="黑体"/>
          <w:sz w:val="30"/>
        </w:rPr>
      </w:pPr>
      <w:r>
        <w:rPr>
          <w:rFonts w:hint="eastAsia" w:eastAsia="黑体"/>
          <w:sz w:val="30"/>
        </w:rPr>
        <w:t>第六章　投标文件格式</w:t>
      </w:r>
    </w:p>
    <w:p w14:paraId="0DF1C006">
      <w:pPr>
        <w:snapToGrid w:val="0"/>
        <w:spacing w:line="360" w:lineRule="auto"/>
        <w:ind w:right="-85"/>
        <w:rPr>
          <w:sz w:val="24"/>
        </w:rPr>
      </w:pPr>
    </w:p>
    <w:p w14:paraId="6AA57BCF">
      <w:pPr>
        <w:snapToGrid w:val="0"/>
        <w:spacing w:line="360" w:lineRule="auto"/>
        <w:ind w:right="-85"/>
        <w:rPr>
          <w:sz w:val="24"/>
        </w:rPr>
      </w:pPr>
    </w:p>
    <w:p w14:paraId="1518D333">
      <w:pPr>
        <w:snapToGrid w:val="0"/>
        <w:spacing w:line="360" w:lineRule="auto"/>
        <w:ind w:right="-85"/>
        <w:rPr>
          <w:sz w:val="24"/>
        </w:rPr>
      </w:pPr>
      <w:r>
        <w:rPr>
          <w:rFonts w:hint="eastAsia"/>
          <w:b/>
          <w:bCs/>
          <w:sz w:val="24"/>
        </w:rPr>
        <w:t>一</w:t>
      </w:r>
      <w:r>
        <w:rPr>
          <w:rFonts w:hint="eastAsia"/>
          <w:sz w:val="24"/>
        </w:rPr>
        <w:t>、</w:t>
      </w:r>
      <w:r>
        <w:rPr>
          <w:rFonts w:hint="eastAsia"/>
          <w:b/>
          <w:sz w:val="24"/>
        </w:rPr>
        <w:t>备份文件包装封面（格式供参考）</w:t>
      </w:r>
      <w:r>
        <w:rPr>
          <w:rFonts w:hint="eastAsia"/>
          <w:sz w:val="24"/>
        </w:rPr>
        <w:t>：</w:t>
      </w:r>
    </w:p>
    <w:p w14:paraId="7E95EA12">
      <w:pPr>
        <w:snapToGrid w:val="0"/>
        <w:spacing w:line="360" w:lineRule="auto"/>
        <w:ind w:right="-85"/>
        <w:jc w:val="center"/>
        <w:rPr>
          <w:sz w:val="24"/>
        </w:rPr>
      </w:pPr>
    </w:p>
    <w:p w14:paraId="4A2FFD18">
      <w:pPr>
        <w:snapToGrid w:val="0"/>
        <w:spacing w:line="360" w:lineRule="auto"/>
        <w:ind w:right="-85"/>
        <w:jc w:val="center"/>
        <w:rPr>
          <w:b/>
          <w:sz w:val="44"/>
        </w:rPr>
      </w:pPr>
      <w:r>
        <w:rPr>
          <w:rFonts w:hint="eastAsia"/>
          <w:b/>
          <w:sz w:val="44"/>
        </w:rPr>
        <w:t>投标文件</w:t>
      </w:r>
    </w:p>
    <w:p w14:paraId="10CAF587">
      <w:pPr>
        <w:snapToGrid w:val="0"/>
        <w:spacing w:line="360" w:lineRule="auto"/>
        <w:ind w:right="-85"/>
        <w:rPr>
          <w:sz w:val="24"/>
        </w:rPr>
      </w:pPr>
    </w:p>
    <w:p w14:paraId="29D05C13">
      <w:pPr>
        <w:snapToGrid w:val="0"/>
        <w:spacing w:line="360" w:lineRule="auto"/>
        <w:ind w:right="-85" w:firstLine="1124" w:firstLineChars="400"/>
        <w:rPr>
          <w:b/>
          <w:sz w:val="28"/>
        </w:rPr>
      </w:pPr>
      <w:r>
        <w:rPr>
          <w:rFonts w:hint="eastAsia"/>
          <w:b/>
          <w:sz w:val="28"/>
        </w:rPr>
        <w:t>项目名称：</w:t>
      </w:r>
    </w:p>
    <w:p w14:paraId="68AEDACB">
      <w:pPr>
        <w:snapToGrid w:val="0"/>
        <w:spacing w:line="360" w:lineRule="auto"/>
        <w:ind w:right="-85" w:firstLine="1113" w:firstLineChars="396"/>
        <w:rPr>
          <w:b/>
          <w:sz w:val="28"/>
          <w:u w:val="single"/>
        </w:rPr>
      </w:pPr>
      <w:r>
        <w:rPr>
          <w:rFonts w:hint="eastAsia"/>
          <w:b/>
          <w:sz w:val="28"/>
        </w:rPr>
        <w:t>项目编号：</w:t>
      </w:r>
    </w:p>
    <w:p w14:paraId="1CA2C65C">
      <w:pPr>
        <w:snapToGrid w:val="0"/>
        <w:spacing w:line="360" w:lineRule="auto"/>
        <w:ind w:right="-85" w:firstLine="1169" w:firstLineChars="416"/>
        <w:rPr>
          <w:b/>
          <w:sz w:val="28"/>
        </w:rPr>
      </w:pPr>
      <w:r>
        <w:rPr>
          <w:rFonts w:hint="eastAsia"/>
          <w:b/>
          <w:sz w:val="28"/>
        </w:rPr>
        <w:t>投标人名称：</w:t>
      </w:r>
      <w:r>
        <w:rPr>
          <w:rFonts w:hint="eastAsia"/>
          <w:b/>
          <w:sz w:val="28"/>
          <w:u w:val="single"/>
        </w:rPr>
        <w:t>（</w:t>
      </w:r>
      <w:r>
        <w:rPr>
          <w:rFonts w:hint="eastAsia"/>
          <w:b/>
          <w:sz w:val="28"/>
        </w:rPr>
        <w:t>加盖公章）</w:t>
      </w:r>
    </w:p>
    <w:p w14:paraId="1B9CFB5D">
      <w:pPr>
        <w:snapToGrid w:val="0"/>
        <w:spacing w:line="360" w:lineRule="auto"/>
        <w:ind w:right="-85" w:firstLine="1169" w:firstLineChars="416"/>
        <w:rPr>
          <w:b/>
          <w:sz w:val="28"/>
          <w:u w:val="single"/>
        </w:rPr>
      </w:pPr>
      <w:r>
        <w:rPr>
          <w:rFonts w:hint="eastAsia"/>
          <w:b/>
          <w:sz w:val="28"/>
        </w:rPr>
        <w:t>投标人地址：</w:t>
      </w:r>
    </w:p>
    <w:p w14:paraId="363630A7">
      <w:pPr>
        <w:snapToGrid w:val="0"/>
        <w:spacing w:line="360" w:lineRule="auto"/>
        <w:ind w:right="-85" w:firstLine="1124" w:firstLineChars="400"/>
        <w:rPr>
          <w:b/>
          <w:sz w:val="28"/>
          <w:u w:val="single"/>
        </w:rPr>
      </w:pPr>
      <w:r>
        <w:rPr>
          <w:rFonts w:hint="eastAsia"/>
          <w:b/>
          <w:sz w:val="28"/>
        </w:rPr>
        <w:t>投标联系人：电话</w:t>
      </w:r>
    </w:p>
    <w:p w14:paraId="431C1569">
      <w:pPr>
        <w:snapToGrid w:val="0"/>
        <w:spacing w:line="360" w:lineRule="auto"/>
        <w:ind w:right="-85" w:firstLine="1124" w:firstLineChars="400"/>
        <w:rPr>
          <w:b/>
          <w:sz w:val="28"/>
          <w:u w:val="single"/>
        </w:rPr>
      </w:pPr>
      <w:r>
        <w:rPr>
          <w:rFonts w:hint="eastAsia"/>
          <w:b/>
          <w:sz w:val="28"/>
        </w:rPr>
        <w:t>启封时间：</w:t>
      </w:r>
      <w:r>
        <w:rPr>
          <w:rFonts w:hint="eastAsia"/>
          <w:b/>
          <w:sz w:val="28"/>
          <w:u w:val="single"/>
        </w:rPr>
        <w:t>在</w:t>
      </w:r>
      <w:r>
        <w:rPr>
          <w:b/>
          <w:sz w:val="28"/>
          <w:u w:val="single"/>
        </w:rPr>
        <w:t>20</w:t>
      </w:r>
      <w:r>
        <w:rPr>
          <w:rFonts w:hint="eastAsia"/>
          <w:b/>
          <w:sz w:val="28"/>
          <w:u w:val="single"/>
          <w:lang w:val="en-US" w:eastAsia="zh-CN"/>
        </w:rPr>
        <w:t>25</w:t>
      </w:r>
      <w:r>
        <w:rPr>
          <w:rFonts w:hint="eastAsia"/>
          <w:b/>
          <w:sz w:val="28"/>
          <w:u w:val="single"/>
        </w:rPr>
        <w:t>年</w:t>
      </w:r>
      <w:r>
        <w:rPr>
          <w:rFonts w:hint="eastAsia"/>
          <w:b/>
          <w:sz w:val="28"/>
          <w:u w:val="single"/>
          <w:lang w:val="en-US" w:eastAsia="zh-CN"/>
        </w:rPr>
        <w:t xml:space="preserve"> </w:t>
      </w:r>
      <w:r>
        <w:rPr>
          <w:rFonts w:hint="eastAsia"/>
          <w:b/>
          <w:sz w:val="28"/>
          <w:u w:val="single"/>
        </w:rPr>
        <w:t>月</w:t>
      </w:r>
      <w:r>
        <w:rPr>
          <w:rFonts w:hint="eastAsia"/>
          <w:b/>
          <w:sz w:val="28"/>
          <w:u w:val="single"/>
          <w:lang w:val="en-US" w:eastAsia="zh-CN"/>
        </w:rPr>
        <w:t xml:space="preserve"> </w:t>
      </w:r>
      <w:r>
        <w:rPr>
          <w:rFonts w:hint="eastAsia"/>
          <w:b/>
          <w:sz w:val="28"/>
          <w:u w:val="single"/>
        </w:rPr>
        <w:t>日时分之前不得启封</w:t>
      </w:r>
    </w:p>
    <w:p w14:paraId="144B5D60">
      <w:pPr>
        <w:snapToGrid w:val="0"/>
        <w:spacing w:line="360" w:lineRule="auto"/>
        <w:ind w:right="-85" w:firstLine="4080" w:firstLineChars="1700"/>
        <w:rPr>
          <w:sz w:val="24"/>
        </w:rPr>
      </w:pPr>
    </w:p>
    <w:p w14:paraId="2FF90DCB">
      <w:pPr>
        <w:snapToGrid w:val="0"/>
        <w:spacing w:line="360" w:lineRule="auto"/>
        <w:ind w:right="-85" w:firstLine="645"/>
        <w:jc w:val="right"/>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14:paraId="40F32F4B">
      <w:pPr>
        <w:snapToGrid w:val="0"/>
        <w:spacing w:line="360" w:lineRule="auto"/>
        <w:ind w:right="-85"/>
        <w:outlineLvl w:val="1"/>
        <w:rPr>
          <w:sz w:val="24"/>
          <w:u w:val="single"/>
        </w:rPr>
      </w:pPr>
    </w:p>
    <w:p w14:paraId="059A624F">
      <w:pPr>
        <w:snapToGrid w:val="0"/>
        <w:spacing w:before="120" w:beforeLines="50" w:line="312" w:lineRule="auto"/>
        <w:rPr>
          <w:b/>
          <w:sz w:val="32"/>
        </w:rPr>
      </w:pPr>
    </w:p>
    <w:p w14:paraId="5D6395EE">
      <w:pPr>
        <w:snapToGrid w:val="0"/>
        <w:spacing w:before="120" w:beforeLines="50" w:line="312" w:lineRule="auto"/>
        <w:rPr>
          <w:b/>
          <w:sz w:val="32"/>
        </w:rPr>
      </w:pPr>
    </w:p>
    <w:p w14:paraId="0DFCC2A5">
      <w:pPr>
        <w:spacing w:after="120"/>
        <w:jc w:val="center"/>
        <w:rPr>
          <w:rFonts w:ascii="宋体" w:hAnsi="Calibri"/>
          <w:b/>
          <w:bCs/>
          <w:kern w:val="0"/>
          <w:sz w:val="28"/>
          <w:szCs w:val="28"/>
        </w:rPr>
      </w:pPr>
    </w:p>
    <w:p w14:paraId="101A38DE">
      <w:pPr>
        <w:rPr>
          <w:b/>
          <w:sz w:val="32"/>
        </w:rPr>
      </w:pPr>
    </w:p>
    <w:p w14:paraId="511515DB">
      <w:pPr>
        <w:spacing w:after="120"/>
        <w:jc w:val="center"/>
        <w:rPr>
          <w:rFonts w:ascii="宋体" w:hAnsi="Calibri"/>
          <w:b/>
          <w:bCs/>
          <w:kern w:val="0"/>
          <w:sz w:val="28"/>
          <w:szCs w:val="28"/>
        </w:rPr>
      </w:pPr>
    </w:p>
    <w:p w14:paraId="14C96F73">
      <w:pPr>
        <w:rPr>
          <w:b/>
          <w:sz w:val="32"/>
        </w:rPr>
      </w:pPr>
    </w:p>
    <w:p w14:paraId="19877501">
      <w:pPr>
        <w:spacing w:after="120"/>
        <w:jc w:val="center"/>
        <w:rPr>
          <w:rFonts w:ascii="宋体" w:hAnsi="Calibri"/>
          <w:b/>
          <w:bCs/>
          <w:kern w:val="0"/>
          <w:sz w:val="28"/>
          <w:szCs w:val="28"/>
        </w:rPr>
      </w:pPr>
    </w:p>
    <w:p w14:paraId="3FEE5987">
      <w:pPr>
        <w:rPr>
          <w:b/>
          <w:sz w:val="32"/>
        </w:rPr>
      </w:pPr>
    </w:p>
    <w:p w14:paraId="3A62B15F">
      <w:pPr>
        <w:spacing w:after="120"/>
        <w:jc w:val="center"/>
        <w:rPr>
          <w:rFonts w:ascii="宋体" w:hAnsi="Calibri"/>
          <w:b/>
          <w:bCs/>
          <w:kern w:val="0"/>
          <w:sz w:val="28"/>
          <w:szCs w:val="28"/>
        </w:rPr>
      </w:pPr>
    </w:p>
    <w:p w14:paraId="5A37DE7E">
      <w:pPr>
        <w:snapToGrid w:val="0"/>
        <w:spacing w:before="120" w:beforeLines="50" w:line="312" w:lineRule="auto"/>
        <w:ind w:right="-341"/>
        <w:rPr>
          <w:rFonts w:hint="eastAsia" w:ascii="宋体" w:hAnsi="宋体"/>
          <w:b/>
          <w:sz w:val="28"/>
          <w:szCs w:val="28"/>
        </w:rPr>
      </w:pPr>
    </w:p>
    <w:p w14:paraId="24C94179">
      <w:pPr>
        <w:snapToGrid w:val="0"/>
        <w:spacing w:before="120" w:beforeLines="50" w:line="312" w:lineRule="auto"/>
        <w:ind w:right="-341"/>
        <w:rPr>
          <w:rFonts w:hint="eastAsia" w:ascii="宋体" w:hAnsi="宋体"/>
          <w:b/>
          <w:sz w:val="28"/>
          <w:szCs w:val="28"/>
        </w:rPr>
      </w:pPr>
    </w:p>
    <w:p w14:paraId="37750357">
      <w:pPr>
        <w:snapToGrid w:val="0"/>
        <w:spacing w:before="120" w:beforeLines="50" w:line="312" w:lineRule="auto"/>
        <w:ind w:right="-341"/>
        <w:jc w:val="center"/>
        <w:rPr>
          <w:rFonts w:hint="eastAsia" w:ascii="宋体" w:hAnsi="宋体"/>
          <w:b/>
          <w:sz w:val="32"/>
          <w:szCs w:val="32"/>
        </w:rPr>
      </w:pPr>
      <w:r>
        <w:rPr>
          <w:rFonts w:hint="eastAsia" w:ascii="宋体" w:hAnsi="宋体"/>
          <w:b/>
          <w:sz w:val="32"/>
          <w:szCs w:val="32"/>
        </w:rPr>
        <w:t>二、开标一览表</w:t>
      </w:r>
    </w:p>
    <w:p w14:paraId="53FF885E">
      <w:pPr>
        <w:spacing w:line="360" w:lineRule="auto"/>
        <w:rPr>
          <w:b/>
          <w:sz w:val="24"/>
          <w:szCs w:val="24"/>
        </w:rPr>
      </w:pPr>
    </w:p>
    <w:p w14:paraId="191BEB98">
      <w:pPr>
        <w:snapToGrid w:val="0"/>
        <w:spacing w:before="50" w:after="50"/>
        <w:rPr>
          <w:rFonts w:hint="eastAsia" w:ascii="宋体" w:hAnsi="宋体"/>
        </w:rPr>
      </w:pPr>
    </w:p>
    <w:p w14:paraId="38B7D53E">
      <w:pPr>
        <w:snapToGrid w:val="0"/>
        <w:spacing w:before="50" w:after="50"/>
        <w:rPr>
          <w:rFonts w:hint="eastAsia" w:ascii="宋体" w:hAnsi="宋体"/>
        </w:rPr>
      </w:pPr>
      <w:r>
        <w:rPr>
          <w:rFonts w:hint="eastAsia" w:ascii="宋体" w:hAnsi="宋体"/>
        </w:rPr>
        <w:t>项目名称：</w:t>
      </w:r>
    </w:p>
    <w:p w14:paraId="07102738">
      <w:pPr>
        <w:snapToGrid w:val="0"/>
        <w:spacing w:before="50" w:after="50"/>
        <w:rPr>
          <w:rFonts w:hint="eastAsia" w:ascii="宋体" w:hAnsi="宋体"/>
        </w:rPr>
      </w:pPr>
      <w:r>
        <w:rPr>
          <w:rFonts w:hint="eastAsia" w:ascii="宋体" w:hAnsi="宋体"/>
        </w:rPr>
        <w:t>项目编号：</w:t>
      </w:r>
    </w:p>
    <w:p w14:paraId="2478532E">
      <w:pPr>
        <w:spacing w:before="120" w:beforeLines="50" w:line="360" w:lineRule="auto"/>
        <w:ind w:firstLine="6930" w:firstLineChars="3300"/>
        <w:rPr>
          <w:rFonts w:hint="eastAsia" w:ascii="宋体" w:hAnsi="宋体"/>
          <w:szCs w:val="21"/>
        </w:rPr>
      </w:pPr>
      <w:r>
        <w:rPr>
          <w:rFonts w:hint="eastAsia" w:ascii="宋体" w:hAnsi="宋体"/>
          <w:szCs w:val="21"/>
        </w:rPr>
        <w:t>单位：元</w:t>
      </w:r>
    </w:p>
    <w:tbl>
      <w:tblPr>
        <w:tblStyle w:val="60"/>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448"/>
        <w:gridCol w:w="4819"/>
        <w:gridCol w:w="1238"/>
      </w:tblGrid>
      <w:tr w14:paraId="795A44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14:paraId="1BD60EA9">
            <w:pPr>
              <w:jc w:val="center"/>
              <w:rPr>
                <w:rFonts w:hint="eastAsia" w:ascii="宋体" w:hAnsi="宋体"/>
                <w:b/>
                <w:szCs w:val="21"/>
              </w:rPr>
            </w:pPr>
            <w:r>
              <w:rPr>
                <w:rFonts w:hint="eastAsia" w:ascii="宋体" w:hAnsi="宋体"/>
                <w:b/>
                <w:szCs w:val="21"/>
              </w:rPr>
              <w:t>序号</w:t>
            </w:r>
          </w:p>
        </w:tc>
        <w:tc>
          <w:tcPr>
            <w:tcW w:w="2448" w:type="dxa"/>
            <w:tcBorders>
              <w:left w:val="single" w:color="auto" w:sz="4" w:space="0"/>
              <w:right w:val="single" w:color="auto" w:sz="4" w:space="0"/>
            </w:tcBorders>
            <w:vAlign w:val="center"/>
          </w:tcPr>
          <w:p w14:paraId="41F04157">
            <w:pPr>
              <w:ind w:left="424" w:leftChars="202" w:firstLine="422" w:firstLineChars="200"/>
              <w:rPr>
                <w:rFonts w:hint="eastAsia" w:ascii="宋体" w:hAnsi="宋体"/>
                <w:b/>
                <w:szCs w:val="21"/>
              </w:rPr>
            </w:pPr>
            <w:r>
              <w:rPr>
                <w:rFonts w:hint="eastAsia" w:ascii="宋体" w:hAnsi="宋体"/>
                <w:b/>
                <w:szCs w:val="21"/>
              </w:rPr>
              <w:t>名称</w:t>
            </w:r>
          </w:p>
        </w:tc>
        <w:tc>
          <w:tcPr>
            <w:tcW w:w="4819" w:type="dxa"/>
            <w:tcBorders>
              <w:left w:val="single" w:color="auto" w:sz="4" w:space="0"/>
              <w:right w:val="single" w:color="auto" w:sz="4" w:space="0"/>
            </w:tcBorders>
            <w:vAlign w:val="center"/>
          </w:tcPr>
          <w:p w14:paraId="754C68FA">
            <w:pPr>
              <w:jc w:val="center"/>
              <w:rPr>
                <w:rFonts w:hint="eastAsia" w:ascii="宋体" w:hAnsi="宋体"/>
                <w:b/>
                <w:szCs w:val="21"/>
              </w:rPr>
            </w:pPr>
            <w:r>
              <w:rPr>
                <w:rFonts w:hint="eastAsia" w:ascii="宋体" w:hAnsi="宋体"/>
                <w:b/>
                <w:szCs w:val="21"/>
              </w:rPr>
              <w:t xml:space="preserve"> 投标报价</w:t>
            </w:r>
          </w:p>
        </w:tc>
        <w:tc>
          <w:tcPr>
            <w:tcW w:w="1238" w:type="dxa"/>
            <w:tcBorders>
              <w:left w:val="single" w:color="auto" w:sz="4" w:space="0"/>
            </w:tcBorders>
            <w:vAlign w:val="center"/>
          </w:tcPr>
          <w:p w14:paraId="646B4D41">
            <w:pPr>
              <w:ind w:left="424" w:leftChars="202"/>
              <w:jc w:val="center"/>
              <w:rPr>
                <w:rFonts w:hint="eastAsia" w:ascii="宋体" w:hAnsi="宋体"/>
                <w:b/>
                <w:szCs w:val="21"/>
              </w:rPr>
            </w:pPr>
            <w:r>
              <w:rPr>
                <w:rFonts w:hint="eastAsia" w:ascii="宋体" w:hAnsi="宋体" w:cs="宋体"/>
                <w:b/>
                <w:szCs w:val="21"/>
              </w:rPr>
              <w:t>备注</w:t>
            </w:r>
          </w:p>
        </w:tc>
      </w:tr>
      <w:tr w14:paraId="78F717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1B6751CE">
            <w:pPr>
              <w:autoSpaceDE w:val="0"/>
              <w:autoSpaceDN w:val="0"/>
              <w:adjustRightInd w:val="0"/>
              <w:spacing w:line="400" w:lineRule="exact"/>
              <w:ind w:left="424" w:leftChars="202"/>
              <w:rPr>
                <w:rFonts w:hint="eastAsia" w:ascii="宋体" w:hAnsi="宋体"/>
                <w:szCs w:val="21"/>
                <w:lang w:val="zh-CN"/>
              </w:rPr>
            </w:pPr>
          </w:p>
        </w:tc>
        <w:tc>
          <w:tcPr>
            <w:tcW w:w="2448" w:type="dxa"/>
            <w:tcBorders>
              <w:left w:val="single" w:color="auto" w:sz="4" w:space="0"/>
              <w:right w:val="single" w:color="auto" w:sz="4" w:space="0"/>
            </w:tcBorders>
            <w:vAlign w:val="center"/>
          </w:tcPr>
          <w:p w14:paraId="655017AF">
            <w:pPr>
              <w:ind w:left="424" w:leftChars="202"/>
              <w:jc w:val="center"/>
              <w:rPr>
                <w:rFonts w:hint="eastAsia" w:ascii="宋体" w:hAnsi="宋体"/>
                <w:szCs w:val="21"/>
              </w:rPr>
            </w:pPr>
          </w:p>
        </w:tc>
        <w:tc>
          <w:tcPr>
            <w:tcW w:w="4819" w:type="dxa"/>
            <w:tcBorders>
              <w:left w:val="single" w:color="auto" w:sz="4" w:space="0"/>
              <w:right w:val="single" w:color="auto" w:sz="4" w:space="0"/>
            </w:tcBorders>
            <w:vAlign w:val="center"/>
          </w:tcPr>
          <w:p w14:paraId="641ADB6C">
            <w:pPr>
              <w:ind w:left="424" w:leftChars="202"/>
              <w:jc w:val="center"/>
              <w:rPr>
                <w:rFonts w:hint="eastAsia" w:ascii="宋体" w:hAnsi="宋体"/>
                <w:szCs w:val="21"/>
              </w:rPr>
            </w:pPr>
          </w:p>
        </w:tc>
        <w:tc>
          <w:tcPr>
            <w:tcW w:w="1238" w:type="dxa"/>
            <w:tcBorders>
              <w:left w:val="single" w:color="auto" w:sz="4" w:space="0"/>
            </w:tcBorders>
            <w:vAlign w:val="center"/>
          </w:tcPr>
          <w:p w14:paraId="32FE55FE">
            <w:pPr>
              <w:ind w:left="424" w:leftChars="202"/>
              <w:jc w:val="center"/>
              <w:rPr>
                <w:rFonts w:hint="eastAsia" w:ascii="宋体" w:hAnsi="宋体"/>
                <w:szCs w:val="21"/>
              </w:rPr>
            </w:pPr>
          </w:p>
        </w:tc>
      </w:tr>
      <w:tr w14:paraId="7E380E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31A11A9A">
            <w:pPr>
              <w:autoSpaceDE w:val="0"/>
              <w:autoSpaceDN w:val="0"/>
              <w:adjustRightInd w:val="0"/>
              <w:spacing w:line="400" w:lineRule="exact"/>
              <w:ind w:left="424" w:leftChars="202"/>
              <w:rPr>
                <w:rFonts w:hint="eastAsia" w:ascii="宋体" w:hAnsi="宋体"/>
                <w:szCs w:val="21"/>
                <w:lang w:val="zh-CN"/>
              </w:rPr>
            </w:pPr>
            <w:r>
              <w:rPr>
                <w:rFonts w:hint="eastAsia" w:ascii="宋体" w:hAnsi="宋体"/>
                <w:szCs w:val="21"/>
                <w:lang w:val="zh-CN"/>
              </w:rPr>
              <w:t>合计</w:t>
            </w:r>
          </w:p>
        </w:tc>
        <w:tc>
          <w:tcPr>
            <w:tcW w:w="8505" w:type="dxa"/>
            <w:gridSpan w:val="3"/>
            <w:tcBorders>
              <w:left w:val="single" w:color="auto" w:sz="4" w:space="0"/>
            </w:tcBorders>
            <w:vAlign w:val="center"/>
          </w:tcPr>
          <w:p w14:paraId="56B45D8E">
            <w:pPr>
              <w:rPr>
                <w:rFonts w:hint="eastAsia" w:ascii="宋体" w:hAnsi="宋体"/>
                <w:szCs w:val="21"/>
              </w:rPr>
            </w:pPr>
            <w:r>
              <w:rPr>
                <w:rFonts w:hint="eastAsia" w:ascii="宋体" w:hAnsi="宋体"/>
                <w:szCs w:val="21"/>
              </w:rPr>
              <w:t>大写：</w:t>
            </w:r>
          </w:p>
        </w:tc>
      </w:tr>
    </w:tbl>
    <w:p w14:paraId="01BA8351">
      <w:pPr>
        <w:spacing w:line="440" w:lineRule="exact"/>
        <w:ind w:firstLine="102" w:firstLineChars="49"/>
        <w:rPr>
          <w:rFonts w:hint="eastAsia" w:ascii="宋体" w:hAnsi="宋体"/>
          <w:szCs w:val="21"/>
        </w:rPr>
      </w:pPr>
      <w:r>
        <w:rPr>
          <w:rFonts w:hint="eastAsia" w:ascii="宋体" w:hAnsi="宋体"/>
          <w:szCs w:val="21"/>
        </w:rPr>
        <w:t>说明：</w:t>
      </w:r>
    </w:p>
    <w:p w14:paraId="74CAB2BE">
      <w:pPr>
        <w:snapToGrid w:val="0"/>
        <w:spacing w:line="360" w:lineRule="auto"/>
        <w:ind w:right="-340" w:firstLine="420" w:firstLineChars="200"/>
        <w:rPr>
          <w:rFonts w:ascii="宋体"/>
        </w:rPr>
      </w:pPr>
      <w:r>
        <w:rPr>
          <w:rFonts w:hint="eastAsia" w:ascii="宋体" w:hAnsi="宋体"/>
        </w:rPr>
        <w:t xml:space="preserve"> 项目费用包括项目实施所需的一切费用。</w:t>
      </w:r>
    </w:p>
    <w:p w14:paraId="64F94A4C">
      <w:pPr>
        <w:snapToGrid w:val="0"/>
        <w:spacing w:before="50" w:after="50"/>
        <w:rPr>
          <w:rFonts w:hint="eastAsia" w:ascii="宋体" w:hAnsi="宋体"/>
        </w:rPr>
      </w:pPr>
    </w:p>
    <w:p w14:paraId="5B5E1F55">
      <w:pPr>
        <w:snapToGrid w:val="0"/>
        <w:ind w:left="2" w:right="-817" w:rightChars="-389"/>
        <w:rPr>
          <w:rFonts w:hint="eastAsia" w:ascii="宋体" w:hAnsi="宋体"/>
        </w:rPr>
      </w:pPr>
    </w:p>
    <w:p w14:paraId="7210230C">
      <w:pPr>
        <w:snapToGrid w:val="0"/>
        <w:ind w:left="2" w:right="-817" w:rightChars="-389"/>
        <w:rPr>
          <w:rFonts w:hint="eastAsia" w:ascii="宋体" w:hAnsi="宋体"/>
        </w:rPr>
      </w:pPr>
    </w:p>
    <w:p w14:paraId="15701944">
      <w:pPr>
        <w:snapToGrid w:val="0"/>
        <w:ind w:left="2" w:right="-817" w:rightChars="-389"/>
        <w:rPr>
          <w:rFonts w:hint="eastAsia" w:ascii="宋体" w:hAnsi="宋体"/>
        </w:rPr>
      </w:pPr>
      <w:r>
        <w:rPr>
          <w:rFonts w:hint="eastAsia" w:ascii="宋体" w:hAnsi="宋体"/>
        </w:rPr>
        <w:t>投标人名称（盖章）：                                                   日期：年月日</w:t>
      </w:r>
    </w:p>
    <w:p w14:paraId="2534D7D4">
      <w:pPr>
        <w:snapToGrid w:val="0"/>
        <w:spacing w:before="50" w:after="50"/>
        <w:rPr>
          <w:spacing w:val="20"/>
          <w:u w:val="single"/>
        </w:rPr>
      </w:pPr>
    </w:p>
    <w:p w14:paraId="578358C4">
      <w:pPr>
        <w:spacing w:after="120"/>
      </w:pPr>
    </w:p>
    <w:p w14:paraId="71C15C44">
      <w:pPr>
        <w:snapToGrid w:val="0"/>
        <w:spacing w:before="120" w:line="312" w:lineRule="auto"/>
        <w:ind w:right="-341"/>
        <w:jc w:val="center"/>
        <w:rPr>
          <w:b/>
          <w:sz w:val="32"/>
        </w:rPr>
      </w:pPr>
    </w:p>
    <w:p w14:paraId="1F8B5091">
      <w:pPr>
        <w:snapToGrid w:val="0"/>
        <w:spacing w:before="120" w:line="312" w:lineRule="auto"/>
        <w:ind w:right="-341"/>
        <w:jc w:val="center"/>
        <w:rPr>
          <w:b/>
          <w:sz w:val="32"/>
        </w:rPr>
      </w:pPr>
    </w:p>
    <w:p w14:paraId="7F72D342">
      <w:pPr>
        <w:snapToGrid w:val="0"/>
        <w:spacing w:before="120" w:line="312" w:lineRule="auto"/>
        <w:ind w:right="-341"/>
        <w:rPr>
          <w:b/>
          <w:sz w:val="32"/>
        </w:rPr>
      </w:pPr>
    </w:p>
    <w:p w14:paraId="10F251DC">
      <w:pPr>
        <w:snapToGrid w:val="0"/>
        <w:spacing w:before="120" w:line="312" w:lineRule="auto"/>
        <w:ind w:right="-341"/>
        <w:jc w:val="center"/>
        <w:rPr>
          <w:b/>
          <w:sz w:val="32"/>
        </w:rPr>
      </w:pPr>
    </w:p>
    <w:p w14:paraId="23F7DFD6">
      <w:pPr>
        <w:snapToGrid w:val="0"/>
        <w:spacing w:before="120" w:line="312" w:lineRule="auto"/>
        <w:ind w:right="-341"/>
        <w:jc w:val="center"/>
        <w:rPr>
          <w:b/>
          <w:sz w:val="32"/>
        </w:rPr>
      </w:pPr>
    </w:p>
    <w:p w14:paraId="5856D27E">
      <w:pPr>
        <w:snapToGrid w:val="0"/>
        <w:spacing w:before="120" w:line="312" w:lineRule="auto"/>
        <w:ind w:right="-341"/>
        <w:jc w:val="center"/>
        <w:rPr>
          <w:b/>
          <w:sz w:val="32"/>
        </w:rPr>
      </w:pPr>
    </w:p>
    <w:p w14:paraId="3B7470AB">
      <w:pPr>
        <w:snapToGrid w:val="0"/>
        <w:spacing w:before="120" w:line="312" w:lineRule="auto"/>
        <w:ind w:right="-341"/>
        <w:jc w:val="center"/>
        <w:rPr>
          <w:b/>
          <w:sz w:val="32"/>
        </w:rPr>
      </w:pPr>
    </w:p>
    <w:p w14:paraId="2448BAAB">
      <w:pPr>
        <w:snapToGrid w:val="0"/>
        <w:spacing w:before="120" w:line="312" w:lineRule="auto"/>
        <w:ind w:right="-341"/>
        <w:jc w:val="center"/>
        <w:rPr>
          <w:b/>
          <w:sz w:val="32"/>
        </w:rPr>
      </w:pPr>
    </w:p>
    <w:p w14:paraId="2EB60C5A">
      <w:pPr>
        <w:snapToGrid w:val="0"/>
        <w:spacing w:before="120" w:line="312" w:lineRule="auto"/>
        <w:ind w:right="-341"/>
        <w:jc w:val="both"/>
        <w:rPr>
          <w:b/>
          <w:sz w:val="32"/>
        </w:rPr>
      </w:pPr>
    </w:p>
    <w:p w14:paraId="4805DC15">
      <w:pPr>
        <w:snapToGrid w:val="0"/>
        <w:spacing w:before="120" w:line="312" w:lineRule="auto"/>
        <w:ind w:right="-341"/>
        <w:jc w:val="both"/>
        <w:rPr>
          <w:b/>
          <w:sz w:val="32"/>
        </w:rPr>
      </w:pPr>
    </w:p>
    <w:p w14:paraId="78459357">
      <w:pPr>
        <w:snapToGrid w:val="0"/>
        <w:spacing w:before="120" w:line="312" w:lineRule="auto"/>
        <w:ind w:right="-341"/>
        <w:jc w:val="center"/>
        <w:rPr>
          <w:b/>
          <w:sz w:val="32"/>
        </w:rPr>
      </w:pPr>
      <w:r>
        <w:rPr>
          <w:rFonts w:hint="eastAsia"/>
          <w:b/>
          <w:sz w:val="32"/>
        </w:rPr>
        <w:t>三、投标报价明细表</w:t>
      </w:r>
    </w:p>
    <w:p w14:paraId="35655306">
      <w:pPr>
        <w:snapToGrid w:val="0"/>
        <w:rPr>
          <w:b/>
          <w:sz w:val="28"/>
        </w:rPr>
      </w:pPr>
    </w:p>
    <w:p w14:paraId="78F50D06">
      <w:pPr>
        <w:snapToGrid w:val="0"/>
        <w:rPr>
          <w:szCs w:val="21"/>
        </w:rPr>
      </w:pPr>
      <w:r>
        <w:rPr>
          <w:rFonts w:hint="eastAsia"/>
          <w:szCs w:val="21"/>
        </w:rPr>
        <w:t>项目名称：                                           金额单位：人民币（元）</w:t>
      </w:r>
    </w:p>
    <w:p w14:paraId="7AD2FC08">
      <w:pPr>
        <w:snapToGrid w:val="0"/>
        <w:spacing w:before="120" w:beforeLines="50" w:after="120"/>
        <w:rPr>
          <w:szCs w:val="21"/>
        </w:rPr>
      </w:pPr>
      <w:r>
        <w:rPr>
          <w:rFonts w:hint="eastAsia"/>
          <w:szCs w:val="21"/>
        </w:rPr>
        <w:t>项目编号：</w:t>
      </w:r>
    </w:p>
    <w:tbl>
      <w:tblPr>
        <w:tblStyle w:val="60"/>
        <w:tblW w:w="948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992"/>
        <w:gridCol w:w="1080"/>
        <w:gridCol w:w="1440"/>
        <w:gridCol w:w="8"/>
        <w:gridCol w:w="1612"/>
        <w:gridCol w:w="1260"/>
        <w:gridCol w:w="8"/>
        <w:gridCol w:w="1432"/>
      </w:tblGrid>
      <w:tr w14:paraId="021F8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14:paraId="499B5CB5">
            <w:pPr>
              <w:tabs>
                <w:tab w:val="left" w:pos="1418"/>
              </w:tabs>
              <w:snapToGrid w:val="0"/>
              <w:spacing w:before="50" w:after="50"/>
              <w:jc w:val="center"/>
              <w:rPr>
                <w:rFonts w:ascii="宋体" w:hAnsi="宋体"/>
                <w:spacing w:val="20"/>
              </w:rPr>
            </w:pPr>
            <w:r>
              <w:rPr>
                <w:rFonts w:hint="eastAsia" w:ascii="宋体" w:hAnsi="宋体"/>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08DFE4AA">
            <w:pPr>
              <w:tabs>
                <w:tab w:val="left" w:pos="1418"/>
              </w:tabs>
              <w:snapToGrid w:val="0"/>
              <w:spacing w:before="50" w:after="50"/>
              <w:jc w:val="center"/>
              <w:rPr>
                <w:rFonts w:ascii="宋体" w:hAnsi="宋体"/>
                <w:spacing w:val="20"/>
              </w:rPr>
            </w:pPr>
            <w:r>
              <w:rPr>
                <w:rFonts w:hint="eastAsia" w:ascii="宋体" w:hAnsi="宋体"/>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302EB91B">
            <w:pPr>
              <w:pStyle w:val="157"/>
              <w:snapToGrid w:val="0"/>
              <w:spacing w:before="50" w:after="50" w:line="240" w:lineRule="auto"/>
              <w:ind w:firstLine="171"/>
              <w:rPr>
                <w:rFonts w:ascii="宋体" w:hAnsi="宋体" w:eastAsia="宋体"/>
                <w:sz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7916F04">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3D2F9B6">
            <w:pPr>
              <w:tabs>
                <w:tab w:val="left" w:pos="1418"/>
              </w:tabs>
              <w:snapToGrid w:val="0"/>
              <w:spacing w:before="50" w:after="50"/>
              <w:jc w:val="center"/>
              <w:rPr>
                <w:rFonts w:ascii="宋体" w:hAnsi="宋体"/>
                <w:spacing w:val="20"/>
              </w:rPr>
            </w:pPr>
            <w:r>
              <w:rPr>
                <w:rFonts w:hint="eastAsia" w:ascii="Times New Roman" w:hAnsi="Times New Roman" w:eastAsia="宋体" w:cs="Times New Roman"/>
                <w:spacing w:val="20"/>
              </w:rPr>
              <w:t>单价</w:t>
            </w:r>
          </w:p>
        </w:tc>
        <w:tc>
          <w:tcPr>
            <w:tcW w:w="1260" w:type="dxa"/>
            <w:tcBorders>
              <w:top w:val="single" w:color="auto" w:sz="4" w:space="0"/>
              <w:left w:val="single" w:color="auto" w:sz="4" w:space="0"/>
              <w:bottom w:val="single" w:color="auto" w:sz="4" w:space="0"/>
              <w:right w:val="single" w:color="auto" w:sz="4" w:space="0"/>
            </w:tcBorders>
            <w:vAlign w:val="center"/>
          </w:tcPr>
          <w:p w14:paraId="74183CA6">
            <w:pPr>
              <w:tabs>
                <w:tab w:val="left" w:pos="1418"/>
              </w:tabs>
              <w:snapToGrid w:val="0"/>
              <w:spacing w:before="50" w:after="50"/>
              <w:jc w:val="center"/>
              <w:rPr>
                <w:rFonts w:ascii="宋体" w:hAnsi="宋体"/>
                <w:spacing w:val="20"/>
              </w:rPr>
            </w:pPr>
            <w:r>
              <w:rPr>
                <w:rFonts w:hint="eastAsia" w:ascii="Times New Roman" w:hAnsi="Times New Roman" w:eastAsia="宋体" w:cs="Times New Roman"/>
              </w:rPr>
              <w:t>合价</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4660E924">
            <w:pPr>
              <w:tabs>
                <w:tab w:val="left" w:pos="1418"/>
              </w:tabs>
              <w:snapToGrid w:val="0"/>
              <w:spacing w:before="50" w:after="50"/>
              <w:jc w:val="center"/>
              <w:rPr>
                <w:rFonts w:ascii="宋体" w:hAnsi="宋体"/>
                <w:spacing w:val="20"/>
              </w:rPr>
            </w:pPr>
            <w:r>
              <w:rPr>
                <w:rFonts w:hint="eastAsia" w:ascii="Times New Roman" w:hAnsi="Times New Roman" w:eastAsia="宋体" w:cs="Times New Roman"/>
              </w:rPr>
              <w:t>备注</w:t>
            </w:r>
          </w:p>
        </w:tc>
      </w:tr>
      <w:tr w14:paraId="3382F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437E2DB3">
            <w:pPr>
              <w:tabs>
                <w:tab w:val="left" w:pos="1418"/>
              </w:tabs>
              <w:snapToGrid w:val="0"/>
              <w:spacing w:before="50" w:after="50"/>
              <w:ind w:firstLine="251"/>
              <w:jc w:val="center"/>
              <w:rPr>
                <w:rFonts w:ascii="宋体" w:hAnsi="宋体"/>
                <w:spacing w:val="20"/>
              </w:rPr>
            </w:pPr>
          </w:p>
        </w:tc>
        <w:tc>
          <w:tcPr>
            <w:tcW w:w="1992" w:type="dxa"/>
            <w:tcBorders>
              <w:top w:val="single" w:color="auto" w:sz="4" w:space="0"/>
              <w:left w:val="single" w:color="auto" w:sz="4" w:space="0"/>
              <w:bottom w:val="single" w:color="auto" w:sz="4" w:space="0"/>
              <w:right w:val="single" w:color="auto" w:sz="4" w:space="0"/>
            </w:tcBorders>
          </w:tcPr>
          <w:p w14:paraId="028AFE99">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17DCA498">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5FA91307">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24DD204D">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4E1D58D3">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861D95A">
            <w:pPr>
              <w:tabs>
                <w:tab w:val="left" w:pos="1418"/>
              </w:tabs>
              <w:snapToGrid w:val="0"/>
              <w:spacing w:before="50" w:after="50"/>
              <w:ind w:firstLine="251"/>
              <w:jc w:val="center"/>
              <w:rPr>
                <w:rFonts w:ascii="宋体" w:hAnsi="宋体"/>
                <w:spacing w:val="20"/>
              </w:rPr>
            </w:pPr>
          </w:p>
        </w:tc>
      </w:tr>
      <w:tr w14:paraId="52CD7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0566DAB4">
            <w:pPr>
              <w:tabs>
                <w:tab w:val="left" w:pos="1418"/>
              </w:tabs>
              <w:snapToGrid w:val="0"/>
              <w:spacing w:before="50" w:after="50"/>
              <w:ind w:firstLine="251"/>
              <w:jc w:val="center"/>
              <w:rPr>
                <w:rFonts w:ascii="宋体" w:hAnsi="宋体"/>
                <w:spacing w:val="20"/>
              </w:rPr>
            </w:pPr>
          </w:p>
        </w:tc>
        <w:tc>
          <w:tcPr>
            <w:tcW w:w="1992" w:type="dxa"/>
            <w:tcBorders>
              <w:top w:val="single" w:color="auto" w:sz="4" w:space="0"/>
              <w:left w:val="single" w:color="auto" w:sz="4" w:space="0"/>
              <w:bottom w:val="single" w:color="auto" w:sz="4" w:space="0"/>
              <w:right w:val="single" w:color="auto" w:sz="4" w:space="0"/>
            </w:tcBorders>
          </w:tcPr>
          <w:p w14:paraId="68733B75">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63309BB7">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5578D55E">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473C8B40">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11A3D8DC">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8411E3E">
            <w:pPr>
              <w:tabs>
                <w:tab w:val="left" w:pos="1418"/>
              </w:tabs>
              <w:snapToGrid w:val="0"/>
              <w:spacing w:before="50" w:after="50"/>
              <w:ind w:firstLine="251"/>
              <w:jc w:val="center"/>
              <w:rPr>
                <w:rFonts w:ascii="宋体" w:hAnsi="宋体"/>
                <w:spacing w:val="20"/>
              </w:rPr>
            </w:pPr>
          </w:p>
        </w:tc>
      </w:tr>
      <w:tr w14:paraId="33B01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67975F96">
            <w:pPr>
              <w:tabs>
                <w:tab w:val="left" w:pos="1418"/>
              </w:tabs>
              <w:snapToGrid w:val="0"/>
              <w:spacing w:before="50" w:after="50"/>
              <w:ind w:firstLine="251"/>
              <w:jc w:val="center"/>
              <w:rPr>
                <w:rFonts w:ascii="宋体" w:hAnsi="宋体"/>
                <w:spacing w:val="20"/>
              </w:rPr>
            </w:pPr>
          </w:p>
        </w:tc>
        <w:tc>
          <w:tcPr>
            <w:tcW w:w="1992" w:type="dxa"/>
            <w:tcBorders>
              <w:top w:val="single" w:color="auto" w:sz="4" w:space="0"/>
              <w:left w:val="single" w:color="auto" w:sz="4" w:space="0"/>
              <w:bottom w:val="single" w:color="auto" w:sz="4" w:space="0"/>
              <w:right w:val="single" w:color="auto" w:sz="4" w:space="0"/>
            </w:tcBorders>
          </w:tcPr>
          <w:p w14:paraId="22DEBB22">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274E4E26">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20E7ACFB">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2D036F9C">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24A04818">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8819F80">
            <w:pPr>
              <w:tabs>
                <w:tab w:val="left" w:pos="1418"/>
              </w:tabs>
              <w:snapToGrid w:val="0"/>
              <w:spacing w:before="50" w:after="50"/>
              <w:ind w:firstLine="251"/>
              <w:jc w:val="center"/>
              <w:rPr>
                <w:rFonts w:ascii="宋体" w:hAnsi="宋体"/>
                <w:spacing w:val="20"/>
              </w:rPr>
            </w:pPr>
          </w:p>
        </w:tc>
      </w:tr>
      <w:tr w14:paraId="3BBFC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0578952F">
            <w:pPr>
              <w:tabs>
                <w:tab w:val="left" w:pos="1418"/>
              </w:tabs>
              <w:snapToGrid w:val="0"/>
              <w:spacing w:before="50" w:after="50"/>
              <w:ind w:firstLine="251"/>
              <w:jc w:val="center"/>
              <w:rPr>
                <w:rFonts w:ascii="宋体" w:hAnsi="宋体"/>
                <w:spacing w:val="20"/>
              </w:rPr>
            </w:pPr>
          </w:p>
        </w:tc>
        <w:tc>
          <w:tcPr>
            <w:tcW w:w="1992" w:type="dxa"/>
            <w:tcBorders>
              <w:top w:val="single" w:color="auto" w:sz="4" w:space="0"/>
              <w:left w:val="single" w:color="auto" w:sz="4" w:space="0"/>
              <w:bottom w:val="single" w:color="auto" w:sz="4" w:space="0"/>
              <w:right w:val="single" w:color="auto" w:sz="4" w:space="0"/>
            </w:tcBorders>
          </w:tcPr>
          <w:p w14:paraId="26529E08">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21EC9C60">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06B397B9">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653CE455">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70B74B13">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7086908">
            <w:pPr>
              <w:tabs>
                <w:tab w:val="left" w:pos="1418"/>
              </w:tabs>
              <w:snapToGrid w:val="0"/>
              <w:spacing w:before="50" w:after="50"/>
              <w:ind w:firstLine="251"/>
              <w:jc w:val="center"/>
              <w:rPr>
                <w:rFonts w:ascii="宋体" w:hAnsi="宋体"/>
                <w:spacing w:val="20"/>
              </w:rPr>
            </w:pPr>
          </w:p>
        </w:tc>
      </w:tr>
      <w:tr w14:paraId="3FCA8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322E8C34">
            <w:pPr>
              <w:tabs>
                <w:tab w:val="left" w:pos="1418"/>
              </w:tabs>
              <w:snapToGrid w:val="0"/>
              <w:spacing w:before="50" w:after="50"/>
              <w:ind w:firstLine="251"/>
              <w:jc w:val="center"/>
              <w:rPr>
                <w:rFonts w:ascii="宋体" w:hAnsi="宋体"/>
                <w:spacing w:val="20"/>
              </w:rPr>
            </w:pPr>
          </w:p>
        </w:tc>
        <w:tc>
          <w:tcPr>
            <w:tcW w:w="1992" w:type="dxa"/>
            <w:tcBorders>
              <w:top w:val="single" w:color="auto" w:sz="4" w:space="0"/>
              <w:left w:val="single" w:color="auto" w:sz="4" w:space="0"/>
              <w:bottom w:val="single" w:color="auto" w:sz="4" w:space="0"/>
              <w:right w:val="single" w:color="auto" w:sz="4" w:space="0"/>
            </w:tcBorders>
          </w:tcPr>
          <w:p w14:paraId="5B9A965E">
            <w:pPr>
              <w:tabs>
                <w:tab w:val="left" w:pos="1418"/>
              </w:tabs>
              <w:snapToGrid w:val="0"/>
              <w:spacing w:before="50" w:after="50"/>
              <w:ind w:firstLine="251"/>
              <w:jc w:val="center"/>
              <w:rPr>
                <w:rFonts w:ascii="宋体" w:hAnsi="宋体"/>
                <w:spacing w:val="20"/>
              </w:rPr>
            </w:pPr>
          </w:p>
        </w:tc>
        <w:tc>
          <w:tcPr>
            <w:tcW w:w="1080" w:type="dxa"/>
            <w:tcBorders>
              <w:top w:val="single" w:color="auto" w:sz="4" w:space="0"/>
              <w:left w:val="single" w:color="auto" w:sz="4" w:space="0"/>
              <w:bottom w:val="single" w:color="auto" w:sz="4" w:space="0"/>
              <w:right w:val="single" w:color="auto" w:sz="4" w:space="0"/>
            </w:tcBorders>
          </w:tcPr>
          <w:p w14:paraId="29624492">
            <w:pPr>
              <w:tabs>
                <w:tab w:val="left" w:pos="1418"/>
              </w:tabs>
              <w:snapToGrid w:val="0"/>
              <w:spacing w:before="50" w:after="50"/>
              <w:ind w:firstLine="251"/>
              <w:jc w:val="center"/>
              <w:rPr>
                <w:rFonts w:ascii="宋体" w:hAnsi="宋体"/>
                <w:spacing w:val="20"/>
              </w:rPr>
            </w:pPr>
          </w:p>
        </w:tc>
        <w:tc>
          <w:tcPr>
            <w:tcW w:w="1440" w:type="dxa"/>
            <w:tcBorders>
              <w:top w:val="single" w:color="auto" w:sz="4" w:space="0"/>
              <w:left w:val="single" w:color="auto" w:sz="4" w:space="0"/>
              <w:bottom w:val="single" w:color="auto" w:sz="4" w:space="0"/>
              <w:right w:val="single" w:color="auto" w:sz="4" w:space="0"/>
            </w:tcBorders>
          </w:tcPr>
          <w:p w14:paraId="50C2D696">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2CEA98F8">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36B30C7E">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FF02E49">
            <w:pPr>
              <w:tabs>
                <w:tab w:val="left" w:pos="1418"/>
              </w:tabs>
              <w:snapToGrid w:val="0"/>
              <w:spacing w:before="50" w:after="50"/>
              <w:ind w:firstLine="251"/>
              <w:jc w:val="center"/>
              <w:rPr>
                <w:rFonts w:ascii="宋体" w:hAnsi="宋体"/>
                <w:spacing w:val="20"/>
              </w:rPr>
            </w:pPr>
          </w:p>
        </w:tc>
      </w:tr>
      <w:tr w14:paraId="5F6F9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68" w:type="dxa"/>
            <w:gridSpan w:val="5"/>
            <w:tcBorders>
              <w:top w:val="single" w:color="auto" w:sz="4" w:space="0"/>
              <w:left w:val="single" w:color="auto" w:sz="4" w:space="0"/>
              <w:bottom w:val="single" w:color="auto" w:sz="4" w:space="0"/>
              <w:right w:val="single" w:color="auto" w:sz="4" w:space="0"/>
            </w:tcBorders>
          </w:tcPr>
          <w:p w14:paraId="4E13D594">
            <w:pPr>
              <w:pStyle w:val="133"/>
              <w:tabs>
                <w:tab w:val="left" w:pos="1418"/>
              </w:tabs>
              <w:snapToGrid w:val="0"/>
              <w:spacing w:before="50" w:after="50"/>
              <w:ind w:firstLine="251"/>
              <w:jc w:val="center"/>
              <w:rPr>
                <w:rFonts w:hint="default" w:ascii="宋体" w:hAnsi="宋体" w:eastAsia="宋体"/>
                <w:spacing w:val="20"/>
                <w:sz w:val="21"/>
                <w:lang w:val="en-US" w:eastAsia="zh-CN"/>
              </w:rPr>
            </w:pPr>
            <w:r>
              <w:rPr>
                <w:rFonts w:hint="eastAsia" w:ascii="宋体" w:hAnsi="宋体"/>
                <w:spacing w:val="20"/>
                <w:sz w:val="21"/>
                <w:lang w:val="en-US" w:eastAsia="zh-CN"/>
              </w:rPr>
              <w:t>....</w:t>
            </w:r>
          </w:p>
        </w:tc>
        <w:tc>
          <w:tcPr>
            <w:tcW w:w="1612" w:type="dxa"/>
            <w:tcBorders>
              <w:top w:val="single" w:color="auto" w:sz="4" w:space="0"/>
              <w:left w:val="single" w:color="auto" w:sz="4" w:space="0"/>
              <w:bottom w:val="single" w:color="auto" w:sz="4" w:space="0"/>
              <w:right w:val="single" w:color="auto" w:sz="4" w:space="0"/>
            </w:tcBorders>
          </w:tcPr>
          <w:p w14:paraId="296E50D1">
            <w:pPr>
              <w:tabs>
                <w:tab w:val="left" w:pos="1418"/>
              </w:tabs>
              <w:snapToGrid w:val="0"/>
              <w:spacing w:before="50" w:after="50"/>
              <w:ind w:firstLine="251"/>
              <w:rPr>
                <w:rFonts w:ascii="宋体" w:hAnsi="宋体"/>
                <w:spacing w:val="20"/>
              </w:rPr>
            </w:pPr>
          </w:p>
        </w:tc>
        <w:tc>
          <w:tcPr>
            <w:tcW w:w="1268" w:type="dxa"/>
            <w:gridSpan w:val="2"/>
            <w:tcBorders>
              <w:top w:val="single" w:color="auto" w:sz="4" w:space="0"/>
              <w:left w:val="single" w:color="auto" w:sz="4" w:space="0"/>
              <w:bottom w:val="single" w:color="auto" w:sz="4" w:space="0"/>
              <w:right w:val="single" w:color="auto" w:sz="4" w:space="0"/>
            </w:tcBorders>
          </w:tcPr>
          <w:p w14:paraId="415FFB7F">
            <w:pPr>
              <w:tabs>
                <w:tab w:val="left" w:pos="1418"/>
              </w:tabs>
              <w:snapToGrid w:val="0"/>
              <w:spacing w:before="50" w:after="50"/>
              <w:ind w:firstLine="251"/>
              <w:rPr>
                <w:rFonts w:ascii="宋体" w:hAnsi="宋体"/>
                <w:spacing w:val="20"/>
              </w:rPr>
            </w:pPr>
          </w:p>
        </w:tc>
        <w:tc>
          <w:tcPr>
            <w:tcW w:w="1432" w:type="dxa"/>
            <w:tcBorders>
              <w:top w:val="single" w:color="auto" w:sz="4" w:space="0"/>
              <w:left w:val="single" w:color="auto" w:sz="4" w:space="0"/>
              <w:bottom w:val="single" w:color="auto" w:sz="4" w:space="0"/>
              <w:right w:val="single" w:color="auto" w:sz="4" w:space="0"/>
            </w:tcBorders>
          </w:tcPr>
          <w:p w14:paraId="4BF9620C">
            <w:pPr>
              <w:tabs>
                <w:tab w:val="left" w:pos="1418"/>
              </w:tabs>
              <w:snapToGrid w:val="0"/>
              <w:spacing w:before="50" w:after="50"/>
              <w:ind w:firstLine="251"/>
              <w:rPr>
                <w:rFonts w:ascii="宋体" w:hAnsi="宋体"/>
                <w:spacing w:val="20"/>
              </w:rPr>
            </w:pPr>
          </w:p>
        </w:tc>
      </w:tr>
      <w:tr w14:paraId="0BA90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8" w:type="dxa"/>
            <w:tcBorders>
              <w:top w:val="single" w:color="auto" w:sz="4" w:space="0"/>
              <w:left w:val="single" w:color="auto" w:sz="4" w:space="0"/>
              <w:bottom w:val="single" w:color="auto" w:sz="4" w:space="0"/>
              <w:right w:val="single" w:color="auto" w:sz="4" w:space="0"/>
            </w:tcBorders>
          </w:tcPr>
          <w:p w14:paraId="14224E73">
            <w:pPr>
              <w:tabs>
                <w:tab w:val="left" w:pos="1418"/>
              </w:tabs>
              <w:snapToGrid w:val="0"/>
              <w:spacing w:before="50" w:after="50"/>
              <w:ind w:firstLine="251"/>
              <w:jc w:val="center"/>
              <w:rPr>
                <w:rFonts w:ascii="宋体" w:hAnsi="宋体"/>
                <w:spacing w:val="20"/>
              </w:rPr>
            </w:pPr>
          </w:p>
        </w:tc>
        <w:tc>
          <w:tcPr>
            <w:tcW w:w="4512" w:type="dxa"/>
            <w:gridSpan w:val="3"/>
            <w:tcBorders>
              <w:top w:val="single" w:color="auto" w:sz="4" w:space="0"/>
              <w:left w:val="single" w:color="auto" w:sz="4" w:space="0"/>
              <w:bottom w:val="single" w:color="auto" w:sz="4" w:space="0"/>
              <w:right w:val="single" w:color="auto" w:sz="4" w:space="0"/>
            </w:tcBorders>
          </w:tcPr>
          <w:p w14:paraId="6B8C24D7">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1AC9D38D">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70ECE367">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9868582">
            <w:pPr>
              <w:tabs>
                <w:tab w:val="left" w:pos="1418"/>
              </w:tabs>
              <w:snapToGrid w:val="0"/>
              <w:spacing w:before="50" w:after="50"/>
              <w:ind w:firstLine="251"/>
              <w:jc w:val="center"/>
              <w:rPr>
                <w:rFonts w:ascii="宋体" w:hAnsi="宋体"/>
                <w:spacing w:val="20"/>
              </w:rPr>
            </w:pPr>
          </w:p>
        </w:tc>
      </w:tr>
      <w:tr w14:paraId="2455F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48" w:type="dxa"/>
            <w:tcBorders>
              <w:top w:val="single" w:color="auto" w:sz="4" w:space="0"/>
              <w:left w:val="single" w:color="auto" w:sz="4" w:space="0"/>
              <w:bottom w:val="single" w:color="auto" w:sz="4" w:space="0"/>
              <w:right w:val="single" w:color="auto" w:sz="4" w:space="0"/>
            </w:tcBorders>
          </w:tcPr>
          <w:p w14:paraId="4A4B3481">
            <w:pPr>
              <w:tabs>
                <w:tab w:val="left" w:pos="1418"/>
              </w:tabs>
              <w:snapToGrid w:val="0"/>
              <w:spacing w:before="50" w:after="50"/>
              <w:ind w:firstLine="251"/>
              <w:jc w:val="center"/>
              <w:rPr>
                <w:rFonts w:ascii="宋体" w:hAnsi="宋体"/>
                <w:spacing w:val="20"/>
              </w:rPr>
            </w:pPr>
          </w:p>
        </w:tc>
        <w:tc>
          <w:tcPr>
            <w:tcW w:w="4512" w:type="dxa"/>
            <w:gridSpan w:val="3"/>
            <w:tcBorders>
              <w:top w:val="single" w:color="auto" w:sz="4" w:space="0"/>
              <w:left w:val="single" w:color="auto" w:sz="4" w:space="0"/>
              <w:bottom w:val="single" w:color="auto" w:sz="4" w:space="0"/>
              <w:right w:val="single" w:color="auto" w:sz="4" w:space="0"/>
            </w:tcBorders>
          </w:tcPr>
          <w:p w14:paraId="78E80648">
            <w:pPr>
              <w:tabs>
                <w:tab w:val="left" w:pos="1418"/>
              </w:tabs>
              <w:snapToGrid w:val="0"/>
              <w:spacing w:before="50" w:after="50"/>
              <w:ind w:firstLine="251"/>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79187AF9">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1818F519">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AB942A1">
            <w:pPr>
              <w:tabs>
                <w:tab w:val="left" w:pos="1418"/>
              </w:tabs>
              <w:snapToGrid w:val="0"/>
              <w:spacing w:before="50" w:after="50"/>
              <w:ind w:firstLine="251"/>
              <w:jc w:val="center"/>
              <w:rPr>
                <w:rFonts w:ascii="宋体" w:hAnsi="宋体"/>
                <w:spacing w:val="20"/>
              </w:rPr>
            </w:pPr>
          </w:p>
        </w:tc>
      </w:tr>
      <w:tr w14:paraId="5E7ED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48" w:type="dxa"/>
            <w:tcBorders>
              <w:top w:val="single" w:color="auto" w:sz="4" w:space="0"/>
              <w:left w:val="single" w:color="auto" w:sz="4" w:space="0"/>
              <w:bottom w:val="single" w:color="auto" w:sz="4" w:space="0"/>
              <w:right w:val="single" w:color="auto" w:sz="4" w:space="0"/>
            </w:tcBorders>
          </w:tcPr>
          <w:p w14:paraId="7028AD6A">
            <w:pPr>
              <w:tabs>
                <w:tab w:val="left" w:pos="1418"/>
              </w:tabs>
              <w:snapToGrid w:val="0"/>
              <w:spacing w:before="50" w:after="50"/>
              <w:ind w:firstLine="251"/>
              <w:jc w:val="center"/>
              <w:rPr>
                <w:rFonts w:ascii="宋体" w:hAnsi="宋体"/>
                <w:spacing w:val="20"/>
              </w:rPr>
            </w:pPr>
          </w:p>
        </w:tc>
        <w:tc>
          <w:tcPr>
            <w:tcW w:w="4512" w:type="dxa"/>
            <w:gridSpan w:val="3"/>
            <w:tcBorders>
              <w:top w:val="single" w:color="auto" w:sz="4" w:space="0"/>
              <w:left w:val="single" w:color="auto" w:sz="4" w:space="0"/>
              <w:bottom w:val="single" w:color="auto" w:sz="4" w:space="0"/>
              <w:right w:val="single" w:color="auto" w:sz="4" w:space="0"/>
            </w:tcBorders>
          </w:tcPr>
          <w:p w14:paraId="4766F50E">
            <w:pPr>
              <w:tabs>
                <w:tab w:val="left" w:pos="1418"/>
              </w:tabs>
              <w:snapToGrid w:val="0"/>
              <w:spacing w:before="50" w:after="50"/>
              <w:ind w:firstLine="251"/>
              <w:jc w:val="center"/>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6C027E41">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2E664A92">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1F9FA4A">
            <w:pPr>
              <w:tabs>
                <w:tab w:val="left" w:pos="1418"/>
              </w:tabs>
              <w:snapToGrid w:val="0"/>
              <w:spacing w:before="50" w:after="50"/>
              <w:ind w:firstLine="251"/>
              <w:jc w:val="center"/>
              <w:rPr>
                <w:rFonts w:ascii="宋体" w:hAnsi="宋体"/>
                <w:spacing w:val="20"/>
              </w:rPr>
            </w:pPr>
          </w:p>
        </w:tc>
      </w:tr>
      <w:tr w14:paraId="72E98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tcPr>
          <w:p w14:paraId="5B4604E9">
            <w:pPr>
              <w:tabs>
                <w:tab w:val="left" w:pos="1418"/>
              </w:tabs>
              <w:snapToGrid w:val="0"/>
              <w:spacing w:before="50" w:after="50"/>
              <w:ind w:firstLine="251"/>
              <w:jc w:val="center"/>
              <w:rPr>
                <w:rFonts w:ascii="宋体" w:hAnsi="宋体"/>
                <w:spacing w:val="20"/>
              </w:rPr>
            </w:pPr>
          </w:p>
        </w:tc>
        <w:tc>
          <w:tcPr>
            <w:tcW w:w="4512" w:type="dxa"/>
            <w:gridSpan w:val="3"/>
            <w:tcBorders>
              <w:top w:val="single" w:color="auto" w:sz="4" w:space="0"/>
              <w:left w:val="single" w:color="auto" w:sz="4" w:space="0"/>
              <w:bottom w:val="single" w:color="auto" w:sz="4" w:space="0"/>
              <w:right w:val="single" w:color="auto" w:sz="4" w:space="0"/>
            </w:tcBorders>
          </w:tcPr>
          <w:p w14:paraId="19341B9E">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388BCAB6">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25841233">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FE5DAC0">
            <w:pPr>
              <w:tabs>
                <w:tab w:val="left" w:pos="1418"/>
              </w:tabs>
              <w:snapToGrid w:val="0"/>
              <w:spacing w:before="50" w:after="50"/>
              <w:ind w:firstLine="251"/>
              <w:jc w:val="center"/>
              <w:rPr>
                <w:rFonts w:ascii="宋体" w:hAnsi="宋体"/>
                <w:spacing w:val="20"/>
              </w:rPr>
            </w:pPr>
          </w:p>
        </w:tc>
      </w:tr>
      <w:tr w14:paraId="21B07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tcPr>
          <w:p w14:paraId="574326DE">
            <w:pPr>
              <w:tabs>
                <w:tab w:val="left" w:pos="1418"/>
              </w:tabs>
              <w:snapToGrid w:val="0"/>
              <w:spacing w:before="50" w:after="50"/>
              <w:ind w:firstLine="251"/>
              <w:jc w:val="center"/>
              <w:rPr>
                <w:rFonts w:ascii="宋体" w:hAnsi="宋体"/>
                <w:spacing w:val="20"/>
              </w:rPr>
            </w:pPr>
          </w:p>
        </w:tc>
        <w:tc>
          <w:tcPr>
            <w:tcW w:w="4512" w:type="dxa"/>
            <w:gridSpan w:val="3"/>
            <w:tcBorders>
              <w:top w:val="single" w:color="auto" w:sz="4" w:space="0"/>
              <w:left w:val="single" w:color="auto" w:sz="4" w:space="0"/>
              <w:bottom w:val="single" w:color="auto" w:sz="4" w:space="0"/>
              <w:right w:val="single" w:color="auto" w:sz="4" w:space="0"/>
            </w:tcBorders>
          </w:tcPr>
          <w:p w14:paraId="0D12E669">
            <w:pPr>
              <w:tabs>
                <w:tab w:val="left" w:pos="1418"/>
              </w:tabs>
              <w:snapToGrid w:val="0"/>
              <w:spacing w:before="50" w:after="50"/>
              <w:ind w:firstLine="251"/>
              <w:rPr>
                <w:rFonts w:ascii="宋体" w:hAnsi="宋体"/>
                <w:spacing w:val="20"/>
              </w:rPr>
            </w:pPr>
          </w:p>
        </w:tc>
        <w:tc>
          <w:tcPr>
            <w:tcW w:w="1620" w:type="dxa"/>
            <w:gridSpan w:val="2"/>
            <w:tcBorders>
              <w:top w:val="single" w:color="auto" w:sz="4" w:space="0"/>
              <w:left w:val="single" w:color="auto" w:sz="4" w:space="0"/>
              <w:bottom w:val="single" w:color="auto" w:sz="4" w:space="0"/>
              <w:right w:val="single" w:color="auto" w:sz="4" w:space="0"/>
            </w:tcBorders>
          </w:tcPr>
          <w:p w14:paraId="2A18C3D0">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3174CA76">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53C2C86">
            <w:pPr>
              <w:tabs>
                <w:tab w:val="left" w:pos="1418"/>
              </w:tabs>
              <w:snapToGrid w:val="0"/>
              <w:spacing w:before="50" w:after="50"/>
              <w:ind w:firstLine="251"/>
              <w:jc w:val="center"/>
              <w:rPr>
                <w:rFonts w:ascii="宋体" w:hAnsi="宋体"/>
                <w:spacing w:val="20"/>
              </w:rPr>
            </w:pPr>
          </w:p>
        </w:tc>
      </w:tr>
      <w:tr w14:paraId="6B8CE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4CD6BEA3">
            <w:pPr>
              <w:tabs>
                <w:tab w:val="left" w:pos="1418"/>
              </w:tabs>
              <w:snapToGrid w:val="0"/>
              <w:spacing w:before="50" w:after="50"/>
              <w:ind w:firstLine="251"/>
              <w:jc w:val="center"/>
              <w:rPr>
                <w:rFonts w:ascii="宋体" w:hAnsi="宋体"/>
                <w:spacing w:val="20"/>
              </w:rPr>
            </w:pPr>
          </w:p>
        </w:tc>
        <w:tc>
          <w:tcPr>
            <w:tcW w:w="4512" w:type="dxa"/>
            <w:gridSpan w:val="3"/>
            <w:tcBorders>
              <w:top w:val="single" w:color="auto" w:sz="4" w:space="0"/>
              <w:left w:val="single" w:color="auto" w:sz="4" w:space="0"/>
              <w:bottom w:val="single" w:color="auto" w:sz="4" w:space="0"/>
              <w:right w:val="single" w:color="auto" w:sz="4" w:space="0"/>
            </w:tcBorders>
          </w:tcPr>
          <w:p w14:paraId="3871A862">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39268F7B">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516E6E61">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A8D8AA3">
            <w:pPr>
              <w:tabs>
                <w:tab w:val="left" w:pos="1418"/>
              </w:tabs>
              <w:snapToGrid w:val="0"/>
              <w:spacing w:before="50" w:after="50"/>
              <w:ind w:firstLine="251"/>
              <w:jc w:val="center"/>
              <w:rPr>
                <w:rFonts w:ascii="宋体" w:hAnsi="宋体"/>
                <w:spacing w:val="20"/>
              </w:rPr>
            </w:pPr>
          </w:p>
        </w:tc>
      </w:tr>
      <w:tr w14:paraId="10C0F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461C0250">
            <w:pPr>
              <w:tabs>
                <w:tab w:val="left" w:pos="1418"/>
              </w:tabs>
              <w:snapToGrid w:val="0"/>
              <w:spacing w:before="50" w:after="50"/>
              <w:ind w:firstLine="251"/>
              <w:jc w:val="center"/>
              <w:rPr>
                <w:rFonts w:ascii="宋体" w:hAnsi="宋体"/>
                <w:spacing w:val="20"/>
              </w:rPr>
            </w:pPr>
          </w:p>
        </w:tc>
        <w:tc>
          <w:tcPr>
            <w:tcW w:w="4512" w:type="dxa"/>
            <w:gridSpan w:val="3"/>
            <w:tcBorders>
              <w:top w:val="single" w:color="auto" w:sz="4" w:space="0"/>
              <w:left w:val="single" w:color="auto" w:sz="4" w:space="0"/>
              <w:bottom w:val="single" w:color="auto" w:sz="4" w:space="0"/>
              <w:right w:val="single" w:color="auto" w:sz="4" w:space="0"/>
            </w:tcBorders>
          </w:tcPr>
          <w:p w14:paraId="787C2181">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7D92AC54">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35F2E80F">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91E569E">
            <w:pPr>
              <w:tabs>
                <w:tab w:val="left" w:pos="1418"/>
              </w:tabs>
              <w:snapToGrid w:val="0"/>
              <w:spacing w:before="50" w:after="50"/>
              <w:ind w:firstLine="251"/>
              <w:jc w:val="center"/>
              <w:rPr>
                <w:rFonts w:ascii="宋体" w:hAnsi="宋体"/>
                <w:spacing w:val="20"/>
              </w:rPr>
            </w:pPr>
          </w:p>
        </w:tc>
      </w:tr>
      <w:tr w14:paraId="14A1C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396049F5">
            <w:pPr>
              <w:tabs>
                <w:tab w:val="left" w:pos="1418"/>
              </w:tabs>
              <w:snapToGrid w:val="0"/>
              <w:spacing w:before="50" w:after="50"/>
              <w:ind w:firstLine="251"/>
              <w:jc w:val="center"/>
              <w:rPr>
                <w:rFonts w:ascii="宋体" w:hAnsi="宋体"/>
                <w:spacing w:val="20"/>
              </w:rPr>
            </w:pPr>
          </w:p>
        </w:tc>
        <w:tc>
          <w:tcPr>
            <w:tcW w:w="4512" w:type="dxa"/>
            <w:gridSpan w:val="3"/>
            <w:tcBorders>
              <w:top w:val="single" w:color="auto" w:sz="4" w:space="0"/>
              <w:left w:val="single" w:color="auto" w:sz="4" w:space="0"/>
              <w:bottom w:val="single" w:color="auto" w:sz="4" w:space="0"/>
              <w:right w:val="single" w:color="auto" w:sz="4" w:space="0"/>
            </w:tcBorders>
          </w:tcPr>
          <w:p w14:paraId="2BF4D881">
            <w:pPr>
              <w:pStyle w:val="133"/>
              <w:tabs>
                <w:tab w:val="left" w:pos="1418"/>
              </w:tabs>
              <w:snapToGrid w:val="0"/>
              <w:spacing w:before="50" w:after="50"/>
              <w:ind w:firstLine="251"/>
              <w:rPr>
                <w:rFonts w:ascii="宋体" w:hAnsi="宋体"/>
                <w:spacing w:val="20"/>
                <w:sz w:val="21"/>
              </w:rPr>
            </w:pPr>
          </w:p>
        </w:tc>
        <w:tc>
          <w:tcPr>
            <w:tcW w:w="1620" w:type="dxa"/>
            <w:gridSpan w:val="2"/>
            <w:tcBorders>
              <w:top w:val="single" w:color="auto" w:sz="4" w:space="0"/>
              <w:left w:val="single" w:color="auto" w:sz="4" w:space="0"/>
              <w:bottom w:val="single" w:color="auto" w:sz="4" w:space="0"/>
              <w:right w:val="single" w:color="auto" w:sz="4" w:space="0"/>
            </w:tcBorders>
          </w:tcPr>
          <w:p w14:paraId="3515FE9C">
            <w:pPr>
              <w:tabs>
                <w:tab w:val="left" w:pos="1418"/>
              </w:tabs>
              <w:snapToGrid w:val="0"/>
              <w:spacing w:before="50" w:after="50"/>
              <w:ind w:firstLine="251"/>
              <w:jc w:val="center"/>
              <w:rPr>
                <w:rFonts w:ascii="宋体" w:hAnsi="宋体"/>
                <w:spacing w:val="20"/>
              </w:rPr>
            </w:pPr>
          </w:p>
        </w:tc>
        <w:tc>
          <w:tcPr>
            <w:tcW w:w="1260" w:type="dxa"/>
            <w:tcBorders>
              <w:top w:val="single" w:color="auto" w:sz="4" w:space="0"/>
              <w:left w:val="single" w:color="auto" w:sz="4" w:space="0"/>
              <w:bottom w:val="single" w:color="auto" w:sz="4" w:space="0"/>
              <w:right w:val="single" w:color="auto" w:sz="4" w:space="0"/>
            </w:tcBorders>
          </w:tcPr>
          <w:p w14:paraId="1E62C270">
            <w:pPr>
              <w:tabs>
                <w:tab w:val="left" w:pos="1418"/>
              </w:tabs>
              <w:snapToGrid w:val="0"/>
              <w:spacing w:before="50" w:after="50"/>
              <w:ind w:firstLine="251"/>
              <w:jc w:val="center"/>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DA5E21D">
            <w:pPr>
              <w:tabs>
                <w:tab w:val="left" w:pos="1418"/>
              </w:tabs>
              <w:snapToGrid w:val="0"/>
              <w:spacing w:before="50" w:after="50"/>
              <w:ind w:firstLine="251"/>
              <w:jc w:val="center"/>
              <w:rPr>
                <w:rFonts w:ascii="宋体" w:hAnsi="宋体"/>
                <w:spacing w:val="20"/>
              </w:rPr>
            </w:pPr>
          </w:p>
        </w:tc>
      </w:tr>
      <w:tr w14:paraId="0DD2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35847B3F">
            <w:pPr>
              <w:tabs>
                <w:tab w:val="left" w:pos="1418"/>
              </w:tabs>
              <w:snapToGrid w:val="0"/>
              <w:spacing w:before="50" w:after="50"/>
              <w:ind w:firstLine="251"/>
              <w:jc w:val="center"/>
              <w:rPr>
                <w:rFonts w:ascii="宋体" w:hAnsi="宋体"/>
                <w:spacing w:val="20"/>
              </w:rPr>
            </w:pPr>
          </w:p>
        </w:tc>
        <w:tc>
          <w:tcPr>
            <w:tcW w:w="4512" w:type="dxa"/>
            <w:gridSpan w:val="3"/>
            <w:tcBorders>
              <w:top w:val="single" w:color="auto" w:sz="4" w:space="0"/>
              <w:left w:val="single" w:color="auto" w:sz="4" w:space="0"/>
              <w:bottom w:val="single" w:color="auto" w:sz="4" w:space="0"/>
              <w:right w:val="single" w:color="auto" w:sz="4" w:space="0"/>
            </w:tcBorders>
          </w:tcPr>
          <w:p w14:paraId="7A5F6ED3">
            <w:pPr>
              <w:pStyle w:val="133"/>
              <w:tabs>
                <w:tab w:val="left" w:pos="1418"/>
              </w:tabs>
              <w:snapToGrid w:val="0"/>
              <w:spacing w:before="50" w:after="50"/>
              <w:ind w:firstLine="251"/>
              <w:rPr>
                <w:rFonts w:ascii="宋体" w:hAnsi="宋体"/>
                <w:spacing w:val="20"/>
                <w:sz w:val="21"/>
              </w:rPr>
            </w:pPr>
          </w:p>
        </w:tc>
        <w:tc>
          <w:tcPr>
            <w:tcW w:w="2880" w:type="dxa"/>
            <w:gridSpan w:val="3"/>
            <w:tcBorders>
              <w:top w:val="single" w:color="auto" w:sz="4" w:space="0"/>
              <w:left w:val="single" w:color="auto" w:sz="4" w:space="0"/>
              <w:bottom w:val="single" w:color="auto" w:sz="4" w:space="0"/>
              <w:right w:val="single" w:color="auto" w:sz="4" w:space="0"/>
            </w:tcBorders>
          </w:tcPr>
          <w:p w14:paraId="0ABA2628">
            <w:pPr>
              <w:tabs>
                <w:tab w:val="left" w:pos="1418"/>
              </w:tabs>
              <w:snapToGrid w:val="0"/>
              <w:spacing w:before="50" w:after="50"/>
              <w:ind w:firstLine="251"/>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57A6276">
            <w:pPr>
              <w:tabs>
                <w:tab w:val="left" w:pos="1418"/>
              </w:tabs>
              <w:snapToGrid w:val="0"/>
              <w:spacing w:before="50" w:after="50"/>
              <w:ind w:firstLine="251"/>
              <w:jc w:val="center"/>
              <w:rPr>
                <w:rFonts w:ascii="宋体" w:hAnsi="宋体"/>
                <w:spacing w:val="20"/>
              </w:rPr>
            </w:pPr>
          </w:p>
        </w:tc>
      </w:tr>
      <w:tr w14:paraId="3D0B9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tcPr>
          <w:p w14:paraId="63D7F9F5">
            <w:pPr>
              <w:tabs>
                <w:tab w:val="left" w:pos="1418"/>
              </w:tabs>
              <w:snapToGrid w:val="0"/>
              <w:spacing w:before="50" w:after="50"/>
              <w:ind w:firstLine="251"/>
              <w:jc w:val="center"/>
              <w:rPr>
                <w:rFonts w:ascii="宋体" w:hAnsi="宋体"/>
                <w:spacing w:val="20"/>
              </w:rPr>
            </w:pPr>
          </w:p>
        </w:tc>
        <w:tc>
          <w:tcPr>
            <w:tcW w:w="4512" w:type="dxa"/>
            <w:gridSpan w:val="3"/>
            <w:tcBorders>
              <w:top w:val="single" w:color="auto" w:sz="4" w:space="0"/>
              <w:left w:val="single" w:color="auto" w:sz="4" w:space="0"/>
              <w:bottom w:val="single" w:color="auto" w:sz="4" w:space="0"/>
              <w:right w:val="single" w:color="auto" w:sz="4" w:space="0"/>
            </w:tcBorders>
          </w:tcPr>
          <w:p w14:paraId="2854B3C3">
            <w:pPr>
              <w:pStyle w:val="133"/>
              <w:tabs>
                <w:tab w:val="left" w:pos="1418"/>
              </w:tabs>
              <w:snapToGrid w:val="0"/>
              <w:spacing w:before="50" w:after="50"/>
              <w:ind w:firstLine="251"/>
              <w:rPr>
                <w:rFonts w:ascii="宋体" w:hAnsi="宋体"/>
                <w:spacing w:val="20"/>
                <w:sz w:val="21"/>
              </w:rPr>
            </w:pPr>
          </w:p>
        </w:tc>
        <w:tc>
          <w:tcPr>
            <w:tcW w:w="2880" w:type="dxa"/>
            <w:gridSpan w:val="3"/>
            <w:tcBorders>
              <w:top w:val="single" w:color="auto" w:sz="4" w:space="0"/>
              <w:left w:val="single" w:color="auto" w:sz="4" w:space="0"/>
              <w:bottom w:val="single" w:color="auto" w:sz="4" w:space="0"/>
              <w:right w:val="single" w:color="auto" w:sz="4" w:space="0"/>
            </w:tcBorders>
          </w:tcPr>
          <w:p w14:paraId="6B5AFD4A">
            <w:pPr>
              <w:tabs>
                <w:tab w:val="left" w:pos="1418"/>
              </w:tabs>
              <w:snapToGrid w:val="0"/>
              <w:spacing w:before="50" w:after="50"/>
              <w:ind w:firstLine="251"/>
              <w:rPr>
                <w:rFonts w:ascii="宋体" w:hAns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E24C87F">
            <w:pPr>
              <w:tabs>
                <w:tab w:val="left" w:pos="1418"/>
              </w:tabs>
              <w:snapToGrid w:val="0"/>
              <w:spacing w:before="50" w:after="50"/>
              <w:ind w:firstLine="251"/>
              <w:jc w:val="center"/>
              <w:rPr>
                <w:rFonts w:ascii="宋体" w:hAnsi="宋体"/>
                <w:spacing w:val="20"/>
              </w:rPr>
            </w:pPr>
          </w:p>
        </w:tc>
      </w:tr>
      <w:tr w14:paraId="28A35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80" w:type="dxa"/>
            <w:gridSpan w:val="9"/>
            <w:tcBorders>
              <w:top w:val="single" w:color="auto" w:sz="4" w:space="0"/>
              <w:left w:val="single" w:color="auto" w:sz="4" w:space="0"/>
              <w:bottom w:val="single" w:color="auto" w:sz="4" w:space="0"/>
              <w:right w:val="single" w:color="auto" w:sz="4" w:space="0"/>
            </w:tcBorders>
            <w:vAlign w:val="center"/>
          </w:tcPr>
          <w:p w14:paraId="57BC12FF">
            <w:pPr>
              <w:tabs>
                <w:tab w:val="left" w:pos="1418"/>
              </w:tabs>
              <w:snapToGrid w:val="0"/>
              <w:spacing w:before="50" w:after="50"/>
              <w:jc w:val="both"/>
              <w:rPr>
                <w:rFonts w:hint="default" w:ascii="宋体" w:hAnsi="宋体" w:eastAsia="宋体"/>
                <w:spacing w:val="20"/>
                <w:lang w:val="en-US" w:eastAsia="zh-CN"/>
              </w:rPr>
            </w:pPr>
            <w:r>
              <w:rPr>
                <w:rFonts w:hint="eastAsia" w:ascii="宋体" w:hAnsi="宋体"/>
                <w:spacing w:val="20"/>
              </w:rPr>
              <w:t>合计金额</w:t>
            </w:r>
            <w:r>
              <w:rPr>
                <w:rFonts w:hint="eastAsia" w:ascii="宋体" w:hAnsi="宋体"/>
                <w:spacing w:val="20"/>
                <w:lang w:eastAsia="zh-CN"/>
              </w:rPr>
              <w:t>（</w:t>
            </w:r>
            <w:r>
              <w:rPr>
                <w:rFonts w:hint="eastAsia" w:ascii="宋体" w:hAnsi="宋体"/>
                <w:spacing w:val="20"/>
                <w:lang w:val="en-US" w:eastAsia="zh-CN"/>
              </w:rPr>
              <w:t>大写）</w:t>
            </w:r>
          </w:p>
        </w:tc>
      </w:tr>
    </w:tbl>
    <w:p w14:paraId="5A6A1771">
      <w:pPr>
        <w:snapToGrid w:val="0"/>
      </w:pPr>
    </w:p>
    <w:p w14:paraId="5C7DD50F">
      <w:pPr>
        <w:snapToGrid w:val="0"/>
        <w:spacing w:before="50" w:after="50"/>
        <w:rPr>
          <w:rFonts w:hint="eastAsia"/>
        </w:rPr>
      </w:pPr>
    </w:p>
    <w:p w14:paraId="6F1D3FA6">
      <w:pPr>
        <w:snapToGrid w:val="0"/>
        <w:spacing w:before="50" w:after="50"/>
      </w:pPr>
      <w:r>
        <w:rPr>
          <w:rFonts w:hint="eastAsia"/>
        </w:rPr>
        <w:t>投标人名称（盖章）：</w:t>
      </w:r>
    </w:p>
    <w:p w14:paraId="3DF5BEF1">
      <w:pPr>
        <w:snapToGrid w:val="0"/>
        <w:spacing w:before="50" w:after="50"/>
      </w:pPr>
    </w:p>
    <w:p w14:paraId="79E0B085">
      <w:pPr>
        <w:snapToGrid w:val="0"/>
        <w:spacing w:before="50" w:after="50"/>
      </w:pPr>
    </w:p>
    <w:p w14:paraId="184CF05F">
      <w:pPr>
        <w:snapToGrid w:val="0"/>
        <w:spacing w:before="50" w:after="50"/>
        <w:rPr>
          <w:spacing w:val="20"/>
          <w:u w:val="single"/>
        </w:rPr>
      </w:pPr>
      <w:r>
        <w:rPr>
          <w:rFonts w:hint="eastAsia"/>
          <w:spacing w:val="20"/>
        </w:rPr>
        <w:t>日期：</w:t>
      </w:r>
    </w:p>
    <w:p w14:paraId="6EE4F061">
      <w:pPr>
        <w:snapToGrid w:val="0"/>
        <w:spacing w:before="50" w:after="50"/>
      </w:pPr>
    </w:p>
    <w:p w14:paraId="5EE6C98D">
      <w:pPr>
        <w:snapToGrid w:val="0"/>
        <w:spacing w:before="120" w:line="312" w:lineRule="auto"/>
        <w:ind w:right="-341"/>
        <w:rPr>
          <w:b/>
          <w:sz w:val="32"/>
        </w:rPr>
      </w:pPr>
    </w:p>
    <w:p w14:paraId="7C47E0F5">
      <w:pPr>
        <w:widowControl/>
        <w:jc w:val="left"/>
        <w:rPr>
          <w:b/>
          <w:sz w:val="28"/>
          <w:szCs w:val="28"/>
        </w:rPr>
      </w:pPr>
      <w:r>
        <w:rPr>
          <w:b/>
          <w:sz w:val="28"/>
          <w:szCs w:val="28"/>
        </w:rPr>
        <w:br w:type="page"/>
      </w:r>
    </w:p>
    <w:p w14:paraId="7D86FA5E">
      <w:pPr>
        <w:snapToGrid w:val="0"/>
        <w:spacing w:before="120" w:line="312" w:lineRule="auto"/>
        <w:ind w:right="-341"/>
        <w:rPr>
          <w:b/>
          <w:sz w:val="28"/>
          <w:szCs w:val="28"/>
        </w:rPr>
      </w:pPr>
    </w:p>
    <w:p w14:paraId="16300452">
      <w:pPr>
        <w:snapToGrid w:val="0"/>
        <w:spacing w:line="360" w:lineRule="auto"/>
        <w:ind w:right="-341"/>
        <w:jc w:val="center"/>
        <w:rPr>
          <w:rFonts w:ascii="宋体" w:hAnsi="宋体" w:eastAsia="宋体" w:cs="宋体"/>
          <w:b/>
          <w:kern w:val="0"/>
          <w:sz w:val="28"/>
          <w:szCs w:val="28"/>
        </w:rPr>
      </w:pPr>
      <w:r>
        <w:rPr>
          <w:rFonts w:hint="eastAsia" w:ascii="宋体" w:hAnsi="宋体" w:cs="宋体"/>
          <w:b/>
          <w:kern w:val="0"/>
          <w:sz w:val="28"/>
          <w:szCs w:val="28"/>
          <w:lang w:val="en-US" w:eastAsia="zh-CN"/>
        </w:rPr>
        <w:t>四、</w:t>
      </w:r>
      <w:r>
        <w:rPr>
          <w:rFonts w:hint="eastAsia" w:ascii="宋体" w:hAnsi="宋体" w:eastAsia="宋体" w:cs="宋体"/>
          <w:b/>
          <w:kern w:val="0"/>
          <w:sz w:val="28"/>
          <w:szCs w:val="28"/>
        </w:rPr>
        <w:t>中小企业声明函（工程、服务）</w:t>
      </w:r>
    </w:p>
    <w:p w14:paraId="78B60437">
      <w:pPr>
        <w:snapToGrid w:val="0"/>
        <w:spacing w:line="360" w:lineRule="auto"/>
        <w:ind w:right="-341"/>
        <w:rPr>
          <w:rFonts w:ascii="宋体" w:hAnsi="宋体" w:eastAsia="宋体" w:cs="宋体"/>
          <w:kern w:val="0"/>
          <w:szCs w:val="21"/>
        </w:rPr>
      </w:pPr>
    </w:p>
    <w:p w14:paraId="279451F6">
      <w:pPr>
        <w:snapToGrid w:val="0"/>
        <w:spacing w:line="360" w:lineRule="auto"/>
        <w:ind w:right="-341"/>
        <w:rPr>
          <w:rFonts w:ascii="宋体" w:hAnsi="宋体" w:eastAsia="宋体" w:cs="宋体"/>
          <w:kern w:val="0"/>
          <w:szCs w:val="21"/>
        </w:rPr>
      </w:pPr>
    </w:p>
    <w:p w14:paraId="209C2D13">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5F68728F">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3D43A95C">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532F68AB">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14:paraId="5C5C1D8C">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032FD9FB">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748DCF7D">
      <w:pPr>
        <w:snapToGrid w:val="0"/>
        <w:spacing w:line="360" w:lineRule="auto"/>
        <w:ind w:right="-341"/>
        <w:rPr>
          <w:rFonts w:ascii="宋体" w:hAnsi="宋体" w:eastAsia="宋体" w:cs="宋体"/>
          <w:kern w:val="0"/>
          <w:szCs w:val="21"/>
        </w:rPr>
      </w:pPr>
    </w:p>
    <w:p w14:paraId="69F1DBA9">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14:paraId="6FCE8FB2">
      <w:pPr>
        <w:snapToGrid w:val="0"/>
        <w:spacing w:line="360" w:lineRule="auto"/>
        <w:ind w:right="-341"/>
        <w:jc w:val="left"/>
        <w:rPr>
          <w:rFonts w:ascii="宋体" w:hAnsi="宋体" w:eastAsia="宋体" w:cs="宋体"/>
          <w:kern w:val="0"/>
          <w:szCs w:val="21"/>
        </w:rPr>
      </w:pPr>
    </w:p>
    <w:p w14:paraId="7EBA9DDA">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743F18A0">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4A0EB79A">
      <w:pPr>
        <w:snapToGrid w:val="0"/>
        <w:spacing w:line="360" w:lineRule="auto"/>
        <w:ind w:right="-341"/>
      </w:pPr>
    </w:p>
    <w:p w14:paraId="4D1EFB76">
      <w:pPr>
        <w:spacing w:after="120"/>
      </w:pPr>
    </w:p>
    <w:p w14:paraId="4D0662AD">
      <w:pPr>
        <w:spacing w:line="360" w:lineRule="auto"/>
        <w:ind w:firstLine="3614" w:firstLineChars="1500"/>
        <w:rPr>
          <w:b/>
          <w:sz w:val="24"/>
          <w:szCs w:val="24"/>
        </w:rPr>
      </w:pPr>
      <w:r>
        <w:rPr>
          <w:rFonts w:hint="eastAsia"/>
          <w:b/>
          <w:sz w:val="24"/>
          <w:szCs w:val="24"/>
        </w:rPr>
        <w:t>监狱企业声明函</w:t>
      </w:r>
    </w:p>
    <w:p w14:paraId="04D4AAD2">
      <w:pPr>
        <w:spacing w:line="360" w:lineRule="auto"/>
        <w:ind w:firstLine="3120" w:firstLineChars="1300"/>
        <w:rPr>
          <w:sz w:val="24"/>
          <w:szCs w:val="24"/>
        </w:rPr>
      </w:pPr>
      <w:r>
        <w:rPr>
          <w:rFonts w:hint="eastAsia"/>
          <w:sz w:val="24"/>
          <w:szCs w:val="24"/>
        </w:rPr>
        <w:t>【非监狱企业不用提供】</w:t>
      </w:r>
    </w:p>
    <w:p w14:paraId="0F0441FF">
      <w:pPr>
        <w:spacing w:line="360" w:lineRule="auto"/>
        <w:ind w:firstLine="480"/>
        <w:rPr>
          <w:szCs w:val="21"/>
        </w:rPr>
      </w:pPr>
    </w:p>
    <w:p w14:paraId="194429E9">
      <w:pPr>
        <w:spacing w:line="360" w:lineRule="auto"/>
        <w:ind w:firstLine="525" w:firstLineChars="250"/>
        <w:rPr>
          <w:szCs w:val="21"/>
        </w:rPr>
      </w:pPr>
      <w:r>
        <w:rPr>
          <w:rFonts w:hint="eastAsia"/>
          <w:szCs w:val="21"/>
        </w:rPr>
        <w:t>监狱企业参加政府采购活动时，应当提供由省级以上监狱管理本企业郑重声明，根据《关于政府采购支持监狱企业发展有关问题的通知》（财库</w:t>
      </w:r>
      <w:r>
        <w:rPr>
          <w:szCs w:val="21"/>
        </w:rPr>
        <w:t>[2014]68</w:t>
      </w:r>
      <w:r>
        <w:rPr>
          <w:rFonts w:hint="eastAsia"/>
          <w:szCs w:val="21"/>
        </w:rPr>
        <w:t>号）的规定，本企业为监狱企业。</w:t>
      </w:r>
    </w:p>
    <w:p w14:paraId="4A017F65">
      <w:pPr>
        <w:spacing w:line="360" w:lineRule="auto"/>
        <w:ind w:firstLine="480"/>
        <w:rPr>
          <w:szCs w:val="21"/>
        </w:rPr>
      </w:pPr>
      <w:r>
        <w:rPr>
          <w:rFonts w:hint="eastAsia"/>
          <w:szCs w:val="21"/>
        </w:rPr>
        <w:t>根据上述标准，我企业属于监狱企业的理由为：。</w:t>
      </w:r>
    </w:p>
    <w:p w14:paraId="769F13C9">
      <w:pPr>
        <w:spacing w:line="360" w:lineRule="auto"/>
        <w:ind w:firstLine="480"/>
        <w:rPr>
          <w:szCs w:val="21"/>
        </w:rPr>
      </w:pPr>
      <w:r>
        <w:rPr>
          <w:rFonts w:hint="eastAsia"/>
          <w:szCs w:val="21"/>
        </w:rPr>
        <w:t>本企业为参加（项目名称：）（项目编号：）采购活动提供本企业的产品。</w:t>
      </w:r>
    </w:p>
    <w:p w14:paraId="01985812">
      <w:pPr>
        <w:spacing w:line="360" w:lineRule="auto"/>
        <w:ind w:firstLine="480"/>
        <w:rPr>
          <w:szCs w:val="21"/>
        </w:rPr>
      </w:pPr>
      <w:r>
        <w:rPr>
          <w:rFonts w:hint="eastAsia"/>
          <w:szCs w:val="21"/>
        </w:rPr>
        <w:t>本企业对上述声明的真实性负责。如有虚假，将依法承担相应责任。</w:t>
      </w:r>
    </w:p>
    <w:p w14:paraId="497BA249">
      <w:pPr>
        <w:spacing w:line="360" w:lineRule="auto"/>
        <w:ind w:firstLine="480"/>
        <w:rPr>
          <w:szCs w:val="21"/>
        </w:rPr>
      </w:pPr>
    </w:p>
    <w:p w14:paraId="534BD821">
      <w:pPr>
        <w:spacing w:line="360" w:lineRule="auto"/>
        <w:ind w:firstLine="480"/>
        <w:rPr>
          <w:szCs w:val="21"/>
        </w:rPr>
      </w:pPr>
      <w:r>
        <w:rPr>
          <w:rFonts w:hint="eastAsia"/>
          <w:szCs w:val="21"/>
        </w:rPr>
        <w:t>投标人名称（盖章）：</w:t>
      </w:r>
    </w:p>
    <w:p w14:paraId="35D64DD1">
      <w:pPr>
        <w:spacing w:line="360" w:lineRule="auto"/>
        <w:ind w:firstLine="480"/>
        <w:rPr>
          <w:szCs w:val="21"/>
        </w:rPr>
      </w:pPr>
      <w:r>
        <w:rPr>
          <w:rFonts w:hint="eastAsia"/>
          <w:szCs w:val="21"/>
        </w:rPr>
        <w:t>日期：年月日</w:t>
      </w:r>
    </w:p>
    <w:p w14:paraId="094D69B3">
      <w:pPr>
        <w:spacing w:line="360" w:lineRule="auto"/>
        <w:ind w:firstLine="480"/>
        <w:rPr>
          <w:szCs w:val="21"/>
        </w:rPr>
      </w:pPr>
    </w:p>
    <w:p w14:paraId="24666022">
      <w:pPr>
        <w:spacing w:line="360" w:lineRule="auto"/>
        <w:ind w:firstLine="480"/>
        <w:rPr>
          <w:szCs w:val="21"/>
        </w:rPr>
      </w:pPr>
    </w:p>
    <w:p w14:paraId="00FBBF7F">
      <w:pPr>
        <w:spacing w:line="360" w:lineRule="auto"/>
        <w:ind w:firstLine="480"/>
        <w:rPr>
          <w:szCs w:val="21"/>
        </w:rPr>
      </w:pPr>
      <w:r>
        <w:rPr>
          <w:rFonts w:hint="eastAsia"/>
          <w:szCs w:val="21"/>
        </w:rPr>
        <w:t>投标人为监狱企业的提供此函。</w:t>
      </w:r>
    </w:p>
    <w:p w14:paraId="02618216">
      <w:pPr>
        <w:spacing w:line="360" w:lineRule="auto"/>
        <w:ind w:firstLine="480"/>
        <w:rPr>
          <w:szCs w:val="21"/>
        </w:rPr>
      </w:pPr>
      <w:r>
        <w:rPr>
          <w:rFonts w:hint="eastAsia"/>
          <w:szCs w:val="21"/>
        </w:rPr>
        <w:t>局、戒毒管理局（含新疆生产建设兵团）出具的属于监狱企业的证明文件。</w:t>
      </w:r>
    </w:p>
    <w:p w14:paraId="18B406BF">
      <w:pPr>
        <w:spacing w:line="360" w:lineRule="auto"/>
        <w:ind w:firstLine="480"/>
        <w:rPr>
          <w:szCs w:val="21"/>
        </w:rPr>
      </w:pPr>
      <w:r>
        <w:rPr>
          <w:rFonts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1E1C979">
      <w:pPr>
        <w:spacing w:line="360" w:lineRule="auto"/>
        <w:ind w:firstLine="480"/>
        <w:rPr>
          <w:szCs w:val="21"/>
        </w:rPr>
      </w:pPr>
    </w:p>
    <w:p w14:paraId="5B755B8A">
      <w:pPr>
        <w:spacing w:line="360" w:lineRule="auto"/>
        <w:ind w:firstLine="480"/>
        <w:rPr>
          <w:szCs w:val="21"/>
        </w:rPr>
      </w:pPr>
    </w:p>
    <w:p w14:paraId="428C8D2D">
      <w:pPr>
        <w:spacing w:line="360" w:lineRule="auto"/>
        <w:ind w:firstLine="480"/>
        <w:rPr>
          <w:szCs w:val="21"/>
        </w:rPr>
      </w:pPr>
    </w:p>
    <w:p w14:paraId="2492AF45">
      <w:pPr>
        <w:spacing w:line="360" w:lineRule="auto"/>
        <w:ind w:firstLine="480"/>
        <w:rPr>
          <w:szCs w:val="21"/>
        </w:rPr>
      </w:pPr>
    </w:p>
    <w:p w14:paraId="162FF841">
      <w:pPr>
        <w:spacing w:line="360" w:lineRule="auto"/>
        <w:ind w:firstLine="480"/>
        <w:rPr>
          <w:szCs w:val="21"/>
        </w:rPr>
      </w:pPr>
    </w:p>
    <w:p w14:paraId="10E11BF5">
      <w:pPr>
        <w:spacing w:line="360" w:lineRule="auto"/>
        <w:ind w:firstLine="480"/>
        <w:rPr>
          <w:szCs w:val="21"/>
        </w:rPr>
      </w:pPr>
    </w:p>
    <w:p w14:paraId="312D1ED0">
      <w:pPr>
        <w:spacing w:line="360" w:lineRule="auto"/>
        <w:ind w:firstLine="480"/>
        <w:rPr>
          <w:szCs w:val="21"/>
        </w:rPr>
      </w:pPr>
    </w:p>
    <w:p w14:paraId="30FD37C9">
      <w:pPr>
        <w:spacing w:line="360" w:lineRule="auto"/>
        <w:ind w:firstLine="480"/>
        <w:rPr>
          <w:szCs w:val="21"/>
        </w:rPr>
      </w:pPr>
    </w:p>
    <w:p w14:paraId="1A9B1D26">
      <w:pPr>
        <w:spacing w:line="360" w:lineRule="auto"/>
        <w:ind w:firstLine="480"/>
        <w:rPr>
          <w:szCs w:val="21"/>
        </w:rPr>
      </w:pPr>
    </w:p>
    <w:p w14:paraId="529DA39C">
      <w:pPr>
        <w:spacing w:line="360" w:lineRule="auto"/>
        <w:ind w:firstLine="480"/>
        <w:rPr>
          <w:szCs w:val="21"/>
        </w:rPr>
      </w:pPr>
    </w:p>
    <w:p w14:paraId="61911A5E">
      <w:pPr>
        <w:spacing w:line="360" w:lineRule="auto"/>
        <w:ind w:firstLine="480"/>
        <w:rPr>
          <w:szCs w:val="21"/>
        </w:rPr>
      </w:pPr>
    </w:p>
    <w:p w14:paraId="49DFBDCC">
      <w:pPr>
        <w:spacing w:line="360" w:lineRule="auto"/>
        <w:ind w:firstLine="480"/>
        <w:rPr>
          <w:szCs w:val="21"/>
        </w:rPr>
      </w:pPr>
    </w:p>
    <w:p w14:paraId="7B544503">
      <w:pPr>
        <w:spacing w:line="360" w:lineRule="auto"/>
        <w:ind w:firstLine="480"/>
        <w:rPr>
          <w:szCs w:val="21"/>
        </w:rPr>
      </w:pPr>
    </w:p>
    <w:p w14:paraId="742EE117">
      <w:pPr>
        <w:spacing w:line="360" w:lineRule="auto"/>
        <w:ind w:firstLine="105" w:firstLineChars="50"/>
        <w:rPr>
          <w:szCs w:val="21"/>
        </w:rPr>
      </w:pPr>
    </w:p>
    <w:p w14:paraId="19622818">
      <w:pPr>
        <w:spacing w:line="360" w:lineRule="auto"/>
        <w:rPr>
          <w:b/>
          <w:sz w:val="24"/>
          <w:szCs w:val="24"/>
        </w:rPr>
      </w:pPr>
    </w:p>
    <w:p w14:paraId="1407DF42">
      <w:pPr>
        <w:spacing w:line="360" w:lineRule="auto"/>
        <w:jc w:val="center"/>
        <w:rPr>
          <w:b/>
          <w:sz w:val="24"/>
          <w:szCs w:val="24"/>
        </w:rPr>
      </w:pPr>
    </w:p>
    <w:p w14:paraId="30630577">
      <w:pPr>
        <w:spacing w:line="360" w:lineRule="auto"/>
        <w:jc w:val="center"/>
        <w:rPr>
          <w:b/>
          <w:sz w:val="24"/>
          <w:szCs w:val="24"/>
        </w:rPr>
      </w:pPr>
      <w:r>
        <w:rPr>
          <w:rFonts w:hint="eastAsia"/>
          <w:b/>
          <w:sz w:val="24"/>
          <w:szCs w:val="24"/>
        </w:rPr>
        <w:t>残疾人福利性单位声明函</w:t>
      </w:r>
    </w:p>
    <w:p w14:paraId="5DD599CD">
      <w:pPr>
        <w:spacing w:line="360" w:lineRule="auto"/>
        <w:ind w:firstLine="2835" w:firstLineChars="1350"/>
        <w:rPr>
          <w:szCs w:val="21"/>
        </w:rPr>
      </w:pPr>
      <w:r>
        <w:rPr>
          <w:rFonts w:hint="eastAsia"/>
          <w:szCs w:val="21"/>
        </w:rPr>
        <w:t>【非残疾人福利性单位不用提供】</w:t>
      </w:r>
    </w:p>
    <w:p w14:paraId="33563DF4">
      <w:pPr>
        <w:spacing w:line="360" w:lineRule="auto"/>
        <w:rPr>
          <w:szCs w:val="21"/>
        </w:rPr>
      </w:pPr>
    </w:p>
    <w:p w14:paraId="0F411275">
      <w:pPr>
        <w:spacing w:line="360" w:lineRule="auto"/>
        <w:ind w:firstLine="420" w:firstLineChars="200"/>
        <w:rPr>
          <w:szCs w:val="21"/>
        </w:rPr>
      </w:pPr>
      <w:r>
        <w:rPr>
          <w:rFonts w:hint="eastAsia"/>
          <w:szCs w:val="21"/>
        </w:rPr>
        <w:t>本单位郑重声明，根据《财政部民政部中国残疾人联合会关于促进残疾人就业政府采购政策的通知》（财库〔</w:t>
      </w:r>
      <w:r>
        <w:rPr>
          <w:szCs w:val="21"/>
        </w:rPr>
        <w:t>2017</w:t>
      </w:r>
      <w:r>
        <w:rPr>
          <w:rFonts w:hint="eastAsia"/>
          <w:szCs w:val="21"/>
        </w:rPr>
        <w:t>〕</w:t>
      </w:r>
      <w:r>
        <w:rPr>
          <w:szCs w:val="21"/>
        </w:rPr>
        <w:t>141</w:t>
      </w:r>
      <w:r>
        <w:rPr>
          <w:rFonts w:hint="eastAsia"/>
          <w:szCs w:val="21"/>
        </w:rPr>
        <w:t>号）的规定，本单位为符合条件的残疾人福利性单位，且本单位参加（采购人名称）单位的（项目名称）项目采购活动提供本单位制造的货物（由本单位承担工程</w:t>
      </w:r>
      <w:r>
        <w:rPr>
          <w:szCs w:val="21"/>
        </w:rPr>
        <w:t>/</w:t>
      </w:r>
      <w:r>
        <w:rPr>
          <w:rFonts w:hint="eastAsia"/>
          <w:szCs w:val="21"/>
        </w:rPr>
        <w:t>提供服务），或者提供其他残疾人福利性单位制造的货物（不包括使用非残疾人福利性单位注册商标的货物）。</w:t>
      </w:r>
    </w:p>
    <w:p w14:paraId="4684D93F">
      <w:pPr>
        <w:spacing w:line="360" w:lineRule="auto"/>
        <w:ind w:firstLine="420" w:firstLineChars="200"/>
        <w:rPr>
          <w:szCs w:val="21"/>
        </w:rPr>
      </w:pPr>
      <w:r>
        <w:rPr>
          <w:rFonts w:hint="eastAsia"/>
          <w:szCs w:val="21"/>
        </w:rPr>
        <w:t>本单位对上述声明的真实性负责。如有虚假，将依法承担相应责任。</w:t>
      </w:r>
    </w:p>
    <w:p w14:paraId="2BD1ED9C">
      <w:pPr>
        <w:spacing w:line="360" w:lineRule="auto"/>
        <w:rPr>
          <w:szCs w:val="21"/>
        </w:rPr>
      </w:pPr>
    </w:p>
    <w:p w14:paraId="7822444E">
      <w:pPr>
        <w:spacing w:line="360" w:lineRule="auto"/>
        <w:rPr>
          <w:szCs w:val="21"/>
        </w:rPr>
      </w:pPr>
    </w:p>
    <w:p w14:paraId="7824B939">
      <w:pPr>
        <w:spacing w:line="360" w:lineRule="auto"/>
        <w:rPr>
          <w:szCs w:val="21"/>
        </w:rPr>
      </w:pPr>
      <w:r>
        <w:rPr>
          <w:rFonts w:hint="eastAsia"/>
          <w:szCs w:val="21"/>
        </w:rPr>
        <w:t>投标人名称（盖章）：</w:t>
      </w:r>
    </w:p>
    <w:p w14:paraId="096B4BBD">
      <w:pPr>
        <w:spacing w:line="360" w:lineRule="auto"/>
        <w:rPr>
          <w:szCs w:val="21"/>
        </w:rPr>
      </w:pPr>
      <w:r>
        <w:rPr>
          <w:rFonts w:hint="eastAsia"/>
          <w:szCs w:val="21"/>
        </w:rPr>
        <w:t>日期：年月日</w:t>
      </w:r>
    </w:p>
    <w:p w14:paraId="0CF2D3CE">
      <w:pPr>
        <w:spacing w:line="360" w:lineRule="auto"/>
        <w:ind w:firstLine="480"/>
        <w:rPr>
          <w:szCs w:val="21"/>
        </w:rPr>
      </w:pPr>
      <w:r>
        <w:rPr>
          <w:rFonts w:hint="eastAsia"/>
          <w:szCs w:val="21"/>
        </w:rPr>
        <w:t>说明：投标人为残疾人福利性单位的提供此函。</w:t>
      </w:r>
    </w:p>
    <w:p w14:paraId="743E9A39">
      <w:pPr>
        <w:snapToGrid w:val="0"/>
        <w:spacing w:line="360" w:lineRule="auto"/>
        <w:ind w:right="-341"/>
      </w:pPr>
    </w:p>
    <w:p w14:paraId="36F1F79B">
      <w:pPr>
        <w:snapToGrid w:val="0"/>
        <w:spacing w:line="360" w:lineRule="auto"/>
        <w:ind w:right="-341"/>
      </w:pPr>
    </w:p>
    <w:p w14:paraId="77733CAA">
      <w:pPr>
        <w:snapToGrid w:val="0"/>
        <w:spacing w:line="360" w:lineRule="auto"/>
        <w:ind w:right="-341"/>
      </w:pPr>
    </w:p>
    <w:p w14:paraId="760B49E3">
      <w:pPr>
        <w:snapToGrid w:val="0"/>
        <w:spacing w:line="360" w:lineRule="auto"/>
        <w:ind w:right="-341"/>
      </w:pPr>
    </w:p>
    <w:p w14:paraId="3674A6B2">
      <w:pPr>
        <w:snapToGrid w:val="0"/>
        <w:spacing w:line="312" w:lineRule="auto"/>
        <w:ind w:right="-341"/>
        <w:rPr>
          <w:b/>
        </w:rPr>
      </w:pPr>
    </w:p>
    <w:p w14:paraId="68C52B7E">
      <w:pPr>
        <w:snapToGrid w:val="0"/>
        <w:spacing w:line="312" w:lineRule="auto"/>
        <w:ind w:right="-341"/>
        <w:rPr>
          <w:b/>
        </w:rPr>
      </w:pPr>
    </w:p>
    <w:p w14:paraId="4106C083">
      <w:pPr>
        <w:snapToGrid w:val="0"/>
        <w:spacing w:line="312" w:lineRule="auto"/>
        <w:ind w:right="-341"/>
        <w:rPr>
          <w:b/>
        </w:rPr>
      </w:pPr>
    </w:p>
    <w:p w14:paraId="2D217F72">
      <w:pPr>
        <w:snapToGrid w:val="0"/>
        <w:spacing w:line="312" w:lineRule="auto"/>
        <w:ind w:right="-341"/>
        <w:rPr>
          <w:b/>
        </w:rPr>
      </w:pPr>
    </w:p>
    <w:p w14:paraId="5A1798F3">
      <w:pPr>
        <w:snapToGrid w:val="0"/>
        <w:spacing w:line="312" w:lineRule="auto"/>
        <w:ind w:right="-341"/>
        <w:rPr>
          <w:b/>
        </w:rPr>
      </w:pPr>
    </w:p>
    <w:p w14:paraId="5C1CF9C2">
      <w:pPr>
        <w:snapToGrid w:val="0"/>
        <w:spacing w:line="312" w:lineRule="auto"/>
        <w:ind w:right="-341"/>
        <w:rPr>
          <w:b/>
        </w:rPr>
      </w:pPr>
    </w:p>
    <w:p w14:paraId="07F3471A">
      <w:pPr>
        <w:snapToGrid w:val="0"/>
        <w:spacing w:line="312" w:lineRule="auto"/>
        <w:ind w:right="-341"/>
        <w:rPr>
          <w:b/>
        </w:rPr>
      </w:pPr>
    </w:p>
    <w:p w14:paraId="2757CBBB">
      <w:pPr>
        <w:snapToGrid w:val="0"/>
        <w:spacing w:before="120" w:line="312" w:lineRule="auto"/>
        <w:ind w:right="-341"/>
        <w:rPr>
          <w:b/>
          <w:sz w:val="32"/>
        </w:rPr>
      </w:pPr>
    </w:p>
    <w:p w14:paraId="6774AE9C">
      <w:pPr>
        <w:rPr>
          <w:sz w:val="18"/>
          <w:szCs w:val="24"/>
        </w:rPr>
      </w:pPr>
    </w:p>
    <w:p w14:paraId="09FF0028">
      <w:pPr>
        <w:spacing w:after="120"/>
      </w:pPr>
    </w:p>
    <w:p w14:paraId="6C1D8434">
      <w:pPr>
        <w:snapToGrid w:val="0"/>
        <w:spacing w:before="120" w:line="312" w:lineRule="auto"/>
        <w:ind w:right="-341"/>
        <w:jc w:val="both"/>
        <w:rPr>
          <w:b/>
          <w:sz w:val="32"/>
        </w:rPr>
      </w:pPr>
    </w:p>
    <w:p w14:paraId="4D41B921">
      <w:pPr>
        <w:snapToGrid w:val="0"/>
        <w:spacing w:before="120" w:line="312" w:lineRule="auto"/>
        <w:ind w:right="-341"/>
        <w:jc w:val="center"/>
        <w:rPr>
          <w:b/>
          <w:sz w:val="32"/>
        </w:rPr>
      </w:pPr>
    </w:p>
    <w:p w14:paraId="524B3CE7">
      <w:pPr>
        <w:snapToGrid w:val="0"/>
        <w:spacing w:before="120" w:line="312" w:lineRule="auto"/>
        <w:ind w:right="-341"/>
        <w:jc w:val="center"/>
        <w:rPr>
          <w:b/>
          <w:sz w:val="32"/>
        </w:rPr>
      </w:pPr>
    </w:p>
    <w:p w14:paraId="0DB521E0">
      <w:pPr>
        <w:snapToGrid w:val="0"/>
        <w:spacing w:before="120" w:line="312" w:lineRule="auto"/>
        <w:ind w:right="-341"/>
        <w:jc w:val="center"/>
        <w:rPr>
          <w:b/>
          <w:sz w:val="32"/>
        </w:rPr>
      </w:pPr>
      <w:r>
        <w:rPr>
          <w:rFonts w:hint="eastAsia"/>
          <w:b/>
          <w:sz w:val="32"/>
        </w:rPr>
        <w:t>五、投标函</w:t>
      </w:r>
    </w:p>
    <w:p w14:paraId="4CD0DBD8">
      <w:pPr>
        <w:snapToGrid w:val="0"/>
        <w:spacing w:line="312" w:lineRule="auto"/>
        <w:ind w:right="-341"/>
      </w:pPr>
    </w:p>
    <w:p w14:paraId="3163D1B0">
      <w:pPr>
        <w:snapToGrid w:val="0"/>
        <w:spacing w:line="312" w:lineRule="auto"/>
        <w:ind w:right="-341"/>
      </w:pPr>
      <w:r>
        <w:rPr>
          <w:rFonts w:hint="eastAsia"/>
        </w:rPr>
        <w:t>致：</w:t>
      </w:r>
      <w:r>
        <w:t>_</w:t>
      </w:r>
      <w:r>
        <w:rPr>
          <w:rFonts w:hint="eastAsia"/>
          <w:u w:val="single"/>
        </w:rPr>
        <w:t>深圳市国信招标有限公司</w:t>
      </w:r>
      <w:r>
        <w:t>_</w:t>
      </w:r>
      <w:r>
        <w:rPr>
          <w:rFonts w:hint="eastAsia"/>
        </w:rPr>
        <w:t>：</w:t>
      </w:r>
    </w:p>
    <w:p w14:paraId="1B3E7B8B">
      <w:pPr>
        <w:snapToGrid w:val="0"/>
        <w:spacing w:line="312" w:lineRule="auto"/>
        <w:ind w:right="-341" w:firstLine="480"/>
        <w:rPr>
          <w:spacing w:val="-4"/>
          <w:kern w:val="0"/>
          <w:szCs w:val="21"/>
        </w:rPr>
      </w:pPr>
      <w:r>
        <w:rPr>
          <w:rFonts w:hint="eastAsia"/>
        </w:rPr>
        <w:t>根据贵方为</w:t>
      </w:r>
      <w:r>
        <w:rPr>
          <w:rFonts w:hint="eastAsia"/>
          <w:u w:val="single"/>
        </w:rPr>
        <w:t xml:space="preserve">        </w:t>
      </w:r>
      <w:r>
        <w:rPr>
          <w:rFonts w:hint="eastAsia"/>
        </w:rPr>
        <w:t>项目的招标公告（项目编号：</w:t>
      </w:r>
      <w:r>
        <w:t>____</w:t>
      </w:r>
      <w:r>
        <w:rPr>
          <w:rFonts w:hint="eastAsia"/>
        </w:rPr>
        <w:t>）</w:t>
      </w:r>
      <w:r>
        <w:rPr>
          <w:rFonts w:hint="eastAsia"/>
          <w:spacing w:val="-4"/>
          <w:kern w:val="0"/>
          <w:szCs w:val="21"/>
        </w:rPr>
        <w:t>，同意如下：</w:t>
      </w:r>
    </w:p>
    <w:p w14:paraId="5436F358">
      <w:pPr>
        <w:widowControl/>
        <w:spacing w:line="360" w:lineRule="auto"/>
        <w:ind w:right="-341" w:firstLine="387" w:firstLineChars="192"/>
        <w:rPr>
          <w:spacing w:val="-4"/>
          <w:kern w:val="0"/>
          <w:szCs w:val="21"/>
        </w:rPr>
      </w:pPr>
      <w:r>
        <w:rPr>
          <w:spacing w:val="-4"/>
          <w:kern w:val="0"/>
          <w:szCs w:val="21"/>
        </w:rPr>
        <w:t>1.</w:t>
      </w:r>
      <w:r>
        <w:rPr>
          <w:rFonts w:hint="eastAsia"/>
          <w:spacing w:val="-4"/>
          <w:kern w:val="0"/>
          <w:szCs w:val="21"/>
        </w:rPr>
        <w:t>我方已详细审查了采购文件的全部内容及其相关补充文件</w:t>
      </w:r>
      <w:r>
        <w:rPr>
          <w:rFonts w:hint="eastAsia"/>
          <w:b/>
          <w:spacing w:val="-4"/>
          <w:kern w:val="0"/>
          <w:szCs w:val="21"/>
        </w:rPr>
        <w:t>（如有）</w:t>
      </w:r>
      <w:r>
        <w:rPr>
          <w:rFonts w:hint="eastAsia"/>
          <w:spacing w:val="-4"/>
          <w:kern w:val="0"/>
          <w:szCs w:val="21"/>
        </w:rPr>
        <w:t>，并完全清晰理解全部内容及相关的补充文件</w:t>
      </w:r>
      <w:r>
        <w:rPr>
          <w:rFonts w:hint="eastAsia"/>
          <w:b/>
          <w:spacing w:val="-4"/>
          <w:kern w:val="0"/>
          <w:szCs w:val="21"/>
        </w:rPr>
        <w:t>（如有）</w:t>
      </w:r>
      <w:r>
        <w:rPr>
          <w:rFonts w:hint="eastAsia"/>
          <w:spacing w:val="-4"/>
          <w:kern w:val="0"/>
          <w:szCs w:val="21"/>
        </w:rPr>
        <w:t>，不存在任何误解之处，同意放弃提出异议和质疑的权利。</w:t>
      </w:r>
    </w:p>
    <w:p w14:paraId="7F1424C9">
      <w:pPr>
        <w:snapToGrid w:val="0"/>
        <w:spacing w:line="360" w:lineRule="auto"/>
        <w:ind w:right="-341" w:firstLine="404" w:firstLineChars="200"/>
        <w:rPr>
          <w:spacing w:val="-4"/>
          <w:szCs w:val="21"/>
        </w:rPr>
      </w:pPr>
      <w:r>
        <w:rPr>
          <w:spacing w:val="-4"/>
          <w:szCs w:val="21"/>
        </w:rPr>
        <w:t>2.</w:t>
      </w:r>
      <w:r>
        <w:rPr>
          <w:rFonts w:hint="eastAsia"/>
          <w:spacing w:val="-4"/>
          <w:szCs w:val="21"/>
        </w:rPr>
        <w:t>我方遵守《中华人民共和国政府采购法》及相关法律法规的规定。同意采购文件中所提到的无效标条款，并服从有关开标会议纪律。否则，同意被废除投标资格。</w:t>
      </w:r>
    </w:p>
    <w:p w14:paraId="5F64DA9B">
      <w:pPr>
        <w:spacing w:line="360" w:lineRule="auto"/>
        <w:ind w:right="-341" w:firstLine="404" w:firstLineChars="200"/>
        <w:rPr>
          <w:spacing w:val="-4"/>
          <w:szCs w:val="21"/>
        </w:rPr>
      </w:pPr>
      <w:r>
        <w:rPr>
          <w:spacing w:val="-4"/>
          <w:szCs w:val="21"/>
        </w:rPr>
        <w:t>3.</w:t>
      </w:r>
      <w:r>
        <w:rPr>
          <w:rFonts w:hint="eastAsia"/>
          <w:spacing w:val="-4"/>
          <w:szCs w:val="21"/>
        </w:rPr>
        <w:t>我方所提供的一次性投标产品报价均具充分的合理性和准确性，保证不存在低于成本的恶意报价行为，同时清楚理解到报价最低并非意味着必定获得合同授予资格。</w:t>
      </w:r>
    </w:p>
    <w:p w14:paraId="4455E3BC">
      <w:pPr>
        <w:spacing w:line="360" w:lineRule="auto"/>
        <w:ind w:right="-341" w:firstLine="404" w:firstLineChars="200"/>
        <w:rPr>
          <w:spacing w:val="-4"/>
          <w:szCs w:val="21"/>
        </w:rPr>
      </w:pPr>
      <w:r>
        <w:rPr>
          <w:spacing w:val="-4"/>
          <w:szCs w:val="21"/>
        </w:rPr>
        <w:t>4.</w:t>
      </w:r>
      <w:r>
        <w:rPr>
          <w:rFonts w:hint="eastAsia"/>
          <w:spacing w:val="-4"/>
          <w:szCs w:val="21"/>
        </w:rPr>
        <w:t>投标有效期为自开标之日起</w:t>
      </w:r>
      <w:r>
        <w:rPr>
          <w:spacing w:val="-4"/>
          <w:szCs w:val="21"/>
        </w:rPr>
        <w:t>9</w:t>
      </w:r>
      <w:r>
        <w:rPr>
          <w:spacing w:val="-4"/>
          <w:szCs w:val="21"/>
          <w:u w:val="single"/>
        </w:rPr>
        <w:t>0</w:t>
      </w:r>
      <w:r>
        <w:rPr>
          <w:rFonts w:hint="eastAsia"/>
          <w:spacing w:val="-4"/>
          <w:szCs w:val="21"/>
        </w:rPr>
        <w:t>天内，如在投标有效期内撤回投标，我方同意被废除投标资格。</w:t>
      </w:r>
    </w:p>
    <w:p w14:paraId="4CDAA431">
      <w:pPr>
        <w:spacing w:line="360" w:lineRule="auto"/>
        <w:ind w:right="-341" w:firstLine="404" w:firstLineChars="200"/>
        <w:rPr>
          <w:spacing w:val="-4"/>
          <w:szCs w:val="21"/>
        </w:rPr>
      </w:pPr>
      <w:r>
        <w:rPr>
          <w:spacing w:val="-4"/>
          <w:szCs w:val="21"/>
        </w:rPr>
        <w:t>5.</w:t>
      </w:r>
      <w:r>
        <w:rPr>
          <w:rFonts w:hint="eastAsia"/>
          <w:spacing w:val="-4"/>
          <w:szCs w:val="21"/>
        </w:rPr>
        <w:t>我方承诺</w:t>
      </w:r>
      <w:r>
        <w:rPr>
          <w:rFonts w:hint="eastAsia"/>
          <w:szCs w:val="21"/>
        </w:rPr>
        <w:t>参加政府采购活动前</w:t>
      </w:r>
      <w:r>
        <w:rPr>
          <w:szCs w:val="21"/>
        </w:rPr>
        <w:t>3</w:t>
      </w:r>
      <w:r>
        <w:rPr>
          <w:rFonts w:hint="eastAsia"/>
          <w:szCs w:val="21"/>
        </w:rPr>
        <w:t>年内在经营活动中没有重大违法记录和依法缴纳了税收</w:t>
      </w:r>
      <w:r>
        <w:rPr>
          <w:rFonts w:hint="eastAsia"/>
          <w:spacing w:val="-4"/>
          <w:szCs w:val="21"/>
        </w:rPr>
        <w:t>（投标截止时间进行计算）。</w:t>
      </w:r>
    </w:p>
    <w:p w14:paraId="59D7B1D1">
      <w:pPr>
        <w:spacing w:line="360" w:lineRule="auto"/>
        <w:ind w:right="-341" w:firstLine="404" w:firstLineChars="200"/>
        <w:rPr>
          <w:szCs w:val="21"/>
        </w:rPr>
      </w:pPr>
      <w:r>
        <w:rPr>
          <w:spacing w:val="-4"/>
          <w:szCs w:val="21"/>
        </w:rPr>
        <w:t>6.</w:t>
      </w:r>
      <w:r>
        <w:rPr>
          <w:rFonts w:hint="eastAsia"/>
          <w:spacing w:val="-4"/>
          <w:szCs w:val="21"/>
        </w:rPr>
        <w:t>我方承诺具备本项目</w:t>
      </w:r>
      <w:r>
        <w:rPr>
          <w:rFonts w:hint="eastAsia"/>
          <w:szCs w:val="21"/>
        </w:rPr>
        <w:t>履行合同所必需的设备和专业技术能力</w:t>
      </w:r>
    </w:p>
    <w:p w14:paraId="61F39A9F">
      <w:pPr>
        <w:spacing w:line="360" w:lineRule="auto"/>
        <w:ind w:right="-341" w:firstLine="404" w:firstLineChars="200"/>
        <w:rPr>
          <w:spacing w:val="-4"/>
          <w:szCs w:val="21"/>
        </w:rPr>
      </w:pPr>
      <w:r>
        <w:rPr>
          <w:spacing w:val="-4"/>
          <w:szCs w:val="21"/>
        </w:rPr>
        <w:t>7.</w:t>
      </w:r>
      <w:r>
        <w:rPr>
          <w:rFonts w:hint="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297FCA14">
      <w:pPr>
        <w:spacing w:line="360" w:lineRule="auto"/>
        <w:ind w:right="-341" w:firstLine="404" w:firstLineChars="200"/>
        <w:rPr>
          <w:spacing w:val="-4"/>
          <w:szCs w:val="21"/>
        </w:rPr>
      </w:pPr>
      <w:r>
        <w:rPr>
          <w:spacing w:val="-4"/>
          <w:szCs w:val="21"/>
        </w:rPr>
        <w:t>8.</w:t>
      </w:r>
      <w:r>
        <w:rPr>
          <w:rFonts w:hint="eastAsia"/>
          <w:spacing w:val="-4"/>
          <w:szCs w:val="21"/>
        </w:rPr>
        <w:t>我方承诺至开标之日止，未被</w:t>
      </w:r>
      <w:r>
        <w:rPr>
          <w:spacing w:val="-4"/>
          <w:szCs w:val="21"/>
        </w:rPr>
        <w:t>“</w:t>
      </w:r>
      <w:r>
        <w:rPr>
          <w:rFonts w:hint="eastAsia"/>
          <w:spacing w:val="-4"/>
          <w:szCs w:val="21"/>
        </w:rPr>
        <w:t>信用中国</w:t>
      </w:r>
      <w:r>
        <w:rPr>
          <w:spacing w:val="-4"/>
          <w:szCs w:val="21"/>
        </w:rPr>
        <w:t>”</w:t>
      </w:r>
      <w:r>
        <w:rPr>
          <w:rFonts w:hint="eastAsia"/>
          <w:spacing w:val="-4"/>
          <w:szCs w:val="21"/>
        </w:rPr>
        <w:t>（</w:t>
      </w:r>
      <w:r>
        <w:rPr>
          <w:spacing w:val="-4"/>
          <w:szCs w:val="21"/>
        </w:rPr>
        <w:t>www.creditchina.gov.cn</w:t>
      </w:r>
      <w:r>
        <w:rPr>
          <w:rFonts w:hint="eastAsia"/>
          <w:spacing w:val="-4"/>
          <w:szCs w:val="21"/>
        </w:rPr>
        <w:t>）、中国政府采购网（</w:t>
      </w:r>
      <w:r>
        <w:rPr>
          <w:spacing w:val="-4"/>
          <w:szCs w:val="21"/>
        </w:rPr>
        <w:t>www.ccgp.gov.cn</w:t>
      </w:r>
      <w:r>
        <w:rPr>
          <w:rFonts w:hint="eastAsia"/>
          <w:spacing w:val="-4"/>
          <w:szCs w:val="21"/>
        </w:rPr>
        <w:t>）列入失信被执行人、重大税收违法案件当事人名单、政府采购严重违法失信行为记录名单。</w:t>
      </w:r>
    </w:p>
    <w:p w14:paraId="612FFAEA">
      <w:pPr>
        <w:snapToGrid w:val="0"/>
        <w:spacing w:line="360" w:lineRule="auto"/>
        <w:ind w:right="-341" w:firstLine="420" w:firstLineChars="200"/>
      </w:pPr>
      <w:r>
        <w:t>9.</w:t>
      </w:r>
      <w:r>
        <w:rPr>
          <w:rFonts w:hint="eastAsia"/>
        </w:rPr>
        <w:t>与本投标有关的一切正式往来信函请寄：</w:t>
      </w:r>
    </w:p>
    <w:p w14:paraId="6965D581">
      <w:pPr>
        <w:snapToGrid w:val="0"/>
        <w:spacing w:line="312" w:lineRule="auto"/>
        <w:ind w:right="-341"/>
      </w:pPr>
      <w:r>
        <w:rPr>
          <w:rFonts w:hint="eastAsia"/>
        </w:rPr>
        <w:t>地址：</w:t>
      </w:r>
      <w:r>
        <w:t>__________</w:t>
      </w:r>
      <w:r>
        <w:rPr>
          <w:u w:val="single"/>
        </w:rPr>
        <w:t>_</w:t>
      </w:r>
      <w:r>
        <w:t>____</w:t>
      </w:r>
      <w:r>
        <w:rPr>
          <w:rFonts w:hint="eastAsia"/>
        </w:rPr>
        <w:t>邮编：</w:t>
      </w:r>
      <w:r>
        <w:t>__________</w:t>
      </w:r>
      <w:r>
        <w:rPr>
          <w:rFonts w:hint="eastAsia"/>
        </w:rPr>
        <w:t>电话：</w:t>
      </w:r>
      <w:r>
        <w:t>______________</w:t>
      </w:r>
    </w:p>
    <w:p w14:paraId="7F2A324F">
      <w:pPr>
        <w:snapToGrid w:val="0"/>
        <w:spacing w:line="312" w:lineRule="auto"/>
        <w:ind w:right="-341"/>
      </w:pPr>
      <w:r>
        <w:rPr>
          <w:rFonts w:hint="eastAsia"/>
        </w:rPr>
        <w:t>传真：</w:t>
      </w:r>
      <w:r>
        <w:t>______________</w:t>
      </w:r>
      <w:r>
        <w:rPr>
          <w:rFonts w:hint="eastAsia"/>
        </w:rPr>
        <w:t>投标人代表姓名</w:t>
      </w:r>
      <w:r>
        <w:t>___________</w:t>
      </w:r>
      <w:r>
        <w:rPr>
          <w:rFonts w:hint="eastAsia"/>
        </w:rPr>
        <w:t>职务：</w:t>
      </w:r>
      <w:r>
        <w:t>_____________</w:t>
      </w:r>
    </w:p>
    <w:p w14:paraId="4EB9D950">
      <w:pPr>
        <w:snapToGrid w:val="0"/>
        <w:spacing w:line="312" w:lineRule="auto"/>
        <w:ind w:right="-341"/>
      </w:pPr>
      <w:r>
        <w:rPr>
          <w:rFonts w:hint="eastAsia"/>
        </w:rPr>
        <w:t>投标人名称</w:t>
      </w:r>
      <w:r>
        <w:t>(</w:t>
      </w:r>
      <w:r>
        <w:rPr>
          <w:rFonts w:hint="eastAsia"/>
        </w:rPr>
        <w:t>公章</w:t>
      </w:r>
      <w:r>
        <w:t>):___________________</w:t>
      </w:r>
    </w:p>
    <w:p w14:paraId="34226419">
      <w:pPr>
        <w:snapToGrid w:val="0"/>
        <w:spacing w:line="312" w:lineRule="auto"/>
        <w:ind w:right="-341"/>
      </w:pPr>
      <w:r>
        <w:rPr>
          <w:rFonts w:hint="eastAsia"/>
        </w:rPr>
        <w:t>开户银行：银行账号：</w:t>
      </w:r>
    </w:p>
    <w:p w14:paraId="32FD34ED">
      <w:pPr>
        <w:snapToGrid w:val="0"/>
        <w:ind w:right="-341"/>
      </w:pPr>
    </w:p>
    <w:p w14:paraId="7AEBDD46">
      <w:pPr>
        <w:snapToGrid w:val="0"/>
        <w:spacing w:before="120" w:line="312" w:lineRule="auto"/>
        <w:ind w:right="-341" w:firstLine="2940" w:firstLineChars="1400"/>
      </w:pPr>
      <w:r>
        <w:rPr>
          <w:rFonts w:hint="eastAsia"/>
        </w:rPr>
        <w:t>日期</w:t>
      </w:r>
      <w:r>
        <w:t>:_____</w:t>
      </w:r>
      <w:r>
        <w:rPr>
          <w:rFonts w:hint="eastAsia"/>
        </w:rPr>
        <w:t>年</w:t>
      </w:r>
      <w:r>
        <w:t>___</w:t>
      </w:r>
      <w:r>
        <w:rPr>
          <w:rFonts w:hint="eastAsia"/>
        </w:rPr>
        <w:t>月</w:t>
      </w:r>
      <w:r>
        <w:t>___</w:t>
      </w:r>
      <w:r>
        <w:rPr>
          <w:rFonts w:hint="eastAsia"/>
        </w:rPr>
        <w:t>日</w:t>
      </w:r>
    </w:p>
    <w:p w14:paraId="116BB7A3">
      <w:pPr>
        <w:snapToGrid w:val="0"/>
        <w:spacing w:line="312" w:lineRule="auto"/>
        <w:ind w:right="-341"/>
        <w:jc w:val="left"/>
        <w:rPr>
          <w:b/>
          <w:sz w:val="24"/>
        </w:rPr>
      </w:pPr>
    </w:p>
    <w:p w14:paraId="5B23EF44">
      <w:pPr>
        <w:snapToGrid w:val="0"/>
        <w:spacing w:before="120" w:line="312" w:lineRule="auto"/>
        <w:ind w:right="-341"/>
        <w:jc w:val="center"/>
        <w:rPr>
          <w:b/>
          <w:sz w:val="32"/>
        </w:rPr>
      </w:pPr>
    </w:p>
    <w:p w14:paraId="2AB76A02">
      <w:pPr>
        <w:snapToGrid w:val="0"/>
        <w:spacing w:before="120" w:beforeLines="50" w:after="50"/>
        <w:jc w:val="center"/>
        <w:rPr>
          <w:b/>
          <w:sz w:val="32"/>
          <w:szCs w:val="32"/>
        </w:rPr>
      </w:pPr>
      <w:r>
        <w:rPr>
          <w:rFonts w:hint="eastAsia"/>
          <w:b/>
          <w:sz w:val="32"/>
          <w:szCs w:val="32"/>
        </w:rPr>
        <w:t>六、声明函</w:t>
      </w:r>
    </w:p>
    <w:p w14:paraId="2E6F8870">
      <w:pPr>
        <w:snapToGrid w:val="0"/>
        <w:spacing w:before="120" w:beforeLines="50" w:after="50" w:line="360" w:lineRule="auto"/>
        <w:rPr>
          <w:szCs w:val="21"/>
        </w:rPr>
      </w:pPr>
    </w:p>
    <w:p w14:paraId="5D11D7D8">
      <w:pPr>
        <w:snapToGrid w:val="0"/>
        <w:spacing w:before="120" w:beforeLines="50" w:after="50" w:line="360" w:lineRule="auto"/>
        <w:rPr>
          <w:szCs w:val="21"/>
        </w:rPr>
      </w:pPr>
      <w:r>
        <w:rPr>
          <w:rFonts w:hint="eastAsia"/>
          <w:szCs w:val="21"/>
        </w:rPr>
        <w:t>致：</w:t>
      </w:r>
      <w:r>
        <w:rPr>
          <w:szCs w:val="21"/>
        </w:rPr>
        <w:t>_</w:t>
      </w:r>
      <w:r>
        <w:rPr>
          <w:rFonts w:hint="eastAsia"/>
          <w:u w:val="single"/>
        </w:rPr>
        <w:t>深圳市国信招标有限公司</w:t>
      </w:r>
      <w:r>
        <w:t>_</w:t>
      </w:r>
      <w:r>
        <w:rPr>
          <w:rFonts w:hint="eastAsia"/>
          <w:szCs w:val="21"/>
        </w:rPr>
        <w:t>：</w:t>
      </w:r>
    </w:p>
    <w:p w14:paraId="19F5DF91">
      <w:pPr>
        <w:spacing w:after="120" w:line="360" w:lineRule="auto"/>
        <w:ind w:firstLine="480"/>
        <w:rPr>
          <w:szCs w:val="21"/>
        </w:rPr>
      </w:pPr>
      <w:r>
        <w:rPr>
          <w:rFonts w:hint="eastAsia"/>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szCs w:val="21"/>
        </w:rPr>
        <w:t>/</w:t>
      </w:r>
      <w:r>
        <w:rPr>
          <w:rFonts w:hint="eastAsia"/>
          <w:szCs w:val="21"/>
        </w:rPr>
        <w:t>中标</w:t>
      </w:r>
      <w:r>
        <w:rPr>
          <w:szCs w:val="21"/>
        </w:rPr>
        <w:t>/</w:t>
      </w:r>
      <w:r>
        <w:rPr>
          <w:rFonts w:hint="eastAsia"/>
          <w:szCs w:val="21"/>
        </w:rPr>
        <w:t>签订合同），我方对此无任何异议。</w:t>
      </w:r>
    </w:p>
    <w:p w14:paraId="084D894C">
      <w:pPr>
        <w:spacing w:after="120" w:line="360" w:lineRule="auto"/>
        <w:ind w:firstLine="480"/>
        <w:rPr>
          <w:szCs w:val="21"/>
        </w:rPr>
      </w:pPr>
      <w:r>
        <w:rPr>
          <w:rFonts w:hint="eastAsia"/>
          <w:szCs w:val="21"/>
        </w:rPr>
        <w:t>特此声明！</w:t>
      </w:r>
    </w:p>
    <w:p w14:paraId="0340F18F">
      <w:pPr>
        <w:spacing w:after="120"/>
        <w:ind w:firstLine="480"/>
      </w:pPr>
    </w:p>
    <w:p w14:paraId="27AD59BF">
      <w:pPr>
        <w:snapToGrid w:val="0"/>
        <w:spacing w:before="120" w:beforeLines="50"/>
        <w:ind w:firstLine="200"/>
      </w:pPr>
    </w:p>
    <w:p w14:paraId="2A00F95A">
      <w:pPr>
        <w:snapToGrid w:val="0"/>
        <w:spacing w:before="50" w:after="50"/>
      </w:pPr>
    </w:p>
    <w:p w14:paraId="01C4EAD8">
      <w:pPr>
        <w:snapToGrid w:val="0"/>
        <w:ind w:left="2" w:right="-817" w:rightChars="-389"/>
      </w:pPr>
    </w:p>
    <w:p w14:paraId="265B4694">
      <w:pPr>
        <w:snapToGrid w:val="0"/>
        <w:spacing w:before="50" w:line="312" w:lineRule="auto"/>
        <w:jc w:val="left"/>
        <w:rPr>
          <w:b/>
          <w:spacing w:val="20"/>
          <w:sz w:val="28"/>
        </w:rPr>
      </w:pPr>
      <w:r>
        <w:rPr>
          <w:rFonts w:hint="eastAsia"/>
        </w:rPr>
        <w:t>投标人名称（盖章）：日期：</w:t>
      </w:r>
    </w:p>
    <w:p w14:paraId="35E20C61">
      <w:pPr>
        <w:snapToGrid w:val="0"/>
        <w:spacing w:before="120" w:beforeLines="50"/>
        <w:ind w:firstLine="200"/>
        <w:jc w:val="right"/>
        <w:rPr>
          <w:szCs w:val="24"/>
        </w:rPr>
      </w:pPr>
    </w:p>
    <w:p w14:paraId="57B8A66C">
      <w:pPr>
        <w:snapToGrid w:val="0"/>
        <w:spacing w:before="120" w:beforeLines="50" w:after="50"/>
        <w:ind w:firstLine="482" w:firstLineChars="200"/>
        <w:jc w:val="left"/>
        <w:rPr>
          <w:b/>
          <w:bCs/>
          <w:sz w:val="24"/>
        </w:rPr>
      </w:pPr>
    </w:p>
    <w:p w14:paraId="6B319A20">
      <w:pPr>
        <w:snapToGrid w:val="0"/>
        <w:spacing w:before="120" w:beforeLines="50"/>
        <w:ind w:left="5250" w:firstLine="200"/>
        <w:jc w:val="right"/>
        <w:rPr>
          <w:szCs w:val="24"/>
        </w:rPr>
      </w:pPr>
    </w:p>
    <w:p w14:paraId="5CCFC57E">
      <w:pPr>
        <w:snapToGrid w:val="0"/>
        <w:spacing w:before="120" w:line="312" w:lineRule="auto"/>
        <w:ind w:right="-341"/>
        <w:jc w:val="center"/>
        <w:rPr>
          <w:b/>
          <w:sz w:val="32"/>
        </w:rPr>
      </w:pPr>
    </w:p>
    <w:p w14:paraId="36846726">
      <w:pPr>
        <w:snapToGrid w:val="0"/>
        <w:spacing w:before="120" w:line="312" w:lineRule="auto"/>
        <w:ind w:right="-341"/>
        <w:jc w:val="center"/>
        <w:rPr>
          <w:b/>
          <w:sz w:val="32"/>
        </w:rPr>
      </w:pPr>
    </w:p>
    <w:p w14:paraId="3BBABA7D">
      <w:pPr>
        <w:snapToGrid w:val="0"/>
        <w:spacing w:before="120" w:line="312" w:lineRule="auto"/>
        <w:ind w:right="-341"/>
        <w:jc w:val="center"/>
        <w:rPr>
          <w:b/>
          <w:sz w:val="32"/>
        </w:rPr>
      </w:pPr>
    </w:p>
    <w:p w14:paraId="2E965840">
      <w:pPr>
        <w:snapToGrid w:val="0"/>
        <w:spacing w:before="120" w:line="312" w:lineRule="auto"/>
        <w:ind w:right="-341"/>
        <w:jc w:val="center"/>
        <w:rPr>
          <w:b/>
          <w:sz w:val="32"/>
        </w:rPr>
      </w:pPr>
    </w:p>
    <w:p w14:paraId="5283AA85">
      <w:pPr>
        <w:snapToGrid w:val="0"/>
        <w:spacing w:line="312" w:lineRule="auto"/>
        <w:jc w:val="left"/>
        <w:rPr>
          <w:b/>
          <w:sz w:val="32"/>
        </w:rPr>
      </w:pPr>
    </w:p>
    <w:p w14:paraId="7544752B">
      <w:pPr>
        <w:snapToGrid w:val="0"/>
        <w:spacing w:line="312" w:lineRule="auto"/>
        <w:jc w:val="left"/>
        <w:rPr>
          <w:b/>
          <w:sz w:val="32"/>
        </w:rPr>
      </w:pPr>
    </w:p>
    <w:p w14:paraId="0E906AD9">
      <w:pPr>
        <w:snapToGrid w:val="0"/>
        <w:spacing w:line="312" w:lineRule="auto"/>
        <w:jc w:val="left"/>
        <w:rPr>
          <w:b/>
          <w:sz w:val="32"/>
        </w:rPr>
      </w:pPr>
    </w:p>
    <w:p w14:paraId="06C6C6B7">
      <w:pPr>
        <w:snapToGrid w:val="0"/>
        <w:spacing w:line="312" w:lineRule="auto"/>
        <w:jc w:val="left"/>
        <w:rPr>
          <w:b/>
          <w:sz w:val="32"/>
        </w:rPr>
      </w:pPr>
    </w:p>
    <w:p w14:paraId="6AFE9116">
      <w:pPr>
        <w:snapToGrid w:val="0"/>
        <w:spacing w:line="312" w:lineRule="auto"/>
        <w:jc w:val="left"/>
        <w:rPr>
          <w:b/>
          <w:sz w:val="32"/>
        </w:rPr>
      </w:pPr>
    </w:p>
    <w:p w14:paraId="4D57C55B">
      <w:pPr>
        <w:snapToGrid w:val="0"/>
        <w:spacing w:line="312" w:lineRule="auto"/>
        <w:jc w:val="left"/>
        <w:rPr>
          <w:b/>
          <w:sz w:val="32"/>
        </w:rPr>
      </w:pPr>
    </w:p>
    <w:p w14:paraId="5B803A5B">
      <w:pPr>
        <w:snapToGrid w:val="0"/>
        <w:spacing w:line="312" w:lineRule="auto"/>
        <w:jc w:val="left"/>
        <w:rPr>
          <w:b/>
          <w:sz w:val="24"/>
        </w:rPr>
      </w:pPr>
    </w:p>
    <w:p w14:paraId="06E6AB80">
      <w:pPr>
        <w:snapToGrid w:val="0"/>
        <w:spacing w:line="312" w:lineRule="auto"/>
        <w:jc w:val="left"/>
        <w:rPr>
          <w:b/>
          <w:sz w:val="24"/>
        </w:rPr>
      </w:pPr>
    </w:p>
    <w:p w14:paraId="43F11A6A">
      <w:pPr>
        <w:jc w:val="center"/>
        <w:rPr>
          <w:b/>
          <w:spacing w:val="20"/>
          <w:sz w:val="28"/>
        </w:rPr>
      </w:pPr>
    </w:p>
    <w:p w14:paraId="105C9FBA">
      <w:pPr>
        <w:jc w:val="center"/>
        <w:rPr>
          <w:sz w:val="30"/>
          <w:szCs w:val="30"/>
        </w:rPr>
      </w:pPr>
      <w:r>
        <w:rPr>
          <w:rFonts w:hint="eastAsia"/>
          <w:b/>
          <w:spacing w:val="20"/>
          <w:sz w:val="28"/>
        </w:rPr>
        <w:t>七、</w:t>
      </w:r>
      <w:r>
        <w:rPr>
          <w:rFonts w:hint="eastAsia"/>
          <w:b/>
          <w:bCs/>
          <w:sz w:val="30"/>
          <w:szCs w:val="30"/>
        </w:rPr>
        <w:t>廉政承诺书</w:t>
      </w:r>
    </w:p>
    <w:p w14:paraId="737A2628">
      <w:pPr>
        <w:rPr>
          <w:b/>
          <w:bCs/>
          <w:sz w:val="28"/>
          <w:szCs w:val="28"/>
        </w:rPr>
      </w:pPr>
    </w:p>
    <w:p w14:paraId="7961C775">
      <w:pPr>
        <w:rPr>
          <w:b/>
          <w:bCs/>
          <w:szCs w:val="21"/>
        </w:rPr>
      </w:pPr>
      <w:r>
        <w:rPr>
          <w:rFonts w:hint="eastAsia"/>
          <w:b/>
          <w:bCs/>
          <w:szCs w:val="21"/>
        </w:rPr>
        <w:t>致：</w:t>
      </w:r>
      <w:r>
        <w:rPr>
          <w:rFonts w:hint="eastAsia"/>
          <w:b/>
          <w:bCs/>
          <w:szCs w:val="21"/>
          <w:u w:val="single"/>
        </w:rPr>
        <w:t>深圳市国信招标有限公司</w:t>
      </w:r>
      <w:r>
        <w:rPr>
          <w:rFonts w:hint="eastAsia"/>
          <w:b/>
          <w:bCs/>
          <w:szCs w:val="21"/>
        </w:rPr>
        <w:t>：</w:t>
      </w:r>
    </w:p>
    <w:p w14:paraId="1C943266">
      <w:pPr>
        <w:spacing w:line="360" w:lineRule="auto"/>
        <w:ind w:firstLine="420" w:firstLineChars="200"/>
        <w:rPr>
          <w:szCs w:val="21"/>
        </w:rPr>
      </w:pPr>
    </w:p>
    <w:p w14:paraId="2B3E032C">
      <w:pPr>
        <w:spacing w:line="360" w:lineRule="auto"/>
        <w:ind w:firstLine="420" w:firstLineChars="200"/>
        <w:rPr>
          <w:szCs w:val="21"/>
        </w:rPr>
      </w:pPr>
      <w:r>
        <w:rPr>
          <w:rFonts w:hint="eastAsia"/>
          <w:szCs w:val="21"/>
        </w:rPr>
        <w:t>我单位响应你单位</w:t>
      </w:r>
      <w:r>
        <w:rPr>
          <w:rFonts w:hint="eastAsia"/>
          <w:szCs w:val="21"/>
          <w:u w:val="single"/>
        </w:rPr>
        <w:t xml:space="preserve">       </w:t>
      </w:r>
      <w:r>
        <w:rPr>
          <w:rFonts w:hint="eastAsia"/>
          <w:szCs w:val="21"/>
        </w:rPr>
        <w:t>项目招标要求参加投标，在这次投标过程中和中标后，我们将严格遵守国家法律法规要求，并郑重承诺</w:t>
      </w:r>
      <w:r>
        <w:rPr>
          <w:szCs w:val="21"/>
        </w:rPr>
        <w:t>:</w:t>
      </w:r>
    </w:p>
    <w:p w14:paraId="637F0886">
      <w:pPr>
        <w:spacing w:line="360" w:lineRule="auto"/>
        <w:ind w:firstLine="420" w:firstLineChars="200"/>
        <w:rPr>
          <w:szCs w:val="21"/>
        </w:rPr>
      </w:pPr>
      <w:r>
        <w:rPr>
          <w:rFonts w:hint="eastAsia"/>
          <w:szCs w:val="21"/>
        </w:rPr>
        <w:t>一、不向项目有关人员及部门赠送礼金礼物、有价证券、回扣以及中介费、介绍费、咨询费等好处费。</w:t>
      </w:r>
    </w:p>
    <w:p w14:paraId="13B0E7F1">
      <w:pPr>
        <w:spacing w:line="360" w:lineRule="auto"/>
        <w:ind w:firstLine="420" w:firstLineChars="200"/>
        <w:rPr>
          <w:szCs w:val="21"/>
        </w:rPr>
      </w:pPr>
      <w:r>
        <w:rPr>
          <w:rFonts w:hint="eastAsia"/>
          <w:szCs w:val="21"/>
        </w:rPr>
        <w:t>二、不为项目有关人员及部门报销应由你方单位或个人支付的费用</w:t>
      </w:r>
      <w:r>
        <w:rPr>
          <w:szCs w:val="21"/>
        </w:rPr>
        <w:t>;</w:t>
      </w:r>
    </w:p>
    <w:p w14:paraId="2CCC99D5">
      <w:pPr>
        <w:spacing w:line="360" w:lineRule="auto"/>
        <w:ind w:firstLine="420" w:firstLineChars="200"/>
        <w:rPr>
          <w:szCs w:val="21"/>
        </w:rPr>
      </w:pPr>
      <w:r>
        <w:rPr>
          <w:rFonts w:hint="eastAsia"/>
          <w:szCs w:val="21"/>
        </w:rPr>
        <w:t>三、不向项目有关人员及部门提供有可能影响公正的宴请和健身娱乐等活动</w:t>
      </w:r>
      <w:r>
        <w:rPr>
          <w:szCs w:val="21"/>
        </w:rPr>
        <w:t>;</w:t>
      </w:r>
    </w:p>
    <w:p w14:paraId="7D6F15F4">
      <w:pPr>
        <w:spacing w:line="360" w:lineRule="auto"/>
        <w:ind w:firstLine="420" w:firstLineChars="200"/>
        <w:rPr>
          <w:szCs w:val="21"/>
        </w:rPr>
      </w:pPr>
      <w:r>
        <w:rPr>
          <w:rFonts w:hint="eastAsia"/>
          <w:szCs w:val="21"/>
        </w:rPr>
        <w:t>四、不为项目有关人员及部门出国</w:t>
      </w:r>
      <w:r>
        <w:rPr>
          <w:szCs w:val="21"/>
        </w:rPr>
        <w:t>(</w:t>
      </w:r>
      <w:r>
        <w:rPr>
          <w:rFonts w:hint="eastAsia"/>
          <w:szCs w:val="21"/>
        </w:rPr>
        <w:t>境</w:t>
      </w:r>
      <w:r>
        <w:rPr>
          <w:szCs w:val="21"/>
        </w:rPr>
        <w:t>)</w:t>
      </w:r>
      <w:r>
        <w:rPr>
          <w:rFonts w:hint="eastAsia"/>
          <w:szCs w:val="21"/>
        </w:rPr>
        <w:t>、旅游等提供方便；</w:t>
      </w:r>
    </w:p>
    <w:p w14:paraId="77E1984C">
      <w:pPr>
        <w:spacing w:line="360" w:lineRule="auto"/>
        <w:ind w:firstLine="420" w:firstLineChars="200"/>
        <w:rPr>
          <w:szCs w:val="21"/>
        </w:rPr>
      </w:pPr>
      <w:r>
        <w:rPr>
          <w:rFonts w:hint="eastAsia"/>
          <w:szCs w:val="21"/>
        </w:rPr>
        <w:t>五、不为项目有关人员个人装修住房、婚丧嫁娶、配偶子女工作安排等提供好处</w:t>
      </w:r>
      <w:r>
        <w:rPr>
          <w:szCs w:val="21"/>
        </w:rPr>
        <w:t>;</w:t>
      </w:r>
    </w:p>
    <w:p w14:paraId="75477124">
      <w:pPr>
        <w:spacing w:line="360" w:lineRule="auto"/>
        <w:ind w:firstLine="420" w:firstLineChars="200"/>
        <w:rPr>
          <w:szCs w:val="21"/>
        </w:rPr>
      </w:pPr>
      <w:r>
        <w:rPr>
          <w:rFonts w:hint="eastAsia"/>
          <w:szCs w:val="21"/>
        </w:rPr>
        <w:t>六、严格遵守政府采购法、民法典等法律，诚实守信，合法经营，坚决抵制各种违法违纪行为。</w:t>
      </w:r>
    </w:p>
    <w:p w14:paraId="52A2C30D">
      <w:pPr>
        <w:spacing w:line="360" w:lineRule="auto"/>
        <w:ind w:firstLine="420" w:firstLineChars="200"/>
        <w:rPr>
          <w:szCs w:val="21"/>
        </w:rPr>
      </w:pPr>
      <w:r>
        <w:rPr>
          <w:rFonts w:hint="eastAsia"/>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0F27DCCE">
      <w:pPr>
        <w:rPr>
          <w:szCs w:val="21"/>
        </w:rPr>
      </w:pPr>
    </w:p>
    <w:p w14:paraId="322C9506">
      <w:pPr>
        <w:rPr>
          <w:szCs w:val="21"/>
        </w:rPr>
      </w:pPr>
    </w:p>
    <w:p w14:paraId="54E1BF1B">
      <w:pPr>
        <w:rPr>
          <w:szCs w:val="21"/>
        </w:rPr>
      </w:pPr>
      <w:r>
        <w:rPr>
          <w:rFonts w:hint="eastAsia"/>
          <w:szCs w:val="21"/>
        </w:rPr>
        <w:t>投标人</w:t>
      </w:r>
      <w:r>
        <w:rPr>
          <w:szCs w:val="21"/>
        </w:rPr>
        <w:t>:(</w:t>
      </w:r>
      <w:r>
        <w:rPr>
          <w:rFonts w:hint="eastAsia"/>
          <w:szCs w:val="21"/>
        </w:rPr>
        <w:t>盖章</w:t>
      </w:r>
      <w:r>
        <w:rPr>
          <w:szCs w:val="21"/>
        </w:rPr>
        <w:t>)</w:t>
      </w:r>
    </w:p>
    <w:p w14:paraId="240332F1">
      <w:pPr>
        <w:rPr>
          <w:szCs w:val="21"/>
        </w:rPr>
      </w:pPr>
    </w:p>
    <w:p w14:paraId="7C1202FB">
      <w:pPr>
        <w:rPr>
          <w:szCs w:val="21"/>
        </w:rPr>
      </w:pPr>
    </w:p>
    <w:p w14:paraId="74D2BC43">
      <w:pPr>
        <w:rPr>
          <w:szCs w:val="21"/>
        </w:rPr>
      </w:pPr>
    </w:p>
    <w:p w14:paraId="2CD48BBD">
      <w:pPr>
        <w:rPr>
          <w:szCs w:val="21"/>
        </w:rPr>
      </w:pPr>
    </w:p>
    <w:p w14:paraId="29B4F342">
      <w:pPr>
        <w:rPr>
          <w:szCs w:val="21"/>
        </w:rPr>
      </w:pPr>
    </w:p>
    <w:p w14:paraId="0FC259AB">
      <w:pPr>
        <w:rPr>
          <w:szCs w:val="21"/>
        </w:rPr>
      </w:pPr>
      <w:r>
        <w:rPr>
          <w:rFonts w:hint="eastAsia"/>
          <w:szCs w:val="21"/>
        </w:rPr>
        <w:t>日期</w:t>
      </w:r>
      <w:r>
        <w:rPr>
          <w:szCs w:val="21"/>
        </w:rPr>
        <w:t>:</w:t>
      </w:r>
      <w:r>
        <w:rPr>
          <w:rFonts w:hint="eastAsia"/>
          <w:szCs w:val="21"/>
        </w:rPr>
        <w:t>年月日</w:t>
      </w:r>
    </w:p>
    <w:p w14:paraId="569673C7">
      <w:pPr>
        <w:snapToGrid w:val="0"/>
        <w:spacing w:before="50" w:line="312" w:lineRule="auto"/>
        <w:jc w:val="left"/>
        <w:rPr>
          <w:b/>
          <w:spacing w:val="20"/>
          <w:sz w:val="28"/>
        </w:rPr>
      </w:pPr>
    </w:p>
    <w:p w14:paraId="5A56505E">
      <w:pPr>
        <w:snapToGrid w:val="0"/>
        <w:spacing w:before="50" w:line="312" w:lineRule="auto"/>
        <w:jc w:val="left"/>
        <w:rPr>
          <w:b/>
          <w:spacing w:val="20"/>
          <w:sz w:val="28"/>
        </w:rPr>
      </w:pPr>
    </w:p>
    <w:p w14:paraId="54CB026C">
      <w:pPr>
        <w:snapToGrid w:val="0"/>
        <w:spacing w:before="50" w:line="312" w:lineRule="auto"/>
        <w:jc w:val="center"/>
        <w:rPr>
          <w:b/>
          <w:sz w:val="24"/>
        </w:rPr>
      </w:pPr>
    </w:p>
    <w:p w14:paraId="72AD4338">
      <w:pPr>
        <w:snapToGrid w:val="0"/>
        <w:spacing w:before="50" w:line="312" w:lineRule="auto"/>
        <w:jc w:val="center"/>
        <w:rPr>
          <w:b/>
          <w:sz w:val="24"/>
        </w:rPr>
      </w:pPr>
    </w:p>
    <w:p w14:paraId="22ED544C">
      <w:pPr>
        <w:snapToGrid w:val="0"/>
        <w:spacing w:before="50" w:line="312" w:lineRule="auto"/>
        <w:jc w:val="center"/>
        <w:rPr>
          <w:b/>
          <w:sz w:val="24"/>
        </w:rPr>
      </w:pPr>
    </w:p>
    <w:p w14:paraId="4F60470F">
      <w:pPr>
        <w:snapToGrid w:val="0"/>
        <w:spacing w:before="50" w:line="312" w:lineRule="auto"/>
        <w:jc w:val="center"/>
        <w:rPr>
          <w:b/>
          <w:sz w:val="24"/>
        </w:rPr>
      </w:pPr>
    </w:p>
    <w:p w14:paraId="56E0989C">
      <w:pPr>
        <w:snapToGrid w:val="0"/>
        <w:spacing w:before="50" w:line="312" w:lineRule="auto"/>
        <w:jc w:val="center"/>
        <w:rPr>
          <w:b/>
          <w:sz w:val="24"/>
        </w:rPr>
      </w:pPr>
    </w:p>
    <w:p w14:paraId="2F1E47AE">
      <w:pPr>
        <w:snapToGrid w:val="0"/>
        <w:spacing w:before="50" w:line="312" w:lineRule="auto"/>
        <w:jc w:val="both"/>
        <w:rPr>
          <w:b/>
          <w:sz w:val="24"/>
        </w:rPr>
      </w:pPr>
    </w:p>
    <w:p w14:paraId="1B56FEA1">
      <w:pPr>
        <w:snapToGrid w:val="0"/>
        <w:spacing w:before="50" w:line="312" w:lineRule="auto"/>
        <w:rPr>
          <w:b/>
          <w:sz w:val="24"/>
        </w:rPr>
      </w:pPr>
    </w:p>
    <w:p w14:paraId="0EB2D444">
      <w:pPr>
        <w:snapToGrid w:val="0"/>
        <w:spacing w:before="50" w:line="312" w:lineRule="auto"/>
        <w:jc w:val="center"/>
        <w:rPr>
          <w:b/>
          <w:sz w:val="32"/>
          <w:szCs w:val="32"/>
        </w:rPr>
      </w:pPr>
      <w:r>
        <w:rPr>
          <w:rFonts w:hint="eastAsia"/>
          <w:b/>
          <w:sz w:val="32"/>
          <w:szCs w:val="32"/>
        </w:rPr>
        <w:t>八、商务响应表</w:t>
      </w:r>
    </w:p>
    <w:p w14:paraId="3323FB92">
      <w:pPr>
        <w:snapToGrid w:val="0"/>
        <w:spacing w:before="50" w:line="312" w:lineRule="auto"/>
        <w:jc w:val="center"/>
        <w:rPr>
          <w:b/>
          <w:sz w:val="24"/>
        </w:rPr>
      </w:pPr>
    </w:p>
    <w:p w14:paraId="457E201F">
      <w:pPr>
        <w:snapToGrid w:val="0"/>
        <w:spacing w:line="312" w:lineRule="auto"/>
      </w:pPr>
      <w:r>
        <w:rPr>
          <w:rFonts w:hint="eastAsia"/>
        </w:rPr>
        <w:t>项目名称：</w:t>
      </w:r>
    </w:p>
    <w:p w14:paraId="0FD1BC60">
      <w:pPr>
        <w:snapToGrid w:val="0"/>
        <w:spacing w:line="312" w:lineRule="auto"/>
      </w:pPr>
      <w:r>
        <w:rPr>
          <w:rFonts w:hint="eastAsia"/>
        </w:rPr>
        <w:t>项目编号：</w:t>
      </w:r>
    </w:p>
    <w:tbl>
      <w:tblPr>
        <w:tblStyle w:val="60"/>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648B8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083B47B2">
            <w:pPr>
              <w:snapToGrid w:val="0"/>
              <w:spacing w:before="120" w:beforeLines="50" w:line="312" w:lineRule="auto"/>
              <w:jc w:val="center"/>
              <w:rPr>
                <w:b/>
              </w:rPr>
            </w:pPr>
            <w:r>
              <w:rPr>
                <w:rFonts w:hint="eastAsia"/>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483833D4">
            <w:pPr>
              <w:snapToGrid w:val="0"/>
              <w:spacing w:before="120" w:beforeLines="50" w:line="312" w:lineRule="auto"/>
              <w:jc w:val="center"/>
              <w:rPr>
                <w:b/>
              </w:rPr>
            </w:pPr>
            <w:r>
              <w:rPr>
                <w:rFonts w:hint="eastAsia"/>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47BA4734">
            <w:pPr>
              <w:snapToGrid w:val="0"/>
              <w:spacing w:before="120" w:beforeLines="50" w:line="312" w:lineRule="auto"/>
              <w:jc w:val="center"/>
              <w:rPr>
                <w:b/>
              </w:rPr>
            </w:pPr>
            <w:r>
              <w:rPr>
                <w:rFonts w:hint="eastAsia"/>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572F1366">
            <w:pPr>
              <w:snapToGrid w:val="0"/>
              <w:spacing w:before="120" w:beforeLines="50" w:line="312" w:lineRule="auto"/>
              <w:jc w:val="center"/>
              <w:rPr>
                <w:b/>
              </w:rPr>
            </w:pPr>
            <w:r>
              <w:rPr>
                <w:rFonts w:hint="eastAsia"/>
                <w:b/>
              </w:rPr>
              <w:t>投标人的承诺或说明</w:t>
            </w:r>
          </w:p>
        </w:tc>
      </w:tr>
      <w:tr w14:paraId="02654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6BC1A91B">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39BE178C">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F54E755">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A882EE6">
            <w:pPr>
              <w:snapToGrid w:val="0"/>
              <w:spacing w:before="120" w:beforeLines="50" w:after="360" w:line="312" w:lineRule="auto"/>
              <w:rPr>
                <w:b/>
                <w:bCs/>
                <w:kern w:val="44"/>
                <w:sz w:val="24"/>
                <w:szCs w:val="20"/>
              </w:rPr>
            </w:pPr>
          </w:p>
        </w:tc>
      </w:tr>
      <w:tr w14:paraId="5399D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15F7C0E7">
            <w:pPr>
              <w:widowControl/>
              <w:tabs>
                <w:tab w:val="left" w:pos="420"/>
                <w:tab w:val="left" w:pos="1418"/>
              </w:tabs>
              <w:overflowPunct w:val="0"/>
              <w:autoSpaceDE w:val="0"/>
              <w:autoSpaceDN w:val="0"/>
              <w:adjustRightInd w:val="0"/>
              <w:snapToGrid w:val="0"/>
              <w:spacing w:line="312" w:lineRule="auto"/>
              <w:jc w:val="center"/>
              <w:rPr>
                <w:kern w:val="0"/>
                <w:sz w:val="24"/>
              </w:rPr>
            </w:pPr>
          </w:p>
        </w:tc>
        <w:tc>
          <w:tcPr>
            <w:tcW w:w="3240" w:type="dxa"/>
            <w:tcBorders>
              <w:top w:val="single" w:color="auto" w:sz="4" w:space="0"/>
              <w:left w:val="single" w:color="auto" w:sz="4" w:space="0"/>
              <w:bottom w:val="single" w:color="auto" w:sz="4" w:space="0"/>
              <w:right w:val="single" w:color="auto" w:sz="4" w:space="0"/>
            </w:tcBorders>
          </w:tcPr>
          <w:p w14:paraId="0372E42E">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24099D24">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AE5E22C">
            <w:pPr>
              <w:snapToGrid w:val="0"/>
              <w:spacing w:before="120" w:beforeLines="50" w:after="360" w:line="312" w:lineRule="auto"/>
              <w:rPr>
                <w:b/>
                <w:bCs/>
                <w:kern w:val="44"/>
                <w:sz w:val="24"/>
                <w:szCs w:val="20"/>
              </w:rPr>
            </w:pPr>
          </w:p>
        </w:tc>
      </w:tr>
      <w:tr w14:paraId="0ED53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5CCD2FA7">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7D7A86F2">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000EF311">
            <w:pPr>
              <w:snapToGrid w:val="0"/>
              <w:spacing w:before="120" w:beforeLines="50" w:after="360" w:line="312" w:lineRule="auto"/>
              <w:ind w:left="43"/>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5DFC3AE9">
            <w:pPr>
              <w:snapToGrid w:val="0"/>
              <w:spacing w:before="120" w:beforeLines="50" w:after="360" w:line="312" w:lineRule="auto"/>
              <w:ind w:left="43"/>
              <w:rPr>
                <w:b/>
                <w:bCs/>
                <w:kern w:val="44"/>
                <w:sz w:val="24"/>
                <w:szCs w:val="20"/>
              </w:rPr>
            </w:pPr>
          </w:p>
        </w:tc>
      </w:tr>
      <w:tr w14:paraId="155F6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095596B0">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419BD0BD">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26D58CC8">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08E315A8">
            <w:pPr>
              <w:snapToGrid w:val="0"/>
              <w:spacing w:before="120" w:beforeLines="50" w:after="360" w:line="312" w:lineRule="auto"/>
              <w:rPr>
                <w:b/>
                <w:bCs/>
                <w:kern w:val="44"/>
                <w:sz w:val="24"/>
                <w:szCs w:val="20"/>
              </w:rPr>
            </w:pPr>
          </w:p>
        </w:tc>
      </w:tr>
      <w:tr w14:paraId="65894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2D54EB64">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794F856E">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D907482">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94881CF">
            <w:pPr>
              <w:snapToGrid w:val="0"/>
              <w:spacing w:before="120" w:beforeLines="50" w:after="360" w:line="312" w:lineRule="auto"/>
              <w:rPr>
                <w:b/>
                <w:bCs/>
                <w:kern w:val="44"/>
                <w:sz w:val="24"/>
                <w:szCs w:val="20"/>
              </w:rPr>
            </w:pPr>
          </w:p>
        </w:tc>
      </w:tr>
      <w:tr w14:paraId="144C6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14106B5E">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61C91E3A">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6C78223">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7C26BCE2">
            <w:pPr>
              <w:snapToGrid w:val="0"/>
              <w:spacing w:before="120" w:beforeLines="50" w:after="360" w:line="312" w:lineRule="auto"/>
              <w:rPr>
                <w:b/>
                <w:bCs/>
                <w:kern w:val="44"/>
                <w:sz w:val="24"/>
                <w:szCs w:val="20"/>
              </w:rPr>
            </w:pPr>
          </w:p>
        </w:tc>
      </w:tr>
    </w:tbl>
    <w:p w14:paraId="12F7BBE5">
      <w:pPr>
        <w:snapToGrid w:val="0"/>
        <w:spacing w:line="312" w:lineRule="auto"/>
        <w:ind w:left="642" w:hanging="642"/>
        <w:rPr>
          <w:b/>
          <w:spacing w:val="20"/>
          <w:kern w:val="0"/>
          <w:sz w:val="28"/>
          <w:szCs w:val="20"/>
        </w:rPr>
      </w:pPr>
    </w:p>
    <w:p w14:paraId="15445510">
      <w:pPr>
        <w:widowControl/>
        <w:spacing w:line="312" w:lineRule="auto"/>
        <w:jc w:val="left"/>
        <w:rPr>
          <w:kern w:val="0"/>
          <w:sz w:val="24"/>
        </w:rPr>
        <w:sectPr>
          <w:pgSz w:w="11906" w:h="16838"/>
          <w:pgMar w:top="1304" w:right="1531" w:bottom="1304" w:left="1531" w:header="1304" w:footer="1304" w:gutter="0"/>
          <w:cols w:space="720" w:num="1"/>
        </w:sectPr>
      </w:pPr>
    </w:p>
    <w:p w14:paraId="13A1736A">
      <w:pPr>
        <w:snapToGrid w:val="0"/>
        <w:spacing w:before="50" w:after="120" w:afterLines="50" w:line="312" w:lineRule="auto"/>
        <w:jc w:val="left"/>
        <w:rPr>
          <w:sz w:val="32"/>
          <w:szCs w:val="32"/>
        </w:rPr>
      </w:pPr>
      <w:r>
        <w:rPr>
          <w:rFonts w:hint="eastAsia"/>
          <w:b/>
          <w:sz w:val="32"/>
          <w:szCs w:val="32"/>
        </w:rPr>
        <w:t>九、投标人的类似案例的业绩证明文件</w:t>
      </w:r>
    </w:p>
    <w:p w14:paraId="219EC0B8">
      <w:pPr>
        <w:snapToGrid w:val="0"/>
        <w:spacing w:line="312" w:lineRule="auto"/>
        <w:ind w:left="420" w:hanging="420" w:hangingChars="200"/>
        <w:rPr>
          <w:sz w:val="24"/>
        </w:rPr>
      </w:pPr>
      <w:r>
        <w:rPr>
          <w:rFonts w:hint="eastAsia"/>
        </w:rPr>
        <w:t>投标人同类项目实施情况一览表格式：（投标人同类项目合同复印件格式自拟）</w:t>
      </w:r>
    </w:p>
    <w:tbl>
      <w:tblPr>
        <w:tblStyle w:val="60"/>
        <w:tblW w:w="145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8073"/>
        <w:gridCol w:w="3828"/>
      </w:tblGrid>
      <w:tr w14:paraId="30378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6975059F">
            <w:pPr>
              <w:snapToGrid w:val="0"/>
              <w:spacing w:line="312" w:lineRule="auto"/>
              <w:jc w:val="center"/>
              <w:rPr>
                <w:szCs w:val="21"/>
              </w:rPr>
            </w:pPr>
            <w:r>
              <w:rPr>
                <w:rFonts w:hint="eastAsia"/>
                <w:szCs w:val="21"/>
              </w:rPr>
              <w:t>采购单位名称</w:t>
            </w:r>
          </w:p>
        </w:tc>
        <w:tc>
          <w:tcPr>
            <w:tcW w:w="8073" w:type="dxa"/>
            <w:vMerge w:val="restart"/>
            <w:tcBorders>
              <w:top w:val="single" w:color="auto" w:sz="4" w:space="0"/>
              <w:left w:val="single" w:color="auto" w:sz="4" w:space="0"/>
              <w:bottom w:val="single" w:color="auto" w:sz="4" w:space="0"/>
              <w:right w:val="single" w:color="auto" w:sz="4" w:space="0"/>
            </w:tcBorders>
            <w:vAlign w:val="center"/>
          </w:tcPr>
          <w:p w14:paraId="37BE1F5C">
            <w:pPr>
              <w:snapToGrid w:val="0"/>
              <w:spacing w:line="312" w:lineRule="auto"/>
              <w:jc w:val="center"/>
              <w:rPr>
                <w:szCs w:val="21"/>
              </w:rPr>
            </w:pPr>
            <w:r>
              <w:rPr>
                <w:rFonts w:hint="eastAsia"/>
                <w:szCs w:val="21"/>
              </w:rPr>
              <w:t>项目名称</w:t>
            </w:r>
          </w:p>
        </w:tc>
        <w:tc>
          <w:tcPr>
            <w:tcW w:w="3828" w:type="dxa"/>
            <w:vMerge w:val="restart"/>
            <w:tcBorders>
              <w:top w:val="single" w:color="auto" w:sz="4" w:space="0"/>
              <w:left w:val="single" w:color="auto" w:sz="4" w:space="0"/>
              <w:bottom w:val="single" w:color="auto" w:sz="4" w:space="0"/>
              <w:right w:val="single" w:color="auto" w:sz="4" w:space="0"/>
            </w:tcBorders>
            <w:vAlign w:val="center"/>
          </w:tcPr>
          <w:p w14:paraId="7971C9E3">
            <w:pPr>
              <w:snapToGrid w:val="0"/>
              <w:spacing w:line="312" w:lineRule="auto"/>
              <w:jc w:val="center"/>
              <w:rPr>
                <w:szCs w:val="21"/>
              </w:rPr>
            </w:pPr>
            <w:r>
              <w:rPr>
                <w:rFonts w:hint="eastAsia"/>
                <w:szCs w:val="21"/>
              </w:rPr>
              <w:t>合同金额</w:t>
            </w:r>
          </w:p>
          <w:p w14:paraId="23C2EEFC">
            <w:pPr>
              <w:snapToGrid w:val="0"/>
              <w:spacing w:line="312" w:lineRule="auto"/>
              <w:jc w:val="center"/>
              <w:rPr>
                <w:szCs w:val="21"/>
              </w:rPr>
            </w:pPr>
            <w:r>
              <w:rPr>
                <w:rFonts w:hint="eastAsia"/>
                <w:szCs w:val="21"/>
              </w:rPr>
              <w:t>（万元）</w:t>
            </w:r>
          </w:p>
        </w:tc>
      </w:tr>
      <w:tr w14:paraId="78DFC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54E767D7">
            <w:pPr>
              <w:widowControl/>
              <w:jc w:val="left"/>
              <w:rPr>
                <w:szCs w:val="21"/>
              </w:rPr>
            </w:pPr>
          </w:p>
        </w:tc>
        <w:tc>
          <w:tcPr>
            <w:tcW w:w="8073" w:type="dxa"/>
            <w:vMerge w:val="continue"/>
            <w:tcBorders>
              <w:top w:val="single" w:color="auto" w:sz="4" w:space="0"/>
              <w:left w:val="single" w:color="auto" w:sz="4" w:space="0"/>
              <w:bottom w:val="single" w:color="auto" w:sz="4" w:space="0"/>
              <w:right w:val="single" w:color="auto" w:sz="4" w:space="0"/>
            </w:tcBorders>
            <w:vAlign w:val="center"/>
          </w:tcPr>
          <w:p w14:paraId="385C1A9F">
            <w:pPr>
              <w:widowControl/>
              <w:jc w:val="left"/>
              <w:rPr>
                <w:szCs w:val="21"/>
              </w:rPr>
            </w:pPr>
          </w:p>
        </w:tc>
        <w:tc>
          <w:tcPr>
            <w:tcW w:w="3828" w:type="dxa"/>
            <w:vMerge w:val="continue"/>
            <w:tcBorders>
              <w:top w:val="single" w:color="auto" w:sz="4" w:space="0"/>
              <w:left w:val="single" w:color="auto" w:sz="4" w:space="0"/>
              <w:bottom w:val="single" w:color="auto" w:sz="4" w:space="0"/>
              <w:right w:val="single" w:color="auto" w:sz="4" w:space="0"/>
            </w:tcBorders>
            <w:vAlign w:val="center"/>
          </w:tcPr>
          <w:p w14:paraId="6517D2EB">
            <w:pPr>
              <w:widowControl/>
              <w:jc w:val="left"/>
              <w:rPr>
                <w:szCs w:val="21"/>
              </w:rPr>
            </w:pPr>
          </w:p>
        </w:tc>
      </w:tr>
      <w:tr w14:paraId="5A65B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423433FE">
            <w:pPr>
              <w:snapToGrid w:val="0"/>
              <w:spacing w:line="312" w:lineRule="auto"/>
              <w:jc w:val="left"/>
              <w:rPr>
                <w:szCs w:val="21"/>
              </w:rPr>
            </w:pPr>
          </w:p>
        </w:tc>
        <w:tc>
          <w:tcPr>
            <w:tcW w:w="8073" w:type="dxa"/>
            <w:tcBorders>
              <w:top w:val="single" w:color="auto" w:sz="4" w:space="0"/>
              <w:left w:val="single" w:color="auto" w:sz="4" w:space="0"/>
              <w:bottom w:val="single" w:color="auto" w:sz="4" w:space="0"/>
              <w:right w:val="single" w:color="auto" w:sz="4" w:space="0"/>
            </w:tcBorders>
          </w:tcPr>
          <w:p w14:paraId="50F0D1B2">
            <w:pPr>
              <w:snapToGrid w:val="0"/>
              <w:spacing w:line="312" w:lineRule="auto"/>
              <w:jc w:val="left"/>
              <w:rPr>
                <w:szCs w:val="21"/>
              </w:rPr>
            </w:pPr>
          </w:p>
        </w:tc>
        <w:tc>
          <w:tcPr>
            <w:tcW w:w="3828" w:type="dxa"/>
            <w:tcBorders>
              <w:top w:val="single" w:color="auto" w:sz="4" w:space="0"/>
              <w:left w:val="single" w:color="auto" w:sz="4" w:space="0"/>
              <w:bottom w:val="single" w:color="auto" w:sz="4" w:space="0"/>
              <w:right w:val="single" w:color="auto" w:sz="4" w:space="0"/>
            </w:tcBorders>
          </w:tcPr>
          <w:p w14:paraId="529ECB70">
            <w:pPr>
              <w:snapToGrid w:val="0"/>
              <w:spacing w:line="312" w:lineRule="auto"/>
              <w:jc w:val="left"/>
              <w:rPr>
                <w:szCs w:val="21"/>
              </w:rPr>
            </w:pPr>
          </w:p>
        </w:tc>
      </w:tr>
      <w:tr w14:paraId="5293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1A6E4ACA">
            <w:pPr>
              <w:snapToGrid w:val="0"/>
              <w:spacing w:before="50" w:after="120" w:afterLines="50" w:line="312" w:lineRule="auto"/>
              <w:jc w:val="left"/>
              <w:rPr>
                <w:sz w:val="24"/>
              </w:rPr>
            </w:pPr>
          </w:p>
        </w:tc>
        <w:tc>
          <w:tcPr>
            <w:tcW w:w="8073" w:type="dxa"/>
            <w:tcBorders>
              <w:top w:val="single" w:color="auto" w:sz="4" w:space="0"/>
              <w:left w:val="single" w:color="auto" w:sz="4" w:space="0"/>
              <w:bottom w:val="single" w:color="auto" w:sz="4" w:space="0"/>
              <w:right w:val="single" w:color="auto" w:sz="4" w:space="0"/>
            </w:tcBorders>
          </w:tcPr>
          <w:p w14:paraId="65B8EE3F">
            <w:pPr>
              <w:snapToGrid w:val="0"/>
              <w:spacing w:before="600" w:after="120" w:afterLines="50" w:line="312" w:lineRule="auto"/>
              <w:jc w:val="left"/>
              <w:rPr>
                <w:b/>
                <w:bCs/>
                <w:kern w:val="44"/>
                <w:sz w:val="24"/>
                <w:szCs w:val="20"/>
              </w:rPr>
            </w:pPr>
          </w:p>
        </w:tc>
        <w:tc>
          <w:tcPr>
            <w:tcW w:w="3828" w:type="dxa"/>
            <w:tcBorders>
              <w:top w:val="single" w:color="auto" w:sz="4" w:space="0"/>
              <w:left w:val="single" w:color="auto" w:sz="4" w:space="0"/>
              <w:bottom w:val="single" w:color="auto" w:sz="4" w:space="0"/>
              <w:right w:val="single" w:color="auto" w:sz="4" w:space="0"/>
            </w:tcBorders>
          </w:tcPr>
          <w:p w14:paraId="64A03DE8">
            <w:pPr>
              <w:snapToGrid w:val="0"/>
              <w:spacing w:before="600" w:after="120" w:afterLines="50" w:line="312" w:lineRule="auto"/>
              <w:jc w:val="left"/>
              <w:rPr>
                <w:b/>
                <w:bCs/>
                <w:kern w:val="44"/>
                <w:sz w:val="24"/>
                <w:szCs w:val="20"/>
              </w:rPr>
            </w:pPr>
          </w:p>
        </w:tc>
      </w:tr>
      <w:tr w14:paraId="579DB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14D708C2">
            <w:pPr>
              <w:snapToGrid w:val="0"/>
              <w:spacing w:before="50" w:after="120" w:afterLines="50" w:line="312" w:lineRule="auto"/>
              <w:jc w:val="left"/>
              <w:rPr>
                <w:sz w:val="24"/>
              </w:rPr>
            </w:pPr>
          </w:p>
        </w:tc>
        <w:tc>
          <w:tcPr>
            <w:tcW w:w="8073" w:type="dxa"/>
            <w:tcBorders>
              <w:top w:val="single" w:color="auto" w:sz="4" w:space="0"/>
              <w:left w:val="single" w:color="auto" w:sz="4" w:space="0"/>
              <w:bottom w:val="single" w:color="auto" w:sz="4" w:space="0"/>
              <w:right w:val="single" w:color="auto" w:sz="4" w:space="0"/>
            </w:tcBorders>
          </w:tcPr>
          <w:p w14:paraId="12BB4959">
            <w:pPr>
              <w:snapToGrid w:val="0"/>
              <w:spacing w:before="600" w:after="120" w:afterLines="50" w:line="312" w:lineRule="auto"/>
              <w:jc w:val="left"/>
              <w:rPr>
                <w:b/>
                <w:bCs/>
                <w:kern w:val="44"/>
                <w:sz w:val="24"/>
                <w:szCs w:val="20"/>
              </w:rPr>
            </w:pPr>
          </w:p>
        </w:tc>
        <w:tc>
          <w:tcPr>
            <w:tcW w:w="3828" w:type="dxa"/>
            <w:tcBorders>
              <w:top w:val="single" w:color="auto" w:sz="4" w:space="0"/>
              <w:left w:val="single" w:color="auto" w:sz="4" w:space="0"/>
              <w:bottom w:val="single" w:color="auto" w:sz="4" w:space="0"/>
              <w:right w:val="single" w:color="auto" w:sz="4" w:space="0"/>
            </w:tcBorders>
          </w:tcPr>
          <w:p w14:paraId="46BDF314">
            <w:pPr>
              <w:snapToGrid w:val="0"/>
              <w:spacing w:before="600" w:after="120" w:afterLines="50" w:line="312" w:lineRule="auto"/>
              <w:jc w:val="left"/>
              <w:rPr>
                <w:b/>
                <w:bCs/>
                <w:kern w:val="44"/>
                <w:sz w:val="24"/>
                <w:szCs w:val="20"/>
              </w:rPr>
            </w:pPr>
          </w:p>
        </w:tc>
      </w:tr>
      <w:tr w14:paraId="1953B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5281BCD3">
            <w:pPr>
              <w:snapToGrid w:val="0"/>
              <w:spacing w:before="50" w:after="120" w:afterLines="50" w:line="312" w:lineRule="auto"/>
              <w:jc w:val="left"/>
              <w:rPr>
                <w:sz w:val="24"/>
              </w:rPr>
            </w:pPr>
          </w:p>
        </w:tc>
        <w:tc>
          <w:tcPr>
            <w:tcW w:w="8073" w:type="dxa"/>
            <w:tcBorders>
              <w:top w:val="single" w:color="auto" w:sz="4" w:space="0"/>
              <w:left w:val="single" w:color="auto" w:sz="4" w:space="0"/>
              <w:bottom w:val="single" w:color="auto" w:sz="4" w:space="0"/>
              <w:right w:val="single" w:color="auto" w:sz="4" w:space="0"/>
            </w:tcBorders>
          </w:tcPr>
          <w:p w14:paraId="411F9724">
            <w:pPr>
              <w:snapToGrid w:val="0"/>
              <w:spacing w:before="600" w:after="120" w:afterLines="50" w:line="312" w:lineRule="auto"/>
              <w:jc w:val="left"/>
              <w:rPr>
                <w:b/>
                <w:bCs/>
                <w:kern w:val="44"/>
                <w:sz w:val="24"/>
                <w:szCs w:val="20"/>
              </w:rPr>
            </w:pPr>
          </w:p>
        </w:tc>
        <w:tc>
          <w:tcPr>
            <w:tcW w:w="3828" w:type="dxa"/>
            <w:tcBorders>
              <w:top w:val="single" w:color="auto" w:sz="4" w:space="0"/>
              <w:left w:val="single" w:color="auto" w:sz="4" w:space="0"/>
              <w:bottom w:val="single" w:color="auto" w:sz="4" w:space="0"/>
              <w:right w:val="single" w:color="auto" w:sz="4" w:space="0"/>
            </w:tcBorders>
          </w:tcPr>
          <w:p w14:paraId="21AC5C67">
            <w:pPr>
              <w:snapToGrid w:val="0"/>
              <w:spacing w:before="600" w:after="120" w:afterLines="50" w:line="312" w:lineRule="auto"/>
              <w:jc w:val="left"/>
              <w:rPr>
                <w:b/>
                <w:bCs/>
                <w:kern w:val="44"/>
                <w:sz w:val="24"/>
                <w:szCs w:val="20"/>
              </w:rPr>
            </w:pPr>
          </w:p>
        </w:tc>
      </w:tr>
      <w:tr w14:paraId="08303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2D0CAEE6">
            <w:pPr>
              <w:snapToGrid w:val="0"/>
              <w:spacing w:before="50" w:after="120" w:afterLines="50" w:line="312" w:lineRule="auto"/>
              <w:jc w:val="left"/>
              <w:rPr>
                <w:sz w:val="24"/>
              </w:rPr>
            </w:pPr>
          </w:p>
        </w:tc>
        <w:tc>
          <w:tcPr>
            <w:tcW w:w="8073" w:type="dxa"/>
            <w:tcBorders>
              <w:top w:val="single" w:color="auto" w:sz="4" w:space="0"/>
              <w:left w:val="single" w:color="auto" w:sz="4" w:space="0"/>
              <w:bottom w:val="single" w:color="auto" w:sz="4" w:space="0"/>
              <w:right w:val="single" w:color="auto" w:sz="4" w:space="0"/>
            </w:tcBorders>
          </w:tcPr>
          <w:p w14:paraId="48C41345">
            <w:pPr>
              <w:snapToGrid w:val="0"/>
              <w:spacing w:before="600" w:after="120" w:afterLines="50" w:line="312" w:lineRule="auto"/>
              <w:jc w:val="left"/>
              <w:rPr>
                <w:b/>
                <w:bCs/>
                <w:kern w:val="44"/>
                <w:sz w:val="24"/>
                <w:szCs w:val="20"/>
              </w:rPr>
            </w:pPr>
          </w:p>
        </w:tc>
        <w:tc>
          <w:tcPr>
            <w:tcW w:w="3828" w:type="dxa"/>
            <w:tcBorders>
              <w:top w:val="single" w:color="auto" w:sz="4" w:space="0"/>
              <w:left w:val="single" w:color="auto" w:sz="4" w:space="0"/>
              <w:bottom w:val="single" w:color="auto" w:sz="4" w:space="0"/>
              <w:right w:val="single" w:color="auto" w:sz="4" w:space="0"/>
            </w:tcBorders>
          </w:tcPr>
          <w:p w14:paraId="63902D5E">
            <w:pPr>
              <w:snapToGrid w:val="0"/>
              <w:spacing w:before="600" w:after="120" w:afterLines="50" w:line="312" w:lineRule="auto"/>
              <w:jc w:val="left"/>
              <w:rPr>
                <w:b/>
                <w:bCs/>
                <w:kern w:val="44"/>
                <w:sz w:val="24"/>
                <w:szCs w:val="20"/>
              </w:rPr>
            </w:pPr>
          </w:p>
        </w:tc>
      </w:tr>
    </w:tbl>
    <w:p w14:paraId="34D82609">
      <w:pPr>
        <w:snapToGrid w:val="0"/>
        <w:spacing w:before="152" w:after="160" w:line="312" w:lineRule="auto"/>
        <w:rPr>
          <w:kern w:val="0"/>
          <w:sz w:val="20"/>
          <w:szCs w:val="20"/>
        </w:rPr>
      </w:pPr>
    </w:p>
    <w:p w14:paraId="5CBF22FF">
      <w:pPr>
        <w:snapToGrid w:val="0"/>
        <w:spacing w:before="50" w:after="50"/>
      </w:pPr>
    </w:p>
    <w:p w14:paraId="6CDF529B">
      <w:pPr>
        <w:snapToGrid w:val="0"/>
        <w:ind w:left="2" w:right="-817" w:rightChars="-389"/>
      </w:pPr>
    </w:p>
    <w:p w14:paraId="1F59241C">
      <w:pPr>
        <w:snapToGrid w:val="0"/>
        <w:spacing w:before="50" w:line="312" w:lineRule="auto"/>
        <w:jc w:val="left"/>
      </w:pPr>
      <w:r>
        <w:rPr>
          <w:rFonts w:hint="eastAsia"/>
        </w:rPr>
        <w:t>投标人名称（盖章）：年月日</w:t>
      </w:r>
    </w:p>
    <w:p w14:paraId="1B42CB78">
      <w:pPr>
        <w:widowControl/>
        <w:spacing w:line="312" w:lineRule="auto"/>
        <w:jc w:val="left"/>
        <w:rPr>
          <w:kern w:val="0"/>
          <w:sz w:val="30"/>
        </w:rPr>
        <w:sectPr>
          <w:pgSz w:w="16838" w:h="11906" w:orient="landscape"/>
          <w:pgMar w:top="1418" w:right="1361" w:bottom="924" w:left="1134" w:header="851" w:footer="992" w:gutter="0"/>
          <w:cols w:space="720" w:num="1"/>
        </w:sectPr>
      </w:pPr>
    </w:p>
    <w:p w14:paraId="69B17A15">
      <w:pPr>
        <w:snapToGrid w:val="0"/>
        <w:spacing w:before="156" w:beforeLines="50" w:after="50" w:line="312" w:lineRule="auto"/>
        <w:jc w:val="center"/>
        <w:rPr>
          <w:b/>
          <w:sz w:val="32"/>
          <w:szCs w:val="32"/>
        </w:rPr>
      </w:pPr>
      <w:r>
        <w:rPr>
          <w:rFonts w:hint="eastAsia"/>
          <w:b/>
          <w:sz w:val="32"/>
          <w:szCs w:val="32"/>
        </w:rPr>
        <w:t>十、项目实施人员（主要从业人员及其技术资格）一览表</w:t>
      </w:r>
    </w:p>
    <w:p w14:paraId="658577C8">
      <w:pPr>
        <w:snapToGrid w:val="0"/>
        <w:spacing w:before="156" w:beforeLines="50" w:after="50" w:line="312" w:lineRule="auto"/>
      </w:pPr>
    </w:p>
    <w:p w14:paraId="67DB7650">
      <w:pPr>
        <w:snapToGrid w:val="0"/>
        <w:spacing w:line="312" w:lineRule="auto"/>
      </w:pPr>
      <w:r>
        <w:rPr>
          <w:rFonts w:hint="eastAsia"/>
        </w:rPr>
        <w:t>项目名称：</w:t>
      </w:r>
    </w:p>
    <w:p w14:paraId="2B643213">
      <w:pPr>
        <w:snapToGrid w:val="0"/>
        <w:spacing w:line="312" w:lineRule="auto"/>
      </w:pPr>
      <w:r>
        <w:rPr>
          <w:rFonts w:hint="eastAsia"/>
        </w:rPr>
        <w:t>项目编号：</w:t>
      </w:r>
    </w:p>
    <w:tbl>
      <w:tblPr>
        <w:tblStyle w:val="60"/>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3CE27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5AB4EE39">
            <w:pPr>
              <w:snapToGrid w:val="0"/>
              <w:spacing w:before="156" w:beforeLines="50" w:after="50" w:line="312" w:lineRule="auto"/>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2F2FA4A6">
            <w:pPr>
              <w:snapToGrid w:val="0"/>
              <w:spacing w:before="156" w:beforeLines="50" w:after="50" w:line="312" w:lineRule="auto"/>
            </w:pPr>
            <w:r>
              <w:rPr>
                <w:rFonts w:hint="eastAsia"/>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32E5C1B9">
            <w:pPr>
              <w:snapToGrid w:val="0"/>
              <w:spacing w:before="156" w:beforeLines="50" w:after="50" w:line="312" w:lineRule="auto"/>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2CE8BD26">
            <w:pPr>
              <w:snapToGrid w:val="0"/>
              <w:spacing w:before="156" w:beforeLines="50" w:after="50" w:line="312" w:lineRule="auto"/>
            </w:pPr>
            <w:r>
              <w:rPr>
                <w:rFonts w:hint="eastAsia"/>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39251435">
            <w:pPr>
              <w:snapToGrid w:val="0"/>
              <w:spacing w:before="156" w:beforeLines="50" w:after="50" w:line="312" w:lineRule="auto"/>
            </w:pPr>
            <w:r>
              <w:rPr>
                <w:rFonts w:hint="eastAsia"/>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17793570">
            <w:pPr>
              <w:snapToGrid w:val="0"/>
              <w:spacing w:before="156" w:beforeLines="50" w:after="50" w:line="312" w:lineRule="auto"/>
            </w:pPr>
            <w:r>
              <w:rPr>
                <w:rFonts w:hint="eastAsia"/>
              </w:rPr>
              <w:t>劳动合同编号</w:t>
            </w:r>
          </w:p>
        </w:tc>
      </w:tr>
      <w:tr w14:paraId="506D0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2E8CDA7">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1A14111C">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1CDC532">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FCC6ED2">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42799C1">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A98E623">
            <w:pPr>
              <w:snapToGrid w:val="0"/>
              <w:spacing w:before="156" w:beforeLines="50" w:after="120" w:line="312" w:lineRule="auto"/>
              <w:rPr>
                <w:b/>
                <w:bCs/>
                <w:sz w:val="24"/>
                <w:szCs w:val="36"/>
              </w:rPr>
            </w:pPr>
          </w:p>
        </w:tc>
      </w:tr>
      <w:tr w14:paraId="6E90F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526150">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12285CD2">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E28307F">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BB4DBC7">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342822E">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26FEDCD">
            <w:pPr>
              <w:snapToGrid w:val="0"/>
              <w:spacing w:before="156" w:beforeLines="50" w:after="120" w:line="312" w:lineRule="auto"/>
              <w:rPr>
                <w:b/>
                <w:bCs/>
                <w:sz w:val="24"/>
                <w:szCs w:val="36"/>
              </w:rPr>
            </w:pPr>
          </w:p>
        </w:tc>
      </w:tr>
      <w:tr w14:paraId="5302A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1A9B45F">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1692A4BA">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08DA727">
            <w:pPr>
              <w:snapToGrid w:val="0"/>
              <w:spacing w:before="156" w:beforeLines="50" w:after="120" w:line="312" w:lineRule="auto"/>
              <w:ind w:left="5250" w:leftChars="2500"/>
              <w:rPr>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72C6744">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77CCC18">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11C807F">
            <w:pPr>
              <w:snapToGrid w:val="0"/>
              <w:spacing w:before="156" w:beforeLines="50" w:after="120" w:line="312" w:lineRule="auto"/>
              <w:rPr>
                <w:b/>
                <w:bCs/>
                <w:sz w:val="24"/>
                <w:szCs w:val="36"/>
              </w:rPr>
            </w:pPr>
          </w:p>
        </w:tc>
      </w:tr>
      <w:tr w14:paraId="1EBB5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83D9420">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0AD244D7">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828B120">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BF816CB">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D56BA87">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B1834BA">
            <w:pPr>
              <w:snapToGrid w:val="0"/>
              <w:spacing w:before="156" w:beforeLines="50" w:after="120" w:line="312" w:lineRule="auto"/>
              <w:rPr>
                <w:b/>
                <w:bCs/>
                <w:sz w:val="24"/>
                <w:szCs w:val="36"/>
              </w:rPr>
            </w:pPr>
          </w:p>
        </w:tc>
      </w:tr>
      <w:tr w14:paraId="69AC6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B702E29">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3265E99C">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1FA1DC6">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5DB3093">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8280EC5">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5D49760">
            <w:pPr>
              <w:snapToGrid w:val="0"/>
              <w:spacing w:before="156" w:beforeLines="50" w:after="120" w:line="312" w:lineRule="auto"/>
              <w:rPr>
                <w:b/>
                <w:bCs/>
                <w:sz w:val="24"/>
                <w:szCs w:val="36"/>
              </w:rPr>
            </w:pPr>
          </w:p>
        </w:tc>
      </w:tr>
      <w:tr w14:paraId="49C74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F207479">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33DB017D">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DD944C2">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31CC22A">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CB86521">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C696917">
            <w:pPr>
              <w:snapToGrid w:val="0"/>
              <w:spacing w:before="156" w:beforeLines="50" w:after="120" w:line="312" w:lineRule="auto"/>
              <w:rPr>
                <w:b/>
                <w:bCs/>
                <w:sz w:val="24"/>
                <w:szCs w:val="36"/>
              </w:rPr>
            </w:pPr>
          </w:p>
        </w:tc>
      </w:tr>
      <w:tr w14:paraId="288B6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B058022">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55E85480">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A450BD5">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BC0028D">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3D95DDE">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CCF9C4B">
            <w:pPr>
              <w:snapToGrid w:val="0"/>
              <w:spacing w:before="156" w:beforeLines="50" w:after="120" w:line="312" w:lineRule="auto"/>
              <w:rPr>
                <w:b/>
                <w:bCs/>
                <w:sz w:val="24"/>
                <w:szCs w:val="36"/>
              </w:rPr>
            </w:pPr>
          </w:p>
        </w:tc>
      </w:tr>
      <w:tr w14:paraId="48DAE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6225A26">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3EFAD966">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96B9F9F">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20217DE">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BFCF2F7">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5B474FD">
            <w:pPr>
              <w:snapToGrid w:val="0"/>
              <w:spacing w:before="156" w:beforeLines="50" w:after="120" w:line="312" w:lineRule="auto"/>
              <w:rPr>
                <w:b/>
                <w:bCs/>
                <w:sz w:val="24"/>
                <w:szCs w:val="36"/>
              </w:rPr>
            </w:pPr>
          </w:p>
        </w:tc>
      </w:tr>
      <w:tr w14:paraId="15C02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2642596">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6A520F02">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A532386">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3BEFC1C">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29AA610">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E9F88BF">
            <w:pPr>
              <w:snapToGrid w:val="0"/>
              <w:spacing w:before="156" w:beforeLines="50" w:after="120" w:line="312" w:lineRule="auto"/>
              <w:rPr>
                <w:b/>
                <w:bCs/>
                <w:sz w:val="24"/>
                <w:szCs w:val="36"/>
              </w:rPr>
            </w:pPr>
          </w:p>
        </w:tc>
      </w:tr>
    </w:tbl>
    <w:p w14:paraId="18C9272F">
      <w:pPr>
        <w:snapToGrid w:val="0"/>
        <w:spacing w:before="50" w:after="156" w:afterLines="50" w:line="312" w:lineRule="auto"/>
        <w:jc w:val="left"/>
      </w:pPr>
      <w:r>
        <w:rPr>
          <w:rFonts w:hint="eastAsia"/>
        </w:rPr>
        <w:t>注：在填写时，如本表格不适合投标单位的实际情况，可根据本表格式自行划表填写。</w:t>
      </w:r>
    </w:p>
    <w:p w14:paraId="6AB99ED8">
      <w:pPr>
        <w:snapToGrid w:val="0"/>
        <w:spacing w:before="50" w:after="50" w:line="312" w:lineRule="auto"/>
        <w:rPr>
          <w:spacing w:val="20"/>
          <w:sz w:val="24"/>
        </w:rPr>
      </w:pPr>
    </w:p>
    <w:p w14:paraId="4194CE89">
      <w:pPr>
        <w:snapToGrid w:val="0"/>
        <w:spacing w:before="50" w:after="50" w:line="312" w:lineRule="auto"/>
        <w:rPr>
          <w:spacing w:val="20"/>
          <w:sz w:val="24"/>
        </w:rPr>
      </w:pPr>
    </w:p>
    <w:p w14:paraId="6F8B200D">
      <w:pPr>
        <w:snapToGrid w:val="0"/>
        <w:ind w:left="2" w:right="-817" w:rightChars="-389"/>
      </w:pPr>
    </w:p>
    <w:p w14:paraId="3FF65B73">
      <w:pPr>
        <w:snapToGrid w:val="0"/>
        <w:spacing w:before="50" w:after="156" w:afterLines="50" w:line="312" w:lineRule="auto"/>
        <w:jc w:val="left"/>
        <w:rPr>
          <w:spacing w:val="20"/>
          <w:sz w:val="24"/>
          <w:u w:val="single"/>
        </w:rPr>
      </w:pPr>
      <w:r>
        <w:rPr>
          <w:rFonts w:hint="eastAsia"/>
        </w:rPr>
        <w:t>投标人名称（盖章）：</w:t>
      </w:r>
      <w:r>
        <w:rPr>
          <w:rFonts w:hint="eastAsia"/>
          <w:spacing w:val="20"/>
          <w:sz w:val="24"/>
        </w:rPr>
        <w:t>日期：</w:t>
      </w:r>
    </w:p>
    <w:p w14:paraId="2C4C2649">
      <w:pPr>
        <w:snapToGrid w:val="0"/>
        <w:spacing w:before="50" w:after="156" w:afterLines="50" w:line="312" w:lineRule="auto"/>
        <w:jc w:val="left"/>
        <w:rPr>
          <w:sz w:val="24"/>
        </w:rPr>
      </w:pPr>
    </w:p>
    <w:p w14:paraId="28B838E4">
      <w:pPr>
        <w:snapToGrid w:val="0"/>
        <w:spacing w:before="50" w:after="156" w:afterLines="50" w:line="312" w:lineRule="auto"/>
        <w:jc w:val="left"/>
        <w:rPr>
          <w:sz w:val="24"/>
        </w:rPr>
      </w:pPr>
    </w:p>
    <w:p w14:paraId="4AC14855">
      <w:pPr>
        <w:snapToGrid w:val="0"/>
        <w:spacing w:before="50" w:after="156" w:afterLines="50" w:line="312" w:lineRule="auto"/>
        <w:jc w:val="left"/>
        <w:rPr>
          <w:sz w:val="24"/>
        </w:rPr>
      </w:pPr>
    </w:p>
    <w:p w14:paraId="77F0C33B">
      <w:pPr>
        <w:snapToGrid w:val="0"/>
        <w:spacing w:before="50" w:after="156" w:afterLines="50"/>
        <w:ind w:firstLine="241" w:firstLineChars="100"/>
        <w:jc w:val="left"/>
        <w:rPr>
          <w:b/>
          <w:sz w:val="24"/>
        </w:rPr>
      </w:pPr>
    </w:p>
    <w:p w14:paraId="1089F820">
      <w:pPr>
        <w:snapToGrid w:val="0"/>
        <w:spacing w:before="50" w:after="156" w:afterLines="50"/>
        <w:ind w:firstLine="241" w:firstLineChars="100"/>
        <w:jc w:val="left"/>
        <w:rPr>
          <w:b/>
          <w:sz w:val="24"/>
        </w:rPr>
      </w:pPr>
    </w:p>
    <w:p w14:paraId="5EE3E18F">
      <w:pPr>
        <w:snapToGrid w:val="0"/>
        <w:spacing w:before="50" w:after="156" w:afterLines="50"/>
        <w:ind w:firstLine="241" w:firstLineChars="100"/>
        <w:jc w:val="left"/>
        <w:rPr>
          <w:b/>
          <w:sz w:val="24"/>
        </w:rPr>
      </w:pPr>
    </w:p>
    <w:p w14:paraId="3299E1E3">
      <w:pPr>
        <w:snapToGrid w:val="0"/>
        <w:spacing w:before="50" w:after="156" w:afterLines="50"/>
        <w:ind w:firstLine="241" w:firstLineChars="100"/>
        <w:jc w:val="left"/>
        <w:rPr>
          <w:b/>
          <w:sz w:val="24"/>
        </w:rPr>
      </w:pPr>
    </w:p>
    <w:p w14:paraId="27C586F7">
      <w:pPr>
        <w:snapToGrid w:val="0"/>
        <w:spacing w:before="50" w:after="156" w:afterLines="50"/>
        <w:ind w:firstLine="321" w:firstLineChars="100"/>
        <w:jc w:val="center"/>
        <w:rPr>
          <w:rFonts w:hint="eastAsia" w:ascii="宋体" w:hAnsi="宋体"/>
          <w:b/>
          <w:sz w:val="32"/>
          <w:szCs w:val="32"/>
        </w:rPr>
      </w:pPr>
      <w:r>
        <w:rPr>
          <w:rFonts w:hint="eastAsia" w:ascii="宋体" w:hAnsi="宋体"/>
          <w:b/>
          <w:sz w:val="32"/>
          <w:szCs w:val="32"/>
        </w:rPr>
        <w:t>十</w:t>
      </w:r>
      <w:r>
        <w:rPr>
          <w:rFonts w:hint="eastAsia" w:ascii="宋体" w:hAnsi="宋体"/>
          <w:b/>
          <w:sz w:val="32"/>
          <w:szCs w:val="32"/>
          <w:lang w:val="en-US" w:eastAsia="zh-CN"/>
        </w:rPr>
        <w:t>一</w:t>
      </w:r>
      <w:r>
        <w:rPr>
          <w:rFonts w:hint="eastAsia" w:ascii="宋体" w:hAnsi="宋体"/>
          <w:b/>
          <w:sz w:val="32"/>
          <w:szCs w:val="32"/>
        </w:rPr>
        <w:t>、技术响应表格式</w:t>
      </w:r>
    </w:p>
    <w:p w14:paraId="5EC06CCE">
      <w:pPr>
        <w:rPr>
          <w:rFonts w:hint="eastAsia" w:ascii="宋体" w:hAnsi="宋体"/>
        </w:rPr>
      </w:pPr>
      <w:r>
        <w:rPr>
          <w:rFonts w:hint="eastAsia" w:ascii="宋体" w:hAnsi="宋体"/>
        </w:rPr>
        <w:t>项目名称：</w:t>
      </w:r>
    </w:p>
    <w:p w14:paraId="736B0803">
      <w:pPr>
        <w:snapToGrid w:val="0"/>
        <w:spacing w:line="360" w:lineRule="auto"/>
        <w:rPr>
          <w:rFonts w:ascii="宋体"/>
        </w:rPr>
      </w:pPr>
      <w:r>
        <w:rPr>
          <w:rFonts w:hint="eastAsia" w:ascii="宋体" w:hAnsi="宋体"/>
        </w:rPr>
        <w:t>项目编号：</w:t>
      </w:r>
    </w:p>
    <w:tbl>
      <w:tblPr>
        <w:tblStyle w:val="60"/>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3DDD6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7A10A7E4">
            <w:pPr>
              <w:snapToGrid w:val="0"/>
              <w:spacing w:after="295"/>
              <w:jc w:val="center"/>
              <w:outlineLvl w:val="0"/>
              <w:rPr>
                <w:rFonts w:hint="eastAsia" w:ascii="宋体" w:hAnsi="宋体"/>
                <w:sz w:val="24"/>
              </w:rPr>
            </w:pPr>
            <w:r>
              <w:rPr>
                <w:rFonts w:hint="eastAsia" w:ascii="宋体" w:hAnsi="宋体"/>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7F7B41B3">
            <w:pPr>
              <w:snapToGrid w:val="0"/>
              <w:spacing w:after="295"/>
              <w:jc w:val="center"/>
              <w:outlineLvl w:val="0"/>
              <w:rPr>
                <w:rFonts w:hint="eastAsia" w:ascii="宋体" w:hAnsi="宋体"/>
                <w:sz w:val="24"/>
              </w:rPr>
            </w:pPr>
            <w:r>
              <w:rPr>
                <w:rFonts w:hint="eastAsia" w:ascii="宋体" w:hAnsi="宋体"/>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4838CA2A">
            <w:pPr>
              <w:snapToGrid w:val="0"/>
              <w:spacing w:after="295"/>
              <w:jc w:val="center"/>
              <w:outlineLvl w:val="0"/>
              <w:rPr>
                <w:rFonts w:hint="eastAsia" w:ascii="宋体" w:hAnsi="宋体"/>
                <w:sz w:val="24"/>
              </w:rPr>
            </w:pPr>
            <w:r>
              <w:rPr>
                <w:rFonts w:hint="eastAsia" w:ascii="宋体" w:hAnsi="宋体"/>
                <w:sz w:val="24"/>
              </w:rPr>
              <w:t>偏离情况</w:t>
            </w:r>
          </w:p>
        </w:tc>
      </w:tr>
      <w:tr w14:paraId="21DE5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16EEFF0F">
            <w:pPr>
              <w:snapToGrid w:val="0"/>
              <w:spacing w:after="295"/>
              <w:jc w:val="center"/>
              <w:outlineLvl w:val="0"/>
              <w:rPr>
                <w:rFonts w:hint="eastAsia" w:ascii="宋体" w:hAnsi="宋体"/>
                <w:sz w:val="24"/>
              </w:rPr>
            </w:pPr>
            <w:r>
              <w:rPr>
                <w:rFonts w:hint="eastAsia" w:ascii="宋体" w:hAnsi="宋体"/>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55CC8975">
            <w:pPr>
              <w:snapToGrid w:val="0"/>
              <w:spacing w:after="295"/>
              <w:jc w:val="center"/>
              <w:outlineLvl w:val="0"/>
              <w:rPr>
                <w:rFonts w:hint="eastAsia" w:ascii="宋体" w:hAnsi="宋体"/>
                <w:sz w:val="24"/>
              </w:rPr>
            </w:pPr>
            <w:r>
              <w:rPr>
                <w:rFonts w:hint="eastAsia" w:ascii="宋体" w:hAnsi="宋体"/>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1250FBB3">
            <w:pPr>
              <w:snapToGrid w:val="0"/>
              <w:spacing w:after="295"/>
              <w:jc w:val="center"/>
              <w:outlineLvl w:val="0"/>
              <w:rPr>
                <w:rFonts w:hint="eastAsia" w:ascii="宋体" w:hAnsi="宋体"/>
                <w:sz w:val="24"/>
              </w:rPr>
            </w:pPr>
            <w:r>
              <w:rPr>
                <w:rFonts w:hint="eastAsia" w:ascii="宋体" w:hAnsi="宋体"/>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47FAA212">
            <w:pPr>
              <w:snapToGrid w:val="0"/>
              <w:spacing w:after="295"/>
              <w:jc w:val="center"/>
              <w:outlineLvl w:val="0"/>
              <w:rPr>
                <w:rFonts w:hint="eastAsia" w:ascii="宋体" w:hAnsi="宋体"/>
                <w:sz w:val="24"/>
              </w:rPr>
            </w:pPr>
            <w:r>
              <w:rPr>
                <w:rFonts w:hint="eastAsia" w:ascii="宋体" w:hAnsi="宋体"/>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000610DF">
            <w:pPr>
              <w:widowControl/>
              <w:jc w:val="left"/>
              <w:rPr>
                <w:rFonts w:hint="eastAsia" w:ascii="宋体" w:hAnsi="宋体"/>
                <w:sz w:val="24"/>
              </w:rPr>
            </w:pPr>
          </w:p>
        </w:tc>
      </w:tr>
      <w:tr w14:paraId="5F15B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0A2CFB3B">
            <w:pPr>
              <w:snapToGrid w:val="0"/>
              <w:spacing w:after="295"/>
              <w:jc w:val="center"/>
              <w:outlineLvl w:val="0"/>
              <w:rPr>
                <w:rFonts w:hint="eastAsia" w:ascii="宋体" w:hAnsi="宋体"/>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48435A4F">
            <w:pPr>
              <w:snapToGrid w:val="0"/>
              <w:spacing w:after="295" w:line="120" w:lineRule="exact"/>
              <w:jc w:val="center"/>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158B85D6">
            <w:pPr>
              <w:snapToGrid w:val="0"/>
              <w:spacing w:after="295" w:line="120" w:lineRule="exact"/>
              <w:jc w:val="center"/>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252C76C8">
            <w:pPr>
              <w:snapToGrid w:val="0"/>
              <w:spacing w:after="295" w:line="120" w:lineRule="exact"/>
              <w:jc w:val="center"/>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0CE46D73">
            <w:pPr>
              <w:snapToGrid w:val="0"/>
              <w:spacing w:after="295" w:line="120" w:lineRule="exact"/>
              <w:jc w:val="center"/>
              <w:outlineLvl w:val="0"/>
              <w:rPr>
                <w:rFonts w:hint="eastAsia" w:ascii="宋体" w:hAnsi="宋体"/>
                <w:sz w:val="24"/>
              </w:rPr>
            </w:pPr>
          </w:p>
        </w:tc>
      </w:tr>
      <w:tr w14:paraId="4BCC4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3E9EF0B2">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42BE4C11">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9835B91">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1E90A20">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5CD5D2D0">
            <w:pPr>
              <w:snapToGrid w:val="0"/>
              <w:spacing w:after="295" w:line="120" w:lineRule="exact"/>
              <w:outlineLvl w:val="0"/>
              <w:rPr>
                <w:rFonts w:hint="eastAsia" w:ascii="宋体" w:hAnsi="宋体"/>
                <w:sz w:val="24"/>
              </w:rPr>
            </w:pPr>
          </w:p>
        </w:tc>
      </w:tr>
      <w:tr w14:paraId="26791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2E70979A">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291896A">
            <w:pPr>
              <w:snapToGrid w:val="0"/>
              <w:spacing w:after="295" w:line="120" w:lineRule="exact"/>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15A8EEA">
            <w:pPr>
              <w:snapToGrid w:val="0"/>
              <w:spacing w:after="295" w:line="120" w:lineRule="exact"/>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65CAEBA0">
            <w:pPr>
              <w:snapToGrid w:val="0"/>
              <w:spacing w:after="295" w:line="120" w:lineRule="exact"/>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36326CF0">
            <w:pPr>
              <w:snapToGrid w:val="0"/>
              <w:spacing w:after="295" w:line="120" w:lineRule="exact"/>
              <w:rPr>
                <w:rFonts w:hint="eastAsia" w:ascii="宋体" w:hAnsi="宋体"/>
                <w:sz w:val="24"/>
              </w:rPr>
            </w:pPr>
          </w:p>
        </w:tc>
      </w:tr>
      <w:tr w14:paraId="38AEB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C3A1895">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4E370DC8">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4814F4EA">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21C68F43">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79A20CCA">
            <w:pPr>
              <w:snapToGrid w:val="0"/>
              <w:spacing w:after="295" w:line="120" w:lineRule="exact"/>
              <w:outlineLvl w:val="0"/>
              <w:rPr>
                <w:rFonts w:hint="eastAsia" w:ascii="宋体" w:hAnsi="宋体"/>
                <w:sz w:val="24"/>
              </w:rPr>
            </w:pPr>
          </w:p>
        </w:tc>
      </w:tr>
      <w:tr w14:paraId="7CCEE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6E211B9">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9965E85">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07E6A48B">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07BBF05E">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222A8CB3">
            <w:pPr>
              <w:snapToGrid w:val="0"/>
              <w:spacing w:after="295" w:line="120" w:lineRule="exact"/>
              <w:outlineLvl w:val="0"/>
              <w:rPr>
                <w:rFonts w:hint="eastAsia" w:ascii="宋体" w:hAnsi="宋体"/>
                <w:sz w:val="24"/>
              </w:rPr>
            </w:pPr>
          </w:p>
        </w:tc>
      </w:tr>
      <w:tr w14:paraId="1A889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05BFBCD">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3F523399">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C4D8E99">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0EB36F88">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4C27BA06">
            <w:pPr>
              <w:snapToGrid w:val="0"/>
              <w:spacing w:after="295" w:line="120" w:lineRule="exact"/>
              <w:outlineLvl w:val="0"/>
              <w:rPr>
                <w:rFonts w:hint="eastAsia" w:ascii="宋体" w:hAnsi="宋体"/>
                <w:sz w:val="24"/>
              </w:rPr>
            </w:pPr>
          </w:p>
        </w:tc>
      </w:tr>
      <w:tr w14:paraId="64AF2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A89DF4E">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A8D56C7">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6673472C">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86E1B70">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683A1135">
            <w:pPr>
              <w:snapToGrid w:val="0"/>
              <w:spacing w:after="295" w:line="120" w:lineRule="exact"/>
              <w:outlineLvl w:val="0"/>
              <w:rPr>
                <w:rFonts w:hint="eastAsia" w:ascii="宋体" w:hAnsi="宋体"/>
                <w:sz w:val="24"/>
              </w:rPr>
            </w:pPr>
          </w:p>
        </w:tc>
      </w:tr>
      <w:tr w14:paraId="3B57E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FC54A14">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D7663CE">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14495492">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332F75C">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793870E">
            <w:pPr>
              <w:snapToGrid w:val="0"/>
              <w:spacing w:after="295" w:line="120" w:lineRule="exact"/>
              <w:outlineLvl w:val="0"/>
              <w:rPr>
                <w:rFonts w:hint="eastAsia" w:ascii="宋体" w:hAnsi="宋体"/>
                <w:sz w:val="24"/>
              </w:rPr>
            </w:pPr>
          </w:p>
        </w:tc>
      </w:tr>
      <w:tr w14:paraId="2E062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7EE8ADD">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3DE79473">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CA2F3E2">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1FAC0DB">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704D4B5A">
            <w:pPr>
              <w:snapToGrid w:val="0"/>
              <w:spacing w:after="295" w:line="120" w:lineRule="exact"/>
              <w:outlineLvl w:val="0"/>
              <w:rPr>
                <w:rFonts w:hint="eastAsia" w:ascii="宋体" w:hAnsi="宋体"/>
                <w:sz w:val="24"/>
              </w:rPr>
            </w:pPr>
          </w:p>
        </w:tc>
      </w:tr>
      <w:tr w14:paraId="4C9B5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AF96B7D">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33EC9D15">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7D03EE50">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1C4A4712">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37574B3A">
            <w:pPr>
              <w:snapToGrid w:val="0"/>
              <w:spacing w:after="295" w:line="120" w:lineRule="exact"/>
              <w:outlineLvl w:val="0"/>
              <w:rPr>
                <w:rFonts w:hint="eastAsia" w:ascii="宋体" w:hAnsi="宋体"/>
                <w:sz w:val="24"/>
              </w:rPr>
            </w:pPr>
          </w:p>
        </w:tc>
      </w:tr>
      <w:tr w14:paraId="20991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6FA5D94">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53FB56DD">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7B049A48">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286E9EA">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64E4528">
            <w:pPr>
              <w:snapToGrid w:val="0"/>
              <w:spacing w:after="295" w:line="120" w:lineRule="exact"/>
              <w:outlineLvl w:val="0"/>
              <w:rPr>
                <w:rFonts w:hint="eastAsia" w:ascii="宋体" w:hAnsi="宋体"/>
                <w:sz w:val="24"/>
              </w:rPr>
            </w:pPr>
          </w:p>
        </w:tc>
      </w:tr>
    </w:tbl>
    <w:p w14:paraId="7699EBDE">
      <w:pPr>
        <w:snapToGrid w:val="0"/>
        <w:spacing w:before="50" w:after="50"/>
        <w:rPr>
          <w:rFonts w:hint="eastAsia" w:ascii="宋体" w:hAnsi="宋体"/>
          <w:b/>
        </w:rPr>
      </w:pPr>
    </w:p>
    <w:p w14:paraId="536A844D">
      <w:pPr>
        <w:snapToGrid w:val="0"/>
        <w:spacing w:before="50" w:after="50"/>
        <w:rPr>
          <w:rFonts w:hint="eastAsia" w:ascii="宋体" w:hAnsi="宋体"/>
          <w:b/>
          <w:spacing w:val="20"/>
          <w:sz w:val="24"/>
        </w:rPr>
      </w:pPr>
    </w:p>
    <w:p w14:paraId="07558D1C">
      <w:pPr>
        <w:snapToGrid w:val="0"/>
        <w:spacing w:before="50" w:after="50"/>
        <w:rPr>
          <w:rFonts w:hint="eastAsia" w:ascii="宋体" w:hAnsi="宋体"/>
        </w:rPr>
      </w:pPr>
    </w:p>
    <w:p w14:paraId="7C217AFF">
      <w:pPr>
        <w:snapToGrid w:val="0"/>
        <w:ind w:left="2" w:right="-817" w:rightChars="-389"/>
        <w:rPr>
          <w:rFonts w:hint="eastAsia" w:ascii="宋体" w:hAnsi="宋体"/>
        </w:rPr>
      </w:pPr>
    </w:p>
    <w:p w14:paraId="3379E9F4">
      <w:pPr>
        <w:snapToGrid w:val="0"/>
        <w:spacing w:before="50" w:after="50"/>
        <w:rPr>
          <w:rFonts w:hint="eastAsia" w:ascii="宋体" w:hAnsi="宋体"/>
          <w:sz w:val="24"/>
        </w:rPr>
      </w:pPr>
      <w:r>
        <w:rPr>
          <w:rFonts w:hint="eastAsia" w:ascii="宋体" w:hAnsi="宋体"/>
        </w:rPr>
        <w:t>投标人名称（盖章）：</w:t>
      </w:r>
      <w:r>
        <w:rPr>
          <w:rFonts w:hint="eastAsia" w:ascii="宋体" w:hAnsi="宋体"/>
          <w:spacing w:val="20"/>
        </w:rPr>
        <w:t>日期：</w:t>
      </w:r>
    </w:p>
    <w:p w14:paraId="63709EF8">
      <w:pPr>
        <w:snapToGrid w:val="0"/>
        <w:spacing w:before="50" w:after="156" w:afterLines="50"/>
        <w:jc w:val="left"/>
        <w:rPr>
          <w:rFonts w:hint="eastAsia" w:ascii="宋体" w:hAnsi="宋体"/>
          <w:b/>
          <w:sz w:val="24"/>
        </w:rPr>
      </w:pPr>
    </w:p>
    <w:p w14:paraId="1DBFAFA8">
      <w:pPr>
        <w:snapToGrid w:val="0"/>
        <w:spacing w:before="50" w:after="156" w:afterLines="50"/>
        <w:jc w:val="left"/>
        <w:rPr>
          <w:rFonts w:hint="eastAsia" w:ascii="宋体" w:hAnsi="宋体"/>
          <w:b/>
          <w:sz w:val="24"/>
        </w:rPr>
      </w:pPr>
    </w:p>
    <w:p w14:paraId="69B2C2BF">
      <w:pPr>
        <w:rPr>
          <w:rFonts w:ascii="Calibri" w:hAnsi="Calibri"/>
        </w:rPr>
      </w:pPr>
    </w:p>
    <w:p w14:paraId="7577E55A">
      <w:pPr>
        <w:rPr>
          <w:rFonts w:ascii="Calibri" w:hAnsi="Calibri"/>
        </w:rPr>
      </w:pPr>
    </w:p>
    <w:p w14:paraId="10B50205">
      <w:pPr>
        <w:rPr>
          <w:rFonts w:ascii="Calibri" w:hAnsi="Calibri"/>
        </w:rPr>
      </w:pPr>
    </w:p>
    <w:p w14:paraId="2A31EF7B"/>
    <w:p w14:paraId="3ACBB125"/>
    <w:p w14:paraId="45FCE45B"/>
    <w:p w14:paraId="4E296B0D">
      <w:pPr>
        <w:spacing w:line="360" w:lineRule="auto"/>
        <w:jc w:val="center"/>
        <w:rPr>
          <w:rFonts w:ascii="宋体" w:hAnsi="宋体" w:eastAsia="宋体" w:cs="Times New Roman"/>
          <w:b/>
          <w:color w:val="000000"/>
          <w:sz w:val="32"/>
          <w:szCs w:val="32"/>
        </w:rPr>
      </w:pPr>
      <w:r>
        <w:rPr>
          <w:rFonts w:hint="eastAsia" w:ascii="宋体" w:hAnsi="宋体" w:eastAsia="宋体" w:cs="Times New Roman"/>
          <w:b/>
          <w:color w:val="000000"/>
          <w:sz w:val="32"/>
          <w:szCs w:val="32"/>
        </w:rPr>
        <w:t>联合体协议书</w:t>
      </w:r>
    </w:p>
    <w:p w14:paraId="666A9E19">
      <w:pPr>
        <w:spacing w:line="360" w:lineRule="auto"/>
        <w:ind w:firstLine="480" w:firstLineChars="200"/>
        <w:rPr>
          <w:rFonts w:ascii="宋体" w:hAnsi="宋体" w:eastAsia="宋体" w:cs="Times New Roman"/>
          <w:color w:val="000000"/>
          <w:sz w:val="24"/>
          <w:szCs w:val="24"/>
        </w:rPr>
      </w:pPr>
    </w:p>
    <w:p w14:paraId="481386EC">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甲方：</w:t>
      </w:r>
    </w:p>
    <w:p w14:paraId="661DF185">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乙方：</w:t>
      </w:r>
    </w:p>
    <w:p w14:paraId="5796C07F">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（如果有的话，可按甲、乙、丙、丁…序列增加）</w:t>
      </w:r>
    </w:p>
    <w:p w14:paraId="37B2F8F5">
      <w:pPr>
        <w:spacing w:line="360" w:lineRule="auto"/>
        <w:ind w:left="105" w:leftChars="50" w:firstLine="315" w:firstLineChars="150"/>
        <w:rPr>
          <w:rFonts w:ascii="宋体" w:hAnsi="宋体" w:eastAsia="宋体" w:cs="Times New Roman"/>
          <w:color w:val="000000"/>
          <w:szCs w:val="21"/>
        </w:rPr>
      </w:pPr>
      <w:r>
        <w:rPr>
          <w:rFonts w:hint="eastAsia" w:ascii="宋体" w:hAnsi="宋体" w:eastAsia="宋体" w:cs="Times New Roman"/>
          <w:color w:val="000000"/>
          <w:szCs w:val="21"/>
        </w:rPr>
        <w:t>各方经协商，就响应</w:t>
      </w:r>
      <w:r>
        <w:rPr>
          <w:rFonts w:hint="eastAsia" w:ascii="宋体" w:hAnsi="宋体" w:eastAsia="宋体" w:cs="Times New Roman"/>
          <w:color w:val="000000"/>
          <w:szCs w:val="21"/>
          <w:u w:val="single"/>
        </w:rPr>
        <w:t xml:space="preserve"> （采购代理机构名称） </w:t>
      </w:r>
      <w:r>
        <w:rPr>
          <w:rFonts w:hint="eastAsia" w:ascii="宋体" w:hAnsi="宋体" w:eastAsia="宋体" w:cs="Times New Roman"/>
          <w:color w:val="000000"/>
          <w:szCs w:val="21"/>
        </w:rPr>
        <w:t>组织实施的</w:t>
      </w:r>
      <w:r>
        <w:rPr>
          <w:rFonts w:hint="eastAsia" w:ascii="宋体" w:hAnsi="宋体" w:eastAsia="宋体" w:cs="Times New Roman"/>
          <w:color w:val="000000"/>
          <w:szCs w:val="21"/>
          <w:u w:val="single"/>
        </w:rPr>
        <w:t xml:space="preserve">  （项目名称）（项目编号）（标项）  </w:t>
      </w:r>
      <w:r>
        <w:rPr>
          <w:rFonts w:hint="eastAsia" w:ascii="宋体" w:hAnsi="宋体" w:eastAsia="宋体" w:cs="Times New Roman"/>
          <w:color w:val="000000"/>
          <w:szCs w:val="21"/>
        </w:rPr>
        <w:t>的采购活动联合参与采购之事宜，达成如下协议：</w:t>
      </w:r>
    </w:p>
    <w:p w14:paraId="4A23CE34">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一、各方一致决定，以</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为主办人进行采购活动，并按照采购文件的规定提交采购响应文件。</w:t>
      </w:r>
    </w:p>
    <w:p w14:paraId="75CC1EE1">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二、在本次采购过程中，主办人的</w:t>
      </w:r>
      <w:r>
        <w:rPr>
          <w:rFonts w:hint="eastAsia" w:ascii="宋体" w:hAnsi="宋体" w:eastAsia="宋体" w:cs="Times New Roman"/>
          <w:color w:val="000000"/>
          <w:szCs w:val="21"/>
          <w:u w:val="single"/>
        </w:rPr>
        <w:t xml:space="preserve">  （法定代表人或委托代理人）</w:t>
      </w:r>
      <w:r>
        <w:rPr>
          <w:rFonts w:hint="eastAsia" w:ascii="宋体" w:hAnsi="宋体" w:eastAsia="宋体" w:cs="Times New Roman"/>
          <w:color w:val="000000"/>
          <w:szCs w:val="21"/>
        </w:rPr>
        <w:t>根据采购文件规定及采购内容而对</w:t>
      </w:r>
      <w:r>
        <w:rPr>
          <w:rFonts w:hint="eastAsia" w:ascii="宋体" w:hAnsi="宋体" w:eastAsia="宋体" w:cs="Times New Roman"/>
          <w:color w:val="000000"/>
          <w:szCs w:val="21"/>
          <w:u w:val="single"/>
        </w:rPr>
        <w:t>（采购代理机构名称）</w:t>
      </w:r>
      <w:r>
        <w:rPr>
          <w:rFonts w:hint="eastAsia" w:ascii="宋体" w:hAnsi="宋体" w:eastAsia="宋体" w:cs="Times New Roman"/>
          <w:color w:val="000000"/>
          <w:szCs w:val="21"/>
        </w:rPr>
        <w:t>和采购人所作的任何合法承诺，包括书面澄清及响应等均对联合体各方产生约束力。如果中标（或成交）并签订合同，则联合体各方将共同履行对</w:t>
      </w:r>
      <w:r>
        <w:rPr>
          <w:rFonts w:hint="eastAsia" w:ascii="宋体" w:hAnsi="宋体" w:eastAsia="宋体" w:cs="Times New Roman"/>
          <w:color w:val="000000"/>
          <w:szCs w:val="21"/>
          <w:u w:val="single"/>
        </w:rPr>
        <w:t>（采购代理机构名称）</w:t>
      </w:r>
      <w:r>
        <w:rPr>
          <w:rFonts w:hint="eastAsia" w:ascii="宋体" w:hAnsi="宋体" w:eastAsia="宋体" w:cs="Times New Roman"/>
          <w:color w:val="000000"/>
          <w:szCs w:val="21"/>
        </w:rPr>
        <w:t>和采购人所负有的全部义务并就采购合同约定的事项对采购人承担连带责任。</w:t>
      </w:r>
    </w:p>
    <w:p w14:paraId="0BD739DF">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三、联合体其余各方保证对主办人为响应本次采购而提供的产品和服务提供全部质量保证及售后服务支持。</w:t>
      </w:r>
    </w:p>
    <w:p w14:paraId="5DAE6D03">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四、本次联合体中</w:t>
      </w:r>
    </w:p>
    <w:p w14:paraId="67C084D0">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甲方承担的工作和义务为:</w:t>
      </w:r>
    </w:p>
    <w:p w14:paraId="6CD2F703">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乙方承担的工作和义务为：</w:t>
      </w:r>
    </w:p>
    <w:p w14:paraId="075A4449">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（如果有的话，可按甲、乙、丙、丁…序列增加）</w:t>
      </w:r>
    </w:p>
    <w:p w14:paraId="091A6577">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五、有关本次联合体的其他事宜：</w:t>
      </w:r>
    </w:p>
    <w:p w14:paraId="5D678575">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六、本协议提交</w:t>
      </w:r>
      <w:r>
        <w:rPr>
          <w:rFonts w:hint="eastAsia" w:ascii="宋体" w:hAnsi="宋体" w:eastAsia="宋体" w:cs="Times New Roman"/>
          <w:color w:val="000000"/>
          <w:szCs w:val="21"/>
          <w:u w:val="single"/>
        </w:rPr>
        <w:t>（采购代理机构名称）</w:t>
      </w:r>
      <w:r>
        <w:rPr>
          <w:rFonts w:hint="eastAsia" w:ascii="宋体" w:hAnsi="宋体" w:eastAsia="宋体" w:cs="Times New Roman"/>
          <w:color w:val="000000"/>
          <w:szCs w:val="21"/>
        </w:rPr>
        <w:t>后，联合体各方不得以任何形式对上述实质内容进行修改或撤销。</w:t>
      </w:r>
    </w:p>
    <w:p w14:paraId="51CB58D0">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七、本协议一式</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份，签约各方各持一份，提交</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一份, 提交</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一份。</w:t>
      </w:r>
    </w:p>
    <w:p w14:paraId="25835C02">
      <w:pPr>
        <w:spacing w:line="360" w:lineRule="auto"/>
        <w:ind w:firstLine="420" w:firstLineChars="200"/>
        <w:rPr>
          <w:rFonts w:hint="eastAsia" w:ascii="宋体" w:hAnsi="宋体" w:eastAsia="宋体" w:cs="Times New Roman"/>
          <w:color w:val="000000"/>
          <w:szCs w:val="21"/>
        </w:rPr>
      </w:pPr>
    </w:p>
    <w:p w14:paraId="60243B18">
      <w:pPr>
        <w:spacing w:line="360" w:lineRule="auto"/>
        <w:ind w:firstLine="420" w:firstLineChars="200"/>
        <w:rPr>
          <w:rFonts w:ascii="宋体" w:hAnsi="宋体" w:eastAsia="宋体" w:cs="Times New Roman"/>
          <w:color w:val="000000"/>
          <w:szCs w:val="21"/>
        </w:rPr>
      </w:pPr>
    </w:p>
    <w:tbl>
      <w:tblPr>
        <w:tblStyle w:val="60"/>
        <w:tblW w:w="0" w:type="auto"/>
        <w:jc w:val="center"/>
        <w:tblLayout w:type="fixed"/>
        <w:tblCellMar>
          <w:top w:w="0" w:type="dxa"/>
          <w:left w:w="108" w:type="dxa"/>
          <w:bottom w:w="0" w:type="dxa"/>
          <w:right w:w="108" w:type="dxa"/>
        </w:tblCellMar>
      </w:tblPr>
      <w:tblGrid>
        <w:gridCol w:w="4264"/>
        <w:gridCol w:w="4264"/>
      </w:tblGrid>
      <w:tr w14:paraId="07C689D2">
        <w:tblPrEx>
          <w:tblCellMar>
            <w:top w:w="0" w:type="dxa"/>
            <w:left w:w="108" w:type="dxa"/>
            <w:bottom w:w="0" w:type="dxa"/>
            <w:right w:w="108" w:type="dxa"/>
          </w:tblCellMar>
        </w:tblPrEx>
        <w:trPr>
          <w:jc w:val="center"/>
        </w:trPr>
        <w:tc>
          <w:tcPr>
            <w:tcW w:w="4264" w:type="dxa"/>
          </w:tcPr>
          <w:p w14:paraId="12AB1E22">
            <w:pPr>
              <w:spacing w:line="560" w:lineRule="exact"/>
              <w:jc w:val="left"/>
              <w:rPr>
                <w:rFonts w:ascii="宋体" w:hAnsi="宋体" w:eastAsia="宋体" w:cs="Times New Roman"/>
                <w:color w:val="000000"/>
                <w:szCs w:val="21"/>
              </w:rPr>
            </w:pPr>
            <w:r>
              <w:rPr>
                <w:rFonts w:hint="eastAsia" w:ascii="宋体" w:hAnsi="宋体" w:eastAsia="宋体" w:cs="Times New Roman"/>
                <w:color w:val="000000"/>
                <w:szCs w:val="21"/>
              </w:rPr>
              <w:t>甲方单位：          （公章）</w:t>
            </w:r>
          </w:p>
          <w:p w14:paraId="05CD8C40">
            <w:pPr>
              <w:spacing w:line="560" w:lineRule="exact"/>
              <w:jc w:val="left"/>
              <w:rPr>
                <w:rFonts w:ascii="宋体" w:hAnsi="宋体" w:eastAsia="宋体" w:cs="Times New Roman"/>
                <w:color w:val="000000"/>
                <w:szCs w:val="21"/>
              </w:rPr>
            </w:pPr>
            <w:r>
              <w:rPr>
                <w:rFonts w:hint="eastAsia" w:ascii="宋体" w:hAnsi="宋体" w:eastAsia="宋体" w:cs="Times New Roman"/>
                <w:color w:val="000000"/>
                <w:szCs w:val="21"/>
              </w:rPr>
              <w:t>法定代表人或委托代理人：</w:t>
            </w:r>
          </w:p>
          <w:p w14:paraId="4F8F1497">
            <w:pPr>
              <w:spacing w:line="560" w:lineRule="exact"/>
              <w:jc w:val="left"/>
              <w:rPr>
                <w:rFonts w:ascii="宋体" w:hAnsi="宋体" w:eastAsia="宋体" w:cs="Times New Roman"/>
                <w:color w:val="000000"/>
                <w:szCs w:val="21"/>
              </w:rPr>
            </w:pPr>
            <w:r>
              <w:rPr>
                <w:rFonts w:hint="eastAsia" w:ascii="宋体" w:hAnsi="宋体" w:eastAsia="宋体" w:cs="Times New Roman"/>
                <w:color w:val="000000"/>
                <w:szCs w:val="21"/>
              </w:rPr>
              <w:t>（签字或盖章）</w:t>
            </w:r>
          </w:p>
          <w:p w14:paraId="65BFE8B2">
            <w:pPr>
              <w:spacing w:line="560" w:lineRule="exact"/>
              <w:ind w:firstLine="420" w:firstLineChars="200"/>
              <w:rPr>
                <w:rFonts w:ascii="宋体" w:hAnsi="宋体" w:eastAsia="宋体" w:cs="Times New Roman"/>
                <w:color w:val="000000"/>
                <w:szCs w:val="21"/>
              </w:rPr>
            </w:pPr>
          </w:p>
          <w:p w14:paraId="1703E7F3">
            <w:pPr>
              <w:spacing w:line="5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日期：    年   月   日</w:t>
            </w:r>
          </w:p>
        </w:tc>
        <w:tc>
          <w:tcPr>
            <w:tcW w:w="4264" w:type="dxa"/>
          </w:tcPr>
          <w:p w14:paraId="04BB7AA9">
            <w:pPr>
              <w:spacing w:line="560" w:lineRule="exact"/>
              <w:rPr>
                <w:rFonts w:ascii="宋体" w:hAnsi="宋体" w:eastAsia="宋体" w:cs="Times New Roman"/>
                <w:color w:val="000000"/>
                <w:szCs w:val="21"/>
              </w:rPr>
            </w:pPr>
            <w:r>
              <w:rPr>
                <w:rFonts w:hint="eastAsia" w:ascii="宋体" w:hAnsi="宋体" w:eastAsia="宋体" w:cs="Times New Roman"/>
                <w:color w:val="000000"/>
                <w:szCs w:val="21"/>
              </w:rPr>
              <w:t>乙方单位：           （公章）</w:t>
            </w:r>
          </w:p>
          <w:p w14:paraId="32355232">
            <w:pPr>
              <w:spacing w:line="560" w:lineRule="exact"/>
              <w:rPr>
                <w:rFonts w:ascii="宋体" w:hAnsi="宋体" w:eastAsia="宋体" w:cs="Times New Roman"/>
                <w:color w:val="000000"/>
                <w:szCs w:val="21"/>
              </w:rPr>
            </w:pPr>
            <w:r>
              <w:rPr>
                <w:rFonts w:hint="eastAsia" w:ascii="宋体" w:hAnsi="宋体" w:eastAsia="宋体" w:cs="Times New Roman"/>
                <w:color w:val="000000"/>
                <w:szCs w:val="21"/>
              </w:rPr>
              <w:t>法定代表人或委托代理人：</w:t>
            </w:r>
          </w:p>
          <w:p w14:paraId="3B133AF8">
            <w:pPr>
              <w:spacing w:line="560" w:lineRule="exact"/>
              <w:rPr>
                <w:rFonts w:ascii="宋体" w:hAnsi="宋体" w:eastAsia="宋体" w:cs="Times New Roman"/>
                <w:color w:val="000000"/>
                <w:szCs w:val="21"/>
              </w:rPr>
            </w:pPr>
            <w:r>
              <w:rPr>
                <w:rFonts w:hint="eastAsia" w:ascii="宋体" w:hAnsi="宋体" w:eastAsia="宋体" w:cs="Times New Roman"/>
                <w:color w:val="000000"/>
                <w:szCs w:val="21"/>
              </w:rPr>
              <w:t>（签字或盖章）</w:t>
            </w:r>
          </w:p>
          <w:p w14:paraId="415DD5E9">
            <w:pPr>
              <w:spacing w:line="560" w:lineRule="exact"/>
              <w:ind w:firstLine="420" w:firstLineChars="200"/>
              <w:rPr>
                <w:rFonts w:ascii="宋体" w:hAnsi="宋体" w:eastAsia="宋体" w:cs="Times New Roman"/>
                <w:color w:val="000000"/>
                <w:szCs w:val="21"/>
              </w:rPr>
            </w:pPr>
          </w:p>
          <w:p w14:paraId="05B0A792">
            <w:pPr>
              <w:spacing w:line="5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日期：   年   月   日</w:t>
            </w:r>
          </w:p>
        </w:tc>
      </w:tr>
    </w:tbl>
    <w:p w14:paraId="69B1B559">
      <w:pPr>
        <w:jc w:val="left"/>
        <w:rPr>
          <w:rFonts w:ascii="宋体" w:hAnsi="宋体" w:eastAsia="宋体" w:cs="Times New Roman"/>
          <w:b/>
          <w:color w:val="000000"/>
          <w:szCs w:val="21"/>
        </w:rPr>
      </w:pPr>
    </w:p>
    <w:p w14:paraId="633834E5">
      <w:pPr>
        <w:ind w:firstLine="211" w:firstLineChars="100"/>
        <w:jc w:val="left"/>
        <w:rPr>
          <w:rFonts w:ascii="宋体" w:hAnsi="宋体" w:eastAsia="宋体" w:cs="Times New Roman"/>
          <w:b/>
          <w:color w:val="000000"/>
          <w:szCs w:val="21"/>
        </w:rPr>
      </w:pPr>
      <w:r>
        <w:rPr>
          <w:rFonts w:hint="eastAsia" w:ascii="宋体" w:hAnsi="宋体" w:eastAsia="宋体" w:cs="Times New Roman"/>
          <w:b/>
          <w:color w:val="000000"/>
          <w:szCs w:val="21"/>
        </w:rPr>
        <w:t>注：</w:t>
      </w:r>
    </w:p>
    <w:p w14:paraId="18029240">
      <w:pPr>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1. 若是联合体参与投标的，须提供本协议；</w:t>
      </w:r>
    </w:p>
    <w:p w14:paraId="39FDA829">
      <w:pPr>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2. 联合体投标的：联合体各方均需提供营业执照电子文档、法定代表人（或负责人）身份证电子文档、无重大违法记录声明书等相关材料。</w:t>
      </w:r>
    </w:p>
    <w:p w14:paraId="2E9BFDD6">
      <w:pPr>
        <w:pStyle w:val="123"/>
      </w:pPr>
    </w:p>
    <w:p w14:paraId="4E4CEA1C">
      <w:pPr>
        <w:pStyle w:val="24"/>
      </w:pPr>
    </w:p>
    <w:p w14:paraId="0963B32C"/>
    <w:p w14:paraId="6D69DEF2">
      <w:pPr>
        <w:pStyle w:val="123"/>
      </w:pPr>
    </w:p>
    <w:p w14:paraId="352EACD8">
      <w:pPr>
        <w:pStyle w:val="24"/>
      </w:pPr>
    </w:p>
    <w:p w14:paraId="2E2CDADC"/>
    <w:p w14:paraId="03A6F362">
      <w:pPr>
        <w:pStyle w:val="123"/>
      </w:pPr>
    </w:p>
    <w:p w14:paraId="3CE8242F">
      <w:pPr>
        <w:pStyle w:val="24"/>
      </w:pPr>
    </w:p>
    <w:p w14:paraId="251D71EB"/>
    <w:p w14:paraId="67CEBB0E">
      <w:pPr>
        <w:pStyle w:val="123"/>
      </w:pPr>
    </w:p>
    <w:p w14:paraId="27B29BFA">
      <w:pPr>
        <w:pStyle w:val="24"/>
      </w:pPr>
    </w:p>
    <w:p w14:paraId="7698CA42"/>
    <w:p w14:paraId="01091829">
      <w:pPr>
        <w:pStyle w:val="123"/>
      </w:pPr>
    </w:p>
    <w:p w14:paraId="0B067FBE">
      <w:pPr>
        <w:pStyle w:val="24"/>
      </w:pPr>
    </w:p>
    <w:p w14:paraId="3D37FBEB"/>
    <w:p w14:paraId="3849891E">
      <w:pPr>
        <w:pStyle w:val="123"/>
      </w:pPr>
    </w:p>
    <w:p w14:paraId="38E0142A">
      <w:pPr>
        <w:pStyle w:val="24"/>
      </w:pPr>
    </w:p>
    <w:p w14:paraId="6FFE907F"/>
    <w:p w14:paraId="351A3062">
      <w:pPr>
        <w:pStyle w:val="123"/>
      </w:pPr>
    </w:p>
    <w:p w14:paraId="55E95BA5">
      <w:pPr>
        <w:pStyle w:val="24"/>
      </w:pPr>
    </w:p>
    <w:p w14:paraId="4C5FC190"/>
    <w:p w14:paraId="7D4C25D9">
      <w:pPr>
        <w:pStyle w:val="123"/>
      </w:pPr>
    </w:p>
    <w:p w14:paraId="4982B750">
      <w:pPr>
        <w:pStyle w:val="24"/>
      </w:pPr>
    </w:p>
    <w:p w14:paraId="7210372A"/>
    <w:p w14:paraId="4C29C5E2">
      <w:pPr>
        <w:pStyle w:val="123"/>
      </w:pPr>
    </w:p>
    <w:p w14:paraId="239A5564">
      <w:pPr>
        <w:pStyle w:val="24"/>
      </w:pPr>
    </w:p>
    <w:p w14:paraId="1C078F9C">
      <w:pPr>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14:paraId="09D84B97">
      <w:pPr>
        <w:adjustRightInd w:val="0"/>
        <w:snapToGrid w:val="0"/>
        <w:spacing w:line="360" w:lineRule="auto"/>
        <w:ind w:firstLine="3373" w:firstLineChars="1400"/>
        <w:rPr>
          <w:rFonts w:ascii="宋体" w:hAnsi="宋体" w:eastAsia="宋体" w:cs="宋体"/>
          <w:b/>
          <w:kern w:val="0"/>
          <w:sz w:val="24"/>
          <w:szCs w:val="24"/>
        </w:rPr>
      </w:pPr>
    </w:p>
    <w:p w14:paraId="41C305EC">
      <w:pPr>
        <w:adjustRightInd w:val="0"/>
        <w:snapToGrid w:val="0"/>
        <w:spacing w:line="360" w:lineRule="auto"/>
        <w:ind w:firstLine="3373" w:firstLineChars="1400"/>
        <w:rPr>
          <w:rFonts w:ascii="宋体" w:hAnsi="宋体" w:eastAsia="宋体" w:cs="宋体"/>
          <w:b/>
          <w:kern w:val="0"/>
          <w:sz w:val="24"/>
          <w:szCs w:val="24"/>
        </w:rPr>
      </w:pPr>
      <w:r>
        <w:rPr>
          <w:rFonts w:hint="eastAsia" w:ascii="宋体" w:hAnsi="宋体" w:eastAsia="宋体" w:cs="宋体"/>
          <w:b/>
          <w:kern w:val="0"/>
          <w:sz w:val="24"/>
          <w:szCs w:val="24"/>
        </w:rPr>
        <w:t>分包意向协议</w:t>
      </w:r>
    </w:p>
    <w:p w14:paraId="36C30DA7">
      <w:pPr>
        <w:widowControl/>
        <w:adjustRightInd w:val="0"/>
        <w:spacing w:line="360" w:lineRule="auto"/>
        <w:ind w:firstLine="105" w:firstLineChars="50"/>
        <w:jc w:val="lef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中标后以分包方式履行合同的，提供分包意向协议；采购人不同意分包或者投标人中标后不以分包方式履行合同的，则不需要提供。</w:t>
      </w:r>
      <w:r>
        <w:rPr>
          <w:rFonts w:hint="eastAsia" w:ascii="宋体" w:hAnsi="宋体" w:eastAsia="宋体" w:cs="宋体"/>
          <w:szCs w:val="21"/>
        </w:rPr>
        <w:t>）</w:t>
      </w:r>
    </w:p>
    <w:p w14:paraId="6B3E74CE">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若成为</w:t>
      </w:r>
      <w:r>
        <w:rPr>
          <w:rFonts w:hint="eastAsia" w:ascii="宋体" w:hAnsi="宋体" w:eastAsia="宋体" w:cs="宋体"/>
          <w:szCs w:val="21"/>
        </w:rPr>
        <w:t>（项目名称）【招标编号：（采购编号）】</w:t>
      </w:r>
      <w:r>
        <w:rPr>
          <w:rFonts w:hint="eastAsia" w:ascii="宋体" w:hAnsi="宋体" w:eastAsia="宋体" w:cs="宋体"/>
          <w:kern w:val="0"/>
          <w:szCs w:val="21"/>
          <w:lang w:val="zh-CN"/>
        </w:rPr>
        <w:t>的中标供应商，将依法采取分包方式履行合同。</w:t>
      </w:r>
      <w:r>
        <w:rPr>
          <w:rFonts w:hint="eastAsia" w:ascii="宋体" w:hAnsi="宋体" w:eastAsia="宋体" w:cs="宋体"/>
          <w:kern w:val="0"/>
          <w:szCs w:val="21"/>
          <w:u w:val="single"/>
        </w:rPr>
        <w:t>（投标人名称）</w:t>
      </w:r>
      <w:r>
        <w:rPr>
          <w:rFonts w:hint="eastAsia" w:ascii="宋体" w:hAnsi="宋体" w:eastAsia="宋体" w:cs="宋体"/>
          <w:kern w:val="0"/>
          <w:szCs w:val="21"/>
        </w:rPr>
        <w:t>与</w:t>
      </w:r>
      <w:r>
        <w:rPr>
          <w:rFonts w:hint="eastAsia" w:ascii="宋体" w:hAnsi="宋体" w:eastAsia="宋体" w:cs="宋体"/>
          <w:kern w:val="0"/>
          <w:szCs w:val="21"/>
          <w:u w:val="single"/>
        </w:rPr>
        <w:t>（所有分包供应商名称）</w:t>
      </w:r>
      <w:r>
        <w:rPr>
          <w:rFonts w:hint="eastAsia" w:ascii="宋体" w:hAnsi="宋体" w:eastAsia="宋体" w:cs="宋体"/>
          <w:kern w:val="0"/>
          <w:szCs w:val="21"/>
        </w:rPr>
        <w:t>达成分包意向协议</w:t>
      </w:r>
      <w:r>
        <w:rPr>
          <w:rFonts w:hint="eastAsia" w:ascii="宋体" w:hAnsi="宋体" w:eastAsia="宋体" w:cs="宋体"/>
          <w:kern w:val="0"/>
          <w:szCs w:val="21"/>
          <w:lang w:val="zh-CN"/>
        </w:rPr>
        <w:t xml:space="preserve">。 </w:t>
      </w:r>
    </w:p>
    <w:p w14:paraId="6669EDB0">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一、分包标的及数量</w:t>
      </w:r>
    </w:p>
    <w:p w14:paraId="4FC6945A">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将</w:t>
      </w:r>
      <w:r>
        <w:rPr>
          <w:rFonts w:hint="eastAsia" w:ascii="宋体" w:hAnsi="宋体" w:eastAsia="宋体" w:cs="宋体"/>
          <w:szCs w:val="21"/>
          <w:u w:val="single"/>
        </w:rPr>
        <w:t xml:space="preserve">   XX工作内容   </w:t>
      </w:r>
      <w:r>
        <w:rPr>
          <w:rFonts w:hint="eastAsia" w:ascii="宋体" w:hAnsi="宋体" w:eastAsia="宋体" w:cs="宋体"/>
          <w:szCs w:val="21"/>
        </w:rPr>
        <w:t>分包给</w:t>
      </w:r>
      <w:r>
        <w:rPr>
          <w:rFonts w:hint="eastAsia" w:ascii="宋体" w:hAnsi="宋体" w:eastAsia="宋体" w:cs="宋体"/>
          <w:kern w:val="0"/>
          <w:szCs w:val="21"/>
          <w:u w:val="single"/>
        </w:rPr>
        <w:t>（某分包供应商名称）</w:t>
      </w:r>
      <w:r>
        <w:rPr>
          <w:rFonts w:hint="eastAsia" w:ascii="宋体" w:hAnsi="宋体" w:eastAsia="宋体" w:cs="宋体"/>
          <w:kern w:val="0"/>
          <w:szCs w:val="21"/>
          <w:lang w:val="zh-CN"/>
        </w:rPr>
        <w:t>，</w:t>
      </w:r>
      <w:r>
        <w:rPr>
          <w:rFonts w:hint="eastAsia" w:ascii="宋体" w:hAnsi="宋体" w:eastAsia="宋体" w:cs="宋体"/>
          <w:kern w:val="0"/>
          <w:szCs w:val="21"/>
          <w:u w:val="single"/>
        </w:rPr>
        <w:t>（某分包供应商名称），</w:t>
      </w:r>
      <w:r>
        <w:rPr>
          <w:rFonts w:hint="eastAsia" w:ascii="宋体" w:hAnsi="宋体" w:eastAsia="宋体" w:cs="宋体"/>
          <w:kern w:val="0"/>
          <w:szCs w:val="21"/>
          <w:lang w:val="zh-CN"/>
        </w:rPr>
        <w:t>具备承</w:t>
      </w:r>
      <w:r>
        <w:rPr>
          <w:rFonts w:hint="eastAsia" w:ascii="宋体" w:hAnsi="宋体" w:eastAsia="宋体" w:cs="宋体"/>
          <w:kern w:val="0"/>
          <w:szCs w:val="21"/>
        </w:rPr>
        <w:t>担</w:t>
      </w:r>
      <w:r>
        <w:rPr>
          <w:rFonts w:hint="eastAsia" w:ascii="宋体" w:hAnsi="宋体" w:eastAsia="宋体" w:cs="宋体"/>
          <w:kern w:val="0"/>
          <w:szCs w:val="21"/>
          <w:u w:val="single"/>
          <w:lang w:val="zh-CN"/>
        </w:rPr>
        <w:t>XX工作内容</w:t>
      </w:r>
      <w:r>
        <w:rPr>
          <w:rFonts w:hint="eastAsia" w:ascii="宋体" w:hAnsi="宋体" w:eastAsia="宋体" w:cs="宋体"/>
          <w:kern w:val="0"/>
          <w:szCs w:val="21"/>
          <w:lang w:val="zh-CN"/>
        </w:rPr>
        <w:t>相应资质条件且不得再次分包；</w:t>
      </w:r>
    </w:p>
    <w:p w14:paraId="40175F7C">
      <w:pPr>
        <w:keepNext/>
        <w:keepLines/>
        <w:tabs>
          <w:tab w:val="left" w:pos="432"/>
        </w:tabs>
        <w:spacing w:line="360" w:lineRule="auto"/>
        <w:ind w:left="664" w:leftChars="316" w:firstLine="200" w:firstLineChars="95"/>
        <w:jc w:val="left"/>
        <w:outlineLvl w:val="1"/>
        <w:rPr>
          <w:rFonts w:ascii="宋体" w:hAnsi="宋体" w:eastAsia="宋体" w:cs="宋体"/>
          <w:b/>
          <w:bCs/>
          <w:szCs w:val="21"/>
          <w:lang w:val="zh-CN"/>
        </w:rPr>
      </w:pPr>
      <w:r>
        <w:rPr>
          <w:rFonts w:hint="eastAsia" w:ascii="宋体" w:hAnsi="宋体" w:eastAsia="宋体" w:cs="宋体"/>
          <w:b/>
          <w:bCs/>
          <w:kern w:val="0"/>
          <w:szCs w:val="21"/>
          <w:lang w:val="zh-CN"/>
        </w:rPr>
        <w:t>……</w:t>
      </w:r>
    </w:p>
    <w:p w14:paraId="1834B27E">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二、分包工作履行期限、地点、方式</w:t>
      </w:r>
    </w:p>
    <w:p w14:paraId="66C4408C">
      <w:pPr>
        <w:adjustRightInd w:val="0"/>
        <w:snapToGrid w:val="0"/>
        <w:spacing w:line="360" w:lineRule="auto"/>
        <w:ind w:firstLine="576"/>
        <w:rPr>
          <w:rFonts w:ascii="宋体" w:hAnsi="宋体" w:eastAsia="宋体" w:cs="宋体"/>
          <w:szCs w:val="21"/>
          <w:u w:val="single"/>
        </w:rPr>
      </w:pPr>
      <w:r>
        <w:rPr>
          <w:rFonts w:hint="eastAsia" w:ascii="宋体" w:hAnsi="宋体" w:eastAsia="宋体" w:cs="宋体"/>
          <w:szCs w:val="21"/>
          <w:u w:val="single"/>
        </w:rPr>
        <w:t xml:space="preserve">                                                                           </w:t>
      </w:r>
    </w:p>
    <w:p w14:paraId="41C13426">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三、质量</w:t>
      </w:r>
    </w:p>
    <w:p w14:paraId="0E959A4B">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szCs w:val="21"/>
          <w:u w:val="single"/>
        </w:rPr>
        <w:t xml:space="preserve">                                                                            </w:t>
      </w:r>
    </w:p>
    <w:p w14:paraId="7F11F568">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四、价款或者报酬</w:t>
      </w:r>
    </w:p>
    <w:p w14:paraId="40601AEA">
      <w:pPr>
        <w:adjustRightInd w:val="0"/>
        <w:snapToGrid w:val="0"/>
        <w:spacing w:line="360" w:lineRule="auto"/>
        <w:ind w:left="573" w:leftChars="273"/>
        <w:rPr>
          <w:rFonts w:ascii="宋体" w:hAnsi="宋体" w:eastAsia="宋体" w:cs="宋体"/>
          <w:kern w:val="0"/>
          <w:szCs w:val="21"/>
          <w:lang w:val="zh-CN"/>
        </w:rPr>
      </w:pPr>
      <w:r>
        <w:rPr>
          <w:rFonts w:hint="eastAsia" w:ascii="宋体" w:hAnsi="宋体" w:eastAsia="宋体" w:cs="宋体"/>
          <w:szCs w:val="21"/>
          <w:u w:val="single"/>
        </w:rPr>
        <w:t xml:space="preserve">                                                                           </w:t>
      </w:r>
    </w:p>
    <w:p w14:paraId="52230B2C">
      <w:pPr>
        <w:adjustRightInd w:val="0"/>
        <w:snapToGrid w:val="0"/>
        <w:spacing w:line="360" w:lineRule="auto"/>
        <w:ind w:left="573" w:leftChars="273"/>
        <w:rPr>
          <w:rFonts w:ascii="宋体" w:hAnsi="宋体" w:eastAsia="宋体" w:cs="宋体"/>
          <w:kern w:val="0"/>
          <w:szCs w:val="21"/>
          <w:lang w:val="zh-CN"/>
        </w:rPr>
      </w:pPr>
      <w:r>
        <w:rPr>
          <w:rFonts w:hint="eastAsia" w:ascii="宋体" w:hAnsi="宋体" w:eastAsia="宋体" w:cs="宋体"/>
          <w:kern w:val="0"/>
          <w:szCs w:val="21"/>
          <w:lang w:val="zh-CN"/>
        </w:rPr>
        <w:t>五、违约责任</w:t>
      </w:r>
    </w:p>
    <w:p w14:paraId="195A2A5A">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szCs w:val="21"/>
          <w:u w:val="single"/>
        </w:rPr>
        <w:t xml:space="preserve">                                                                          </w:t>
      </w:r>
    </w:p>
    <w:p w14:paraId="601060F7">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六、争议解决的办法</w:t>
      </w:r>
    </w:p>
    <w:p w14:paraId="53E346CB">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szCs w:val="21"/>
          <w:u w:val="single"/>
        </w:rPr>
        <w:t xml:space="preserve">                                                                          </w:t>
      </w:r>
    </w:p>
    <w:p w14:paraId="7E847C1A">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七、其他</w:t>
      </w:r>
    </w:p>
    <w:p w14:paraId="52ADC54D">
      <w:pPr>
        <w:adjustRightInd w:val="0"/>
        <w:snapToGrid w:val="0"/>
        <w:spacing w:line="360" w:lineRule="auto"/>
        <w:ind w:left="5128" w:leftChars="342" w:hanging="4410" w:hangingChars="2100"/>
        <w:rPr>
          <w:rFonts w:ascii="宋体" w:hAnsi="宋体" w:eastAsia="宋体" w:cs="宋体"/>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                                           </w:t>
      </w:r>
    </w:p>
    <w:p w14:paraId="03671419">
      <w:pPr>
        <w:adjustRightInd w:val="0"/>
        <w:snapToGrid w:val="0"/>
        <w:spacing w:line="360" w:lineRule="auto"/>
        <w:rPr>
          <w:rFonts w:ascii="宋体" w:hAnsi="宋体" w:eastAsia="宋体" w:cs="宋体"/>
          <w:kern w:val="0"/>
          <w:szCs w:val="21"/>
          <w:lang w:val="zh-CN"/>
        </w:rPr>
      </w:pPr>
    </w:p>
    <w:p w14:paraId="544454F0">
      <w:pPr>
        <w:adjustRightInd w:val="0"/>
        <w:snapToGrid w:val="0"/>
        <w:spacing w:line="360" w:lineRule="auto"/>
        <w:ind w:left="5128" w:leftChars="2342" w:hanging="210" w:hangingChars="100"/>
        <w:rPr>
          <w:rFonts w:ascii="宋体" w:hAnsi="宋体" w:eastAsia="宋体" w:cs="宋体"/>
          <w:kern w:val="0"/>
          <w:szCs w:val="21"/>
          <w:lang w:val="zh-CN"/>
        </w:rPr>
      </w:pPr>
      <w:r>
        <w:rPr>
          <w:rFonts w:hint="eastAsia" w:ascii="宋体" w:hAnsi="宋体" w:eastAsia="宋体" w:cs="宋体"/>
          <w:kern w:val="0"/>
          <w:szCs w:val="21"/>
          <w:lang w:val="zh-CN"/>
        </w:rPr>
        <w:t>投标人名称(电子签名)：</w:t>
      </w:r>
    </w:p>
    <w:p w14:paraId="3FDE1A2F">
      <w:pPr>
        <w:adjustRightInd w:val="0"/>
        <w:snapToGrid w:val="0"/>
        <w:spacing w:line="360" w:lineRule="auto"/>
        <w:ind w:firstLine="4935" w:firstLineChars="2350"/>
        <w:rPr>
          <w:rFonts w:ascii="宋体" w:hAnsi="宋体" w:eastAsia="宋体" w:cs="宋体"/>
          <w:kern w:val="0"/>
          <w:szCs w:val="21"/>
          <w:lang w:val="zh-CN"/>
        </w:rPr>
      </w:pPr>
      <w:r>
        <w:rPr>
          <w:rFonts w:hint="eastAsia" w:ascii="宋体" w:hAnsi="宋体" w:eastAsia="宋体" w:cs="宋体"/>
          <w:kern w:val="0"/>
          <w:szCs w:val="21"/>
          <w:lang w:val="zh-CN"/>
        </w:rPr>
        <w:t>分包供应商名称：</w:t>
      </w:r>
    </w:p>
    <w:p w14:paraId="5A2987C7">
      <w:pPr>
        <w:adjustRightInd w:val="0"/>
        <w:snapToGrid w:val="0"/>
        <w:spacing w:line="360" w:lineRule="auto"/>
        <w:ind w:firstLine="5040" w:firstLineChars="2400"/>
        <w:rPr>
          <w:rFonts w:ascii="宋体" w:hAnsi="宋体" w:eastAsia="宋体" w:cs="宋体"/>
          <w:szCs w:val="21"/>
        </w:rPr>
      </w:pPr>
      <w:r>
        <w:rPr>
          <w:rFonts w:hint="eastAsia" w:ascii="宋体" w:hAnsi="宋体" w:eastAsia="宋体" w:cs="宋体"/>
          <w:kern w:val="0"/>
          <w:szCs w:val="21"/>
          <w:lang w:val="zh-CN"/>
        </w:rPr>
        <w:t>……</w:t>
      </w:r>
    </w:p>
    <w:p w14:paraId="38320B2E">
      <w:pPr>
        <w:adjustRightInd w:val="0"/>
        <w:spacing w:line="360" w:lineRule="auto"/>
        <w:jc w:val="center"/>
      </w:pPr>
      <w:r>
        <w:rPr>
          <w:rFonts w:hint="eastAsia" w:ascii="宋体" w:hAnsi="宋体" w:eastAsia="宋体" w:cs="宋体"/>
          <w:kern w:val="0"/>
          <w:szCs w:val="21"/>
          <w:lang w:val="zh-CN"/>
        </w:rPr>
        <w:t xml:space="preserve">                                        日期：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方正书宋_GBK">
    <w:altName w:val="微软雅黑"/>
    <w:panose1 w:val="02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使用中文字体)">
    <w:altName w:val="华文仿宋"/>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roman"/>
    <w:pitch w:val="default"/>
    <w:sig w:usb0="00000000" w:usb1="00000000" w:usb2="0000003F" w:usb3="00000000" w:csb0="603F01FF" w:csb1="FFFF0000"/>
  </w:font>
  <w:font w:name="DejaVu Sans">
    <w:altName w:val="Segoe Print"/>
    <w:panose1 w:val="020B0603030804020204"/>
    <w:charset w:val="00"/>
    <w:family w:val="auto"/>
    <w:pitch w:val="default"/>
    <w:sig w:usb0="00000000" w:usb1="00000000" w:usb2="0A246029" w:usb3="0400200C" w:csb0="600001FF" w:csb1="DFFF0000"/>
  </w:font>
  <w:font w:name="Cambria">
    <w:panose1 w:val="02040503050406030204"/>
    <w:charset w:val="00"/>
    <w:family w:val="roman"/>
    <w:pitch w:val="default"/>
    <w:sig w:usb0="E00006FF" w:usb1="420024FF" w:usb2="02000000" w:usb3="00000000" w:csb0="2000019F" w:csb1="00000000"/>
  </w:font>
  <w:font w:name="方正大黑简体">
    <w:altName w:val="黑体"/>
    <w:panose1 w:val="00000000000000000000"/>
    <w:charset w:val="86"/>
    <w:family w:val="script"/>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华文仿宋"/>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Liberation Sans">
    <w:altName w:val="Segoe Print"/>
    <w:panose1 w:val="00000000000000000000"/>
    <w:charset w:val="00"/>
    <w:family w:val="auto"/>
    <w:pitch w:val="default"/>
    <w:sig w:usb0="00000000" w:usb1="00000000" w:usb2="00000000" w:usb3="00000000" w:csb0="00000000" w:csb1="00000000"/>
  </w:font>
  <w:font w:name="Stone Sans">
    <w:altName w:val="华文仿宋"/>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华文仿宋"/>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Droid Sans Fallback">
    <w:altName w:val="Segoe Print"/>
    <w:panose1 w:val="00000000000000000000"/>
    <w:charset w:val="00"/>
    <w:family w:val="auto"/>
    <w:pitch w:val="default"/>
    <w:sig w:usb0="00000000" w:usb1="00000000" w:usb2="00000000" w:usb3="00000000" w:csb0="00000000" w:csb1="00000000"/>
  </w:font>
  <w:font w:name="HP Simplified Hans Light">
    <w:altName w:val="华文仿宋"/>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Microsoft JhengHei">
    <w:panose1 w:val="020B0604030504040204"/>
    <w:charset w:val="88"/>
    <w:family w:val="auto"/>
    <w:pitch w:val="default"/>
    <w:sig w:usb0="0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3785737"/>
    </w:sdtPr>
    <w:sdtContent>
      <w:p w14:paraId="1124EAB0">
        <w:pPr>
          <w:pStyle w:val="41"/>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7AFB96FD">
    <w:pPr>
      <w:pStyle w:val="4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589CB">
    <w:pPr>
      <w:pStyle w:val="42"/>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7"/>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39"/>
      <w:lvlText w:val=""/>
      <w:lvlJc w:val="left"/>
      <w:pPr>
        <w:tabs>
          <w:tab w:val="left" w:pos="360"/>
        </w:tabs>
        <w:ind w:left="360" w:hanging="360"/>
      </w:pPr>
      <w:rPr>
        <w:rFonts w:hint="default" w:ascii="Wingdings" w:hAnsi="Wingdings"/>
      </w:rPr>
    </w:lvl>
  </w:abstractNum>
  <w:abstractNum w:abstractNumId="2">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3">
    <w:nsid w:val="00000009"/>
    <w:multiLevelType w:val="multilevel"/>
    <w:tmpl w:val="00000009"/>
    <w:lvl w:ilvl="0" w:tentative="0">
      <w:start w:val="1"/>
      <w:numFmt w:val="japaneseCounting"/>
      <w:pStyle w:val="409"/>
      <w:suff w:val="nothing"/>
      <w:lvlText w:val="%1、"/>
      <w:lvlJc w:val="left"/>
      <w:pPr>
        <w:ind w:left="0" w:firstLine="0"/>
      </w:pPr>
      <w:rPr>
        <w:rFonts w:hint="eastAsia" w:ascii="宋体" w:eastAsia="宋体"/>
        <w:b/>
        <w:i w:val="0"/>
        <w:sz w:val="28"/>
      </w:rPr>
    </w:lvl>
    <w:lvl w:ilvl="1" w:tentative="0">
      <w:start w:val="1"/>
      <w:numFmt w:val="japaneseCounting"/>
      <w:pStyle w:val="407"/>
      <w:suff w:val="nothing"/>
      <w:lvlText w:val="（%2）"/>
      <w:lvlJc w:val="left"/>
      <w:pPr>
        <w:ind w:left="0" w:firstLine="0"/>
      </w:pPr>
      <w:rPr>
        <w:rFonts w:hint="eastAsia" w:ascii="宋体" w:eastAsia="宋体"/>
        <w:b/>
        <w:i w:val="0"/>
        <w:sz w:val="24"/>
      </w:rPr>
    </w:lvl>
    <w:lvl w:ilvl="2" w:tentative="0">
      <w:start w:val="1"/>
      <w:numFmt w:val="decimal"/>
      <w:pStyle w:val="405"/>
      <w:lvlText w:val="%1.%2.%3"/>
      <w:lvlJc w:val="left"/>
      <w:pPr>
        <w:ind w:left="0" w:firstLine="0"/>
      </w:pPr>
      <w:rPr>
        <w:rFonts w:hint="eastAsia" w:ascii="宋体" w:eastAsia="宋体"/>
        <w:b/>
        <w:i w:val="0"/>
        <w:sz w:val="24"/>
      </w:rPr>
    </w:lvl>
    <w:lvl w:ilvl="3" w:tentative="0">
      <w:start w:val="1"/>
      <w:numFmt w:val="decimal"/>
      <w:pStyle w:val="404"/>
      <w:lvlText w:val="%1.%2.%3.%4"/>
      <w:lvlJc w:val="left"/>
      <w:pPr>
        <w:ind w:left="0" w:firstLine="0"/>
      </w:pPr>
      <w:rPr>
        <w:rFonts w:hint="eastAsia" w:ascii="宋体" w:eastAsia="宋体"/>
        <w:b/>
        <w:i w:val="0"/>
        <w:sz w:val="21"/>
      </w:rPr>
    </w:lvl>
    <w:lvl w:ilvl="4" w:tentative="0">
      <w:start w:val="1"/>
      <w:numFmt w:val="lowerLetter"/>
      <w:pStyle w:val="713"/>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0000000A"/>
    <w:multiLevelType w:val="multilevel"/>
    <w:tmpl w:val="0000000A"/>
    <w:lvl w:ilvl="0" w:tentative="0">
      <w:start w:val="1"/>
      <w:numFmt w:val="decimal"/>
      <w:pStyle w:val="381"/>
      <w:suff w:val="space"/>
      <w:lvlText w:val="%1."/>
      <w:lvlJc w:val="left"/>
      <w:pPr>
        <w:ind w:left="0" w:firstLine="403"/>
      </w:pPr>
      <w:rPr>
        <w:rFonts w:hint="eastAsia" w:ascii="宋体" w:eastAsia="宋体"/>
        <w:b/>
        <w:i w:val="0"/>
        <w:vanish/>
        <w:color w:val="000000"/>
        <w:spacing w:val="0"/>
        <w:w w:val="100"/>
        <w:ker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vanish/>
        <w:color w:val="000000"/>
        <w:sz w:val="21"/>
        <w:vertAlign w:val="baseline"/>
      </w:rPr>
    </w:lvl>
    <w:lvl w:ilvl="2" w:tentative="0">
      <w:start w:val="1"/>
      <w:numFmt w:val="decimal"/>
      <w:pStyle w:val="667"/>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ADC6A9"/>
    <w:multiLevelType w:val="singleLevel"/>
    <w:tmpl w:val="0AADC6A9"/>
    <w:lvl w:ilvl="0" w:tentative="0">
      <w:start w:val="2"/>
      <w:numFmt w:val="chineseCounting"/>
      <w:suff w:val="space"/>
      <w:lvlText w:val="第%1章"/>
      <w:lvlJc w:val="left"/>
      <w:rPr>
        <w:rFonts w:hint="eastAsia"/>
      </w:rPr>
    </w:lvl>
  </w:abstractNum>
  <w:abstractNum w:abstractNumId="6">
    <w:nsid w:val="0C34DE15"/>
    <w:multiLevelType w:val="singleLevel"/>
    <w:tmpl w:val="0C34DE15"/>
    <w:lvl w:ilvl="0" w:tentative="0">
      <w:start w:val="1"/>
      <w:numFmt w:val="decimal"/>
      <w:lvlText w:val="%1."/>
      <w:lvlJc w:val="left"/>
      <w:pPr>
        <w:tabs>
          <w:tab w:val="left" w:pos="312"/>
        </w:tabs>
      </w:pPr>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2811445A"/>
    <w:multiLevelType w:val="multilevel"/>
    <w:tmpl w:val="2811445A"/>
    <w:lvl w:ilvl="0" w:tentative="0">
      <w:start w:val="1"/>
      <w:numFmt w:val="decimalEnclosedCircle"/>
      <w:pStyle w:val="15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9">
    <w:nsid w:val="4DD4552D"/>
    <w:multiLevelType w:val="singleLevel"/>
    <w:tmpl w:val="4DD4552D"/>
    <w:lvl w:ilvl="0" w:tentative="0">
      <w:start w:val="1"/>
      <w:numFmt w:val="decimal"/>
      <w:lvlText w:val="%1."/>
      <w:lvlJc w:val="left"/>
      <w:pPr>
        <w:tabs>
          <w:tab w:val="left" w:pos="312"/>
        </w:tabs>
      </w:pPr>
    </w:lvl>
  </w:abstractNum>
  <w:abstractNum w:abstractNumId="10">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8"/>
  </w:num>
  <w:num w:numId="4">
    <w:abstractNumId w:val="4"/>
  </w:num>
  <w:num w:numId="5">
    <w:abstractNumId w:val="3"/>
  </w:num>
  <w:num w:numId="6">
    <w:abstractNumId w:val="2"/>
  </w:num>
  <w:num w:numId="7">
    <w:abstractNumId w:val="5"/>
  </w:num>
  <w:num w:numId="8">
    <w:abstractNumId w:val="10"/>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43"/>
    <w:rsid w:val="000324A9"/>
    <w:rsid w:val="000C024B"/>
    <w:rsid w:val="000E5D71"/>
    <w:rsid w:val="00110CCD"/>
    <w:rsid w:val="00190CED"/>
    <w:rsid w:val="001D590A"/>
    <w:rsid w:val="00317195"/>
    <w:rsid w:val="00361144"/>
    <w:rsid w:val="00391EBB"/>
    <w:rsid w:val="005065E3"/>
    <w:rsid w:val="00593528"/>
    <w:rsid w:val="005B4958"/>
    <w:rsid w:val="0060644A"/>
    <w:rsid w:val="006A09B5"/>
    <w:rsid w:val="00732951"/>
    <w:rsid w:val="00762C56"/>
    <w:rsid w:val="007B700F"/>
    <w:rsid w:val="00870543"/>
    <w:rsid w:val="008918D5"/>
    <w:rsid w:val="008C42AC"/>
    <w:rsid w:val="008F6EB2"/>
    <w:rsid w:val="009137E8"/>
    <w:rsid w:val="00944583"/>
    <w:rsid w:val="00977A59"/>
    <w:rsid w:val="009D373B"/>
    <w:rsid w:val="00A102A3"/>
    <w:rsid w:val="00A13FC2"/>
    <w:rsid w:val="00A4309C"/>
    <w:rsid w:val="00A5335D"/>
    <w:rsid w:val="00AA3968"/>
    <w:rsid w:val="00AC0D40"/>
    <w:rsid w:val="00B27A30"/>
    <w:rsid w:val="00B47108"/>
    <w:rsid w:val="00BF5A71"/>
    <w:rsid w:val="00C033F8"/>
    <w:rsid w:val="00C130B7"/>
    <w:rsid w:val="00C61D75"/>
    <w:rsid w:val="00C62906"/>
    <w:rsid w:val="00DF3269"/>
    <w:rsid w:val="00ED0039"/>
    <w:rsid w:val="00EE241A"/>
    <w:rsid w:val="00EE7D64"/>
    <w:rsid w:val="00F94E34"/>
    <w:rsid w:val="00FA0B5E"/>
    <w:rsid w:val="010B405F"/>
    <w:rsid w:val="01175CF0"/>
    <w:rsid w:val="01DD59FB"/>
    <w:rsid w:val="021D7EAB"/>
    <w:rsid w:val="02587777"/>
    <w:rsid w:val="02A36C44"/>
    <w:rsid w:val="02B524D4"/>
    <w:rsid w:val="02BF77F6"/>
    <w:rsid w:val="03080BBF"/>
    <w:rsid w:val="035318F1"/>
    <w:rsid w:val="0363562F"/>
    <w:rsid w:val="044F52FC"/>
    <w:rsid w:val="049329AF"/>
    <w:rsid w:val="049B69AA"/>
    <w:rsid w:val="060A0D89"/>
    <w:rsid w:val="06116966"/>
    <w:rsid w:val="06565D7C"/>
    <w:rsid w:val="06A411DD"/>
    <w:rsid w:val="06AA79E7"/>
    <w:rsid w:val="071B7485"/>
    <w:rsid w:val="07287718"/>
    <w:rsid w:val="074E2EF7"/>
    <w:rsid w:val="07F4133C"/>
    <w:rsid w:val="08233634"/>
    <w:rsid w:val="085E046B"/>
    <w:rsid w:val="086A5B0F"/>
    <w:rsid w:val="08B651F8"/>
    <w:rsid w:val="08CA47FF"/>
    <w:rsid w:val="09A03EDE"/>
    <w:rsid w:val="09D92F4C"/>
    <w:rsid w:val="0A023D40"/>
    <w:rsid w:val="0A8455AD"/>
    <w:rsid w:val="0AB1211B"/>
    <w:rsid w:val="0AF142C5"/>
    <w:rsid w:val="0B1306DF"/>
    <w:rsid w:val="0B2621C1"/>
    <w:rsid w:val="0B292690"/>
    <w:rsid w:val="0B420FC5"/>
    <w:rsid w:val="0B7E024F"/>
    <w:rsid w:val="0B8943EC"/>
    <w:rsid w:val="0BD31C1D"/>
    <w:rsid w:val="0BDC471D"/>
    <w:rsid w:val="0C720D19"/>
    <w:rsid w:val="0CAC2B9A"/>
    <w:rsid w:val="0CE95936"/>
    <w:rsid w:val="0D10137A"/>
    <w:rsid w:val="0DA16476"/>
    <w:rsid w:val="0DF30354"/>
    <w:rsid w:val="0E0D1416"/>
    <w:rsid w:val="0E7C59F6"/>
    <w:rsid w:val="0EBA3059"/>
    <w:rsid w:val="0F184516"/>
    <w:rsid w:val="0F2B249C"/>
    <w:rsid w:val="0F9B5FB9"/>
    <w:rsid w:val="0FA97864"/>
    <w:rsid w:val="0FBA55CD"/>
    <w:rsid w:val="0FBF21AF"/>
    <w:rsid w:val="0FC71A98"/>
    <w:rsid w:val="0FFF1B14"/>
    <w:rsid w:val="100B1942"/>
    <w:rsid w:val="1030763E"/>
    <w:rsid w:val="10390BE8"/>
    <w:rsid w:val="10D4446D"/>
    <w:rsid w:val="11333889"/>
    <w:rsid w:val="113A06B7"/>
    <w:rsid w:val="115F642C"/>
    <w:rsid w:val="11D337D5"/>
    <w:rsid w:val="120A31AF"/>
    <w:rsid w:val="127F665A"/>
    <w:rsid w:val="12922832"/>
    <w:rsid w:val="12B85355"/>
    <w:rsid w:val="12FC7CAB"/>
    <w:rsid w:val="130628D8"/>
    <w:rsid w:val="13103164"/>
    <w:rsid w:val="133B4C77"/>
    <w:rsid w:val="138A0D2C"/>
    <w:rsid w:val="14101C60"/>
    <w:rsid w:val="14627FE2"/>
    <w:rsid w:val="146D2C0E"/>
    <w:rsid w:val="14942891"/>
    <w:rsid w:val="149F45AB"/>
    <w:rsid w:val="14CF1EDA"/>
    <w:rsid w:val="1537A56A"/>
    <w:rsid w:val="15671390"/>
    <w:rsid w:val="15841F2E"/>
    <w:rsid w:val="158D573D"/>
    <w:rsid w:val="15DE7320"/>
    <w:rsid w:val="15E05CA0"/>
    <w:rsid w:val="16124FC0"/>
    <w:rsid w:val="163360DA"/>
    <w:rsid w:val="17123F41"/>
    <w:rsid w:val="17776C33"/>
    <w:rsid w:val="17CC015A"/>
    <w:rsid w:val="17DE5237"/>
    <w:rsid w:val="180C273E"/>
    <w:rsid w:val="18754787"/>
    <w:rsid w:val="18A961DF"/>
    <w:rsid w:val="18FD18AF"/>
    <w:rsid w:val="191C2E55"/>
    <w:rsid w:val="191C79EE"/>
    <w:rsid w:val="19B525C4"/>
    <w:rsid w:val="19DB5873"/>
    <w:rsid w:val="19EC5264"/>
    <w:rsid w:val="1A3B18B2"/>
    <w:rsid w:val="1B9A692C"/>
    <w:rsid w:val="1C2D7127"/>
    <w:rsid w:val="1C5F753A"/>
    <w:rsid w:val="1CF814E3"/>
    <w:rsid w:val="1D6E17A5"/>
    <w:rsid w:val="1D772D50"/>
    <w:rsid w:val="1DBE7418"/>
    <w:rsid w:val="1DCD090C"/>
    <w:rsid w:val="1DFF13D1"/>
    <w:rsid w:val="1E153C46"/>
    <w:rsid w:val="1E493F35"/>
    <w:rsid w:val="1E544E3F"/>
    <w:rsid w:val="1ECE002B"/>
    <w:rsid w:val="1F0E4FEE"/>
    <w:rsid w:val="1F262091"/>
    <w:rsid w:val="1F8E183E"/>
    <w:rsid w:val="1FA616CA"/>
    <w:rsid w:val="1FDD217F"/>
    <w:rsid w:val="1FFBC3CA"/>
    <w:rsid w:val="1FFDB192"/>
    <w:rsid w:val="20E21E67"/>
    <w:rsid w:val="20F956A3"/>
    <w:rsid w:val="214F4619"/>
    <w:rsid w:val="219F0AC7"/>
    <w:rsid w:val="21AE49CD"/>
    <w:rsid w:val="21FF5260"/>
    <w:rsid w:val="22300EFE"/>
    <w:rsid w:val="2234120F"/>
    <w:rsid w:val="225278E7"/>
    <w:rsid w:val="226E1C50"/>
    <w:rsid w:val="228A7081"/>
    <w:rsid w:val="233A4603"/>
    <w:rsid w:val="234611FA"/>
    <w:rsid w:val="23922691"/>
    <w:rsid w:val="23D90D87"/>
    <w:rsid w:val="24417C14"/>
    <w:rsid w:val="244871F4"/>
    <w:rsid w:val="24665C34"/>
    <w:rsid w:val="24930C6C"/>
    <w:rsid w:val="25004CDC"/>
    <w:rsid w:val="252A72C7"/>
    <w:rsid w:val="258B71D7"/>
    <w:rsid w:val="25B6018D"/>
    <w:rsid w:val="26451C3D"/>
    <w:rsid w:val="26CA3EF0"/>
    <w:rsid w:val="26D7ADB8"/>
    <w:rsid w:val="26DA7CC8"/>
    <w:rsid w:val="26DC3C24"/>
    <w:rsid w:val="270A0791"/>
    <w:rsid w:val="27231852"/>
    <w:rsid w:val="27335F39"/>
    <w:rsid w:val="279A1B15"/>
    <w:rsid w:val="27A978AC"/>
    <w:rsid w:val="27DFE105"/>
    <w:rsid w:val="27E77E92"/>
    <w:rsid w:val="27EB15ED"/>
    <w:rsid w:val="27F05BD9"/>
    <w:rsid w:val="284E28FF"/>
    <w:rsid w:val="288A7DDB"/>
    <w:rsid w:val="28F2772E"/>
    <w:rsid w:val="290D3741"/>
    <w:rsid w:val="29335E4A"/>
    <w:rsid w:val="296A6842"/>
    <w:rsid w:val="29A9603F"/>
    <w:rsid w:val="2A3E3361"/>
    <w:rsid w:val="2A5341FD"/>
    <w:rsid w:val="2AF43C32"/>
    <w:rsid w:val="2B3C6E41"/>
    <w:rsid w:val="2B3E7775"/>
    <w:rsid w:val="2B4104F9"/>
    <w:rsid w:val="2B4A628A"/>
    <w:rsid w:val="2B66D6AC"/>
    <w:rsid w:val="2B844556"/>
    <w:rsid w:val="2B980A61"/>
    <w:rsid w:val="2C4643B2"/>
    <w:rsid w:val="2CCFFF32"/>
    <w:rsid w:val="2CD0422B"/>
    <w:rsid w:val="2D480265"/>
    <w:rsid w:val="2DA13936"/>
    <w:rsid w:val="2DA46D03"/>
    <w:rsid w:val="2DB7F487"/>
    <w:rsid w:val="2E179318"/>
    <w:rsid w:val="2E512904"/>
    <w:rsid w:val="2E6B020F"/>
    <w:rsid w:val="2E8F5560"/>
    <w:rsid w:val="2EEB0EA8"/>
    <w:rsid w:val="2EF04B1B"/>
    <w:rsid w:val="2EFF6AEA"/>
    <w:rsid w:val="2F1E5623"/>
    <w:rsid w:val="2F4607D4"/>
    <w:rsid w:val="2F7FC686"/>
    <w:rsid w:val="2FE53B32"/>
    <w:rsid w:val="2FF1D2CA"/>
    <w:rsid w:val="2FF208D7"/>
    <w:rsid w:val="301835C2"/>
    <w:rsid w:val="30201851"/>
    <w:rsid w:val="303A20E7"/>
    <w:rsid w:val="30FC114A"/>
    <w:rsid w:val="317F2F39"/>
    <w:rsid w:val="31A015E2"/>
    <w:rsid w:val="31B053AA"/>
    <w:rsid w:val="3234700A"/>
    <w:rsid w:val="32625925"/>
    <w:rsid w:val="33077D57"/>
    <w:rsid w:val="333911A3"/>
    <w:rsid w:val="33A04957"/>
    <w:rsid w:val="344277BC"/>
    <w:rsid w:val="34BF38DC"/>
    <w:rsid w:val="352C4C4B"/>
    <w:rsid w:val="3592207D"/>
    <w:rsid w:val="35DF103A"/>
    <w:rsid w:val="35FF3A3F"/>
    <w:rsid w:val="3659703F"/>
    <w:rsid w:val="36D9C61A"/>
    <w:rsid w:val="36EC75AB"/>
    <w:rsid w:val="377E9824"/>
    <w:rsid w:val="379E1FEC"/>
    <w:rsid w:val="37A97B52"/>
    <w:rsid w:val="3801798E"/>
    <w:rsid w:val="380D00E1"/>
    <w:rsid w:val="384D6EE1"/>
    <w:rsid w:val="38FE7A29"/>
    <w:rsid w:val="397F6A9B"/>
    <w:rsid w:val="399DA89F"/>
    <w:rsid w:val="39E9692C"/>
    <w:rsid w:val="3A175247"/>
    <w:rsid w:val="3A29194C"/>
    <w:rsid w:val="3A317D52"/>
    <w:rsid w:val="3A5E6F6F"/>
    <w:rsid w:val="3A7F6850"/>
    <w:rsid w:val="3AC80887"/>
    <w:rsid w:val="3AFBF0DA"/>
    <w:rsid w:val="3B270AC4"/>
    <w:rsid w:val="3B9A612F"/>
    <w:rsid w:val="3BAA5C47"/>
    <w:rsid w:val="3BAB53B6"/>
    <w:rsid w:val="3BFB985B"/>
    <w:rsid w:val="3D3B2FFA"/>
    <w:rsid w:val="3D3CC561"/>
    <w:rsid w:val="3D6EE92E"/>
    <w:rsid w:val="3D6F636F"/>
    <w:rsid w:val="3D771CA4"/>
    <w:rsid w:val="3D956BAE"/>
    <w:rsid w:val="3DFFECCC"/>
    <w:rsid w:val="3EE3D0D5"/>
    <w:rsid w:val="3FBD3F9C"/>
    <w:rsid w:val="3FBF43B6"/>
    <w:rsid w:val="3FCFE705"/>
    <w:rsid w:val="3FDE88BE"/>
    <w:rsid w:val="3FEB6B5A"/>
    <w:rsid w:val="3FEF72B2"/>
    <w:rsid w:val="3FF22C1F"/>
    <w:rsid w:val="3FF546F8"/>
    <w:rsid w:val="3FFD6304"/>
    <w:rsid w:val="3FFE05B6"/>
    <w:rsid w:val="3FFF12A5"/>
    <w:rsid w:val="3FFF2CBB"/>
    <w:rsid w:val="3FFF6D5F"/>
    <w:rsid w:val="40073668"/>
    <w:rsid w:val="40152228"/>
    <w:rsid w:val="40356162"/>
    <w:rsid w:val="407D392A"/>
    <w:rsid w:val="40880C4C"/>
    <w:rsid w:val="409C46F8"/>
    <w:rsid w:val="4111127A"/>
    <w:rsid w:val="412A1D04"/>
    <w:rsid w:val="41717932"/>
    <w:rsid w:val="425525EC"/>
    <w:rsid w:val="426F3144"/>
    <w:rsid w:val="42957651"/>
    <w:rsid w:val="429612A3"/>
    <w:rsid w:val="42F02AD9"/>
    <w:rsid w:val="42FF2D1C"/>
    <w:rsid w:val="43124313"/>
    <w:rsid w:val="433E1A96"/>
    <w:rsid w:val="43E4772A"/>
    <w:rsid w:val="443A225E"/>
    <w:rsid w:val="447435D8"/>
    <w:rsid w:val="451900C5"/>
    <w:rsid w:val="45801494"/>
    <w:rsid w:val="45FA0230"/>
    <w:rsid w:val="464F265E"/>
    <w:rsid w:val="46CA5589"/>
    <w:rsid w:val="474C0C12"/>
    <w:rsid w:val="4761651E"/>
    <w:rsid w:val="4773850C"/>
    <w:rsid w:val="478D48B6"/>
    <w:rsid w:val="47AD2D46"/>
    <w:rsid w:val="47DD2C0B"/>
    <w:rsid w:val="489C5496"/>
    <w:rsid w:val="48D57808"/>
    <w:rsid w:val="48FA645F"/>
    <w:rsid w:val="4A565E45"/>
    <w:rsid w:val="4A804742"/>
    <w:rsid w:val="4AB4263E"/>
    <w:rsid w:val="4ABF0D58"/>
    <w:rsid w:val="4B1C6CAA"/>
    <w:rsid w:val="4B9F49BA"/>
    <w:rsid w:val="4BB26B7D"/>
    <w:rsid w:val="4BDA7049"/>
    <w:rsid w:val="4C447D93"/>
    <w:rsid w:val="4C547C35"/>
    <w:rsid w:val="4CAC5CC3"/>
    <w:rsid w:val="4CFFCDF0"/>
    <w:rsid w:val="4DDC6134"/>
    <w:rsid w:val="4E465CA3"/>
    <w:rsid w:val="4E8D1FA1"/>
    <w:rsid w:val="4E8D742E"/>
    <w:rsid w:val="4EDD9B82"/>
    <w:rsid w:val="4F3501F1"/>
    <w:rsid w:val="4F7A3E56"/>
    <w:rsid w:val="4F8B7E11"/>
    <w:rsid w:val="4FFD54D0"/>
    <w:rsid w:val="50CE26AB"/>
    <w:rsid w:val="51181F9C"/>
    <w:rsid w:val="513010B1"/>
    <w:rsid w:val="51325711"/>
    <w:rsid w:val="51B34B08"/>
    <w:rsid w:val="51B69979"/>
    <w:rsid w:val="51DE6AD9"/>
    <w:rsid w:val="51FF4AE6"/>
    <w:rsid w:val="526037D7"/>
    <w:rsid w:val="527D2B27"/>
    <w:rsid w:val="52992845"/>
    <w:rsid w:val="52B94C95"/>
    <w:rsid w:val="53980D4F"/>
    <w:rsid w:val="53F341D7"/>
    <w:rsid w:val="5476D9E8"/>
    <w:rsid w:val="549E2395"/>
    <w:rsid w:val="54ED2DFA"/>
    <w:rsid w:val="553F3DA9"/>
    <w:rsid w:val="555F0937"/>
    <w:rsid w:val="55C51BA3"/>
    <w:rsid w:val="55F8605C"/>
    <w:rsid w:val="55FF8E33"/>
    <w:rsid w:val="5604091D"/>
    <w:rsid w:val="5651371E"/>
    <w:rsid w:val="56A17F1A"/>
    <w:rsid w:val="572F4C08"/>
    <w:rsid w:val="57570661"/>
    <w:rsid w:val="575F19AC"/>
    <w:rsid w:val="57856A6E"/>
    <w:rsid w:val="579D6486"/>
    <w:rsid w:val="57BFABEF"/>
    <w:rsid w:val="57D8C693"/>
    <w:rsid w:val="5871399B"/>
    <w:rsid w:val="587A3D1D"/>
    <w:rsid w:val="58906498"/>
    <w:rsid w:val="58C72BED"/>
    <w:rsid w:val="58DF9847"/>
    <w:rsid w:val="58FA2064"/>
    <w:rsid w:val="595B18C3"/>
    <w:rsid w:val="596140F4"/>
    <w:rsid w:val="5962211A"/>
    <w:rsid w:val="597948AA"/>
    <w:rsid w:val="59943D66"/>
    <w:rsid w:val="59D14FBA"/>
    <w:rsid w:val="59E5F73C"/>
    <w:rsid w:val="59FD491E"/>
    <w:rsid w:val="5ADA39FB"/>
    <w:rsid w:val="5B8147BE"/>
    <w:rsid w:val="5BC4337F"/>
    <w:rsid w:val="5BFBCE62"/>
    <w:rsid w:val="5C7914DB"/>
    <w:rsid w:val="5CB87D6C"/>
    <w:rsid w:val="5D1368A6"/>
    <w:rsid w:val="5D7DF0B1"/>
    <w:rsid w:val="5D9D4DCA"/>
    <w:rsid w:val="5DBD6055"/>
    <w:rsid w:val="5DC42740"/>
    <w:rsid w:val="5DCB1D21"/>
    <w:rsid w:val="5DCF2385"/>
    <w:rsid w:val="5DFF4CC4"/>
    <w:rsid w:val="5DFF5136"/>
    <w:rsid w:val="5E196F30"/>
    <w:rsid w:val="5E4BC074"/>
    <w:rsid w:val="5E8F2D4E"/>
    <w:rsid w:val="5EB84053"/>
    <w:rsid w:val="5EDB46B8"/>
    <w:rsid w:val="5EE412EC"/>
    <w:rsid w:val="5EEE7DF3"/>
    <w:rsid w:val="5EEF8E9A"/>
    <w:rsid w:val="5F046AF4"/>
    <w:rsid w:val="5F186EE0"/>
    <w:rsid w:val="5F1AC299"/>
    <w:rsid w:val="5F3B6B68"/>
    <w:rsid w:val="5FB37678"/>
    <w:rsid w:val="5FBB86AB"/>
    <w:rsid w:val="5FBDEA17"/>
    <w:rsid w:val="5FF7B01C"/>
    <w:rsid w:val="5FFB49B1"/>
    <w:rsid w:val="5FFBE45C"/>
    <w:rsid w:val="5FFD507B"/>
    <w:rsid w:val="5FFD75EB"/>
    <w:rsid w:val="5FFD87D8"/>
    <w:rsid w:val="5FFECDBF"/>
    <w:rsid w:val="5FFF75A6"/>
    <w:rsid w:val="6005151A"/>
    <w:rsid w:val="600A4341"/>
    <w:rsid w:val="60136A83"/>
    <w:rsid w:val="60255718"/>
    <w:rsid w:val="60377F79"/>
    <w:rsid w:val="6042451C"/>
    <w:rsid w:val="60CC6E5E"/>
    <w:rsid w:val="60DB22E9"/>
    <w:rsid w:val="61712CAB"/>
    <w:rsid w:val="61994610"/>
    <w:rsid w:val="619D39D4"/>
    <w:rsid w:val="61B397CB"/>
    <w:rsid w:val="61D05B92"/>
    <w:rsid w:val="624532D2"/>
    <w:rsid w:val="631022E6"/>
    <w:rsid w:val="63BA6A46"/>
    <w:rsid w:val="63E16410"/>
    <w:rsid w:val="649C61C5"/>
    <w:rsid w:val="65495F14"/>
    <w:rsid w:val="65735483"/>
    <w:rsid w:val="65A60E34"/>
    <w:rsid w:val="65B05EF4"/>
    <w:rsid w:val="65DC57FA"/>
    <w:rsid w:val="65FF6B20"/>
    <w:rsid w:val="66124BAE"/>
    <w:rsid w:val="66AFAA0D"/>
    <w:rsid w:val="66DB3F7D"/>
    <w:rsid w:val="66FDBD87"/>
    <w:rsid w:val="671D183F"/>
    <w:rsid w:val="673A15DF"/>
    <w:rsid w:val="67EB102F"/>
    <w:rsid w:val="67FBB819"/>
    <w:rsid w:val="6820504C"/>
    <w:rsid w:val="686C6EB8"/>
    <w:rsid w:val="68761A5C"/>
    <w:rsid w:val="688E679F"/>
    <w:rsid w:val="69166546"/>
    <w:rsid w:val="695348BF"/>
    <w:rsid w:val="69FB25F1"/>
    <w:rsid w:val="69FF6A1F"/>
    <w:rsid w:val="6A7D43A3"/>
    <w:rsid w:val="6A99742E"/>
    <w:rsid w:val="6AA10091"/>
    <w:rsid w:val="6B7E7CAB"/>
    <w:rsid w:val="6BBFC47E"/>
    <w:rsid w:val="6BD67D00"/>
    <w:rsid w:val="6BE62C7E"/>
    <w:rsid w:val="6BFD6200"/>
    <w:rsid w:val="6BFE58BB"/>
    <w:rsid w:val="6C643A6C"/>
    <w:rsid w:val="6CD3D8FD"/>
    <w:rsid w:val="6CE40709"/>
    <w:rsid w:val="6D072547"/>
    <w:rsid w:val="6D1A412B"/>
    <w:rsid w:val="6D763A57"/>
    <w:rsid w:val="6D777465"/>
    <w:rsid w:val="6D7FE45F"/>
    <w:rsid w:val="6DBAB0A2"/>
    <w:rsid w:val="6DD734AA"/>
    <w:rsid w:val="6DEF8370"/>
    <w:rsid w:val="6DFD21E6"/>
    <w:rsid w:val="6E7687FD"/>
    <w:rsid w:val="6EBF10EF"/>
    <w:rsid w:val="6EC9405A"/>
    <w:rsid w:val="6EDE7B06"/>
    <w:rsid w:val="6EEED97B"/>
    <w:rsid w:val="6EF608D7"/>
    <w:rsid w:val="6EFF5660"/>
    <w:rsid w:val="6F6E77D6"/>
    <w:rsid w:val="6F7FE92E"/>
    <w:rsid w:val="6F9B5EA1"/>
    <w:rsid w:val="6FA76E0E"/>
    <w:rsid w:val="6FBB39A3"/>
    <w:rsid w:val="6FBF2FF8"/>
    <w:rsid w:val="6FBFDE08"/>
    <w:rsid w:val="6FD40F09"/>
    <w:rsid w:val="6FF78DF6"/>
    <w:rsid w:val="6FFAB833"/>
    <w:rsid w:val="6FFC014F"/>
    <w:rsid w:val="6FFFFABC"/>
    <w:rsid w:val="700A1E5C"/>
    <w:rsid w:val="705876E0"/>
    <w:rsid w:val="707D2539"/>
    <w:rsid w:val="709541F4"/>
    <w:rsid w:val="70C53638"/>
    <w:rsid w:val="71193077"/>
    <w:rsid w:val="711A1291"/>
    <w:rsid w:val="7124730C"/>
    <w:rsid w:val="712612F0"/>
    <w:rsid w:val="71590989"/>
    <w:rsid w:val="715D1D52"/>
    <w:rsid w:val="717F29CA"/>
    <w:rsid w:val="718732D6"/>
    <w:rsid w:val="71C32FE3"/>
    <w:rsid w:val="71FB09CF"/>
    <w:rsid w:val="71FE884B"/>
    <w:rsid w:val="72231FD0"/>
    <w:rsid w:val="723201D8"/>
    <w:rsid w:val="729F57FE"/>
    <w:rsid w:val="734343DB"/>
    <w:rsid w:val="734939BC"/>
    <w:rsid w:val="73989BE0"/>
    <w:rsid w:val="739C0B9A"/>
    <w:rsid w:val="739FABB0"/>
    <w:rsid w:val="73B76B77"/>
    <w:rsid w:val="73EB5973"/>
    <w:rsid w:val="73EBE543"/>
    <w:rsid w:val="73F5878A"/>
    <w:rsid w:val="73F77D88"/>
    <w:rsid w:val="73FD8F84"/>
    <w:rsid w:val="73FFBC5A"/>
    <w:rsid w:val="740A4EF9"/>
    <w:rsid w:val="743D64BB"/>
    <w:rsid w:val="744A79EB"/>
    <w:rsid w:val="74675BE2"/>
    <w:rsid w:val="749865DE"/>
    <w:rsid w:val="74D7942E"/>
    <w:rsid w:val="75A703A9"/>
    <w:rsid w:val="75CFDAAA"/>
    <w:rsid w:val="75FF14E5"/>
    <w:rsid w:val="760652AE"/>
    <w:rsid w:val="768FA928"/>
    <w:rsid w:val="76DF7DE4"/>
    <w:rsid w:val="76F90510"/>
    <w:rsid w:val="76FF6773"/>
    <w:rsid w:val="773349D4"/>
    <w:rsid w:val="77596932"/>
    <w:rsid w:val="777C03A9"/>
    <w:rsid w:val="77A03442"/>
    <w:rsid w:val="77AD2FD8"/>
    <w:rsid w:val="77BE1095"/>
    <w:rsid w:val="77D47CF8"/>
    <w:rsid w:val="77DE0B76"/>
    <w:rsid w:val="77EF68E0"/>
    <w:rsid w:val="77FF1BA1"/>
    <w:rsid w:val="77FF91E8"/>
    <w:rsid w:val="77FF9BB5"/>
    <w:rsid w:val="784E793F"/>
    <w:rsid w:val="787D213D"/>
    <w:rsid w:val="788F3517"/>
    <w:rsid w:val="78A321D2"/>
    <w:rsid w:val="79507852"/>
    <w:rsid w:val="797C23F5"/>
    <w:rsid w:val="79BF2626"/>
    <w:rsid w:val="79CF2557"/>
    <w:rsid w:val="79D53106"/>
    <w:rsid w:val="7A100D8F"/>
    <w:rsid w:val="7A1F5BC8"/>
    <w:rsid w:val="7A24483B"/>
    <w:rsid w:val="7A5DC04C"/>
    <w:rsid w:val="7A783047"/>
    <w:rsid w:val="7AA716F4"/>
    <w:rsid w:val="7AB91427"/>
    <w:rsid w:val="7AFF373F"/>
    <w:rsid w:val="7B2F4FDD"/>
    <w:rsid w:val="7B3FDC39"/>
    <w:rsid w:val="7B6688DD"/>
    <w:rsid w:val="7B694BFB"/>
    <w:rsid w:val="7B9B59E9"/>
    <w:rsid w:val="7BBC11CF"/>
    <w:rsid w:val="7BC3A27C"/>
    <w:rsid w:val="7BCF6995"/>
    <w:rsid w:val="7BD00820"/>
    <w:rsid w:val="7BD79341"/>
    <w:rsid w:val="7BDD8005"/>
    <w:rsid w:val="7BDF185B"/>
    <w:rsid w:val="7BEFCC22"/>
    <w:rsid w:val="7BF070CA"/>
    <w:rsid w:val="7BF4CB1D"/>
    <w:rsid w:val="7C1F52BA"/>
    <w:rsid w:val="7C374B9B"/>
    <w:rsid w:val="7C417926"/>
    <w:rsid w:val="7C52743D"/>
    <w:rsid w:val="7C5E5083"/>
    <w:rsid w:val="7C7AE5EA"/>
    <w:rsid w:val="7C85389C"/>
    <w:rsid w:val="7C9F04A1"/>
    <w:rsid w:val="7CAB2FF1"/>
    <w:rsid w:val="7CC61BD9"/>
    <w:rsid w:val="7CC85058"/>
    <w:rsid w:val="7CFF3BA0"/>
    <w:rsid w:val="7D140B97"/>
    <w:rsid w:val="7D1BB0FB"/>
    <w:rsid w:val="7D502CB8"/>
    <w:rsid w:val="7D6C661A"/>
    <w:rsid w:val="7D7C2BBE"/>
    <w:rsid w:val="7D7DE833"/>
    <w:rsid w:val="7DA243F4"/>
    <w:rsid w:val="7DBF3F6C"/>
    <w:rsid w:val="7DC7DD4D"/>
    <w:rsid w:val="7DCF78DA"/>
    <w:rsid w:val="7DD9353F"/>
    <w:rsid w:val="7DEEC41E"/>
    <w:rsid w:val="7DEF7FE2"/>
    <w:rsid w:val="7DF1C2C9"/>
    <w:rsid w:val="7DF6B0D7"/>
    <w:rsid w:val="7DF70CD2"/>
    <w:rsid w:val="7DF75AE5"/>
    <w:rsid w:val="7DFB58B2"/>
    <w:rsid w:val="7DFFEB0C"/>
    <w:rsid w:val="7E6E50B9"/>
    <w:rsid w:val="7E724176"/>
    <w:rsid w:val="7E9FB1F9"/>
    <w:rsid w:val="7EBFB724"/>
    <w:rsid w:val="7ED44A81"/>
    <w:rsid w:val="7ED9C19B"/>
    <w:rsid w:val="7EDBD7BA"/>
    <w:rsid w:val="7EDDFE46"/>
    <w:rsid w:val="7EDFDC94"/>
    <w:rsid w:val="7EEABA46"/>
    <w:rsid w:val="7EEF1C8E"/>
    <w:rsid w:val="7EF54376"/>
    <w:rsid w:val="7EF663FB"/>
    <w:rsid w:val="7EF7C456"/>
    <w:rsid w:val="7EFA045C"/>
    <w:rsid w:val="7F251976"/>
    <w:rsid w:val="7F3F68F1"/>
    <w:rsid w:val="7F3FB186"/>
    <w:rsid w:val="7F57667D"/>
    <w:rsid w:val="7F65EC87"/>
    <w:rsid w:val="7F75133A"/>
    <w:rsid w:val="7F77E6CE"/>
    <w:rsid w:val="7F7D6EC7"/>
    <w:rsid w:val="7F7E49ED"/>
    <w:rsid w:val="7F7FFD2A"/>
    <w:rsid w:val="7F8F6EE9"/>
    <w:rsid w:val="7F9706B4"/>
    <w:rsid w:val="7FAF2341"/>
    <w:rsid w:val="7FAF5A5A"/>
    <w:rsid w:val="7FB16B71"/>
    <w:rsid w:val="7FBE0E75"/>
    <w:rsid w:val="7FBF0A86"/>
    <w:rsid w:val="7FD2E9CB"/>
    <w:rsid w:val="7FD35E4C"/>
    <w:rsid w:val="7FDB17DD"/>
    <w:rsid w:val="7FDFEBC4"/>
    <w:rsid w:val="7FEB22A9"/>
    <w:rsid w:val="7FF5D8B1"/>
    <w:rsid w:val="7FF6B8AD"/>
    <w:rsid w:val="7FF6D051"/>
    <w:rsid w:val="7FF87433"/>
    <w:rsid w:val="7FF902C8"/>
    <w:rsid w:val="7FF9DE27"/>
    <w:rsid w:val="7FFB0163"/>
    <w:rsid w:val="7FFB8E95"/>
    <w:rsid w:val="7FFD58ED"/>
    <w:rsid w:val="7FFE52BC"/>
    <w:rsid w:val="7FFE730B"/>
    <w:rsid w:val="86DCEE93"/>
    <w:rsid w:val="87357DDF"/>
    <w:rsid w:val="8FFEF63C"/>
    <w:rsid w:val="91FFA00E"/>
    <w:rsid w:val="97BBB7AE"/>
    <w:rsid w:val="97BD14B5"/>
    <w:rsid w:val="97FBD4AB"/>
    <w:rsid w:val="97FFDDF5"/>
    <w:rsid w:val="9B371234"/>
    <w:rsid w:val="9C3E3594"/>
    <w:rsid w:val="9D7EB523"/>
    <w:rsid w:val="9F3BFC95"/>
    <w:rsid w:val="9F7F8B37"/>
    <w:rsid w:val="9F8B2E18"/>
    <w:rsid w:val="9FF7E11E"/>
    <w:rsid w:val="9FFDE8AF"/>
    <w:rsid w:val="9FFF4781"/>
    <w:rsid w:val="A4CF932C"/>
    <w:rsid w:val="A4FE8B35"/>
    <w:rsid w:val="A54C4F0A"/>
    <w:rsid w:val="A78FF380"/>
    <w:rsid w:val="A88EBDB5"/>
    <w:rsid w:val="AF7D39E4"/>
    <w:rsid w:val="AFE7A9DB"/>
    <w:rsid w:val="B3EE0D8C"/>
    <w:rsid w:val="B4BFA2B1"/>
    <w:rsid w:val="B5CEF2A0"/>
    <w:rsid w:val="B6BF0C2A"/>
    <w:rsid w:val="B7DF7A50"/>
    <w:rsid w:val="B7EF4521"/>
    <w:rsid w:val="B7FE50E5"/>
    <w:rsid w:val="B8754C6F"/>
    <w:rsid w:val="B8F53A58"/>
    <w:rsid w:val="B9DDBAE7"/>
    <w:rsid w:val="B9E91052"/>
    <w:rsid w:val="BADEBA8D"/>
    <w:rsid w:val="BAEF4D24"/>
    <w:rsid w:val="BBF7CD15"/>
    <w:rsid w:val="BCFE88B9"/>
    <w:rsid w:val="BD7F09BF"/>
    <w:rsid w:val="BDD7FFE2"/>
    <w:rsid w:val="BEE78F0A"/>
    <w:rsid w:val="BF1F4DEB"/>
    <w:rsid w:val="BF5E3F08"/>
    <w:rsid w:val="BF5F0E9C"/>
    <w:rsid w:val="BF71BA52"/>
    <w:rsid w:val="BF7BBD22"/>
    <w:rsid w:val="BF9B71DC"/>
    <w:rsid w:val="BFAF9A0B"/>
    <w:rsid w:val="BFCEC041"/>
    <w:rsid w:val="BFDBBA69"/>
    <w:rsid w:val="BFDD5C64"/>
    <w:rsid w:val="BFEA3B12"/>
    <w:rsid w:val="BFFE46D0"/>
    <w:rsid w:val="BFFEA238"/>
    <w:rsid w:val="C1B4214F"/>
    <w:rsid w:val="C23753E2"/>
    <w:rsid w:val="C46DE26F"/>
    <w:rsid w:val="C8FB0545"/>
    <w:rsid w:val="CAFB20E6"/>
    <w:rsid w:val="CDBBF473"/>
    <w:rsid w:val="CDF7B54A"/>
    <w:rsid w:val="CE8F4B4E"/>
    <w:rsid w:val="CFBD46B8"/>
    <w:rsid w:val="D1FF4999"/>
    <w:rsid w:val="D2BFF798"/>
    <w:rsid w:val="D34D781F"/>
    <w:rsid w:val="D7AF2AFD"/>
    <w:rsid w:val="D7B8E8F1"/>
    <w:rsid w:val="D7EF37CD"/>
    <w:rsid w:val="D7F36908"/>
    <w:rsid w:val="D9BFA184"/>
    <w:rsid w:val="DB0B7CDD"/>
    <w:rsid w:val="DB6F570E"/>
    <w:rsid w:val="DBD7DCAB"/>
    <w:rsid w:val="DBDB8176"/>
    <w:rsid w:val="DBEE3A38"/>
    <w:rsid w:val="DBFE0405"/>
    <w:rsid w:val="DC85E8E3"/>
    <w:rsid w:val="DCF7CD9B"/>
    <w:rsid w:val="DD5FAB25"/>
    <w:rsid w:val="DD8F55E0"/>
    <w:rsid w:val="DDC66167"/>
    <w:rsid w:val="DDCA5624"/>
    <w:rsid w:val="DE7F9A4C"/>
    <w:rsid w:val="DEF1B9CB"/>
    <w:rsid w:val="DF5A9D47"/>
    <w:rsid w:val="DF5C503D"/>
    <w:rsid w:val="DF5D1167"/>
    <w:rsid w:val="DFB3B5FB"/>
    <w:rsid w:val="DFDFF853"/>
    <w:rsid w:val="DFEEA302"/>
    <w:rsid w:val="DFFCAB3D"/>
    <w:rsid w:val="E3FFD0DC"/>
    <w:rsid w:val="E5FF19CC"/>
    <w:rsid w:val="E6FF3D97"/>
    <w:rsid w:val="E7D82BE1"/>
    <w:rsid w:val="E7DE24D3"/>
    <w:rsid w:val="E7F74176"/>
    <w:rsid w:val="E7F815DD"/>
    <w:rsid w:val="E7FEEF19"/>
    <w:rsid w:val="E8BF70EF"/>
    <w:rsid w:val="E9EF33A5"/>
    <w:rsid w:val="EBBB8859"/>
    <w:rsid w:val="EBEE79C2"/>
    <w:rsid w:val="EBFAF936"/>
    <w:rsid w:val="EDFFAD3E"/>
    <w:rsid w:val="EED20EAB"/>
    <w:rsid w:val="EEE7065E"/>
    <w:rsid w:val="EEF46893"/>
    <w:rsid w:val="EF7F6084"/>
    <w:rsid w:val="EFB99DBF"/>
    <w:rsid w:val="EFDFAD6A"/>
    <w:rsid w:val="EFF90669"/>
    <w:rsid w:val="EFF947BC"/>
    <w:rsid w:val="EFFF3E6E"/>
    <w:rsid w:val="F17D91A3"/>
    <w:rsid w:val="F27E06A4"/>
    <w:rsid w:val="F2DF169F"/>
    <w:rsid w:val="F33EF4B8"/>
    <w:rsid w:val="F37FD6C5"/>
    <w:rsid w:val="F47E7CC7"/>
    <w:rsid w:val="F57F4E51"/>
    <w:rsid w:val="F57F8C80"/>
    <w:rsid w:val="F5FB33B2"/>
    <w:rsid w:val="F627B253"/>
    <w:rsid w:val="F67F7286"/>
    <w:rsid w:val="F6D32A6C"/>
    <w:rsid w:val="F75077D5"/>
    <w:rsid w:val="F76B322E"/>
    <w:rsid w:val="F7738C7F"/>
    <w:rsid w:val="F77BB228"/>
    <w:rsid w:val="F7AFDE83"/>
    <w:rsid w:val="F7CBA82B"/>
    <w:rsid w:val="F7D71DF4"/>
    <w:rsid w:val="F7EF7708"/>
    <w:rsid w:val="F97CE38C"/>
    <w:rsid w:val="F9DFD2EE"/>
    <w:rsid w:val="F9EB9111"/>
    <w:rsid w:val="F9F4628F"/>
    <w:rsid w:val="FAFAD785"/>
    <w:rsid w:val="FAFB1B08"/>
    <w:rsid w:val="FAFBF85C"/>
    <w:rsid w:val="FAFDF812"/>
    <w:rsid w:val="FB3C9C1D"/>
    <w:rsid w:val="FB5BB3BA"/>
    <w:rsid w:val="FB8B5768"/>
    <w:rsid w:val="FB9B3E0B"/>
    <w:rsid w:val="FBBFB19D"/>
    <w:rsid w:val="FBDFAF14"/>
    <w:rsid w:val="FBDFB0EC"/>
    <w:rsid w:val="FBE758A6"/>
    <w:rsid w:val="FBF54175"/>
    <w:rsid w:val="FBFBBB42"/>
    <w:rsid w:val="FBFC4BF7"/>
    <w:rsid w:val="FBFF8BED"/>
    <w:rsid w:val="FCAF7703"/>
    <w:rsid w:val="FCBDA566"/>
    <w:rsid w:val="FCD30DCE"/>
    <w:rsid w:val="FCEBD8BD"/>
    <w:rsid w:val="FCF6F613"/>
    <w:rsid w:val="FCFC0512"/>
    <w:rsid w:val="FD1FF786"/>
    <w:rsid w:val="FD3CE819"/>
    <w:rsid w:val="FD5711A1"/>
    <w:rsid w:val="FD65A816"/>
    <w:rsid w:val="FD7F4172"/>
    <w:rsid w:val="FD9B66B4"/>
    <w:rsid w:val="FDB39A10"/>
    <w:rsid w:val="FDEF7C66"/>
    <w:rsid w:val="FDFA534E"/>
    <w:rsid w:val="FE6ED687"/>
    <w:rsid w:val="FE7ED02B"/>
    <w:rsid w:val="FE7F1CFA"/>
    <w:rsid w:val="FEA7BCD0"/>
    <w:rsid w:val="FEAB5CC6"/>
    <w:rsid w:val="FEF43582"/>
    <w:rsid w:val="FEFE88FC"/>
    <w:rsid w:val="FF1F97B8"/>
    <w:rsid w:val="FF360885"/>
    <w:rsid w:val="FF3B9818"/>
    <w:rsid w:val="FF4F028C"/>
    <w:rsid w:val="FF5DD931"/>
    <w:rsid w:val="FF5E0358"/>
    <w:rsid w:val="FF5F639A"/>
    <w:rsid w:val="FF5FEC60"/>
    <w:rsid w:val="FF6BD3F1"/>
    <w:rsid w:val="FF6E2DB7"/>
    <w:rsid w:val="FF73587A"/>
    <w:rsid w:val="FF7B62B9"/>
    <w:rsid w:val="FF7EBF04"/>
    <w:rsid w:val="FFAF6C8E"/>
    <w:rsid w:val="FFBA8DD2"/>
    <w:rsid w:val="FFBE5E09"/>
    <w:rsid w:val="FFD1A345"/>
    <w:rsid w:val="FFD58940"/>
    <w:rsid w:val="FFDF0DD9"/>
    <w:rsid w:val="FFDFAE87"/>
    <w:rsid w:val="FFE5220B"/>
    <w:rsid w:val="FFEB2C1B"/>
    <w:rsid w:val="FFEB9B5A"/>
    <w:rsid w:val="FFEE0E83"/>
    <w:rsid w:val="FFEF699A"/>
    <w:rsid w:val="FFF3A0F8"/>
    <w:rsid w:val="FFF64AB7"/>
    <w:rsid w:val="FFF691BB"/>
    <w:rsid w:val="FFFA9D15"/>
    <w:rsid w:val="FFFE339C"/>
    <w:rsid w:val="FFFF4160"/>
    <w:rsid w:val="FFFF9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styleId="2">
    <w:name w:val="heading 1"/>
    <w:basedOn w:val="1"/>
    <w:next w:val="1"/>
    <w:link w:val="91"/>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4"/>
    <w:next w:val="1"/>
    <w:link w:val="87"/>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92"/>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4">
    <w:name w:val="heading 4"/>
    <w:basedOn w:val="1"/>
    <w:next w:val="1"/>
    <w:link w:val="93"/>
    <w:unhideWhenUsed/>
    <w:qFormat/>
    <w:uiPriority w:val="0"/>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94"/>
    <w:unhideWhenUsed/>
    <w:qFormat/>
    <w:uiPriority w:val="0"/>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95"/>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96"/>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97"/>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98"/>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69">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Calibri" w:hAnsi="Calibri"/>
      <w:szCs w:val="24"/>
    </w:rPr>
  </w:style>
  <w:style w:type="paragraph" w:styleId="12">
    <w:name w:val="toc 7"/>
    <w:basedOn w:val="1"/>
    <w:next w:val="1"/>
    <w:qFormat/>
    <w:uiPriority w:val="39"/>
    <w:pPr>
      <w:ind w:left="1260"/>
      <w:jc w:val="left"/>
    </w:pPr>
    <w:rPr>
      <w:rFonts w:ascii="Calibri" w:hAnsi="Calibri" w:cs="Calibri"/>
      <w:sz w:val="18"/>
      <w:szCs w:val="18"/>
    </w:rPr>
  </w:style>
  <w:style w:type="paragraph" w:styleId="13">
    <w:name w:val="List Number 2"/>
    <w:basedOn w:val="1"/>
    <w:qFormat/>
    <w:uiPriority w:val="0"/>
    <w:pPr>
      <w:widowControl/>
      <w:tabs>
        <w:tab w:val="left" w:pos="360"/>
      </w:tabs>
      <w:snapToGrid w:val="0"/>
      <w:ind w:left="360" w:right="709" w:hanging="360"/>
      <w:jc w:val="left"/>
    </w:pPr>
    <w:rPr>
      <w:rFonts w:ascii="Calibri" w:hAnsi="Calibri" w:eastAsia="2OcuAe"/>
      <w:spacing w:val="2"/>
      <w:kern w:val="0"/>
      <w:sz w:val="20"/>
      <w:szCs w:val="20"/>
      <w:lang w:eastAsia="zh-TW"/>
    </w:rPr>
  </w:style>
  <w:style w:type="paragraph" w:styleId="14">
    <w:name w:val="List Bullet 4"/>
    <w:basedOn w:val="1"/>
    <w:qFormat/>
    <w:uiPriority w:val="0"/>
    <w:pPr>
      <w:widowControl/>
      <w:tabs>
        <w:tab w:val="left" w:pos="885"/>
      </w:tabs>
      <w:snapToGrid w:val="0"/>
      <w:ind w:left="885" w:right="709" w:hanging="885"/>
      <w:jc w:val="left"/>
    </w:pPr>
    <w:rPr>
      <w:rFonts w:ascii="Calibri" w:hAnsi="Calibri" w:eastAsia="2OcuAe"/>
      <w:spacing w:val="2"/>
      <w:kern w:val="0"/>
      <w:sz w:val="20"/>
      <w:szCs w:val="20"/>
      <w:lang w:eastAsia="zh-TW"/>
    </w:rPr>
  </w:style>
  <w:style w:type="paragraph" w:styleId="15">
    <w:name w:val="List Number"/>
    <w:basedOn w:val="1"/>
    <w:qFormat/>
    <w:uiPriority w:val="0"/>
    <w:pPr>
      <w:tabs>
        <w:tab w:val="left" w:pos="360"/>
        <w:tab w:val="left" w:pos="454"/>
        <w:tab w:val="left" w:pos="720"/>
        <w:tab w:val="left" w:pos="900"/>
      </w:tabs>
      <w:snapToGrid w:val="0"/>
      <w:spacing w:line="336" w:lineRule="auto"/>
      <w:ind w:right="55"/>
    </w:pPr>
  </w:style>
  <w:style w:type="paragraph" w:styleId="16">
    <w:name w:val="Normal Indent"/>
    <w:basedOn w:val="1"/>
    <w:link w:val="125"/>
    <w:unhideWhenUsed/>
    <w:qFormat/>
    <w:uiPriority w:val="0"/>
    <w:pPr>
      <w:ind w:firstLine="420"/>
    </w:pPr>
    <w:rPr>
      <w:kern w:val="0"/>
      <w:sz w:val="20"/>
      <w:szCs w:val="20"/>
    </w:rPr>
  </w:style>
  <w:style w:type="paragraph" w:styleId="17">
    <w:name w:val="caption"/>
    <w:basedOn w:val="1"/>
    <w:next w:val="1"/>
    <w:link w:val="126"/>
    <w:unhideWhenUsed/>
    <w:qFormat/>
    <w:uiPriority w:val="0"/>
    <w:pPr>
      <w:spacing w:before="152" w:after="160"/>
    </w:pPr>
    <w:rPr>
      <w:rFonts w:ascii="Arial" w:hAnsi="Arial" w:eastAsia="黑体"/>
      <w:kern w:val="0"/>
      <w:sz w:val="20"/>
      <w:szCs w:val="20"/>
    </w:rPr>
  </w:style>
  <w:style w:type="paragraph" w:styleId="18">
    <w:name w:val="List Bullet"/>
    <w:basedOn w:val="1"/>
    <w:unhideWhenUsed/>
    <w:qFormat/>
    <w:uiPriority w:val="0"/>
    <w:pPr>
      <w:tabs>
        <w:tab w:val="left" w:pos="360"/>
      </w:tabs>
      <w:ind w:left="360" w:hanging="360"/>
    </w:pPr>
  </w:style>
  <w:style w:type="paragraph" w:styleId="19">
    <w:name w:val="Document Map"/>
    <w:basedOn w:val="1"/>
    <w:link w:val="110"/>
    <w:unhideWhenUsed/>
    <w:qFormat/>
    <w:uiPriority w:val="0"/>
    <w:pPr>
      <w:shd w:val="clear" w:color="auto" w:fill="000080"/>
    </w:pPr>
    <w:rPr>
      <w:rFonts w:cs="宋体"/>
    </w:rPr>
  </w:style>
  <w:style w:type="paragraph" w:styleId="20">
    <w:name w:val="annotation text"/>
    <w:basedOn w:val="1"/>
    <w:link w:val="111"/>
    <w:unhideWhenUsed/>
    <w:qFormat/>
    <w:uiPriority w:val="0"/>
    <w:pPr>
      <w:widowControl/>
      <w:tabs>
        <w:tab w:val="left" w:pos="567"/>
      </w:tabs>
      <w:spacing w:before="0" w:beforeLines="50" w:after="0" w:line="360" w:lineRule="auto"/>
      <w:jc w:val="left"/>
    </w:pPr>
    <w:rPr>
      <w:rFonts w:ascii="Times New Roman" w:hAnsi="Times New Roman" w:eastAsia="宋体" w:cs="Times New Roman"/>
      <w:b/>
      <w:bCs/>
      <w:color w:val="auto"/>
      <w:sz w:val="36"/>
      <w:szCs w:val="36"/>
    </w:rPr>
  </w:style>
  <w:style w:type="paragraph" w:styleId="21">
    <w:name w:val="Salutation"/>
    <w:basedOn w:val="1"/>
    <w:next w:val="1"/>
    <w:link w:val="112"/>
    <w:qFormat/>
    <w:uiPriority w:val="0"/>
    <w:pPr>
      <w:widowControl/>
      <w:jc w:val="left"/>
    </w:pPr>
    <w:rPr>
      <w:kern w:val="0"/>
      <w:sz w:val="20"/>
      <w:szCs w:val="24"/>
    </w:rPr>
  </w:style>
  <w:style w:type="paragraph" w:styleId="22">
    <w:name w:val="Body Text 3"/>
    <w:basedOn w:val="1"/>
    <w:link w:val="113"/>
    <w:unhideWhenUsed/>
    <w:qFormat/>
    <w:uiPriority w:val="0"/>
    <w:pPr>
      <w:snapToGrid w:val="0"/>
      <w:spacing w:before="50" w:after="50"/>
    </w:pPr>
    <w:rPr>
      <w:rFonts w:hAnsi="宋体" w:eastAsia="Times New Roman"/>
      <w:b/>
      <w:sz w:val="24"/>
    </w:rPr>
  </w:style>
  <w:style w:type="paragraph" w:styleId="23">
    <w:name w:val="List Bullet 3"/>
    <w:basedOn w:val="1"/>
    <w:qFormat/>
    <w:uiPriority w:val="0"/>
    <w:pPr>
      <w:widowControl/>
      <w:tabs>
        <w:tab w:val="left" w:pos="1800"/>
      </w:tabs>
      <w:snapToGrid w:val="0"/>
      <w:ind w:left="1800" w:right="709" w:hanging="420"/>
      <w:jc w:val="left"/>
    </w:pPr>
    <w:rPr>
      <w:rFonts w:ascii="Calibri" w:hAnsi="Calibri" w:eastAsia="2OcuAe"/>
      <w:spacing w:val="2"/>
      <w:kern w:val="0"/>
      <w:sz w:val="20"/>
      <w:szCs w:val="20"/>
      <w:lang w:eastAsia="zh-TW"/>
    </w:rPr>
  </w:style>
  <w:style w:type="paragraph" w:styleId="24">
    <w:name w:val="Body Text"/>
    <w:basedOn w:val="1"/>
    <w:next w:val="25"/>
    <w:link w:val="82"/>
    <w:unhideWhenUsed/>
    <w:qFormat/>
    <w:uiPriority w:val="1"/>
    <w:pPr>
      <w:spacing w:after="120"/>
    </w:pPr>
    <w:rPr>
      <w:sz w:val="22"/>
      <w:szCs w:val="24"/>
      <w14:ligatures w14:val="standardContextual"/>
    </w:rPr>
  </w:style>
  <w:style w:type="paragraph" w:styleId="25">
    <w:name w:val="Body Text First Indent"/>
    <w:basedOn w:val="24"/>
    <w:next w:val="1"/>
    <w:link w:val="83"/>
    <w:unhideWhenUsed/>
    <w:qFormat/>
    <w:uiPriority w:val="0"/>
    <w:pPr>
      <w:ind w:firstLine="420" w:firstLineChars="100"/>
    </w:pPr>
  </w:style>
  <w:style w:type="paragraph" w:styleId="26">
    <w:name w:val="Body Text Indent"/>
    <w:basedOn w:val="1"/>
    <w:link w:val="88"/>
    <w:unhideWhenUsed/>
    <w:qFormat/>
    <w:uiPriority w:val="99"/>
    <w:pPr>
      <w:spacing w:after="120"/>
      <w:ind w:left="420" w:leftChars="200"/>
    </w:pPr>
  </w:style>
  <w:style w:type="paragraph" w:styleId="27">
    <w:name w:val="List Number 3"/>
    <w:basedOn w:val="1"/>
    <w:unhideWhenUsed/>
    <w:qFormat/>
    <w:uiPriority w:val="0"/>
    <w:pPr>
      <w:numPr>
        <w:ilvl w:val="0"/>
        <w:numId w:val="1"/>
      </w:numPr>
    </w:pPr>
    <w:rPr>
      <w:szCs w:val="24"/>
    </w:rPr>
  </w:style>
  <w:style w:type="paragraph" w:styleId="28">
    <w:name w:val="List 2"/>
    <w:basedOn w:val="1"/>
    <w:unhideWhenUsed/>
    <w:qFormat/>
    <w:uiPriority w:val="0"/>
    <w:pPr>
      <w:ind w:left="100" w:leftChars="200" w:hanging="200" w:hangingChars="200"/>
    </w:pPr>
    <w:rPr>
      <w:sz w:val="28"/>
      <w:szCs w:val="24"/>
    </w:rPr>
  </w:style>
  <w:style w:type="paragraph" w:styleId="29">
    <w:name w:val="Block Text"/>
    <w:basedOn w:val="1"/>
    <w:qFormat/>
    <w:uiPriority w:val="0"/>
    <w:pPr>
      <w:widowControl/>
      <w:snapToGrid w:val="0"/>
      <w:spacing w:line="400" w:lineRule="exact"/>
      <w:ind w:left="2" w:right="105" w:firstLine="538"/>
      <w:jc w:val="left"/>
    </w:pPr>
    <w:rPr>
      <w:rFonts w:ascii="Calibri" w:hAnsi="Calibri"/>
      <w:b/>
      <w:szCs w:val="20"/>
    </w:rPr>
  </w:style>
  <w:style w:type="paragraph" w:styleId="30">
    <w:name w:val="List Bullet 2"/>
    <w:basedOn w:val="1"/>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szCs w:val="24"/>
      <w:lang w:eastAsia="zh-TW"/>
    </w:rPr>
  </w:style>
  <w:style w:type="paragraph" w:styleId="31">
    <w:name w:val="toc 5"/>
    <w:basedOn w:val="1"/>
    <w:next w:val="1"/>
    <w:qFormat/>
    <w:uiPriority w:val="39"/>
    <w:pPr>
      <w:ind w:left="840"/>
      <w:jc w:val="left"/>
    </w:pPr>
    <w:rPr>
      <w:rFonts w:ascii="Calibri" w:hAnsi="Calibri" w:cs="Calibri"/>
      <w:sz w:val="18"/>
      <w:szCs w:val="18"/>
    </w:rPr>
  </w:style>
  <w:style w:type="paragraph" w:styleId="32">
    <w:name w:val="toc 3"/>
    <w:basedOn w:val="1"/>
    <w:next w:val="1"/>
    <w:qFormat/>
    <w:uiPriority w:val="39"/>
    <w:pPr>
      <w:ind w:left="420"/>
      <w:jc w:val="left"/>
    </w:pPr>
    <w:rPr>
      <w:rFonts w:ascii="Calibri" w:hAnsi="Calibri" w:cs="Calibri"/>
      <w:i/>
      <w:iCs/>
      <w:sz w:val="20"/>
      <w:szCs w:val="20"/>
    </w:rPr>
  </w:style>
  <w:style w:type="paragraph" w:styleId="33">
    <w:name w:val="Plain Text"/>
    <w:basedOn w:val="1"/>
    <w:link w:val="86"/>
    <w:qFormat/>
    <w:uiPriority w:val="0"/>
    <w:pPr>
      <w:spacing w:beforeLines="50" w:line="400" w:lineRule="exact"/>
    </w:pPr>
    <w:rPr>
      <w:rFonts w:ascii="宋体" w:hAnsi="Courier New"/>
      <w:kern w:val="0"/>
      <w:sz w:val="24"/>
      <w:szCs w:val="20"/>
      <w14:ligatures w14:val="standardContextual"/>
    </w:rPr>
  </w:style>
  <w:style w:type="paragraph" w:styleId="34">
    <w:name w:val="List Bullet 5"/>
    <w:basedOn w:val="1"/>
    <w:qFormat/>
    <w:uiPriority w:val="0"/>
    <w:pPr>
      <w:widowControl/>
      <w:tabs>
        <w:tab w:val="left" w:pos="2040"/>
      </w:tabs>
      <w:snapToGrid w:val="0"/>
      <w:ind w:left="2040" w:right="709" w:hanging="360"/>
      <w:jc w:val="left"/>
    </w:pPr>
    <w:rPr>
      <w:rFonts w:ascii="Calibri" w:hAnsi="Calibri" w:eastAsia="2OcuAe"/>
      <w:spacing w:val="2"/>
      <w:kern w:val="0"/>
      <w:sz w:val="20"/>
      <w:szCs w:val="20"/>
      <w:lang w:eastAsia="zh-TW"/>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Calibri" w:hAnsi="Calibri"/>
      <w:kern w:val="0"/>
      <w:sz w:val="24"/>
      <w:szCs w:val="24"/>
    </w:rPr>
  </w:style>
  <w:style w:type="paragraph" w:styleId="36">
    <w:name w:val="toc 8"/>
    <w:basedOn w:val="1"/>
    <w:next w:val="1"/>
    <w:qFormat/>
    <w:uiPriority w:val="39"/>
    <w:pPr>
      <w:ind w:left="1470"/>
      <w:jc w:val="left"/>
    </w:pPr>
    <w:rPr>
      <w:rFonts w:ascii="Calibri" w:hAnsi="Calibri" w:cs="Calibri"/>
      <w:sz w:val="18"/>
      <w:szCs w:val="18"/>
    </w:rPr>
  </w:style>
  <w:style w:type="paragraph" w:styleId="37">
    <w:name w:val="Date"/>
    <w:basedOn w:val="1"/>
    <w:next w:val="1"/>
    <w:link w:val="114"/>
    <w:unhideWhenUsed/>
    <w:qFormat/>
    <w:uiPriority w:val="99"/>
    <w:pPr>
      <w:ind w:left="2500" w:leftChars="2500"/>
    </w:pPr>
    <w:rPr>
      <w:rFonts w:ascii="Calibri" w:hAnsi="Calibri" w:eastAsia="楷体_GB2312"/>
      <w:kern w:val="0"/>
      <w:sz w:val="32"/>
    </w:rPr>
  </w:style>
  <w:style w:type="paragraph" w:styleId="38">
    <w:name w:val="Body Text Indent 2"/>
    <w:basedOn w:val="1"/>
    <w:link w:val="115"/>
    <w:unhideWhenUsed/>
    <w:qFormat/>
    <w:uiPriority w:val="0"/>
    <w:pPr>
      <w:snapToGrid w:val="0"/>
      <w:ind w:firstLine="542" w:firstLineChars="225"/>
    </w:pPr>
    <w:rPr>
      <w:rFonts w:ascii="仿宋_GB2312" w:hAnsi="宋体"/>
      <w:b/>
      <w:color w:val="000000"/>
      <w:kern w:val="0"/>
      <w:sz w:val="24"/>
    </w:rPr>
  </w:style>
  <w:style w:type="paragraph" w:styleId="39">
    <w:name w:val="endnote text"/>
    <w:basedOn w:val="1"/>
    <w:link w:val="116"/>
    <w:qFormat/>
    <w:uiPriority w:val="0"/>
    <w:pPr>
      <w:widowControl/>
      <w:adjustRightInd w:val="0"/>
      <w:spacing w:line="360" w:lineRule="atLeast"/>
      <w:jc w:val="left"/>
    </w:pPr>
    <w:rPr>
      <w:kern w:val="0"/>
      <w:sz w:val="24"/>
      <w:szCs w:val="20"/>
    </w:rPr>
  </w:style>
  <w:style w:type="paragraph" w:styleId="40">
    <w:name w:val="Balloon Text"/>
    <w:basedOn w:val="1"/>
    <w:link w:val="117"/>
    <w:unhideWhenUsed/>
    <w:qFormat/>
    <w:uiPriority w:val="0"/>
    <w:rPr>
      <w:rFonts w:ascii="Calibri" w:hAnsi="Calibri"/>
      <w:sz w:val="18"/>
      <w:szCs w:val="18"/>
    </w:rPr>
  </w:style>
  <w:style w:type="paragraph" w:styleId="41">
    <w:name w:val="footer"/>
    <w:basedOn w:val="1"/>
    <w:link w:val="109"/>
    <w:unhideWhenUsed/>
    <w:qFormat/>
    <w:uiPriority w:val="99"/>
    <w:pPr>
      <w:tabs>
        <w:tab w:val="center" w:pos="4153"/>
        <w:tab w:val="right" w:pos="8306"/>
      </w:tabs>
      <w:snapToGrid w:val="0"/>
      <w:jc w:val="left"/>
    </w:pPr>
    <w:rPr>
      <w:sz w:val="18"/>
      <w:szCs w:val="18"/>
    </w:rPr>
  </w:style>
  <w:style w:type="paragraph" w:styleId="42">
    <w:name w:val="header"/>
    <w:basedOn w:val="1"/>
    <w:link w:val="108"/>
    <w:unhideWhenUsed/>
    <w:qFormat/>
    <w:uiPriority w:val="99"/>
    <w:pPr>
      <w:tabs>
        <w:tab w:val="center" w:pos="4153"/>
        <w:tab w:val="right" w:pos="8306"/>
      </w:tabs>
      <w:snapToGrid w:val="0"/>
      <w:jc w:val="center"/>
    </w:pPr>
    <w:rPr>
      <w:sz w:val="18"/>
      <w:szCs w:val="18"/>
    </w:rPr>
  </w:style>
  <w:style w:type="paragraph" w:styleId="43">
    <w:name w:val="toc 1"/>
    <w:basedOn w:val="1"/>
    <w:next w:val="1"/>
    <w:link w:val="375"/>
    <w:unhideWhenUsed/>
    <w:qFormat/>
    <w:uiPriority w:val="39"/>
  </w:style>
  <w:style w:type="paragraph" w:styleId="44">
    <w:name w:val="toc 4"/>
    <w:basedOn w:val="1"/>
    <w:next w:val="1"/>
    <w:qFormat/>
    <w:uiPriority w:val="39"/>
    <w:pPr>
      <w:ind w:left="630"/>
      <w:jc w:val="left"/>
    </w:pPr>
    <w:rPr>
      <w:rFonts w:ascii="Calibri" w:hAnsi="Calibri" w:cs="Calibri"/>
      <w:sz w:val="18"/>
      <w:szCs w:val="18"/>
    </w:rPr>
  </w:style>
  <w:style w:type="paragraph" w:styleId="45">
    <w:name w:val="Subtitle"/>
    <w:basedOn w:val="1"/>
    <w:next w:val="1"/>
    <w:link w:val="100"/>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6">
    <w:name w:val="List Number 5"/>
    <w:basedOn w:val="1"/>
    <w:qFormat/>
    <w:uiPriority w:val="0"/>
    <w:pPr>
      <w:widowControl/>
      <w:tabs>
        <w:tab w:val="left" w:pos="420"/>
      </w:tabs>
      <w:snapToGrid w:val="0"/>
      <w:ind w:left="420" w:right="709" w:hanging="420"/>
      <w:jc w:val="left"/>
    </w:pPr>
    <w:rPr>
      <w:rFonts w:ascii="Calibri" w:hAnsi="Calibri" w:eastAsia="2OcuAe"/>
      <w:spacing w:val="2"/>
      <w:kern w:val="0"/>
      <w:sz w:val="20"/>
      <w:szCs w:val="20"/>
      <w:lang w:eastAsia="zh-TW"/>
    </w:rPr>
  </w:style>
  <w:style w:type="paragraph" w:styleId="47">
    <w:name w:val="List"/>
    <w:basedOn w:val="1"/>
    <w:semiHidden/>
    <w:unhideWhenUsed/>
    <w:qFormat/>
    <w:uiPriority w:val="99"/>
    <w:pPr>
      <w:ind w:left="200" w:hanging="200" w:hangingChars="200"/>
    </w:pPr>
    <w:rPr>
      <w:sz w:val="28"/>
    </w:rPr>
  </w:style>
  <w:style w:type="paragraph" w:styleId="48">
    <w:name w:val="footnote text"/>
    <w:basedOn w:val="1"/>
    <w:link w:val="118"/>
    <w:qFormat/>
    <w:uiPriority w:val="0"/>
    <w:pPr>
      <w:wordWrap w:val="0"/>
      <w:snapToGrid w:val="0"/>
      <w:spacing w:line="360" w:lineRule="auto"/>
      <w:ind w:firstLine="200" w:firstLineChars="200"/>
      <w:jc w:val="left"/>
    </w:pPr>
    <w:rPr>
      <w:rFonts w:ascii="宋体" w:hAnsi="Calibri" w:cs="宋体"/>
      <w:sz w:val="18"/>
      <w:szCs w:val="18"/>
    </w:rPr>
  </w:style>
  <w:style w:type="paragraph" w:styleId="49">
    <w:name w:val="toc 6"/>
    <w:basedOn w:val="1"/>
    <w:next w:val="1"/>
    <w:qFormat/>
    <w:uiPriority w:val="39"/>
    <w:pPr>
      <w:ind w:left="1050"/>
      <w:jc w:val="left"/>
    </w:pPr>
    <w:rPr>
      <w:rFonts w:ascii="Calibri" w:hAnsi="Calibri" w:cs="Calibri"/>
      <w:sz w:val="18"/>
      <w:szCs w:val="18"/>
    </w:rPr>
  </w:style>
  <w:style w:type="paragraph" w:styleId="50">
    <w:name w:val="Body Text Indent 3"/>
    <w:basedOn w:val="1"/>
    <w:link w:val="119"/>
    <w:unhideWhenUsed/>
    <w:qFormat/>
    <w:uiPriority w:val="0"/>
    <w:pPr>
      <w:snapToGrid w:val="0"/>
      <w:ind w:firstLine="480" w:firstLineChars="200"/>
      <w:jc w:val="left"/>
    </w:pPr>
    <w:rPr>
      <w:rFonts w:ascii="仿宋_GB2312" w:hAnsi="宋体" w:eastAsia="Times New Roman"/>
      <w:color w:val="000000"/>
      <w:kern w:val="0"/>
      <w:sz w:val="24"/>
    </w:rPr>
  </w:style>
  <w:style w:type="paragraph" w:styleId="51">
    <w:name w:val="toc 2"/>
    <w:basedOn w:val="1"/>
    <w:next w:val="1"/>
    <w:unhideWhenUsed/>
    <w:qFormat/>
    <w:uiPriority w:val="39"/>
    <w:pPr>
      <w:ind w:left="420" w:leftChars="200"/>
    </w:pPr>
  </w:style>
  <w:style w:type="paragraph" w:styleId="52">
    <w:name w:val="toc 9"/>
    <w:basedOn w:val="1"/>
    <w:next w:val="1"/>
    <w:qFormat/>
    <w:uiPriority w:val="39"/>
    <w:pPr>
      <w:ind w:left="1680"/>
      <w:jc w:val="left"/>
    </w:pPr>
    <w:rPr>
      <w:rFonts w:ascii="Calibri" w:hAnsi="Calibri" w:cs="Calibri"/>
      <w:sz w:val="18"/>
      <w:szCs w:val="18"/>
    </w:rPr>
  </w:style>
  <w:style w:type="paragraph" w:styleId="53">
    <w:name w:val="Body Text 2"/>
    <w:basedOn w:val="1"/>
    <w:link w:val="120"/>
    <w:unhideWhenUsed/>
    <w:qFormat/>
    <w:uiPriority w:val="0"/>
    <w:pPr>
      <w:widowControl/>
      <w:overflowPunct w:val="0"/>
      <w:autoSpaceDE w:val="0"/>
      <w:autoSpaceDN w:val="0"/>
      <w:adjustRightInd w:val="0"/>
      <w:spacing w:line="280" w:lineRule="exact"/>
      <w:jc w:val="center"/>
    </w:pPr>
    <w:rPr>
      <w:rFonts w:ascii="宋体" w:hAnsi="宋体" w:cs="宋体"/>
      <w:bCs/>
    </w:rPr>
  </w:style>
  <w:style w:type="paragraph" w:styleId="54">
    <w:name w:val="HTML Preformatted"/>
    <w:basedOn w:val="1"/>
    <w:link w:val="12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55">
    <w:name w:val="Normal (Web)"/>
    <w:basedOn w:val="1"/>
    <w:link w:val="728"/>
    <w:unhideWhenUsed/>
    <w:qFormat/>
    <w:uiPriority w:val="0"/>
    <w:pPr>
      <w:widowControl/>
      <w:spacing w:before="100" w:beforeAutospacing="1" w:after="100" w:afterAutospacing="1"/>
      <w:jc w:val="left"/>
    </w:pPr>
    <w:rPr>
      <w:rFonts w:ascii="(使用中文字体)" w:hAnsi="(使用中文字体)" w:cs="(使用中文字体)"/>
      <w:kern w:val="0"/>
      <w:sz w:val="24"/>
      <w:szCs w:val="24"/>
    </w:rPr>
  </w:style>
  <w:style w:type="paragraph" w:styleId="56">
    <w:name w:val="index 1"/>
    <w:basedOn w:val="1"/>
    <w:next w:val="1"/>
    <w:unhideWhenUsed/>
    <w:qFormat/>
    <w:uiPriority w:val="0"/>
    <w:pPr>
      <w:tabs>
        <w:tab w:val="left" w:pos="900"/>
      </w:tabs>
      <w:adjustRightInd w:val="0"/>
      <w:ind w:firstLine="420" w:firstLineChars="200"/>
    </w:pPr>
    <w:rPr>
      <w:rFonts w:ascii="宋体" w:hAnsi="宋体"/>
    </w:rPr>
  </w:style>
  <w:style w:type="paragraph" w:styleId="57">
    <w:name w:val="Title"/>
    <w:basedOn w:val="1"/>
    <w:next w:val="1"/>
    <w:link w:val="9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58">
    <w:name w:val="annotation subject"/>
    <w:basedOn w:val="20"/>
    <w:next w:val="20"/>
    <w:link w:val="122"/>
    <w:unhideWhenUsed/>
    <w:qFormat/>
    <w:uiPriority w:val="0"/>
    <w:rPr>
      <w:rFonts w:cs="宋体"/>
    </w:rPr>
  </w:style>
  <w:style w:type="paragraph" w:styleId="59">
    <w:name w:val="Body Text First Indent 2"/>
    <w:basedOn w:val="26"/>
    <w:link w:val="89"/>
    <w:unhideWhenUsed/>
    <w:qFormat/>
    <w:uiPriority w:val="99"/>
    <w:pPr>
      <w:ind w:firstLine="420" w:firstLineChars="200"/>
    </w:pPr>
  </w:style>
  <w:style w:type="table" w:styleId="61">
    <w:name w:val="Table Grid"/>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2">
    <w:name w:val="Table Theme"/>
    <w:basedOn w:val="60"/>
    <w:semiHidden/>
    <w:unhideWhenUsed/>
    <w:qFormat/>
    <w:uiPriority w:val="99"/>
    <w:pPr>
      <w:widowControl w:val="0"/>
      <w:spacing w:after="0" w:line="240" w:lineRule="auto"/>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widowControl w:val="0"/>
      <w:spacing w:after="0" w:line="240" w:lineRule="auto"/>
      <w:jc w:val="both"/>
    </w:pPr>
    <w:rPr>
      <w:rFonts w:ascii="Times New Roman" w:hAnsi="Times New Roman" w:eastAsia="宋体" w:cs="Times New Roman"/>
      <w:kern w:val="0"/>
      <w:sz w:val="20"/>
      <w:szCs w:val="20"/>
      <w14:ligatures w14:val="none"/>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Medium Shading 2 Accent 2"/>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3"/>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4"/>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5"/>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6"/>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0">
    <w:name w:val="Strong"/>
    <w:basedOn w:val="69"/>
    <w:qFormat/>
    <w:uiPriority w:val="0"/>
    <w:rPr>
      <w:rFonts w:hint="default" w:ascii="Times New Roman" w:hAnsi="Times New Roman" w:cs="Times New Roman"/>
      <w:b/>
    </w:rPr>
  </w:style>
  <w:style w:type="character" w:styleId="71">
    <w:name w:val="page number"/>
    <w:basedOn w:val="69"/>
    <w:unhideWhenUsed/>
    <w:qFormat/>
    <w:uiPriority w:val="0"/>
    <w:rPr>
      <w:rFonts w:hint="default" w:ascii="Times New Roman" w:hAnsi="Times New Roman" w:cs="Times New Roman"/>
    </w:rPr>
  </w:style>
  <w:style w:type="character" w:styleId="72">
    <w:name w:val="FollowedHyperlink"/>
    <w:basedOn w:val="69"/>
    <w:unhideWhenUsed/>
    <w:qFormat/>
    <w:uiPriority w:val="0"/>
    <w:rPr>
      <w:rFonts w:hint="default" w:ascii="Times New Roman" w:hAnsi="Times New Roman" w:cs="Times New Roman"/>
      <w:color w:val="800080"/>
      <w:u w:val="single"/>
    </w:rPr>
  </w:style>
  <w:style w:type="character" w:styleId="73">
    <w:name w:val="Emphasis"/>
    <w:qFormat/>
    <w:uiPriority w:val="0"/>
    <w:rPr>
      <w:rFonts w:ascii="Calibri" w:hAnsi="Calibri" w:eastAsia="宋体" w:cs="Times New Roman"/>
    </w:rPr>
  </w:style>
  <w:style w:type="character" w:styleId="74">
    <w:name w:val="HTML Definition"/>
    <w:basedOn w:val="69"/>
    <w:semiHidden/>
    <w:unhideWhenUsed/>
    <w:qFormat/>
    <w:uiPriority w:val="0"/>
    <w:rPr>
      <w:rFonts w:hint="default" w:ascii="Times New Roman" w:hAnsi="Times New Roman" w:cs="Times New Roman"/>
      <w:i/>
    </w:rPr>
  </w:style>
  <w:style w:type="character" w:styleId="75">
    <w:name w:val="Hyperlink"/>
    <w:basedOn w:val="69"/>
    <w:unhideWhenUsed/>
    <w:qFormat/>
    <w:uiPriority w:val="99"/>
    <w:rPr>
      <w:rFonts w:hint="default" w:ascii="Times New Roman" w:hAnsi="Times New Roman" w:cs="Times New Roman"/>
      <w:color w:val="0000FF"/>
      <w:u w:val="single"/>
    </w:rPr>
  </w:style>
  <w:style w:type="character" w:styleId="76">
    <w:name w:val="HTML Code"/>
    <w:basedOn w:val="69"/>
    <w:semiHidden/>
    <w:unhideWhenUsed/>
    <w:qFormat/>
    <w:uiPriority w:val="0"/>
    <w:rPr>
      <w:rFonts w:hint="default" w:ascii="Marlett" w:hAnsi="Marlett" w:eastAsia="Times New Roman" w:cs="Times New Roman"/>
      <w:sz w:val="21"/>
      <w:szCs w:val="24"/>
    </w:rPr>
  </w:style>
  <w:style w:type="character" w:styleId="77">
    <w:name w:val="annotation reference"/>
    <w:basedOn w:val="69"/>
    <w:unhideWhenUsed/>
    <w:qFormat/>
    <w:uiPriority w:val="0"/>
    <w:rPr>
      <w:rFonts w:hint="default" w:ascii="Times New Roman" w:hAnsi="Times New Roman" w:cs="Times New Roman"/>
      <w:sz w:val="21"/>
    </w:rPr>
  </w:style>
  <w:style w:type="character" w:styleId="78">
    <w:name w:val="footnote reference"/>
    <w:basedOn w:val="69"/>
    <w:qFormat/>
    <w:uiPriority w:val="0"/>
    <w:rPr>
      <w:vertAlign w:val="superscript"/>
    </w:rPr>
  </w:style>
  <w:style w:type="character" w:styleId="79">
    <w:name w:val="HTML Keyboard"/>
    <w:basedOn w:val="69"/>
    <w:semiHidden/>
    <w:unhideWhenUsed/>
    <w:qFormat/>
    <w:uiPriority w:val="0"/>
    <w:rPr>
      <w:rFonts w:hint="default" w:ascii="Marlett" w:hAnsi="Marlett" w:eastAsia="Times New Roman" w:cs="Times New Roman"/>
      <w:sz w:val="21"/>
      <w:szCs w:val="24"/>
    </w:rPr>
  </w:style>
  <w:style w:type="character" w:styleId="80">
    <w:name w:val="HTML Sample"/>
    <w:basedOn w:val="69"/>
    <w:semiHidden/>
    <w:unhideWhenUsed/>
    <w:qFormat/>
    <w:uiPriority w:val="0"/>
    <w:rPr>
      <w:rFonts w:hint="default" w:ascii="Marlett" w:hAnsi="Marlett" w:eastAsia="Times New Roman" w:cs="Times New Roman"/>
      <w:sz w:val="21"/>
    </w:rPr>
  </w:style>
  <w:style w:type="paragraph" w:customStyle="1" w:styleId="81">
    <w:name w:val="普通(网站)1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82">
    <w:name w:val="正文文本 字符"/>
    <w:basedOn w:val="69"/>
    <w:link w:val="24"/>
    <w:qFormat/>
    <w:uiPriority w:val="1"/>
  </w:style>
  <w:style w:type="character" w:customStyle="1" w:styleId="83">
    <w:name w:val="正文文本首行缩进 字符"/>
    <w:basedOn w:val="82"/>
    <w:link w:val="25"/>
    <w:qFormat/>
    <w:uiPriority w:val="0"/>
    <w:rPr>
      <w:rFonts w:ascii="Calibri" w:hAnsi="Calibri" w:eastAsia="宋体" w:cs="Times New Roman"/>
      <w:kern w:val="0"/>
      <w:sz w:val="21"/>
      <w:szCs w:val="22"/>
      <w14:ligatures w14:val="none"/>
    </w:rPr>
  </w:style>
  <w:style w:type="paragraph" w:customStyle="1" w:styleId="84">
    <w:name w:val="首行缩进"/>
    <w:basedOn w:val="1"/>
    <w:qFormat/>
    <w:uiPriority w:val="0"/>
    <w:pPr>
      <w:spacing w:line="360" w:lineRule="auto"/>
      <w:ind w:firstLine="480" w:firstLineChars="200"/>
      <w:jc w:val="left"/>
    </w:pPr>
    <w:rPr>
      <w:rFonts w:ascii="宋体" w:hAnsi="宋体"/>
      <w:sz w:val="24"/>
    </w:rPr>
  </w:style>
  <w:style w:type="paragraph" w:customStyle="1" w:styleId="85">
    <w:name w:val="自动更正"/>
    <w:qFormat/>
    <w:uiPriority w:val="0"/>
    <w:pPr>
      <w:widowControl w:val="0"/>
      <w:spacing w:after="0" w:line="240" w:lineRule="auto"/>
      <w:jc w:val="both"/>
    </w:pPr>
    <w:rPr>
      <w:rFonts w:ascii="Calibri" w:hAnsi="Calibri" w:eastAsia="宋体" w:cs="Times New Roman"/>
      <w:kern w:val="2"/>
      <w:sz w:val="21"/>
      <w:szCs w:val="24"/>
      <w:lang w:val="en-US" w:eastAsia="zh-CN" w:bidi="ar-SA"/>
      <w14:ligatures w14:val="none"/>
    </w:rPr>
  </w:style>
  <w:style w:type="character" w:customStyle="1" w:styleId="86">
    <w:name w:val="纯文本 字符"/>
    <w:basedOn w:val="69"/>
    <w:link w:val="33"/>
    <w:qFormat/>
    <w:uiPriority w:val="0"/>
    <w:rPr>
      <w:rFonts w:ascii="宋体" w:hAnsi="Courier New" w:eastAsia="宋体" w:cs="Times New Roman"/>
      <w:kern w:val="0"/>
      <w:sz w:val="24"/>
      <w:szCs w:val="20"/>
    </w:rPr>
  </w:style>
  <w:style w:type="character" w:customStyle="1" w:styleId="87">
    <w:name w:val="标题 2 字符"/>
    <w:basedOn w:val="69"/>
    <w:link w:val="3"/>
    <w:qFormat/>
    <w:uiPriority w:val="9"/>
    <w:rPr>
      <w:rFonts w:asciiTheme="majorHAnsi" w:hAnsiTheme="majorHAnsi" w:eastAsiaTheme="majorEastAsia" w:cstheme="majorBidi"/>
      <w:color w:val="104862" w:themeColor="accent1" w:themeShade="BF"/>
      <w:sz w:val="40"/>
      <w:szCs w:val="40"/>
      <w14:ligatures w14:val="none"/>
    </w:rPr>
  </w:style>
  <w:style w:type="character" w:customStyle="1" w:styleId="88">
    <w:name w:val="正文文本缩进 字符"/>
    <w:basedOn w:val="69"/>
    <w:link w:val="26"/>
    <w:qFormat/>
    <w:uiPriority w:val="99"/>
    <w:rPr>
      <w:sz w:val="21"/>
      <w:szCs w:val="22"/>
      <w14:ligatures w14:val="none"/>
    </w:rPr>
  </w:style>
  <w:style w:type="character" w:customStyle="1" w:styleId="89">
    <w:name w:val="正文文本首行缩进 2 字符"/>
    <w:basedOn w:val="88"/>
    <w:link w:val="59"/>
    <w:qFormat/>
    <w:uiPriority w:val="99"/>
    <w:rPr>
      <w:sz w:val="21"/>
      <w:szCs w:val="22"/>
      <w14:ligatures w14:val="none"/>
    </w:rPr>
  </w:style>
  <w:style w:type="paragraph" w:customStyle="1" w:styleId="90">
    <w:name w:val="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1">
    <w:name w:val="标题 1 字符"/>
    <w:basedOn w:val="69"/>
    <w:link w:val="2"/>
    <w:qFormat/>
    <w:uiPriority w:val="0"/>
    <w:rPr>
      <w:rFonts w:asciiTheme="majorHAnsi" w:hAnsiTheme="majorHAnsi" w:eastAsiaTheme="majorEastAsia" w:cstheme="majorBidi"/>
      <w:color w:val="104862" w:themeColor="accent1" w:themeShade="BF"/>
      <w:sz w:val="48"/>
      <w:szCs w:val="48"/>
      <w14:ligatures w14:val="none"/>
    </w:rPr>
  </w:style>
  <w:style w:type="character" w:customStyle="1" w:styleId="92">
    <w:name w:val="标题 3 字符"/>
    <w:basedOn w:val="69"/>
    <w:link w:val="5"/>
    <w:qFormat/>
    <w:uiPriority w:val="0"/>
    <w:rPr>
      <w:rFonts w:asciiTheme="majorHAnsi" w:hAnsiTheme="majorHAnsi" w:eastAsiaTheme="majorEastAsia" w:cstheme="majorBidi"/>
      <w:color w:val="104862" w:themeColor="accent1" w:themeShade="BF"/>
      <w:sz w:val="32"/>
      <w:szCs w:val="32"/>
      <w14:ligatures w14:val="none"/>
    </w:rPr>
  </w:style>
  <w:style w:type="character" w:customStyle="1" w:styleId="93">
    <w:name w:val="标题 4 字符"/>
    <w:basedOn w:val="69"/>
    <w:link w:val="4"/>
    <w:qFormat/>
    <w:uiPriority w:val="0"/>
    <w:rPr>
      <w:rFonts w:cstheme="majorBidi"/>
      <w:color w:val="104862" w:themeColor="accent1" w:themeShade="BF"/>
      <w:sz w:val="28"/>
      <w:szCs w:val="28"/>
      <w14:ligatures w14:val="none"/>
    </w:rPr>
  </w:style>
  <w:style w:type="character" w:customStyle="1" w:styleId="94">
    <w:name w:val="标题 5 字符"/>
    <w:basedOn w:val="69"/>
    <w:link w:val="6"/>
    <w:qFormat/>
    <w:uiPriority w:val="0"/>
    <w:rPr>
      <w:rFonts w:cstheme="majorBidi"/>
      <w:color w:val="104862" w:themeColor="accent1" w:themeShade="BF"/>
      <w:sz w:val="24"/>
      <w14:ligatures w14:val="none"/>
    </w:rPr>
  </w:style>
  <w:style w:type="character" w:customStyle="1" w:styleId="95">
    <w:name w:val="标题 6 字符"/>
    <w:basedOn w:val="69"/>
    <w:link w:val="7"/>
    <w:qFormat/>
    <w:uiPriority w:val="9"/>
    <w:rPr>
      <w:rFonts w:cstheme="majorBidi"/>
      <w:b/>
      <w:bCs/>
      <w:color w:val="104862" w:themeColor="accent1" w:themeShade="BF"/>
      <w:sz w:val="21"/>
      <w:szCs w:val="22"/>
      <w14:ligatures w14:val="none"/>
    </w:rPr>
  </w:style>
  <w:style w:type="character" w:customStyle="1" w:styleId="96">
    <w:name w:val="标题 7 字符"/>
    <w:basedOn w:val="69"/>
    <w:link w:val="8"/>
    <w:qFormat/>
    <w:uiPriority w:val="9"/>
    <w:rPr>
      <w:rFonts w:cstheme="majorBidi"/>
      <w:b/>
      <w:bCs/>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7">
    <w:name w:val="标题 8 字符"/>
    <w:basedOn w:val="69"/>
    <w:link w:val="9"/>
    <w:qFormat/>
    <w:uiPriority w:val="9"/>
    <w:rPr>
      <w:rFonts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8">
    <w:name w:val="标题 9 字符"/>
    <w:basedOn w:val="69"/>
    <w:link w:val="10"/>
    <w:qFormat/>
    <w:uiPriority w:val="9"/>
    <w:rPr>
      <w:rFonts w:eastAsiaTheme="majorEastAsia"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9">
    <w:name w:val="标题 字符"/>
    <w:basedOn w:val="69"/>
    <w:link w:val="57"/>
    <w:qFormat/>
    <w:uiPriority w:val="0"/>
    <w:rPr>
      <w:rFonts w:asciiTheme="majorHAnsi" w:hAnsiTheme="majorHAnsi" w:eastAsiaTheme="majorEastAsia" w:cstheme="majorBidi"/>
      <w:spacing w:val="-10"/>
      <w:kern w:val="28"/>
      <w:sz w:val="56"/>
      <w:szCs w:val="56"/>
      <w14:ligatures w14:val="none"/>
    </w:rPr>
  </w:style>
  <w:style w:type="character" w:customStyle="1" w:styleId="100">
    <w:name w:val="副标题 字符"/>
    <w:basedOn w:val="69"/>
    <w:link w:val="45"/>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paragraph" w:styleId="101">
    <w:name w:val="Quote"/>
    <w:basedOn w:val="1"/>
    <w:next w:val="1"/>
    <w:link w:val="10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102">
    <w:name w:val="引用 字符"/>
    <w:basedOn w:val="69"/>
    <w:link w:val="101"/>
    <w:qFormat/>
    <w:uiPriority w:val="29"/>
    <w:rPr>
      <w:rFonts w:ascii="Times New Roman" w:hAnsi="Times New Roman" w:eastAsia="宋体" w:cs="Times New Roman"/>
      <w:i/>
      <w:iCs/>
      <w:color w:val="404040" w:themeColor="text1" w:themeTint="BF"/>
      <w:sz w:val="21"/>
      <w:szCs w:val="22"/>
      <w14:textFill>
        <w14:solidFill>
          <w14:schemeClr w14:val="tx1">
            <w14:lumMod w14:val="75000"/>
            <w14:lumOff w14:val="25000"/>
          </w14:schemeClr>
        </w14:solidFill>
      </w14:textFill>
      <w14:ligatures w14:val="none"/>
    </w:rPr>
  </w:style>
  <w:style w:type="paragraph" w:styleId="103">
    <w:name w:val="List Paragraph"/>
    <w:basedOn w:val="1"/>
    <w:qFormat/>
    <w:uiPriority w:val="34"/>
    <w:pPr>
      <w:ind w:left="720"/>
      <w:contextualSpacing/>
    </w:pPr>
  </w:style>
  <w:style w:type="character" w:customStyle="1" w:styleId="104">
    <w:name w:val="Intense Emphasis"/>
    <w:basedOn w:val="69"/>
    <w:qFormat/>
    <w:uiPriority w:val="21"/>
    <w:rPr>
      <w:i/>
      <w:iCs/>
      <w:color w:val="104862" w:themeColor="accent1" w:themeShade="BF"/>
    </w:rPr>
  </w:style>
  <w:style w:type="paragraph" w:styleId="105">
    <w:name w:val="Intense Quote"/>
    <w:basedOn w:val="1"/>
    <w:next w:val="1"/>
    <w:link w:val="10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106">
    <w:name w:val="明显引用 字符"/>
    <w:basedOn w:val="69"/>
    <w:link w:val="105"/>
    <w:qFormat/>
    <w:uiPriority w:val="30"/>
    <w:rPr>
      <w:rFonts w:ascii="Times New Roman" w:hAnsi="Times New Roman" w:eastAsia="宋体" w:cs="Times New Roman"/>
      <w:i/>
      <w:iCs/>
      <w:color w:val="104862" w:themeColor="accent1" w:themeShade="BF"/>
      <w:sz w:val="21"/>
      <w:szCs w:val="22"/>
      <w14:ligatures w14:val="none"/>
    </w:rPr>
  </w:style>
  <w:style w:type="character" w:customStyle="1" w:styleId="107">
    <w:name w:val="Intense Reference"/>
    <w:basedOn w:val="69"/>
    <w:qFormat/>
    <w:uiPriority w:val="32"/>
    <w:rPr>
      <w:b/>
      <w:bCs/>
      <w:smallCaps/>
      <w:color w:val="104862" w:themeColor="accent1" w:themeShade="BF"/>
      <w:spacing w:val="5"/>
    </w:rPr>
  </w:style>
  <w:style w:type="character" w:customStyle="1" w:styleId="108">
    <w:name w:val="页眉 字符"/>
    <w:basedOn w:val="69"/>
    <w:link w:val="42"/>
    <w:qFormat/>
    <w:uiPriority w:val="99"/>
    <w:rPr>
      <w:rFonts w:ascii="Times New Roman" w:hAnsi="Times New Roman" w:eastAsia="宋体" w:cs="Times New Roman"/>
      <w:sz w:val="18"/>
      <w:szCs w:val="18"/>
      <w14:ligatures w14:val="none"/>
    </w:rPr>
  </w:style>
  <w:style w:type="character" w:customStyle="1" w:styleId="109">
    <w:name w:val="页脚 字符"/>
    <w:basedOn w:val="69"/>
    <w:link w:val="41"/>
    <w:qFormat/>
    <w:uiPriority w:val="99"/>
    <w:rPr>
      <w:rFonts w:ascii="Times New Roman" w:hAnsi="Times New Roman" w:eastAsia="宋体" w:cs="Times New Roman"/>
      <w:sz w:val="18"/>
      <w:szCs w:val="18"/>
      <w14:ligatures w14:val="none"/>
    </w:rPr>
  </w:style>
  <w:style w:type="character" w:customStyle="1" w:styleId="110">
    <w:name w:val="文档结构图 字符"/>
    <w:basedOn w:val="69"/>
    <w:link w:val="19"/>
    <w:qFormat/>
    <w:uiPriority w:val="0"/>
    <w:rPr>
      <w:rFonts w:ascii="Times New Roman" w:hAnsi="Times New Roman" w:eastAsia="宋体" w:cs="宋体"/>
      <w:sz w:val="21"/>
      <w:szCs w:val="22"/>
      <w:shd w:val="clear" w:color="auto" w:fill="000080"/>
      <w14:ligatures w14:val="none"/>
    </w:rPr>
  </w:style>
  <w:style w:type="character" w:customStyle="1" w:styleId="111">
    <w:name w:val="批注文字 字符"/>
    <w:basedOn w:val="69"/>
    <w:link w:val="20"/>
    <w:qFormat/>
    <w:uiPriority w:val="0"/>
    <w:rPr>
      <w:rFonts w:ascii="Times New Roman" w:hAnsi="Times New Roman" w:eastAsia="宋体" w:cs="Times New Roman"/>
      <w:b/>
      <w:bCs/>
      <w:sz w:val="36"/>
      <w:szCs w:val="36"/>
      <w14:ligatures w14:val="none"/>
    </w:rPr>
  </w:style>
  <w:style w:type="character" w:customStyle="1" w:styleId="112">
    <w:name w:val="称呼 字符"/>
    <w:basedOn w:val="69"/>
    <w:link w:val="21"/>
    <w:qFormat/>
    <w:uiPriority w:val="0"/>
    <w:rPr>
      <w:rFonts w:ascii="Times New Roman" w:hAnsi="Times New Roman" w:eastAsia="宋体" w:cs="Times New Roman"/>
      <w:kern w:val="0"/>
      <w:sz w:val="20"/>
      <w14:ligatures w14:val="none"/>
    </w:rPr>
  </w:style>
  <w:style w:type="character" w:customStyle="1" w:styleId="113">
    <w:name w:val="正文文本 3 字符"/>
    <w:basedOn w:val="69"/>
    <w:link w:val="22"/>
    <w:qFormat/>
    <w:uiPriority w:val="0"/>
    <w:rPr>
      <w:rFonts w:ascii="Times New Roman" w:hAnsi="宋体" w:eastAsia="Times New Roman" w:cs="Times New Roman"/>
      <w:b/>
      <w:sz w:val="24"/>
      <w:szCs w:val="22"/>
      <w14:ligatures w14:val="none"/>
    </w:rPr>
  </w:style>
  <w:style w:type="character" w:customStyle="1" w:styleId="114">
    <w:name w:val="日期 字符"/>
    <w:basedOn w:val="69"/>
    <w:link w:val="37"/>
    <w:qFormat/>
    <w:uiPriority w:val="99"/>
    <w:rPr>
      <w:rFonts w:ascii="Calibri" w:hAnsi="Calibri" w:eastAsia="楷体_GB2312" w:cs="Times New Roman"/>
      <w:kern w:val="0"/>
      <w:sz w:val="32"/>
      <w:szCs w:val="22"/>
      <w14:ligatures w14:val="none"/>
    </w:rPr>
  </w:style>
  <w:style w:type="character" w:customStyle="1" w:styleId="115">
    <w:name w:val="正文文本缩进 2 字符"/>
    <w:basedOn w:val="69"/>
    <w:link w:val="38"/>
    <w:qFormat/>
    <w:uiPriority w:val="0"/>
    <w:rPr>
      <w:rFonts w:ascii="仿宋_GB2312" w:hAnsi="宋体" w:eastAsia="宋体" w:cs="Times New Roman"/>
      <w:b/>
      <w:color w:val="000000"/>
      <w:kern w:val="0"/>
      <w:sz w:val="24"/>
      <w:szCs w:val="22"/>
      <w14:ligatures w14:val="none"/>
    </w:rPr>
  </w:style>
  <w:style w:type="character" w:customStyle="1" w:styleId="116">
    <w:name w:val="尾注文本 字符"/>
    <w:basedOn w:val="69"/>
    <w:link w:val="39"/>
    <w:qFormat/>
    <w:uiPriority w:val="0"/>
    <w:rPr>
      <w:rFonts w:ascii="Times New Roman" w:hAnsi="Times New Roman" w:eastAsia="宋体" w:cs="Times New Roman"/>
      <w:kern w:val="0"/>
      <w:sz w:val="24"/>
      <w:szCs w:val="20"/>
      <w14:ligatures w14:val="none"/>
    </w:rPr>
  </w:style>
  <w:style w:type="character" w:customStyle="1" w:styleId="117">
    <w:name w:val="批注框文本 字符"/>
    <w:basedOn w:val="69"/>
    <w:link w:val="40"/>
    <w:qFormat/>
    <w:uiPriority w:val="0"/>
    <w:rPr>
      <w:rFonts w:ascii="Calibri" w:hAnsi="Calibri" w:eastAsia="宋体" w:cs="Times New Roman"/>
      <w:sz w:val="18"/>
      <w:szCs w:val="18"/>
      <w14:ligatures w14:val="none"/>
    </w:rPr>
  </w:style>
  <w:style w:type="character" w:customStyle="1" w:styleId="118">
    <w:name w:val="脚注文本 字符"/>
    <w:basedOn w:val="69"/>
    <w:link w:val="48"/>
    <w:qFormat/>
    <w:uiPriority w:val="0"/>
    <w:rPr>
      <w:rFonts w:ascii="宋体" w:hAnsi="Calibri" w:eastAsia="宋体" w:cs="宋体"/>
      <w:sz w:val="18"/>
      <w:szCs w:val="18"/>
      <w14:ligatures w14:val="none"/>
    </w:rPr>
  </w:style>
  <w:style w:type="character" w:customStyle="1" w:styleId="119">
    <w:name w:val="正文文本缩进 3 字符"/>
    <w:basedOn w:val="69"/>
    <w:link w:val="50"/>
    <w:qFormat/>
    <w:uiPriority w:val="0"/>
    <w:rPr>
      <w:rFonts w:ascii="仿宋_GB2312" w:hAnsi="宋体" w:eastAsia="Times New Roman" w:cs="Times New Roman"/>
      <w:color w:val="000000"/>
      <w:kern w:val="0"/>
      <w:sz w:val="24"/>
      <w:szCs w:val="22"/>
      <w14:ligatures w14:val="none"/>
    </w:rPr>
  </w:style>
  <w:style w:type="character" w:customStyle="1" w:styleId="120">
    <w:name w:val="正文文本 2 字符"/>
    <w:basedOn w:val="69"/>
    <w:link w:val="53"/>
    <w:qFormat/>
    <w:uiPriority w:val="0"/>
    <w:rPr>
      <w:rFonts w:ascii="宋体" w:hAnsi="宋体" w:eastAsia="宋体" w:cs="宋体"/>
      <w:bCs/>
      <w:sz w:val="21"/>
      <w:szCs w:val="22"/>
      <w14:ligatures w14:val="none"/>
    </w:rPr>
  </w:style>
  <w:style w:type="character" w:customStyle="1" w:styleId="121">
    <w:name w:val="HTML 预设格式 字符"/>
    <w:basedOn w:val="69"/>
    <w:link w:val="54"/>
    <w:qFormat/>
    <w:uiPriority w:val="0"/>
    <w:rPr>
      <w:rFonts w:ascii="Courier New" w:hAnsi="Courier New" w:eastAsia="宋体" w:cs="Times New Roman"/>
      <w:kern w:val="0"/>
      <w:sz w:val="20"/>
      <w:szCs w:val="20"/>
      <w14:ligatures w14:val="none"/>
    </w:rPr>
  </w:style>
  <w:style w:type="character" w:customStyle="1" w:styleId="122">
    <w:name w:val="批注主题 字符"/>
    <w:basedOn w:val="111"/>
    <w:link w:val="58"/>
    <w:qFormat/>
    <w:uiPriority w:val="0"/>
    <w:rPr>
      <w:rFonts w:ascii="Times New Roman" w:hAnsi="Times New Roman" w:eastAsia="宋体" w:cs="宋体"/>
      <w:sz w:val="36"/>
      <w:szCs w:val="36"/>
      <w14:ligatures w14:val="none"/>
    </w:rPr>
  </w:style>
  <w:style w:type="paragraph" w:customStyle="1" w:styleId="123">
    <w:name w:val="表格文字"/>
    <w:basedOn w:val="1"/>
    <w:next w:val="24"/>
    <w:qFormat/>
    <w:uiPriority w:val="0"/>
    <w:rPr>
      <w:sz w:val="18"/>
      <w:szCs w:val="24"/>
    </w:rPr>
  </w:style>
  <w:style w:type="paragraph" w:customStyle="1" w:styleId="124">
    <w:name w:val="正文（绿盟科技）"/>
    <w:qFormat/>
    <w:uiPriority w:val="0"/>
    <w:pPr>
      <w:spacing w:after="0" w:line="300" w:lineRule="auto"/>
    </w:pPr>
    <w:rPr>
      <w:rFonts w:ascii="Arial" w:hAnsi="Arial" w:eastAsia="宋体" w:cs="Times New Roman"/>
      <w:kern w:val="0"/>
      <w:sz w:val="21"/>
      <w:szCs w:val="21"/>
      <w:lang w:val="en-US" w:eastAsia="zh-CN" w:bidi="ar-SA"/>
      <w14:ligatures w14:val="none"/>
    </w:rPr>
  </w:style>
  <w:style w:type="character" w:customStyle="1" w:styleId="125">
    <w:name w:val="正文缩进 字符"/>
    <w:link w:val="16"/>
    <w:qFormat/>
    <w:uiPriority w:val="0"/>
    <w:rPr>
      <w:rFonts w:ascii="Times New Roman" w:hAnsi="Times New Roman" w:eastAsia="宋体" w:cs="Times New Roman"/>
      <w:kern w:val="0"/>
      <w:sz w:val="20"/>
      <w:szCs w:val="20"/>
      <w14:ligatures w14:val="none"/>
    </w:rPr>
  </w:style>
  <w:style w:type="character" w:customStyle="1" w:styleId="126">
    <w:name w:val="题注 字符"/>
    <w:link w:val="17"/>
    <w:qFormat/>
    <w:uiPriority w:val="0"/>
    <w:rPr>
      <w:rFonts w:ascii="Arial" w:hAnsi="Arial" w:eastAsia="黑体" w:cs="Times New Roman"/>
      <w:kern w:val="0"/>
      <w:sz w:val="20"/>
      <w:szCs w:val="20"/>
      <w14:ligatures w14:val="none"/>
    </w:rPr>
  </w:style>
  <w:style w:type="character" w:customStyle="1" w:styleId="127">
    <w:name w:val="正文文本缩进 字符2"/>
    <w:basedOn w:val="69"/>
    <w:semiHidden/>
    <w:qFormat/>
    <w:uiPriority w:val="99"/>
    <w:rPr>
      <w:rFonts w:ascii="宋体" w:hAnsi="Courier New" w:eastAsia="宋体" w:cs="Times New Roman"/>
      <w:spacing w:val="-4"/>
      <w:kern w:val="0"/>
      <w:sz w:val="18"/>
    </w:rPr>
  </w:style>
  <w:style w:type="character" w:customStyle="1" w:styleId="128">
    <w:name w:val="纯文本 字符1"/>
    <w:basedOn w:val="69"/>
    <w:qFormat/>
    <w:uiPriority w:val="0"/>
    <w:rPr>
      <w:rFonts w:ascii="宋体" w:hAnsi="Courier New" w:eastAsia="宋体" w:cs="Times New Roman"/>
      <w:sz w:val="24"/>
    </w:rPr>
  </w:style>
  <w:style w:type="paragraph" w:customStyle="1" w:styleId="129">
    <w:name w:val="标题 71"/>
    <w:basedOn w:val="1"/>
    <w:qFormat/>
    <w:uiPriority w:val="9"/>
    <w:pPr>
      <w:keepNext/>
      <w:keepLines/>
      <w:spacing w:before="120" w:after="120"/>
      <w:outlineLvl w:val="6"/>
    </w:pPr>
    <w:rPr>
      <w:rFonts w:eastAsia="黑体"/>
      <w:sz w:val="24"/>
      <w:szCs w:val="21"/>
    </w:rPr>
  </w:style>
  <w:style w:type="paragraph" w:customStyle="1" w:styleId="130">
    <w:name w:val="标题 81"/>
    <w:basedOn w:val="1"/>
    <w:qFormat/>
    <w:uiPriority w:val="9"/>
    <w:pPr>
      <w:keepNext/>
      <w:keepLines/>
      <w:spacing w:before="120" w:after="120"/>
      <w:outlineLvl w:val="7"/>
    </w:pPr>
    <w:rPr>
      <w:rFonts w:eastAsia="黑体"/>
      <w:bCs/>
      <w:sz w:val="24"/>
      <w:szCs w:val="32"/>
    </w:rPr>
  </w:style>
  <w:style w:type="paragraph" w:customStyle="1" w:styleId="131">
    <w:name w:val="标题 91"/>
    <w:basedOn w:val="1"/>
    <w:qFormat/>
    <w:uiPriority w:val="9"/>
    <w:pPr>
      <w:keepNext/>
      <w:keepLines/>
      <w:spacing w:before="120" w:after="120"/>
      <w:outlineLvl w:val="8"/>
    </w:pPr>
    <w:rPr>
      <w:rFonts w:eastAsia="黑体"/>
      <w:sz w:val="24"/>
      <w:szCs w:val="21"/>
    </w:rPr>
  </w:style>
  <w:style w:type="paragraph" w:customStyle="1" w:styleId="13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章正文"/>
    <w:qFormat/>
    <w:uiPriority w:val="0"/>
    <w:pPr>
      <w:widowControl w:val="0"/>
      <w:spacing w:beforeLines="50" w:after="120" w:line="300" w:lineRule="auto"/>
      <w:ind w:firstLine="480"/>
      <w:jc w:val="both"/>
    </w:pPr>
    <w:rPr>
      <w:rFonts w:ascii="Algerian" w:hAnsi="Algerian" w:eastAsia="宋体" w:cs="宋体"/>
      <w:kern w:val="0"/>
      <w:sz w:val="24"/>
      <w:szCs w:val="24"/>
      <w:lang w:val="en-US" w:eastAsia="zh-CN" w:bidi="ar-SA"/>
      <w14:ligatures w14:val="none"/>
    </w:rPr>
  </w:style>
  <w:style w:type="paragraph" w:customStyle="1" w:styleId="135">
    <w:name w:val="列出段落5"/>
    <w:basedOn w:val="1"/>
    <w:qFormat/>
    <w:uiPriority w:val="99"/>
    <w:pPr>
      <w:ind w:firstLine="420" w:firstLineChars="200"/>
    </w:pPr>
    <w:rPr>
      <w:rFonts w:ascii="Calibri" w:hAnsi="Calibri" w:eastAsia="等线"/>
      <w:sz w:val="24"/>
      <w:szCs w:val="24"/>
    </w:rPr>
  </w:style>
  <w:style w:type="paragraph" w:customStyle="1" w:styleId="136">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137">
    <w:name w:val="图"/>
    <w:basedOn w:val="1"/>
    <w:qFormat/>
    <w:uiPriority w:val="99"/>
    <w:pPr>
      <w:keepNext/>
      <w:adjustRightInd w:val="0"/>
      <w:snapToGrid w:val="0"/>
      <w:spacing w:before="60" w:after="60" w:line="300" w:lineRule="auto"/>
      <w:jc w:val="center"/>
    </w:pPr>
    <w:rPr>
      <w:spacing w:val="20"/>
      <w:kern w:val="0"/>
      <w:sz w:val="24"/>
    </w:rPr>
  </w:style>
  <w:style w:type="paragraph" w:customStyle="1" w:styleId="138">
    <w:name w:val="ÕýÎÄ"/>
    <w:qFormat/>
    <w:uiPriority w:val="99"/>
    <w:pPr>
      <w:widowControl w:val="0"/>
      <w:overflowPunct w:val="0"/>
      <w:autoSpaceDE w:val="0"/>
      <w:autoSpaceDN w:val="0"/>
      <w:adjustRightInd w:val="0"/>
      <w:spacing w:after="0" w:line="351" w:lineRule="atLeast"/>
      <w:ind w:firstLine="419"/>
      <w:jc w:val="both"/>
    </w:pPr>
    <w:rPr>
      <w:rFonts w:ascii="Times New Roman" w:hAnsi="Times New Roman" w:eastAsia="宋体" w:cs="Times New Roman"/>
      <w:color w:val="000000"/>
      <w:kern w:val="0"/>
      <w:sz w:val="21"/>
      <w:szCs w:val="20"/>
      <w:lang w:val="en-US" w:eastAsia="zh-CN" w:bidi="ar-SA"/>
      <w14:ligatures w14:val="none"/>
    </w:rPr>
  </w:style>
  <w:style w:type="paragraph" w:customStyle="1" w:styleId="139">
    <w:name w:val="标准有序列表（L1）"/>
    <w:basedOn w:val="16"/>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40">
    <w:name w:val="f1"/>
    <w:basedOn w:val="1"/>
    <w:qFormat/>
    <w:uiPriority w:val="99"/>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141">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42">
    <w:name w:val="GW-正文 Char"/>
    <w:link w:val="143"/>
    <w:qFormat/>
    <w:uiPriority w:val="0"/>
    <w:rPr>
      <w:rFonts w:ascii="Arial Narrow" w:hAnsi="Arial Narrow" w:eastAsia="宋体" w:cs="Times New Roman"/>
      <w:kern w:val="0"/>
      <w:sz w:val="24"/>
      <w:szCs w:val="20"/>
    </w:rPr>
  </w:style>
  <w:style w:type="paragraph" w:customStyle="1" w:styleId="143">
    <w:name w:val="GW-正文"/>
    <w:basedOn w:val="1"/>
    <w:link w:val="142"/>
    <w:qFormat/>
    <w:uiPriority w:val="0"/>
    <w:pPr>
      <w:spacing w:line="360" w:lineRule="auto"/>
      <w:ind w:firstLine="200" w:firstLineChars="200"/>
      <w:contextualSpacing/>
    </w:pPr>
    <w:rPr>
      <w:rFonts w:ascii="Arial Narrow" w:hAnsi="Arial Narrow"/>
      <w:kern w:val="0"/>
      <w:sz w:val="24"/>
      <w:szCs w:val="20"/>
      <w14:ligatures w14:val="standardContextual"/>
    </w:rPr>
  </w:style>
  <w:style w:type="paragraph" w:customStyle="1" w:styleId="144">
    <w:name w:val="Char Char10"/>
    <w:basedOn w:val="1"/>
    <w:qFormat/>
    <w:uiPriority w:val="99"/>
    <w:pPr>
      <w:widowControl/>
      <w:spacing w:after="160" w:line="240" w:lineRule="exact"/>
      <w:jc w:val="left"/>
    </w:pPr>
    <w:rPr>
      <w:kern w:val="0"/>
      <w:sz w:val="20"/>
      <w:szCs w:val="24"/>
    </w:rPr>
  </w:style>
  <w:style w:type="paragraph" w:customStyle="1" w:styleId="145">
    <w:name w:val="正文文本缩进11"/>
    <w:basedOn w:val="1"/>
    <w:qFormat/>
    <w:uiPriority w:val="99"/>
    <w:pPr>
      <w:spacing w:line="200" w:lineRule="exact"/>
      <w:ind w:firstLine="301"/>
    </w:pPr>
    <w:rPr>
      <w:rFonts w:ascii="Calibri" w:hAnsi="Calibri"/>
      <w:szCs w:val="20"/>
    </w:rPr>
  </w:style>
  <w:style w:type="paragraph" w:customStyle="1" w:styleId="146">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147">
    <w:name w:val="首行缩进2字符"/>
    <w:basedOn w:val="1"/>
    <w:qFormat/>
    <w:uiPriority w:val="99"/>
    <w:pPr>
      <w:spacing w:line="360" w:lineRule="auto"/>
      <w:ind w:firstLine="200" w:firstLineChars="200"/>
    </w:pPr>
    <w:rPr>
      <w:rFonts w:ascii="Calibri" w:hAnsi="Calibri"/>
      <w:sz w:val="24"/>
      <w:szCs w:val="21"/>
    </w:rPr>
  </w:style>
  <w:style w:type="paragraph" w:customStyle="1" w:styleId="148">
    <w:name w:val="默认段落字体 Para Char"/>
    <w:basedOn w:val="1"/>
    <w:qFormat/>
    <w:uiPriority w:val="0"/>
    <w:rPr>
      <w:szCs w:val="20"/>
    </w:rPr>
  </w:style>
  <w:style w:type="character" w:customStyle="1" w:styleId="149">
    <w:name w:val="Char Char3"/>
    <w:link w:val="150"/>
    <w:qFormat/>
    <w:uiPriority w:val="0"/>
    <w:rPr>
      <w:rFonts w:ascii="Calibri" w:hAnsi="Calibri" w:eastAsia="宋体" w:cs="Times New Roman"/>
      <w:kern w:val="0"/>
      <w:sz w:val="24"/>
      <w:szCs w:val="20"/>
    </w:rPr>
  </w:style>
  <w:style w:type="paragraph" w:customStyle="1" w:styleId="150">
    <w:name w:val="Char"/>
    <w:basedOn w:val="1"/>
    <w:link w:val="149"/>
    <w:qFormat/>
    <w:uiPriority w:val="0"/>
    <w:rPr>
      <w:rFonts w:ascii="Calibri" w:hAnsi="Calibri"/>
      <w:kern w:val="0"/>
      <w:sz w:val="24"/>
      <w:szCs w:val="20"/>
      <w14:ligatures w14:val="standardContextual"/>
    </w:rPr>
  </w:style>
  <w:style w:type="paragraph" w:customStyle="1" w:styleId="151">
    <w:name w:val="正文段"/>
    <w:basedOn w:val="1"/>
    <w:qFormat/>
    <w:uiPriority w:val="0"/>
    <w:pPr>
      <w:widowControl/>
      <w:snapToGrid w:val="0"/>
      <w:ind w:firstLine="200" w:firstLineChars="200"/>
    </w:pPr>
    <w:rPr>
      <w:kern w:val="0"/>
      <w:sz w:val="24"/>
      <w:szCs w:val="20"/>
    </w:rPr>
  </w:style>
  <w:style w:type="character" w:customStyle="1" w:styleId="152">
    <w:name w:val="列出段落 Char"/>
    <w:link w:val="153"/>
    <w:qFormat/>
    <w:uiPriority w:val="0"/>
    <w:rPr>
      <w:rFonts w:ascii="Calibri" w:hAnsi="Calibri" w:eastAsia="宋体" w:cs="Times New Roman"/>
      <w:kern w:val="0"/>
      <w:sz w:val="24"/>
      <w:szCs w:val="20"/>
    </w:rPr>
  </w:style>
  <w:style w:type="paragraph" w:customStyle="1" w:styleId="153">
    <w:name w:val="列出段落1"/>
    <w:basedOn w:val="1"/>
    <w:link w:val="152"/>
    <w:qFormat/>
    <w:uiPriority w:val="0"/>
    <w:pPr>
      <w:ind w:firstLine="420" w:firstLineChars="200"/>
    </w:pPr>
    <w:rPr>
      <w:rFonts w:ascii="Calibri" w:hAnsi="Calibri"/>
      <w:kern w:val="0"/>
      <w:sz w:val="24"/>
      <w:szCs w:val="20"/>
      <w14:ligatures w14:val="standardContextual"/>
    </w:rPr>
  </w:style>
  <w:style w:type="paragraph" w:customStyle="1" w:styleId="154">
    <w:name w:val="书籍标题1"/>
    <w:basedOn w:val="1"/>
    <w:qFormat/>
    <w:uiPriority w:val="99"/>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155">
    <w:name w:val="正文_20"/>
    <w:qFormat/>
    <w:uiPriority w:val="99"/>
    <w:pPr>
      <w:widowControl w:val="0"/>
      <w:spacing w:after="0" w:line="240" w:lineRule="auto"/>
      <w:jc w:val="both"/>
    </w:pPr>
    <w:rPr>
      <w:rFonts w:ascii="Times New Roman" w:hAnsi="Times New Roman" w:eastAsia="等线" w:cs="Times New Roman"/>
      <w:kern w:val="2"/>
      <w:sz w:val="21"/>
      <w:szCs w:val="24"/>
      <w:lang w:val="en-US" w:eastAsia="zh-CN" w:bidi="ar-SA"/>
      <w14:ligatures w14:val="none"/>
    </w:rPr>
  </w:style>
  <w:style w:type="paragraph" w:customStyle="1" w:styleId="156">
    <w:name w:val="Table Paragraph"/>
    <w:basedOn w:val="1"/>
    <w:qFormat/>
    <w:uiPriority w:val="1"/>
    <w:pPr>
      <w:spacing w:before="119"/>
    </w:pPr>
    <w:rPr>
      <w:rFonts w:ascii="宋体" w:hAnsi="宋体" w:cs="宋体"/>
      <w:szCs w:val="24"/>
      <w:lang w:val="zh-CN"/>
    </w:rPr>
  </w:style>
  <w:style w:type="paragraph" w:customStyle="1" w:styleId="157">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158">
    <w:name w:val="样式2"/>
    <w:basedOn w:val="150"/>
    <w:qFormat/>
    <w:uiPriority w:val="99"/>
    <w:pPr>
      <w:tabs>
        <w:tab w:val="left" w:pos="432"/>
      </w:tabs>
      <w:spacing w:beforeLines="50"/>
      <w:ind w:left="432" w:hanging="432"/>
    </w:pPr>
    <w:rPr>
      <w:b/>
      <w:szCs w:val="21"/>
      <w:u w:val="thick"/>
    </w:rPr>
  </w:style>
  <w:style w:type="paragraph" w:customStyle="1" w:styleId="159">
    <w:name w:val="样式1"/>
    <w:basedOn w:val="150"/>
    <w:link w:val="421"/>
    <w:qFormat/>
    <w:uiPriority w:val="0"/>
    <w:pPr>
      <w:tabs>
        <w:tab w:val="left" w:pos="432"/>
      </w:tabs>
      <w:spacing w:beforeLines="50"/>
      <w:ind w:left="642" w:leftChars="100" w:right="100" w:rightChars="100" w:hanging="432"/>
      <w:jc w:val="right"/>
    </w:pPr>
    <w:rPr>
      <w:b/>
      <w:i/>
      <w:szCs w:val="21"/>
      <w:u w:val="thick"/>
    </w:rPr>
  </w:style>
  <w:style w:type="paragraph" w:customStyle="1" w:styleId="160">
    <w:name w:val="正文 New"/>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character" w:customStyle="1" w:styleId="161">
    <w:name w:val="正文首行缩进2字符 Char Char"/>
    <w:link w:val="162"/>
    <w:qFormat/>
    <w:uiPriority w:val="0"/>
    <w:rPr>
      <w:rFonts w:ascii="Times New Roman" w:hAnsi="Times New Roman" w:eastAsia="宋体" w:cs="Times New Roman"/>
      <w:kern w:val="0"/>
      <w:sz w:val="24"/>
      <w:szCs w:val="20"/>
    </w:rPr>
  </w:style>
  <w:style w:type="paragraph" w:customStyle="1" w:styleId="162">
    <w:name w:val="正文首行缩进2字符"/>
    <w:basedOn w:val="1"/>
    <w:link w:val="161"/>
    <w:qFormat/>
    <w:uiPriority w:val="0"/>
    <w:pPr>
      <w:spacing w:line="360" w:lineRule="auto"/>
      <w:ind w:firstLine="200" w:firstLineChars="200"/>
    </w:pPr>
    <w:rPr>
      <w:kern w:val="0"/>
      <w:sz w:val="24"/>
      <w:szCs w:val="20"/>
      <w14:ligatures w14:val="standardContextual"/>
    </w:rPr>
  </w:style>
  <w:style w:type="paragraph" w:customStyle="1" w:styleId="163">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4">
    <w:name w:val="表格内容 字符"/>
    <w:link w:val="165"/>
    <w:qFormat/>
    <w:uiPriority w:val="0"/>
    <w:rPr>
      <w:rFonts w:ascii="仿宋" w:hAnsi="仿宋" w:eastAsia="仿宋" w:cs="Times New Roman"/>
      <w:kern w:val="0"/>
      <w:sz w:val="24"/>
    </w:rPr>
  </w:style>
  <w:style w:type="paragraph" w:customStyle="1" w:styleId="165">
    <w:name w:val="表格内容"/>
    <w:link w:val="164"/>
    <w:qFormat/>
    <w:uiPriority w:val="0"/>
    <w:pPr>
      <w:spacing w:after="0" w:line="240" w:lineRule="auto"/>
      <w:jc w:val="center"/>
    </w:pPr>
    <w:rPr>
      <w:rFonts w:ascii="仿宋" w:hAnsi="仿宋" w:eastAsia="仿宋" w:cs="Times New Roman"/>
      <w:kern w:val="0"/>
      <w:sz w:val="24"/>
      <w:szCs w:val="24"/>
      <w:lang w:val="en-US" w:eastAsia="zh-CN" w:bidi="ar-SA"/>
      <w14:ligatures w14:val="standardContextual"/>
    </w:rPr>
  </w:style>
  <w:style w:type="paragraph" w:customStyle="1" w:styleId="166">
    <w:name w:val="Default"/>
    <w:qFormat/>
    <w:uiPriority w:val="0"/>
    <w:pPr>
      <w:widowControl w:val="0"/>
      <w:autoSpaceDE w:val="0"/>
      <w:autoSpaceDN w:val="0"/>
      <w:adjustRightInd w:val="0"/>
      <w:spacing w:after="0" w:line="240" w:lineRule="auto"/>
    </w:pPr>
    <w:rPr>
      <w:rFonts w:ascii="华文中宋" w:hAnsi="Calibri" w:eastAsia="华文中宋" w:cs="华文中宋"/>
      <w:color w:val="000000"/>
      <w:kern w:val="0"/>
      <w:sz w:val="24"/>
      <w:szCs w:val="24"/>
      <w:lang w:val="en-US" w:eastAsia="zh-CN" w:bidi="ar-SA"/>
      <w14:ligatures w14:val="none"/>
    </w:rPr>
  </w:style>
  <w:style w:type="paragraph" w:customStyle="1" w:styleId="167">
    <w:name w:val="列项中圆1"/>
    <w:basedOn w:val="1"/>
    <w:qFormat/>
    <w:uiPriority w:val="99"/>
    <w:pPr>
      <w:tabs>
        <w:tab w:val="left" w:pos="839"/>
      </w:tabs>
      <w:spacing w:line="300" w:lineRule="auto"/>
      <w:ind w:left="839" w:hanging="419"/>
    </w:pPr>
    <w:rPr>
      <w:kern w:val="21"/>
      <w:szCs w:val="20"/>
    </w:rPr>
  </w:style>
  <w:style w:type="paragraph" w:customStyle="1" w:styleId="168">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69">
    <w:name w:val="文档正文"/>
    <w:basedOn w:val="1"/>
    <w:qFormat/>
    <w:uiPriority w:val="0"/>
    <w:rPr>
      <w:rFonts w:ascii="宋体" w:hAnsi="宋体" w:cs="Arial"/>
      <w:bCs/>
      <w:szCs w:val="21"/>
    </w:rPr>
  </w:style>
  <w:style w:type="paragraph" w:customStyle="1" w:styleId="170">
    <w:name w:val="p15"/>
    <w:basedOn w:val="1"/>
    <w:qFormat/>
    <w:uiPriority w:val="0"/>
    <w:pPr>
      <w:widowControl/>
      <w:spacing w:line="200" w:lineRule="atLeast"/>
      <w:ind w:firstLine="301"/>
    </w:pPr>
    <w:rPr>
      <w:rFonts w:ascii="宋体" w:hAnsi="宋体" w:cs="宋体"/>
      <w:spacing w:val="-4"/>
      <w:kern w:val="0"/>
      <w:sz w:val="18"/>
      <w:szCs w:val="18"/>
    </w:rPr>
  </w:style>
  <w:style w:type="character" w:customStyle="1" w:styleId="171">
    <w:name w:val="无间隔 Char"/>
    <w:link w:val="172"/>
    <w:qFormat/>
    <w:uiPriority w:val="0"/>
    <w:rPr>
      <w:rFonts w:ascii="Calibri" w:hAnsi="Calibri" w:eastAsia="宋体" w:cs="Times New Roman"/>
      <w:kern w:val="0"/>
    </w:rPr>
  </w:style>
  <w:style w:type="paragraph" w:customStyle="1" w:styleId="172">
    <w:name w:val="无间隔1"/>
    <w:link w:val="171"/>
    <w:qFormat/>
    <w:uiPriority w:val="0"/>
    <w:pPr>
      <w:spacing w:after="0" w:line="240" w:lineRule="auto"/>
    </w:pPr>
    <w:rPr>
      <w:rFonts w:ascii="Calibri" w:hAnsi="Calibri" w:eastAsia="宋体" w:cs="Times New Roman"/>
      <w:kern w:val="0"/>
      <w:sz w:val="22"/>
      <w:szCs w:val="24"/>
      <w:lang w:val="en-US" w:eastAsia="zh-CN" w:bidi="ar-SA"/>
      <w14:ligatures w14:val="standardContextual"/>
    </w:rPr>
  </w:style>
  <w:style w:type="paragraph" w:customStyle="1" w:styleId="173">
    <w:name w:val="纯文本1"/>
    <w:basedOn w:val="1"/>
    <w:link w:val="384"/>
    <w:qFormat/>
    <w:uiPriority w:val="0"/>
    <w:pPr>
      <w:spacing w:beforeLines="50" w:line="400" w:lineRule="exact"/>
    </w:pPr>
    <w:rPr>
      <w:rFonts w:ascii="宋体" w:hAnsi="Courier New" w:eastAsia="Times New Roman"/>
      <w:sz w:val="30"/>
      <w:szCs w:val="24"/>
    </w:rPr>
  </w:style>
  <w:style w:type="paragraph" w:customStyle="1" w:styleId="17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75">
    <w:name w:val="_Style 130"/>
    <w:basedOn w:val="1"/>
    <w:qFormat/>
    <w:uiPriority w:val="99"/>
    <w:pPr>
      <w:ind w:firstLine="420" w:firstLineChars="200"/>
    </w:pPr>
    <w:rPr>
      <w:szCs w:val="20"/>
    </w:rPr>
  </w:style>
  <w:style w:type="paragraph" w:customStyle="1" w:styleId="176">
    <w:name w:val="0正文"/>
    <w:basedOn w:val="1"/>
    <w:qFormat/>
    <w:uiPriority w:val="99"/>
    <w:pPr>
      <w:spacing w:line="560" w:lineRule="exact"/>
      <w:ind w:firstLine="200" w:firstLineChars="200"/>
    </w:pPr>
    <w:rPr>
      <w:rFonts w:ascii="Tahoma" w:hAnsi="Tahoma"/>
    </w:rPr>
  </w:style>
  <w:style w:type="paragraph" w:customStyle="1" w:styleId="177">
    <w:name w:val="正文（本文）"/>
    <w:basedOn w:val="1"/>
    <w:qFormat/>
    <w:uiPriority w:val="99"/>
    <w:pPr>
      <w:snapToGrid w:val="0"/>
      <w:spacing w:line="360" w:lineRule="auto"/>
      <w:ind w:firstLine="480" w:firstLineChars="200"/>
    </w:pPr>
    <w:rPr>
      <w:sz w:val="24"/>
      <w:szCs w:val="24"/>
    </w:rPr>
  </w:style>
  <w:style w:type="paragraph" w:customStyle="1" w:styleId="17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79">
    <w:name w:val="_Style 4"/>
    <w:basedOn w:val="1"/>
    <w:qFormat/>
    <w:uiPriority w:val="99"/>
    <w:pPr>
      <w:ind w:firstLine="420" w:firstLineChars="200"/>
      <w:jc w:val="left"/>
    </w:pPr>
    <w:rPr>
      <w:rFonts w:ascii="Calibri" w:hAnsi="Calibri"/>
      <w:kern w:val="0"/>
      <w:sz w:val="18"/>
      <w:szCs w:val="24"/>
      <w:lang w:eastAsia="zh-TW"/>
    </w:rPr>
  </w:style>
  <w:style w:type="paragraph" w:customStyle="1" w:styleId="180">
    <w:name w:val="列出段落2"/>
    <w:basedOn w:val="1"/>
    <w:qFormat/>
    <w:uiPriority w:val="0"/>
    <w:pPr>
      <w:ind w:firstLine="420" w:firstLineChars="200"/>
    </w:pPr>
    <w:rPr>
      <w:rFonts w:ascii="Calibri" w:hAnsi="Calibri"/>
      <w:szCs w:val="24"/>
    </w:rPr>
  </w:style>
  <w:style w:type="paragraph" w:customStyle="1" w:styleId="181">
    <w:name w:val="正文1"/>
    <w:link w:val="523"/>
    <w:qFormat/>
    <w:uiPriority w:val="0"/>
    <w:pPr>
      <w:widowControl w:val="0"/>
      <w:spacing w:after="0" w:line="240" w:lineRule="auto"/>
      <w:jc w:val="both"/>
    </w:pPr>
    <w:rPr>
      <w:rFonts w:ascii="Calibri" w:hAnsi="Calibri" w:eastAsia="宋体" w:cs="Calibri"/>
      <w:kern w:val="2"/>
      <w:sz w:val="21"/>
      <w:szCs w:val="21"/>
      <w:lang w:val="en-US" w:eastAsia="zh-CN" w:bidi="ar-SA"/>
      <w14:ligatures w14:val="none"/>
    </w:rPr>
  </w:style>
  <w:style w:type="paragraph" w:customStyle="1" w:styleId="182">
    <w:name w:val="WPSOffice手动目录 1"/>
    <w:qFormat/>
    <w:uiPriority w:val="0"/>
    <w:pPr>
      <w:spacing w:after="0" w:line="240" w:lineRule="auto"/>
    </w:pPr>
    <w:rPr>
      <w:rFonts w:ascii="Times New Roman" w:hAnsi="Times New Roman" w:eastAsia="宋体" w:cs="Times New Roman"/>
      <w:kern w:val="0"/>
      <w:sz w:val="20"/>
      <w:szCs w:val="20"/>
      <w:lang w:val="en-US" w:eastAsia="zh-CN" w:bidi="ar-SA"/>
      <w14:ligatures w14:val="none"/>
    </w:rPr>
  </w:style>
  <w:style w:type="paragraph" w:customStyle="1" w:styleId="183">
    <w:name w:val="正文2"/>
    <w:basedOn w:val="1"/>
    <w:link w:val="416"/>
    <w:qFormat/>
    <w:uiPriority w:val="0"/>
    <w:pPr>
      <w:spacing w:before="156" w:line="360" w:lineRule="auto"/>
      <w:ind w:firstLine="510" w:firstLineChars="200"/>
    </w:pPr>
    <w:rPr>
      <w:sz w:val="24"/>
      <w:szCs w:val="20"/>
    </w:rPr>
  </w:style>
  <w:style w:type="character" w:customStyle="1" w:styleId="184">
    <w:name w:val="正文 首行缩进:  2 字符 Char Char Char"/>
    <w:link w:val="185"/>
    <w:qFormat/>
    <w:uiPriority w:val="0"/>
    <w:rPr>
      <w:sz w:val="24"/>
    </w:rPr>
  </w:style>
  <w:style w:type="paragraph" w:customStyle="1" w:styleId="185">
    <w:name w:val="正文 首行缩进:  2 字符 Char"/>
    <w:basedOn w:val="1"/>
    <w:link w:val="184"/>
    <w:qFormat/>
    <w:uiPriority w:val="0"/>
    <w:pPr>
      <w:spacing w:line="360" w:lineRule="auto"/>
      <w:ind w:firstLine="480"/>
    </w:pPr>
    <w:rPr>
      <w:rFonts w:asciiTheme="minorHAnsi" w:hAnsiTheme="minorHAnsi" w:eastAsiaTheme="minorEastAsia" w:cstheme="minorBidi"/>
      <w:sz w:val="24"/>
      <w:szCs w:val="24"/>
      <w14:ligatures w14:val="standardContextual"/>
    </w:rPr>
  </w:style>
  <w:style w:type="character" w:customStyle="1" w:styleId="186">
    <w:name w:val="样式 首行缩进:  0 字符 Char"/>
    <w:link w:val="187"/>
    <w:qFormat/>
    <w:uiPriority w:val="0"/>
    <w:rPr>
      <w:rFonts w:ascii="Arial" w:hAnsi="Arial" w:eastAsia="宋体" w:cs="Times New Roman"/>
      <w:kern w:val="0"/>
      <w:sz w:val="20"/>
      <w:szCs w:val="20"/>
    </w:rPr>
  </w:style>
  <w:style w:type="paragraph" w:customStyle="1" w:styleId="187">
    <w:name w:val="样式 首行缩进:  0 字符"/>
    <w:basedOn w:val="1"/>
    <w:link w:val="186"/>
    <w:qFormat/>
    <w:uiPriority w:val="0"/>
    <w:pPr>
      <w:spacing w:line="360" w:lineRule="auto"/>
      <w:ind w:firstLine="200" w:firstLineChars="200"/>
    </w:pPr>
    <w:rPr>
      <w:rFonts w:ascii="Arial" w:hAnsi="Arial"/>
      <w:kern w:val="0"/>
      <w:sz w:val="20"/>
      <w:szCs w:val="20"/>
      <w14:ligatures w14:val="standardContextual"/>
    </w:rPr>
  </w:style>
  <w:style w:type="paragraph" w:customStyle="1" w:styleId="188">
    <w:name w:val="正文 A"/>
    <w:qFormat/>
    <w:uiPriority w:val="99"/>
    <w:pPr>
      <w:widowControl w:val="0"/>
      <w:spacing w:after="0" w:line="240" w:lineRule="auto"/>
      <w:jc w:val="both"/>
    </w:pPr>
    <w:rPr>
      <w:rFonts w:ascii="Arial Unicode MS" w:hAnsi="Times New Roman" w:eastAsia="Arial Unicode MS" w:cs="Arial Unicode MS"/>
      <w:color w:val="000000"/>
      <w:kern w:val="2"/>
      <w:sz w:val="28"/>
      <w:szCs w:val="28"/>
      <w:u w:color="000000"/>
      <w:lang w:val="en-US" w:eastAsia="zh-CN" w:bidi="ar-SA"/>
      <w14:ligatures w14:val="none"/>
    </w:rPr>
  </w:style>
  <w:style w:type="paragraph" w:customStyle="1" w:styleId="189">
    <w:name w:val="Proposals body"/>
    <w:basedOn w:val="1"/>
    <w:qFormat/>
    <w:uiPriority w:val="99"/>
    <w:pPr>
      <w:widowControl/>
      <w:spacing w:line="460" w:lineRule="exact"/>
      <w:jc w:val="left"/>
    </w:pPr>
    <w:rPr>
      <w:rFonts w:ascii="仿宋_GB2312" w:eastAsia="Times New Roman"/>
      <w:kern w:val="0"/>
      <w:sz w:val="24"/>
      <w:szCs w:val="24"/>
    </w:rPr>
  </w:style>
  <w:style w:type="paragraph" w:customStyle="1" w:styleId="190">
    <w:name w:val="目录 7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paragraph" w:customStyle="1" w:styleId="191">
    <w:name w:val="title11"/>
    <w:basedOn w:val="1"/>
    <w:qFormat/>
    <w:uiPriority w:val="99"/>
    <w:pPr>
      <w:spacing w:before="150"/>
      <w:jc w:val="left"/>
    </w:pPr>
    <w:rPr>
      <w:b/>
      <w:kern w:val="0"/>
      <w:sz w:val="28"/>
      <w:szCs w:val="24"/>
    </w:rPr>
  </w:style>
  <w:style w:type="paragraph" w:customStyle="1" w:styleId="192">
    <w:name w:val="标题 10"/>
    <w:basedOn w:val="3"/>
    <w:qFormat/>
    <w:uiPriority w:val="99"/>
    <w:pPr>
      <w:spacing w:before="0" w:after="0" w:line="360" w:lineRule="auto"/>
      <w:jc w:val="center"/>
    </w:pPr>
    <w:rPr>
      <w:rFonts w:ascii="Cambria" w:hAnsi="Cambria" w:eastAsia="宋体" w:cs="Times New Roman"/>
      <w:b/>
      <w:bCs/>
      <w:color w:val="auto"/>
      <w:sz w:val="21"/>
      <w:szCs w:val="32"/>
    </w:rPr>
  </w:style>
  <w:style w:type="paragraph" w:customStyle="1" w:styleId="193">
    <w:name w:val="af17cgridlangnp1033langf"/>
    <w:qFormat/>
    <w:uiPriority w:val="0"/>
    <w:pPr>
      <w:widowControl w:val="0"/>
      <w:autoSpaceDE w:val="0"/>
      <w:autoSpaceDN w:val="0"/>
      <w:adjustRightInd w:val="0"/>
      <w:spacing w:before="156" w:after="0" w:line="360" w:lineRule="atLeast"/>
      <w:ind w:left="567" w:firstLine="510"/>
      <w:jc w:val="both"/>
    </w:pPr>
    <w:rPr>
      <w:rFonts w:ascii="Times New Roman" w:hAnsi="Times New Roman" w:eastAsia="宋体" w:cs="Times New Roman"/>
      <w:kern w:val="0"/>
      <w:sz w:val="21"/>
      <w:szCs w:val="22"/>
      <w:lang w:val="en-US" w:eastAsia="zh-CN" w:bidi="ar-SA"/>
      <w14:ligatures w14:val="none"/>
    </w:rPr>
  </w:style>
  <w:style w:type="paragraph" w:customStyle="1" w:styleId="194">
    <w:name w:val="TOC 7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paragraph" w:customStyle="1" w:styleId="195">
    <w:name w:val="List Paragraph1"/>
    <w:basedOn w:val="1"/>
    <w:qFormat/>
    <w:uiPriority w:val="0"/>
    <w:pPr>
      <w:ind w:firstLine="420" w:firstLineChars="200"/>
    </w:pPr>
    <w:rPr>
      <w:szCs w:val="24"/>
    </w:rPr>
  </w:style>
  <w:style w:type="paragraph" w:customStyle="1" w:styleId="196">
    <w:name w:val="Char Char Char Char1"/>
    <w:basedOn w:val="1"/>
    <w:qFormat/>
    <w:uiPriority w:val="99"/>
    <w:rPr>
      <w:rFonts w:ascii="Tahoma" w:hAnsi="Tahoma"/>
      <w:sz w:val="24"/>
      <w:szCs w:val="20"/>
    </w:rPr>
  </w:style>
  <w:style w:type="paragraph" w:customStyle="1" w:styleId="197">
    <w:name w:val="目录 711"/>
    <w:qFormat/>
    <w:uiPriority w:val="99"/>
    <w:pPr>
      <w:wordWrap w:val="0"/>
      <w:spacing w:after="0" w:line="240" w:lineRule="auto"/>
      <w:ind w:left="2550"/>
      <w:jc w:val="both"/>
    </w:pPr>
    <w:rPr>
      <w:rFonts w:ascii="Times New Roman" w:hAnsi="Times New Roman" w:eastAsia="宋体" w:cs="Times New Roman"/>
      <w:kern w:val="0"/>
      <w:sz w:val="21"/>
      <w:szCs w:val="22"/>
      <w:lang w:val="en-US" w:eastAsia="zh-CN" w:bidi="ar-SA"/>
      <w14:ligatures w14:val="none"/>
    </w:rPr>
  </w:style>
  <w:style w:type="character" w:customStyle="1" w:styleId="198">
    <w:name w:val="z-窗体顶端 Char"/>
    <w:link w:val="199"/>
    <w:qFormat/>
    <w:uiPriority w:val="0"/>
    <w:rPr>
      <w:rFonts w:ascii="Arial" w:hAnsi="Arial" w:eastAsia="宋体" w:cs="Times New Roman"/>
      <w:vanish/>
      <w:kern w:val="0"/>
      <w:sz w:val="20"/>
      <w:szCs w:val="20"/>
    </w:rPr>
  </w:style>
  <w:style w:type="paragraph" w:customStyle="1" w:styleId="199">
    <w:name w:val="_Style 46"/>
    <w:basedOn w:val="1"/>
    <w:link w:val="198"/>
    <w:qFormat/>
    <w:uiPriority w:val="0"/>
    <w:pPr>
      <w:widowControl/>
      <w:pBdr>
        <w:bottom w:val="single" w:color="auto" w:sz="6" w:space="1"/>
      </w:pBdr>
      <w:jc w:val="center"/>
    </w:pPr>
    <w:rPr>
      <w:rFonts w:ascii="Arial" w:hAnsi="Arial"/>
      <w:vanish/>
      <w:kern w:val="0"/>
      <w:sz w:val="20"/>
      <w:szCs w:val="20"/>
      <w14:ligatures w14:val="standardContextual"/>
    </w:rPr>
  </w:style>
  <w:style w:type="paragraph" w:customStyle="1" w:styleId="200">
    <w:name w:val="此正文"/>
    <w:basedOn w:val="1"/>
    <w:qFormat/>
    <w:uiPriority w:val="99"/>
    <w:pPr>
      <w:spacing w:line="360" w:lineRule="auto"/>
      <w:ind w:firstLine="200" w:firstLineChars="200"/>
    </w:pPr>
    <w:rPr>
      <w:sz w:val="24"/>
      <w:szCs w:val="24"/>
    </w:rPr>
  </w:style>
  <w:style w:type="paragraph" w:customStyle="1" w:styleId="201">
    <w:name w:val="xl25"/>
    <w:basedOn w:val="1"/>
    <w:qFormat/>
    <w:uiPriority w:val="0"/>
    <w:pPr>
      <w:widowControl/>
      <w:spacing w:before="100" w:beforeAutospacing="1" w:after="100" w:afterAutospacing="1"/>
      <w:jc w:val="center"/>
    </w:pPr>
    <w:rPr>
      <w:rFonts w:ascii="楷体_GB2312" w:hAnsi="宋体" w:eastAsia="楷体_GB2312"/>
      <w:kern w:val="0"/>
      <w:sz w:val="24"/>
      <w:szCs w:val="24"/>
    </w:rPr>
  </w:style>
  <w:style w:type="paragraph" w:customStyle="1" w:styleId="202">
    <w:name w:val="彩色列表 - 强调文字颜色 11"/>
    <w:basedOn w:val="1"/>
    <w:link w:val="534"/>
    <w:qFormat/>
    <w:uiPriority w:val="0"/>
    <w:pPr>
      <w:ind w:firstLine="420" w:firstLineChars="200"/>
    </w:pPr>
    <w:rPr>
      <w:rFonts w:ascii="Calibri" w:hAnsi="Calibri"/>
    </w:rPr>
  </w:style>
  <w:style w:type="paragraph" w:customStyle="1" w:styleId="203">
    <w:name w:val="无间距"/>
    <w:qFormat/>
    <w:uiPriority w:val="99"/>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character" w:customStyle="1" w:styleId="204">
    <w:name w:val="z-窗体底端 Char"/>
    <w:link w:val="205"/>
    <w:qFormat/>
    <w:uiPriority w:val="0"/>
    <w:rPr>
      <w:rFonts w:ascii="Arial" w:hAnsi="Arial" w:eastAsia="宋体" w:cs="Times New Roman"/>
      <w:vanish/>
      <w:kern w:val="0"/>
      <w:sz w:val="20"/>
      <w:szCs w:val="20"/>
    </w:rPr>
  </w:style>
  <w:style w:type="paragraph" w:customStyle="1" w:styleId="205">
    <w:name w:val="_Style 54"/>
    <w:basedOn w:val="1"/>
    <w:link w:val="204"/>
    <w:qFormat/>
    <w:uiPriority w:val="0"/>
    <w:pPr>
      <w:widowControl/>
      <w:pBdr>
        <w:top w:val="single" w:color="auto" w:sz="6" w:space="1"/>
      </w:pBdr>
      <w:jc w:val="center"/>
    </w:pPr>
    <w:rPr>
      <w:rFonts w:ascii="Arial" w:hAnsi="Arial"/>
      <w:vanish/>
      <w:kern w:val="0"/>
      <w:sz w:val="20"/>
      <w:szCs w:val="20"/>
      <w14:ligatures w14:val="standardContextual"/>
    </w:rPr>
  </w:style>
  <w:style w:type="paragraph" w:customStyle="1" w:styleId="20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szCs w:val="20"/>
      <w:lang w:val="en-US" w:eastAsia="zh-CN" w:bidi="ar-SA"/>
      <w14:ligatures w14:val="none"/>
    </w:rPr>
  </w:style>
  <w:style w:type="paragraph" w:customStyle="1" w:styleId="20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szCs w:val="20"/>
      <w:lang w:val="en-US" w:eastAsia="zh-CN" w:bidi="ar-SA"/>
      <w14:ligatures w14:val="none"/>
    </w:rPr>
  </w:style>
  <w:style w:type="paragraph" w:customStyle="1" w:styleId="208">
    <w:name w:val="纯文本_0"/>
    <w:basedOn w:val="1"/>
    <w:qFormat/>
    <w:uiPriority w:val="99"/>
    <w:pPr>
      <w:spacing w:line="440" w:lineRule="exact"/>
      <w:ind w:firstLine="100" w:firstLineChars="100"/>
    </w:pPr>
    <w:rPr>
      <w:rFonts w:ascii="宋体" w:hAnsi="Courier New"/>
      <w:szCs w:val="21"/>
    </w:rPr>
  </w:style>
  <w:style w:type="paragraph" w:customStyle="1" w:styleId="209">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0">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1">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12">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3">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4">
    <w:name w:val="xl10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5">
    <w:name w:val="xl10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6">
    <w:name w:val="xl10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7">
    <w:name w:val="xl1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8">
    <w:name w:val="xl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xl111"/>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0">
    <w:name w:val="xl1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21">
    <w:name w:val="xl113"/>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23">
    <w:name w:val="xl115"/>
    <w:basedOn w:val="1"/>
    <w:qFormat/>
    <w:uiPriority w:val="99"/>
    <w:pPr>
      <w:widowControl/>
      <w:shd w:val="clear" w:color="auto" w:fill="FFFFFF"/>
      <w:spacing w:before="100" w:beforeAutospacing="1" w:after="100" w:afterAutospacing="1"/>
      <w:jc w:val="center"/>
    </w:pPr>
    <w:rPr>
      <w:rFonts w:ascii="宋体" w:hAnsi="宋体" w:cs="宋体"/>
      <w:b/>
      <w:bCs/>
      <w:color w:val="000000"/>
      <w:kern w:val="0"/>
      <w:sz w:val="32"/>
      <w:szCs w:val="32"/>
    </w:rPr>
  </w:style>
  <w:style w:type="paragraph" w:customStyle="1" w:styleId="22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3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3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3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4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4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5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26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6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character" w:customStyle="1" w:styleId="266">
    <w:name w:val="列表段落 字符"/>
    <w:link w:val="267"/>
    <w:qFormat/>
    <w:uiPriority w:val="34"/>
    <w:rPr>
      <w:rFonts w:ascii="宋体" w:hAnsi="宋体" w:eastAsia="宋体" w:cs="宋体"/>
      <w:kern w:val="0"/>
      <w:sz w:val="24"/>
    </w:rPr>
  </w:style>
  <w:style w:type="paragraph" w:customStyle="1" w:styleId="267">
    <w:name w:val="列表段落1"/>
    <w:basedOn w:val="1"/>
    <w:link w:val="266"/>
    <w:qFormat/>
    <w:uiPriority w:val="34"/>
    <w:pPr>
      <w:widowControl/>
      <w:ind w:firstLine="420" w:firstLineChars="200"/>
      <w:jc w:val="left"/>
    </w:pPr>
    <w:rPr>
      <w:rFonts w:ascii="宋体" w:hAnsi="宋体" w:cs="宋体"/>
      <w:kern w:val="0"/>
      <w:sz w:val="24"/>
      <w:szCs w:val="24"/>
      <w14:ligatures w14:val="standardContextual"/>
    </w:rPr>
  </w:style>
  <w:style w:type="paragraph" w:customStyle="1" w:styleId="26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eastAsia="楷体_GB2312"/>
      <w:kern w:val="0"/>
      <w:sz w:val="24"/>
      <w:szCs w:val="24"/>
    </w:rPr>
  </w:style>
  <w:style w:type="paragraph" w:customStyle="1" w:styleId="269">
    <w:name w:val="图片居中"/>
    <w:basedOn w:val="1"/>
    <w:qFormat/>
    <w:uiPriority w:val="99"/>
    <w:pPr>
      <w:keepNext/>
      <w:jc w:val="center"/>
    </w:pPr>
  </w:style>
  <w:style w:type="paragraph" w:customStyle="1" w:styleId="270">
    <w:name w:val="表格(五号)"/>
    <w:qFormat/>
    <w:uiPriority w:val="99"/>
    <w:pPr>
      <w:adjustRightInd w:val="0"/>
      <w:snapToGrid w:val="0"/>
      <w:spacing w:after="0" w:line="240" w:lineRule="auto"/>
      <w:jc w:val="both"/>
    </w:pPr>
    <w:rPr>
      <w:rFonts w:ascii="Times New Roman" w:hAnsi="Times New Roman" w:eastAsia="宋体" w:cs="Times New Roman"/>
      <w:kern w:val="0"/>
      <w:sz w:val="21"/>
      <w:szCs w:val="20"/>
      <w:lang w:val="en-US" w:eastAsia="zh-CN" w:bidi="ar-SA"/>
      <w14:ligatures w14:val="none"/>
    </w:rPr>
  </w:style>
  <w:style w:type="paragraph" w:customStyle="1" w:styleId="271">
    <w:name w:val="图片题注"/>
    <w:basedOn w:val="17"/>
    <w:qFormat/>
    <w:uiPriority w:val="99"/>
  </w:style>
  <w:style w:type="paragraph" w:customStyle="1" w:styleId="272">
    <w:name w:val="表格正文"/>
    <w:basedOn w:val="1"/>
    <w:qFormat/>
    <w:uiPriority w:val="99"/>
    <w:pPr>
      <w:widowControl/>
      <w:jc w:val="left"/>
    </w:pPr>
    <w:rPr>
      <w:rFonts w:ascii="宋体" w:hAnsi="宋体" w:cs="宋体"/>
      <w:szCs w:val="28"/>
    </w:rPr>
  </w:style>
  <w:style w:type="paragraph" w:customStyle="1" w:styleId="273">
    <w:name w:val="修订1"/>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74">
    <w:name w:val="修订2"/>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75">
    <w:name w:val="修订3"/>
    <w:semiHidden/>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paragraph" w:customStyle="1" w:styleId="27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77">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5">
    <w:name w:val="xl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6">
    <w:name w:val="xl7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28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5">
    <w:name w:val="xl8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6">
    <w:name w:val="xl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7">
    <w:name w:val="xl8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8">
    <w:name w:val="xl8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1">
    <w:name w:val="xl92"/>
    <w:basedOn w:val="1"/>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2">
    <w:name w:val="xl93"/>
    <w:basedOn w:val="1"/>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0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16">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7">
    <w:name w:val="修订4"/>
    <w:qFormat/>
    <w:uiPriority w:val="99"/>
    <w:pPr>
      <w:spacing w:after="0" w:line="240" w:lineRule="auto"/>
    </w:pPr>
    <w:rPr>
      <w:rFonts w:ascii="Times New Roman" w:hAnsi="Times New Roman" w:eastAsia="宋体" w:cs="Times New Roman"/>
      <w:kern w:val="2"/>
      <w:sz w:val="21"/>
      <w:szCs w:val="22"/>
      <w:lang w:val="en-US" w:eastAsia="zh-CN" w:bidi="ar-SA"/>
      <w14:ligatures w14:val="none"/>
    </w:rPr>
  </w:style>
  <w:style w:type="character" w:customStyle="1" w:styleId="318">
    <w:name w:val="font21"/>
    <w:basedOn w:val="69"/>
    <w:qFormat/>
    <w:uiPriority w:val="0"/>
    <w:rPr>
      <w:rFonts w:hint="eastAsia" w:ascii="等线" w:hAnsi="等线" w:eastAsia="等线" w:cs="等线"/>
      <w:color w:val="000000"/>
      <w:sz w:val="22"/>
      <w:szCs w:val="22"/>
      <w:u w:val="none"/>
    </w:rPr>
  </w:style>
  <w:style w:type="character" w:customStyle="1" w:styleId="319">
    <w:name w:val="apple-converted-space"/>
    <w:qFormat/>
    <w:uiPriority w:val="0"/>
    <w:rPr>
      <w:rFonts w:hint="default" w:ascii="Times New Roman" w:hAnsi="Times New Roman" w:cs="Times New Roman"/>
    </w:rPr>
  </w:style>
  <w:style w:type="character" w:customStyle="1" w:styleId="320">
    <w:name w:val="正文文本缩进 3 Char1"/>
    <w:basedOn w:val="69"/>
    <w:qFormat/>
    <w:uiPriority w:val="0"/>
    <w:rPr>
      <w:rFonts w:hint="default" w:ascii="Times New Roman" w:hAnsi="Times New Roman" w:eastAsia="宋体" w:cs="Times New Roman"/>
      <w:sz w:val="16"/>
      <w:szCs w:val="16"/>
    </w:rPr>
  </w:style>
  <w:style w:type="character" w:customStyle="1" w:styleId="321">
    <w:name w:val="批注文字 Char1"/>
    <w:basedOn w:val="69"/>
    <w:qFormat/>
    <w:uiPriority w:val="0"/>
    <w:rPr>
      <w:rFonts w:hint="default" w:ascii="Times New Roman" w:hAnsi="Times New Roman" w:eastAsia="宋体" w:cs="Times New Roman"/>
    </w:rPr>
  </w:style>
  <w:style w:type="character" w:customStyle="1" w:styleId="322">
    <w:name w:val="apple-tab-span"/>
    <w:qFormat/>
    <w:uiPriority w:val="0"/>
    <w:rPr>
      <w:rFonts w:hint="default" w:ascii="Times New Roman" w:hAnsi="Times New Roman" w:cs="Times New Roman"/>
    </w:rPr>
  </w:style>
  <w:style w:type="character" w:customStyle="1" w:styleId="323">
    <w:name w:val="font11"/>
    <w:basedOn w:val="69"/>
    <w:qFormat/>
    <w:uiPriority w:val="0"/>
    <w:rPr>
      <w:rFonts w:hint="default" w:ascii="Times New Roman" w:hAnsi="Times New Roman" w:cs="Times New Roman"/>
      <w:color w:val="000000"/>
      <w:sz w:val="20"/>
      <w:szCs w:val="20"/>
      <w:u w:val="none"/>
    </w:rPr>
  </w:style>
  <w:style w:type="character" w:customStyle="1" w:styleId="324">
    <w:name w:val="font31"/>
    <w:basedOn w:val="69"/>
    <w:qFormat/>
    <w:uiPriority w:val="0"/>
    <w:rPr>
      <w:rFonts w:hint="eastAsia" w:ascii="等线" w:hAnsi="等线" w:eastAsia="等线" w:cs="等线"/>
      <w:color w:val="000000"/>
      <w:sz w:val="22"/>
      <w:szCs w:val="22"/>
      <w:u w:val="none"/>
    </w:rPr>
  </w:style>
  <w:style w:type="character" w:customStyle="1" w:styleId="325">
    <w:name w:val="正文文本缩进 Char1"/>
    <w:basedOn w:val="69"/>
    <w:qFormat/>
    <w:uiPriority w:val="0"/>
    <w:rPr>
      <w:rFonts w:hint="default" w:ascii="Times New Roman" w:hAnsi="Times New Roman" w:eastAsia="宋体" w:cs="Times New Roman"/>
    </w:rPr>
  </w:style>
  <w:style w:type="character" w:customStyle="1" w:styleId="326">
    <w:name w:val="正文文本 3 Char1"/>
    <w:basedOn w:val="69"/>
    <w:qFormat/>
    <w:uiPriority w:val="0"/>
    <w:rPr>
      <w:rFonts w:hint="default" w:ascii="Times New Roman" w:hAnsi="Times New Roman" w:eastAsia="宋体" w:cs="Times New Roman"/>
      <w:sz w:val="16"/>
      <w:szCs w:val="16"/>
    </w:rPr>
  </w:style>
  <w:style w:type="character" w:customStyle="1" w:styleId="327">
    <w:name w:val="正文文本 Char1"/>
    <w:basedOn w:val="69"/>
    <w:qFormat/>
    <w:uiPriority w:val="0"/>
    <w:rPr>
      <w:rFonts w:hint="default" w:ascii="Times New Roman" w:hAnsi="Times New Roman" w:eastAsia="宋体" w:cs="Times New Roman"/>
    </w:rPr>
  </w:style>
  <w:style w:type="character" w:customStyle="1" w:styleId="328">
    <w:name w:val="font01"/>
    <w:basedOn w:val="69"/>
    <w:qFormat/>
    <w:uiPriority w:val="0"/>
    <w:rPr>
      <w:rFonts w:hint="eastAsia" w:ascii="宋体" w:hAnsi="宋体" w:eastAsia="宋体" w:cs="宋体"/>
      <w:color w:val="000000"/>
      <w:sz w:val="20"/>
      <w:szCs w:val="20"/>
      <w:u w:val="none"/>
    </w:rPr>
  </w:style>
  <w:style w:type="character" w:customStyle="1" w:styleId="329">
    <w:name w:val="纯文本 Char2"/>
    <w:basedOn w:val="69"/>
    <w:qFormat/>
    <w:uiPriority w:val="0"/>
    <w:rPr>
      <w:rFonts w:hint="eastAsia" w:ascii="宋体" w:hAnsi="Courier New" w:eastAsia="宋体" w:cs="Courier New"/>
      <w:sz w:val="21"/>
      <w:szCs w:val="21"/>
    </w:rPr>
  </w:style>
  <w:style w:type="character" w:customStyle="1" w:styleId="330">
    <w:name w:val="文档结构图 Char1"/>
    <w:basedOn w:val="69"/>
    <w:qFormat/>
    <w:uiPriority w:val="0"/>
    <w:rPr>
      <w:rFonts w:hint="eastAsia" w:ascii="宋体" w:hAnsi="Times New Roman" w:eastAsia="宋体" w:cs="Times New Roman"/>
      <w:sz w:val="18"/>
      <w:szCs w:val="18"/>
    </w:rPr>
  </w:style>
  <w:style w:type="character" w:customStyle="1" w:styleId="331">
    <w:name w:val="纯文本 Char1"/>
    <w:qFormat/>
    <w:uiPriority w:val="0"/>
    <w:rPr>
      <w:rFonts w:hint="eastAsia" w:ascii="宋体" w:hAnsi="Courier New" w:eastAsia="宋体"/>
      <w:sz w:val="21"/>
    </w:rPr>
  </w:style>
  <w:style w:type="character" w:customStyle="1" w:styleId="332">
    <w:name w:val="日期 Char1"/>
    <w:basedOn w:val="69"/>
    <w:qFormat/>
    <w:uiPriority w:val="0"/>
    <w:rPr>
      <w:rFonts w:hint="default" w:ascii="Times New Roman" w:hAnsi="Times New Roman" w:eastAsia="宋体" w:cs="Times New Roman"/>
    </w:rPr>
  </w:style>
  <w:style w:type="character" w:customStyle="1" w:styleId="333">
    <w:name w:val="正文文本缩进 2 Char1"/>
    <w:basedOn w:val="69"/>
    <w:qFormat/>
    <w:uiPriority w:val="0"/>
    <w:rPr>
      <w:rFonts w:hint="default" w:ascii="Times New Roman" w:hAnsi="Times New Roman" w:eastAsia="宋体" w:cs="Times New Roman"/>
    </w:rPr>
  </w:style>
  <w:style w:type="character" w:customStyle="1" w:styleId="334">
    <w:name w:val="批注框文本 Char1"/>
    <w:basedOn w:val="69"/>
    <w:qFormat/>
    <w:uiPriority w:val="0"/>
    <w:rPr>
      <w:rFonts w:hint="default" w:ascii="Times New Roman" w:hAnsi="Times New Roman" w:eastAsia="宋体" w:cs="Times New Roman"/>
      <w:sz w:val="18"/>
      <w:szCs w:val="18"/>
    </w:rPr>
  </w:style>
  <w:style w:type="character" w:customStyle="1" w:styleId="335">
    <w:name w:val="正文文本 2 Char1"/>
    <w:basedOn w:val="69"/>
    <w:qFormat/>
    <w:uiPriority w:val="0"/>
    <w:rPr>
      <w:rFonts w:hint="default" w:ascii="Times New Roman" w:hAnsi="Times New Roman" w:eastAsia="宋体" w:cs="Times New Roman"/>
    </w:rPr>
  </w:style>
  <w:style w:type="character" w:customStyle="1" w:styleId="336">
    <w:name w:val="大黑10.5px"/>
    <w:qFormat/>
    <w:uiPriority w:val="0"/>
    <w:rPr>
      <w:rFonts w:hint="eastAsia" w:ascii="方正大黑简体" w:eastAsia="方正大黑简体"/>
      <w:sz w:val="21"/>
    </w:rPr>
  </w:style>
  <w:style w:type="character" w:customStyle="1" w:styleId="337">
    <w:name w:val="黑简10.5px"/>
    <w:qFormat/>
    <w:uiPriority w:val="0"/>
    <w:rPr>
      <w:rFonts w:hint="eastAsia" w:ascii="方正黑体简体" w:hAnsi="方正黑体简体" w:eastAsia="方正黑体简体"/>
      <w:sz w:val="21"/>
    </w:rPr>
  </w:style>
  <w:style w:type="character" w:customStyle="1" w:styleId="338">
    <w:name w:val="jbox-icon-warning"/>
    <w:basedOn w:val="69"/>
    <w:qFormat/>
    <w:uiPriority w:val="0"/>
    <w:rPr>
      <w:rFonts w:hint="default" w:ascii="Times New Roman" w:hAnsi="Times New Roman" w:cs="Times New Roman"/>
    </w:rPr>
  </w:style>
  <w:style w:type="character" w:customStyle="1" w:styleId="339">
    <w:name w:val="hover9"/>
    <w:qFormat/>
    <w:uiPriority w:val="0"/>
    <w:rPr>
      <w:shd w:val="clear" w:color="auto" w:fill="EEEEEE"/>
    </w:rPr>
  </w:style>
  <w:style w:type="character" w:customStyle="1" w:styleId="340">
    <w:name w:val="hour_pm"/>
    <w:basedOn w:val="69"/>
    <w:qFormat/>
    <w:uiPriority w:val="0"/>
    <w:rPr>
      <w:rFonts w:hint="default" w:ascii="Times New Roman" w:hAnsi="Times New Roman" w:cs="Times New Roman"/>
    </w:rPr>
  </w:style>
  <w:style w:type="character" w:customStyle="1" w:styleId="341">
    <w:name w:val="jbox-icon-info"/>
    <w:basedOn w:val="69"/>
    <w:qFormat/>
    <w:uiPriority w:val="0"/>
    <w:rPr>
      <w:rFonts w:hint="default" w:ascii="Times New Roman" w:hAnsi="Times New Roman" w:cs="Times New Roman"/>
    </w:rPr>
  </w:style>
  <w:style w:type="character" w:customStyle="1" w:styleId="342">
    <w:name w:val="black601"/>
    <w:qFormat/>
    <w:uiPriority w:val="0"/>
    <w:rPr>
      <w:color w:val="666666"/>
    </w:rPr>
  </w:style>
  <w:style w:type="character" w:customStyle="1" w:styleId="343">
    <w:name w:val="hour_am"/>
    <w:basedOn w:val="69"/>
    <w:qFormat/>
    <w:uiPriority w:val="0"/>
    <w:rPr>
      <w:rFonts w:hint="default" w:ascii="Times New Roman" w:hAnsi="Times New Roman" w:cs="Times New Roman"/>
    </w:rPr>
  </w:style>
  <w:style w:type="character" w:customStyle="1" w:styleId="344">
    <w:name w:val="jbox-icon-error"/>
    <w:basedOn w:val="69"/>
    <w:qFormat/>
    <w:uiPriority w:val="0"/>
    <w:rPr>
      <w:rFonts w:hint="default" w:ascii="Times New Roman" w:hAnsi="Times New Roman" w:cs="Times New Roman"/>
    </w:rPr>
  </w:style>
  <w:style w:type="character" w:customStyle="1" w:styleId="345">
    <w:name w:val="jbox-icon-success"/>
    <w:basedOn w:val="69"/>
    <w:qFormat/>
    <w:uiPriority w:val="0"/>
    <w:rPr>
      <w:rFonts w:hint="default" w:ascii="Times New Roman" w:hAnsi="Times New Roman" w:cs="Times New Roman"/>
    </w:rPr>
  </w:style>
  <w:style w:type="character" w:customStyle="1" w:styleId="346">
    <w:name w:val="maywed421"/>
    <w:qFormat/>
    <w:uiPriority w:val="0"/>
    <w:rPr>
      <w:color w:val="366FB6"/>
      <w:u w:val="none"/>
    </w:rPr>
  </w:style>
  <w:style w:type="character" w:customStyle="1" w:styleId="347">
    <w:name w:val="正文文本缩进 字符1"/>
    <w:qFormat/>
    <w:uiPriority w:val="0"/>
    <w:rPr>
      <w:rFonts w:hint="eastAsia" w:ascii="宋体" w:hAnsi="Courier New" w:eastAsia="宋体"/>
      <w:spacing w:val="-4"/>
      <w:kern w:val="2"/>
      <w:sz w:val="18"/>
    </w:rPr>
  </w:style>
  <w:style w:type="character" w:customStyle="1" w:styleId="348">
    <w:name w:val="jbox-icon-question"/>
    <w:basedOn w:val="69"/>
    <w:qFormat/>
    <w:uiPriority w:val="0"/>
    <w:rPr>
      <w:rFonts w:hint="default" w:ascii="Times New Roman" w:hAnsi="Times New Roman" w:cs="Times New Roman"/>
    </w:rPr>
  </w:style>
  <w:style w:type="character" w:customStyle="1" w:styleId="349">
    <w:name w:val="jbox-icon-loading"/>
    <w:basedOn w:val="69"/>
    <w:qFormat/>
    <w:uiPriority w:val="0"/>
    <w:rPr>
      <w:rFonts w:hint="default" w:ascii="Times New Roman" w:hAnsi="Times New Roman" w:cs="Times New Roman"/>
    </w:rPr>
  </w:style>
  <w:style w:type="character" w:customStyle="1" w:styleId="350">
    <w:name w:val="标题 1 Char Char"/>
    <w:qFormat/>
    <w:uiPriority w:val="0"/>
    <w:rPr>
      <w:rFonts w:hint="eastAsia" w:ascii="宋体" w:hAnsi="宋体" w:eastAsia="宋体"/>
      <w:b/>
      <w:spacing w:val="-2"/>
      <w:sz w:val="24"/>
      <w:lang w:val="en-US" w:eastAsia="zh-CN"/>
    </w:rPr>
  </w:style>
  <w:style w:type="character" w:customStyle="1" w:styleId="351">
    <w:name w:val="jbox-icon-none"/>
    <w:qFormat/>
    <w:uiPriority w:val="0"/>
    <w:rPr>
      <w:vanish/>
    </w:rPr>
  </w:style>
  <w:style w:type="character" w:customStyle="1" w:styleId="352">
    <w:name w:val="sub_title s0"/>
    <w:basedOn w:val="69"/>
    <w:qFormat/>
    <w:uiPriority w:val="0"/>
    <w:rPr>
      <w:rFonts w:hint="default" w:ascii="Times New Roman" w:hAnsi="Times New Roman" w:cs="Times New Roman"/>
    </w:rPr>
  </w:style>
  <w:style w:type="character" w:customStyle="1" w:styleId="353">
    <w:name w:val="纯文本 字符2"/>
    <w:qFormat/>
    <w:uiPriority w:val="0"/>
    <w:rPr>
      <w:rFonts w:hint="eastAsia" w:ascii="宋体" w:hAnsi="Courier New" w:eastAsia="宋体"/>
      <w:kern w:val="2"/>
      <w:sz w:val="24"/>
    </w:rPr>
  </w:style>
  <w:style w:type="character" w:customStyle="1" w:styleId="354">
    <w:name w:val="jbox-icon"/>
    <w:basedOn w:val="69"/>
    <w:qFormat/>
    <w:uiPriority w:val="0"/>
    <w:rPr>
      <w:rFonts w:hint="default" w:ascii="Times New Roman" w:hAnsi="Times New Roman" w:cs="Times New Roman"/>
    </w:rPr>
  </w:style>
  <w:style w:type="character" w:customStyle="1" w:styleId="355">
    <w:name w:val="old"/>
    <w:qFormat/>
    <w:uiPriority w:val="0"/>
    <w:rPr>
      <w:color w:val="999999"/>
    </w:rPr>
  </w:style>
  <w:style w:type="character" w:customStyle="1" w:styleId="356">
    <w:name w:val="font41"/>
    <w:basedOn w:val="69"/>
    <w:qFormat/>
    <w:uiPriority w:val="0"/>
    <w:rPr>
      <w:rFonts w:hint="eastAsia" w:ascii="宋体" w:hAnsi="宋体" w:eastAsia="宋体" w:cs="宋体"/>
      <w:b/>
      <w:bCs/>
      <w:color w:val="000000"/>
      <w:sz w:val="24"/>
      <w:szCs w:val="24"/>
      <w:u w:val="none"/>
    </w:rPr>
  </w:style>
  <w:style w:type="character" w:customStyle="1" w:styleId="357">
    <w:name w:val="font12"/>
    <w:basedOn w:val="69"/>
    <w:qFormat/>
    <w:uiPriority w:val="0"/>
    <w:rPr>
      <w:rFonts w:hint="default" w:ascii="Times New Roman" w:hAnsi="Times New Roman" w:cs="Times New Roman"/>
      <w:color w:val="000000"/>
      <w:sz w:val="24"/>
      <w:szCs w:val="24"/>
      <w:u w:val="none"/>
    </w:rPr>
  </w:style>
  <w:style w:type="character" w:customStyle="1" w:styleId="358">
    <w:name w:val="font111"/>
    <w:basedOn w:val="69"/>
    <w:qFormat/>
    <w:uiPriority w:val="0"/>
    <w:rPr>
      <w:rFonts w:hint="eastAsia" w:ascii="宋体" w:hAnsi="宋体" w:eastAsia="宋体" w:cs="宋体"/>
      <w:color w:val="000000"/>
      <w:sz w:val="22"/>
      <w:szCs w:val="22"/>
      <w:u w:val="none"/>
    </w:rPr>
  </w:style>
  <w:style w:type="character" w:customStyle="1" w:styleId="359">
    <w:name w:val="标题 7 字符1"/>
    <w:basedOn w:val="69"/>
    <w:semiHidden/>
    <w:qFormat/>
    <w:uiPriority w:val="9"/>
    <w:rPr>
      <w:b/>
      <w:bCs/>
      <w:sz w:val="24"/>
      <w:szCs w:val="24"/>
    </w:rPr>
  </w:style>
  <w:style w:type="character" w:customStyle="1" w:styleId="360">
    <w:name w:val="标题 8 字符1"/>
    <w:basedOn w:val="69"/>
    <w:semiHidden/>
    <w:qFormat/>
    <w:uiPriority w:val="9"/>
    <w:rPr>
      <w:rFonts w:hint="default" w:ascii="Cambria" w:hAnsi="Cambria" w:eastAsia="宋体" w:cs="Times New Roman"/>
      <w:sz w:val="24"/>
      <w:szCs w:val="24"/>
    </w:rPr>
  </w:style>
  <w:style w:type="character" w:customStyle="1" w:styleId="361">
    <w:name w:val="标题 9 字符1"/>
    <w:basedOn w:val="69"/>
    <w:semiHidden/>
    <w:qFormat/>
    <w:uiPriority w:val="9"/>
    <w:rPr>
      <w:rFonts w:hint="default" w:ascii="Cambria" w:hAnsi="Cambria" w:eastAsia="宋体" w:cs="Times New Roman"/>
      <w:szCs w:val="21"/>
    </w:rPr>
  </w:style>
  <w:style w:type="table" w:customStyle="1" w:styleId="362">
    <w:name w:val="Table Normal"/>
    <w:qFormat/>
    <w:uiPriority w:val="59"/>
    <w:pPr>
      <w:spacing w:after="0" w:line="240" w:lineRule="auto"/>
    </w:pPr>
    <w:rPr>
      <w:rFonts w:ascii="Times New Roman" w:hAnsi="Times New Roman" w:eastAsia="宋体" w:cs="Times New Roman"/>
      <w:kern w:val="0"/>
      <w:sz w:val="20"/>
      <w:szCs w:val="20"/>
      <w14:ligatures w14:val="none"/>
    </w:rPr>
    <w:tblPr>
      <w:tblCellMar>
        <w:top w:w="0" w:type="dxa"/>
        <w:left w:w="108" w:type="dxa"/>
        <w:bottom w:w="0" w:type="dxa"/>
        <w:right w:w="108" w:type="dxa"/>
      </w:tblCellMar>
    </w:tblPr>
  </w:style>
  <w:style w:type="table" w:customStyle="1" w:styleId="363">
    <w:name w:val="华信表格(五号)"/>
    <w:basedOn w:val="62"/>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64">
    <w:name w:val="批注主题 Char1"/>
    <w:basedOn w:val="321"/>
    <w:qFormat/>
    <w:uiPriority w:val="0"/>
    <w:rPr>
      <w:rFonts w:hint="default" w:ascii="Times New Roman" w:hAnsi="Times New Roman" w:eastAsia="宋体" w:cs="Times New Roman"/>
      <w:b/>
      <w:bCs/>
    </w:rPr>
  </w:style>
  <w:style w:type="paragraph" w:customStyle="1" w:styleId="365">
    <w:name w:val="Body text|1"/>
    <w:basedOn w:val="1"/>
    <w:qFormat/>
    <w:uiPriority w:val="0"/>
    <w:rPr>
      <w:rFonts w:ascii="等线" w:hAnsi="等线" w:eastAsia="等线"/>
      <w:sz w:val="10"/>
      <w:szCs w:val="10"/>
    </w:rPr>
  </w:style>
  <w:style w:type="paragraph" w:customStyle="1" w:styleId="366">
    <w:name w:val="Picture caption|2"/>
    <w:basedOn w:val="1"/>
    <w:qFormat/>
    <w:uiPriority w:val="0"/>
    <w:rPr>
      <w:rFonts w:ascii="等线" w:hAnsi="等线" w:eastAsia="等线"/>
      <w:sz w:val="10"/>
      <w:szCs w:val="10"/>
      <w:lang w:val="zh-TW" w:eastAsia="zh-TW" w:bidi="zh-TW"/>
    </w:rPr>
  </w:style>
  <w:style w:type="paragraph" w:customStyle="1" w:styleId="367">
    <w:name w:val="Picture caption|1"/>
    <w:basedOn w:val="1"/>
    <w:qFormat/>
    <w:uiPriority w:val="0"/>
    <w:rPr>
      <w:rFonts w:ascii="宋体" w:hAnsi="宋体" w:cs="宋体"/>
      <w:sz w:val="9"/>
      <w:szCs w:val="9"/>
    </w:rPr>
  </w:style>
  <w:style w:type="paragraph" w:customStyle="1" w:styleId="368">
    <w:name w:val="Other|2"/>
    <w:basedOn w:val="1"/>
    <w:qFormat/>
    <w:uiPriority w:val="0"/>
    <w:rPr>
      <w:rFonts w:ascii="宋体" w:hAnsi="宋体" w:cs="宋体"/>
      <w:sz w:val="11"/>
      <w:szCs w:val="11"/>
      <w:lang w:val="zh-TW" w:eastAsia="zh-TW" w:bidi="zh-TW"/>
    </w:rPr>
  </w:style>
  <w:style w:type="paragraph" w:customStyle="1" w:styleId="369">
    <w:name w:val="Other|1"/>
    <w:basedOn w:val="1"/>
    <w:qFormat/>
    <w:uiPriority w:val="0"/>
    <w:rPr>
      <w:rFonts w:ascii="等线" w:hAnsi="等线" w:eastAsia="等线"/>
      <w:b/>
      <w:bCs/>
      <w:sz w:val="9"/>
      <w:szCs w:val="9"/>
      <w:lang w:val="zh-TW" w:eastAsia="zh-TW" w:bidi="zh-TW"/>
    </w:rPr>
  </w:style>
  <w:style w:type="character" w:customStyle="1" w:styleId="370">
    <w:name w:val="font51"/>
    <w:basedOn w:val="69"/>
    <w:qFormat/>
    <w:uiPriority w:val="0"/>
    <w:rPr>
      <w:rFonts w:hint="eastAsia" w:ascii="宋体" w:hAnsi="宋体" w:eastAsia="宋体" w:cs="宋体"/>
      <w:color w:val="000000"/>
      <w:sz w:val="20"/>
      <w:szCs w:val="20"/>
      <w:u w:val="none"/>
      <w:vertAlign w:val="superscript"/>
    </w:rPr>
  </w:style>
  <w:style w:type="paragraph" w:customStyle="1" w:styleId="371">
    <w:name w:val="cover"/>
    <w:link w:val="373"/>
    <w:qFormat/>
    <w:uiPriority w:val="0"/>
    <w:pPr>
      <w:spacing w:after="0" w:line="240" w:lineRule="auto"/>
    </w:pPr>
    <w:rPr>
      <w:rFonts w:ascii="宋体" w:hAnsi="Cambria" w:eastAsia="宋体" w:cs="宋体"/>
      <w:b/>
      <w:kern w:val="2"/>
      <w:sz w:val="52"/>
      <w:szCs w:val="22"/>
      <w:lang w:val="en-US" w:eastAsia="zh-CN" w:bidi="ar-SA"/>
      <w14:ligatures w14:val="none"/>
    </w:rPr>
  </w:style>
  <w:style w:type="paragraph" w:customStyle="1" w:styleId="372">
    <w:name w:val="Normal Indent1"/>
    <w:qFormat/>
    <w:uiPriority w:val="0"/>
    <w:pPr>
      <w:widowControl w:val="0"/>
      <w:spacing w:after="0" w:line="240" w:lineRule="auto"/>
      <w:ind w:firstLine="420" w:firstLineChars="200"/>
      <w:jc w:val="both"/>
    </w:pPr>
    <w:rPr>
      <w:rFonts w:ascii="Times New Roman" w:hAnsi="Times New Roman" w:eastAsia="宋体" w:cs="Times New Roman"/>
      <w:kern w:val="2"/>
      <w:sz w:val="21"/>
      <w:szCs w:val="24"/>
      <w:lang w:val="en-US" w:eastAsia="zh-CN" w:bidi="ar-SA"/>
      <w14:ligatures w14:val="none"/>
    </w:rPr>
  </w:style>
  <w:style w:type="character" w:customStyle="1" w:styleId="373">
    <w:name w:val="cover 字符"/>
    <w:basedOn w:val="69"/>
    <w:link w:val="371"/>
    <w:qFormat/>
    <w:uiPriority w:val="0"/>
    <w:rPr>
      <w:rFonts w:ascii="宋体" w:hAnsi="Cambria" w:eastAsia="宋体" w:cs="宋体"/>
      <w:b/>
      <w:sz w:val="52"/>
      <w:szCs w:val="22"/>
      <w14:ligatures w14:val="none"/>
    </w:rPr>
  </w:style>
  <w:style w:type="paragraph" w:customStyle="1" w:styleId="374">
    <w:name w:val="index"/>
    <w:basedOn w:val="43"/>
    <w:link w:val="376"/>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5">
    <w:name w:val="TOC 1 字符"/>
    <w:basedOn w:val="69"/>
    <w:link w:val="43"/>
    <w:qFormat/>
    <w:uiPriority w:val="39"/>
    <w:rPr>
      <w:rFonts w:ascii="Times New Roman" w:hAnsi="Times New Roman" w:eastAsia="宋体" w:cs="Times New Roman"/>
      <w:sz w:val="21"/>
      <w:szCs w:val="22"/>
      <w14:ligatures w14:val="none"/>
    </w:rPr>
  </w:style>
  <w:style w:type="character" w:customStyle="1" w:styleId="376">
    <w:name w:val="index 字符"/>
    <w:basedOn w:val="375"/>
    <w:link w:val="374"/>
    <w:qFormat/>
    <w:uiPriority w:val="0"/>
    <w:rPr>
      <w:rFonts w:ascii="Times New Roman" w:hAnsi="Calibri" w:eastAsia="宋体" w:cs="宋体"/>
      <w:sz w:val="21"/>
      <w:szCs w:val="32"/>
      <w14:ligatures w14:val="none"/>
    </w:rPr>
  </w:style>
  <w:style w:type="paragraph" w:customStyle="1" w:styleId="377">
    <w:name w:val="form"/>
    <w:basedOn w:val="1"/>
    <w:link w:val="378"/>
    <w:qFormat/>
    <w:uiPriority w:val="0"/>
    <w:pPr>
      <w:wordWrap w:val="0"/>
      <w:snapToGrid w:val="0"/>
      <w:jc w:val="center"/>
    </w:pPr>
    <w:rPr>
      <w:rFonts w:ascii="宋体" w:hAnsi="Calibri" w:cs="宋体"/>
      <w:szCs w:val="21"/>
    </w:rPr>
  </w:style>
  <w:style w:type="character" w:customStyle="1" w:styleId="378">
    <w:name w:val="form 字符"/>
    <w:basedOn w:val="69"/>
    <w:link w:val="377"/>
    <w:qFormat/>
    <w:uiPriority w:val="0"/>
    <w:rPr>
      <w:rFonts w:ascii="宋体" w:hAnsi="Calibri" w:eastAsia="宋体" w:cs="宋体"/>
      <w:sz w:val="21"/>
      <w:szCs w:val="21"/>
      <w14:ligatures w14:val="none"/>
    </w:rPr>
  </w:style>
  <w:style w:type="paragraph" w:customStyle="1" w:styleId="379">
    <w:name w:val="序号列"/>
    <w:basedOn w:val="103"/>
    <w:link w:val="380"/>
    <w:qFormat/>
    <w:uiPriority w:val="0"/>
    <w:pPr>
      <w:wordWrap w:val="0"/>
      <w:spacing w:line="360" w:lineRule="auto"/>
      <w:ind w:left="0"/>
      <w:contextualSpacing w:val="0"/>
    </w:pPr>
    <w:rPr>
      <w:rFonts w:ascii="宋体" w:hAnsi="Calibri" w:cs="宋体"/>
      <w:kern w:val="0"/>
    </w:rPr>
  </w:style>
  <w:style w:type="character" w:customStyle="1" w:styleId="380">
    <w:name w:val="序号列 字符"/>
    <w:basedOn w:val="266"/>
    <w:link w:val="379"/>
    <w:qFormat/>
    <w:uiPriority w:val="0"/>
    <w:rPr>
      <w:rFonts w:ascii="宋体" w:hAnsi="Calibri" w:eastAsia="宋体" w:cs="宋体"/>
      <w:kern w:val="0"/>
      <w:sz w:val="21"/>
      <w:szCs w:val="22"/>
      <w14:ligatures w14:val="none"/>
    </w:rPr>
  </w:style>
  <w:style w:type="paragraph" w:customStyle="1" w:styleId="381">
    <w:name w:val="加粗子列表"/>
    <w:basedOn w:val="103"/>
    <w:link w:val="383"/>
    <w:qFormat/>
    <w:uiPriority w:val="0"/>
    <w:pPr>
      <w:numPr>
        <w:ilvl w:val="0"/>
        <w:numId w:val="4"/>
      </w:numPr>
      <w:wordWrap w:val="0"/>
      <w:spacing w:line="360" w:lineRule="auto"/>
      <w:ind w:firstLine="0"/>
      <w:contextualSpacing w:val="0"/>
    </w:pPr>
    <w:rPr>
      <w:rFonts w:ascii="宋体" w:hAnsi="Calibri" w:cs="宋体"/>
      <w:b/>
      <w:bCs/>
      <w:kern w:val="0"/>
    </w:rPr>
  </w:style>
  <w:style w:type="paragraph" w:customStyle="1" w:styleId="382">
    <w:name w:val="子列2"/>
    <w:basedOn w:val="381"/>
    <w:link w:val="385"/>
    <w:qFormat/>
    <w:uiPriority w:val="0"/>
    <w:pPr>
      <w:numPr>
        <w:ilvl w:val="1"/>
        <w:numId w:val="0"/>
      </w:numPr>
    </w:pPr>
    <w:rPr>
      <w:b w:val="0"/>
      <w:bCs w:val="0"/>
    </w:rPr>
  </w:style>
  <w:style w:type="character" w:customStyle="1" w:styleId="383">
    <w:name w:val="加粗子列表 字符"/>
    <w:basedOn w:val="266"/>
    <w:link w:val="381"/>
    <w:qFormat/>
    <w:uiPriority w:val="0"/>
    <w:rPr>
      <w:rFonts w:ascii="宋体" w:hAnsi="Calibri" w:eastAsia="宋体" w:cs="宋体"/>
      <w:b/>
      <w:bCs/>
      <w:kern w:val="0"/>
      <w:sz w:val="21"/>
      <w:szCs w:val="22"/>
      <w14:ligatures w14:val="none"/>
    </w:rPr>
  </w:style>
  <w:style w:type="character" w:customStyle="1" w:styleId="384">
    <w:name w:val="纯文本 Char"/>
    <w:link w:val="173"/>
    <w:qFormat/>
    <w:uiPriority w:val="0"/>
    <w:rPr>
      <w:rFonts w:ascii="宋体" w:hAnsi="Courier New" w:eastAsia="Times New Roman" w:cs="Times New Roman"/>
      <w:sz w:val="30"/>
      <w14:ligatures w14:val="none"/>
    </w:rPr>
  </w:style>
  <w:style w:type="character" w:customStyle="1" w:styleId="385">
    <w:name w:val="子列2 字符"/>
    <w:basedOn w:val="383"/>
    <w:link w:val="382"/>
    <w:qFormat/>
    <w:uiPriority w:val="0"/>
    <w:rPr>
      <w:rFonts w:ascii="宋体" w:hAnsi="Calibri" w:eastAsia="宋体" w:cs="宋体"/>
      <w:b w:val="0"/>
      <w:bCs w:val="0"/>
      <w:kern w:val="0"/>
      <w:sz w:val="21"/>
      <w:szCs w:val="22"/>
      <w14:ligatures w14:val="none"/>
    </w:rPr>
  </w:style>
  <w:style w:type="paragraph" w:customStyle="1" w:styleId="386">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387">
    <w:name w:val="纯文本3"/>
    <w:basedOn w:val="1"/>
    <w:qFormat/>
    <w:uiPriority w:val="99"/>
    <w:pPr>
      <w:adjustRightInd w:val="0"/>
    </w:pPr>
    <w:rPr>
      <w:rFonts w:ascii="宋体" w:hAnsi="Courier New" w:eastAsia="楷体_GB2312"/>
      <w:sz w:val="26"/>
      <w:szCs w:val="20"/>
    </w:rPr>
  </w:style>
  <w:style w:type="paragraph" w:customStyle="1" w:styleId="388">
    <w:name w:val="纯文本2"/>
    <w:basedOn w:val="1"/>
    <w:qFormat/>
    <w:uiPriority w:val="0"/>
    <w:rPr>
      <w:rFonts w:ascii="宋体" w:hAnsi="Courier New" w:eastAsia="仿宋_GB2312"/>
      <w:sz w:val="30"/>
      <w:szCs w:val="24"/>
    </w:rPr>
  </w:style>
  <w:style w:type="paragraph" w:customStyle="1" w:styleId="389">
    <w:name w:val="Body Text Indent1"/>
    <w:basedOn w:val="1"/>
    <w:qFormat/>
    <w:uiPriority w:val="99"/>
    <w:pPr>
      <w:spacing w:line="200" w:lineRule="exact"/>
      <w:ind w:firstLine="301"/>
    </w:pPr>
    <w:rPr>
      <w:rFonts w:ascii="宋体" w:hAnsi="Courier New"/>
      <w:spacing w:val="-4"/>
      <w:kern w:val="0"/>
      <w:sz w:val="18"/>
      <w:szCs w:val="24"/>
    </w:rPr>
  </w:style>
  <w:style w:type="character" w:customStyle="1" w:styleId="390">
    <w:name w:val="批注框文本 Char"/>
    <w:basedOn w:val="69"/>
    <w:link w:val="391"/>
    <w:qFormat/>
    <w:uiPriority w:val="0"/>
    <w:rPr>
      <w:rFonts w:ascii="Calibri" w:hAnsi="Calibri"/>
      <w:sz w:val="18"/>
      <w:szCs w:val="18"/>
    </w:rPr>
  </w:style>
  <w:style w:type="paragraph" w:customStyle="1" w:styleId="391">
    <w:name w:val="批注框文本1"/>
    <w:basedOn w:val="1"/>
    <w:link w:val="390"/>
    <w:qFormat/>
    <w:uiPriority w:val="0"/>
    <w:rPr>
      <w:rFonts w:ascii="Calibri" w:hAnsi="Calibri" w:eastAsiaTheme="minorEastAsia" w:cstheme="minorBidi"/>
      <w:sz w:val="18"/>
      <w:szCs w:val="18"/>
      <w14:ligatures w14:val="standardContextual"/>
    </w:rPr>
  </w:style>
  <w:style w:type="paragraph" w:customStyle="1" w:styleId="392">
    <w:name w:val="纯文本5"/>
    <w:basedOn w:val="1"/>
    <w:qFormat/>
    <w:uiPriority w:val="0"/>
    <w:rPr>
      <w:rFonts w:ascii="宋体" w:hAnsi="Courier New" w:eastAsia="仿宋_GB2312"/>
      <w:sz w:val="30"/>
      <w:szCs w:val="24"/>
    </w:rPr>
  </w:style>
  <w:style w:type="paragraph" w:customStyle="1" w:styleId="393">
    <w:name w:val="附件格式"/>
    <w:basedOn w:val="1"/>
    <w:link w:val="394"/>
    <w:qFormat/>
    <w:uiPriority w:val="0"/>
    <w:pPr>
      <w:wordWrap w:val="0"/>
      <w:spacing w:line="360" w:lineRule="auto"/>
      <w:ind w:firstLine="200" w:firstLineChars="200"/>
    </w:pPr>
    <w:rPr>
      <w:rFonts w:ascii="宋体" w:hAnsi="Calibri" w:cs="宋体"/>
      <w:sz w:val="28"/>
    </w:rPr>
  </w:style>
  <w:style w:type="character" w:customStyle="1" w:styleId="394">
    <w:name w:val="附件格式 字符"/>
    <w:basedOn w:val="69"/>
    <w:link w:val="393"/>
    <w:qFormat/>
    <w:uiPriority w:val="0"/>
    <w:rPr>
      <w:rFonts w:ascii="宋体" w:hAnsi="Calibri" w:eastAsia="宋体" w:cs="宋体"/>
      <w:sz w:val="28"/>
      <w:szCs w:val="22"/>
      <w14:ligatures w14:val="none"/>
    </w:rPr>
  </w:style>
  <w:style w:type="paragraph" w:customStyle="1" w:styleId="395">
    <w:name w:val="大纲"/>
    <w:link w:val="396"/>
    <w:qFormat/>
    <w:uiPriority w:val="0"/>
    <w:pPr>
      <w:spacing w:after="0" w:line="360" w:lineRule="auto"/>
      <w:outlineLvl w:val="1"/>
    </w:pPr>
    <w:rPr>
      <w:rFonts w:ascii="宋体" w:hAnsi="Calibri" w:eastAsia="宋体" w:cs="宋体"/>
      <w:b/>
      <w:bCs/>
      <w:kern w:val="2"/>
      <w:sz w:val="24"/>
      <w:szCs w:val="22"/>
      <w:lang w:val="en-US" w:eastAsia="zh-CN" w:bidi="ar-SA"/>
      <w14:ligatures w14:val="none"/>
    </w:rPr>
  </w:style>
  <w:style w:type="character" w:customStyle="1" w:styleId="396">
    <w:name w:val="大纲 字符"/>
    <w:basedOn w:val="69"/>
    <w:link w:val="395"/>
    <w:qFormat/>
    <w:uiPriority w:val="0"/>
    <w:rPr>
      <w:rFonts w:ascii="宋体" w:hAnsi="Calibri" w:eastAsia="宋体" w:cs="宋体"/>
      <w:b/>
      <w:bCs/>
      <w:sz w:val="24"/>
      <w:szCs w:val="22"/>
      <w14:ligatures w14:val="none"/>
    </w:rPr>
  </w:style>
  <w:style w:type="character" w:customStyle="1" w:styleId="397">
    <w:name w:val="fontstyle01"/>
    <w:qFormat/>
    <w:uiPriority w:val="0"/>
    <w:rPr>
      <w:rFonts w:hint="eastAsia" w:ascii="宋体" w:hAnsi="宋体" w:eastAsia="宋体"/>
      <w:color w:val="000000"/>
      <w:sz w:val="44"/>
      <w:szCs w:val="44"/>
    </w:rPr>
  </w:style>
  <w:style w:type="character" w:customStyle="1" w:styleId="398">
    <w:name w:val="bookmark-item"/>
    <w:basedOn w:val="69"/>
    <w:qFormat/>
    <w:uiPriority w:val="0"/>
  </w:style>
  <w:style w:type="character" w:customStyle="1" w:styleId="399">
    <w:name w:val="Body Text Indent Char Char"/>
    <w:basedOn w:val="69"/>
    <w:link w:val="400"/>
    <w:qFormat/>
    <w:uiPriority w:val="0"/>
  </w:style>
  <w:style w:type="paragraph" w:customStyle="1" w:styleId="400">
    <w:name w:val="正文文本缩进1"/>
    <w:basedOn w:val="1"/>
    <w:link w:val="399"/>
    <w:qFormat/>
    <w:uiPriority w:val="0"/>
    <w:pPr>
      <w:spacing w:line="200" w:lineRule="exact"/>
      <w:ind w:firstLine="301"/>
    </w:pPr>
    <w:rPr>
      <w:rFonts w:asciiTheme="minorHAnsi" w:hAnsiTheme="minorHAnsi" w:eastAsiaTheme="minorEastAsia" w:cstheme="minorBidi"/>
      <w:sz w:val="22"/>
      <w:szCs w:val="24"/>
      <w14:ligatures w14:val="standardContextual"/>
    </w:rPr>
  </w:style>
  <w:style w:type="paragraph" w:customStyle="1" w:styleId="401">
    <w:name w:val="段"/>
    <w:link w:val="420"/>
    <w:qFormat/>
    <w:uiPriority w:val="0"/>
    <w:pPr>
      <w:autoSpaceDE w:val="0"/>
      <w:autoSpaceDN w:val="0"/>
      <w:spacing w:after="0" w:line="240" w:lineRule="auto"/>
      <w:ind w:firstLine="200" w:firstLineChars="200"/>
      <w:jc w:val="both"/>
    </w:pPr>
    <w:rPr>
      <w:rFonts w:ascii="宋体" w:hAnsi="Times New Roman" w:eastAsia="宋体" w:cs="Times New Roman"/>
      <w:kern w:val="0"/>
      <w:sz w:val="21"/>
      <w:szCs w:val="20"/>
      <w:lang w:val="en-US" w:eastAsia="zh-CN" w:bidi="ar-SA"/>
      <w14:ligatures w14:val="none"/>
    </w:rPr>
  </w:style>
  <w:style w:type="character" w:styleId="402">
    <w:name w:val="Placeholder Text"/>
    <w:basedOn w:val="69"/>
    <w:qFormat/>
    <w:uiPriority w:val="99"/>
    <w:rPr>
      <w:color w:val="808080"/>
    </w:rPr>
  </w:style>
  <w:style w:type="paragraph" w:customStyle="1" w:styleId="403">
    <w:name w:val="Char Char1"/>
    <w:basedOn w:val="1"/>
    <w:qFormat/>
    <w:uiPriority w:val="0"/>
    <w:pPr>
      <w:spacing w:line="360" w:lineRule="auto"/>
      <w:ind w:firstLine="200" w:firstLineChars="200"/>
    </w:pPr>
    <w:rPr>
      <w:rFonts w:ascii="宋体" w:hAnsi="宋体" w:cs="宋体"/>
      <w:sz w:val="24"/>
      <w:szCs w:val="24"/>
    </w:rPr>
  </w:style>
  <w:style w:type="paragraph" w:customStyle="1" w:styleId="404">
    <w:name w:val="4需求"/>
    <w:link w:val="406"/>
    <w:qFormat/>
    <w:uiPriority w:val="0"/>
    <w:pPr>
      <w:numPr>
        <w:ilvl w:val="3"/>
        <w:numId w:val="5"/>
      </w:numPr>
      <w:spacing w:after="0" w:line="240" w:lineRule="auto"/>
    </w:pPr>
    <w:rPr>
      <w:rFonts w:ascii="宋体" w:hAnsi="Calibri" w:eastAsia="宋体" w:cs="宋体"/>
      <w:b/>
      <w:bCs/>
      <w:kern w:val="2"/>
      <w:sz w:val="21"/>
      <w:szCs w:val="22"/>
      <w:lang w:val="en-US" w:eastAsia="zh-CN" w:bidi="ar-SA"/>
      <w14:ligatures w14:val="none"/>
    </w:rPr>
  </w:style>
  <w:style w:type="paragraph" w:customStyle="1" w:styleId="405">
    <w:name w:val="3需求"/>
    <w:link w:val="408"/>
    <w:qFormat/>
    <w:uiPriority w:val="0"/>
    <w:pPr>
      <w:numPr>
        <w:ilvl w:val="2"/>
        <w:numId w:val="5"/>
      </w:numPr>
      <w:snapToGrid w:val="0"/>
      <w:spacing w:beforeLines="50" w:after="0" w:line="240" w:lineRule="auto"/>
    </w:pPr>
    <w:rPr>
      <w:rFonts w:ascii="宋体" w:hAnsi="Calibri" w:eastAsia="宋体" w:cs="宋体"/>
      <w:b/>
      <w:bCs/>
      <w:kern w:val="2"/>
      <w:sz w:val="24"/>
      <w:szCs w:val="22"/>
      <w:lang w:val="en-US" w:eastAsia="zh-CN" w:bidi="ar-SA"/>
      <w14:ligatures w14:val="none"/>
    </w:rPr>
  </w:style>
  <w:style w:type="character" w:customStyle="1" w:styleId="406">
    <w:name w:val="4需求 字符"/>
    <w:basedOn w:val="69"/>
    <w:link w:val="404"/>
    <w:qFormat/>
    <w:uiPriority w:val="0"/>
    <w:rPr>
      <w:rFonts w:ascii="宋体" w:hAnsi="Calibri" w:eastAsia="宋体" w:cs="宋体"/>
      <w:b/>
      <w:bCs/>
      <w:sz w:val="21"/>
      <w:szCs w:val="22"/>
      <w14:ligatures w14:val="none"/>
    </w:rPr>
  </w:style>
  <w:style w:type="paragraph" w:customStyle="1" w:styleId="407">
    <w:name w:val="2需求"/>
    <w:link w:val="410"/>
    <w:qFormat/>
    <w:uiPriority w:val="0"/>
    <w:pPr>
      <w:numPr>
        <w:ilvl w:val="1"/>
        <w:numId w:val="5"/>
      </w:numPr>
      <w:snapToGrid w:val="0"/>
      <w:spacing w:beforeLines="50" w:after="0" w:line="240" w:lineRule="auto"/>
    </w:pPr>
    <w:rPr>
      <w:rFonts w:ascii="宋体" w:hAnsi="Calibri" w:eastAsia="宋体" w:cs="宋体"/>
      <w:b/>
      <w:bCs/>
      <w:kern w:val="2"/>
      <w:sz w:val="24"/>
      <w:szCs w:val="22"/>
      <w:lang w:val="en-US" w:eastAsia="zh-CN" w:bidi="ar-SA"/>
      <w14:ligatures w14:val="none"/>
    </w:rPr>
  </w:style>
  <w:style w:type="character" w:customStyle="1" w:styleId="408">
    <w:name w:val="3需求 字符"/>
    <w:basedOn w:val="69"/>
    <w:link w:val="405"/>
    <w:qFormat/>
    <w:uiPriority w:val="0"/>
    <w:rPr>
      <w:rFonts w:ascii="宋体" w:hAnsi="Calibri" w:eastAsia="宋体" w:cs="宋体"/>
      <w:b/>
      <w:bCs/>
      <w:sz w:val="24"/>
      <w:szCs w:val="22"/>
      <w14:ligatures w14:val="none"/>
    </w:rPr>
  </w:style>
  <w:style w:type="paragraph" w:customStyle="1" w:styleId="409">
    <w:name w:val="1需求"/>
    <w:link w:val="411"/>
    <w:qFormat/>
    <w:uiPriority w:val="0"/>
    <w:pPr>
      <w:numPr>
        <w:ilvl w:val="0"/>
        <w:numId w:val="5"/>
      </w:numPr>
      <w:snapToGrid w:val="0"/>
      <w:spacing w:beforeLines="50" w:after="0" w:line="240" w:lineRule="auto"/>
    </w:pPr>
    <w:rPr>
      <w:rFonts w:ascii="宋体" w:hAnsi="Calibri" w:eastAsia="宋体" w:cs="宋体"/>
      <w:b/>
      <w:bCs/>
      <w:kern w:val="2"/>
      <w:sz w:val="28"/>
      <w:szCs w:val="22"/>
      <w:lang w:val="en-US" w:eastAsia="zh-CN" w:bidi="ar-SA"/>
      <w14:ligatures w14:val="none"/>
    </w:rPr>
  </w:style>
  <w:style w:type="character" w:customStyle="1" w:styleId="410">
    <w:name w:val="2需求 字符"/>
    <w:basedOn w:val="69"/>
    <w:link w:val="407"/>
    <w:qFormat/>
    <w:uiPriority w:val="0"/>
    <w:rPr>
      <w:rFonts w:ascii="宋体" w:hAnsi="Calibri" w:eastAsia="宋体" w:cs="宋体"/>
      <w:b/>
      <w:bCs/>
      <w:sz w:val="24"/>
      <w:szCs w:val="22"/>
      <w14:ligatures w14:val="none"/>
    </w:rPr>
  </w:style>
  <w:style w:type="character" w:customStyle="1" w:styleId="411">
    <w:name w:val="1需求 字符"/>
    <w:basedOn w:val="69"/>
    <w:link w:val="409"/>
    <w:qFormat/>
    <w:uiPriority w:val="0"/>
    <w:rPr>
      <w:rFonts w:ascii="宋体" w:hAnsi="Calibri" w:eastAsia="宋体" w:cs="宋体"/>
      <w:b/>
      <w:bCs/>
      <w:sz w:val="28"/>
      <w:szCs w:val="22"/>
      <w14:ligatures w14:val="none"/>
    </w:rPr>
  </w:style>
  <w:style w:type="paragraph" w:customStyle="1" w:styleId="412">
    <w:name w:val="国普正文"/>
    <w:basedOn w:val="1"/>
    <w:qFormat/>
    <w:uiPriority w:val="0"/>
    <w:pPr>
      <w:spacing w:line="360" w:lineRule="auto"/>
      <w:ind w:firstLine="600" w:firstLineChars="200"/>
    </w:pPr>
    <w:rPr>
      <w:rFonts w:ascii="仿宋_GB2312" w:hAnsi="Calibri" w:eastAsia="仿宋_GB2312"/>
      <w:sz w:val="30"/>
      <w:szCs w:val="30"/>
    </w:rPr>
  </w:style>
  <w:style w:type="character" w:customStyle="1" w:styleId="413">
    <w:name w:val="批注框文本 字符1"/>
    <w:qFormat/>
    <w:uiPriority w:val="0"/>
    <w:rPr>
      <w:rFonts w:ascii="Times New Roman" w:hAnsi="Times New Roman" w:eastAsia="宋体" w:cs="Times New Roman"/>
      <w:sz w:val="18"/>
      <w:szCs w:val="18"/>
    </w:rPr>
  </w:style>
  <w:style w:type="character" w:customStyle="1" w:styleId="414">
    <w:name w:val="页眉 字符1"/>
    <w:qFormat/>
    <w:uiPriority w:val="99"/>
    <w:rPr>
      <w:rFonts w:ascii="Times New Roman" w:hAnsi="Times New Roman" w:eastAsia="宋体" w:cs="Times New Roman"/>
      <w:sz w:val="18"/>
      <w:szCs w:val="18"/>
    </w:rPr>
  </w:style>
  <w:style w:type="character" w:customStyle="1" w:styleId="415">
    <w:name w:val="v0066991"/>
    <w:qFormat/>
    <w:uiPriority w:val="0"/>
    <w:rPr>
      <w:rFonts w:ascii="Arial" w:hAnsi="Arial" w:eastAsia="宋体" w:cs="Times New Roman"/>
      <w:color w:val="000000"/>
      <w:sz w:val="26"/>
      <w:u w:val="none"/>
    </w:rPr>
  </w:style>
  <w:style w:type="character" w:customStyle="1" w:styleId="416">
    <w:name w:val="正文2 Char"/>
    <w:link w:val="183"/>
    <w:qFormat/>
    <w:uiPriority w:val="0"/>
    <w:rPr>
      <w:rFonts w:ascii="Times New Roman" w:hAnsi="Times New Roman" w:eastAsia="宋体" w:cs="Times New Roman"/>
      <w:sz w:val="24"/>
      <w:szCs w:val="20"/>
      <w14:ligatures w14:val="none"/>
    </w:rPr>
  </w:style>
  <w:style w:type="character" w:customStyle="1" w:styleId="417">
    <w:name w:val="Char Char7"/>
    <w:qFormat/>
    <w:uiPriority w:val="0"/>
    <w:rPr>
      <w:rFonts w:ascii="Cambria" w:hAnsi="Cambria" w:eastAsia="仿宋_GB2312" w:cs="Times New Roman"/>
      <w:b/>
      <w:kern w:val="2"/>
      <w:sz w:val="28"/>
    </w:rPr>
  </w:style>
  <w:style w:type="character" w:customStyle="1" w:styleId="418">
    <w:name w:val="Subtle Reference1"/>
    <w:qFormat/>
    <w:uiPriority w:val="0"/>
    <w:rPr>
      <w:rFonts w:ascii="Calibri" w:hAnsi="Calibri" w:eastAsia="宋体" w:cs="Times New Roman"/>
      <w:color w:val="C0504D"/>
      <w:u w:val="single"/>
    </w:rPr>
  </w:style>
  <w:style w:type="character" w:customStyle="1" w:styleId="419">
    <w:name w:val="正文首行缩进 Char"/>
    <w:qFormat/>
    <w:uiPriority w:val="0"/>
    <w:rPr>
      <w:rFonts w:ascii="Times New Roman" w:hAnsi="Times New Roman" w:eastAsia="仿宋_GB2312" w:cs="Times New Roman"/>
      <w:kern w:val="2"/>
      <w:sz w:val="21"/>
      <w:szCs w:val="24"/>
    </w:rPr>
  </w:style>
  <w:style w:type="character" w:customStyle="1" w:styleId="420">
    <w:name w:val="段 Char"/>
    <w:link w:val="401"/>
    <w:qFormat/>
    <w:uiPriority w:val="0"/>
    <w:rPr>
      <w:rFonts w:ascii="宋体" w:hAnsi="Times New Roman" w:eastAsia="宋体" w:cs="Times New Roman"/>
      <w:kern w:val="0"/>
      <w:sz w:val="21"/>
      <w:szCs w:val="20"/>
      <w14:ligatures w14:val="none"/>
    </w:rPr>
  </w:style>
  <w:style w:type="character" w:customStyle="1" w:styleId="421">
    <w:name w:val="样式1 Char Char"/>
    <w:link w:val="159"/>
    <w:qFormat/>
    <w:uiPriority w:val="0"/>
    <w:rPr>
      <w:rFonts w:ascii="Calibri" w:hAnsi="Calibri" w:eastAsia="宋体" w:cs="Times New Roman"/>
      <w:b/>
      <w:i/>
      <w:kern w:val="0"/>
      <w:sz w:val="24"/>
      <w:szCs w:val="21"/>
      <w:u w:val="thick"/>
    </w:rPr>
  </w:style>
  <w:style w:type="character" w:customStyle="1" w:styleId="422">
    <w:name w:val="17"/>
    <w:qFormat/>
    <w:uiPriority w:val="0"/>
    <w:rPr>
      <w:rFonts w:hint="default" w:ascii="Calibri" w:hAnsi="Calibri" w:eastAsia="宋体" w:cs="Times New Roman"/>
      <w:sz w:val="21"/>
      <w:szCs w:val="21"/>
    </w:rPr>
  </w:style>
  <w:style w:type="character" w:customStyle="1" w:styleId="423">
    <w:name w:val="标题 6 Char1"/>
    <w:qFormat/>
    <w:uiPriority w:val="0"/>
    <w:rPr>
      <w:rFonts w:ascii="Arial" w:hAnsi="Arial" w:eastAsia="黑体" w:cs="Times New Roman"/>
      <w:b/>
      <w:kern w:val="2"/>
      <w:sz w:val="24"/>
    </w:rPr>
  </w:style>
  <w:style w:type="character" w:customStyle="1" w:styleId="424">
    <w:name w:val="自定义正文 Char Char"/>
    <w:qFormat/>
    <w:uiPriority w:val="0"/>
    <w:rPr>
      <w:rFonts w:ascii="Calibri" w:hAnsi="Calibri" w:eastAsia="宋体" w:cs="Times New Roman"/>
      <w:sz w:val="24"/>
    </w:rPr>
  </w:style>
  <w:style w:type="character" w:customStyle="1" w:styleId="425">
    <w:name w:val="正文文本 Char3"/>
    <w:qFormat/>
    <w:uiPriority w:val="0"/>
    <w:rPr>
      <w:rFonts w:ascii="Times New Roman" w:hAnsi="Times New Roman" w:eastAsia="宋体" w:cs="Times New Roman"/>
      <w:sz w:val="20"/>
      <w:szCs w:val="20"/>
    </w:rPr>
  </w:style>
  <w:style w:type="character" w:customStyle="1" w:styleId="426">
    <w:name w:val="标题 2 Char1"/>
    <w:qFormat/>
    <w:uiPriority w:val="0"/>
    <w:rPr>
      <w:rFonts w:ascii="仿宋_GB2312" w:hAnsi="Calibri" w:eastAsia="仿宋_GB2312" w:cs="Times New Roman"/>
      <w:sz w:val="28"/>
    </w:rPr>
  </w:style>
  <w:style w:type="character" w:customStyle="1" w:styleId="427">
    <w:name w:val="批注引用111"/>
    <w:qFormat/>
    <w:uiPriority w:val="0"/>
    <w:rPr>
      <w:rFonts w:ascii="Calibri" w:hAnsi="Calibri" w:eastAsia="宋体" w:cs="Times New Roman"/>
      <w:sz w:val="21"/>
      <w:szCs w:val="21"/>
    </w:rPr>
  </w:style>
  <w:style w:type="character" w:customStyle="1" w:styleId="428">
    <w:name w:val="blue"/>
    <w:qFormat/>
    <w:uiPriority w:val="0"/>
    <w:rPr>
      <w:rFonts w:ascii="Calibri" w:hAnsi="Calibri" w:eastAsia="宋体" w:cs="Times New Roman"/>
    </w:rPr>
  </w:style>
  <w:style w:type="character" w:customStyle="1" w:styleId="429">
    <w:name w:val="段 Char Char"/>
    <w:qFormat/>
    <w:uiPriority w:val="0"/>
    <w:rPr>
      <w:rFonts w:ascii="宋体" w:hAnsi="Calibri" w:eastAsia="宋体" w:cs="Times New Roman"/>
      <w:lang w:val="en-US" w:eastAsia="zh-CN"/>
    </w:rPr>
  </w:style>
  <w:style w:type="character" w:customStyle="1" w:styleId="430">
    <w:name w:val="标题3 Char"/>
    <w:link w:val="431"/>
    <w:qFormat/>
    <w:uiPriority w:val="0"/>
    <w:rPr>
      <w:rFonts w:ascii="宋体" w:hAnsi="宋体" w:eastAsia="华文中宋" w:cs="Arial"/>
      <w:b/>
      <w:sz w:val="24"/>
    </w:rPr>
  </w:style>
  <w:style w:type="paragraph" w:customStyle="1" w:styleId="431">
    <w:name w:val="标题3"/>
    <w:basedOn w:val="1"/>
    <w:link w:val="430"/>
    <w:qFormat/>
    <w:uiPriority w:val="0"/>
    <w:pPr>
      <w:widowControl/>
      <w:jc w:val="left"/>
    </w:pPr>
    <w:rPr>
      <w:rFonts w:ascii="宋体" w:hAnsi="宋体" w:eastAsia="华文中宋" w:cs="Arial"/>
      <w:b/>
      <w:sz w:val="24"/>
      <w:szCs w:val="24"/>
      <w14:ligatures w14:val="standardContextual"/>
    </w:rPr>
  </w:style>
  <w:style w:type="character" w:customStyle="1" w:styleId="432">
    <w:name w:val="style17"/>
    <w:qFormat/>
    <w:uiPriority w:val="0"/>
    <w:rPr>
      <w:rFonts w:ascii="Calibri" w:hAnsi="Calibri" w:eastAsia="宋体" w:cs="Times New Roman"/>
    </w:rPr>
  </w:style>
  <w:style w:type="character" w:customStyle="1" w:styleId="433">
    <w:name w:val="g1"/>
    <w:qFormat/>
    <w:uiPriority w:val="0"/>
    <w:rPr>
      <w:rFonts w:ascii="Calibri" w:hAnsi="Calibri" w:eastAsia="宋体" w:cs="Times New Roman"/>
      <w:color w:val="008000"/>
    </w:rPr>
  </w:style>
  <w:style w:type="character" w:customStyle="1" w:styleId="434">
    <w:name w:val="Char Char9"/>
    <w:qFormat/>
    <w:uiPriority w:val="0"/>
    <w:rPr>
      <w:rFonts w:ascii="Calibri" w:hAnsi="Calibri" w:eastAsia="宋体" w:cs="Times New Roman"/>
      <w:b/>
      <w:kern w:val="44"/>
      <w:sz w:val="44"/>
    </w:rPr>
  </w:style>
  <w:style w:type="character" w:customStyle="1" w:styleId="435">
    <w:name w:val="页脚 Char3"/>
    <w:qFormat/>
    <w:uiPriority w:val="0"/>
    <w:rPr>
      <w:rFonts w:ascii="Times New Roman" w:hAnsi="Times New Roman" w:eastAsia="宋体" w:cs="Times New Roman"/>
      <w:sz w:val="20"/>
      <w:szCs w:val="20"/>
    </w:rPr>
  </w:style>
  <w:style w:type="character" w:customStyle="1" w:styleId="436">
    <w:name w:val="称呼 Char"/>
    <w:qFormat/>
    <w:uiPriority w:val="0"/>
    <w:rPr>
      <w:rFonts w:ascii="Times New Roman" w:hAnsi="Times New Roman" w:eastAsia="宋体" w:cs="Times New Roman"/>
      <w:kern w:val="2"/>
      <w:sz w:val="21"/>
      <w:szCs w:val="24"/>
    </w:rPr>
  </w:style>
  <w:style w:type="character" w:customStyle="1" w:styleId="437">
    <w:name w:val="●一级符号home Char Char1"/>
    <w:link w:val="438"/>
    <w:qFormat/>
    <w:uiPriority w:val="0"/>
    <w:rPr>
      <w:rFonts w:ascii="Verdana" w:hAnsi="Verdana"/>
      <w:sz w:val="21"/>
      <w:lang w:val="zh-CN"/>
    </w:rPr>
  </w:style>
  <w:style w:type="paragraph" w:customStyle="1" w:styleId="438">
    <w:name w:val="●一级符号home"/>
    <w:basedOn w:val="1"/>
    <w:link w:val="437"/>
    <w:qFormat/>
    <w:uiPriority w:val="0"/>
    <w:pPr>
      <w:tabs>
        <w:tab w:val="left" w:pos="901"/>
      </w:tabs>
      <w:spacing w:line="360" w:lineRule="auto"/>
    </w:pPr>
    <w:rPr>
      <w:rFonts w:ascii="Verdana" w:hAnsi="Verdana" w:eastAsiaTheme="minorEastAsia" w:cstheme="minorBidi"/>
      <w:szCs w:val="24"/>
      <w:lang w:val="zh-CN"/>
      <w14:ligatures w14:val="standardContextual"/>
    </w:rPr>
  </w:style>
  <w:style w:type="character" w:customStyle="1" w:styleId="439">
    <w:name w:val="15"/>
    <w:qFormat/>
    <w:uiPriority w:val="0"/>
    <w:rPr>
      <w:rFonts w:hint="default" w:ascii="Calibri" w:hAnsi="Calibri" w:eastAsia="宋体" w:cs="Times New Roman"/>
      <w:sz w:val="18"/>
      <w:szCs w:val="18"/>
    </w:rPr>
  </w:style>
  <w:style w:type="character" w:customStyle="1" w:styleId="440">
    <w:name w:val="font81"/>
    <w:qFormat/>
    <w:uiPriority w:val="0"/>
    <w:rPr>
      <w:rFonts w:hint="default" w:ascii="Times New Roman" w:hAnsi="Times New Roman" w:eastAsia="宋体" w:cs="Times New Roman"/>
      <w:color w:val="000000"/>
      <w:sz w:val="18"/>
      <w:szCs w:val="18"/>
      <w:u w:val="none"/>
    </w:rPr>
  </w:style>
  <w:style w:type="character" w:customStyle="1" w:styleId="441">
    <w:name w:val="16"/>
    <w:qFormat/>
    <w:uiPriority w:val="0"/>
    <w:rPr>
      <w:rFonts w:hint="default" w:ascii="Calibri" w:hAnsi="Calibri" w:eastAsia="宋体" w:cs="Times New Roman"/>
      <w:sz w:val="21"/>
      <w:szCs w:val="21"/>
    </w:rPr>
  </w:style>
  <w:style w:type="character" w:customStyle="1" w:styleId="442">
    <w:name w:val="lf3"/>
    <w:qFormat/>
    <w:uiPriority w:val="0"/>
    <w:rPr>
      <w:rFonts w:ascii="Calibri" w:hAnsi="Calibri" w:eastAsia="宋体" w:cs="Times New Roman"/>
    </w:rPr>
  </w:style>
  <w:style w:type="character" w:customStyle="1" w:styleId="443">
    <w:name w:val="正文文本缩进 Char2"/>
    <w:qFormat/>
    <w:uiPriority w:val="0"/>
    <w:rPr>
      <w:rFonts w:ascii="Calibri" w:hAnsi="Calibri" w:eastAsia="宋体" w:cs="Times New Roman"/>
      <w:kern w:val="2"/>
      <w:sz w:val="21"/>
    </w:rPr>
  </w:style>
  <w:style w:type="character" w:customStyle="1" w:styleId="444">
    <w:name w:val="自定义正文 Char"/>
    <w:link w:val="445"/>
    <w:qFormat/>
    <w:uiPriority w:val="0"/>
    <w:rPr>
      <w:sz w:val="24"/>
    </w:rPr>
  </w:style>
  <w:style w:type="paragraph" w:customStyle="1" w:styleId="445">
    <w:name w:val="自定义正文"/>
    <w:basedOn w:val="1"/>
    <w:link w:val="444"/>
    <w:qFormat/>
    <w:uiPriority w:val="0"/>
    <w:pPr>
      <w:spacing w:afterLines="50" w:line="360" w:lineRule="auto"/>
      <w:ind w:firstLine="200" w:firstLineChars="200"/>
      <w:jc w:val="left"/>
    </w:pPr>
    <w:rPr>
      <w:rFonts w:asciiTheme="minorHAnsi" w:hAnsiTheme="minorHAnsi" w:eastAsiaTheme="minorEastAsia" w:cstheme="minorBidi"/>
      <w:sz w:val="24"/>
      <w:szCs w:val="24"/>
      <w14:ligatures w14:val="standardContextual"/>
    </w:rPr>
  </w:style>
  <w:style w:type="character" w:customStyle="1" w:styleId="446">
    <w:name w:val="样式 黑体 二号"/>
    <w:qFormat/>
    <w:uiPriority w:val="0"/>
    <w:rPr>
      <w:rFonts w:ascii="Arial" w:hAnsi="Arial" w:eastAsia="黑体" w:cs="Times New Roman"/>
      <w:sz w:val="44"/>
    </w:rPr>
  </w:style>
  <w:style w:type="character" w:customStyle="1" w:styleId="447">
    <w:name w:val="标题 Char1"/>
    <w:qFormat/>
    <w:uiPriority w:val="0"/>
    <w:rPr>
      <w:rFonts w:ascii="Calibri" w:hAnsi="Calibri" w:eastAsia="黑体" w:cs="Times New Roman"/>
      <w:b/>
      <w:sz w:val="28"/>
    </w:rPr>
  </w:style>
  <w:style w:type="character" w:customStyle="1" w:styleId="448">
    <w:name w:val="textfont"/>
    <w:qFormat/>
    <w:uiPriority w:val="0"/>
    <w:rPr>
      <w:rFonts w:ascii="Calibri" w:hAnsi="Calibri" w:eastAsia="宋体" w:cs="Times New Roman"/>
    </w:rPr>
  </w:style>
  <w:style w:type="character" w:customStyle="1" w:styleId="449">
    <w:name w:val="r13"/>
    <w:qFormat/>
    <w:uiPriority w:val="0"/>
    <w:rPr>
      <w:rFonts w:ascii="Calibri" w:hAnsi="Calibri" w:eastAsia="宋体" w:cs="Times New Roman"/>
    </w:rPr>
  </w:style>
  <w:style w:type="character" w:customStyle="1" w:styleId="450">
    <w:name w:val="副标题 Char"/>
    <w:qFormat/>
    <w:uiPriority w:val="0"/>
    <w:rPr>
      <w:rFonts w:ascii="Cambria" w:hAnsi="Cambria" w:eastAsia="宋体" w:cs="Times New Roman"/>
      <w:b/>
      <w:bCs/>
      <w:kern w:val="28"/>
      <w:sz w:val="32"/>
      <w:szCs w:val="32"/>
    </w:rPr>
  </w:style>
  <w:style w:type="character" w:customStyle="1" w:styleId="451">
    <w:name w:val="style15"/>
    <w:qFormat/>
    <w:uiPriority w:val="0"/>
    <w:rPr>
      <w:rFonts w:ascii="Calibri" w:hAnsi="Calibri" w:eastAsia="宋体" w:cs="Times New Roman"/>
    </w:rPr>
  </w:style>
  <w:style w:type="character" w:customStyle="1" w:styleId="452">
    <w:name w:val="页眉 Char2"/>
    <w:qFormat/>
    <w:uiPriority w:val="0"/>
    <w:rPr>
      <w:rFonts w:ascii="Calibri" w:hAnsi="Calibri" w:eastAsia="宋体" w:cs="Times New Roman"/>
      <w:kern w:val="2"/>
      <w:sz w:val="18"/>
    </w:rPr>
  </w:style>
  <w:style w:type="character" w:customStyle="1" w:styleId="453">
    <w:name w:val="headline-content2"/>
    <w:qFormat/>
    <w:uiPriority w:val="0"/>
    <w:rPr>
      <w:rFonts w:ascii="Calibri" w:hAnsi="Calibri" w:eastAsia="宋体" w:cs="Times New Roman"/>
    </w:rPr>
  </w:style>
  <w:style w:type="character" w:customStyle="1" w:styleId="454">
    <w:name w:val="paramname"/>
    <w:qFormat/>
    <w:uiPriority w:val="0"/>
    <w:rPr>
      <w:rFonts w:ascii="Calibri" w:hAnsi="Calibri" w:eastAsia="宋体" w:cs="Times New Roman"/>
    </w:rPr>
  </w:style>
  <w:style w:type="character" w:customStyle="1" w:styleId="455">
    <w:name w:val="页眉 Char Char"/>
    <w:qFormat/>
    <w:uiPriority w:val="0"/>
    <w:rPr>
      <w:rFonts w:ascii="Calibri" w:hAnsi="Calibri" w:eastAsia="宋体" w:cs="Times New Roman"/>
      <w:kern w:val="2"/>
      <w:sz w:val="18"/>
      <w:lang w:val="en-US" w:eastAsia="zh-CN"/>
    </w:rPr>
  </w:style>
  <w:style w:type="character" w:customStyle="1" w:styleId="456">
    <w:name w:val="正文2 Char Char"/>
    <w:qFormat/>
    <w:uiPriority w:val="0"/>
    <w:rPr>
      <w:rFonts w:ascii="Calibri" w:hAnsi="Calibri" w:eastAsia="宋体" w:cs="Times New Roman"/>
      <w:sz w:val="24"/>
    </w:rPr>
  </w:style>
  <w:style w:type="character" w:customStyle="1" w:styleId="457">
    <w:name w:val="正文首行缩进 Char2"/>
    <w:qFormat/>
    <w:uiPriority w:val="0"/>
    <w:rPr>
      <w:rFonts w:ascii="Calibri" w:hAnsi="Calibri" w:eastAsia="宋体" w:cs="Times New Roman"/>
    </w:rPr>
  </w:style>
  <w:style w:type="paragraph" w:customStyle="1" w:styleId="458">
    <w:name w:val="z-Bottom of Form1"/>
    <w:basedOn w:val="1"/>
    <w:qFormat/>
    <w:uiPriority w:val="0"/>
    <w:pPr>
      <w:widowControl/>
      <w:pBdr>
        <w:top w:val="single" w:color="auto" w:sz="6" w:space="1"/>
      </w:pBdr>
      <w:jc w:val="center"/>
    </w:pPr>
    <w:rPr>
      <w:rFonts w:ascii="Arial" w:hAnsi="Arial"/>
      <w:vanish/>
      <w:kern w:val="0"/>
      <w:sz w:val="16"/>
      <w:szCs w:val="16"/>
    </w:rPr>
  </w:style>
  <w:style w:type="character" w:customStyle="1" w:styleId="459">
    <w:name w:val="批注引用10"/>
    <w:qFormat/>
    <w:uiPriority w:val="0"/>
    <w:rPr>
      <w:rFonts w:ascii="Calibri" w:hAnsi="Calibri" w:eastAsia="宋体" w:cs="Times New Roman"/>
      <w:sz w:val="21"/>
    </w:rPr>
  </w:style>
  <w:style w:type="character" w:customStyle="1" w:styleId="460">
    <w:name w:val="EmailStyle30"/>
    <w:qFormat/>
    <w:uiPriority w:val="0"/>
    <w:rPr>
      <w:rFonts w:ascii="Calibri" w:hAnsi="Calibri" w:eastAsia="宋体" w:cs="Times New Roman"/>
      <w:color w:val="000000"/>
    </w:rPr>
  </w:style>
  <w:style w:type="character" w:customStyle="1" w:styleId="461">
    <w:name w:val="批注引用5"/>
    <w:qFormat/>
    <w:uiPriority w:val="0"/>
    <w:rPr>
      <w:rFonts w:ascii="Calibri" w:hAnsi="Calibri" w:eastAsia="宋体" w:cs="Times New Roman"/>
      <w:sz w:val="21"/>
    </w:rPr>
  </w:style>
  <w:style w:type="character" w:customStyle="1" w:styleId="462">
    <w:name w:val="apple-style-span"/>
    <w:qFormat/>
    <w:uiPriority w:val="0"/>
    <w:rPr>
      <w:rFonts w:ascii="Calibri" w:hAnsi="Calibri" w:eastAsia="宋体" w:cs="Times New Roman"/>
    </w:rPr>
  </w:style>
  <w:style w:type="character" w:customStyle="1" w:styleId="463">
    <w:name w:val="无 A"/>
    <w:qFormat/>
    <w:uiPriority w:val="0"/>
    <w:rPr>
      <w:rFonts w:ascii="Calibri" w:hAnsi="Calibri" w:eastAsia="宋体" w:cs="Times New Roman"/>
      <w:lang w:val="en-US"/>
    </w:rPr>
  </w:style>
  <w:style w:type="character" w:customStyle="1" w:styleId="464">
    <w:name w:val="custbt1"/>
    <w:qFormat/>
    <w:uiPriority w:val="0"/>
    <w:rPr>
      <w:rFonts w:ascii="Calibri" w:hAnsi="Calibri" w:eastAsia="宋体" w:cs="Times New Roman"/>
      <w:color w:val="0066CC"/>
      <w:sz w:val="20"/>
    </w:rPr>
  </w:style>
  <w:style w:type="character" w:customStyle="1" w:styleId="465">
    <w:name w:val="日期 Char2"/>
    <w:qFormat/>
    <w:uiPriority w:val="0"/>
    <w:rPr>
      <w:rFonts w:ascii="Calibri" w:hAnsi="Calibri" w:eastAsia="宋体" w:cs="Times New Roman"/>
      <w:kern w:val="2"/>
      <w:sz w:val="21"/>
    </w:rPr>
  </w:style>
  <w:style w:type="character" w:customStyle="1" w:styleId="466">
    <w:name w:val="批注引用6"/>
    <w:qFormat/>
    <w:uiPriority w:val="0"/>
    <w:rPr>
      <w:rFonts w:ascii="Calibri" w:hAnsi="Calibri" w:eastAsia="宋体" w:cs="Times New Roman"/>
      <w:sz w:val="21"/>
    </w:rPr>
  </w:style>
  <w:style w:type="character" w:customStyle="1" w:styleId="467">
    <w:name w:val="font71"/>
    <w:qFormat/>
    <w:uiPriority w:val="0"/>
    <w:rPr>
      <w:rFonts w:hint="default" w:ascii="Times New Roman" w:hAnsi="Times New Roman" w:eastAsia="楷体_GB2312" w:cs="Times New Roman"/>
      <w:sz w:val="28"/>
      <w:szCs w:val="24"/>
    </w:rPr>
  </w:style>
  <w:style w:type="character" w:customStyle="1" w:styleId="468">
    <w:name w:val="正文首缩两字 Char1"/>
    <w:link w:val="469"/>
    <w:qFormat/>
    <w:uiPriority w:val="0"/>
    <w:rPr>
      <w:rFonts w:ascii="Verdana" w:hAnsi="Verdana"/>
      <w:sz w:val="24"/>
    </w:rPr>
  </w:style>
  <w:style w:type="paragraph" w:customStyle="1" w:styleId="469">
    <w:name w:val="正文首缩两字"/>
    <w:basedOn w:val="1"/>
    <w:link w:val="468"/>
    <w:qFormat/>
    <w:uiPriority w:val="0"/>
    <w:pPr>
      <w:spacing w:line="360" w:lineRule="auto"/>
      <w:ind w:firstLine="200" w:firstLineChars="200"/>
    </w:pPr>
    <w:rPr>
      <w:rFonts w:ascii="Verdana" w:hAnsi="Verdana" w:eastAsiaTheme="minorEastAsia" w:cstheme="minorBidi"/>
      <w:sz w:val="24"/>
      <w:szCs w:val="24"/>
      <w14:ligatures w14:val="standardContextual"/>
    </w:rPr>
  </w:style>
  <w:style w:type="character" w:customStyle="1" w:styleId="470">
    <w:name w:val="ss"/>
    <w:qFormat/>
    <w:uiPriority w:val="0"/>
    <w:rPr>
      <w:rFonts w:ascii="Calibri" w:hAnsi="Calibri" w:eastAsia="宋体" w:cs="Times New Roman"/>
    </w:rPr>
  </w:style>
  <w:style w:type="character" w:customStyle="1" w:styleId="471">
    <w:name w:val="Char Char6"/>
    <w:qFormat/>
    <w:uiPriority w:val="0"/>
    <w:rPr>
      <w:rFonts w:ascii="Calibri" w:hAnsi="Calibri" w:eastAsia="宋体" w:cs="Times New Roman"/>
      <w:sz w:val="24"/>
    </w:rPr>
  </w:style>
  <w:style w:type="character" w:customStyle="1" w:styleId="472">
    <w:name w:val="批注文字 Char2"/>
    <w:qFormat/>
    <w:uiPriority w:val="0"/>
    <w:rPr>
      <w:rFonts w:ascii="Calibri" w:hAnsi="Calibri" w:eastAsia="宋体" w:cs="Times New Roman"/>
      <w:kern w:val="2"/>
      <w:sz w:val="21"/>
    </w:rPr>
  </w:style>
  <w:style w:type="character" w:customStyle="1" w:styleId="473">
    <w:name w:val="font_8"/>
    <w:qFormat/>
    <w:uiPriority w:val="0"/>
    <w:rPr>
      <w:rFonts w:ascii="Calibri" w:hAnsi="Calibri" w:eastAsia="宋体" w:cs="Times New Roman"/>
    </w:rPr>
  </w:style>
  <w:style w:type="character" w:customStyle="1" w:styleId="474">
    <w:name w:val="批注主题 Char2"/>
    <w:qFormat/>
    <w:uiPriority w:val="0"/>
    <w:rPr>
      <w:rFonts w:ascii="Calibri" w:hAnsi="Calibri" w:eastAsia="宋体" w:cs="Times New Roman"/>
      <w:b/>
      <w:kern w:val="2"/>
      <w:sz w:val="21"/>
    </w:rPr>
  </w:style>
  <w:style w:type="character" w:customStyle="1" w:styleId="475">
    <w:name w:val="Char Char Char Char Char"/>
    <w:qFormat/>
    <w:uiPriority w:val="0"/>
    <w:rPr>
      <w:rFonts w:ascii="宋体" w:hAnsi="Courier New" w:cs="Times New Roman"/>
    </w:rPr>
  </w:style>
  <w:style w:type="character" w:customStyle="1" w:styleId="476">
    <w:name w:val="一级条标题 Char"/>
    <w:link w:val="477"/>
    <w:qFormat/>
    <w:uiPriority w:val="0"/>
    <w:rPr>
      <w:rFonts w:ascii="黑体" w:eastAsia="黑体"/>
      <w:sz w:val="21"/>
    </w:rPr>
  </w:style>
  <w:style w:type="paragraph" w:customStyle="1" w:styleId="477">
    <w:name w:val="一级条标题"/>
    <w:basedOn w:val="1"/>
    <w:link w:val="476"/>
    <w:qFormat/>
    <w:uiPriority w:val="0"/>
    <w:pPr>
      <w:widowControl/>
      <w:tabs>
        <w:tab w:val="left" w:pos="1200"/>
      </w:tabs>
      <w:ind w:left="1200" w:hanging="420"/>
      <w:outlineLvl w:val="2"/>
    </w:pPr>
    <w:rPr>
      <w:rFonts w:ascii="黑体" w:eastAsia="黑体" w:hAnsiTheme="minorHAnsi" w:cstheme="minorBidi"/>
      <w:szCs w:val="24"/>
      <w14:ligatures w14:val="standardContextual"/>
    </w:rPr>
  </w:style>
  <w:style w:type="character" w:customStyle="1" w:styleId="478">
    <w:name w:val="标题 Char3"/>
    <w:qFormat/>
    <w:uiPriority w:val="0"/>
    <w:rPr>
      <w:rFonts w:ascii="Cambria" w:hAnsi="Cambria" w:eastAsia="宋体" w:cs="黑体"/>
      <w:b/>
      <w:bCs/>
      <w:sz w:val="32"/>
      <w:szCs w:val="32"/>
    </w:rPr>
  </w:style>
  <w:style w:type="character" w:customStyle="1" w:styleId="479">
    <w:name w:val="List Paragraph Char Char"/>
    <w:qFormat/>
    <w:uiPriority w:val="0"/>
    <w:rPr>
      <w:rFonts w:ascii="宋体" w:hAnsi="宋体" w:cs="Times New Roman"/>
      <w:kern w:val="2"/>
      <w:sz w:val="21"/>
      <w:szCs w:val="24"/>
    </w:rPr>
  </w:style>
  <w:style w:type="character" w:customStyle="1" w:styleId="480">
    <w:name w:val="wz1"/>
    <w:qFormat/>
    <w:uiPriority w:val="0"/>
    <w:rPr>
      <w:rFonts w:ascii="Calibri" w:hAnsi="Calibri" w:eastAsia="宋体" w:cs="Times New Roman"/>
      <w:color w:val="5A5A5A"/>
      <w:sz w:val="18"/>
      <w:u w:val="none"/>
    </w:rPr>
  </w:style>
  <w:style w:type="character" w:customStyle="1" w:styleId="481">
    <w:name w:val="aa1"/>
    <w:qFormat/>
    <w:uiPriority w:val="0"/>
    <w:rPr>
      <w:rFonts w:ascii="Calibri" w:hAnsi="Calibri" w:eastAsia="宋体" w:cs="Times New Roman"/>
      <w:sz w:val="20"/>
      <w:u w:val="none"/>
    </w:rPr>
  </w:style>
  <w:style w:type="character" w:customStyle="1" w:styleId="482">
    <w:name w:val="style14"/>
    <w:qFormat/>
    <w:uiPriority w:val="0"/>
    <w:rPr>
      <w:rFonts w:ascii="Calibri" w:hAnsi="Calibri" w:eastAsia="宋体" w:cs="Times New Roman"/>
    </w:rPr>
  </w:style>
  <w:style w:type="character" w:customStyle="1" w:styleId="483">
    <w:name w:val="正文首行缩进 Char1"/>
    <w:qFormat/>
    <w:uiPriority w:val="0"/>
    <w:rPr>
      <w:rFonts w:ascii="Calibri" w:hAnsi="Calibri" w:eastAsia="宋体" w:cs="Times New Roman"/>
      <w:kern w:val="2"/>
      <w:sz w:val="22"/>
      <w:lang w:val="en-US" w:eastAsia="zh-CN"/>
    </w:rPr>
  </w:style>
  <w:style w:type="character" w:customStyle="1" w:styleId="484">
    <w:name w:val="正文文本 2 Char2"/>
    <w:qFormat/>
    <w:uiPriority w:val="0"/>
    <w:rPr>
      <w:rFonts w:ascii="Calibri" w:hAnsi="Calibri" w:eastAsia="宋体" w:cs="Times New Roman"/>
      <w:kern w:val="2"/>
      <w:sz w:val="21"/>
    </w:rPr>
  </w:style>
  <w:style w:type="paragraph" w:customStyle="1" w:styleId="485">
    <w:name w:val="z-Top of Form1"/>
    <w:basedOn w:val="1"/>
    <w:qFormat/>
    <w:uiPriority w:val="0"/>
    <w:pPr>
      <w:widowControl/>
      <w:pBdr>
        <w:bottom w:val="single" w:color="auto" w:sz="6" w:space="1"/>
      </w:pBdr>
      <w:jc w:val="center"/>
    </w:pPr>
    <w:rPr>
      <w:rFonts w:ascii="Arial" w:hAnsi="Arial"/>
      <w:vanish/>
      <w:kern w:val="0"/>
      <w:sz w:val="16"/>
      <w:szCs w:val="16"/>
    </w:rPr>
  </w:style>
  <w:style w:type="character" w:customStyle="1" w:styleId="486">
    <w:name w:val="Char Char5"/>
    <w:qFormat/>
    <w:uiPriority w:val="0"/>
    <w:rPr>
      <w:rFonts w:ascii="Calibri" w:hAnsi="Calibri" w:eastAsia="宋体" w:cs="Times New Roman"/>
      <w:sz w:val="18"/>
    </w:rPr>
  </w:style>
  <w:style w:type="character" w:customStyle="1" w:styleId="487">
    <w:name w:val="正文2 Char Char Char"/>
    <w:qFormat/>
    <w:uiPriority w:val="0"/>
    <w:rPr>
      <w:rFonts w:ascii="Calibri" w:hAnsi="Calibri" w:eastAsia="宋体" w:cs="Times New Roman"/>
      <w:kern w:val="2"/>
      <w:sz w:val="24"/>
      <w:lang w:val="en-US" w:eastAsia="zh-CN"/>
    </w:rPr>
  </w:style>
  <w:style w:type="character" w:customStyle="1" w:styleId="488">
    <w:name w:val="标题 1 Char1"/>
    <w:qFormat/>
    <w:uiPriority w:val="0"/>
    <w:rPr>
      <w:rFonts w:ascii="仿宋_GB2312" w:hAnsi="Calibri" w:eastAsia="仿宋_GB2312" w:cs="Times New Roman"/>
      <w:b/>
      <w:color w:val="000000"/>
      <w:kern w:val="2"/>
      <w:sz w:val="36"/>
    </w:rPr>
  </w:style>
  <w:style w:type="character" w:customStyle="1" w:styleId="489">
    <w:name w:val="批注引用4"/>
    <w:qFormat/>
    <w:uiPriority w:val="0"/>
    <w:rPr>
      <w:rFonts w:ascii="Calibri" w:hAnsi="Calibri" w:eastAsia="宋体" w:cs="Times New Roman"/>
      <w:sz w:val="21"/>
    </w:rPr>
  </w:style>
  <w:style w:type="character" w:customStyle="1" w:styleId="490">
    <w:name w:val="style141"/>
    <w:qFormat/>
    <w:uiPriority w:val="0"/>
    <w:rPr>
      <w:rFonts w:ascii="Calibri" w:hAnsi="Calibri" w:eastAsia="宋体" w:cs="Times New Roman"/>
    </w:rPr>
  </w:style>
  <w:style w:type="character" w:customStyle="1" w:styleId="491">
    <w:name w:val="文档结构图 Char2"/>
    <w:qFormat/>
    <w:uiPriority w:val="0"/>
    <w:rPr>
      <w:rFonts w:ascii="宋体" w:hAnsi="Calibri" w:eastAsia="宋体" w:cs="Times New Roman"/>
      <w:kern w:val="2"/>
      <w:sz w:val="18"/>
    </w:rPr>
  </w:style>
  <w:style w:type="character" w:customStyle="1" w:styleId="492">
    <w:name w:val="批注框文本 Char2"/>
    <w:qFormat/>
    <w:uiPriority w:val="0"/>
    <w:rPr>
      <w:rFonts w:ascii="Calibri" w:hAnsi="Calibri" w:eastAsia="宋体" w:cs="Times New Roman"/>
      <w:kern w:val="2"/>
      <w:sz w:val="18"/>
    </w:rPr>
  </w:style>
  <w:style w:type="character" w:customStyle="1" w:styleId="493">
    <w:name w:val="font61"/>
    <w:basedOn w:val="69"/>
    <w:qFormat/>
    <w:uiPriority w:val="0"/>
    <w:rPr>
      <w:rFonts w:ascii="Arial" w:hAnsi="Arial" w:eastAsia="宋体" w:cs="Arial"/>
      <w:color w:val="000000"/>
      <w:sz w:val="20"/>
      <w:szCs w:val="20"/>
      <w:u w:val="none"/>
    </w:rPr>
  </w:style>
  <w:style w:type="character" w:customStyle="1" w:styleId="494">
    <w:name w:val="fontblank12"/>
    <w:qFormat/>
    <w:uiPriority w:val="0"/>
    <w:rPr>
      <w:rFonts w:ascii="Calibri" w:hAnsi="Calibri" w:eastAsia="宋体" w:cs="Times New Roman"/>
    </w:rPr>
  </w:style>
  <w:style w:type="character" w:customStyle="1" w:styleId="495">
    <w:name w:val="标题 9 Char1"/>
    <w:qFormat/>
    <w:uiPriority w:val="0"/>
    <w:rPr>
      <w:rFonts w:ascii="Arial" w:hAnsi="Arial" w:eastAsia="黑体" w:cs="Times New Roman"/>
      <w:kern w:val="2"/>
      <w:sz w:val="21"/>
    </w:rPr>
  </w:style>
  <w:style w:type="character" w:customStyle="1" w:styleId="496">
    <w:name w:val="high-light-bg4"/>
    <w:qFormat/>
    <w:uiPriority w:val="0"/>
    <w:rPr>
      <w:rFonts w:ascii="Calibri" w:hAnsi="Calibri" w:eastAsia="宋体" w:cs="Times New Roman"/>
    </w:rPr>
  </w:style>
  <w:style w:type="character" w:customStyle="1" w:styleId="497">
    <w:name w:val="正文文本 3 Char2"/>
    <w:qFormat/>
    <w:uiPriority w:val="0"/>
    <w:rPr>
      <w:rFonts w:ascii="Calibri" w:hAnsi="Calibri" w:eastAsia="宋体" w:cs="Times New Roman"/>
      <w:kern w:val="2"/>
      <w:sz w:val="16"/>
    </w:rPr>
  </w:style>
  <w:style w:type="character" w:customStyle="1" w:styleId="498">
    <w:name w:val="正文缩进 Char1"/>
    <w:qFormat/>
    <w:uiPriority w:val="0"/>
    <w:rPr>
      <w:rFonts w:ascii="Calibri" w:hAnsi="Calibri" w:eastAsia="宋体" w:cs="Times New Roman"/>
      <w:kern w:val="2"/>
      <w:sz w:val="21"/>
    </w:rPr>
  </w:style>
  <w:style w:type="character" w:customStyle="1" w:styleId="499">
    <w:name w:val="批注引用1"/>
    <w:qFormat/>
    <w:uiPriority w:val="0"/>
    <w:rPr>
      <w:rFonts w:ascii="Calibri" w:hAnsi="Calibri" w:eastAsia="宋体" w:cs="Times New Roman"/>
      <w:sz w:val="21"/>
      <w:szCs w:val="21"/>
    </w:rPr>
  </w:style>
  <w:style w:type="character" w:customStyle="1" w:styleId="500">
    <w:name w:val="正文文本 2 Char"/>
    <w:qFormat/>
    <w:uiPriority w:val="0"/>
    <w:rPr>
      <w:rFonts w:ascii="Times New Roman" w:hAnsi="Times New Roman" w:eastAsia="宋体" w:cs="Times New Roman"/>
      <w:kern w:val="2"/>
      <w:sz w:val="21"/>
      <w:szCs w:val="24"/>
    </w:rPr>
  </w:style>
  <w:style w:type="character" w:customStyle="1" w:styleId="501">
    <w:name w:val="Table Text Char Char"/>
    <w:link w:val="502"/>
    <w:qFormat/>
    <w:uiPriority w:val="0"/>
    <w:rPr>
      <w:rFonts w:ascii="Arial" w:hAnsi="Arial"/>
      <w:sz w:val="18"/>
    </w:rPr>
  </w:style>
  <w:style w:type="paragraph" w:customStyle="1" w:styleId="502">
    <w:name w:val="Table Text"/>
    <w:link w:val="501"/>
    <w:qFormat/>
    <w:uiPriority w:val="0"/>
    <w:pPr>
      <w:snapToGrid w:val="0"/>
      <w:spacing w:before="80" w:after="80" w:line="240" w:lineRule="auto"/>
    </w:pPr>
    <w:rPr>
      <w:rFonts w:ascii="Arial" w:hAnsi="Arial" w:eastAsiaTheme="minorEastAsia" w:cstheme="minorBidi"/>
      <w:kern w:val="2"/>
      <w:sz w:val="18"/>
      <w:szCs w:val="24"/>
      <w:lang w:val="en-US" w:eastAsia="zh-CN" w:bidi="ar-SA"/>
      <w14:ligatures w14:val="standardContextual"/>
    </w:rPr>
  </w:style>
  <w:style w:type="character" w:customStyle="1" w:styleId="503">
    <w:name w:val="批注文字 Char3"/>
    <w:qFormat/>
    <w:uiPriority w:val="0"/>
    <w:rPr>
      <w:rFonts w:ascii="Times New Roman" w:hAnsi="Times New Roman" w:eastAsia="宋体" w:cs="Times New Roman"/>
      <w:sz w:val="20"/>
      <w:szCs w:val="20"/>
    </w:rPr>
  </w:style>
  <w:style w:type="character" w:customStyle="1" w:styleId="504">
    <w:name w:val="普通文字 Char2"/>
    <w:qFormat/>
    <w:uiPriority w:val="0"/>
    <w:rPr>
      <w:rFonts w:ascii="宋体" w:hAnsi="Courier New" w:eastAsia="宋体" w:cs="Times New Roman"/>
      <w:kern w:val="2"/>
      <w:sz w:val="21"/>
      <w:lang w:val="en-US" w:eastAsia="zh-CN"/>
    </w:rPr>
  </w:style>
  <w:style w:type="character" w:customStyle="1" w:styleId="505">
    <w:name w:val="正文文本 3 Char"/>
    <w:qFormat/>
    <w:uiPriority w:val="0"/>
    <w:rPr>
      <w:rFonts w:ascii="Times New Roman" w:hAnsi="Times New Roman" w:eastAsia="宋体" w:cs="Times New Roman"/>
      <w:kern w:val="2"/>
      <w:sz w:val="16"/>
      <w:szCs w:val="16"/>
    </w:rPr>
  </w:style>
  <w:style w:type="character" w:customStyle="1" w:styleId="506">
    <w:name w:val="HTML 预设格式 Char"/>
    <w:qFormat/>
    <w:uiPriority w:val="0"/>
    <w:rPr>
      <w:rFonts w:ascii="Courier New" w:hAnsi="Courier New" w:eastAsia="宋体" w:cs="Courier New"/>
      <w:kern w:val="2"/>
    </w:rPr>
  </w:style>
  <w:style w:type="character" w:customStyle="1" w:styleId="507">
    <w:name w:val="页眉 Char1"/>
    <w:qFormat/>
    <w:uiPriority w:val="0"/>
    <w:rPr>
      <w:rFonts w:ascii="Calibri" w:hAnsi="Calibri" w:eastAsia="宋体" w:cs="Times New Roman"/>
      <w:kern w:val="2"/>
      <w:sz w:val="18"/>
    </w:rPr>
  </w:style>
  <w:style w:type="character" w:customStyle="1" w:styleId="508">
    <w:name w:val="标题 8 Char1"/>
    <w:qFormat/>
    <w:uiPriority w:val="0"/>
    <w:rPr>
      <w:rFonts w:ascii="Arial" w:hAnsi="Arial" w:eastAsia="黑体" w:cs="Times New Roman"/>
      <w:kern w:val="2"/>
      <w:sz w:val="24"/>
    </w:rPr>
  </w:style>
  <w:style w:type="character" w:customStyle="1" w:styleId="509">
    <w:name w:val="Char Char8"/>
    <w:qFormat/>
    <w:uiPriority w:val="0"/>
    <w:rPr>
      <w:rFonts w:ascii="Calibri" w:hAnsi="Calibri" w:eastAsia="仿宋_GB2312" w:cs="Times New Roman"/>
      <w:b/>
      <w:kern w:val="2"/>
      <w:sz w:val="32"/>
    </w:rPr>
  </w:style>
  <w:style w:type="character" w:customStyle="1" w:styleId="510">
    <w:name w:val="正文文本缩进 3 Char2"/>
    <w:qFormat/>
    <w:uiPriority w:val="0"/>
    <w:rPr>
      <w:rFonts w:ascii="Calibri" w:hAnsi="Calibri" w:eastAsia="宋体" w:cs="Times New Roman"/>
      <w:kern w:val="2"/>
      <w:sz w:val="16"/>
    </w:rPr>
  </w:style>
  <w:style w:type="character" w:customStyle="1" w:styleId="511">
    <w:name w:val="◆ 二级符号end Char Char"/>
    <w:link w:val="512"/>
    <w:qFormat/>
    <w:uiPriority w:val="0"/>
    <w:rPr>
      <w:rFonts w:ascii="Verdana" w:hAnsi="Verdana"/>
      <w:sz w:val="24"/>
    </w:rPr>
  </w:style>
  <w:style w:type="paragraph" w:customStyle="1" w:styleId="512">
    <w:name w:val="◆ 二级符号end"/>
    <w:basedOn w:val="1"/>
    <w:link w:val="511"/>
    <w:qFormat/>
    <w:uiPriority w:val="0"/>
    <w:pPr>
      <w:tabs>
        <w:tab w:val="left" w:pos="1320"/>
      </w:tabs>
      <w:spacing w:line="360" w:lineRule="auto"/>
      <w:ind w:left="1320" w:hanging="420"/>
    </w:pPr>
    <w:rPr>
      <w:rFonts w:ascii="Verdana" w:hAnsi="Verdana" w:eastAsiaTheme="minorEastAsia" w:cstheme="minorBidi"/>
      <w:sz w:val="24"/>
      <w:szCs w:val="24"/>
      <w14:ligatures w14:val="standardContextual"/>
    </w:rPr>
  </w:style>
  <w:style w:type="character" w:customStyle="1" w:styleId="513">
    <w:name w:val="正文文本 Char2"/>
    <w:qFormat/>
    <w:uiPriority w:val="0"/>
    <w:rPr>
      <w:rFonts w:ascii="Calibri" w:hAnsi="Calibri" w:eastAsia="宋体" w:cs="Times New Roman"/>
      <w:kern w:val="2"/>
      <w:sz w:val="21"/>
    </w:rPr>
  </w:style>
  <w:style w:type="character" w:customStyle="1" w:styleId="514">
    <w:name w:val="批注引用11"/>
    <w:qFormat/>
    <w:uiPriority w:val="0"/>
    <w:rPr>
      <w:rFonts w:ascii="Calibri" w:hAnsi="Calibri" w:eastAsia="宋体" w:cs="Times New Roman"/>
      <w:sz w:val="21"/>
    </w:rPr>
  </w:style>
  <w:style w:type="character" w:customStyle="1" w:styleId="515">
    <w:name w:val="标题 5 Char1"/>
    <w:qFormat/>
    <w:uiPriority w:val="0"/>
    <w:rPr>
      <w:rFonts w:ascii="Calibri" w:hAnsi="Calibri" w:eastAsia="宋体" w:cs="Times New Roman"/>
      <w:b/>
      <w:kern w:val="2"/>
      <w:sz w:val="28"/>
    </w:rPr>
  </w:style>
  <w:style w:type="character" w:customStyle="1" w:styleId="516">
    <w:name w:val="批注引用9"/>
    <w:qFormat/>
    <w:uiPriority w:val="0"/>
    <w:rPr>
      <w:rFonts w:ascii="Calibri" w:hAnsi="Calibri" w:eastAsia="宋体" w:cs="Times New Roman"/>
      <w:sz w:val="21"/>
    </w:rPr>
  </w:style>
  <w:style w:type="character" w:customStyle="1" w:styleId="517">
    <w:name w:val="标题 7 Char1"/>
    <w:qFormat/>
    <w:uiPriority w:val="0"/>
    <w:rPr>
      <w:rFonts w:ascii="Calibri" w:hAnsi="Calibri" w:eastAsia="宋体" w:cs="Times New Roman"/>
      <w:b/>
      <w:kern w:val="2"/>
      <w:sz w:val="24"/>
    </w:rPr>
  </w:style>
  <w:style w:type="character" w:customStyle="1" w:styleId="518">
    <w:name w:val="SANGFOR_6_正文 Char"/>
    <w:link w:val="519"/>
    <w:qFormat/>
    <w:uiPriority w:val="0"/>
    <w:rPr>
      <w:rFonts w:ascii="宋体" w:hAnsi="宋体"/>
      <w:sz w:val="28"/>
      <w:szCs w:val="28"/>
    </w:rPr>
  </w:style>
  <w:style w:type="paragraph" w:customStyle="1" w:styleId="519">
    <w:name w:val="SANGFOR_6_正文"/>
    <w:basedOn w:val="1"/>
    <w:link w:val="518"/>
    <w:qFormat/>
    <w:uiPriority w:val="0"/>
    <w:pPr>
      <w:spacing w:line="360" w:lineRule="auto"/>
      <w:ind w:left="420"/>
      <w:jc w:val="left"/>
    </w:pPr>
    <w:rPr>
      <w:rFonts w:ascii="宋体" w:hAnsi="宋体" w:eastAsiaTheme="minorEastAsia" w:cstheme="minorBidi"/>
      <w:sz w:val="28"/>
      <w:szCs w:val="28"/>
      <w14:ligatures w14:val="standardContextual"/>
    </w:rPr>
  </w:style>
  <w:style w:type="character" w:customStyle="1" w:styleId="520">
    <w:name w:val="标题 3 Char1"/>
    <w:qFormat/>
    <w:uiPriority w:val="0"/>
    <w:rPr>
      <w:rFonts w:ascii="Calibri" w:hAnsi="Calibri" w:eastAsia="宋体" w:cs="Times New Roman"/>
      <w:b/>
      <w:kern w:val="2"/>
      <w:sz w:val="32"/>
    </w:rPr>
  </w:style>
  <w:style w:type="character" w:customStyle="1" w:styleId="521">
    <w:name w:val="页脚 Char1"/>
    <w:qFormat/>
    <w:uiPriority w:val="0"/>
    <w:rPr>
      <w:rFonts w:ascii="Calibri" w:hAnsi="Calibri" w:eastAsia="宋体" w:cs="Times New Roman"/>
      <w:kern w:val="2"/>
      <w:sz w:val="18"/>
    </w:rPr>
  </w:style>
  <w:style w:type="character" w:customStyle="1" w:styleId="522">
    <w:name w:val="页脚 Char2"/>
    <w:qFormat/>
    <w:uiPriority w:val="0"/>
    <w:rPr>
      <w:rFonts w:ascii="Calibri" w:hAnsi="Calibri" w:eastAsia="宋体" w:cs="Times New Roman"/>
      <w:kern w:val="2"/>
      <w:sz w:val="18"/>
    </w:rPr>
  </w:style>
  <w:style w:type="character" w:customStyle="1" w:styleId="523">
    <w:name w:val="正文1 Char"/>
    <w:link w:val="181"/>
    <w:qFormat/>
    <w:uiPriority w:val="0"/>
    <w:rPr>
      <w:rFonts w:ascii="Calibri" w:hAnsi="Calibri" w:eastAsia="宋体" w:cs="Calibri"/>
      <w:sz w:val="21"/>
      <w:szCs w:val="21"/>
      <w14:ligatures w14:val="none"/>
    </w:rPr>
  </w:style>
  <w:style w:type="character" w:customStyle="1" w:styleId="524">
    <w:name w:val="批注引用2"/>
    <w:qFormat/>
    <w:uiPriority w:val="0"/>
    <w:rPr>
      <w:rFonts w:ascii="Calibri" w:hAnsi="Calibri" w:eastAsia="宋体" w:cs="Times New Roman"/>
      <w:sz w:val="21"/>
    </w:rPr>
  </w:style>
  <w:style w:type="character" w:customStyle="1" w:styleId="525">
    <w:name w:val="标题 Char2"/>
    <w:qFormat/>
    <w:uiPriority w:val="0"/>
    <w:rPr>
      <w:rFonts w:ascii="Cambria" w:hAnsi="Cambria" w:eastAsia="宋体" w:cs="Times New Roman"/>
      <w:b/>
      <w:kern w:val="2"/>
      <w:sz w:val="32"/>
    </w:rPr>
  </w:style>
  <w:style w:type="character" w:customStyle="1" w:styleId="526">
    <w:name w:val="c1"/>
    <w:qFormat/>
    <w:uiPriority w:val="0"/>
    <w:rPr>
      <w:rFonts w:ascii="Calibri" w:hAnsi="Calibri" w:eastAsia="宋体" w:cs="Times New Roman"/>
      <w:sz w:val="24"/>
    </w:rPr>
  </w:style>
  <w:style w:type="character" w:customStyle="1" w:styleId="527">
    <w:name w:val="font121"/>
    <w:qFormat/>
    <w:uiPriority w:val="0"/>
    <w:rPr>
      <w:rFonts w:hint="default" w:ascii="???" w:hAnsi="???" w:eastAsia="宋体" w:cs="Times New Roman"/>
      <w:color w:val="333333"/>
      <w:sz w:val="18"/>
      <w:szCs w:val="18"/>
      <w:u w:val="none"/>
    </w:rPr>
  </w:style>
  <w:style w:type="character" w:customStyle="1" w:styleId="528">
    <w:name w:val="标准文本 Char Char"/>
    <w:link w:val="529"/>
    <w:qFormat/>
    <w:uiPriority w:val="0"/>
  </w:style>
  <w:style w:type="paragraph" w:customStyle="1" w:styleId="529">
    <w:name w:val="标准文本"/>
    <w:basedOn w:val="1"/>
    <w:link w:val="528"/>
    <w:qFormat/>
    <w:uiPriority w:val="0"/>
    <w:pPr>
      <w:spacing w:line="360" w:lineRule="auto"/>
      <w:ind w:firstLine="480" w:firstLineChars="200"/>
    </w:pPr>
    <w:rPr>
      <w:rFonts w:asciiTheme="minorHAnsi" w:hAnsiTheme="minorHAnsi" w:eastAsiaTheme="minorEastAsia" w:cstheme="minorBidi"/>
      <w:sz w:val="22"/>
      <w:szCs w:val="24"/>
      <w14:ligatures w14:val="standardContextual"/>
    </w:rPr>
  </w:style>
  <w:style w:type="character" w:customStyle="1" w:styleId="530">
    <w:name w:val="尾注文本 Char"/>
    <w:qFormat/>
    <w:uiPriority w:val="0"/>
    <w:rPr>
      <w:rFonts w:ascii="Times New Roman" w:hAnsi="Times New Roman" w:eastAsia="宋体" w:cs="Times New Roman"/>
      <w:kern w:val="2"/>
      <w:sz w:val="21"/>
      <w:szCs w:val="24"/>
    </w:rPr>
  </w:style>
  <w:style w:type="character" w:customStyle="1" w:styleId="531">
    <w:name w:val="标题 4 Char1"/>
    <w:qFormat/>
    <w:uiPriority w:val="0"/>
    <w:rPr>
      <w:rFonts w:ascii="Arial" w:hAnsi="Arial" w:eastAsia="黑体" w:cs="Times New Roman"/>
      <w:b/>
      <w:kern w:val="2"/>
      <w:sz w:val="28"/>
    </w:rPr>
  </w:style>
  <w:style w:type="character" w:customStyle="1" w:styleId="532">
    <w:name w:val="批注文字 Char4"/>
    <w:qFormat/>
    <w:uiPriority w:val="0"/>
    <w:rPr>
      <w:rFonts w:ascii="Times New Roman" w:hAnsi="Times New Roman" w:eastAsia="宋体" w:cs="Times New Roman"/>
      <w:szCs w:val="20"/>
    </w:rPr>
  </w:style>
  <w:style w:type="character" w:customStyle="1" w:styleId="533">
    <w:name w:val="批注引用8"/>
    <w:qFormat/>
    <w:uiPriority w:val="0"/>
    <w:rPr>
      <w:rFonts w:ascii="Calibri" w:hAnsi="Calibri" w:eastAsia="宋体" w:cs="Times New Roman"/>
      <w:sz w:val="21"/>
    </w:rPr>
  </w:style>
  <w:style w:type="character" w:customStyle="1" w:styleId="534">
    <w:name w:val="彩色列表 - 强调文字颜色 1 Char"/>
    <w:link w:val="202"/>
    <w:qFormat/>
    <w:uiPriority w:val="0"/>
    <w:rPr>
      <w:rFonts w:ascii="Calibri" w:hAnsi="Calibri" w:eastAsia="宋体" w:cs="Times New Roman"/>
      <w:sz w:val="21"/>
      <w:szCs w:val="22"/>
      <w14:ligatures w14:val="none"/>
    </w:rPr>
  </w:style>
  <w:style w:type="character" w:customStyle="1" w:styleId="535">
    <w:name w:val="DH 正文 Char"/>
    <w:link w:val="536"/>
    <w:qFormat/>
    <w:uiPriority w:val="0"/>
    <w:rPr>
      <w:rFonts w:ascii="宋体"/>
      <w:sz w:val="24"/>
    </w:rPr>
  </w:style>
  <w:style w:type="paragraph" w:customStyle="1" w:styleId="536">
    <w:name w:val="DH 正文"/>
    <w:basedOn w:val="1"/>
    <w:link w:val="535"/>
    <w:qFormat/>
    <w:uiPriority w:val="0"/>
    <w:pPr>
      <w:spacing w:line="360" w:lineRule="auto"/>
      <w:ind w:firstLine="200" w:firstLineChars="200"/>
    </w:pPr>
    <w:rPr>
      <w:rFonts w:ascii="宋体" w:hAnsiTheme="minorHAnsi" w:eastAsiaTheme="minorEastAsia" w:cstheme="minorBidi"/>
      <w:sz w:val="24"/>
      <w:szCs w:val="24"/>
      <w14:ligatures w14:val="standardContextual"/>
    </w:rPr>
  </w:style>
  <w:style w:type="character" w:customStyle="1" w:styleId="537">
    <w:name w:val="unnamed21"/>
    <w:qFormat/>
    <w:uiPriority w:val="0"/>
    <w:rPr>
      <w:rFonts w:ascii="Calibri" w:hAnsi="Calibri" w:eastAsia="宋体" w:cs="Times New Roman"/>
      <w:color w:val="000000"/>
      <w:sz w:val="20"/>
    </w:rPr>
  </w:style>
  <w:style w:type="character" w:customStyle="1" w:styleId="538">
    <w:name w:val="news1"/>
    <w:qFormat/>
    <w:uiPriority w:val="0"/>
    <w:rPr>
      <w:rFonts w:ascii="Calibri" w:hAnsi="Calibri" w:eastAsia="宋体" w:cs="Times New Roman"/>
      <w:color w:val="4D4D4D"/>
      <w:sz w:val="18"/>
    </w:rPr>
  </w:style>
  <w:style w:type="character" w:customStyle="1" w:styleId="539">
    <w:name w:val="批注引用7"/>
    <w:qFormat/>
    <w:uiPriority w:val="0"/>
    <w:rPr>
      <w:rFonts w:ascii="Calibri" w:hAnsi="Calibri" w:eastAsia="宋体" w:cs="Times New Roman"/>
      <w:sz w:val="21"/>
    </w:rPr>
  </w:style>
  <w:style w:type="character" w:customStyle="1" w:styleId="540">
    <w:name w:val="line1"/>
    <w:qFormat/>
    <w:uiPriority w:val="0"/>
    <w:rPr>
      <w:rFonts w:ascii="Calibri" w:hAnsi="Calibri" w:eastAsia="宋体" w:cs="Times New Roman"/>
    </w:rPr>
  </w:style>
  <w:style w:type="character" w:customStyle="1" w:styleId="541">
    <w:name w:val="Char Char4"/>
    <w:qFormat/>
    <w:uiPriority w:val="0"/>
    <w:rPr>
      <w:rFonts w:ascii="Calibri" w:hAnsi="Calibri" w:eastAsia="宋体" w:cs="Times New Roman"/>
      <w:sz w:val="18"/>
    </w:rPr>
  </w:style>
  <w:style w:type="character" w:customStyle="1" w:styleId="542">
    <w:name w:val="批注引用3"/>
    <w:qFormat/>
    <w:uiPriority w:val="0"/>
    <w:rPr>
      <w:rFonts w:ascii="Calibri" w:hAnsi="Calibri" w:eastAsia="宋体" w:cs="Times New Roman"/>
      <w:sz w:val="21"/>
      <w:szCs w:val="21"/>
    </w:rPr>
  </w:style>
  <w:style w:type="character" w:customStyle="1" w:styleId="543">
    <w:name w:val="样式 8 磅"/>
    <w:qFormat/>
    <w:uiPriority w:val="0"/>
    <w:rPr>
      <w:rFonts w:ascii="Calibri" w:hAnsi="Calibri" w:eastAsia="宋体" w:cs="Times New Roman"/>
      <w:sz w:val="18"/>
    </w:rPr>
  </w:style>
  <w:style w:type="paragraph" w:customStyle="1" w:styleId="544">
    <w:name w:val="Char Char1 Char Char Char Char Char Char Char"/>
    <w:basedOn w:val="1"/>
    <w:qFormat/>
    <w:uiPriority w:val="0"/>
    <w:rPr>
      <w:rFonts w:ascii="Calibri" w:hAnsi="Calibri"/>
      <w:szCs w:val="24"/>
    </w:rPr>
  </w:style>
  <w:style w:type="paragraph" w:customStyle="1" w:styleId="545">
    <w:name w:val="默认段落字体 Para Char Char Char Char"/>
    <w:basedOn w:val="1"/>
    <w:qFormat/>
    <w:uiPriority w:val="0"/>
    <w:pPr>
      <w:widowControl/>
      <w:jc w:val="left"/>
    </w:pPr>
    <w:rPr>
      <w:rFonts w:ascii="Calibri" w:hAnsi="Calibri"/>
      <w:szCs w:val="24"/>
    </w:rPr>
  </w:style>
  <w:style w:type="paragraph" w:customStyle="1" w:styleId="546">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547">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54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9">
    <w:name w:val="L正文"/>
    <w:basedOn w:val="1"/>
    <w:qFormat/>
    <w:uiPriority w:val="0"/>
    <w:pPr>
      <w:spacing w:afterLines="50"/>
      <w:ind w:left="160" w:leftChars="160" w:firstLine="200" w:firstLineChars="200"/>
    </w:pPr>
    <w:rPr>
      <w:rFonts w:ascii="Calibri" w:hAnsi="Calibri"/>
      <w:b/>
      <w:szCs w:val="24"/>
    </w:rPr>
  </w:style>
  <w:style w:type="paragraph" w:customStyle="1" w:styleId="550">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551">
    <w:name w:val="需求正文"/>
    <w:basedOn w:val="1"/>
    <w:qFormat/>
    <w:uiPriority w:val="0"/>
    <w:pPr>
      <w:widowControl/>
      <w:spacing w:line="300" w:lineRule="auto"/>
      <w:ind w:firstLine="560" w:firstLineChars="200"/>
      <w:jc w:val="left"/>
    </w:pPr>
    <w:rPr>
      <w:rFonts w:ascii="Arial" w:hAnsi="Arial" w:eastAsia="仿宋_GB2312"/>
      <w:sz w:val="28"/>
      <w:szCs w:val="20"/>
    </w:rPr>
  </w:style>
  <w:style w:type="paragraph" w:customStyle="1" w:styleId="552">
    <w:name w:val="列出段落3"/>
    <w:basedOn w:val="1"/>
    <w:qFormat/>
    <w:uiPriority w:val="0"/>
    <w:pPr>
      <w:ind w:firstLine="420" w:firstLineChars="200"/>
    </w:pPr>
    <w:rPr>
      <w:rFonts w:ascii="Cambria" w:hAnsi="Cambria"/>
      <w:sz w:val="24"/>
      <w:szCs w:val="24"/>
    </w:rPr>
  </w:style>
  <w:style w:type="paragraph" w:customStyle="1" w:styleId="553">
    <w:name w:val="Char1"/>
    <w:basedOn w:val="1"/>
    <w:qFormat/>
    <w:uiPriority w:val="0"/>
    <w:pPr>
      <w:widowControl/>
      <w:jc w:val="left"/>
    </w:pPr>
    <w:rPr>
      <w:rFonts w:ascii="仿宋_GB2312" w:hAnsi="Calibri" w:eastAsia="仿宋_GB2312"/>
      <w:b/>
      <w:sz w:val="32"/>
      <w:szCs w:val="20"/>
    </w:rPr>
  </w:style>
  <w:style w:type="paragraph" w:customStyle="1" w:styleId="554">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555">
    <w:name w:val="p1"/>
    <w:basedOn w:val="1"/>
    <w:qFormat/>
    <w:uiPriority w:val="0"/>
    <w:pPr>
      <w:widowControl/>
      <w:jc w:val="left"/>
    </w:pPr>
    <w:rPr>
      <w:rFonts w:ascii="Helvetica" w:hAnsi="Helvetica" w:eastAsia="等线"/>
      <w:kern w:val="0"/>
      <w:sz w:val="16"/>
      <w:szCs w:val="16"/>
    </w:rPr>
  </w:style>
  <w:style w:type="paragraph" w:customStyle="1" w:styleId="556">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kern w:val="0"/>
      <w:sz w:val="28"/>
      <w:szCs w:val="20"/>
    </w:rPr>
  </w:style>
  <w:style w:type="paragraph" w:customStyle="1" w:styleId="557">
    <w:name w:val="无间隔2"/>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customStyle="1" w:styleId="558">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55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56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4"/>
      <w:szCs w:val="24"/>
    </w:rPr>
  </w:style>
  <w:style w:type="paragraph" w:customStyle="1" w:styleId="561">
    <w:name w:val="TOC 标题1"/>
    <w:basedOn w:val="2"/>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562">
    <w:name w:val="标准段落"/>
    <w:basedOn w:val="1"/>
    <w:qFormat/>
    <w:uiPriority w:val="0"/>
    <w:pPr>
      <w:widowControl/>
      <w:topLinePunct/>
      <w:autoSpaceDE w:val="0"/>
      <w:autoSpaceDN w:val="0"/>
      <w:spacing w:line="360" w:lineRule="auto"/>
      <w:ind w:firstLine="560" w:firstLineChars="200"/>
      <w:jc w:val="left"/>
    </w:pPr>
    <w:rPr>
      <w:rFonts w:ascii="Calibri" w:hAnsi="宋体"/>
      <w:color w:val="FF0000"/>
      <w:sz w:val="28"/>
      <w:szCs w:val="24"/>
    </w:rPr>
  </w:style>
  <w:style w:type="paragraph" w:customStyle="1" w:styleId="563">
    <w:name w:val="正文缩进1"/>
    <w:basedOn w:val="1"/>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sz w:val="24"/>
      <w:szCs w:val="20"/>
    </w:rPr>
  </w:style>
  <w:style w:type="paragraph" w:customStyle="1" w:styleId="564">
    <w:name w:val="标书正文格式"/>
    <w:qFormat/>
    <w:uiPriority w:val="0"/>
    <w:pPr>
      <w:spacing w:after="0" w:line="360" w:lineRule="auto"/>
      <w:ind w:firstLine="480" w:firstLineChars="200"/>
    </w:pPr>
    <w:rPr>
      <w:rFonts w:ascii="楷体_GB2312" w:hAnsi="Times New Roman" w:eastAsia="楷体_GB2312" w:cs="Times New Roman"/>
      <w:color w:val="000000"/>
      <w:kern w:val="2"/>
      <w:sz w:val="24"/>
      <w:szCs w:val="24"/>
      <w:lang w:val="en-US" w:eastAsia="zh-CN" w:bidi="ar-SA"/>
      <w14:ligatures w14:val="none"/>
    </w:rPr>
  </w:style>
  <w:style w:type="paragraph" w:customStyle="1" w:styleId="565">
    <w:name w:val="表文1"/>
    <w:basedOn w:val="1"/>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566">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7">
    <w:name w:val="List Paragraph2"/>
    <w:basedOn w:val="1"/>
    <w:qFormat/>
    <w:uiPriority w:val="0"/>
    <w:pPr>
      <w:widowControl/>
      <w:ind w:firstLine="420" w:firstLineChars="200"/>
      <w:jc w:val="left"/>
    </w:pPr>
    <w:rPr>
      <w:rFonts w:ascii="Calibri" w:hAnsi="Calibri"/>
      <w:kern w:val="0"/>
      <w:sz w:val="20"/>
      <w:szCs w:val="20"/>
    </w:rPr>
  </w:style>
  <w:style w:type="paragraph" w:customStyle="1" w:styleId="568">
    <w:name w:val="Item Step in Table"/>
    <w:qFormat/>
    <w:uiPriority w:val="0"/>
    <w:pPr>
      <w:tabs>
        <w:tab w:val="left" w:pos="397"/>
      </w:tabs>
      <w:spacing w:before="40" w:after="40" w:line="240" w:lineRule="auto"/>
      <w:ind w:firstLine="403"/>
      <w:jc w:val="both"/>
    </w:pPr>
    <w:rPr>
      <w:rFonts w:ascii="Arial" w:hAnsi="Arial" w:eastAsia="宋体" w:cs="Arial"/>
      <w:kern w:val="0"/>
      <w:sz w:val="18"/>
      <w:szCs w:val="18"/>
      <w:lang w:val="en-US" w:eastAsia="zh-CN" w:bidi="ar-SA"/>
      <w14:ligatures w14:val="none"/>
    </w:rPr>
  </w:style>
  <w:style w:type="paragraph" w:customStyle="1" w:styleId="569">
    <w:name w:val="Pa9"/>
    <w:basedOn w:val="1"/>
    <w:qFormat/>
    <w:uiPriority w:val="0"/>
    <w:pPr>
      <w:widowControl/>
      <w:autoSpaceDE w:val="0"/>
      <w:autoSpaceDN w:val="0"/>
      <w:adjustRightInd w:val="0"/>
      <w:spacing w:before="40" w:line="146" w:lineRule="atLeast"/>
      <w:jc w:val="left"/>
    </w:pPr>
    <w:rPr>
      <w:rFonts w:ascii="Stone Sans" w:hAnsi="Stone Sans"/>
      <w:kern w:val="0"/>
      <w:sz w:val="24"/>
      <w:szCs w:val="24"/>
    </w:rPr>
  </w:style>
  <w:style w:type="paragraph" w:customStyle="1" w:styleId="570">
    <w:name w:val="文档正文 Char"/>
    <w:basedOn w:val="1"/>
    <w:qFormat/>
    <w:uiPriority w:val="0"/>
    <w:pPr>
      <w:widowControl/>
      <w:adjustRightInd w:val="0"/>
      <w:spacing w:line="480" w:lineRule="atLeast"/>
      <w:ind w:firstLine="567"/>
      <w:jc w:val="left"/>
    </w:pPr>
    <w:rPr>
      <w:rFonts w:ascii="仿宋_GB2312" w:hAnsi="Calibri" w:eastAsia="仿宋_GB2312" w:cs="仿宋_GB2312"/>
      <w:kern w:val="0"/>
      <w:sz w:val="28"/>
      <w:szCs w:val="28"/>
    </w:rPr>
  </w:style>
  <w:style w:type="paragraph" w:customStyle="1" w:styleId="571">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572">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573">
    <w:name w:val="Char Char Char 字元 字元"/>
    <w:basedOn w:val="1"/>
    <w:qFormat/>
    <w:uiPriority w:val="0"/>
    <w:pPr>
      <w:widowControl/>
      <w:spacing w:line="360" w:lineRule="auto"/>
      <w:ind w:firstLine="200" w:firstLineChars="200"/>
      <w:jc w:val="left"/>
    </w:pPr>
    <w:rPr>
      <w:rFonts w:ascii="Calibri" w:hAnsi="Calibri"/>
      <w:szCs w:val="20"/>
    </w:rPr>
  </w:style>
  <w:style w:type="paragraph" w:customStyle="1" w:styleId="574">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Calibri" w:hAnsi="Calibri"/>
      <w:kern w:val="0"/>
      <w:sz w:val="24"/>
      <w:szCs w:val="24"/>
    </w:rPr>
  </w:style>
  <w:style w:type="paragraph" w:customStyle="1" w:styleId="575">
    <w:name w:val="p16"/>
    <w:basedOn w:val="1"/>
    <w:qFormat/>
    <w:uiPriority w:val="0"/>
    <w:pPr>
      <w:widowControl/>
      <w:spacing w:before="80" w:after="80"/>
      <w:jc w:val="left"/>
    </w:pPr>
    <w:rPr>
      <w:rFonts w:ascii="Arial" w:hAnsi="Arial" w:cs="Arial"/>
      <w:kern w:val="0"/>
      <w:sz w:val="18"/>
      <w:szCs w:val="18"/>
    </w:rPr>
  </w:style>
  <w:style w:type="paragraph" w:customStyle="1" w:styleId="57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kern w:val="0"/>
      <w:sz w:val="52"/>
      <w:szCs w:val="52"/>
    </w:rPr>
  </w:style>
  <w:style w:type="paragraph" w:customStyle="1" w:styleId="577">
    <w:name w:val="列出段落11"/>
    <w:basedOn w:val="1"/>
    <w:qFormat/>
    <w:uiPriority w:val="0"/>
    <w:pPr>
      <w:widowControl/>
      <w:ind w:firstLine="420" w:firstLineChars="200"/>
      <w:jc w:val="left"/>
    </w:pPr>
    <w:rPr>
      <w:rFonts w:ascii="Calibri" w:hAnsi="Calibri"/>
      <w:kern w:val="0"/>
      <w:sz w:val="24"/>
      <w:szCs w:val="20"/>
    </w:rPr>
  </w:style>
  <w:style w:type="paragraph" w:customStyle="1" w:styleId="578">
    <w:name w:val="正文段落"/>
    <w:basedOn w:val="1"/>
    <w:qFormat/>
    <w:uiPriority w:val="0"/>
    <w:pPr>
      <w:spacing w:line="360" w:lineRule="auto"/>
      <w:ind w:firstLine="440" w:firstLineChars="200"/>
    </w:pPr>
    <w:rPr>
      <w:rFonts w:ascii="宋体" w:hAnsi="宋体" w:cs="宋体"/>
      <w:kern w:val="0"/>
      <w:szCs w:val="20"/>
    </w:rPr>
  </w:style>
  <w:style w:type="paragraph" w:customStyle="1" w:styleId="579">
    <w:name w:val="C11"/>
    <w:basedOn w:val="1"/>
    <w:qFormat/>
    <w:uiPriority w:val="0"/>
    <w:pPr>
      <w:widowControl/>
      <w:tabs>
        <w:tab w:val="left" w:pos="360"/>
      </w:tabs>
      <w:autoSpaceDE w:val="0"/>
      <w:autoSpaceDN w:val="0"/>
      <w:adjustRightInd w:val="0"/>
      <w:spacing w:before="60" w:line="288" w:lineRule="auto"/>
      <w:jc w:val="left"/>
    </w:pPr>
    <w:rPr>
      <w:rFonts w:ascii="Calibri" w:hAnsi="Calibri" w:eastAsia="華康細圓體"/>
      <w:kern w:val="0"/>
      <w:sz w:val="22"/>
      <w:szCs w:val="20"/>
      <w:lang w:eastAsia="zh-TW"/>
    </w:rPr>
  </w:style>
  <w:style w:type="paragraph" w:customStyle="1" w:styleId="580">
    <w:name w:val="Char Char Char Char Char Char Char Char Char Char"/>
    <w:basedOn w:val="19"/>
    <w:qFormat/>
    <w:uiPriority w:val="0"/>
    <w:rPr>
      <w:rFonts w:ascii="Tahoma" w:hAnsi="Tahoma" w:cs="Times New Roman"/>
      <w:kern w:val="0"/>
      <w:sz w:val="24"/>
      <w:szCs w:val="24"/>
    </w:rPr>
  </w:style>
  <w:style w:type="paragraph" w:customStyle="1" w:styleId="581">
    <w:name w:val="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82">
    <w:name w:val="项目"/>
    <w:basedOn w:val="11"/>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83">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584">
    <w:name w:val="5"/>
    <w:basedOn w:val="1"/>
    <w:qFormat/>
    <w:uiPriority w:val="0"/>
    <w:pPr>
      <w:widowControl/>
      <w:ind w:right="26"/>
      <w:jc w:val="left"/>
    </w:pPr>
    <w:rPr>
      <w:rFonts w:ascii="楷体_GB2312" w:hAnsi="Calibri" w:eastAsia="楷体_GB2312"/>
      <w:spacing w:val="4"/>
      <w:kern w:val="0"/>
      <w:sz w:val="28"/>
      <w:szCs w:val="20"/>
    </w:rPr>
  </w:style>
  <w:style w:type="paragraph" w:customStyle="1" w:styleId="58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libri" w:hAnsi="Calibri"/>
      <w:kern w:val="0"/>
      <w:sz w:val="52"/>
      <w:szCs w:val="52"/>
    </w:rPr>
  </w:style>
  <w:style w:type="paragraph" w:customStyle="1" w:styleId="586">
    <w:name w:val="表格内文"/>
    <w:basedOn w:val="1"/>
    <w:qFormat/>
    <w:uiPriority w:val="0"/>
    <w:pPr>
      <w:widowControl/>
      <w:spacing w:line="360" w:lineRule="auto"/>
      <w:jc w:val="left"/>
    </w:pPr>
    <w:rPr>
      <w:rFonts w:ascii="宋体" w:hAnsi="宋体" w:cs="宋体"/>
      <w:color w:val="000000"/>
      <w:szCs w:val="21"/>
    </w:rPr>
  </w:style>
  <w:style w:type="paragraph" w:customStyle="1" w:styleId="587">
    <w:name w:val="Retrait 2"/>
    <w:basedOn w:val="1"/>
    <w:qFormat/>
    <w:uiPriority w:val="0"/>
    <w:pPr>
      <w:widowControl/>
      <w:spacing w:line="360" w:lineRule="auto"/>
      <w:ind w:left="1417" w:hanging="283"/>
      <w:jc w:val="left"/>
    </w:pPr>
    <w:rPr>
      <w:rFonts w:ascii="Calibri" w:hAnsi="Calibri" w:eastAsia="楷体_GB2312"/>
      <w:bCs/>
      <w:sz w:val="28"/>
      <w:szCs w:val="20"/>
    </w:rPr>
  </w:style>
  <w:style w:type="paragraph" w:customStyle="1" w:styleId="58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52"/>
      <w:szCs w:val="52"/>
    </w:rPr>
  </w:style>
  <w:style w:type="paragraph" w:customStyle="1" w:styleId="589">
    <w:name w:val="默认段落字体 Para Char Char Char Char Char Char Char Char Char1"/>
    <w:basedOn w:val="1"/>
    <w:qFormat/>
    <w:uiPriority w:val="0"/>
    <w:pPr>
      <w:widowControl/>
      <w:jc w:val="left"/>
    </w:pPr>
    <w:rPr>
      <w:rFonts w:ascii="Calibri" w:hAnsi="Calibri"/>
      <w:szCs w:val="21"/>
    </w:rPr>
  </w:style>
  <w:style w:type="paragraph" w:customStyle="1" w:styleId="59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1">
    <w:name w:val="正文3"/>
    <w:qFormat/>
    <w:uiPriority w:val="0"/>
    <w:pPr>
      <w:widowControl w:val="0"/>
      <w:spacing w:after="0" w:line="240" w:lineRule="auto"/>
      <w:jc w:val="both"/>
    </w:pPr>
    <w:rPr>
      <w:rFonts w:hint="eastAsia" w:ascii="Times New Roman" w:hAnsi="Times New Roman" w:eastAsia="宋体" w:cs="Times New Roman"/>
      <w:kern w:val="2"/>
      <w:sz w:val="21"/>
      <w:szCs w:val="20"/>
      <w:lang w:val="en-US" w:eastAsia="zh-CN" w:bidi="ar-SA"/>
      <w14:ligatures w14:val="none"/>
    </w:rPr>
  </w:style>
  <w:style w:type="paragraph" w:customStyle="1" w:styleId="592">
    <w:name w:val="xl57"/>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593">
    <w:name w:val="_Style 76"/>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customStyle="1" w:styleId="594">
    <w:name w:val="小标题 1"/>
    <w:basedOn w:val="1"/>
    <w:qFormat/>
    <w:uiPriority w:val="0"/>
    <w:pPr>
      <w:widowControl/>
      <w:autoSpaceDE w:val="0"/>
      <w:autoSpaceDN w:val="0"/>
      <w:adjustRightInd w:val="0"/>
      <w:spacing w:line="360" w:lineRule="atLeast"/>
      <w:jc w:val="left"/>
    </w:pPr>
    <w:rPr>
      <w:rFonts w:ascii="文鼎粗黑" w:hAnsi="Calibri" w:eastAsia="文鼎粗黑"/>
      <w:kern w:val="0"/>
      <w:sz w:val="22"/>
      <w:szCs w:val="20"/>
    </w:rPr>
  </w:style>
  <w:style w:type="paragraph" w:customStyle="1" w:styleId="595">
    <w:name w:val="正文 New New New New"/>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596">
    <w:name w:val="xl23"/>
    <w:basedOn w:val="1"/>
    <w:qFormat/>
    <w:uiPriority w:val="0"/>
    <w:pPr>
      <w:widowControl/>
      <w:pBdr>
        <w:top w:val="single" w:color="auto" w:sz="8" w:space="0"/>
      </w:pBdr>
      <w:shd w:val="clear" w:color="auto" w:fill="FFFFFF"/>
      <w:spacing w:before="100" w:beforeAutospacing="1" w:after="100" w:afterAutospacing="1"/>
      <w:jc w:val="center"/>
    </w:pPr>
    <w:rPr>
      <w:rFonts w:ascii="Arial" w:hAnsi="Arial" w:cs="Arial"/>
      <w:b/>
      <w:bCs/>
      <w:kern w:val="0"/>
      <w:sz w:val="44"/>
      <w:szCs w:val="44"/>
    </w:rPr>
  </w:style>
  <w:style w:type="paragraph" w:customStyle="1" w:styleId="597">
    <w:name w:val="E 正文"/>
    <w:basedOn w:val="1"/>
    <w:qFormat/>
    <w:uiPriority w:val="0"/>
    <w:pPr>
      <w:widowControl/>
      <w:spacing w:line="360" w:lineRule="auto"/>
      <w:jc w:val="left"/>
    </w:pPr>
    <w:rPr>
      <w:rFonts w:cs="黑体"/>
      <w:color w:val="000000"/>
      <w:kern w:val="0"/>
      <w:sz w:val="24"/>
      <w:szCs w:val="24"/>
    </w:rPr>
  </w:style>
  <w:style w:type="paragraph" w:customStyle="1" w:styleId="598">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b/>
      <w:bCs/>
      <w:kern w:val="0"/>
      <w:sz w:val="24"/>
      <w:szCs w:val="24"/>
    </w:rPr>
  </w:style>
  <w:style w:type="paragraph" w:customStyle="1" w:styleId="599">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600">
    <w:name w:val="Char1 Char Char Char"/>
    <w:basedOn w:val="1"/>
    <w:qFormat/>
    <w:uiPriority w:val="0"/>
    <w:pPr>
      <w:widowControl/>
      <w:jc w:val="left"/>
    </w:pPr>
    <w:rPr>
      <w:rFonts w:ascii="仿宋_GB2312" w:hAnsi="Calibri" w:eastAsia="仿宋_GB2312"/>
      <w:b/>
      <w:sz w:val="32"/>
      <w:szCs w:val="32"/>
    </w:rPr>
  </w:style>
  <w:style w:type="paragraph" w:customStyle="1" w:styleId="601">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602">
    <w:name w:val="straightmatter"/>
    <w:basedOn w:val="1"/>
    <w:qFormat/>
    <w:uiPriority w:val="0"/>
    <w:pPr>
      <w:widowControl/>
      <w:spacing w:before="120" w:after="120" w:line="288" w:lineRule="atLeast"/>
      <w:ind w:left="120" w:right="120"/>
      <w:jc w:val="left"/>
    </w:pPr>
    <w:rPr>
      <w:rFonts w:ascii="宋体" w:hAnsi="宋体"/>
      <w:color w:val="52987C"/>
      <w:kern w:val="0"/>
      <w:sz w:val="24"/>
      <w:szCs w:val="24"/>
    </w:rPr>
  </w:style>
  <w:style w:type="paragraph" w:customStyle="1" w:styleId="603">
    <w:name w:val="F11-1"/>
    <w:basedOn w:val="1"/>
    <w:qFormat/>
    <w:uiPriority w:val="0"/>
    <w:pPr>
      <w:widowControl/>
      <w:tabs>
        <w:tab w:val="left" w:pos="240"/>
        <w:tab w:val="left" w:pos="4680"/>
      </w:tabs>
      <w:adjustRightInd w:val="0"/>
      <w:spacing w:after="120"/>
      <w:jc w:val="left"/>
    </w:pPr>
    <w:rPr>
      <w:rFonts w:ascii="Calibri" w:hAnsi="Calibri" w:eastAsia="華康細圓體"/>
      <w:kern w:val="0"/>
      <w:sz w:val="24"/>
      <w:szCs w:val="20"/>
      <w:lang w:eastAsia="zh-TW"/>
    </w:rPr>
  </w:style>
  <w:style w:type="paragraph" w:customStyle="1" w:styleId="604">
    <w:name w:val="前言、引言标题"/>
    <w:qFormat/>
    <w:uiPriority w:val="0"/>
    <w:pPr>
      <w:shd w:val="clear" w:color="auto" w:fill="FFFFFF"/>
      <w:spacing w:before="640" w:after="560" w:line="240" w:lineRule="auto"/>
      <w:jc w:val="center"/>
      <w:outlineLvl w:val="0"/>
    </w:pPr>
    <w:rPr>
      <w:rFonts w:ascii="黑体" w:hAnsi="Times New Roman" w:eastAsia="黑体" w:cs="Times New Roman"/>
      <w:kern w:val="0"/>
      <w:sz w:val="32"/>
      <w:szCs w:val="20"/>
      <w:lang w:val="en-US" w:eastAsia="zh-CN" w:bidi="ar-SA"/>
      <w14:ligatures w14:val="none"/>
    </w:rPr>
  </w:style>
  <w:style w:type="paragraph" w:customStyle="1" w:styleId="605">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606">
    <w:name w:val="默认段落字体 Para Char Char Char Char Char Char Char Char Char"/>
    <w:basedOn w:val="1"/>
    <w:qFormat/>
    <w:uiPriority w:val="0"/>
    <w:pPr>
      <w:widowControl/>
      <w:jc w:val="left"/>
    </w:pPr>
    <w:rPr>
      <w:rFonts w:ascii="Tahoma" w:hAnsi="Tahoma" w:cs="Tahoma"/>
      <w:sz w:val="24"/>
      <w:szCs w:val="24"/>
    </w:rPr>
  </w:style>
  <w:style w:type="paragraph" w:customStyle="1" w:styleId="607">
    <w:name w:val="msolistparagraph"/>
    <w:basedOn w:val="1"/>
    <w:qFormat/>
    <w:uiPriority w:val="0"/>
    <w:pPr>
      <w:ind w:firstLine="420" w:firstLineChars="200"/>
    </w:pPr>
    <w:rPr>
      <w:rFonts w:ascii="Calibri" w:hAnsi="Calibri"/>
      <w:szCs w:val="20"/>
    </w:rPr>
  </w:style>
  <w:style w:type="paragraph" w:customStyle="1" w:styleId="608">
    <w:name w:val="txt"/>
    <w:basedOn w:val="1"/>
    <w:qFormat/>
    <w:uiPriority w:val="0"/>
    <w:pPr>
      <w:widowControl/>
      <w:spacing w:before="100" w:beforeAutospacing="1" w:after="100" w:afterAutospacing="1" w:line="500" w:lineRule="atLeast"/>
      <w:jc w:val="left"/>
    </w:pPr>
    <w:rPr>
      <w:rFonts w:ascii="宋体" w:hAnsi="宋体"/>
      <w:kern w:val="0"/>
      <w:sz w:val="24"/>
      <w:szCs w:val="24"/>
    </w:rPr>
  </w:style>
  <w:style w:type="paragraph" w:customStyle="1" w:styleId="609">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szCs w:val="24"/>
    </w:rPr>
  </w:style>
  <w:style w:type="paragraph" w:customStyle="1" w:styleId="610">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1">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2">
    <w:name w:val="五级条标题"/>
    <w:basedOn w:val="613"/>
    <w:qFormat/>
    <w:uiPriority w:val="0"/>
    <w:pPr>
      <w:tabs>
        <w:tab w:val="left" w:pos="1200"/>
      </w:tabs>
      <w:outlineLvl w:val="6"/>
    </w:pPr>
  </w:style>
  <w:style w:type="paragraph" w:customStyle="1" w:styleId="613">
    <w:name w:val="四级条标题"/>
    <w:basedOn w:val="614"/>
    <w:qFormat/>
    <w:uiPriority w:val="0"/>
    <w:pPr>
      <w:tabs>
        <w:tab w:val="left" w:pos="1200"/>
      </w:tabs>
      <w:outlineLvl w:val="5"/>
    </w:pPr>
  </w:style>
  <w:style w:type="paragraph" w:customStyle="1" w:styleId="614">
    <w:name w:val="三级条标题"/>
    <w:basedOn w:val="615"/>
    <w:qFormat/>
    <w:uiPriority w:val="0"/>
    <w:pPr>
      <w:tabs>
        <w:tab w:val="left" w:pos="1200"/>
      </w:tabs>
      <w:outlineLvl w:val="4"/>
    </w:pPr>
  </w:style>
  <w:style w:type="paragraph" w:customStyle="1" w:styleId="615">
    <w:name w:val="二级条标题"/>
    <w:basedOn w:val="477"/>
    <w:qFormat/>
    <w:uiPriority w:val="0"/>
    <w:pPr>
      <w:outlineLvl w:val="3"/>
    </w:pPr>
    <w:rPr>
      <w:rFonts w:ascii="Calibri" w:hAnsi="Calibri" w:eastAsia="宋体"/>
    </w:rPr>
  </w:style>
  <w:style w:type="paragraph" w:customStyle="1" w:styleId="616">
    <w:name w:val="xl48"/>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b/>
      <w:bCs/>
      <w:kern w:val="0"/>
      <w:sz w:val="52"/>
      <w:szCs w:val="52"/>
    </w:rPr>
  </w:style>
  <w:style w:type="paragraph" w:customStyle="1" w:styleId="617">
    <w:name w:val="正文31"/>
    <w:qFormat/>
    <w:uiPriority w:val="0"/>
    <w:pPr>
      <w:widowControl w:val="0"/>
      <w:adjustRightInd w:val="0"/>
      <w:spacing w:after="0" w:line="315" w:lineRule="atLeast"/>
      <w:jc w:val="both"/>
    </w:pPr>
    <w:rPr>
      <w:rFonts w:ascii="宋体" w:hAnsi="Times New Roman" w:eastAsia="宋体" w:cs="Times New Roman"/>
      <w:kern w:val="0"/>
      <w:sz w:val="24"/>
      <w:szCs w:val="20"/>
      <w:lang w:val="en-US" w:eastAsia="zh-CN" w:bidi="ar-SA"/>
      <w14:ligatures w14:val="none"/>
    </w:rPr>
  </w:style>
  <w:style w:type="paragraph" w:customStyle="1" w:styleId="618">
    <w:name w:val="标书表格字体格式"/>
    <w:qFormat/>
    <w:uiPriority w:val="0"/>
    <w:pPr>
      <w:spacing w:after="0" w:line="240" w:lineRule="auto"/>
    </w:pPr>
    <w:rPr>
      <w:rFonts w:ascii="Times New Roman" w:hAnsi="Times New Roman" w:eastAsia="宋体" w:cs="Times New Roman"/>
      <w:kern w:val="2"/>
      <w:sz w:val="21"/>
      <w:szCs w:val="24"/>
      <w:lang w:val="en-US" w:eastAsia="zh-CN" w:bidi="ar-SA"/>
      <w14:ligatures w14:val="none"/>
    </w:rPr>
  </w:style>
  <w:style w:type="paragraph" w:customStyle="1" w:styleId="619">
    <w:name w:val="默认段落字体 Para Char Char Char Char Char Char Char Char Char Char Char Char Char Char Char Char Char Char Char"/>
    <w:basedOn w:val="1"/>
    <w:qFormat/>
    <w:uiPriority w:val="0"/>
    <w:pPr>
      <w:widowControl/>
      <w:jc w:val="left"/>
    </w:pPr>
    <w:rPr>
      <w:rFonts w:ascii="Tahoma" w:hAnsi="Tahoma"/>
      <w:sz w:val="24"/>
      <w:szCs w:val="20"/>
    </w:rPr>
  </w:style>
  <w:style w:type="paragraph" w:customStyle="1" w:styleId="620">
    <w:name w:val="默认段落字体 Para Char Char Char Char111"/>
    <w:basedOn w:val="1"/>
    <w:qFormat/>
    <w:uiPriority w:val="0"/>
    <w:pPr>
      <w:widowControl/>
      <w:jc w:val="left"/>
    </w:pPr>
    <w:rPr>
      <w:rFonts w:ascii="Calibri" w:hAnsi="Calibri" w:cs="Calibri"/>
      <w:kern w:val="0"/>
      <w:sz w:val="24"/>
      <w:szCs w:val="24"/>
      <w:lang w:eastAsia="en-US"/>
    </w:rPr>
  </w:style>
  <w:style w:type="paragraph" w:customStyle="1" w:styleId="621">
    <w:name w:val="Revision1"/>
    <w:qFormat/>
    <w:uiPriority w:val="0"/>
    <w:pPr>
      <w:spacing w:after="0" w:line="240" w:lineRule="auto"/>
    </w:pPr>
    <w:rPr>
      <w:rFonts w:ascii="Times New Roman" w:hAnsi="Times New Roman" w:eastAsia="宋体" w:cs="Times New Roman"/>
      <w:kern w:val="2"/>
      <w:sz w:val="21"/>
      <w:szCs w:val="20"/>
      <w:lang w:val="en-US" w:eastAsia="zh-CN" w:bidi="ar-SA"/>
      <w14:ligatures w14:val="none"/>
    </w:rPr>
  </w:style>
  <w:style w:type="paragraph" w:customStyle="1" w:styleId="622">
    <w:name w:val="xl52"/>
    <w:basedOn w:val="1"/>
    <w:qFormat/>
    <w:uiPriority w:val="0"/>
    <w:pPr>
      <w:widowControl/>
      <w:pBdr>
        <w:bottom w:val="single" w:color="auto" w:sz="4" w:space="0"/>
        <w:right w:val="single" w:color="auto" w:sz="8" w:space="0"/>
      </w:pBdr>
      <w:spacing w:before="100" w:beforeAutospacing="1" w:after="100" w:afterAutospacing="1"/>
      <w:jc w:val="center"/>
    </w:pPr>
    <w:rPr>
      <w:rFonts w:ascii="Arial" w:hAnsi="Arial" w:cs="Arial"/>
      <w:kern w:val="0"/>
      <w:sz w:val="20"/>
      <w:szCs w:val="20"/>
    </w:rPr>
  </w:style>
  <w:style w:type="paragraph" w:customStyle="1" w:styleId="623">
    <w:name w:val="Char Char Char Char Char Char Char Char"/>
    <w:basedOn w:val="1"/>
    <w:qFormat/>
    <w:uiPriority w:val="0"/>
    <w:pPr>
      <w:widowControl/>
      <w:tabs>
        <w:tab w:val="left" w:pos="360"/>
      </w:tabs>
      <w:jc w:val="left"/>
    </w:pPr>
    <w:rPr>
      <w:rFonts w:ascii="Calibri" w:hAnsi="Calibri"/>
      <w:sz w:val="24"/>
      <w:szCs w:val="24"/>
    </w:rPr>
  </w:style>
  <w:style w:type="paragraph" w:customStyle="1" w:styleId="624">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25">
    <w:name w:val="默认段落字体 Para Char Char Char Char Char Char Char"/>
    <w:basedOn w:val="1"/>
    <w:qFormat/>
    <w:uiPriority w:val="0"/>
    <w:pPr>
      <w:widowControl/>
      <w:jc w:val="left"/>
    </w:pPr>
    <w:rPr>
      <w:rFonts w:ascii="Tahoma" w:hAnsi="Tahoma"/>
      <w:sz w:val="24"/>
      <w:szCs w:val="20"/>
    </w:rPr>
  </w:style>
  <w:style w:type="paragraph" w:customStyle="1" w:styleId="626">
    <w:name w:val="Char Char Char Char Char Char Char Char Char Char Char Char Char"/>
    <w:basedOn w:val="1"/>
    <w:qFormat/>
    <w:uiPriority w:val="0"/>
    <w:pPr>
      <w:tabs>
        <w:tab w:val="left" w:pos="432"/>
      </w:tabs>
      <w:ind w:left="432" w:hanging="432"/>
    </w:pPr>
    <w:rPr>
      <w:rFonts w:ascii="Calibri" w:hAnsi="Calibri"/>
    </w:rPr>
  </w:style>
  <w:style w:type="paragraph" w:customStyle="1" w:styleId="627">
    <w:name w:val="无间隔11"/>
    <w:basedOn w:val="1"/>
    <w:qFormat/>
    <w:uiPriority w:val="0"/>
    <w:pPr>
      <w:widowControl/>
    </w:pPr>
    <w:rPr>
      <w:rFonts w:ascii="Calibri" w:hAnsi="Calibri" w:cs="Calibri"/>
      <w:kern w:val="0"/>
      <w:szCs w:val="24"/>
      <w:lang w:eastAsia="en-US"/>
    </w:rPr>
  </w:style>
  <w:style w:type="paragraph" w:customStyle="1" w:styleId="628">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szCs w:val="24"/>
    </w:rPr>
  </w:style>
  <w:style w:type="paragraph" w:customStyle="1" w:styleId="629">
    <w:name w:val="p21"/>
    <w:basedOn w:val="1"/>
    <w:qFormat/>
    <w:uiPriority w:val="0"/>
    <w:pPr>
      <w:widowControl/>
      <w:ind w:firstLine="420"/>
    </w:pPr>
    <w:rPr>
      <w:rFonts w:ascii="Calibri" w:hAnsi="Calibri" w:cs="宋体"/>
      <w:kern w:val="0"/>
      <w:szCs w:val="21"/>
    </w:rPr>
  </w:style>
  <w:style w:type="paragraph" w:customStyle="1" w:styleId="630">
    <w:name w:val="Pa0"/>
    <w:basedOn w:val="1"/>
    <w:qFormat/>
    <w:uiPriority w:val="0"/>
    <w:pPr>
      <w:widowControl/>
      <w:autoSpaceDE w:val="0"/>
      <w:autoSpaceDN w:val="0"/>
      <w:adjustRightInd w:val="0"/>
      <w:spacing w:line="241" w:lineRule="atLeast"/>
      <w:jc w:val="left"/>
    </w:pPr>
    <w:rPr>
      <w:rFonts w:ascii="H Yg 2gj" w:hAnsi="Calibri" w:eastAsia="H Yg 2gj"/>
      <w:kern w:val="0"/>
      <w:sz w:val="24"/>
      <w:szCs w:val="24"/>
    </w:rPr>
  </w:style>
  <w:style w:type="paragraph" w:customStyle="1" w:styleId="631">
    <w:name w:val="xl50"/>
    <w:basedOn w:val="1"/>
    <w:qFormat/>
    <w:uiPriority w:val="0"/>
    <w:pPr>
      <w:widowControl/>
      <w:pBdr>
        <w:bottom w:val="single" w:color="auto" w:sz="4" w:space="0"/>
        <w:right w:val="single" w:color="auto" w:sz="8" w:space="0"/>
      </w:pBdr>
      <w:spacing w:before="100" w:beforeAutospacing="1" w:after="100" w:afterAutospacing="1"/>
      <w:jc w:val="center"/>
    </w:pPr>
    <w:rPr>
      <w:rFonts w:ascii="Arial Unicode MS" w:hAnsi="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Calibri" w:hAnsi="Calibri"/>
      <w:b/>
      <w:bCs/>
      <w:kern w:val="0"/>
      <w:sz w:val="52"/>
      <w:szCs w:val="52"/>
    </w:rPr>
  </w:style>
  <w:style w:type="paragraph" w:customStyle="1" w:styleId="633">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kern w:val="0"/>
      <w:sz w:val="32"/>
      <w:szCs w:val="32"/>
    </w:rPr>
  </w:style>
  <w:style w:type="paragraph" w:customStyle="1" w:styleId="634">
    <w:name w:val="標題 1-1"/>
    <w:qFormat/>
    <w:uiPriority w:val="0"/>
    <w:pPr>
      <w:pBdr>
        <w:bottom w:val="threeDEngrave" w:color="auto" w:sz="36" w:space="1"/>
      </w:pBdr>
      <w:tabs>
        <w:tab w:val="left" w:pos="420"/>
      </w:tabs>
      <w:spacing w:after="480" w:line="240" w:lineRule="auto"/>
      <w:ind w:left="420" w:right="709" w:hanging="420"/>
    </w:pPr>
    <w:rPr>
      <w:rFonts w:ascii="Arial" w:hAnsi="Arial" w:eastAsia="PMingLiU" w:cs="Times New Roman"/>
      <w:b/>
      <w:kern w:val="0"/>
      <w:sz w:val="40"/>
      <w:szCs w:val="20"/>
      <w:lang w:val="en-US" w:eastAsia="zh-CN" w:bidi="ar-SA"/>
      <w14:ligatures w14:val="none"/>
    </w:rPr>
  </w:style>
  <w:style w:type="paragraph" w:customStyle="1" w:styleId="635">
    <w:name w:val="数字编号列项（二级）"/>
    <w:qFormat/>
    <w:uiPriority w:val="0"/>
    <w:pPr>
      <w:tabs>
        <w:tab w:val="left" w:pos="1260"/>
      </w:tabs>
      <w:spacing w:after="0" w:line="240" w:lineRule="auto"/>
      <w:ind w:left="1259" w:hanging="419"/>
      <w:jc w:val="both"/>
    </w:pPr>
    <w:rPr>
      <w:rFonts w:ascii="宋体" w:hAnsi="Times New Roman" w:eastAsia="宋体" w:cs="Times New Roman"/>
      <w:kern w:val="0"/>
      <w:sz w:val="21"/>
      <w:szCs w:val="20"/>
      <w:lang w:val="en-US" w:eastAsia="zh-CN" w:bidi="ar-SA"/>
      <w14:ligatures w14:val="none"/>
    </w:rPr>
  </w:style>
  <w:style w:type="paragraph" w:customStyle="1" w:styleId="636">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637">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szCs w:val="24"/>
    </w:rPr>
  </w:style>
  <w:style w:type="paragraph" w:customStyle="1" w:styleId="638">
    <w:name w:val="缺省文本"/>
    <w:basedOn w:val="1"/>
    <w:qFormat/>
    <w:uiPriority w:val="0"/>
    <w:pPr>
      <w:autoSpaceDE w:val="0"/>
      <w:autoSpaceDN w:val="0"/>
      <w:adjustRightInd w:val="0"/>
      <w:jc w:val="left"/>
    </w:pPr>
    <w:rPr>
      <w:rFonts w:ascii="Calibri" w:hAnsi="Calibri"/>
      <w:kern w:val="0"/>
      <w:sz w:val="24"/>
      <w:szCs w:val="24"/>
    </w:rPr>
  </w:style>
  <w:style w:type="paragraph" w:customStyle="1" w:styleId="639">
    <w:name w:val="Char Char1 Char"/>
    <w:basedOn w:val="1"/>
    <w:qFormat/>
    <w:uiPriority w:val="0"/>
    <w:pPr>
      <w:widowControl/>
      <w:jc w:val="left"/>
    </w:pPr>
    <w:rPr>
      <w:rFonts w:ascii="仿宋_GB2312" w:hAnsi="Calibri" w:eastAsia="仿宋_GB2312"/>
      <w:b/>
      <w:sz w:val="32"/>
      <w:szCs w:val="20"/>
    </w:rPr>
  </w:style>
  <w:style w:type="paragraph" w:customStyle="1" w:styleId="640">
    <w:name w:val="章标题"/>
    <w:qFormat/>
    <w:uiPriority w:val="0"/>
    <w:pPr>
      <w:spacing w:beforeLines="50" w:after="0" w:afterLines="50" w:line="240" w:lineRule="auto"/>
      <w:jc w:val="both"/>
      <w:outlineLvl w:val="1"/>
    </w:pPr>
    <w:rPr>
      <w:rFonts w:ascii="黑体" w:hAnsi="Times New Roman" w:eastAsia="黑体" w:cs="Times New Roman"/>
      <w:kern w:val="0"/>
      <w:sz w:val="21"/>
      <w:szCs w:val="20"/>
      <w:lang w:val="en-US" w:eastAsia="zh-CN" w:bidi="ar-SA"/>
      <w14:ligatures w14:val="none"/>
    </w:rPr>
  </w:style>
  <w:style w:type="paragraph" w:customStyle="1" w:styleId="641">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b/>
      <w:bCs/>
      <w:kern w:val="0"/>
      <w:sz w:val="52"/>
      <w:szCs w:val="52"/>
    </w:rPr>
  </w:style>
  <w:style w:type="paragraph" w:customStyle="1" w:styleId="642">
    <w:name w:val="List Paragraph3"/>
    <w:basedOn w:val="1"/>
    <w:qFormat/>
    <w:uiPriority w:val="0"/>
    <w:pPr>
      <w:ind w:firstLine="420" w:firstLineChars="200"/>
    </w:pPr>
    <w:rPr>
      <w:rFonts w:ascii="Calibri" w:hAnsi="Calibri"/>
    </w:rPr>
  </w:style>
  <w:style w:type="paragraph" w:customStyle="1" w:styleId="643">
    <w:name w:val="a2"/>
    <w:basedOn w:val="1"/>
    <w:qFormat/>
    <w:uiPriority w:val="0"/>
    <w:pPr>
      <w:widowControl/>
      <w:spacing w:before="100" w:beforeAutospacing="1" w:after="100" w:afterAutospacing="1"/>
      <w:jc w:val="left"/>
    </w:pPr>
    <w:rPr>
      <w:rFonts w:ascii="Arial Unicode MS" w:hAnsi="Arial Unicode MS"/>
      <w:kern w:val="0"/>
      <w:sz w:val="24"/>
      <w:szCs w:val="24"/>
    </w:rPr>
  </w:style>
  <w:style w:type="paragraph" w:customStyle="1" w:styleId="644">
    <w:name w:val="樣式1"/>
    <w:basedOn w:val="645"/>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5">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46">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47">
    <w:name w:val="Char Char2 Char"/>
    <w:basedOn w:val="1"/>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648">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649">
    <w:name w:val="标书正文格式 Char Char"/>
    <w:qFormat/>
    <w:uiPriority w:val="0"/>
    <w:pPr>
      <w:spacing w:after="0" w:line="360" w:lineRule="auto"/>
      <w:ind w:firstLine="200" w:firstLineChars="200"/>
    </w:pPr>
    <w:rPr>
      <w:rFonts w:ascii="Times New Roman" w:hAnsi="Times New Roman" w:eastAsia="仿宋_GB2312" w:cs="Times New Roman"/>
      <w:kern w:val="2"/>
      <w:sz w:val="30"/>
      <w:szCs w:val="24"/>
      <w:lang w:val="en-US" w:eastAsia="zh-CN" w:bidi="ar-SA"/>
      <w14:ligatures w14:val="none"/>
    </w:rPr>
  </w:style>
  <w:style w:type="paragraph" w:customStyle="1" w:styleId="650">
    <w:name w:val="Char2"/>
    <w:basedOn w:val="1"/>
    <w:qFormat/>
    <w:uiPriority w:val="0"/>
    <w:pPr>
      <w:widowControl/>
      <w:jc w:val="left"/>
    </w:pPr>
    <w:rPr>
      <w:rFonts w:ascii="Calibri" w:hAnsi="Calibri" w:eastAsia="仿宋_GB2312"/>
      <w:sz w:val="28"/>
      <w:szCs w:val="20"/>
    </w:rPr>
  </w:style>
  <w:style w:type="paragraph" w:customStyle="1" w:styleId="651">
    <w:name w:val="b"/>
    <w:basedOn w:val="1"/>
    <w:qFormat/>
    <w:uiPriority w:val="0"/>
    <w:pPr>
      <w:widowControl/>
      <w:adjustRightInd w:val="0"/>
      <w:snapToGrid w:val="0"/>
      <w:jc w:val="center"/>
    </w:pPr>
    <w:rPr>
      <w:rFonts w:ascii="仿宋_GB2312" w:hAnsi="Calibri" w:eastAsia="仿宋_GB2312"/>
      <w:sz w:val="24"/>
      <w:szCs w:val="24"/>
    </w:rPr>
  </w:style>
  <w:style w:type="paragraph" w:customStyle="1" w:styleId="652">
    <w:name w:val="正文文本缩进2"/>
    <w:basedOn w:val="1"/>
    <w:qFormat/>
    <w:uiPriority w:val="0"/>
    <w:pPr>
      <w:widowControl/>
      <w:spacing w:line="200" w:lineRule="atLeast"/>
      <w:ind w:firstLine="301"/>
      <w:jc w:val="left"/>
    </w:pPr>
    <w:rPr>
      <w:rFonts w:ascii="宋体" w:hAnsi="Courier New"/>
      <w:spacing w:val="-4"/>
      <w:sz w:val="18"/>
      <w:szCs w:val="20"/>
    </w:rPr>
  </w:style>
  <w:style w:type="paragraph" w:customStyle="1" w:styleId="653">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654">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Calibri" w:hAnsi="Calibri"/>
      <w:b/>
      <w:bCs/>
      <w:kern w:val="0"/>
      <w:sz w:val="24"/>
      <w:szCs w:val="24"/>
    </w:rPr>
  </w:style>
  <w:style w:type="paragraph" w:customStyle="1" w:styleId="655">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52"/>
      <w:szCs w:val="52"/>
    </w:rPr>
  </w:style>
  <w:style w:type="paragraph" w:customStyle="1" w:styleId="656">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cs="Arial"/>
      <w:kern w:val="0"/>
      <w:sz w:val="32"/>
      <w:szCs w:val="32"/>
    </w:rPr>
  </w:style>
  <w:style w:type="paragraph" w:customStyle="1" w:styleId="657">
    <w:name w:val="中等深浅网格 1 - 强调文字颜色 21"/>
    <w:basedOn w:val="1"/>
    <w:qFormat/>
    <w:uiPriority w:val="0"/>
    <w:pPr>
      <w:widowControl/>
      <w:spacing w:after="200" w:line="276" w:lineRule="auto"/>
      <w:ind w:left="720"/>
      <w:contextualSpacing/>
      <w:jc w:val="left"/>
    </w:pPr>
    <w:rPr>
      <w:rFonts w:ascii="Calibri" w:hAnsi="Calibri"/>
      <w:kern w:val="0"/>
      <w:sz w:val="22"/>
      <w:lang w:eastAsia="en-US"/>
    </w:rPr>
  </w:style>
  <w:style w:type="paragraph" w:customStyle="1" w:styleId="658">
    <w:name w:val="表身"/>
    <w:basedOn w:val="1"/>
    <w:qFormat/>
    <w:uiPriority w:val="0"/>
    <w:pPr>
      <w:autoSpaceDE w:val="0"/>
      <w:autoSpaceDN w:val="0"/>
      <w:adjustRightInd w:val="0"/>
      <w:jc w:val="left"/>
    </w:pPr>
    <w:rPr>
      <w:rFonts w:ascii="Calibri" w:hAnsi="Calibri"/>
      <w:kern w:val="0"/>
      <w:sz w:val="18"/>
      <w:szCs w:val="20"/>
    </w:rPr>
  </w:style>
  <w:style w:type="paragraph" w:customStyle="1" w:styleId="659">
    <w:name w:val="font10"/>
    <w:basedOn w:val="1"/>
    <w:qFormat/>
    <w:uiPriority w:val="0"/>
    <w:pPr>
      <w:widowControl/>
      <w:spacing w:before="100" w:beforeAutospacing="1" w:after="100" w:afterAutospacing="1"/>
      <w:jc w:val="left"/>
    </w:pPr>
    <w:rPr>
      <w:rFonts w:ascii="Calibri" w:hAnsi="Calibri"/>
      <w:color w:val="FF0000"/>
      <w:kern w:val="0"/>
      <w:sz w:val="16"/>
      <w:szCs w:val="16"/>
    </w:rPr>
  </w:style>
  <w:style w:type="paragraph" w:customStyle="1" w:styleId="660">
    <w:name w:val="说明书3级标题"/>
    <w:basedOn w:val="1"/>
    <w:qFormat/>
    <w:uiPriority w:val="0"/>
    <w:pPr>
      <w:tabs>
        <w:tab w:val="left" w:pos="1572"/>
      </w:tabs>
      <w:spacing w:line="360" w:lineRule="auto"/>
      <w:ind w:left="1572" w:hanging="720"/>
    </w:pPr>
    <w:rPr>
      <w:rFonts w:ascii="Calibri" w:hAnsi="Calibri" w:eastAsia="黑体"/>
      <w:sz w:val="24"/>
      <w:szCs w:val="24"/>
    </w:rPr>
  </w:style>
  <w:style w:type="paragraph" w:customStyle="1" w:styleId="661">
    <w:name w:val="pchart_body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2">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32"/>
      <w:szCs w:val="32"/>
    </w:rPr>
  </w:style>
  <w:style w:type="paragraph" w:customStyle="1" w:styleId="663">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4">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b/>
      <w:bCs/>
      <w:kern w:val="0"/>
      <w:sz w:val="52"/>
      <w:szCs w:val="52"/>
    </w:rPr>
  </w:style>
  <w:style w:type="paragraph" w:customStyle="1" w:styleId="665">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14:ligatures w14:val="none"/>
    </w:rPr>
  </w:style>
  <w:style w:type="paragraph" w:customStyle="1" w:styleId="666">
    <w:name w:val="Pa10"/>
    <w:basedOn w:val="1"/>
    <w:qFormat/>
    <w:uiPriority w:val="0"/>
    <w:pPr>
      <w:widowControl/>
      <w:autoSpaceDE w:val="0"/>
      <w:autoSpaceDN w:val="0"/>
      <w:adjustRightInd w:val="0"/>
      <w:spacing w:before="20" w:line="136" w:lineRule="atLeast"/>
      <w:jc w:val="left"/>
    </w:pPr>
    <w:rPr>
      <w:rFonts w:ascii="Stone Sans" w:hAnsi="Stone Sans"/>
      <w:kern w:val="0"/>
      <w:sz w:val="24"/>
      <w:szCs w:val="24"/>
    </w:rPr>
  </w:style>
  <w:style w:type="paragraph" w:customStyle="1" w:styleId="667">
    <w:name w:val="标题3级"/>
    <w:basedOn w:val="5"/>
    <w:qFormat/>
    <w:uiPriority w:val="0"/>
    <w:pPr>
      <w:widowControl/>
      <w:numPr>
        <w:ilvl w:val="2"/>
        <w:numId w:val="4"/>
      </w:numPr>
      <w:tabs>
        <w:tab w:val="left" w:pos="425"/>
        <w:tab w:val="left" w:pos="851"/>
        <w:tab w:val="left" w:pos="902"/>
      </w:tabs>
      <w:spacing w:before="0" w:after="0" w:line="360" w:lineRule="auto"/>
      <w:ind w:firstLine="100" w:firstLineChars="100"/>
      <w:jc w:val="left"/>
    </w:pPr>
    <w:rPr>
      <w:rFonts w:ascii="Times New Roman" w:hAnsi="Times New Roman" w:eastAsia="宋体" w:cs="Times New Roman"/>
      <w:b/>
      <w:color w:val="000000"/>
      <w:szCs w:val="20"/>
    </w:rPr>
  </w:style>
  <w:style w:type="paragraph" w:customStyle="1" w:styleId="668">
    <w:name w:val="Pa11"/>
    <w:basedOn w:val="1"/>
    <w:qFormat/>
    <w:uiPriority w:val="0"/>
    <w:pPr>
      <w:autoSpaceDE w:val="0"/>
      <w:autoSpaceDN w:val="0"/>
      <w:adjustRightInd w:val="0"/>
      <w:spacing w:line="161" w:lineRule="atLeast"/>
      <w:jc w:val="left"/>
    </w:pPr>
    <w:rPr>
      <w:rFonts w:ascii="HP Simplified Hans Light" w:hAnsi="Calibri" w:eastAsia="HP Simplified Hans Light"/>
      <w:kern w:val="0"/>
      <w:sz w:val="24"/>
      <w:szCs w:val="24"/>
    </w:rPr>
  </w:style>
  <w:style w:type="paragraph" w:customStyle="1" w:styleId="669">
    <w:name w:val="TOC Heading1"/>
    <w:basedOn w:val="2"/>
    <w:qFormat/>
    <w:uiPriority w:val="0"/>
    <w:pPr>
      <w:widowControl/>
      <w:spacing w:before="0" w:after="0" w:line="276" w:lineRule="auto"/>
      <w:jc w:val="left"/>
      <w:outlineLvl w:val="9"/>
    </w:pPr>
    <w:rPr>
      <w:rFonts w:ascii="Cambria" w:hAnsi="Cambria" w:eastAsia="宋体" w:cs="Times New Roman"/>
      <w:b/>
      <w:bCs/>
      <w:color w:val="365F91"/>
      <w:kern w:val="0"/>
      <w:sz w:val="28"/>
      <w:szCs w:val="28"/>
    </w:rPr>
  </w:style>
  <w:style w:type="paragraph" w:customStyle="1" w:styleId="670">
    <w:name w:val="xl39"/>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671">
    <w:name w:val="表项"/>
    <w:basedOn w:val="1"/>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672">
    <w:name w:val="No Spacing1"/>
    <w:qFormat/>
    <w:uiPriority w:val="0"/>
    <w:pPr>
      <w:widowControl w:val="0"/>
      <w:spacing w:after="0" w:line="240" w:lineRule="auto"/>
      <w:jc w:val="both"/>
    </w:pPr>
    <w:rPr>
      <w:rFonts w:ascii="Times New Roman" w:hAnsi="Times New Roman" w:eastAsia="宋体" w:cs="Times New Roman"/>
      <w:kern w:val="2"/>
      <w:sz w:val="21"/>
      <w:szCs w:val="20"/>
      <w:lang w:val="en-US" w:eastAsia="zh-CN" w:bidi="ar-SA"/>
      <w14:ligatures w14:val="none"/>
    </w:rPr>
  </w:style>
  <w:style w:type="paragraph" w:customStyle="1" w:styleId="673">
    <w:name w:val="b13"/>
    <w:basedOn w:val="1"/>
    <w:qFormat/>
    <w:uiPriority w:val="0"/>
    <w:pPr>
      <w:widowControl/>
      <w:autoSpaceDE w:val="0"/>
      <w:autoSpaceDN w:val="0"/>
      <w:adjustRightInd w:val="0"/>
      <w:spacing w:after="120"/>
      <w:jc w:val="left"/>
    </w:pPr>
    <w:rPr>
      <w:rFonts w:ascii="Calibri" w:hAnsi="Calibri" w:eastAsia="華康粗圓體"/>
      <w:kern w:val="0"/>
      <w:sz w:val="26"/>
      <w:szCs w:val="20"/>
      <w:lang w:eastAsia="zh-TW"/>
    </w:rPr>
  </w:style>
  <w:style w:type="paragraph" w:customStyle="1" w:styleId="674">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libri" w:hAnsi="Calibri"/>
      <w:kern w:val="0"/>
      <w:sz w:val="52"/>
      <w:szCs w:val="52"/>
    </w:rPr>
  </w:style>
  <w:style w:type="paragraph" w:customStyle="1" w:styleId="675">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szCs w:val="24"/>
    </w:rPr>
  </w:style>
  <w:style w:type="paragraph" w:customStyle="1" w:styleId="676">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7">
    <w:name w:val="Char Char Char"/>
    <w:basedOn w:val="1"/>
    <w:qFormat/>
    <w:uiPriority w:val="0"/>
    <w:pPr>
      <w:widowControl/>
      <w:jc w:val="left"/>
    </w:pPr>
    <w:rPr>
      <w:rFonts w:ascii="Tahoma" w:hAnsi="Tahoma"/>
      <w:sz w:val="24"/>
      <w:szCs w:val="20"/>
    </w:rPr>
  </w:style>
  <w:style w:type="paragraph" w:customStyle="1" w:styleId="678">
    <w:name w:val="小四 段落 宋体 Char Char Char"/>
    <w:basedOn w:val="15"/>
    <w:qFormat/>
    <w:uiPriority w:val="0"/>
    <w:pPr>
      <w:tabs>
        <w:tab w:val="left" w:pos="1320"/>
        <w:tab w:val="clear" w:pos="454"/>
        <w:tab w:val="clear" w:pos="720"/>
        <w:tab w:val="clear" w:pos="900"/>
      </w:tabs>
      <w:snapToGrid/>
      <w:spacing w:line="360" w:lineRule="auto"/>
      <w:ind w:right="-33" w:firstLine="480" w:firstLineChars="200"/>
      <w:jc w:val="left"/>
    </w:pPr>
    <w:rPr>
      <w:sz w:val="24"/>
      <w:szCs w:val="24"/>
    </w:rPr>
  </w:style>
  <w:style w:type="paragraph" w:customStyle="1" w:styleId="679">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szCs w:val="24"/>
    </w:rPr>
  </w:style>
  <w:style w:type="paragraph" w:customStyle="1" w:styleId="680">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1">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682">
    <w:name w:val="字母编号列项（一级）"/>
    <w:qFormat/>
    <w:uiPriority w:val="0"/>
    <w:pPr>
      <w:tabs>
        <w:tab w:val="left" w:pos="840"/>
      </w:tabs>
      <w:spacing w:after="0" w:line="240" w:lineRule="auto"/>
      <w:ind w:left="839" w:hanging="419"/>
      <w:jc w:val="both"/>
    </w:pPr>
    <w:rPr>
      <w:rFonts w:ascii="宋体" w:hAnsi="Times New Roman" w:eastAsia="宋体" w:cs="Times New Roman"/>
      <w:kern w:val="0"/>
      <w:sz w:val="21"/>
      <w:szCs w:val="20"/>
      <w:lang w:val="en-US" w:eastAsia="zh-CN" w:bidi="ar-SA"/>
      <w14:ligatures w14:val="none"/>
    </w:rPr>
  </w:style>
  <w:style w:type="paragraph" w:customStyle="1" w:styleId="683">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684">
    <w:name w:val="Char1 Char Char Char Char Char Char"/>
    <w:basedOn w:val="1"/>
    <w:qFormat/>
    <w:uiPriority w:val="0"/>
    <w:rPr>
      <w:rFonts w:ascii="Calibri" w:hAnsi="Calibri"/>
      <w:szCs w:val="20"/>
    </w:rPr>
  </w:style>
  <w:style w:type="paragraph" w:customStyle="1" w:styleId="685">
    <w:name w:val="正文文本1"/>
    <w:basedOn w:val="1"/>
    <w:qFormat/>
    <w:uiPriority w:val="0"/>
    <w:pPr>
      <w:spacing w:after="120"/>
    </w:pPr>
    <w:rPr>
      <w:rFonts w:ascii="Calibri" w:hAnsi="Calibri"/>
      <w:kern w:val="0"/>
      <w:sz w:val="20"/>
      <w:szCs w:val="24"/>
    </w:rPr>
  </w:style>
  <w:style w:type="paragraph" w:customStyle="1" w:styleId="686">
    <w:name w:val="pied de page r閒.2"/>
    <w:qFormat/>
    <w:uiPriority w:val="0"/>
    <w:pPr>
      <w:spacing w:before="140" w:after="0" w:line="240" w:lineRule="auto"/>
      <w:jc w:val="center"/>
    </w:pPr>
    <w:rPr>
      <w:rFonts w:ascii="Helvetica" w:hAnsi="Helvetica" w:eastAsia="宋体" w:cs="Times New Roman"/>
      <w:caps/>
      <w:kern w:val="0"/>
      <w:sz w:val="20"/>
      <w:szCs w:val="20"/>
      <w:lang w:val="en-US" w:eastAsia="en-US" w:bidi="ar-SA"/>
      <w14:ligatures w14:val="none"/>
    </w:rPr>
  </w:style>
  <w:style w:type="paragraph" w:customStyle="1" w:styleId="687">
    <w:name w:val="List 1"/>
    <w:basedOn w:val="1"/>
    <w:qFormat/>
    <w:uiPriority w:val="0"/>
    <w:pPr>
      <w:widowControl/>
      <w:overflowPunct w:val="0"/>
      <w:autoSpaceDE w:val="0"/>
      <w:autoSpaceDN w:val="0"/>
      <w:adjustRightInd w:val="0"/>
      <w:spacing w:line="360" w:lineRule="auto"/>
      <w:ind w:left="2520" w:hanging="360"/>
      <w:jc w:val="left"/>
    </w:pPr>
    <w:rPr>
      <w:rFonts w:ascii="宋体" w:hAnsi="Calibri"/>
      <w:kern w:val="0"/>
      <w:sz w:val="24"/>
      <w:szCs w:val="20"/>
    </w:rPr>
  </w:style>
  <w:style w:type="paragraph" w:customStyle="1" w:styleId="688">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pPr>
    <w:rPr>
      <w:rFonts w:ascii="宋体" w:hAnsi="宋体"/>
      <w:b/>
      <w:bCs/>
      <w:kern w:val="0"/>
      <w:sz w:val="44"/>
      <w:szCs w:val="44"/>
    </w:rPr>
  </w:style>
  <w:style w:type="paragraph" w:customStyle="1" w:styleId="689">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690">
    <w:name w:val="Char Char19"/>
    <w:basedOn w:val="1"/>
    <w:qFormat/>
    <w:uiPriority w:val="0"/>
    <w:pPr>
      <w:widowControl/>
      <w:jc w:val="left"/>
    </w:pPr>
    <w:rPr>
      <w:rFonts w:ascii="Tahoma" w:hAnsi="Tahoma"/>
      <w:sz w:val="24"/>
      <w:szCs w:val="20"/>
    </w:rPr>
  </w:style>
  <w:style w:type="paragraph" w:customStyle="1" w:styleId="691">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692">
    <w:name w:val="样式 首行缩进:  2 字符"/>
    <w:basedOn w:val="1"/>
    <w:qFormat/>
    <w:uiPriority w:val="0"/>
    <w:pPr>
      <w:spacing w:line="400" w:lineRule="exact"/>
      <w:ind w:firstLine="200" w:firstLineChars="200"/>
    </w:pPr>
    <w:rPr>
      <w:rFonts w:cs="宋体"/>
      <w:sz w:val="24"/>
      <w:szCs w:val="24"/>
    </w:rPr>
  </w:style>
  <w:style w:type="paragraph" w:customStyle="1" w:styleId="693">
    <w:name w:val="10号线正文"/>
    <w:basedOn w:val="1"/>
    <w:qFormat/>
    <w:uiPriority w:val="0"/>
    <w:pPr>
      <w:widowControl/>
      <w:spacing w:line="360" w:lineRule="auto"/>
      <w:ind w:firstLine="482" w:firstLineChars="200"/>
      <w:jc w:val="left"/>
    </w:pPr>
    <w:rPr>
      <w:rFonts w:ascii="宋体" w:hAnsi="Calibri" w:cs="宋体"/>
      <w:sz w:val="24"/>
      <w:szCs w:val="24"/>
    </w:rPr>
  </w:style>
  <w:style w:type="paragraph" w:customStyle="1" w:styleId="694">
    <w:name w:val="TOC 标题2"/>
    <w:basedOn w:val="2"/>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695">
    <w:name w:val="xl51"/>
    <w:basedOn w:val="1"/>
    <w:qFormat/>
    <w:uiPriority w:val="0"/>
    <w:pPr>
      <w:widowControl/>
      <w:pBdr>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696">
    <w:name w:val="样式 Verdana 首行缩进:  0.74 厘米"/>
    <w:basedOn w:val="1"/>
    <w:qFormat/>
    <w:uiPriority w:val="0"/>
    <w:pPr>
      <w:widowControl/>
      <w:jc w:val="left"/>
    </w:pPr>
    <w:rPr>
      <w:rFonts w:ascii="Verdana" w:hAnsi="Verdana"/>
      <w:szCs w:val="20"/>
    </w:rPr>
  </w:style>
  <w:style w:type="paragraph" w:customStyle="1" w:styleId="697">
    <w:name w:val="集群正文"/>
    <w:basedOn w:val="1"/>
    <w:qFormat/>
    <w:uiPriority w:val="0"/>
    <w:pPr>
      <w:spacing w:beforeLines="50" w:line="312" w:lineRule="auto"/>
      <w:ind w:firstLine="480" w:firstLineChars="200"/>
    </w:pPr>
    <w:rPr>
      <w:rFonts w:ascii="Calibri" w:hAnsi="Calibri"/>
      <w:sz w:val="28"/>
      <w:szCs w:val="20"/>
    </w:rPr>
  </w:style>
  <w:style w:type="paragraph" w:customStyle="1" w:styleId="698">
    <w:name w:val="引用1"/>
    <w:qFormat/>
    <w:uiPriority w:val="0"/>
    <w:pPr>
      <w:spacing w:after="160" w:line="240" w:lineRule="atLeast"/>
    </w:pPr>
    <w:rPr>
      <w:rFonts w:ascii="Arial" w:hAnsi="Arial" w:eastAsia="宋体" w:cs="Times New Roman"/>
      <w:i/>
      <w:color w:val="808080"/>
      <w:kern w:val="0"/>
      <w:sz w:val="20"/>
      <w:szCs w:val="20"/>
      <w:lang w:val="en-US" w:eastAsia="en-US" w:bidi="ar-SA"/>
      <w14:ligatures w14:val="none"/>
    </w:rPr>
  </w:style>
  <w:style w:type="paragraph" w:customStyle="1" w:styleId="699">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2"/>
    </w:rPr>
  </w:style>
  <w:style w:type="paragraph" w:customStyle="1" w:styleId="700">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52"/>
      <w:szCs w:val="52"/>
    </w:rPr>
  </w:style>
  <w:style w:type="paragraph" w:customStyle="1" w:styleId="701">
    <w:name w:val="font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702">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703">
    <w:name w:val="Char Char Char Char Char Char Char"/>
    <w:basedOn w:val="1"/>
    <w:qFormat/>
    <w:uiPriority w:val="0"/>
    <w:pPr>
      <w:widowControl/>
      <w:tabs>
        <w:tab w:val="left" w:pos="432"/>
      </w:tabs>
      <w:ind w:left="432" w:hanging="432"/>
      <w:jc w:val="left"/>
    </w:pPr>
    <w:rPr>
      <w:rFonts w:ascii="Tahoma" w:hAnsi="Tahoma"/>
      <w:sz w:val="24"/>
      <w:szCs w:val="20"/>
    </w:rPr>
  </w:style>
  <w:style w:type="paragraph" w:customStyle="1" w:styleId="704">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5">
    <w:name w:val="Char11"/>
    <w:basedOn w:val="1"/>
    <w:qFormat/>
    <w:uiPriority w:val="0"/>
    <w:pPr>
      <w:widowControl/>
      <w:jc w:val="left"/>
    </w:pPr>
    <w:rPr>
      <w:rFonts w:ascii="仿宋_GB2312" w:hAnsi="Calibri" w:eastAsia="仿宋_GB2312"/>
      <w:b/>
      <w:sz w:val="32"/>
      <w:szCs w:val="20"/>
    </w:rPr>
  </w:style>
  <w:style w:type="paragraph" w:customStyle="1" w:styleId="706">
    <w:name w:val="无间隔3"/>
    <w:basedOn w:val="1"/>
    <w:qFormat/>
    <w:uiPriority w:val="0"/>
    <w:pPr>
      <w:snapToGrid w:val="0"/>
    </w:pPr>
    <w:rPr>
      <w:rFonts w:ascii="仿宋_GB2312" w:hAnsi="Calibri" w:eastAsia="仿宋_GB2312"/>
      <w:b/>
      <w:kern w:val="0"/>
      <w:sz w:val="30"/>
      <w:szCs w:val="24"/>
    </w:rPr>
  </w:style>
  <w:style w:type="paragraph" w:customStyle="1" w:styleId="707">
    <w:name w:val="彩色列表 - 强调文字颜色 111"/>
    <w:basedOn w:val="1"/>
    <w:qFormat/>
    <w:uiPriority w:val="34"/>
    <w:pPr>
      <w:ind w:firstLine="420" w:firstLineChars="200"/>
    </w:pPr>
    <w:rPr>
      <w:rFonts w:ascii="Calibri" w:hAnsi="Calibri"/>
    </w:rPr>
  </w:style>
  <w:style w:type="paragraph" w:customStyle="1" w:styleId="708">
    <w:name w:val="小四 段落 宋体 Char Char"/>
    <w:basedOn w:val="1"/>
    <w:qFormat/>
    <w:uiPriority w:val="0"/>
    <w:pPr>
      <w:widowControl/>
      <w:spacing w:line="360" w:lineRule="auto"/>
      <w:ind w:firstLine="480" w:firstLineChars="200"/>
      <w:jc w:val="left"/>
    </w:pPr>
    <w:rPr>
      <w:rFonts w:ascii="宋体" w:hAnsi="宋体"/>
      <w:sz w:val="24"/>
      <w:szCs w:val="24"/>
    </w:rPr>
  </w:style>
  <w:style w:type="table" w:customStyle="1" w:styleId="709">
    <w:name w:val="中等深浅网格 31"/>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10">
    <w:name w:val="题注1"/>
    <w:basedOn w:val="1"/>
    <w:unhideWhenUsed/>
    <w:qFormat/>
    <w:uiPriority w:val="99"/>
    <w:rPr>
      <w:rFonts w:ascii="Calibri Light" w:hAnsi="Calibri Light" w:eastAsia="黑体"/>
      <w:sz w:val="20"/>
      <w:szCs w:val="20"/>
    </w:rPr>
  </w:style>
  <w:style w:type="table" w:customStyle="1" w:styleId="711">
    <w:name w:val="网格型1"/>
    <w:basedOn w:val="60"/>
    <w:qFormat/>
    <w:uiPriority w:val="0"/>
    <w:pPr>
      <w:spacing w:after="0" w:line="240"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2">
    <w:name w:val="批注文字 Char"/>
    <w:basedOn w:val="69"/>
    <w:qFormat/>
    <w:uiPriority w:val="99"/>
    <w:rPr>
      <w:rFonts w:ascii="Calibri" w:hAnsi="Calibri" w:eastAsia="宋体" w:cs="Times New Roman"/>
    </w:rPr>
  </w:style>
  <w:style w:type="paragraph" w:customStyle="1" w:styleId="713">
    <w:name w:val="ZJGIS-五级标题"/>
    <w:basedOn w:val="1"/>
    <w:qFormat/>
    <w:uiPriority w:val="0"/>
    <w:pPr>
      <w:numPr>
        <w:ilvl w:val="4"/>
        <w:numId w:val="5"/>
      </w:numPr>
      <w:spacing w:line="360" w:lineRule="auto"/>
      <w:ind w:firstLine="482" w:firstLineChars="200"/>
    </w:pPr>
    <w:rPr>
      <w:rFonts w:ascii="仿宋" w:hAnsi="仿宋" w:eastAsia="仿宋"/>
      <w:b/>
      <w:sz w:val="24"/>
      <w:szCs w:val="24"/>
    </w:rPr>
  </w:style>
  <w:style w:type="paragraph" w:customStyle="1" w:styleId="714">
    <w:name w:val="标题2"/>
    <w:basedOn w:val="3"/>
    <w:qFormat/>
    <w:uiPriority w:val="0"/>
    <w:pPr>
      <w:tabs>
        <w:tab w:val="left" w:pos="840"/>
      </w:tabs>
      <w:spacing w:before="260" w:after="260" w:line="416" w:lineRule="auto"/>
      <w:ind w:left="567" w:hanging="420"/>
    </w:pPr>
    <w:rPr>
      <w:rFonts w:ascii="Cambria" w:hAnsi="Cambria" w:eastAsia="宋体" w:cs="Times New Roman"/>
      <w:b/>
      <w:bCs/>
      <w:color w:val="000000"/>
      <w:sz w:val="32"/>
      <w:szCs w:val="32"/>
    </w:rPr>
  </w:style>
  <w:style w:type="paragraph" w:customStyle="1" w:styleId="715">
    <w:name w:val="z-窗体底端1"/>
    <w:basedOn w:val="1"/>
    <w:qFormat/>
    <w:uiPriority w:val="0"/>
    <w:pPr>
      <w:pBdr>
        <w:top w:val="single" w:color="auto" w:sz="6" w:space="1"/>
      </w:pBdr>
      <w:jc w:val="center"/>
    </w:pPr>
    <w:rPr>
      <w:rFonts w:ascii="Arial" w:hAnsi="Arial"/>
      <w:vanish/>
      <w:sz w:val="16"/>
      <w:szCs w:val="16"/>
      <w:lang w:val="zh-CN"/>
    </w:rPr>
  </w:style>
  <w:style w:type="paragraph" w:customStyle="1" w:styleId="716">
    <w:name w:val="文章正文"/>
    <w:basedOn w:val="134"/>
    <w:qFormat/>
    <w:uiPriority w:val="0"/>
    <w:pPr>
      <w:widowControl/>
      <w:adjustRightInd w:val="0"/>
      <w:spacing w:beforeLines="0" w:afterLines="50" w:line="360" w:lineRule="auto"/>
      <w:ind w:firstLine="200" w:firstLineChars="200"/>
      <w:jc w:val="left"/>
    </w:pPr>
    <w:rPr>
      <w:rFonts w:ascii="Calibri" w:hAnsi="Calibri" w:eastAsia="仿宋_GB2312" w:cs="Times New Roman"/>
      <w:sz w:val="28"/>
      <w:szCs w:val="20"/>
    </w:rPr>
  </w:style>
  <w:style w:type="paragraph" w:customStyle="1" w:styleId="717">
    <w:name w:val="_Style 31"/>
    <w:basedOn w:val="1"/>
    <w:qFormat/>
    <w:uiPriority w:val="34"/>
    <w:pPr>
      <w:widowControl/>
      <w:adjustRightInd w:val="0"/>
      <w:spacing w:afterLines="50" w:line="360" w:lineRule="auto"/>
      <w:ind w:firstLine="420" w:firstLineChars="200"/>
      <w:jc w:val="left"/>
    </w:pPr>
    <w:rPr>
      <w:rFonts w:ascii="等线" w:hAnsi="等线" w:eastAsia="等线"/>
      <w:kern w:val="0"/>
      <w:sz w:val="28"/>
      <w:szCs w:val="20"/>
    </w:rPr>
  </w:style>
  <w:style w:type="paragraph" w:customStyle="1" w:styleId="718">
    <w:name w:val="列表段落11"/>
    <w:basedOn w:val="1"/>
    <w:qFormat/>
    <w:uiPriority w:val="34"/>
    <w:pPr>
      <w:ind w:firstLine="420" w:firstLineChars="200"/>
    </w:pPr>
    <w:rPr>
      <w:rFonts w:ascii="Calibri" w:hAnsi="Calibri"/>
    </w:rPr>
  </w:style>
  <w:style w:type="paragraph" w:customStyle="1" w:styleId="719">
    <w:name w:val="_Style 45"/>
    <w:basedOn w:val="1"/>
    <w:qFormat/>
    <w:uiPriority w:val="34"/>
    <w:pPr>
      <w:ind w:firstLine="420" w:firstLineChars="200"/>
    </w:pPr>
  </w:style>
  <w:style w:type="paragraph" w:customStyle="1" w:styleId="720">
    <w:name w:val="WPSOffice手动目录 2"/>
    <w:qFormat/>
    <w:uiPriority w:val="0"/>
    <w:pPr>
      <w:spacing w:after="0" w:line="240" w:lineRule="auto"/>
      <w:ind w:left="200" w:leftChars="200"/>
    </w:pPr>
    <w:rPr>
      <w:rFonts w:ascii="Times New Roman" w:hAnsi="Times New Roman" w:eastAsia="宋体" w:cs="Times New Roman"/>
      <w:kern w:val="0"/>
      <w:sz w:val="20"/>
      <w:szCs w:val="20"/>
      <w:lang w:val="en-US" w:eastAsia="zh-CN" w:bidi="ar-SA"/>
      <w14:ligatures w14:val="none"/>
    </w:rPr>
  </w:style>
  <w:style w:type="paragraph" w:customStyle="1" w:styleId="721">
    <w:name w:val="WPSOffice手动目录 3"/>
    <w:qFormat/>
    <w:uiPriority w:val="0"/>
    <w:pPr>
      <w:spacing w:after="0" w:line="240" w:lineRule="auto"/>
      <w:ind w:left="400" w:leftChars="400"/>
    </w:pPr>
    <w:rPr>
      <w:rFonts w:ascii="Times New Roman" w:hAnsi="Times New Roman" w:eastAsia="宋体" w:cs="Times New Roman"/>
      <w:kern w:val="0"/>
      <w:sz w:val="20"/>
      <w:szCs w:val="20"/>
      <w:lang w:val="en-US" w:eastAsia="zh-CN" w:bidi="ar-SA"/>
      <w14:ligatures w14:val="none"/>
    </w:rPr>
  </w:style>
  <w:style w:type="paragraph" w:customStyle="1" w:styleId="722">
    <w:name w:val="无间隔4"/>
    <w:qFormat/>
    <w:uiPriority w:val="1"/>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paragraph" w:styleId="723">
    <w:name w:val="No Spacing"/>
    <w:qFormat/>
    <w:uiPriority w:val="99"/>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724">
    <w:name w:val="A_表格头"/>
    <w:basedOn w:val="1"/>
    <w:qFormat/>
    <w:uiPriority w:val="0"/>
    <w:pPr>
      <w:jc w:val="center"/>
    </w:pPr>
    <w:rPr>
      <w:rFonts w:eastAsia="黑体"/>
      <w:bCs/>
      <w:kern w:val="0"/>
      <w:szCs w:val="20"/>
    </w:rPr>
  </w:style>
  <w:style w:type="paragraph" w:customStyle="1" w:styleId="725">
    <w:name w:val="A_表格正文（居中）"/>
    <w:basedOn w:val="1"/>
    <w:qFormat/>
    <w:uiPriority w:val="0"/>
    <w:pPr>
      <w:jc w:val="center"/>
    </w:pPr>
    <w:rPr>
      <w:rFonts w:eastAsia="仿宋"/>
      <w:kern w:val="0"/>
      <w:szCs w:val="20"/>
    </w:rPr>
  </w:style>
  <w:style w:type="paragraph" w:customStyle="1" w:styleId="726">
    <w:name w:val="A_表格正文（加黑）"/>
    <w:basedOn w:val="725"/>
    <w:qFormat/>
    <w:uiPriority w:val="0"/>
    <w:rPr>
      <w:b/>
      <w:color w:val="000000"/>
    </w:rPr>
  </w:style>
  <w:style w:type="character" w:customStyle="1" w:styleId="727">
    <w:name w:val="标题 Char"/>
    <w:qFormat/>
    <w:uiPriority w:val="0"/>
    <w:rPr>
      <w:rFonts w:ascii="宋体" w:hAnsi="Courier New" w:eastAsia="宋体" w:cs="Courier New"/>
      <w:kern w:val="2"/>
      <w:sz w:val="21"/>
      <w:szCs w:val="21"/>
      <w:lang w:val="en-US" w:eastAsia="zh-CN" w:bidi="ar-SA"/>
    </w:rPr>
  </w:style>
  <w:style w:type="character" w:customStyle="1" w:styleId="728">
    <w:name w:val="普通(网站) 字符"/>
    <w:link w:val="55"/>
    <w:qFormat/>
    <w:uiPriority w:val="0"/>
    <w:rPr>
      <w:rFonts w:ascii="(使用中文字体)" w:hAnsi="(使用中文字体)" w:eastAsia="宋体" w:cs="(使用中文字体)"/>
      <w:kern w:val="0"/>
      <w:sz w:val="24"/>
      <w14:ligatures w14:val="none"/>
    </w:rPr>
  </w:style>
  <w:style w:type="paragraph" w:customStyle="1" w:styleId="729">
    <w:name w:val="目录 54"/>
    <w:qFormat/>
    <w:uiPriority w:val="0"/>
    <w:pPr>
      <w:wordWrap w:val="0"/>
      <w:spacing w:after="0" w:line="240" w:lineRule="auto"/>
      <w:ind w:left="1275"/>
      <w:jc w:val="both"/>
    </w:pPr>
    <w:rPr>
      <w:rFonts w:ascii="Times New Roman" w:hAnsi="Times New Roman" w:eastAsia="宋体" w:cs="Times New Roman"/>
      <w:kern w:val="0"/>
      <w:sz w:val="21"/>
      <w:szCs w:val="20"/>
      <w:lang w:val="en-US" w:eastAsia="zh-CN" w:bidi="ar-SA"/>
      <w14:ligatures w14:val="none"/>
    </w:rPr>
  </w:style>
  <w:style w:type="paragraph" w:customStyle="1" w:styleId="730">
    <w:name w:val="正文（首行缩进2字符）"/>
    <w:basedOn w:val="1"/>
    <w:qFormat/>
    <w:uiPriority w:val="0"/>
    <w:pPr>
      <w:wordWrap w:val="0"/>
      <w:spacing w:line="360" w:lineRule="auto"/>
      <w:ind w:firstLine="420" w:firstLineChars="200"/>
    </w:pPr>
    <w:rPr>
      <w:rFonts w:ascii="宋体" w:hAnsi="Calibri" w:cs="宋体"/>
      <w:szCs w:val="21"/>
    </w:rPr>
  </w:style>
  <w:style w:type="paragraph" w:customStyle="1" w:styleId="731">
    <w:name w:val="正文缩进2"/>
    <w:qFormat/>
    <w:uiPriority w:val="0"/>
    <w:pPr>
      <w:wordWrap w:val="0"/>
      <w:spacing w:after="0" w:line="240" w:lineRule="auto"/>
      <w:ind w:left="3400"/>
      <w:jc w:val="both"/>
    </w:pPr>
    <w:rPr>
      <w:rFonts w:ascii="Times New Roman" w:hAnsi="Times New Roman" w:eastAsia="宋体" w:cs="Times New Roman"/>
      <w:kern w:val="0"/>
      <w:sz w:val="21"/>
      <w:szCs w:val="20"/>
      <w:lang w:val="en-US" w:eastAsia="zh-CN" w:bidi="ar-SA"/>
      <w14:ligatures w14:val="none"/>
    </w:rPr>
  </w:style>
  <w:style w:type="paragraph" w:customStyle="1" w:styleId="732">
    <w:name w:val="[Normal]"/>
    <w:qFormat/>
    <w:uiPriority w:val="0"/>
    <w:pPr>
      <w:spacing w:after="0" w:line="240" w:lineRule="auto"/>
    </w:pPr>
    <w:rPr>
      <w:rFonts w:ascii="宋体" w:hAnsi="宋体" w:eastAsia="宋体" w:cs="Times New Roman"/>
      <w:kern w:val="0"/>
      <w:sz w:val="24"/>
      <w:szCs w:val="22"/>
      <w:lang w:val="zh-CN" w:eastAsia="zh-CN" w:bidi="ar-SA"/>
      <w14:ligatures w14:val="none"/>
    </w:rPr>
  </w:style>
  <w:style w:type="paragraph" w:customStyle="1" w:styleId="733">
    <w:name w:val="正文首行缩进 21"/>
    <w:basedOn w:val="400"/>
    <w:qFormat/>
    <w:uiPriority w:val="0"/>
    <w:pPr>
      <w:ind w:firstLine="420"/>
    </w:pPr>
  </w:style>
  <w:style w:type="character" w:customStyle="1" w:styleId="734">
    <w:name w:val="NormalCharacter"/>
    <w:qFormat/>
    <w:uiPriority w:val="0"/>
  </w:style>
  <w:style w:type="paragraph" w:customStyle="1" w:styleId="735">
    <w:name w:val="_Style 14"/>
    <w:basedOn w:val="1"/>
    <w:next w:val="103"/>
    <w:qFormat/>
    <w:uiPriority w:val="34"/>
    <w:pPr>
      <w:widowControl/>
      <w:ind w:firstLine="420" w:firstLineChars="200"/>
      <w:jc w:val="left"/>
    </w:pPr>
    <w:rPr>
      <w:rFonts w:ascii="宋体" w:hAnsi="宋体" w:eastAsia="宋体" w:cs="Times New Roman"/>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24797</Words>
  <Characters>26174</Characters>
  <Lines>203</Lines>
  <Paragraphs>57</Paragraphs>
  <TotalTime>9</TotalTime>
  <ScaleCrop>false</ScaleCrop>
  <LinksUpToDate>false</LinksUpToDate>
  <CharactersWithSpaces>27333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2024-12-19T19:40:00Z</dcterms:created>
  <dc:creator>晓 黄</dc:creator>
  <cp:lastModifiedBy>小朋友要去上学了</cp:lastModifiedBy>
  <dcterms:modified xsi:type="dcterms:W3CDTF">2025-07-17T03:50:44Z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34C4DE392C264AF7B913C8963599D5B7_13</vt:lpwstr>
  </property>
  <property fmtid="{D5CDD505-2E9C-101B-9397-08002B2CF9AE}" pid="4" name="KSOTemplateDocerSaveRecord">
    <vt:lpwstr>eyJoZGlkIjoiOTVlZDNiNjc4N2Y5YzJiNWY0NjQxMTBmZmRlYWU5ZTMiLCJ1c2VySWQiOiI1MzgwNTcwNjcifQ==</vt:lpwstr>
  </property>
</Properties>
</file>